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2FC9B" w14:textId="4C0FC1BD" w:rsidR="003446FD" w:rsidRPr="003B3653" w:rsidRDefault="00582574" w:rsidP="003B3653">
      <w:pPr>
        <w:pStyle w:val="Title"/>
        <w:rPr>
          <w:bCs/>
          <w:color w:val="auto"/>
          <w:sz w:val="96"/>
        </w:rPr>
      </w:pPr>
      <w:bookmarkStart w:id="0" w:name="_Toc147406529"/>
      <w:bookmarkStart w:id="1" w:name="_Toc118443202"/>
      <w:bookmarkStart w:id="2" w:name="_Toc119418020"/>
      <w:r w:rsidRPr="003B3653">
        <w:rPr>
          <w:bCs/>
          <w:color w:val="auto"/>
          <w:sz w:val="96"/>
        </w:rPr>
        <w:drawing>
          <wp:anchor distT="0" distB="0" distL="114300" distR="114300" simplePos="0" relativeHeight="251657290" behindDoc="0" locked="0" layoutInCell="1" allowOverlap="1" wp14:anchorId="4DF9991E" wp14:editId="203C6B0E">
            <wp:simplePos x="0" y="0"/>
            <wp:positionH relativeFrom="margin">
              <wp:posOffset>-60726</wp:posOffset>
            </wp:positionH>
            <wp:positionV relativeFrom="paragraph">
              <wp:posOffset>-186431</wp:posOffset>
            </wp:positionV>
            <wp:extent cx="3239770" cy="701040"/>
            <wp:effectExtent l="0" t="0" r="0" b="3810"/>
            <wp:wrapNone/>
            <wp:docPr id="348354591" name="Picture 348354591" descr="Australian Government logo and Jobs and Skills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54591" name="Picture 348354591" descr="Australian Government logo and Jobs and Skills Australia logo"/>
                    <pic:cNvPicPr/>
                  </pic:nvPicPr>
                  <pic:blipFill>
                    <a:blip r:embed="rId8">
                      <a:extLst>
                        <a:ext uri="{96DAC541-7B7A-43D3-8B79-37D633B846F1}">
                          <asvg:svgBlip xmlns:asvg="http://schemas.microsoft.com/office/drawing/2016/SVG/main" r:embed="rId9"/>
                        </a:ext>
                      </a:extLst>
                    </a:blip>
                    <a:stretch>
                      <a:fillRect/>
                    </a:stretch>
                  </pic:blipFill>
                  <pic:spPr>
                    <a:xfrm>
                      <a:off x="0" y="0"/>
                      <a:ext cx="3239770" cy="701040"/>
                    </a:xfrm>
                    <a:prstGeom prst="rect">
                      <a:avLst/>
                    </a:prstGeom>
                  </pic:spPr>
                </pic:pic>
              </a:graphicData>
            </a:graphic>
          </wp:anchor>
        </w:drawing>
      </w:r>
      <w:r w:rsidRPr="003B3653">
        <w:rPr>
          <w:bCs/>
          <w:color w:val="auto"/>
          <w:sz w:val="96"/>
        </w:rPr>
        <w:drawing>
          <wp:anchor distT="0" distB="0" distL="114300" distR="114300" simplePos="0" relativeHeight="251657274" behindDoc="1" locked="0" layoutInCell="1" allowOverlap="1" wp14:anchorId="4A277B64" wp14:editId="2D34F628">
            <wp:simplePos x="0" y="0"/>
            <wp:positionH relativeFrom="page">
              <wp:posOffset>0</wp:posOffset>
            </wp:positionH>
            <wp:positionV relativeFrom="page">
              <wp:posOffset>0</wp:posOffset>
            </wp:positionV>
            <wp:extent cx="7553325" cy="11729085"/>
            <wp:effectExtent l="0" t="0" r="9525" b="5715"/>
            <wp:wrapNone/>
            <wp:docPr id="85058010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80100" name="Picture 3">
                      <a:extLst>
                        <a:ext uri="{C183D7F6-B498-43B3-948B-1728B52AA6E4}">
                          <adec:decorative xmlns:adec="http://schemas.microsoft.com/office/drawing/2017/decorative" val="1"/>
                        </a:ext>
                      </a:extLst>
                    </pic:cNvPr>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7553325" cy="11729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46FD" w:rsidRPr="003B3653">
        <w:rPr>
          <w:bCs/>
          <w:color w:val="auto"/>
          <w:sz w:val="96"/>
        </w:rPr>
        <w:t>Jobs and Skills Roadmap for Regional Australia</w:t>
      </w:r>
    </w:p>
    <w:p w14:paraId="01B502E6" w14:textId="753A3F50" w:rsidR="00E24C77" w:rsidRDefault="00E24C77" w:rsidP="003446FD">
      <w:pPr>
        <w:rPr>
          <w:sz w:val="56"/>
          <w:szCs w:val="56"/>
        </w:rPr>
      </w:pPr>
    </w:p>
    <w:p w14:paraId="33019090" w14:textId="0EED98E8" w:rsidR="003446FD" w:rsidRPr="00E24C77" w:rsidRDefault="003446FD" w:rsidP="003446FD">
      <w:pPr>
        <w:rPr>
          <w:b/>
          <w:sz w:val="64"/>
          <w:szCs w:val="64"/>
        </w:rPr>
      </w:pPr>
      <w:r w:rsidRPr="00E24C77">
        <w:rPr>
          <w:sz w:val="64"/>
          <w:szCs w:val="64"/>
        </w:rPr>
        <w:t>Phase 1</w:t>
      </w:r>
    </w:p>
    <w:p w14:paraId="168B241F" w14:textId="77777777" w:rsidR="00E24C77" w:rsidRDefault="00E24C77" w:rsidP="003446FD">
      <w:pPr>
        <w:tabs>
          <w:tab w:val="left" w:pos="4065"/>
        </w:tabs>
        <w:rPr>
          <w:b/>
          <w:sz w:val="32"/>
          <w:szCs w:val="32"/>
        </w:rPr>
      </w:pPr>
    </w:p>
    <w:p w14:paraId="5E13BE60" w14:textId="7EDD9ADE" w:rsidR="003446FD" w:rsidRPr="00E24C77" w:rsidRDefault="003446FD" w:rsidP="003446FD">
      <w:pPr>
        <w:tabs>
          <w:tab w:val="left" w:pos="4065"/>
        </w:tabs>
        <w:rPr>
          <w:b/>
          <w:sz w:val="40"/>
          <w:szCs w:val="40"/>
        </w:rPr>
        <w:sectPr w:rsidR="003446FD" w:rsidRPr="00E24C77" w:rsidSect="003446FD">
          <w:type w:val="continuous"/>
          <w:pgSz w:w="11907" w:h="16839" w:code="9"/>
          <w:pgMar w:top="1440" w:right="1270" w:bottom="1440" w:left="1270" w:header="720" w:footer="720" w:gutter="0"/>
          <w:pgBorders w:offsetFrom="page">
            <w:top w:val="single" w:sz="4" w:space="24" w:color="A6A6A6" w:themeColor="background1" w:themeShade="A6"/>
            <w:left w:val="single" w:sz="4" w:space="24" w:color="A6A6A6" w:themeColor="background1" w:themeShade="A6"/>
            <w:bottom w:val="single" w:sz="4" w:space="24" w:color="A6A6A6" w:themeColor="background1" w:themeShade="A6"/>
            <w:right w:val="single" w:sz="4" w:space="24" w:color="A6A6A6" w:themeColor="background1" w:themeShade="A6"/>
          </w:pgBorders>
          <w:cols w:space="720"/>
          <w:titlePg/>
          <w:docGrid w:linePitch="360"/>
        </w:sectPr>
      </w:pPr>
      <w:r w:rsidRPr="00E24C77">
        <w:rPr>
          <w:b/>
          <w:sz w:val="40"/>
          <w:szCs w:val="40"/>
        </w:rPr>
        <w:t xml:space="preserve">3 July </w:t>
      </w:r>
      <w:r w:rsidRPr="00E24C77">
        <w:rPr>
          <w:b/>
          <w:bCs/>
          <w:sz w:val="40"/>
          <w:szCs w:val="40"/>
        </w:rPr>
        <w:t>2025</w:t>
      </w:r>
      <w:r w:rsidRPr="00E24C77">
        <w:rPr>
          <w:b/>
          <w:bCs/>
          <w:sz w:val="40"/>
          <w:szCs w:val="40"/>
        </w:rPr>
        <w:tab/>
      </w:r>
    </w:p>
    <w:p w14:paraId="646AF2DD" w14:textId="64EDBEEF" w:rsidR="006172B7" w:rsidRPr="00870886" w:rsidRDefault="006172B7" w:rsidP="00870886"/>
    <w:p w14:paraId="51270180" w14:textId="58F725A6" w:rsidR="00D95E9A" w:rsidRPr="00CB0C7A" w:rsidRDefault="00D95E9A" w:rsidP="00611F05">
      <w:pPr>
        <w:pStyle w:val="DocumentDetails"/>
        <w:spacing w:before="0" w:after="0"/>
        <w:rPr>
          <w:rFonts w:cs="Arial"/>
        </w:rPr>
        <w:sectPr w:rsidR="00D95E9A" w:rsidRPr="00CB0C7A" w:rsidSect="00FE0084">
          <w:headerReference w:type="even" r:id="rId11"/>
          <w:headerReference w:type="default" r:id="rId12"/>
          <w:footerReference w:type="even" r:id="rId13"/>
          <w:footerReference w:type="default" r:id="rId14"/>
          <w:headerReference w:type="first" r:id="rId15"/>
          <w:footerReference w:type="first" r:id="rId16"/>
          <w:type w:val="continuous"/>
          <w:pgSz w:w="11907" w:h="16839" w:code="9"/>
          <w:pgMar w:top="238" w:right="244" w:bottom="249" w:left="238" w:header="720" w:footer="720" w:gutter="0"/>
          <w:pgBorders w:offsetFrom="page">
            <w:top w:val="single" w:sz="4" w:space="24" w:color="A6A6A6" w:themeColor="background1" w:themeShade="A6"/>
            <w:left w:val="single" w:sz="4" w:space="24" w:color="A6A6A6" w:themeColor="background1" w:themeShade="A6"/>
            <w:bottom w:val="single" w:sz="4" w:space="24" w:color="A6A6A6" w:themeColor="background1" w:themeShade="A6"/>
            <w:right w:val="single" w:sz="4" w:space="24" w:color="A6A6A6" w:themeColor="background1" w:themeShade="A6"/>
          </w:pgBorders>
          <w:cols w:space="720"/>
          <w:titlePg/>
          <w:docGrid w:linePitch="360"/>
        </w:sectPr>
      </w:pPr>
    </w:p>
    <w:p w14:paraId="362DE3BF" w14:textId="3AAEBE44" w:rsidR="00B33532" w:rsidRPr="00B33532" w:rsidRDefault="00B33532" w:rsidP="00B33532">
      <w:pPr>
        <w:pStyle w:val="DocumentDetails"/>
        <w:spacing w:after="0"/>
        <w:rPr>
          <w:rStyle w:val="Characterbold"/>
          <w:rFonts w:ascii="Arial" w:hAnsi="Arial" w:cs="Arial"/>
          <w:bCs/>
          <w:color w:val="auto"/>
          <w:spacing w:val="0"/>
          <w:sz w:val="22"/>
          <w:szCs w:val="22"/>
        </w:rPr>
      </w:pPr>
      <w:r w:rsidRPr="00B33532">
        <w:rPr>
          <w:rStyle w:val="Characterbold"/>
          <w:rFonts w:ascii="Arial" w:hAnsi="Arial" w:cs="Arial"/>
          <w:bCs/>
          <w:color w:val="auto"/>
          <w:spacing w:val="0"/>
          <w:sz w:val="22"/>
          <w:szCs w:val="22"/>
        </w:rPr>
        <w:lastRenderedPageBreak/>
        <w:t>Acknowledgement of Country</w:t>
      </w:r>
    </w:p>
    <w:p w14:paraId="43D4D820" w14:textId="4B0F71A4" w:rsidR="00D95E9A" w:rsidRPr="00CB0C7A" w:rsidRDefault="00B33532" w:rsidP="00B33532">
      <w:pPr>
        <w:spacing w:after="160" w:line="278" w:lineRule="auto"/>
        <w:rPr>
          <w:rStyle w:val="Characterbold"/>
          <w:rFonts w:cs="Arial"/>
        </w:rPr>
      </w:pPr>
      <w:r>
        <w:rPr>
          <w:rStyle w:val="Characterbold"/>
          <w:rFonts w:cs="Arial"/>
          <w:b w:val="0"/>
          <w:bCs/>
          <w:noProof/>
        </w:rPr>
        <w:drawing>
          <wp:anchor distT="0" distB="0" distL="114300" distR="114300" simplePos="0" relativeHeight="251973120" behindDoc="0" locked="0" layoutInCell="1" allowOverlap="1" wp14:anchorId="50482565" wp14:editId="7022660F">
            <wp:simplePos x="0" y="0"/>
            <wp:positionH relativeFrom="page">
              <wp:posOffset>1311275</wp:posOffset>
            </wp:positionH>
            <wp:positionV relativeFrom="paragraph">
              <wp:posOffset>388101</wp:posOffset>
            </wp:positionV>
            <wp:extent cx="4939200" cy="1623600"/>
            <wp:effectExtent l="0" t="0" r="0" b="0"/>
            <wp:wrapNone/>
            <wp:docPr id="176169380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93806" name="Picture 2">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9200" cy="1623600"/>
                    </a:xfrm>
                    <a:prstGeom prst="rect">
                      <a:avLst/>
                    </a:prstGeom>
                    <a:noFill/>
                  </pic:spPr>
                </pic:pic>
              </a:graphicData>
            </a:graphic>
            <wp14:sizeRelH relativeFrom="page">
              <wp14:pctWidth>0</wp14:pctWidth>
            </wp14:sizeRelH>
            <wp14:sizeRelV relativeFrom="page">
              <wp14:pctHeight>0</wp14:pctHeight>
            </wp14:sizeRelV>
          </wp:anchor>
        </w:drawing>
      </w:r>
      <w:r w:rsidRPr="00B33532">
        <w:rPr>
          <w:rStyle w:val="Characterbold"/>
          <w:rFonts w:cs="Arial"/>
          <w:b w:val="0"/>
          <w:bCs/>
        </w:rPr>
        <w:t>Jobs and Skills Australia acknowledges the Traditional Owners of Country throughout Australia and recognises the continuing connection to lands, waters and communities. We pay our respect to Aboriginal and Torres Strait Islander cultures, and to Elders past and present.</w:t>
      </w:r>
      <w:r w:rsidR="00AE353A">
        <w:rPr>
          <w:b/>
          <w:noProof/>
        </w:rPr>
        <w:drawing>
          <wp:anchor distT="0" distB="0" distL="114300" distR="114300" simplePos="0" relativeHeight="251657218" behindDoc="0" locked="0" layoutInCell="1" allowOverlap="1" wp14:anchorId="5E2D7750" wp14:editId="64E515FE">
            <wp:simplePos x="0" y="0"/>
            <wp:positionH relativeFrom="page">
              <wp:align>left</wp:align>
            </wp:positionH>
            <wp:positionV relativeFrom="page">
              <wp:align>top</wp:align>
            </wp:positionV>
            <wp:extent cx="7678800" cy="10677600"/>
            <wp:effectExtent l="0" t="0" r="0" b="0"/>
            <wp:wrapNone/>
            <wp:docPr id="32837149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71490" name="Picture 2">
                      <a:extLst>
                        <a:ext uri="{C183D7F6-B498-43B3-948B-1728B52AA6E4}">
                          <adec:decorative xmlns:adec="http://schemas.microsoft.com/office/drawing/2017/decorative" val="1"/>
                        </a:ext>
                      </a:extLst>
                    </pic:cNvPr>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7678800" cy="1067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74112D" w14:textId="33F16275" w:rsidR="00D95E9A" w:rsidRDefault="00350CD3">
      <w:pPr>
        <w:spacing w:after="160" w:line="259" w:lineRule="auto"/>
        <w:rPr>
          <w:rStyle w:val="Characterbold"/>
          <w:rFonts w:cs="Arial"/>
          <w:szCs w:val="20"/>
        </w:rPr>
      </w:pPr>
      <w:r>
        <w:rPr>
          <w:rStyle w:val="Characterbold"/>
          <w:rFonts w:cs="Arial"/>
        </w:rPr>
        <w:br w:type="page"/>
      </w:r>
    </w:p>
    <w:p w14:paraId="4841D778" w14:textId="72600461" w:rsidR="007502A8" w:rsidRPr="007502A8" w:rsidRDefault="007502A8" w:rsidP="007502A8">
      <w:pPr>
        <w:pStyle w:val="TOCHeading"/>
      </w:pPr>
      <w:r w:rsidRPr="007502A8">
        <w:lastRenderedPageBreak/>
        <w:t>Contents</w:t>
      </w:r>
    </w:p>
    <w:p w14:paraId="128481B1" w14:textId="72876FAD" w:rsidR="001809C9" w:rsidRDefault="00E760A3">
      <w:pPr>
        <w:pStyle w:val="TOC1"/>
        <w:tabs>
          <w:tab w:val="right" w:leader="dot" w:pos="9357"/>
        </w:tabs>
        <w:rPr>
          <w:rFonts w:asciiTheme="minorHAnsi" w:eastAsiaTheme="minorEastAsia" w:hAnsiTheme="minorHAnsi"/>
          <w:b w:val="0"/>
          <w:noProof/>
          <w:color w:val="auto"/>
          <w:kern w:val="2"/>
          <w:sz w:val="24"/>
          <w:szCs w:val="24"/>
          <w:lang w:eastAsia="en-AU"/>
          <w14:ligatures w14:val="standardContextual"/>
        </w:rPr>
      </w:pPr>
      <w:r>
        <w:fldChar w:fldCharType="begin"/>
      </w:r>
      <w:r>
        <w:instrText xml:space="preserve"> TOC \o "2-2" \h \z \t "Heading 1,1,Appendix Heading 1,1,Appendix Heading 2,1" </w:instrText>
      </w:r>
      <w:r>
        <w:fldChar w:fldCharType="separate"/>
      </w:r>
      <w:hyperlink w:anchor="_Toc202361856" w:history="1">
        <w:r w:rsidR="001809C9" w:rsidRPr="00523974">
          <w:rPr>
            <w:rStyle w:val="Hyperlink"/>
            <w:noProof/>
          </w:rPr>
          <w:t>Commissioner’s Foreword</w:t>
        </w:r>
        <w:r w:rsidR="001809C9">
          <w:rPr>
            <w:noProof/>
            <w:webHidden/>
          </w:rPr>
          <w:tab/>
        </w:r>
        <w:r w:rsidR="001809C9">
          <w:rPr>
            <w:noProof/>
            <w:webHidden/>
          </w:rPr>
          <w:fldChar w:fldCharType="begin"/>
        </w:r>
        <w:r w:rsidR="001809C9">
          <w:rPr>
            <w:noProof/>
            <w:webHidden/>
          </w:rPr>
          <w:instrText xml:space="preserve"> PAGEREF _Toc202361856 \h </w:instrText>
        </w:r>
        <w:r w:rsidR="001809C9">
          <w:rPr>
            <w:noProof/>
            <w:webHidden/>
          </w:rPr>
        </w:r>
        <w:r w:rsidR="001809C9">
          <w:rPr>
            <w:noProof/>
            <w:webHidden/>
          </w:rPr>
          <w:fldChar w:fldCharType="separate"/>
        </w:r>
        <w:r w:rsidR="00471863">
          <w:rPr>
            <w:noProof/>
            <w:webHidden/>
          </w:rPr>
          <w:t>5</w:t>
        </w:r>
        <w:r w:rsidR="001809C9">
          <w:rPr>
            <w:noProof/>
            <w:webHidden/>
          </w:rPr>
          <w:fldChar w:fldCharType="end"/>
        </w:r>
      </w:hyperlink>
    </w:p>
    <w:p w14:paraId="007030C8" w14:textId="6CEBD8ED" w:rsidR="001809C9" w:rsidRDefault="001809C9">
      <w:pPr>
        <w:pStyle w:val="TOC1"/>
        <w:tabs>
          <w:tab w:val="right" w:leader="dot" w:pos="9357"/>
        </w:tabs>
        <w:rPr>
          <w:rFonts w:asciiTheme="minorHAnsi" w:eastAsiaTheme="minorEastAsia" w:hAnsiTheme="minorHAnsi"/>
          <w:b w:val="0"/>
          <w:noProof/>
          <w:color w:val="auto"/>
          <w:kern w:val="2"/>
          <w:sz w:val="24"/>
          <w:szCs w:val="24"/>
          <w:lang w:eastAsia="en-AU"/>
          <w14:ligatures w14:val="standardContextual"/>
        </w:rPr>
      </w:pPr>
      <w:hyperlink w:anchor="_Toc202361857" w:history="1">
        <w:r w:rsidRPr="00523974">
          <w:rPr>
            <w:rStyle w:val="Hyperlink"/>
            <w:noProof/>
          </w:rPr>
          <w:t>Executive Summary</w:t>
        </w:r>
        <w:r>
          <w:rPr>
            <w:noProof/>
            <w:webHidden/>
          </w:rPr>
          <w:tab/>
        </w:r>
        <w:r>
          <w:rPr>
            <w:noProof/>
            <w:webHidden/>
          </w:rPr>
          <w:fldChar w:fldCharType="begin"/>
        </w:r>
        <w:r>
          <w:rPr>
            <w:noProof/>
            <w:webHidden/>
          </w:rPr>
          <w:instrText xml:space="preserve"> PAGEREF _Toc202361857 \h </w:instrText>
        </w:r>
        <w:r>
          <w:rPr>
            <w:noProof/>
            <w:webHidden/>
          </w:rPr>
        </w:r>
        <w:r>
          <w:rPr>
            <w:noProof/>
            <w:webHidden/>
          </w:rPr>
          <w:fldChar w:fldCharType="separate"/>
        </w:r>
        <w:r w:rsidR="00471863">
          <w:rPr>
            <w:noProof/>
            <w:webHidden/>
          </w:rPr>
          <w:t>6</w:t>
        </w:r>
        <w:r>
          <w:rPr>
            <w:noProof/>
            <w:webHidden/>
          </w:rPr>
          <w:fldChar w:fldCharType="end"/>
        </w:r>
      </w:hyperlink>
    </w:p>
    <w:p w14:paraId="6B0C1516" w14:textId="797698FE"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58" w:history="1">
        <w:r w:rsidRPr="00523974">
          <w:rPr>
            <w:rStyle w:val="Hyperlink"/>
            <w:noProof/>
          </w:rPr>
          <w:t>The Purpose of the Roadmap</w:t>
        </w:r>
        <w:r>
          <w:rPr>
            <w:noProof/>
            <w:webHidden/>
          </w:rPr>
          <w:tab/>
        </w:r>
        <w:r>
          <w:rPr>
            <w:noProof/>
            <w:webHidden/>
          </w:rPr>
          <w:fldChar w:fldCharType="begin"/>
        </w:r>
        <w:r>
          <w:rPr>
            <w:noProof/>
            <w:webHidden/>
          </w:rPr>
          <w:instrText xml:space="preserve"> PAGEREF _Toc202361858 \h </w:instrText>
        </w:r>
        <w:r>
          <w:rPr>
            <w:noProof/>
            <w:webHidden/>
          </w:rPr>
        </w:r>
        <w:r>
          <w:rPr>
            <w:noProof/>
            <w:webHidden/>
          </w:rPr>
          <w:fldChar w:fldCharType="separate"/>
        </w:r>
        <w:r w:rsidR="00471863">
          <w:rPr>
            <w:noProof/>
            <w:webHidden/>
          </w:rPr>
          <w:t>6</w:t>
        </w:r>
        <w:r>
          <w:rPr>
            <w:noProof/>
            <w:webHidden/>
          </w:rPr>
          <w:fldChar w:fldCharType="end"/>
        </w:r>
      </w:hyperlink>
    </w:p>
    <w:p w14:paraId="4991E22E" w14:textId="634D7A11"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59" w:history="1">
        <w:r w:rsidRPr="00523974">
          <w:rPr>
            <w:rStyle w:val="Hyperlink"/>
            <w:noProof/>
          </w:rPr>
          <w:t>Where is Regional Australia?</w:t>
        </w:r>
        <w:r>
          <w:rPr>
            <w:noProof/>
            <w:webHidden/>
          </w:rPr>
          <w:tab/>
        </w:r>
        <w:r>
          <w:rPr>
            <w:noProof/>
            <w:webHidden/>
          </w:rPr>
          <w:fldChar w:fldCharType="begin"/>
        </w:r>
        <w:r>
          <w:rPr>
            <w:noProof/>
            <w:webHidden/>
          </w:rPr>
          <w:instrText xml:space="preserve"> PAGEREF _Toc202361859 \h </w:instrText>
        </w:r>
        <w:r>
          <w:rPr>
            <w:noProof/>
            <w:webHidden/>
          </w:rPr>
        </w:r>
        <w:r>
          <w:rPr>
            <w:noProof/>
            <w:webHidden/>
          </w:rPr>
          <w:fldChar w:fldCharType="separate"/>
        </w:r>
        <w:r w:rsidR="00471863">
          <w:rPr>
            <w:noProof/>
            <w:webHidden/>
          </w:rPr>
          <w:t>6</w:t>
        </w:r>
        <w:r>
          <w:rPr>
            <w:noProof/>
            <w:webHidden/>
          </w:rPr>
          <w:fldChar w:fldCharType="end"/>
        </w:r>
      </w:hyperlink>
    </w:p>
    <w:p w14:paraId="7C9EE762" w14:textId="6AFAD440"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60" w:history="1">
        <w:r w:rsidRPr="00523974">
          <w:rPr>
            <w:rStyle w:val="Hyperlink"/>
            <w:noProof/>
            <w:lang w:val="en-US"/>
          </w:rPr>
          <w:t>What is the Regional Jobs and Skills System?</w:t>
        </w:r>
        <w:r>
          <w:rPr>
            <w:noProof/>
            <w:webHidden/>
          </w:rPr>
          <w:tab/>
        </w:r>
        <w:r>
          <w:rPr>
            <w:noProof/>
            <w:webHidden/>
          </w:rPr>
          <w:fldChar w:fldCharType="begin"/>
        </w:r>
        <w:r>
          <w:rPr>
            <w:noProof/>
            <w:webHidden/>
          </w:rPr>
          <w:instrText xml:space="preserve"> PAGEREF _Toc202361860 \h </w:instrText>
        </w:r>
        <w:r>
          <w:rPr>
            <w:noProof/>
            <w:webHidden/>
          </w:rPr>
        </w:r>
        <w:r>
          <w:rPr>
            <w:noProof/>
            <w:webHidden/>
          </w:rPr>
          <w:fldChar w:fldCharType="separate"/>
        </w:r>
        <w:r w:rsidR="00471863">
          <w:rPr>
            <w:noProof/>
            <w:webHidden/>
          </w:rPr>
          <w:t>6</w:t>
        </w:r>
        <w:r>
          <w:rPr>
            <w:noProof/>
            <w:webHidden/>
          </w:rPr>
          <w:fldChar w:fldCharType="end"/>
        </w:r>
      </w:hyperlink>
    </w:p>
    <w:p w14:paraId="771F9149" w14:textId="2417FB00"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61" w:history="1">
        <w:r w:rsidRPr="00523974">
          <w:rPr>
            <w:rStyle w:val="Hyperlink"/>
            <w:noProof/>
            <w:lang w:val="en-US"/>
          </w:rPr>
          <w:t>Overarching Vision for the Regional Skills System</w:t>
        </w:r>
        <w:r>
          <w:rPr>
            <w:noProof/>
            <w:webHidden/>
          </w:rPr>
          <w:tab/>
        </w:r>
        <w:r>
          <w:rPr>
            <w:noProof/>
            <w:webHidden/>
          </w:rPr>
          <w:fldChar w:fldCharType="begin"/>
        </w:r>
        <w:r>
          <w:rPr>
            <w:noProof/>
            <w:webHidden/>
          </w:rPr>
          <w:instrText xml:space="preserve"> PAGEREF _Toc202361861 \h </w:instrText>
        </w:r>
        <w:r>
          <w:rPr>
            <w:noProof/>
            <w:webHidden/>
          </w:rPr>
        </w:r>
        <w:r>
          <w:rPr>
            <w:noProof/>
            <w:webHidden/>
          </w:rPr>
          <w:fldChar w:fldCharType="separate"/>
        </w:r>
        <w:r w:rsidR="00471863">
          <w:rPr>
            <w:noProof/>
            <w:webHidden/>
          </w:rPr>
          <w:t>7</w:t>
        </w:r>
        <w:r>
          <w:rPr>
            <w:noProof/>
            <w:webHidden/>
          </w:rPr>
          <w:fldChar w:fldCharType="end"/>
        </w:r>
      </w:hyperlink>
    </w:p>
    <w:p w14:paraId="111592EF" w14:textId="21E14EF3"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62" w:history="1">
        <w:r w:rsidRPr="00523974">
          <w:rPr>
            <w:rStyle w:val="Hyperlink"/>
            <w:noProof/>
          </w:rPr>
          <w:t>How is the jobs and skills system in Regional Australia performing?</w:t>
        </w:r>
        <w:r>
          <w:rPr>
            <w:noProof/>
            <w:webHidden/>
          </w:rPr>
          <w:tab/>
        </w:r>
        <w:r>
          <w:rPr>
            <w:noProof/>
            <w:webHidden/>
          </w:rPr>
          <w:fldChar w:fldCharType="begin"/>
        </w:r>
        <w:r>
          <w:rPr>
            <w:noProof/>
            <w:webHidden/>
          </w:rPr>
          <w:instrText xml:space="preserve"> PAGEREF _Toc202361862 \h </w:instrText>
        </w:r>
        <w:r>
          <w:rPr>
            <w:noProof/>
            <w:webHidden/>
          </w:rPr>
        </w:r>
        <w:r>
          <w:rPr>
            <w:noProof/>
            <w:webHidden/>
          </w:rPr>
          <w:fldChar w:fldCharType="separate"/>
        </w:r>
        <w:r w:rsidR="00471863">
          <w:rPr>
            <w:noProof/>
            <w:webHidden/>
          </w:rPr>
          <w:t>7</w:t>
        </w:r>
        <w:r>
          <w:rPr>
            <w:noProof/>
            <w:webHidden/>
          </w:rPr>
          <w:fldChar w:fldCharType="end"/>
        </w:r>
      </w:hyperlink>
    </w:p>
    <w:p w14:paraId="03B2A695" w14:textId="6D632FE3"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63" w:history="1">
        <w:r w:rsidRPr="00523974">
          <w:rPr>
            <w:rStyle w:val="Hyperlink"/>
            <w:noProof/>
            <w:lang w:val="en-US"/>
          </w:rPr>
          <w:t>Making progress in enhancing the jobs and skills system in Regional Australia</w:t>
        </w:r>
        <w:r>
          <w:rPr>
            <w:noProof/>
            <w:webHidden/>
          </w:rPr>
          <w:tab/>
        </w:r>
        <w:r>
          <w:rPr>
            <w:noProof/>
            <w:webHidden/>
          </w:rPr>
          <w:fldChar w:fldCharType="begin"/>
        </w:r>
        <w:r>
          <w:rPr>
            <w:noProof/>
            <w:webHidden/>
          </w:rPr>
          <w:instrText xml:space="preserve"> PAGEREF _Toc202361863 \h </w:instrText>
        </w:r>
        <w:r>
          <w:rPr>
            <w:noProof/>
            <w:webHidden/>
          </w:rPr>
        </w:r>
        <w:r>
          <w:rPr>
            <w:noProof/>
            <w:webHidden/>
          </w:rPr>
          <w:fldChar w:fldCharType="separate"/>
        </w:r>
        <w:r w:rsidR="00471863">
          <w:rPr>
            <w:noProof/>
            <w:webHidden/>
          </w:rPr>
          <w:t>9</w:t>
        </w:r>
        <w:r>
          <w:rPr>
            <w:noProof/>
            <w:webHidden/>
          </w:rPr>
          <w:fldChar w:fldCharType="end"/>
        </w:r>
      </w:hyperlink>
    </w:p>
    <w:p w14:paraId="77AD47BD" w14:textId="23B36974"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64" w:history="1">
        <w:r w:rsidRPr="00523974">
          <w:rPr>
            <w:rStyle w:val="Hyperlink"/>
            <w:noProof/>
            <w:lang w:val="en-US"/>
          </w:rPr>
          <w:t>Using this Regional Roadmap to move towards Phase 2</w:t>
        </w:r>
        <w:r>
          <w:rPr>
            <w:noProof/>
            <w:webHidden/>
          </w:rPr>
          <w:tab/>
        </w:r>
        <w:r>
          <w:rPr>
            <w:noProof/>
            <w:webHidden/>
          </w:rPr>
          <w:fldChar w:fldCharType="begin"/>
        </w:r>
        <w:r>
          <w:rPr>
            <w:noProof/>
            <w:webHidden/>
          </w:rPr>
          <w:instrText xml:space="preserve"> PAGEREF _Toc202361864 \h </w:instrText>
        </w:r>
        <w:r>
          <w:rPr>
            <w:noProof/>
            <w:webHidden/>
          </w:rPr>
        </w:r>
        <w:r>
          <w:rPr>
            <w:noProof/>
            <w:webHidden/>
          </w:rPr>
          <w:fldChar w:fldCharType="separate"/>
        </w:r>
        <w:r w:rsidR="00471863">
          <w:rPr>
            <w:noProof/>
            <w:webHidden/>
          </w:rPr>
          <w:t>13</w:t>
        </w:r>
        <w:r>
          <w:rPr>
            <w:noProof/>
            <w:webHidden/>
          </w:rPr>
          <w:fldChar w:fldCharType="end"/>
        </w:r>
      </w:hyperlink>
    </w:p>
    <w:p w14:paraId="4DA624E8" w14:textId="422A9332"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65" w:history="1">
        <w:r w:rsidRPr="00523974">
          <w:rPr>
            <w:rStyle w:val="Hyperlink"/>
            <w:noProof/>
          </w:rPr>
          <w:t>What is the purpose of JSA’s Jobs and Skills Roadmap for Regional Australia?</w:t>
        </w:r>
        <w:r>
          <w:rPr>
            <w:noProof/>
            <w:webHidden/>
          </w:rPr>
          <w:tab/>
        </w:r>
        <w:r>
          <w:rPr>
            <w:noProof/>
            <w:webHidden/>
          </w:rPr>
          <w:fldChar w:fldCharType="begin"/>
        </w:r>
        <w:r>
          <w:rPr>
            <w:noProof/>
            <w:webHidden/>
          </w:rPr>
          <w:instrText xml:space="preserve"> PAGEREF _Toc202361865 \h </w:instrText>
        </w:r>
        <w:r>
          <w:rPr>
            <w:noProof/>
            <w:webHidden/>
          </w:rPr>
        </w:r>
        <w:r>
          <w:rPr>
            <w:noProof/>
            <w:webHidden/>
          </w:rPr>
          <w:fldChar w:fldCharType="separate"/>
        </w:r>
        <w:r w:rsidR="00471863">
          <w:rPr>
            <w:noProof/>
            <w:webHidden/>
          </w:rPr>
          <w:t>15</w:t>
        </w:r>
        <w:r>
          <w:rPr>
            <w:noProof/>
            <w:webHidden/>
          </w:rPr>
          <w:fldChar w:fldCharType="end"/>
        </w:r>
      </w:hyperlink>
    </w:p>
    <w:p w14:paraId="79E2ACDF" w14:textId="06752F87"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66" w:history="1">
        <w:r w:rsidRPr="00523974">
          <w:rPr>
            <w:rStyle w:val="Hyperlink"/>
            <w:noProof/>
          </w:rPr>
          <w:t>Why do we need a jobs and skills roadmap for Regional Australia?</w:t>
        </w:r>
        <w:r>
          <w:rPr>
            <w:noProof/>
            <w:webHidden/>
          </w:rPr>
          <w:tab/>
        </w:r>
        <w:r>
          <w:rPr>
            <w:noProof/>
            <w:webHidden/>
          </w:rPr>
          <w:fldChar w:fldCharType="begin"/>
        </w:r>
        <w:r>
          <w:rPr>
            <w:noProof/>
            <w:webHidden/>
          </w:rPr>
          <w:instrText xml:space="preserve"> PAGEREF _Toc202361866 \h </w:instrText>
        </w:r>
        <w:r>
          <w:rPr>
            <w:noProof/>
            <w:webHidden/>
          </w:rPr>
        </w:r>
        <w:r>
          <w:rPr>
            <w:noProof/>
            <w:webHidden/>
          </w:rPr>
          <w:fldChar w:fldCharType="separate"/>
        </w:r>
        <w:r w:rsidR="00471863">
          <w:rPr>
            <w:noProof/>
            <w:webHidden/>
          </w:rPr>
          <w:t>15</w:t>
        </w:r>
        <w:r>
          <w:rPr>
            <w:noProof/>
            <w:webHidden/>
          </w:rPr>
          <w:fldChar w:fldCharType="end"/>
        </w:r>
      </w:hyperlink>
    </w:p>
    <w:p w14:paraId="080EE9FD" w14:textId="0298808A"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67" w:history="1">
        <w:r w:rsidRPr="00523974">
          <w:rPr>
            <w:rStyle w:val="Hyperlink"/>
            <w:noProof/>
          </w:rPr>
          <w:t>Where is ‘Regional Australia’?</w:t>
        </w:r>
        <w:r>
          <w:rPr>
            <w:noProof/>
            <w:webHidden/>
          </w:rPr>
          <w:tab/>
        </w:r>
        <w:r>
          <w:rPr>
            <w:noProof/>
            <w:webHidden/>
          </w:rPr>
          <w:fldChar w:fldCharType="begin"/>
        </w:r>
        <w:r>
          <w:rPr>
            <w:noProof/>
            <w:webHidden/>
          </w:rPr>
          <w:instrText xml:space="preserve"> PAGEREF _Toc202361867 \h </w:instrText>
        </w:r>
        <w:r>
          <w:rPr>
            <w:noProof/>
            <w:webHidden/>
          </w:rPr>
        </w:r>
        <w:r>
          <w:rPr>
            <w:noProof/>
            <w:webHidden/>
          </w:rPr>
          <w:fldChar w:fldCharType="separate"/>
        </w:r>
        <w:r w:rsidR="00471863">
          <w:rPr>
            <w:noProof/>
            <w:webHidden/>
          </w:rPr>
          <w:t>18</w:t>
        </w:r>
        <w:r>
          <w:rPr>
            <w:noProof/>
            <w:webHidden/>
          </w:rPr>
          <w:fldChar w:fldCharType="end"/>
        </w:r>
      </w:hyperlink>
    </w:p>
    <w:p w14:paraId="3F3355DE" w14:textId="0CF217D0" w:rsidR="001809C9" w:rsidRDefault="001809C9">
      <w:pPr>
        <w:pStyle w:val="TOC1"/>
        <w:tabs>
          <w:tab w:val="right" w:leader="dot" w:pos="9357"/>
        </w:tabs>
        <w:rPr>
          <w:rFonts w:asciiTheme="minorHAnsi" w:eastAsiaTheme="minorEastAsia" w:hAnsiTheme="minorHAnsi"/>
          <w:b w:val="0"/>
          <w:noProof/>
          <w:color w:val="auto"/>
          <w:kern w:val="2"/>
          <w:sz w:val="24"/>
          <w:szCs w:val="24"/>
          <w:lang w:eastAsia="en-AU"/>
          <w14:ligatures w14:val="standardContextual"/>
        </w:rPr>
      </w:pPr>
      <w:hyperlink w:anchor="_Toc202361868" w:history="1">
        <w:r w:rsidRPr="00523974">
          <w:rPr>
            <w:rStyle w:val="Hyperlink"/>
            <w:noProof/>
          </w:rPr>
          <w:t>1. Overview of the jobs and skills system in Regional Australia</w:t>
        </w:r>
        <w:r>
          <w:rPr>
            <w:noProof/>
            <w:webHidden/>
          </w:rPr>
          <w:tab/>
        </w:r>
        <w:r>
          <w:rPr>
            <w:noProof/>
            <w:webHidden/>
          </w:rPr>
          <w:fldChar w:fldCharType="begin"/>
        </w:r>
        <w:r>
          <w:rPr>
            <w:noProof/>
            <w:webHidden/>
          </w:rPr>
          <w:instrText xml:space="preserve"> PAGEREF _Toc202361868 \h </w:instrText>
        </w:r>
        <w:r>
          <w:rPr>
            <w:noProof/>
            <w:webHidden/>
          </w:rPr>
        </w:r>
        <w:r>
          <w:rPr>
            <w:noProof/>
            <w:webHidden/>
          </w:rPr>
          <w:fldChar w:fldCharType="separate"/>
        </w:r>
        <w:r w:rsidR="00471863">
          <w:rPr>
            <w:noProof/>
            <w:webHidden/>
          </w:rPr>
          <w:t>21</w:t>
        </w:r>
        <w:r>
          <w:rPr>
            <w:noProof/>
            <w:webHidden/>
          </w:rPr>
          <w:fldChar w:fldCharType="end"/>
        </w:r>
      </w:hyperlink>
    </w:p>
    <w:p w14:paraId="2F720003" w14:textId="0B5E00DA"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69" w:history="1">
        <w:r w:rsidRPr="00523974">
          <w:rPr>
            <w:rStyle w:val="Hyperlink"/>
            <w:noProof/>
          </w:rPr>
          <w:t>Overview of Regional Australia’s jobs and skills system</w:t>
        </w:r>
        <w:r>
          <w:rPr>
            <w:noProof/>
            <w:webHidden/>
          </w:rPr>
          <w:tab/>
        </w:r>
        <w:r>
          <w:rPr>
            <w:noProof/>
            <w:webHidden/>
          </w:rPr>
          <w:fldChar w:fldCharType="begin"/>
        </w:r>
        <w:r>
          <w:rPr>
            <w:noProof/>
            <w:webHidden/>
          </w:rPr>
          <w:instrText xml:space="preserve"> PAGEREF _Toc202361869 \h </w:instrText>
        </w:r>
        <w:r>
          <w:rPr>
            <w:noProof/>
            <w:webHidden/>
          </w:rPr>
        </w:r>
        <w:r>
          <w:rPr>
            <w:noProof/>
            <w:webHidden/>
          </w:rPr>
          <w:fldChar w:fldCharType="separate"/>
        </w:r>
        <w:r w:rsidR="00471863">
          <w:rPr>
            <w:noProof/>
            <w:webHidden/>
          </w:rPr>
          <w:t>22</w:t>
        </w:r>
        <w:r>
          <w:rPr>
            <w:noProof/>
            <w:webHidden/>
          </w:rPr>
          <w:fldChar w:fldCharType="end"/>
        </w:r>
      </w:hyperlink>
    </w:p>
    <w:p w14:paraId="43774F2D" w14:textId="091621A7"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70" w:history="1">
        <w:r w:rsidRPr="00523974">
          <w:rPr>
            <w:rStyle w:val="Hyperlink"/>
            <w:noProof/>
          </w:rPr>
          <w:t>What are the challenges and opportunities for Regional Australia?</w:t>
        </w:r>
        <w:r>
          <w:rPr>
            <w:noProof/>
            <w:webHidden/>
          </w:rPr>
          <w:tab/>
        </w:r>
        <w:r>
          <w:rPr>
            <w:noProof/>
            <w:webHidden/>
          </w:rPr>
          <w:fldChar w:fldCharType="begin"/>
        </w:r>
        <w:r>
          <w:rPr>
            <w:noProof/>
            <w:webHidden/>
          </w:rPr>
          <w:instrText xml:space="preserve"> PAGEREF _Toc202361870 \h </w:instrText>
        </w:r>
        <w:r>
          <w:rPr>
            <w:noProof/>
            <w:webHidden/>
          </w:rPr>
        </w:r>
        <w:r>
          <w:rPr>
            <w:noProof/>
            <w:webHidden/>
          </w:rPr>
          <w:fldChar w:fldCharType="separate"/>
        </w:r>
        <w:r w:rsidR="00471863">
          <w:rPr>
            <w:noProof/>
            <w:webHidden/>
          </w:rPr>
          <w:t>25</w:t>
        </w:r>
        <w:r>
          <w:rPr>
            <w:noProof/>
            <w:webHidden/>
          </w:rPr>
          <w:fldChar w:fldCharType="end"/>
        </w:r>
      </w:hyperlink>
    </w:p>
    <w:p w14:paraId="53255441" w14:textId="287BFF7D"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71" w:history="1">
        <w:r w:rsidRPr="00523974">
          <w:rPr>
            <w:rStyle w:val="Hyperlink"/>
            <w:noProof/>
          </w:rPr>
          <w:t>4 key trends influencing the jobs and skills system in Regional Australia</w:t>
        </w:r>
        <w:r>
          <w:rPr>
            <w:noProof/>
            <w:webHidden/>
          </w:rPr>
          <w:tab/>
        </w:r>
        <w:r>
          <w:rPr>
            <w:noProof/>
            <w:webHidden/>
          </w:rPr>
          <w:fldChar w:fldCharType="begin"/>
        </w:r>
        <w:r>
          <w:rPr>
            <w:noProof/>
            <w:webHidden/>
          </w:rPr>
          <w:instrText xml:space="preserve"> PAGEREF _Toc202361871 \h </w:instrText>
        </w:r>
        <w:r>
          <w:rPr>
            <w:noProof/>
            <w:webHidden/>
          </w:rPr>
        </w:r>
        <w:r>
          <w:rPr>
            <w:noProof/>
            <w:webHidden/>
          </w:rPr>
          <w:fldChar w:fldCharType="separate"/>
        </w:r>
        <w:r w:rsidR="00471863">
          <w:rPr>
            <w:noProof/>
            <w:webHidden/>
          </w:rPr>
          <w:t>28</w:t>
        </w:r>
        <w:r>
          <w:rPr>
            <w:noProof/>
            <w:webHidden/>
          </w:rPr>
          <w:fldChar w:fldCharType="end"/>
        </w:r>
      </w:hyperlink>
    </w:p>
    <w:p w14:paraId="5A1E1276" w14:textId="362FDBC4" w:rsidR="001809C9" w:rsidRDefault="001809C9">
      <w:pPr>
        <w:pStyle w:val="TOC1"/>
        <w:tabs>
          <w:tab w:val="right" w:leader="dot" w:pos="9357"/>
        </w:tabs>
        <w:rPr>
          <w:rFonts w:asciiTheme="minorHAnsi" w:eastAsiaTheme="minorEastAsia" w:hAnsiTheme="minorHAnsi"/>
          <w:b w:val="0"/>
          <w:noProof/>
          <w:color w:val="auto"/>
          <w:kern w:val="2"/>
          <w:sz w:val="24"/>
          <w:szCs w:val="24"/>
          <w:lang w:eastAsia="en-AU"/>
          <w14:ligatures w14:val="standardContextual"/>
        </w:rPr>
      </w:pPr>
      <w:hyperlink w:anchor="_Toc202361872" w:history="1">
        <w:r w:rsidRPr="00523974">
          <w:rPr>
            <w:rStyle w:val="Hyperlink"/>
            <w:noProof/>
          </w:rPr>
          <w:t>2. Vision and evaluative framework for Regional Australia’s jobs and skills system</w:t>
        </w:r>
        <w:r>
          <w:rPr>
            <w:noProof/>
            <w:webHidden/>
          </w:rPr>
          <w:tab/>
        </w:r>
        <w:r>
          <w:rPr>
            <w:noProof/>
            <w:webHidden/>
          </w:rPr>
          <w:fldChar w:fldCharType="begin"/>
        </w:r>
        <w:r>
          <w:rPr>
            <w:noProof/>
            <w:webHidden/>
          </w:rPr>
          <w:instrText xml:space="preserve"> PAGEREF _Toc202361872 \h </w:instrText>
        </w:r>
        <w:r>
          <w:rPr>
            <w:noProof/>
            <w:webHidden/>
          </w:rPr>
        </w:r>
        <w:r>
          <w:rPr>
            <w:noProof/>
            <w:webHidden/>
          </w:rPr>
          <w:fldChar w:fldCharType="separate"/>
        </w:r>
        <w:r w:rsidR="00471863">
          <w:rPr>
            <w:noProof/>
            <w:webHidden/>
          </w:rPr>
          <w:t>34</w:t>
        </w:r>
        <w:r>
          <w:rPr>
            <w:noProof/>
            <w:webHidden/>
          </w:rPr>
          <w:fldChar w:fldCharType="end"/>
        </w:r>
      </w:hyperlink>
    </w:p>
    <w:p w14:paraId="4EB71255" w14:textId="0256C898"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73" w:history="1">
        <w:r w:rsidRPr="00523974">
          <w:rPr>
            <w:rStyle w:val="Hyperlink"/>
            <w:noProof/>
          </w:rPr>
          <w:t>Overarching vision for the jobs and skills system in Regional Australia</w:t>
        </w:r>
        <w:r>
          <w:rPr>
            <w:noProof/>
            <w:webHidden/>
          </w:rPr>
          <w:tab/>
        </w:r>
        <w:r>
          <w:rPr>
            <w:noProof/>
            <w:webHidden/>
          </w:rPr>
          <w:fldChar w:fldCharType="begin"/>
        </w:r>
        <w:r>
          <w:rPr>
            <w:noProof/>
            <w:webHidden/>
          </w:rPr>
          <w:instrText xml:space="preserve"> PAGEREF _Toc202361873 \h </w:instrText>
        </w:r>
        <w:r>
          <w:rPr>
            <w:noProof/>
            <w:webHidden/>
          </w:rPr>
        </w:r>
        <w:r>
          <w:rPr>
            <w:noProof/>
            <w:webHidden/>
          </w:rPr>
          <w:fldChar w:fldCharType="separate"/>
        </w:r>
        <w:r w:rsidR="00471863">
          <w:rPr>
            <w:noProof/>
            <w:webHidden/>
          </w:rPr>
          <w:t>35</w:t>
        </w:r>
        <w:r>
          <w:rPr>
            <w:noProof/>
            <w:webHidden/>
          </w:rPr>
          <w:fldChar w:fldCharType="end"/>
        </w:r>
      </w:hyperlink>
    </w:p>
    <w:p w14:paraId="60471C12" w14:textId="5D3F1DD3"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74" w:history="1">
        <w:r w:rsidRPr="00523974">
          <w:rPr>
            <w:rStyle w:val="Hyperlink"/>
            <w:noProof/>
          </w:rPr>
          <w:t>Evaluative metrics to measure progress towards the vision</w:t>
        </w:r>
        <w:r>
          <w:rPr>
            <w:noProof/>
            <w:webHidden/>
          </w:rPr>
          <w:tab/>
        </w:r>
        <w:r>
          <w:rPr>
            <w:noProof/>
            <w:webHidden/>
          </w:rPr>
          <w:fldChar w:fldCharType="begin"/>
        </w:r>
        <w:r>
          <w:rPr>
            <w:noProof/>
            <w:webHidden/>
          </w:rPr>
          <w:instrText xml:space="preserve"> PAGEREF _Toc202361874 \h </w:instrText>
        </w:r>
        <w:r>
          <w:rPr>
            <w:noProof/>
            <w:webHidden/>
          </w:rPr>
        </w:r>
        <w:r>
          <w:rPr>
            <w:noProof/>
            <w:webHidden/>
          </w:rPr>
          <w:fldChar w:fldCharType="separate"/>
        </w:r>
        <w:r w:rsidR="00471863">
          <w:rPr>
            <w:noProof/>
            <w:webHidden/>
          </w:rPr>
          <w:t>36</w:t>
        </w:r>
        <w:r>
          <w:rPr>
            <w:noProof/>
            <w:webHidden/>
          </w:rPr>
          <w:fldChar w:fldCharType="end"/>
        </w:r>
      </w:hyperlink>
    </w:p>
    <w:p w14:paraId="230CCC89" w14:textId="094FAAF2"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75" w:history="1">
        <w:r w:rsidRPr="00523974">
          <w:rPr>
            <w:rStyle w:val="Hyperlink"/>
            <w:noProof/>
          </w:rPr>
          <w:t>Vision Principle 1 – Addressing Barriers</w:t>
        </w:r>
        <w:r>
          <w:rPr>
            <w:noProof/>
            <w:webHidden/>
          </w:rPr>
          <w:tab/>
        </w:r>
        <w:r>
          <w:rPr>
            <w:noProof/>
            <w:webHidden/>
          </w:rPr>
          <w:fldChar w:fldCharType="begin"/>
        </w:r>
        <w:r>
          <w:rPr>
            <w:noProof/>
            <w:webHidden/>
          </w:rPr>
          <w:instrText xml:space="preserve"> PAGEREF _Toc202361875 \h </w:instrText>
        </w:r>
        <w:r>
          <w:rPr>
            <w:noProof/>
            <w:webHidden/>
          </w:rPr>
        </w:r>
        <w:r>
          <w:rPr>
            <w:noProof/>
            <w:webHidden/>
          </w:rPr>
          <w:fldChar w:fldCharType="separate"/>
        </w:r>
        <w:r w:rsidR="00471863">
          <w:rPr>
            <w:noProof/>
            <w:webHidden/>
          </w:rPr>
          <w:t>41</w:t>
        </w:r>
        <w:r>
          <w:rPr>
            <w:noProof/>
            <w:webHidden/>
          </w:rPr>
          <w:fldChar w:fldCharType="end"/>
        </w:r>
      </w:hyperlink>
    </w:p>
    <w:p w14:paraId="3D0F701F" w14:textId="35AC8DDD"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76" w:history="1">
        <w:r w:rsidRPr="00523974">
          <w:rPr>
            <w:rStyle w:val="Hyperlink"/>
            <w:noProof/>
          </w:rPr>
          <w:t>Vision Principle 2 – Developing Skills</w:t>
        </w:r>
        <w:r>
          <w:rPr>
            <w:noProof/>
            <w:webHidden/>
          </w:rPr>
          <w:tab/>
        </w:r>
        <w:r>
          <w:rPr>
            <w:noProof/>
            <w:webHidden/>
          </w:rPr>
          <w:fldChar w:fldCharType="begin"/>
        </w:r>
        <w:r>
          <w:rPr>
            <w:noProof/>
            <w:webHidden/>
          </w:rPr>
          <w:instrText xml:space="preserve"> PAGEREF _Toc202361876 \h </w:instrText>
        </w:r>
        <w:r>
          <w:rPr>
            <w:noProof/>
            <w:webHidden/>
          </w:rPr>
        </w:r>
        <w:r>
          <w:rPr>
            <w:noProof/>
            <w:webHidden/>
          </w:rPr>
          <w:fldChar w:fldCharType="separate"/>
        </w:r>
        <w:r w:rsidR="00471863">
          <w:rPr>
            <w:noProof/>
            <w:webHidden/>
          </w:rPr>
          <w:t>54</w:t>
        </w:r>
        <w:r>
          <w:rPr>
            <w:noProof/>
            <w:webHidden/>
          </w:rPr>
          <w:fldChar w:fldCharType="end"/>
        </w:r>
      </w:hyperlink>
    </w:p>
    <w:p w14:paraId="144D32A0" w14:textId="0939A986"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77" w:history="1">
        <w:r w:rsidRPr="00523974">
          <w:rPr>
            <w:rStyle w:val="Hyperlink"/>
            <w:noProof/>
          </w:rPr>
          <w:t>Vision Principle 3 – Quality Jobs</w:t>
        </w:r>
        <w:r>
          <w:rPr>
            <w:noProof/>
            <w:webHidden/>
          </w:rPr>
          <w:tab/>
        </w:r>
        <w:r>
          <w:rPr>
            <w:noProof/>
            <w:webHidden/>
          </w:rPr>
          <w:fldChar w:fldCharType="begin"/>
        </w:r>
        <w:r>
          <w:rPr>
            <w:noProof/>
            <w:webHidden/>
          </w:rPr>
          <w:instrText xml:space="preserve"> PAGEREF _Toc202361877 \h </w:instrText>
        </w:r>
        <w:r>
          <w:rPr>
            <w:noProof/>
            <w:webHidden/>
          </w:rPr>
        </w:r>
        <w:r>
          <w:rPr>
            <w:noProof/>
            <w:webHidden/>
          </w:rPr>
          <w:fldChar w:fldCharType="separate"/>
        </w:r>
        <w:r w:rsidR="00471863">
          <w:rPr>
            <w:noProof/>
            <w:webHidden/>
          </w:rPr>
          <w:t>71</w:t>
        </w:r>
        <w:r>
          <w:rPr>
            <w:noProof/>
            <w:webHidden/>
          </w:rPr>
          <w:fldChar w:fldCharType="end"/>
        </w:r>
      </w:hyperlink>
    </w:p>
    <w:p w14:paraId="709BE409" w14:textId="3CB01271"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78" w:history="1">
        <w:r w:rsidRPr="00523974">
          <w:rPr>
            <w:rStyle w:val="Hyperlink"/>
            <w:noProof/>
          </w:rPr>
          <w:t>Vision Principal 4 – Meeting Demand</w:t>
        </w:r>
        <w:r>
          <w:rPr>
            <w:noProof/>
            <w:webHidden/>
          </w:rPr>
          <w:tab/>
        </w:r>
        <w:r>
          <w:rPr>
            <w:noProof/>
            <w:webHidden/>
          </w:rPr>
          <w:fldChar w:fldCharType="begin"/>
        </w:r>
        <w:r>
          <w:rPr>
            <w:noProof/>
            <w:webHidden/>
          </w:rPr>
          <w:instrText xml:space="preserve"> PAGEREF _Toc202361878 \h </w:instrText>
        </w:r>
        <w:r>
          <w:rPr>
            <w:noProof/>
            <w:webHidden/>
          </w:rPr>
        </w:r>
        <w:r>
          <w:rPr>
            <w:noProof/>
            <w:webHidden/>
          </w:rPr>
          <w:fldChar w:fldCharType="separate"/>
        </w:r>
        <w:r w:rsidR="00471863">
          <w:rPr>
            <w:noProof/>
            <w:webHidden/>
          </w:rPr>
          <w:t>80</w:t>
        </w:r>
        <w:r>
          <w:rPr>
            <w:noProof/>
            <w:webHidden/>
          </w:rPr>
          <w:fldChar w:fldCharType="end"/>
        </w:r>
      </w:hyperlink>
    </w:p>
    <w:p w14:paraId="27882B27" w14:textId="72B18111"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79" w:history="1">
        <w:r w:rsidRPr="00523974">
          <w:rPr>
            <w:rStyle w:val="Hyperlink"/>
            <w:noProof/>
          </w:rPr>
          <w:t>Vision Principle 5 – Efficient matching of labour supply and demand</w:t>
        </w:r>
        <w:r>
          <w:rPr>
            <w:noProof/>
            <w:webHidden/>
          </w:rPr>
          <w:tab/>
        </w:r>
        <w:r>
          <w:rPr>
            <w:noProof/>
            <w:webHidden/>
          </w:rPr>
          <w:fldChar w:fldCharType="begin"/>
        </w:r>
        <w:r>
          <w:rPr>
            <w:noProof/>
            <w:webHidden/>
          </w:rPr>
          <w:instrText xml:space="preserve"> PAGEREF _Toc202361879 \h </w:instrText>
        </w:r>
        <w:r>
          <w:rPr>
            <w:noProof/>
            <w:webHidden/>
          </w:rPr>
        </w:r>
        <w:r>
          <w:rPr>
            <w:noProof/>
            <w:webHidden/>
          </w:rPr>
          <w:fldChar w:fldCharType="separate"/>
        </w:r>
        <w:r w:rsidR="00471863">
          <w:rPr>
            <w:noProof/>
            <w:webHidden/>
          </w:rPr>
          <w:t>96</w:t>
        </w:r>
        <w:r>
          <w:rPr>
            <w:noProof/>
            <w:webHidden/>
          </w:rPr>
          <w:fldChar w:fldCharType="end"/>
        </w:r>
      </w:hyperlink>
    </w:p>
    <w:p w14:paraId="2DEC30A4" w14:textId="142222A6"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80" w:history="1">
        <w:r w:rsidRPr="00523974">
          <w:rPr>
            <w:rStyle w:val="Hyperlink"/>
            <w:noProof/>
          </w:rPr>
          <w:t>Vision and evaluative framework conclusion</w:t>
        </w:r>
        <w:r>
          <w:rPr>
            <w:noProof/>
            <w:webHidden/>
          </w:rPr>
          <w:tab/>
        </w:r>
        <w:r>
          <w:rPr>
            <w:noProof/>
            <w:webHidden/>
          </w:rPr>
          <w:fldChar w:fldCharType="begin"/>
        </w:r>
        <w:r>
          <w:rPr>
            <w:noProof/>
            <w:webHidden/>
          </w:rPr>
          <w:instrText xml:space="preserve"> PAGEREF _Toc202361880 \h </w:instrText>
        </w:r>
        <w:r>
          <w:rPr>
            <w:noProof/>
            <w:webHidden/>
          </w:rPr>
        </w:r>
        <w:r>
          <w:rPr>
            <w:noProof/>
            <w:webHidden/>
          </w:rPr>
          <w:fldChar w:fldCharType="separate"/>
        </w:r>
        <w:r w:rsidR="00471863">
          <w:rPr>
            <w:noProof/>
            <w:webHidden/>
          </w:rPr>
          <w:t>106</w:t>
        </w:r>
        <w:r>
          <w:rPr>
            <w:noProof/>
            <w:webHidden/>
          </w:rPr>
          <w:fldChar w:fldCharType="end"/>
        </w:r>
      </w:hyperlink>
    </w:p>
    <w:p w14:paraId="5912C344" w14:textId="6B4D860B" w:rsidR="001809C9" w:rsidRDefault="001809C9">
      <w:pPr>
        <w:pStyle w:val="TOC1"/>
        <w:tabs>
          <w:tab w:val="right" w:leader="dot" w:pos="9357"/>
        </w:tabs>
        <w:rPr>
          <w:rFonts w:asciiTheme="minorHAnsi" w:eastAsiaTheme="minorEastAsia" w:hAnsiTheme="minorHAnsi"/>
          <w:b w:val="0"/>
          <w:noProof/>
          <w:color w:val="auto"/>
          <w:kern w:val="2"/>
          <w:sz w:val="24"/>
          <w:szCs w:val="24"/>
          <w:lang w:eastAsia="en-AU"/>
          <w14:ligatures w14:val="standardContextual"/>
        </w:rPr>
      </w:pPr>
      <w:hyperlink w:anchor="_Toc202361881" w:history="1">
        <w:r w:rsidRPr="00523974">
          <w:rPr>
            <w:rStyle w:val="Hyperlink"/>
            <w:bCs/>
            <w:noProof/>
          </w:rPr>
          <w:t xml:space="preserve">3. </w:t>
        </w:r>
        <w:r w:rsidRPr="00523974">
          <w:rPr>
            <w:rStyle w:val="Hyperlink"/>
            <w:rFonts w:cs="Arial"/>
            <w:bCs/>
            <w:noProof/>
          </w:rPr>
          <w:t>Making progress towards the vision for Regional Australia</w:t>
        </w:r>
        <w:r>
          <w:rPr>
            <w:noProof/>
            <w:webHidden/>
          </w:rPr>
          <w:tab/>
        </w:r>
        <w:r>
          <w:rPr>
            <w:noProof/>
            <w:webHidden/>
          </w:rPr>
          <w:fldChar w:fldCharType="begin"/>
        </w:r>
        <w:r>
          <w:rPr>
            <w:noProof/>
            <w:webHidden/>
          </w:rPr>
          <w:instrText xml:space="preserve"> PAGEREF _Toc202361881 \h </w:instrText>
        </w:r>
        <w:r>
          <w:rPr>
            <w:noProof/>
            <w:webHidden/>
          </w:rPr>
        </w:r>
        <w:r>
          <w:rPr>
            <w:noProof/>
            <w:webHidden/>
          </w:rPr>
          <w:fldChar w:fldCharType="separate"/>
        </w:r>
        <w:r w:rsidR="00471863">
          <w:rPr>
            <w:noProof/>
            <w:webHidden/>
          </w:rPr>
          <w:t>110</w:t>
        </w:r>
        <w:r>
          <w:rPr>
            <w:noProof/>
            <w:webHidden/>
          </w:rPr>
          <w:fldChar w:fldCharType="end"/>
        </w:r>
      </w:hyperlink>
    </w:p>
    <w:p w14:paraId="3FD9F0AE" w14:textId="0D816C33"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82" w:history="1">
        <w:r w:rsidRPr="00523974">
          <w:rPr>
            <w:rStyle w:val="Hyperlink"/>
            <w:noProof/>
          </w:rPr>
          <w:t>10 policy design principles for Regional Australia</w:t>
        </w:r>
        <w:r>
          <w:rPr>
            <w:noProof/>
            <w:webHidden/>
          </w:rPr>
          <w:tab/>
        </w:r>
        <w:r>
          <w:rPr>
            <w:noProof/>
            <w:webHidden/>
          </w:rPr>
          <w:fldChar w:fldCharType="begin"/>
        </w:r>
        <w:r>
          <w:rPr>
            <w:noProof/>
            <w:webHidden/>
          </w:rPr>
          <w:instrText xml:space="preserve"> PAGEREF _Toc202361882 \h </w:instrText>
        </w:r>
        <w:r>
          <w:rPr>
            <w:noProof/>
            <w:webHidden/>
          </w:rPr>
        </w:r>
        <w:r>
          <w:rPr>
            <w:noProof/>
            <w:webHidden/>
          </w:rPr>
          <w:fldChar w:fldCharType="separate"/>
        </w:r>
        <w:r w:rsidR="00471863">
          <w:rPr>
            <w:noProof/>
            <w:webHidden/>
          </w:rPr>
          <w:t>113</w:t>
        </w:r>
        <w:r>
          <w:rPr>
            <w:noProof/>
            <w:webHidden/>
          </w:rPr>
          <w:fldChar w:fldCharType="end"/>
        </w:r>
      </w:hyperlink>
    </w:p>
    <w:p w14:paraId="26F3090C" w14:textId="2FC13438"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83" w:history="1">
        <w:r w:rsidRPr="00523974">
          <w:rPr>
            <w:rStyle w:val="Hyperlink"/>
            <w:noProof/>
          </w:rPr>
          <w:t>Emerging priorities to enhance the jobs and skills system in Regional Australia</w:t>
        </w:r>
        <w:r>
          <w:rPr>
            <w:noProof/>
            <w:webHidden/>
          </w:rPr>
          <w:tab/>
        </w:r>
        <w:r>
          <w:rPr>
            <w:noProof/>
            <w:webHidden/>
          </w:rPr>
          <w:fldChar w:fldCharType="begin"/>
        </w:r>
        <w:r>
          <w:rPr>
            <w:noProof/>
            <w:webHidden/>
          </w:rPr>
          <w:instrText xml:space="preserve"> PAGEREF _Toc202361883 \h </w:instrText>
        </w:r>
        <w:r>
          <w:rPr>
            <w:noProof/>
            <w:webHidden/>
          </w:rPr>
        </w:r>
        <w:r>
          <w:rPr>
            <w:noProof/>
            <w:webHidden/>
          </w:rPr>
          <w:fldChar w:fldCharType="separate"/>
        </w:r>
        <w:r w:rsidR="00471863">
          <w:rPr>
            <w:noProof/>
            <w:webHidden/>
          </w:rPr>
          <w:t>116</w:t>
        </w:r>
        <w:r>
          <w:rPr>
            <w:noProof/>
            <w:webHidden/>
          </w:rPr>
          <w:fldChar w:fldCharType="end"/>
        </w:r>
      </w:hyperlink>
    </w:p>
    <w:p w14:paraId="54AECFEC" w14:textId="078551B5"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84" w:history="1">
        <w:r w:rsidRPr="00523974">
          <w:rPr>
            <w:rStyle w:val="Hyperlink"/>
            <w:noProof/>
          </w:rPr>
          <w:t>Examples of models that are already making a difference</w:t>
        </w:r>
        <w:r>
          <w:rPr>
            <w:noProof/>
            <w:webHidden/>
          </w:rPr>
          <w:tab/>
        </w:r>
        <w:r>
          <w:rPr>
            <w:noProof/>
            <w:webHidden/>
          </w:rPr>
          <w:fldChar w:fldCharType="begin"/>
        </w:r>
        <w:r>
          <w:rPr>
            <w:noProof/>
            <w:webHidden/>
          </w:rPr>
          <w:instrText xml:space="preserve"> PAGEREF _Toc202361884 \h </w:instrText>
        </w:r>
        <w:r>
          <w:rPr>
            <w:noProof/>
            <w:webHidden/>
          </w:rPr>
        </w:r>
        <w:r>
          <w:rPr>
            <w:noProof/>
            <w:webHidden/>
          </w:rPr>
          <w:fldChar w:fldCharType="separate"/>
        </w:r>
        <w:r w:rsidR="00471863">
          <w:rPr>
            <w:noProof/>
            <w:webHidden/>
          </w:rPr>
          <w:t>118</w:t>
        </w:r>
        <w:r>
          <w:rPr>
            <w:noProof/>
            <w:webHidden/>
          </w:rPr>
          <w:fldChar w:fldCharType="end"/>
        </w:r>
      </w:hyperlink>
    </w:p>
    <w:p w14:paraId="516B8446" w14:textId="2430D66E"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85" w:history="1">
        <w:r w:rsidRPr="00523974">
          <w:rPr>
            <w:rStyle w:val="Hyperlink"/>
            <w:noProof/>
          </w:rPr>
          <w:t>Supporting state and territory based regional roadmaps</w:t>
        </w:r>
        <w:r>
          <w:rPr>
            <w:noProof/>
            <w:webHidden/>
          </w:rPr>
          <w:tab/>
        </w:r>
        <w:r>
          <w:rPr>
            <w:noProof/>
            <w:webHidden/>
          </w:rPr>
          <w:fldChar w:fldCharType="begin"/>
        </w:r>
        <w:r>
          <w:rPr>
            <w:noProof/>
            <w:webHidden/>
          </w:rPr>
          <w:instrText xml:space="preserve"> PAGEREF _Toc202361885 \h </w:instrText>
        </w:r>
        <w:r>
          <w:rPr>
            <w:noProof/>
            <w:webHidden/>
          </w:rPr>
        </w:r>
        <w:r>
          <w:rPr>
            <w:noProof/>
            <w:webHidden/>
          </w:rPr>
          <w:fldChar w:fldCharType="separate"/>
        </w:r>
        <w:r w:rsidR="00471863">
          <w:rPr>
            <w:noProof/>
            <w:webHidden/>
          </w:rPr>
          <w:t>128</w:t>
        </w:r>
        <w:r>
          <w:rPr>
            <w:noProof/>
            <w:webHidden/>
          </w:rPr>
          <w:fldChar w:fldCharType="end"/>
        </w:r>
      </w:hyperlink>
    </w:p>
    <w:p w14:paraId="24BE4EB8" w14:textId="6C554FDD"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86" w:history="1">
        <w:r w:rsidRPr="00523974">
          <w:rPr>
            <w:rStyle w:val="Hyperlink"/>
            <w:noProof/>
          </w:rPr>
          <w:t>Supporting local place-based strategies</w:t>
        </w:r>
        <w:r>
          <w:rPr>
            <w:noProof/>
            <w:webHidden/>
          </w:rPr>
          <w:tab/>
        </w:r>
        <w:r>
          <w:rPr>
            <w:noProof/>
            <w:webHidden/>
          </w:rPr>
          <w:fldChar w:fldCharType="begin"/>
        </w:r>
        <w:r>
          <w:rPr>
            <w:noProof/>
            <w:webHidden/>
          </w:rPr>
          <w:instrText xml:space="preserve"> PAGEREF _Toc202361886 \h </w:instrText>
        </w:r>
        <w:r>
          <w:rPr>
            <w:noProof/>
            <w:webHidden/>
          </w:rPr>
        </w:r>
        <w:r>
          <w:rPr>
            <w:noProof/>
            <w:webHidden/>
          </w:rPr>
          <w:fldChar w:fldCharType="separate"/>
        </w:r>
        <w:r w:rsidR="00471863">
          <w:rPr>
            <w:noProof/>
            <w:webHidden/>
          </w:rPr>
          <w:t>131</w:t>
        </w:r>
        <w:r>
          <w:rPr>
            <w:noProof/>
            <w:webHidden/>
          </w:rPr>
          <w:fldChar w:fldCharType="end"/>
        </w:r>
      </w:hyperlink>
    </w:p>
    <w:p w14:paraId="33DEA1CA" w14:textId="4F23DFCD"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87" w:history="1">
        <w:r w:rsidRPr="00523974">
          <w:rPr>
            <w:rStyle w:val="Hyperlink"/>
            <w:noProof/>
          </w:rPr>
          <w:t>Public consultation and submission process – including guiding questions</w:t>
        </w:r>
        <w:r>
          <w:rPr>
            <w:noProof/>
            <w:webHidden/>
          </w:rPr>
          <w:tab/>
        </w:r>
        <w:r>
          <w:rPr>
            <w:noProof/>
            <w:webHidden/>
          </w:rPr>
          <w:fldChar w:fldCharType="begin"/>
        </w:r>
        <w:r>
          <w:rPr>
            <w:noProof/>
            <w:webHidden/>
          </w:rPr>
          <w:instrText xml:space="preserve"> PAGEREF _Toc202361887 \h </w:instrText>
        </w:r>
        <w:r>
          <w:rPr>
            <w:noProof/>
            <w:webHidden/>
          </w:rPr>
        </w:r>
        <w:r>
          <w:rPr>
            <w:noProof/>
            <w:webHidden/>
          </w:rPr>
          <w:fldChar w:fldCharType="separate"/>
        </w:r>
        <w:r w:rsidR="00471863">
          <w:rPr>
            <w:noProof/>
            <w:webHidden/>
          </w:rPr>
          <w:t>133</w:t>
        </w:r>
        <w:r>
          <w:rPr>
            <w:noProof/>
            <w:webHidden/>
          </w:rPr>
          <w:fldChar w:fldCharType="end"/>
        </w:r>
      </w:hyperlink>
    </w:p>
    <w:p w14:paraId="7EF19E04" w14:textId="7220C753" w:rsidR="001809C9" w:rsidRDefault="001809C9">
      <w:pPr>
        <w:pStyle w:val="TOC1"/>
        <w:tabs>
          <w:tab w:val="right" w:leader="dot" w:pos="9357"/>
        </w:tabs>
        <w:rPr>
          <w:rFonts w:asciiTheme="minorHAnsi" w:eastAsiaTheme="minorEastAsia" w:hAnsiTheme="minorHAnsi"/>
          <w:b w:val="0"/>
          <w:noProof/>
          <w:color w:val="auto"/>
          <w:kern w:val="2"/>
          <w:sz w:val="24"/>
          <w:szCs w:val="24"/>
          <w:lang w:eastAsia="en-AU"/>
          <w14:ligatures w14:val="standardContextual"/>
        </w:rPr>
      </w:pPr>
      <w:hyperlink w:anchor="_Toc202361888" w:history="1">
        <w:r w:rsidRPr="00523974">
          <w:rPr>
            <w:rStyle w:val="Hyperlink"/>
            <w:noProof/>
          </w:rPr>
          <w:t>Appendix 1: Roadmap metrics by State and Territory</w:t>
        </w:r>
        <w:r>
          <w:rPr>
            <w:noProof/>
            <w:webHidden/>
          </w:rPr>
          <w:tab/>
        </w:r>
        <w:r>
          <w:rPr>
            <w:noProof/>
            <w:webHidden/>
          </w:rPr>
          <w:fldChar w:fldCharType="begin"/>
        </w:r>
        <w:r>
          <w:rPr>
            <w:noProof/>
            <w:webHidden/>
          </w:rPr>
          <w:instrText xml:space="preserve"> PAGEREF _Toc202361888 \h </w:instrText>
        </w:r>
        <w:r>
          <w:rPr>
            <w:noProof/>
            <w:webHidden/>
          </w:rPr>
        </w:r>
        <w:r>
          <w:rPr>
            <w:noProof/>
            <w:webHidden/>
          </w:rPr>
          <w:fldChar w:fldCharType="separate"/>
        </w:r>
        <w:r w:rsidR="00471863">
          <w:rPr>
            <w:noProof/>
            <w:webHidden/>
          </w:rPr>
          <w:t>137</w:t>
        </w:r>
        <w:r>
          <w:rPr>
            <w:noProof/>
            <w:webHidden/>
          </w:rPr>
          <w:fldChar w:fldCharType="end"/>
        </w:r>
      </w:hyperlink>
    </w:p>
    <w:p w14:paraId="16480547" w14:textId="01A8037F"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89" w:history="1">
        <w:r w:rsidRPr="00523974">
          <w:rPr>
            <w:rStyle w:val="Hyperlink"/>
            <w:noProof/>
          </w:rPr>
          <w:t>Summary of Roadmap indicators by state and territory</w:t>
        </w:r>
        <w:r>
          <w:rPr>
            <w:noProof/>
            <w:webHidden/>
          </w:rPr>
          <w:tab/>
        </w:r>
        <w:r>
          <w:rPr>
            <w:noProof/>
            <w:webHidden/>
          </w:rPr>
          <w:fldChar w:fldCharType="begin"/>
        </w:r>
        <w:r>
          <w:rPr>
            <w:noProof/>
            <w:webHidden/>
          </w:rPr>
          <w:instrText xml:space="preserve"> PAGEREF _Toc202361889 \h </w:instrText>
        </w:r>
        <w:r>
          <w:rPr>
            <w:noProof/>
            <w:webHidden/>
          </w:rPr>
        </w:r>
        <w:r>
          <w:rPr>
            <w:noProof/>
            <w:webHidden/>
          </w:rPr>
          <w:fldChar w:fldCharType="separate"/>
        </w:r>
        <w:r w:rsidR="00471863">
          <w:rPr>
            <w:noProof/>
            <w:webHidden/>
          </w:rPr>
          <w:t>138</w:t>
        </w:r>
        <w:r>
          <w:rPr>
            <w:noProof/>
            <w:webHidden/>
          </w:rPr>
          <w:fldChar w:fldCharType="end"/>
        </w:r>
      </w:hyperlink>
    </w:p>
    <w:p w14:paraId="63FF3827" w14:textId="3FBCA0A4"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90" w:history="1">
        <w:r w:rsidRPr="00523974">
          <w:rPr>
            <w:rStyle w:val="Hyperlink"/>
            <w:noProof/>
          </w:rPr>
          <w:t>Regional New South Wales</w:t>
        </w:r>
        <w:r>
          <w:rPr>
            <w:noProof/>
            <w:webHidden/>
          </w:rPr>
          <w:tab/>
        </w:r>
        <w:r>
          <w:rPr>
            <w:noProof/>
            <w:webHidden/>
          </w:rPr>
          <w:fldChar w:fldCharType="begin"/>
        </w:r>
        <w:r>
          <w:rPr>
            <w:noProof/>
            <w:webHidden/>
          </w:rPr>
          <w:instrText xml:space="preserve"> PAGEREF _Toc202361890 \h </w:instrText>
        </w:r>
        <w:r>
          <w:rPr>
            <w:noProof/>
            <w:webHidden/>
          </w:rPr>
        </w:r>
        <w:r>
          <w:rPr>
            <w:noProof/>
            <w:webHidden/>
          </w:rPr>
          <w:fldChar w:fldCharType="separate"/>
        </w:r>
        <w:r w:rsidR="00471863">
          <w:rPr>
            <w:noProof/>
            <w:webHidden/>
          </w:rPr>
          <w:t>139</w:t>
        </w:r>
        <w:r>
          <w:rPr>
            <w:noProof/>
            <w:webHidden/>
          </w:rPr>
          <w:fldChar w:fldCharType="end"/>
        </w:r>
      </w:hyperlink>
    </w:p>
    <w:p w14:paraId="511A1552" w14:textId="30A34019"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91" w:history="1">
        <w:r w:rsidRPr="00523974">
          <w:rPr>
            <w:rStyle w:val="Hyperlink"/>
            <w:noProof/>
          </w:rPr>
          <w:t>Regional Victoria</w:t>
        </w:r>
        <w:r>
          <w:rPr>
            <w:noProof/>
            <w:webHidden/>
          </w:rPr>
          <w:tab/>
        </w:r>
        <w:r>
          <w:rPr>
            <w:noProof/>
            <w:webHidden/>
          </w:rPr>
          <w:fldChar w:fldCharType="begin"/>
        </w:r>
        <w:r>
          <w:rPr>
            <w:noProof/>
            <w:webHidden/>
          </w:rPr>
          <w:instrText xml:space="preserve"> PAGEREF _Toc202361891 \h </w:instrText>
        </w:r>
        <w:r>
          <w:rPr>
            <w:noProof/>
            <w:webHidden/>
          </w:rPr>
        </w:r>
        <w:r>
          <w:rPr>
            <w:noProof/>
            <w:webHidden/>
          </w:rPr>
          <w:fldChar w:fldCharType="separate"/>
        </w:r>
        <w:r w:rsidR="00471863">
          <w:rPr>
            <w:noProof/>
            <w:webHidden/>
          </w:rPr>
          <w:t>140</w:t>
        </w:r>
        <w:r>
          <w:rPr>
            <w:noProof/>
            <w:webHidden/>
          </w:rPr>
          <w:fldChar w:fldCharType="end"/>
        </w:r>
      </w:hyperlink>
    </w:p>
    <w:p w14:paraId="70B0CCDE" w14:textId="5BDBB6ED"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92" w:history="1">
        <w:r w:rsidRPr="00523974">
          <w:rPr>
            <w:rStyle w:val="Hyperlink"/>
            <w:noProof/>
          </w:rPr>
          <w:t>Regional Queensland</w:t>
        </w:r>
        <w:r>
          <w:rPr>
            <w:noProof/>
            <w:webHidden/>
          </w:rPr>
          <w:tab/>
        </w:r>
        <w:r>
          <w:rPr>
            <w:noProof/>
            <w:webHidden/>
          </w:rPr>
          <w:fldChar w:fldCharType="begin"/>
        </w:r>
        <w:r>
          <w:rPr>
            <w:noProof/>
            <w:webHidden/>
          </w:rPr>
          <w:instrText xml:space="preserve"> PAGEREF _Toc202361892 \h </w:instrText>
        </w:r>
        <w:r>
          <w:rPr>
            <w:noProof/>
            <w:webHidden/>
          </w:rPr>
        </w:r>
        <w:r>
          <w:rPr>
            <w:noProof/>
            <w:webHidden/>
          </w:rPr>
          <w:fldChar w:fldCharType="separate"/>
        </w:r>
        <w:r w:rsidR="00471863">
          <w:rPr>
            <w:noProof/>
            <w:webHidden/>
          </w:rPr>
          <w:t>141</w:t>
        </w:r>
        <w:r>
          <w:rPr>
            <w:noProof/>
            <w:webHidden/>
          </w:rPr>
          <w:fldChar w:fldCharType="end"/>
        </w:r>
      </w:hyperlink>
    </w:p>
    <w:p w14:paraId="49B057EF" w14:textId="47BE56E1"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93" w:history="1">
        <w:r w:rsidRPr="00523974">
          <w:rPr>
            <w:rStyle w:val="Hyperlink"/>
            <w:noProof/>
          </w:rPr>
          <w:t>Regional South Australia</w:t>
        </w:r>
        <w:r>
          <w:rPr>
            <w:noProof/>
            <w:webHidden/>
          </w:rPr>
          <w:tab/>
        </w:r>
        <w:r>
          <w:rPr>
            <w:noProof/>
            <w:webHidden/>
          </w:rPr>
          <w:fldChar w:fldCharType="begin"/>
        </w:r>
        <w:r>
          <w:rPr>
            <w:noProof/>
            <w:webHidden/>
          </w:rPr>
          <w:instrText xml:space="preserve"> PAGEREF _Toc202361893 \h </w:instrText>
        </w:r>
        <w:r>
          <w:rPr>
            <w:noProof/>
            <w:webHidden/>
          </w:rPr>
        </w:r>
        <w:r>
          <w:rPr>
            <w:noProof/>
            <w:webHidden/>
          </w:rPr>
          <w:fldChar w:fldCharType="separate"/>
        </w:r>
        <w:r w:rsidR="00471863">
          <w:rPr>
            <w:noProof/>
            <w:webHidden/>
          </w:rPr>
          <w:t>142</w:t>
        </w:r>
        <w:r>
          <w:rPr>
            <w:noProof/>
            <w:webHidden/>
          </w:rPr>
          <w:fldChar w:fldCharType="end"/>
        </w:r>
      </w:hyperlink>
    </w:p>
    <w:p w14:paraId="0D2A4C43" w14:textId="6AE1B726"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94" w:history="1">
        <w:r w:rsidRPr="00523974">
          <w:rPr>
            <w:rStyle w:val="Hyperlink"/>
            <w:noProof/>
          </w:rPr>
          <w:t>Regional Western Australia</w:t>
        </w:r>
        <w:r>
          <w:rPr>
            <w:noProof/>
            <w:webHidden/>
          </w:rPr>
          <w:tab/>
        </w:r>
        <w:r>
          <w:rPr>
            <w:noProof/>
            <w:webHidden/>
          </w:rPr>
          <w:fldChar w:fldCharType="begin"/>
        </w:r>
        <w:r>
          <w:rPr>
            <w:noProof/>
            <w:webHidden/>
          </w:rPr>
          <w:instrText xml:space="preserve"> PAGEREF _Toc202361894 \h </w:instrText>
        </w:r>
        <w:r>
          <w:rPr>
            <w:noProof/>
            <w:webHidden/>
          </w:rPr>
        </w:r>
        <w:r>
          <w:rPr>
            <w:noProof/>
            <w:webHidden/>
          </w:rPr>
          <w:fldChar w:fldCharType="separate"/>
        </w:r>
        <w:r w:rsidR="00471863">
          <w:rPr>
            <w:noProof/>
            <w:webHidden/>
          </w:rPr>
          <w:t>143</w:t>
        </w:r>
        <w:r>
          <w:rPr>
            <w:noProof/>
            <w:webHidden/>
          </w:rPr>
          <w:fldChar w:fldCharType="end"/>
        </w:r>
      </w:hyperlink>
    </w:p>
    <w:p w14:paraId="2ABC510D" w14:textId="4BB4E438"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95" w:history="1">
        <w:r w:rsidRPr="00523974">
          <w:rPr>
            <w:rStyle w:val="Hyperlink"/>
            <w:noProof/>
          </w:rPr>
          <w:t>Tasmania</w:t>
        </w:r>
        <w:r>
          <w:rPr>
            <w:noProof/>
            <w:webHidden/>
          </w:rPr>
          <w:tab/>
        </w:r>
        <w:r>
          <w:rPr>
            <w:noProof/>
            <w:webHidden/>
          </w:rPr>
          <w:fldChar w:fldCharType="begin"/>
        </w:r>
        <w:r>
          <w:rPr>
            <w:noProof/>
            <w:webHidden/>
          </w:rPr>
          <w:instrText xml:space="preserve"> PAGEREF _Toc202361895 \h </w:instrText>
        </w:r>
        <w:r>
          <w:rPr>
            <w:noProof/>
            <w:webHidden/>
          </w:rPr>
        </w:r>
        <w:r>
          <w:rPr>
            <w:noProof/>
            <w:webHidden/>
          </w:rPr>
          <w:fldChar w:fldCharType="separate"/>
        </w:r>
        <w:r w:rsidR="00471863">
          <w:rPr>
            <w:noProof/>
            <w:webHidden/>
          </w:rPr>
          <w:t>144</w:t>
        </w:r>
        <w:r>
          <w:rPr>
            <w:noProof/>
            <w:webHidden/>
          </w:rPr>
          <w:fldChar w:fldCharType="end"/>
        </w:r>
      </w:hyperlink>
    </w:p>
    <w:p w14:paraId="157E27BB" w14:textId="344E903F"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96" w:history="1">
        <w:r w:rsidRPr="00523974">
          <w:rPr>
            <w:rStyle w:val="Hyperlink"/>
            <w:noProof/>
          </w:rPr>
          <w:t>Northern Territory</w:t>
        </w:r>
        <w:r>
          <w:rPr>
            <w:noProof/>
            <w:webHidden/>
          </w:rPr>
          <w:tab/>
        </w:r>
        <w:r>
          <w:rPr>
            <w:noProof/>
            <w:webHidden/>
          </w:rPr>
          <w:fldChar w:fldCharType="begin"/>
        </w:r>
        <w:r>
          <w:rPr>
            <w:noProof/>
            <w:webHidden/>
          </w:rPr>
          <w:instrText xml:space="preserve"> PAGEREF _Toc202361896 \h </w:instrText>
        </w:r>
        <w:r>
          <w:rPr>
            <w:noProof/>
            <w:webHidden/>
          </w:rPr>
        </w:r>
        <w:r>
          <w:rPr>
            <w:noProof/>
            <w:webHidden/>
          </w:rPr>
          <w:fldChar w:fldCharType="separate"/>
        </w:r>
        <w:r w:rsidR="00471863">
          <w:rPr>
            <w:noProof/>
            <w:webHidden/>
          </w:rPr>
          <w:t>145</w:t>
        </w:r>
        <w:r>
          <w:rPr>
            <w:noProof/>
            <w:webHidden/>
          </w:rPr>
          <w:fldChar w:fldCharType="end"/>
        </w:r>
      </w:hyperlink>
    </w:p>
    <w:p w14:paraId="23C6F9C4" w14:textId="3F31D1CD"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97" w:history="1">
        <w:r w:rsidRPr="00523974">
          <w:rPr>
            <w:rStyle w:val="Hyperlink"/>
            <w:noProof/>
          </w:rPr>
          <w:t>Australian Capital Territory</w:t>
        </w:r>
        <w:r>
          <w:rPr>
            <w:noProof/>
            <w:webHidden/>
          </w:rPr>
          <w:tab/>
        </w:r>
        <w:r>
          <w:rPr>
            <w:noProof/>
            <w:webHidden/>
          </w:rPr>
          <w:fldChar w:fldCharType="begin"/>
        </w:r>
        <w:r>
          <w:rPr>
            <w:noProof/>
            <w:webHidden/>
          </w:rPr>
          <w:instrText xml:space="preserve"> PAGEREF _Toc202361897 \h </w:instrText>
        </w:r>
        <w:r>
          <w:rPr>
            <w:noProof/>
            <w:webHidden/>
          </w:rPr>
        </w:r>
        <w:r>
          <w:rPr>
            <w:noProof/>
            <w:webHidden/>
          </w:rPr>
          <w:fldChar w:fldCharType="separate"/>
        </w:r>
        <w:r w:rsidR="00471863">
          <w:rPr>
            <w:noProof/>
            <w:webHidden/>
          </w:rPr>
          <w:t>146</w:t>
        </w:r>
        <w:r>
          <w:rPr>
            <w:noProof/>
            <w:webHidden/>
          </w:rPr>
          <w:fldChar w:fldCharType="end"/>
        </w:r>
      </w:hyperlink>
    </w:p>
    <w:p w14:paraId="23689CF6" w14:textId="440EC83D"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898" w:history="1">
        <w:r w:rsidRPr="00523974">
          <w:rPr>
            <w:rStyle w:val="Hyperlink"/>
            <w:noProof/>
          </w:rPr>
          <w:t>Remote Australia</w:t>
        </w:r>
        <w:r>
          <w:rPr>
            <w:noProof/>
            <w:webHidden/>
          </w:rPr>
          <w:tab/>
        </w:r>
        <w:r>
          <w:rPr>
            <w:noProof/>
            <w:webHidden/>
          </w:rPr>
          <w:fldChar w:fldCharType="begin"/>
        </w:r>
        <w:r>
          <w:rPr>
            <w:noProof/>
            <w:webHidden/>
          </w:rPr>
          <w:instrText xml:space="preserve"> PAGEREF _Toc202361898 \h </w:instrText>
        </w:r>
        <w:r>
          <w:rPr>
            <w:noProof/>
            <w:webHidden/>
          </w:rPr>
        </w:r>
        <w:r>
          <w:rPr>
            <w:noProof/>
            <w:webHidden/>
          </w:rPr>
          <w:fldChar w:fldCharType="separate"/>
        </w:r>
        <w:r w:rsidR="00471863">
          <w:rPr>
            <w:noProof/>
            <w:webHidden/>
          </w:rPr>
          <w:t>147</w:t>
        </w:r>
        <w:r>
          <w:rPr>
            <w:noProof/>
            <w:webHidden/>
          </w:rPr>
          <w:fldChar w:fldCharType="end"/>
        </w:r>
      </w:hyperlink>
    </w:p>
    <w:p w14:paraId="7F5A4B27" w14:textId="4529B4E2" w:rsidR="001809C9" w:rsidRDefault="001809C9">
      <w:pPr>
        <w:pStyle w:val="TOC1"/>
        <w:tabs>
          <w:tab w:val="right" w:leader="dot" w:pos="9357"/>
        </w:tabs>
        <w:rPr>
          <w:rFonts w:asciiTheme="minorHAnsi" w:eastAsiaTheme="minorEastAsia" w:hAnsiTheme="minorHAnsi"/>
          <w:b w:val="0"/>
          <w:noProof/>
          <w:color w:val="auto"/>
          <w:kern w:val="2"/>
          <w:sz w:val="24"/>
          <w:szCs w:val="24"/>
          <w:lang w:eastAsia="en-AU"/>
          <w14:ligatures w14:val="standardContextual"/>
        </w:rPr>
      </w:pPr>
      <w:hyperlink w:anchor="_Toc202361899" w:history="1">
        <w:r w:rsidRPr="00523974">
          <w:rPr>
            <w:rStyle w:val="Hyperlink"/>
            <w:noProof/>
          </w:rPr>
          <w:t>Appendix 2: Acknowledgements, definitions and references</w:t>
        </w:r>
        <w:r>
          <w:rPr>
            <w:noProof/>
            <w:webHidden/>
          </w:rPr>
          <w:tab/>
        </w:r>
        <w:r>
          <w:rPr>
            <w:noProof/>
            <w:webHidden/>
          </w:rPr>
          <w:fldChar w:fldCharType="begin"/>
        </w:r>
        <w:r>
          <w:rPr>
            <w:noProof/>
            <w:webHidden/>
          </w:rPr>
          <w:instrText xml:space="preserve"> PAGEREF _Toc202361899 \h </w:instrText>
        </w:r>
        <w:r>
          <w:rPr>
            <w:noProof/>
            <w:webHidden/>
          </w:rPr>
        </w:r>
        <w:r>
          <w:rPr>
            <w:noProof/>
            <w:webHidden/>
          </w:rPr>
          <w:fldChar w:fldCharType="separate"/>
        </w:r>
        <w:r w:rsidR="00471863">
          <w:rPr>
            <w:noProof/>
            <w:webHidden/>
          </w:rPr>
          <w:t>150</w:t>
        </w:r>
        <w:r>
          <w:rPr>
            <w:noProof/>
            <w:webHidden/>
          </w:rPr>
          <w:fldChar w:fldCharType="end"/>
        </w:r>
      </w:hyperlink>
    </w:p>
    <w:p w14:paraId="46020370" w14:textId="4BB11859"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900" w:history="1">
        <w:r w:rsidRPr="00523974">
          <w:rPr>
            <w:rStyle w:val="Hyperlink"/>
            <w:noProof/>
          </w:rPr>
          <w:t>Acknowledgements</w:t>
        </w:r>
        <w:r>
          <w:rPr>
            <w:noProof/>
            <w:webHidden/>
          </w:rPr>
          <w:tab/>
        </w:r>
        <w:r>
          <w:rPr>
            <w:noProof/>
            <w:webHidden/>
          </w:rPr>
          <w:fldChar w:fldCharType="begin"/>
        </w:r>
        <w:r>
          <w:rPr>
            <w:noProof/>
            <w:webHidden/>
          </w:rPr>
          <w:instrText xml:space="preserve"> PAGEREF _Toc202361900 \h </w:instrText>
        </w:r>
        <w:r>
          <w:rPr>
            <w:noProof/>
            <w:webHidden/>
          </w:rPr>
        </w:r>
        <w:r>
          <w:rPr>
            <w:noProof/>
            <w:webHidden/>
          </w:rPr>
          <w:fldChar w:fldCharType="separate"/>
        </w:r>
        <w:r w:rsidR="00471863">
          <w:rPr>
            <w:noProof/>
            <w:webHidden/>
          </w:rPr>
          <w:t>150</w:t>
        </w:r>
        <w:r>
          <w:rPr>
            <w:noProof/>
            <w:webHidden/>
          </w:rPr>
          <w:fldChar w:fldCharType="end"/>
        </w:r>
      </w:hyperlink>
    </w:p>
    <w:p w14:paraId="564ACBA8" w14:textId="69AEC659"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901" w:history="1">
        <w:r w:rsidRPr="00523974">
          <w:rPr>
            <w:rStyle w:val="Hyperlink"/>
            <w:noProof/>
          </w:rPr>
          <w:t>Metrics Data Dictionary</w:t>
        </w:r>
        <w:r>
          <w:rPr>
            <w:noProof/>
            <w:webHidden/>
          </w:rPr>
          <w:tab/>
        </w:r>
        <w:r>
          <w:rPr>
            <w:noProof/>
            <w:webHidden/>
          </w:rPr>
          <w:fldChar w:fldCharType="begin"/>
        </w:r>
        <w:r>
          <w:rPr>
            <w:noProof/>
            <w:webHidden/>
          </w:rPr>
          <w:instrText xml:space="preserve"> PAGEREF _Toc202361901 \h </w:instrText>
        </w:r>
        <w:r>
          <w:rPr>
            <w:noProof/>
            <w:webHidden/>
          </w:rPr>
        </w:r>
        <w:r>
          <w:rPr>
            <w:noProof/>
            <w:webHidden/>
          </w:rPr>
          <w:fldChar w:fldCharType="separate"/>
        </w:r>
        <w:r w:rsidR="00471863">
          <w:rPr>
            <w:noProof/>
            <w:webHidden/>
          </w:rPr>
          <w:t>153</w:t>
        </w:r>
        <w:r>
          <w:rPr>
            <w:noProof/>
            <w:webHidden/>
          </w:rPr>
          <w:fldChar w:fldCharType="end"/>
        </w:r>
      </w:hyperlink>
    </w:p>
    <w:p w14:paraId="0E73E26C" w14:textId="14210405"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902" w:history="1">
        <w:r w:rsidRPr="00523974">
          <w:rPr>
            <w:rStyle w:val="Hyperlink"/>
            <w:noProof/>
          </w:rPr>
          <w:t>Definition of Regional Australia</w:t>
        </w:r>
        <w:r>
          <w:rPr>
            <w:noProof/>
            <w:webHidden/>
          </w:rPr>
          <w:tab/>
        </w:r>
        <w:r>
          <w:rPr>
            <w:noProof/>
            <w:webHidden/>
          </w:rPr>
          <w:fldChar w:fldCharType="begin"/>
        </w:r>
        <w:r>
          <w:rPr>
            <w:noProof/>
            <w:webHidden/>
          </w:rPr>
          <w:instrText xml:space="preserve"> PAGEREF _Toc202361902 \h </w:instrText>
        </w:r>
        <w:r>
          <w:rPr>
            <w:noProof/>
            <w:webHidden/>
          </w:rPr>
        </w:r>
        <w:r>
          <w:rPr>
            <w:noProof/>
            <w:webHidden/>
          </w:rPr>
          <w:fldChar w:fldCharType="separate"/>
        </w:r>
        <w:r w:rsidR="00471863">
          <w:rPr>
            <w:noProof/>
            <w:webHidden/>
          </w:rPr>
          <w:t>157</w:t>
        </w:r>
        <w:r>
          <w:rPr>
            <w:noProof/>
            <w:webHidden/>
          </w:rPr>
          <w:fldChar w:fldCharType="end"/>
        </w:r>
      </w:hyperlink>
    </w:p>
    <w:p w14:paraId="0EC1FC6A" w14:textId="19C464B6"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903" w:history="1">
        <w:r w:rsidRPr="00523974">
          <w:rPr>
            <w:rStyle w:val="Hyperlink"/>
            <w:noProof/>
          </w:rPr>
          <w:t>List of Figures</w:t>
        </w:r>
        <w:r>
          <w:rPr>
            <w:noProof/>
            <w:webHidden/>
          </w:rPr>
          <w:tab/>
        </w:r>
        <w:r>
          <w:rPr>
            <w:noProof/>
            <w:webHidden/>
          </w:rPr>
          <w:fldChar w:fldCharType="begin"/>
        </w:r>
        <w:r>
          <w:rPr>
            <w:noProof/>
            <w:webHidden/>
          </w:rPr>
          <w:instrText xml:space="preserve"> PAGEREF _Toc202361903 \h </w:instrText>
        </w:r>
        <w:r>
          <w:rPr>
            <w:noProof/>
            <w:webHidden/>
          </w:rPr>
        </w:r>
        <w:r>
          <w:rPr>
            <w:noProof/>
            <w:webHidden/>
          </w:rPr>
          <w:fldChar w:fldCharType="separate"/>
        </w:r>
        <w:r w:rsidR="00471863">
          <w:rPr>
            <w:noProof/>
            <w:webHidden/>
          </w:rPr>
          <w:t>160</w:t>
        </w:r>
        <w:r>
          <w:rPr>
            <w:noProof/>
            <w:webHidden/>
          </w:rPr>
          <w:fldChar w:fldCharType="end"/>
        </w:r>
      </w:hyperlink>
    </w:p>
    <w:p w14:paraId="42FD244E" w14:textId="3EC7B952" w:rsidR="001809C9" w:rsidRDefault="001809C9">
      <w:pPr>
        <w:pStyle w:val="TOC2"/>
        <w:tabs>
          <w:tab w:val="right" w:leader="dot" w:pos="9357"/>
        </w:tabs>
        <w:rPr>
          <w:rFonts w:asciiTheme="minorHAnsi" w:eastAsiaTheme="minorEastAsia" w:hAnsiTheme="minorHAnsi"/>
          <w:noProof/>
          <w:kern w:val="2"/>
          <w:sz w:val="24"/>
          <w:szCs w:val="24"/>
          <w:lang w:eastAsia="en-AU"/>
          <w14:ligatures w14:val="standardContextual"/>
        </w:rPr>
      </w:pPr>
      <w:hyperlink w:anchor="_Toc202361904" w:history="1">
        <w:r w:rsidRPr="00523974">
          <w:rPr>
            <w:rStyle w:val="Hyperlink"/>
            <w:noProof/>
          </w:rPr>
          <w:t>References</w:t>
        </w:r>
        <w:r>
          <w:rPr>
            <w:noProof/>
            <w:webHidden/>
          </w:rPr>
          <w:tab/>
        </w:r>
        <w:r>
          <w:rPr>
            <w:noProof/>
            <w:webHidden/>
          </w:rPr>
          <w:fldChar w:fldCharType="begin"/>
        </w:r>
        <w:r>
          <w:rPr>
            <w:noProof/>
            <w:webHidden/>
          </w:rPr>
          <w:instrText xml:space="preserve"> PAGEREF _Toc202361904 \h </w:instrText>
        </w:r>
        <w:r>
          <w:rPr>
            <w:noProof/>
            <w:webHidden/>
          </w:rPr>
        </w:r>
        <w:r>
          <w:rPr>
            <w:noProof/>
            <w:webHidden/>
          </w:rPr>
          <w:fldChar w:fldCharType="separate"/>
        </w:r>
        <w:r w:rsidR="00471863">
          <w:rPr>
            <w:noProof/>
            <w:webHidden/>
          </w:rPr>
          <w:t>162</w:t>
        </w:r>
        <w:r>
          <w:rPr>
            <w:noProof/>
            <w:webHidden/>
          </w:rPr>
          <w:fldChar w:fldCharType="end"/>
        </w:r>
      </w:hyperlink>
    </w:p>
    <w:p w14:paraId="4B26AF22" w14:textId="0466AE37" w:rsidR="00C63B04" w:rsidRDefault="00E760A3">
      <w:r>
        <w:fldChar w:fldCharType="end"/>
      </w:r>
    </w:p>
    <w:p w14:paraId="2658E336" w14:textId="69913A75" w:rsidR="005538FC" w:rsidRPr="00E87E01" w:rsidRDefault="00E87E01" w:rsidP="00E87E01">
      <w:pPr>
        <w:spacing w:after="160" w:line="259" w:lineRule="auto"/>
        <w:rPr>
          <w:rFonts w:cs="Arial"/>
          <w:szCs w:val="20"/>
        </w:rPr>
      </w:pPr>
      <w:r>
        <w:rPr>
          <w:rFonts w:cs="Arial"/>
        </w:rPr>
        <w:br w:type="page"/>
      </w:r>
    </w:p>
    <w:p w14:paraId="6BCA903E" w14:textId="3373475E" w:rsidR="00AB6CA6" w:rsidRDefault="00AB6CA6" w:rsidP="00835AA7">
      <w:pPr>
        <w:pStyle w:val="Heading1"/>
      </w:pPr>
      <w:bookmarkStart w:id="3" w:name="_Toc200637121"/>
      <w:bookmarkStart w:id="4" w:name="_Toc201070165"/>
      <w:bookmarkStart w:id="5" w:name="_Toc201919828"/>
      <w:bookmarkStart w:id="6" w:name="_Toc202361856"/>
      <w:r>
        <w:lastRenderedPageBreak/>
        <w:t>Commissioner’s Foreword</w:t>
      </w:r>
      <w:bookmarkEnd w:id="3"/>
      <w:bookmarkEnd w:id="4"/>
      <w:bookmarkEnd w:id="5"/>
      <w:bookmarkEnd w:id="6"/>
    </w:p>
    <w:p w14:paraId="13BA57CD" w14:textId="68160A51" w:rsidR="00A17E59" w:rsidRPr="00A17829" w:rsidRDefault="00A17E59" w:rsidP="002F188F">
      <w:pPr>
        <w:pStyle w:val="BodyText"/>
      </w:pPr>
      <w:r>
        <w:t>T</w:t>
      </w:r>
      <w:r w:rsidRPr="00A17829">
        <w:t>he vast spans of the country that extend beyond our major cities</w:t>
      </w:r>
      <w:r>
        <w:t xml:space="preserve"> </w:t>
      </w:r>
      <w:r w:rsidRPr="00A17829">
        <w:t xml:space="preserve">are vital to the economic and social wellbeing </w:t>
      </w:r>
      <w:r w:rsidR="008A07E7">
        <w:t xml:space="preserve">of </w:t>
      </w:r>
      <w:r w:rsidR="00B22F27">
        <w:t>our</w:t>
      </w:r>
      <w:r w:rsidRPr="00A17829">
        <w:t xml:space="preserve"> nation. </w:t>
      </w:r>
      <w:r>
        <w:t>A</w:t>
      </w:r>
      <w:r w:rsidRPr="00A17829">
        <w:t xml:space="preserve">round </w:t>
      </w:r>
      <w:r>
        <w:t xml:space="preserve">a third </w:t>
      </w:r>
      <w:r w:rsidRPr="00A17829">
        <w:t xml:space="preserve">of working age </w:t>
      </w:r>
      <w:r>
        <w:t xml:space="preserve">Australians </w:t>
      </w:r>
      <w:r w:rsidRPr="00A17829">
        <w:t>live</w:t>
      </w:r>
      <w:r>
        <w:t xml:space="preserve"> </w:t>
      </w:r>
      <w:r w:rsidRPr="00A17829">
        <w:t>in Regional Australia</w:t>
      </w:r>
      <w:r>
        <w:t xml:space="preserve">, which makes it </w:t>
      </w:r>
      <w:r w:rsidRPr="00A17829">
        <w:t xml:space="preserve">a major </w:t>
      </w:r>
      <w:r>
        <w:t xml:space="preserve">part </w:t>
      </w:r>
      <w:r w:rsidRPr="00A17829">
        <w:t xml:space="preserve">of the national jobs and skills system and </w:t>
      </w:r>
      <w:r>
        <w:t>a key focus for Jobs and Skills Australia</w:t>
      </w:r>
      <w:r w:rsidRPr="00A17829">
        <w:t>.</w:t>
      </w:r>
    </w:p>
    <w:p w14:paraId="6EC70945" w14:textId="15D24D83" w:rsidR="00A17E59" w:rsidRDefault="00A17E59" w:rsidP="002F188F">
      <w:pPr>
        <w:pStyle w:val="BodyText"/>
      </w:pPr>
      <w:r w:rsidRPr="00A17829">
        <w:t xml:space="preserve">Given </w:t>
      </w:r>
      <w:r>
        <w:t xml:space="preserve">its </w:t>
      </w:r>
      <w:r w:rsidRPr="00A17829">
        <w:t xml:space="preserve">significance, I </w:t>
      </w:r>
      <w:r>
        <w:t xml:space="preserve">resolved to </w:t>
      </w:r>
      <w:r w:rsidRPr="00A17829">
        <w:t>shine a spotlight on Regional Australia</w:t>
      </w:r>
      <w:r>
        <w:t xml:space="preserve"> </w:t>
      </w:r>
      <w:r w:rsidRPr="00A17829">
        <w:t xml:space="preserve">as part of </w:t>
      </w:r>
      <w:r>
        <w:t xml:space="preserve">JSA’s </w:t>
      </w:r>
      <w:r w:rsidRPr="00A17829">
        <w:t>2024–25 Workplan</w:t>
      </w:r>
      <w:r>
        <w:t xml:space="preserve">. My aim was </w:t>
      </w:r>
      <w:r w:rsidR="00C419E9">
        <w:t xml:space="preserve">for JSA </w:t>
      </w:r>
      <w:r>
        <w:t xml:space="preserve">to provide a more detailed look at the regional jobs and skills related </w:t>
      </w:r>
      <w:r w:rsidR="00C419E9">
        <w:t xml:space="preserve">opportunities and </w:t>
      </w:r>
      <w:r>
        <w:t xml:space="preserve">issues so frequently </w:t>
      </w:r>
      <w:r w:rsidR="00C419E9">
        <w:t>analysed through</w:t>
      </w:r>
      <w:r>
        <w:t xml:space="preserve"> JSA’s ongoing program of work. </w:t>
      </w:r>
    </w:p>
    <w:p w14:paraId="1453EB9B" w14:textId="62456EFA" w:rsidR="00DA0F1A" w:rsidRDefault="00180E28" w:rsidP="002F188F">
      <w:pPr>
        <w:pStyle w:val="BodyText"/>
      </w:pPr>
      <w:r>
        <w:t xml:space="preserve">JSA’s </w:t>
      </w:r>
      <w:r w:rsidR="00A17E59">
        <w:t xml:space="preserve">Jobs and Skills Roadmap for Regional Australia </w:t>
      </w:r>
      <w:r w:rsidR="00DA0F1A">
        <w:t xml:space="preserve">does just that. It </w:t>
      </w:r>
      <w:r w:rsidR="00A17E59">
        <w:t>provides a</w:t>
      </w:r>
      <w:r w:rsidR="004D6ABE">
        <w:t>n overarching</w:t>
      </w:r>
      <w:r w:rsidR="00A17E59">
        <w:t xml:space="preserve"> strategic </w:t>
      </w:r>
      <w:r w:rsidR="004D6ABE">
        <w:t>framework</w:t>
      </w:r>
      <w:r w:rsidR="00A17E59">
        <w:t xml:space="preserve"> for Australia’s regional jobs and skills system with a clear vision that aims to </w:t>
      </w:r>
      <w:r w:rsidR="00A43EE8">
        <w:t>enhance</w:t>
      </w:r>
      <w:r w:rsidR="00A17E59">
        <w:t xml:space="preserve"> the equity, effectiveness and efficiency of </w:t>
      </w:r>
      <w:r w:rsidR="00DF1CBF">
        <w:t xml:space="preserve">the </w:t>
      </w:r>
      <w:r w:rsidR="00A17E59">
        <w:t xml:space="preserve">system across </w:t>
      </w:r>
      <w:r w:rsidR="00DF1CBF">
        <w:t>R</w:t>
      </w:r>
      <w:r w:rsidR="00A17E59">
        <w:t>egional Australia</w:t>
      </w:r>
      <w:r w:rsidR="004D6ABE">
        <w:t>,</w:t>
      </w:r>
      <w:r w:rsidR="00A17E59">
        <w:t xml:space="preserve"> both now and into the future.</w:t>
      </w:r>
      <w:r w:rsidR="00C419E9" w:rsidRPr="00C419E9">
        <w:t xml:space="preserve"> </w:t>
      </w:r>
    </w:p>
    <w:p w14:paraId="7B68BD44" w14:textId="6B828098" w:rsidR="006B1450" w:rsidRDefault="006B1450" w:rsidP="002F188F">
      <w:pPr>
        <w:pStyle w:val="BodyText"/>
      </w:pPr>
      <w:r>
        <w:t xml:space="preserve">This national framework </w:t>
      </w:r>
      <w:r w:rsidR="004D6ABE">
        <w:t>and</w:t>
      </w:r>
      <w:r>
        <w:t xml:space="preserve"> vision for Regional Australia </w:t>
      </w:r>
      <w:r w:rsidR="004D6ABE">
        <w:t xml:space="preserve">is </w:t>
      </w:r>
      <w:r>
        <w:t xml:space="preserve">underpinned by </w:t>
      </w:r>
      <w:r w:rsidR="00D53AD3">
        <w:t>5</w:t>
      </w:r>
      <w:r>
        <w:t xml:space="preserve"> vision principles and</w:t>
      </w:r>
      <w:r w:rsidR="00DF1CBF">
        <w:t xml:space="preserve"> a number of evaluative</w:t>
      </w:r>
      <w:r>
        <w:t xml:space="preserve"> measures to monitor progress a</w:t>
      </w:r>
      <w:r w:rsidR="004D6ABE">
        <w:t xml:space="preserve">nd </w:t>
      </w:r>
      <w:r w:rsidR="00DF1CBF">
        <w:t xml:space="preserve">is </w:t>
      </w:r>
      <w:r w:rsidR="004D6ABE">
        <w:t>supported by</w:t>
      </w:r>
      <w:r>
        <w:t xml:space="preserve"> a </w:t>
      </w:r>
      <w:r w:rsidR="004D6ABE">
        <w:t xml:space="preserve">key list </w:t>
      </w:r>
      <w:r w:rsidR="00DF1CBF">
        <w:t xml:space="preserve">of </w:t>
      </w:r>
      <w:r>
        <w:t xml:space="preserve">policy design </w:t>
      </w:r>
      <w:r w:rsidR="004D6ABE">
        <w:t>principles</w:t>
      </w:r>
      <w:r>
        <w:t xml:space="preserve"> and emerging areas </w:t>
      </w:r>
      <w:r w:rsidR="009B16E4">
        <w:t xml:space="preserve">of potential </w:t>
      </w:r>
      <w:r>
        <w:t xml:space="preserve">action to drive change. </w:t>
      </w:r>
      <w:r w:rsidR="00A17E59">
        <w:t>This is an ambitious vision</w:t>
      </w:r>
      <w:r w:rsidR="009B16E4">
        <w:t>,</w:t>
      </w:r>
      <w:r w:rsidR="00A17E59">
        <w:t xml:space="preserve"> but one I truly believe is achievable. </w:t>
      </w:r>
    </w:p>
    <w:p w14:paraId="22A7318A" w14:textId="52F9B323" w:rsidR="00A17E59" w:rsidRDefault="00A17E59" w:rsidP="002F188F">
      <w:pPr>
        <w:pStyle w:val="BodyText"/>
      </w:pPr>
      <w:r>
        <w:t xml:space="preserve">As the regional jobs and skills system involves many different stakeholders and various shared responsibilities, it will require collaboration. </w:t>
      </w:r>
      <w:r w:rsidR="00DA0F1A">
        <w:t xml:space="preserve">JSA is thankful </w:t>
      </w:r>
      <w:r w:rsidR="006B1450">
        <w:t xml:space="preserve">for the significant input from stakeholders across </w:t>
      </w:r>
      <w:r w:rsidR="00921193">
        <w:t>R</w:t>
      </w:r>
      <w:r w:rsidR="006B1450">
        <w:t xml:space="preserve">egional Australia and the jobs and skills system at large which have shaped and informed the report. Many regional voices and case studies have been highlighted in the report, but the </w:t>
      </w:r>
      <w:r w:rsidR="00C96C30">
        <w:t>experiences of stakeholders</w:t>
      </w:r>
      <w:r w:rsidR="006B1450">
        <w:t xml:space="preserve"> </w:t>
      </w:r>
      <w:r w:rsidR="00DF2718">
        <w:t>across Australia</w:t>
      </w:r>
      <w:r w:rsidR="006B1450">
        <w:t xml:space="preserve"> underpin the entire Roadmap.</w:t>
      </w:r>
    </w:p>
    <w:p w14:paraId="734C5CF5" w14:textId="22F4791F" w:rsidR="00A17E59" w:rsidRDefault="00A17E59" w:rsidP="002F188F">
      <w:pPr>
        <w:pStyle w:val="BodyText"/>
      </w:pPr>
      <w:r>
        <w:t>The critical need for collaboration in achieving our vision has necessitated a phased approach to the delivery of JSA’s Jobs and Skills Roadmap</w:t>
      </w:r>
      <w:r w:rsidR="00B02E5B">
        <w:t xml:space="preserve"> for Regional Australia</w:t>
      </w:r>
      <w:r>
        <w:t xml:space="preserve">. In coming months, this report will form the basis for an extensive consultation, including a public submission process and series of roundtables across </w:t>
      </w:r>
      <w:r w:rsidR="006B1450">
        <w:t>Regional Australia</w:t>
      </w:r>
      <w:r>
        <w:t xml:space="preserve"> to test the framework and develop possible actions and commitments. </w:t>
      </w:r>
      <w:r w:rsidR="00C96C30">
        <w:t>A second report will subsequently be delivered to build on this important work.</w:t>
      </w:r>
    </w:p>
    <w:p w14:paraId="2D31E84D" w14:textId="5CF901B3" w:rsidR="006B1450" w:rsidRDefault="00A17E59" w:rsidP="002F188F">
      <w:pPr>
        <w:pStyle w:val="BodyText"/>
      </w:pPr>
      <w:r>
        <w:t xml:space="preserve">I am thankful for the work of JSA Deputy Commissioner Megan Lilly in leading the delivery of this report, as well as the significant contributions of JSA </w:t>
      </w:r>
      <w:r w:rsidR="00D11DE6">
        <w:t xml:space="preserve">staff </w:t>
      </w:r>
      <w:r w:rsidR="003E2F19">
        <w:t xml:space="preserve">including </w:t>
      </w:r>
      <w:r w:rsidR="00253622">
        <w:t>Peter Lake</w:t>
      </w:r>
      <w:r>
        <w:t xml:space="preserve">, and former JSA Commissioner Professor Peter Dawkins AO, who was a special advisor for this project. </w:t>
      </w:r>
    </w:p>
    <w:p w14:paraId="7B8E9DD6" w14:textId="2AB247E6" w:rsidR="00AB6CA6" w:rsidRDefault="00A17E59" w:rsidP="002F188F">
      <w:pPr>
        <w:pStyle w:val="BodyText"/>
      </w:pPr>
      <w:r>
        <w:t xml:space="preserve">I also express my appreciation for JSA’s </w:t>
      </w:r>
      <w:r w:rsidR="00180E28">
        <w:t xml:space="preserve">Ministerial Advisory Board and </w:t>
      </w:r>
      <w:r>
        <w:t>Regional Advisory Group who were instrumental in providing considered advice and expert input to this report.</w:t>
      </w:r>
    </w:p>
    <w:p w14:paraId="30449AA2" w14:textId="77777777" w:rsidR="00FA07AA" w:rsidRDefault="00FA07AA">
      <w:pPr>
        <w:spacing w:after="160" w:line="259" w:lineRule="auto"/>
        <w:rPr>
          <w:b/>
          <w:bCs/>
        </w:rPr>
      </w:pPr>
    </w:p>
    <w:p w14:paraId="111FABDB" w14:textId="4AFB9309" w:rsidR="00AB6CA6" w:rsidRDefault="00C852E2">
      <w:pPr>
        <w:spacing w:after="160" w:line="259" w:lineRule="auto"/>
        <w:rPr>
          <w:b/>
          <w:bCs/>
        </w:rPr>
      </w:pPr>
      <w:r>
        <w:rPr>
          <w:b/>
          <w:bCs/>
        </w:rPr>
        <w:t>Professor Barney Glover</w:t>
      </w:r>
      <w:r w:rsidR="0088490E">
        <w:rPr>
          <w:b/>
          <w:bCs/>
        </w:rPr>
        <w:t>,</w:t>
      </w:r>
      <w:r>
        <w:rPr>
          <w:b/>
          <w:bCs/>
        </w:rPr>
        <w:t xml:space="preserve"> AO</w:t>
      </w:r>
    </w:p>
    <w:p w14:paraId="39BDCBEC" w14:textId="0CA29CCE" w:rsidR="00C852E2" w:rsidRPr="00C852E2" w:rsidRDefault="00C852E2">
      <w:pPr>
        <w:spacing w:after="160" w:line="259" w:lineRule="auto"/>
      </w:pPr>
      <w:r w:rsidRPr="00C852E2">
        <w:t>Commissioner</w:t>
      </w:r>
    </w:p>
    <w:p w14:paraId="4FB6261F" w14:textId="357EB697" w:rsidR="00C852E2" w:rsidRPr="00C852E2" w:rsidRDefault="00C852E2">
      <w:pPr>
        <w:spacing w:after="160" w:line="259" w:lineRule="auto"/>
      </w:pPr>
      <w:r w:rsidRPr="00C852E2">
        <w:t>Jobs and Skills Australia</w:t>
      </w:r>
    </w:p>
    <w:p w14:paraId="244F407F" w14:textId="77777777" w:rsidR="00AB6CA6" w:rsidRDefault="00AB6CA6">
      <w:pPr>
        <w:spacing w:after="160" w:line="259" w:lineRule="auto"/>
      </w:pPr>
    </w:p>
    <w:p w14:paraId="13760214" w14:textId="469310C3" w:rsidR="00D95E9A" w:rsidRDefault="002077E8" w:rsidP="002077E8">
      <w:pPr>
        <w:pStyle w:val="Heading1"/>
      </w:pPr>
      <w:bookmarkStart w:id="7" w:name="_Toc200637122"/>
      <w:bookmarkStart w:id="8" w:name="_Toc201070166"/>
      <w:bookmarkStart w:id="9" w:name="_Toc201919829"/>
      <w:bookmarkStart w:id="10" w:name="_Toc202361857"/>
      <w:r>
        <w:lastRenderedPageBreak/>
        <w:t>Executive Summary</w:t>
      </w:r>
      <w:bookmarkEnd w:id="7"/>
      <w:bookmarkEnd w:id="8"/>
      <w:bookmarkEnd w:id="9"/>
      <w:bookmarkEnd w:id="10"/>
    </w:p>
    <w:p w14:paraId="2E450E62" w14:textId="77777777" w:rsidR="00560DAC" w:rsidRPr="00BA67E0" w:rsidRDefault="00560DAC" w:rsidP="008C29CA">
      <w:pPr>
        <w:pStyle w:val="Heading11"/>
      </w:pPr>
      <w:bookmarkStart w:id="11" w:name="_Toc199337386"/>
      <w:bookmarkStart w:id="12" w:name="_Toc200637123"/>
      <w:bookmarkStart w:id="13" w:name="_Toc201070167"/>
      <w:bookmarkStart w:id="14" w:name="_Toc201919830"/>
      <w:bookmarkStart w:id="15" w:name="_Toc202361858"/>
      <w:r w:rsidRPr="00550CD9">
        <w:t>The Purpose of the Roadmap</w:t>
      </w:r>
      <w:bookmarkEnd w:id="11"/>
      <w:bookmarkEnd w:id="12"/>
      <w:bookmarkEnd w:id="13"/>
      <w:bookmarkEnd w:id="14"/>
      <w:bookmarkEnd w:id="15"/>
    </w:p>
    <w:p w14:paraId="02EEDEC6" w14:textId="5441A3CD" w:rsidR="00CD0DFD" w:rsidRPr="00200B13" w:rsidRDefault="00CD0DFD" w:rsidP="00544F36">
      <w:pPr>
        <w:pStyle w:val="BodyText"/>
        <w:rPr>
          <w:lang w:val="en-US"/>
        </w:rPr>
      </w:pPr>
      <w:r w:rsidRPr="00200B13">
        <w:rPr>
          <w:lang w:val="en-US"/>
        </w:rPr>
        <w:t>The purpose of Jobs and Skills Australia’s (JSA’s) Regional Roadmap is to provide an enduring, shared and overarching framework that empowers</w:t>
      </w:r>
      <w:r w:rsidRPr="00200B13">
        <w:rPr>
          <w:color w:val="FF0000"/>
          <w:lang w:val="en-US"/>
        </w:rPr>
        <w:t xml:space="preserve"> </w:t>
      </w:r>
      <w:r w:rsidRPr="00200B13">
        <w:rPr>
          <w:lang w:val="en-US"/>
        </w:rPr>
        <w:t xml:space="preserve">stakeholders to work collaboratively to </w:t>
      </w:r>
      <w:r w:rsidR="00A43EE8">
        <w:rPr>
          <w:lang w:val="en-US"/>
        </w:rPr>
        <w:t>improve</w:t>
      </w:r>
      <w:r w:rsidRPr="00200B13">
        <w:rPr>
          <w:lang w:val="en-US"/>
        </w:rPr>
        <w:t xml:space="preserve"> the equity, effectiveness and efficiency of the jobs and skills system across </w:t>
      </w:r>
      <w:r w:rsidR="0044444C">
        <w:rPr>
          <w:lang w:val="en-US"/>
        </w:rPr>
        <w:t>R</w:t>
      </w:r>
      <w:r w:rsidRPr="00200B13">
        <w:rPr>
          <w:lang w:val="en-US"/>
        </w:rPr>
        <w:t>egional Australia</w:t>
      </w:r>
      <w:r w:rsidR="005225E4">
        <w:rPr>
          <w:lang w:val="en-US"/>
        </w:rPr>
        <w:t>,</w:t>
      </w:r>
      <w:r w:rsidRPr="00200B13">
        <w:rPr>
          <w:lang w:val="en-US"/>
        </w:rPr>
        <w:t xml:space="preserve"> both now and into the future.</w:t>
      </w:r>
    </w:p>
    <w:p w14:paraId="6BCC1361" w14:textId="2A8E06BB" w:rsidR="00C50186" w:rsidRPr="00C50186" w:rsidRDefault="00C50186" w:rsidP="00544F36">
      <w:pPr>
        <w:pStyle w:val="BodyText"/>
      </w:pPr>
      <w:r>
        <w:t xml:space="preserve">The </w:t>
      </w:r>
      <w:r>
        <w:rPr>
          <w:i/>
          <w:iCs/>
        </w:rPr>
        <w:t xml:space="preserve">Regional, Rural and Remote Jobs and Skills Roadmap </w:t>
      </w:r>
      <w:r>
        <w:t>interim report</w:t>
      </w:r>
      <w:r w:rsidR="008639F7">
        <w:t>, published in October 2024</w:t>
      </w:r>
      <w:r w:rsidR="002619CA">
        <w:t>,</w:t>
      </w:r>
      <w:r>
        <w:t xml:space="preserve"> was the first </w:t>
      </w:r>
      <w:r w:rsidR="002619CA">
        <w:t>step</w:t>
      </w:r>
      <w:r>
        <w:t xml:space="preserve"> in the development of such a roadmap. Focusing on the unique experiences and perspectives of Australians who live and work outside Major Cities, the interim report presented preliminary data and analysis on the trends shaping regional labour markets and provided a basis for engagement in delivering the roadmap. </w:t>
      </w:r>
    </w:p>
    <w:p w14:paraId="1EFCB09F" w14:textId="77777777" w:rsidR="00865936" w:rsidRDefault="00CD0DFD" w:rsidP="00544F36">
      <w:pPr>
        <w:pStyle w:val="BodyText"/>
        <w:rPr>
          <w:lang w:val="en-US"/>
        </w:rPr>
      </w:pPr>
      <w:r w:rsidRPr="00200B13">
        <w:rPr>
          <w:lang w:val="en-US"/>
        </w:rPr>
        <w:t xml:space="preserve">Phase 1 of the Roadmap </w:t>
      </w:r>
      <w:r w:rsidR="00200B13" w:rsidRPr="00200B13">
        <w:rPr>
          <w:lang w:val="en-US"/>
        </w:rPr>
        <w:t>(this Report)</w:t>
      </w:r>
      <w:r w:rsidR="00C50186">
        <w:rPr>
          <w:lang w:val="en-US"/>
        </w:rPr>
        <w:t xml:space="preserve"> builds upon the interim report </w:t>
      </w:r>
      <w:r w:rsidR="002619CA">
        <w:rPr>
          <w:lang w:val="en-US"/>
        </w:rPr>
        <w:t>and</w:t>
      </w:r>
      <w:r w:rsidRPr="00200B13">
        <w:rPr>
          <w:lang w:val="en-US"/>
        </w:rPr>
        <w:t xml:space="preserve"> provide</w:t>
      </w:r>
      <w:r w:rsidR="002619CA">
        <w:rPr>
          <w:lang w:val="en-US"/>
        </w:rPr>
        <w:t>s</w:t>
      </w:r>
      <w:r w:rsidRPr="00200B13">
        <w:rPr>
          <w:lang w:val="en-US"/>
        </w:rPr>
        <w:t xml:space="preserve"> an overarching national framework, identif</w:t>
      </w:r>
      <w:r w:rsidR="00AB3670">
        <w:rPr>
          <w:lang w:val="en-US"/>
        </w:rPr>
        <w:t>ies</w:t>
      </w:r>
      <w:r w:rsidRPr="00200B13">
        <w:rPr>
          <w:lang w:val="en-US"/>
        </w:rPr>
        <w:t xml:space="preserve"> system-wide priorities to enable progress towards the vision, and offer</w:t>
      </w:r>
      <w:r w:rsidR="00AB3670">
        <w:rPr>
          <w:lang w:val="en-US"/>
        </w:rPr>
        <w:t>s</w:t>
      </w:r>
      <w:r w:rsidRPr="00200B13">
        <w:rPr>
          <w:lang w:val="en-US"/>
        </w:rPr>
        <w:t xml:space="preserve"> a starting point for fostering local conversations, planning and actions to enable each region of each State and Territory</w:t>
      </w:r>
      <w:r>
        <w:rPr>
          <w:lang w:val="en-US"/>
        </w:rPr>
        <w:t xml:space="preserve"> </w:t>
      </w:r>
      <w:r w:rsidR="00200B13">
        <w:rPr>
          <w:lang w:val="en-US"/>
        </w:rPr>
        <w:t>and region</w:t>
      </w:r>
      <w:r w:rsidRPr="00200B13">
        <w:rPr>
          <w:lang w:val="en-US"/>
        </w:rPr>
        <w:t xml:space="preserve"> to also progress towards the vision. </w:t>
      </w:r>
    </w:p>
    <w:p w14:paraId="20E4F812" w14:textId="6C252478" w:rsidR="00CD0DFD" w:rsidRPr="00200B13" w:rsidRDefault="0094600A" w:rsidP="00544F36">
      <w:pPr>
        <w:pStyle w:val="BodyText"/>
        <w:rPr>
          <w:lang w:val="en-US"/>
        </w:rPr>
      </w:pPr>
      <w:r>
        <w:rPr>
          <w:lang w:val="en-US"/>
        </w:rPr>
        <w:t>This process will be underpinned by a public stakeholder submission process and roundtables across Regional Australia</w:t>
      </w:r>
      <w:r w:rsidR="00865936">
        <w:rPr>
          <w:lang w:val="en-US"/>
        </w:rPr>
        <w:t xml:space="preserve"> in the second half of 2025</w:t>
      </w:r>
      <w:r>
        <w:rPr>
          <w:lang w:val="en-US"/>
        </w:rPr>
        <w:t xml:space="preserve">. </w:t>
      </w:r>
      <w:r w:rsidR="00F31DDF">
        <w:rPr>
          <w:lang w:val="en-US"/>
        </w:rPr>
        <w:t xml:space="preserve">A Phase 2 Report will be subsequently published by JSA to reflect this </w:t>
      </w:r>
      <w:r w:rsidR="00865936">
        <w:rPr>
          <w:lang w:val="en-US"/>
        </w:rPr>
        <w:t xml:space="preserve">further </w:t>
      </w:r>
      <w:r>
        <w:rPr>
          <w:lang w:val="en-US"/>
        </w:rPr>
        <w:t>engagement and feedback.</w:t>
      </w:r>
    </w:p>
    <w:p w14:paraId="0B0D8F7B" w14:textId="27D25F64" w:rsidR="00CD0DFD" w:rsidRPr="00B4021F" w:rsidRDefault="00CD0DFD" w:rsidP="00CD448B">
      <w:pPr>
        <w:pStyle w:val="Heading11"/>
      </w:pPr>
      <w:bookmarkStart w:id="16" w:name="_Toc200637124"/>
      <w:bookmarkStart w:id="17" w:name="_Toc201070168"/>
      <w:bookmarkStart w:id="18" w:name="_Toc201919831"/>
      <w:bookmarkStart w:id="19" w:name="_Toc202361859"/>
      <w:r w:rsidRPr="00B4021F">
        <w:t>Wh</w:t>
      </w:r>
      <w:r w:rsidR="00200B13" w:rsidRPr="00B4021F">
        <w:t>ere</w:t>
      </w:r>
      <w:r w:rsidRPr="00B4021F">
        <w:t xml:space="preserve"> is Regional Australia?</w:t>
      </w:r>
      <w:bookmarkEnd w:id="16"/>
      <w:bookmarkEnd w:id="17"/>
      <w:bookmarkEnd w:id="18"/>
      <w:bookmarkEnd w:id="19"/>
    </w:p>
    <w:p w14:paraId="224609FF" w14:textId="5B28E0D0" w:rsidR="00CD0DFD" w:rsidRPr="00FF5324" w:rsidRDefault="00CD0DFD" w:rsidP="00544F36">
      <w:pPr>
        <w:pStyle w:val="BodyText"/>
        <w:rPr>
          <w:lang w:val="en-US"/>
        </w:rPr>
      </w:pPr>
      <w:r w:rsidRPr="00FF5324">
        <w:rPr>
          <w:lang w:val="en-US"/>
        </w:rPr>
        <w:t xml:space="preserve">For the purposes of this Roadmap, Regional Australia is defined as all regions in Australia except for those in the </w:t>
      </w:r>
      <w:r w:rsidR="005E390E">
        <w:rPr>
          <w:lang w:val="en-US"/>
        </w:rPr>
        <w:t>Major Cities</w:t>
      </w:r>
      <w:r w:rsidRPr="00FF5324">
        <w:rPr>
          <w:lang w:val="en-US"/>
        </w:rPr>
        <w:t xml:space="preserve"> of Sydney, Melbourne, Brisbane, Adelaide and Perth and the Australia</w:t>
      </w:r>
      <w:r w:rsidR="00164C2E">
        <w:rPr>
          <w:lang w:val="en-US"/>
        </w:rPr>
        <w:t>n</w:t>
      </w:r>
      <w:r w:rsidRPr="00FF5324">
        <w:rPr>
          <w:lang w:val="en-US"/>
        </w:rPr>
        <w:t xml:space="preserve"> Capita</w:t>
      </w:r>
      <w:r w:rsidR="00164C2E">
        <w:rPr>
          <w:lang w:val="en-US"/>
        </w:rPr>
        <w:t>l</w:t>
      </w:r>
      <w:r w:rsidRPr="00FF5324">
        <w:rPr>
          <w:lang w:val="en-US"/>
        </w:rPr>
        <w:t xml:space="preserve"> Territory (ACT). </w:t>
      </w:r>
    </w:p>
    <w:p w14:paraId="7D15923B" w14:textId="77777777" w:rsidR="00CD0DFD" w:rsidRPr="008E3BA1" w:rsidRDefault="00CD0DFD" w:rsidP="00544F36">
      <w:pPr>
        <w:pStyle w:val="Heading11"/>
        <w:rPr>
          <w:sz w:val="24"/>
          <w:highlight w:val="yellow"/>
          <w:lang w:val="en-US"/>
        </w:rPr>
      </w:pPr>
      <w:bookmarkStart w:id="20" w:name="_Toc200637125"/>
      <w:bookmarkStart w:id="21" w:name="_Toc201070169"/>
      <w:bookmarkStart w:id="22" w:name="_Toc201919832"/>
      <w:bookmarkStart w:id="23" w:name="_Toc202361860"/>
      <w:r w:rsidRPr="00816459">
        <w:rPr>
          <w:lang w:val="en-US"/>
        </w:rPr>
        <w:t>What is the Regional Jobs and Skills System?</w:t>
      </w:r>
      <w:bookmarkEnd w:id="20"/>
      <w:bookmarkEnd w:id="21"/>
      <w:bookmarkEnd w:id="22"/>
      <w:bookmarkEnd w:id="23"/>
    </w:p>
    <w:p w14:paraId="61E8D453" w14:textId="3DDE6574" w:rsidR="00014019" w:rsidRDefault="00014019" w:rsidP="003061D1">
      <w:pPr>
        <w:pStyle w:val="BodyText"/>
        <w:rPr>
          <w:lang w:val="en-US"/>
        </w:rPr>
      </w:pPr>
      <w:r w:rsidRPr="00816459">
        <w:rPr>
          <w:lang w:val="en-US"/>
        </w:rPr>
        <w:t xml:space="preserve">The jobs and skills system incorporates the education, training and skills system, the migration system and the jobs and labour market itself. In each of these sub-systems, there are a range of government and non-government stakeholders responsible for the design, delivery and coordination of the system. Conceptually, the regional jobs and skills system is that part of the system that operates for and in </w:t>
      </w:r>
      <w:r w:rsidR="00EB196B">
        <w:rPr>
          <w:lang w:val="en-US"/>
        </w:rPr>
        <w:t>R</w:t>
      </w:r>
      <w:r w:rsidRPr="00816459">
        <w:rPr>
          <w:lang w:val="en-US"/>
        </w:rPr>
        <w:t xml:space="preserve">egional Australia. Much of it is </w:t>
      </w:r>
      <w:r>
        <w:rPr>
          <w:lang w:val="en-US"/>
        </w:rPr>
        <w:t xml:space="preserve">a shared </w:t>
      </w:r>
      <w:r w:rsidRPr="00816459">
        <w:rPr>
          <w:lang w:val="en-US"/>
        </w:rPr>
        <w:t xml:space="preserve">system that also applies to </w:t>
      </w:r>
      <w:r w:rsidR="003558D5">
        <w:rPr>
          <w:lang w:val="en-US"/>
        </w:rPr>
        <w:t>the Major Cities</w:t>
      </w:r>
      <w:r w:rsidRPr="00816459">
        <w:rPr>
          <w:lang w:val="en-US"/>
        </w:rPr>
        <w:t xml:space="preserve">, </w:t>
      </w:r>
      <w:r>
        <w:rPr>
          <w:lang w:val="en-US"/>
        </w:rPr>
        <w:t>which tailors to varying degrees how</w:t>
      </w:r>
      <w:r w:rsidRPr="00816459">
        <w:rPr>
          <w:lang w:val="en-US"/>
        </w:rPr>
        <w:t xml:space="preserve"> it operates in </w:t>
      </w:r>
      <w:r>
        <w:rPr>
          <w:lang w:val="en-US"/>
        </w:rPr>
        <w:t>R</w:t>
      </w:r>
      <w:r w:rsidRPr="00816459">
        <w:rPr>
          <w:lang w:val="en-US"/>
        </w:rPr>
        <w:t xml:space="preserve">egional Australia. </w:t>
      </w:r>
    </w:p>
    <w:p w14:paraId="3C2660CD" w14:textId="6417F505" w:rsidR="00014019" w:rsidRPr="0084578C" w:rsidRDefault="00014019" w:rsidP="003061D1">
      <w:pPr>
        <w:pStyle w:val="BodyText"/>
        <w:rPr>
          <w:rFonts w:cs="Arial"/>
        </w:rPr>
      </w:pPr>
      <w:r w:rsidRPr="009743E1">
        <w:rPr>
          <w:rFonts w:cs="Arial"/>
        </w:rPr>
        <w:t xml:space="preserve">There are a number of </w:t>
      </w:r>
      <w:r>
        <w:rPr>
          <w:rFonts w:cs="Arial"/>
        </w:rPr>
        <w:t xml:space="preserve">key </w:t>
      </w:r>
      <w:r w:rsidRPr="009743E1">
        <w:rPr>
          <w:rFonts w:cs="Arial"/>
        </w:rPr>
        <w:t xml:space="preserve">factors and features that </w:t>
      </w:r>
      <w:r>
        <w:rPr>
          <w:rFonts w:cs="Arial"/>
        </w:rPr>
        <w:t xml:space="preserve">mean </w:t>
      </w:r>
      <w:r w:rsidRPr="009743E1">
        <w:rPr>
          <w:rFonts w:cs="Arial"/>
        </w:rPr>
        <w:t xml:space="preserve">the jobs and skills system </w:t>
      </w:r>
      <w:r>
        <w:rPr>
          <w:rFonts w:cs="Arial"/>
        </w:rPr>
        <w:t xml:space="preserve">needs to </w:t>
      </w:r>
      <w:r w:rsidRPr="009743E1">
        <w:rPr>
          <w:rFonts w:cs="Arial"/>
        </w:rPr>
        <w:t>operate differ</w:t>
      </w:r>
      <w:r>
        <w:rPr>
          <w:rFonts w:cs="Arial"/>
        </w:rPr>
        <w:t>ently in Regional Australia</w:t>
      </w:r>
      <w:r w:rsidRPr="009743E1">
        <w:rPr>
          <w:rFonts w:cs="Arial"/>
        </w:rPr>
        <w:t xml:space="preserve"> when compared with the Major Cities. In particular, Regional Australia </w:t>
      </w:r>
      <w:r w:rsidR="00AF08C4">
        <w:rPr>
          <w:rFonts w:cs="Arial"/>
        </w:rPr>
        <w:t>has</w:t>
      </w:r>
      <w:r w:rsidRPr="009743E1">
        <w:rPr>
          <w:rFonts w:cs="Arial"/>
        </w:rPr>
        <w:t xml:space="preserve"> a more </w:t>
      </w:r>
      <w:r>
        <w:rPr>
          <w:rFonts w:cs="Arial"/>
        </w:rPr>
        <w:t xml:space="preserve">geographically </w:t>
      </w:r>
      <w:r w:rsidRPr="009743E1">
        <w:rPr>
          <w:rFonts w:cs="Arial"/>
        </w:rPr>
        <w:t>dispersed population</w:t>
      </w:r>
      <w:r>
        <w:rPr>
          <w:rFonts w:cs="Arial"/>
        </w:rPr>
        <w:t>, which</w:t>
      </w:r>
      <w:r w:rsidRPr="009743E1">
        <w:rPr>
          <w:rFonts w:cs="Arial"/>
        </w:rPr>
        <w:t xml:space="preserve"> leads to higher costs of delivery and an enduring challenge to ensure equity of access to programs and services for individuals and employers in Regional Australia. The skills needs in Regional Australia also differ to those in </w:t>
      </w:r>
      <w:r w:rsidR="002F38AA">
        <w:rPr>
          <w:rFonts w:cs="Arial"/>
        </w:rPr>
        <w:t>Major Cities</w:t>
      </w:r>
      <w:r w:rsidRPr="009743E1">
        <w:rPr>
          <w:rFonts w:cs="Arial"/>
        </w:rPr>
        <w:t>.</w:t>
      </w:r>
    </w:p>
    <w:p w14:paraId="6E337FA0" w14:textId="77777777" w:rsidR="00CD0DFD" w:rsidRPr="00816459" w:rsidRDefault="00CD0DFD" w:rsidP="003061D1">
      <w:pPr>
        <w:pStyle w:val="Heading11"/>
        <w:rPr>
          <w:lang w:val="en-US"/>
        </w:rPr>
      </w:pPr>
      <w:bookmarkStart w:id="24" w:name="_Toc200637126"/>
      <w:bookmarkStart w:id="25" w:name="_Toc201070170"/>
      <w:bookmarkStart w:id="26" w:name="_Toc201919833"/>
      <w:bookmarkStart w:id="27" w:name="_Toc202361861"/>
      <w:r w:rsidRPr="00816459">
        <w:rPr>
          <w:lang w:val="en-US"/>
        </w:rPr>
        <w:lastRenderedPageBreak/>
        <w:t>Overarching Vision for the Regional Skills System</w:t>
      </w:r>
      <w:bookmarkEnd w:id="24"/>
      <w:bookmarkEnd w:id="25"/>
      <w:bookmarkEnd w:id="26"/>
      <w:bookmarkEnd w:id="27"/>
      <w:r w:rsidRPr="00816459">
        <w:rPr>
          <w:lang w:val="en-US"/>
        </w:rPr>
        <w:t xml:space="preserve"> </w:t>
      </w:r>
    </w:p>
    <w:tbl>
      <w:tblPr>
        <w:tblStyle w:val="CustomTablepulloutbox"/>
        <w:tblW w:w="0" w:type="auto"/>
        <w:tblLook w:val="04A0" w:firstRow="1" w:lastRow="0" w:firstColumn="1" w:lastColumn="0" w:noHBand="0" w:noVBand="1"/>
      </w:tblPr>
      <w:tblGrid>
        <w:gridCol w:w="8997"/>
      </w:tblGrid>
      <w:tr w:rsidR="001A14A7" w14:paraId="7C3A42F4" w14:textId="77777777">
        <w:tc>
          <w:tcPr>
            <w:tcW w:w="8997" w:type="dxa"/>
          </w:tcPr>
          <w:p w14:paraId="2DF4525A" w14:textId="77777777" w:rsidR="001A14A7" w:rsidRPr="001E6F4E" w:rsidRDefault="001A14A7">
            <w:pPr>
              <w:pStyle w:val="BoxHeading"/>
            </w:pPr>
            <w:r w:rsidRPr="001E6F4E">
              <w:t>JSA’s vision for the jobs and skills system in Regional Australia</w:t>
            </w:r>
          </w:p>
          <w:p w14:paraId="1108087C" w14:textId="77777777" w:rsidR="001A14A7" w:rsidRPr="00702267" w:rsidRDefault="001A14A7">
            <w:pPr>
              <w:pStyle w:val="BodyText"/>
              <w:rPr>
                <w:sz w:val="22"/>
                <w:szCs w:val="22"/>
              </w:rPr>
            </w:pPr>
            <w:r>
              <w:rPr>
                <w:sz w:val="22"/>
                <w:szCs w:val="22"/>
              </w:rPr>
              <w:t>T</w:t>
            </w:r>
            <w:r w:rsidRPr="009E4797">
              <w:rPr>
                <w:sz w:val="22"/>
                <w:szCs w:val="22"/>
              </w:rPr>
              <w:t xml:space="preserve">he jobs and skills system </w:t>
            </w:r>
            <w:r>
              <w:rPr>
                <w:sz w:val="22"/>
                <w:szCs w:val="22"/>
              </w:rPr>
              <w:t xml:space="preserve">in Regional Australia </w:t>
            </w:r>
            <w:r w:rsidRPr="009E4797">
              <w:rPr>
                <w:sz w:val="22"/>
                <w:szCs w:val="22"/>
              </w:rPr>
              <w:t>help</w:t>
            </w:r>
            <w:r>
              <w:rPr>
                <w:sz w:val="22"/>
                <w:szCs w:val="22"/>
              </w:rPr>
              <w:t>s</w:t>
            </w:r>
            <w:r w:rsidRPr="009E4797">
              <w:rPr>
                <w:sz w:val="22"/>
                <w:szCs w:val="22"/>
              </w:rPr>
              <w:t xml:space="preserve"> realise the aspirations of </w:t>
            </w:r>
            <w:r>
              <w:rPr>
                <w:sz w:val="22"/>
                <w:szCs w:val="22"/>
              </w:rPr>
              <w:t>its</w:t>
            </w:r>
            <w:r w:rsidRPr="009E4797">
              <w:rPr>
                <w:sz w:val="22"/>
                <w:szCs w:val="22"/>
              </w:rPr>
              <w:t xml:space="preserve"> people.</w:t>
            </w:r>
          </w:p>
        </w:tc>
      </w:tr>
    </w:tbl>
    <w:p w14:paraId="75A927B1" w14:textId="42DD9A63" w:rsidR="004F3E94" w:rsidRPr="005C6323" w:rsidRDefault="005206F4" w:rsidP="003061D1">
      <w:pPr>
        <w:pStyle w:val="BodyText"/>
      </w:pPr>
      <w:r>
        <w:t xml:space="preserve">The foundation of the vision </w:t>
      </w:r>
      <w:r w:rsidR="00AF62D5" w:rsidRPr="005C6323">
        <w:t>is underpinned by a set of core principles</w:t>
      </w:r>
      <w:r w:rsidR="00816459" w:rsidRPr="005C6323">
        <w:t xml:space="preserve"> </w:t>
      </w:r>
      <w:r w:rsidR="00D701F8">
        <w:t>that</w:t>
      </w:r>
      <w:r w:rsidR="00AF62D5" w:rsidRPr="005C6323">
        <w:t xml:space="preserve"> should support action </w:t>
      </w:r>
      <w:r w:rsidR="00E41C14">
        <w:t xml:space="preserve">through </w:t>
      </w:r>
      <w:r w:rsidR="00C674F0">
        <w:t xml:space="preserve">the ongoing </w:t>
      </w:r>
      <w:r w:rsidR="00AF62D5" w:rsidRPr="005C6323">
        <w:t xml:space="preserve">monitoring and </w:t>
      </w:r>
      <w:r w:rsidR="00C674F0">
        <w:t>assessment of</w:t>
      </w:r>
      <w:r w:rsidR="00AF62D5" w:rsidRPr="005C6323">
        <w:t xml:space="preserve"> the effectiveness of the jobs and skills system and its outcomes over time</w:t>
      </w:r>
      <w:r w:rsidR="000E6CC9">
        <w:t>.</w:t>
      </w:r>
    </w:p>
    <w:p w14:paraId="3971D7D7" w14:textId="70A68AA7" w:rsidR="00CD0DFD" w:rsidRDefault="00CD0DFD" w:rsidP="003061D1">
      <w:pPr>
        <w:pStyle w:val="Heading11"/>
      </w:pPr>
      <w:bookmarkStart w:id="28" w:name="_Toc200637127"/>
      <w:bookmarkStart w:id="29" w:name="_Toc201070171"/>
      <w:bookmarkStart w:id="30" w:name="_Toc201919834"/>
      <w:bookmarkStart w:id="31" w:name="_Toc202361862"/>
      <w:r w:rsidRPr="00B4021F">
        <w:t xml:space="preserve">How is </w:t>
      </w:r>
      <w:r w:rsidR="00542D89">
        <w:t xml:space="preserve">the jobs and skills system in </w:t>
      </w:r>
      <w:r w:rsidR="00AF62D5" w:rsidRPr="00B4021F">
        <w:t>R</w:t>
      </w:r>
      <w:r w:rsidRPr="00B4021F">
        <w:t xml:space="preserve">egional Australia </w:t>
      </w:r>
      <w:r w:rsidR="00542D89">
        <w:t>performing</w:t>
      </w:r>
      <w:r w:rsidR="002579C7">
        <w:t>?</w:t>
      </w:r>
      <w:bookmarkEnd w:id="28"/>
      <w:bookmarkEnd w:id="29"/>
      <w:bookmarkEnd w:id="30"/>
      <w:bookmarkEnd w:id="31"/>
    </w:p>
    <w:p w14:paraId="6F611523" w14:textId="7C2AD905" w:rsidR="00152014" w:rsidRPr="00152014" w:rsidRDefault="00152014" w:rsidP="00827355">
      <w:pPr>
        <w:pStyle w:val="BodyText"/>
        <w:rPr>
          <w:b/>
          <w:bCs/>
          <w:szCs w:val="22"/>
        </w:rPr>
      </w:pPr>
      <w:r w:rsidRPr="00BE531E">
        <w:t xml:space="preserve">Analysis of key indicators (summarised in the </w:t>
      </w:r>
      <w:r w:rsidR="00D7117A" w:rsidRPr="00E46965">
        <w:rPr>
          <w:szCs w:val="22"/>
        </w:rPr>
        <w:t>T</w:t>
      </w:r>
      <w:r w:rsidRPr="00E46965">
        <w:rPr>
          <w:szCs w:val="22"/>
        </w:rPr>
        <w:t>able</w:t>
      </w:r>
      <w:r w:rsidR="00D7117A" w:rsidRPr="00E46965">
        <w:rPr>
          <w:szCs w:val="22"/>
        </w:rPr>
        <w:t xml:space="preserve"> 1,</w:t>
      </w:r>
      <w:r w:rsidRPr="00E46965">
        <w:rPr>
          <w:szCs w:val="22"/>
        </w:rPr>
        <w:t xml:space="preserve"> below) shows that while some components of JSA’s vision for the jobs and skills system in Regional Australia is performing at an appropriate level, demonstrating an area of comparative strength, many indicators show a moderate or significant gap.</w:t>
      </w:r>
      <w:r w:rsidRPr="00BE531E">
        <w:rPr>
          <w:b/>
          <w:bCs/>
          <w:szCs w:val="22"/>
        </w:rPr>
        <w:t xml:space="preserve"> </w:t>
      </w:r>
    </w:p>
    <w:p w14:paraId="5522DA01" w14:textId="7F22AECE" w:rsidR="006D4597" w:rsidRPr="00497785" w:rsidRDefault="003D3602" w:rsidP="003D3602">
      <w:pPr>
        <w:pStyle w:val="Caption"/>
      </w:pPr>
      <w:r>
        <w:t xml:space="preserve">Table </w:t>
      </w:r>
      <w:r>
        <w:fldChar w:fldCharType="begin"/>
      </w:r>
      <w:r>
        <w:instrText xml:space="preserve"> SEQ Table \* ARABIC </w:instrText>
      </w:r>
      <w:r>
        <w:fldChar w:fldCharType="separate"/>
      </w:r>
      <w:r w:rsidR="00471863">
        <w:rPr>
          <w:noProof/>
        </w:rPr>
        <w:t>1</w:t>
      </w:r>
      <w:r>
        <w:fldChar w:fldCharType="end"/>
      </w:r>
      <w:r w:rsidR="006D4597" w:rsidRPr="00497785">
        <w:rPr>
          <w:rFonts w:eastAsia="Aptos" w:cs="Arial"/>
        </w:rPr>
        <w:t xml:space="preserve">: </w:t>
      </w:r>
      <w:r w:rsidR="00825C85" w:rsidRPr="00497785">
        <w:rPr>
          <w:rFonts w:eastAsia="Aptos" w:cs="Arial"/>
        </w:rPr>
        <w:t xml:space="preserve">Vision </w:t>
      </w:r>
      <w:r w:rsidR="000426E2" w:rsidRPr="00497785">
        <w:rPr>
          <w:rFonts w:eastAsia="Aptos" w:cs="Arial"/>
        </w:rPr>
        <w:t>principle contributing metrics, indicators</w:t>
      </w:r>
      <w:r w:rsidR="00B26207" w:rsidRPr="00497785">
        <w:rPr>
          <w:rFonts w:eastAsia="Aptos" w:cs="Arial"/>
        </w:rPr>
        <w:t xml:space="preserve"> and current assessment for Regional Australia</w:t>
      </w:r>
      <w:r w:rsidR="006D4597" w:rsidRPr="00497785">
        <w:rPr>
          <w:rFonts w:eastAsia="Aptos" w:cs="Arial"/>
        </w:rPr>
        <w:t xml:space="preserve"> </w:t>
      </w:r>
    </w:p>
    <w:tbl>
      <w:tblPr>
        <w:tblStyle w:val="CustomTablebasic"/>
        <w:tblW w:w="9923" w:type="dxa"/>
        <w:tblInd w:w="-284" w:type="dxa"/>
        <w:tblLook w:val="04A0" w:firstRow="1" w:lastRow="0" w:firstColumn="1" w:lastColumn="0" w:noHBand="0" w:noVBand="1"/>
      </w:tblPr>
      <w:tblGrid>
        <w:gridCol w:w="1427"/>
        <w:gridCol w:w="2401"/>
        <w:gridCol w:w="3119"/>
        <w:gridCol w:w="1417"/>
        <w:gridCol w:w="1559"/>
      </w:tblGrid>
      <w:tr w:rsidR="001809C9" w14:paraId="7B4F415C" w14:textId="77777777" w:rsidTr="005F3A40">
        <w:trPr>
          <w:cnfStyle w:val="100000000000" w:firstRow="1" w:lastRow="0" w:firstColumn="0" w:lastColumn="0" w:oddVBand="0" w:evenVBand="0" w:oddHBand="0" w:evenHBand="0" w:firstRowFirstColumn="0" w:firstRowLastColumn="0" w:lastRowFirstColumn="0" w:lastRowLastColumn="0"/>
          <w:cantSplit/>
          <w:tblHeader/>
        </w:trPr>
        <w:tc>
          <w:tcPr>
            <w:tcW w:w="1427" w:type="dxa"/>
            <w:vAlign w:val="center"/>
          </w:tcPr>
          <w:p w14:paraId="1B3E6BC1" w14:textId="77777777" w:rsidR="00B40F10" w:rsidRDefault="00B40F10">
            <w:pPr>
              <w:jc w:val="center"/>
            </w:pPr>
            <w:bookmarkStart w:id="32" w:name="_Toc200637129"/>
            <w:r>
              <w:t>Vision Principle</w:t>
            </w:r>
          </w:p>
        </w:tc>
        <w:tc>
          <w:tcPr>
            <w:tcW w:w="2401" w:type="dxa"/>
            <w:vAlign w:val="center"/>
          </w:tcPr>
          <w:p w14:paraId="44B88AE1" w14:textId="77777777" w:rsidR="00B40F10" w:rsidRDefault="00B40F10">
            <w:pPr>
              <w:jc w:val="center"/>
            </w:pPr>
            <w:r>
              <w:t>Underpinning Vision Principle</w:t>
            </w:r>
          </w:p>
        </w:tc>
        <w:tc>
          <w:tcPr>
            <w:tcW w:w="3119" w:type="dxa"/>
            <w:vAlign w:val="center"/>
          </w:tcPr>
          <w:p w14:paraId="76B4A351" w14:textId="77777777" w:rsidR="00B40F10" w:rsidRDefault="00B40F10">
            <w:pPr>
              <w:jc w:val="center"/>
            </w:pPr>
            <w:r>
              <w:t>Contributing metric</w:t>
            </w:r>
          </w:p>
        </w:tc>
        <w:tc>
          <w:tcPr>
            <w:tcW w:w="1417" w:type="dxa"/>
            <w:vAlign w:val="center"/>
          </w:tcPr>
          <w:p w14:paraId="0AEA4281" w14:textId="52E1A165" w:rsidR="00B40F10" w:rsidRDefault="00B40F10">
            <w:pPr>
              <w:jc w:val="center"/>
            </w:pPr>
            <w:r>
              <w:t>Current r</w:t>
            </w:r>
            <w:r w:rsidR="00F5060B">
              <w:t>ating</w:t>
            </w:r>
            <w:r>
              <w:t xml:space="preserve"> in Regional Australia</w:t>
            </w:r>
          </w:p>
        </w:tc>
        <w:tc>
          <w:tcPr>
            <w:tcW w:w="1559" w:type="dxa"/>
            <w:vAlign w:val="center"/>
          </w:tcPr>
          <w:p w14:paraId="58060DE0" w14:textId="77777777" w:rsidR="00B40F10" w:rsidRDefault="00B40F10">
            <w:pPr>
              <w:jc w:val="center"/>
            </w:pPr>
            <w:r>
              <w:t>Overall Vision Principle rating</w:t>
            </w:r>
          </w:p>
        </w:tc>
      </w:tr>
      <w:tr w:rsidR="00B40F10" w14:paraId="35B62C26" w14:textId="77777777" w:rsidTr="005F3A40">
        <w:trPr>
          <w:cantSplit/>
          <w:trHeight w:val="510"/>
        </w:trPr>
        <w:tc>
          <w:tcPr>
            <w:tcW w:w="1427" w:type="dxa"/>
            <w:vMerge w:val="restart"/>
            <w:shd w:val="clear" w:color="auto" w:fill="FFFFFF" w:themeFill="background1"/>
            <w:vAlign w:val="center"/>
          </w:tcPr>
          <w:p w14:paraId="2A8B5159" w14:textId="77777777" w:rsidR="00B40F10" w:rsidRPr="00566D4F" w:rsidRDefault="00B40F10">
            <w:pPr>
              <w:rPr>
                <w:rFonts w:cs="Arial"/>
                <w:sz w:val="21"/>
                <w:szCs w:val="21"/>
              </w:rPr>
            </w:pPr>
            <w:r w:rsidRPr="00566D4F">
              <w:rPr>
                <w:rStyle w:val="Characterbold"/>
                <w:rFonts w:cs="Arial"/>
                <w:sz w:val="21"/>
                <w:szCs w:val="21"/>
              </w:rPr>
              <w:t>Addressing Barriers</w:t>
            </w:r>
          </w:p>
        </w:tc>
        <w:tc>
          <w:tcPr>
            <w:tcW w:w="2401" w:type="dxa"/>
            <w:vMerge w:val="restart"/>
            <w:shd w:val="clear" w:color="auto" w:fill="FFFFFF" w:themeFill="background1"/>
            <w:vAlign w:val="center"/>
          </w:tcPr>
          <w:p w14:paraId="3DBC7E9A" w14:textId="06482817" w:rsidR="00B40F10" w:rsidRPr="00566D4F" w:rsidRDefault="00B40F10">
            <w:pPr>
              <w:rPr>
                <w:rFonts w:cs="Arial"/>
                <w:sz w:val="21"/>
                <w:szCs w:val="21"/>
              </w:rPr>
            </w:pPr>
            <w:r w:rsidRPr="00566D4F">
              <w:rPr>
                <w:rStyle w:val="Characteritalic"/>
                <w:rFonts w:cs="Arial"/>
                <w:sz w:val="21"/>
                <w:szCs w:val="21"/>
              </w:rPr>
              <w:t>People with barriers in Regional Australia receive timely high-quality support to move towards participating in education, training and employment</w:t>
            </w:r>
            <w:r w:rsidR="000F4A90">
              <w:rPr>
                <w:rStyle w:val="Characteritalic"/>
                <w:rFonts w:cs="Arial"/>
                <w:sz w:val="21"/>
                <w:szCs w:val="21"/>
              </w:rPr>
              <w:t>.</w:t>
            </w:r>
          </w:p>
        </w:tc>
        <w:tc>
          <w:tcPr>
            <w:tcW w:w="3119" w:type="dxa"/>
            <w:shd w:val="clear" w:color="auto" w:fill="FFFFFF" w:themeFill="background1"/>
            <w:vAlign w:val="center"/>
          </w:tcPr>
          <w:p w14:paraId="0351A76D" w14:textId="77777777" w:rsidR="00B40F10" w:rsidRPr="00566D4F" w:rsidRDefault="00B40F10">
            <w:pPr>
              <w:rPr>
                <w:rFonts w:cs="Arial"/>
                <w:sz w:val="21"/>
                <w:szCs w:val="21"/>
              </w:rPr>
            </w:pPr>
            <w:r w:rsidRPr="00566D4F">
              <w:rPr>
                <w:rFonts w:cs="Arial"/>
                <w:sz w:val="21"/>
                <w:szCs w:val="21"/>
              </w:rPr>
              <w:t>School non-attendance</w:t>
            </w:r>
          </w:p>
        </w:tc>
        <w:tc>
          <w:tcPr>
            <w:tcW w:w="1417" w:type="dxa"/>
            <w:shd w:val="clear" w:color="auto" w:fill="FFFFFF" w:themeFill="background1"/>
            <w:vAlign w:val="center"/>
          </w:tcPr>
          <w:p w14:paraId="6E90AD07" w14:textId="4FB20423" w:rsidR="00B40F10" w:rsidRPr="00DF5139" w:rsidRDefault="00DF5139">
            <w:pPr>
              <w:pStyle w:val="TableBodyText"/>
              <w:jc w:val="center"/>
              <w:rPr>
                <w:rFonts w:cs="Arial"/>
                <w:color w:val="FFFFFF" w:themeColor="background1"/>
                <w:sz w:val="2"/>
                <w:szCs w:val="2"/>
              </w:rPr>
            </w:pPr>
            <w:r w:rsidRPr="00DF5139">
              <w:rPr>
                <w:rFonts w:cs="Arial"/>
                <w:noProof/>
                <w:color w:val="FFFFFF" w:themeColor="background1"/>
                <w:sz w:val="2"/>
                <w:szCs w:val="2"/>
                <w14:ligatures w14:val="standardContextual"/>
              </w:rPr>
              <mc:AlternateContent>
                <mc:Choice Requires="wps">
                  <w:drawing>
                    <wp:anchor distT="0" distB="0" distL="114300" distR="114300" simplePos="0" relativeHeight="251682304" behindDoc="0" locked="0" layoutInCell="1" allowOverlap="1" wp14:anchorId="7BA2C4D0" wp14:editId="6496088D">
                      <wp:simplePos x="0" y="0"/>
                      <wp:positionH relativeFrom="column">
                        <wp:posOffset>289560</wp:posOffset>
                      </wp:positionH>
                      <wp:positionV relativeFrom="paragraph">
                        <wp:posOffset>61595</wp:posOffset>
                      </wp:positionV>
                      <wp:extent cx="191135" cy="190500"/>
                      <wp:effectExtent l="0" t="0" r="18415" b="19050"/>
                      <wp:wrapNone/>
                      <wp:docPr id="245078702"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DF5454"/>
                              </a:solidFill>
                              <a:ln>
                                <a:solidFill>
                                  <a:srgbClr val="DF545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CD28A6" id="Oval 2" o:spid="_x0000_s1026" alt="&quot;&quot;" style="position:absolute;margin-left:22.8pt;margin-top:4.85pt;width:15.05pt;height: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" fillcolor="#df5454" strokecolor="#df5454" strokeweight="1pt">
                      <v:stroke joinstyle="miter"/>
                    </v:oval>
                  </w:pict>
                </mc:Fallback>
              </mc:AlternateContent>
            </w:r>
            <w:r w:rsidR="002F09EC" w:rsidRPr="00DF5139">
              <w:rPr>
                <w:rFonts w:cs="Arial"/>
                <w:noProof/>
                <w:color w:val="FFFFFF" w:themeColor="background1"/>
                <w:sz w:val="2"/>
                <w:szCs w:val="2"/>
                <w14:ligatures w14:val="standardContextual"/>
              </w:rPr>
              <mc:AlternateContent>
                <mc:Choice Requires="wps">
                  <w:drawing>
                    <wp:anchor distT="0" distB="0" distL="114300" distR="114300" simplePos="0" relativeHeight="251584000" behindDoc="0" locked="0" layoutInCell="1" allowOverlap="1" wp14:anchorId="519025B3" wp14:editId="6AD2FD22">
                      <wp:simplePos x="0" y="0"/>
                      <wp:positionH relativeFrom="column">
                        <wp:posOffset>269875</wp:posOffset>
                      </wp:positionH>
                      <wp:positionV relativeFrom="paragraph">
                        <wp:posOffset>1089660</wp:posOffset>
                      </wp:positionV>
                      <wp:extent cx="191135" cy="190500"/>
                      <wp:effectExtent l="0" t="0" r="18415" b="19050"/>
                      <wp:wrapNone/>
                      <wp:docPr id="511896290"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52BD7F"/>
                              </a:solidFill>
                              <a:ln>
                                <a:solidFill>
                                  <a:srgbClr val="52BD7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2FC8A4" id="Oval 2" o:spid="_x0000_s1026" alt="&quot;&quot;" style="position:absolute;margin-left:21.25pt;margin-top:85.8pt;width:15.05pt;height:1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" fillcolor="#52bd7f" strokecolor="#52bd7f" strokeweight="1pt">
                      <v:stroke joinstyle="miter"/>
                    </v:oval>
                  </w:pict>
                </mc:Fallback>
              </mc:AlternateContent>
            </w:r>
            <w:r w:rsidR="002F09EC" w:rsidRPr="00DF5139">
              <w:rPr>
                <w:rFonts w:cs="Arial"/>
                <w:noProof/>
                <w:color w:val="FFFFFF" w:themeColor="background1"/>
                <w:sz w:val="2"/>
                <w:szCs w:val="2"/>
                <w14:ligatures w14:val="standardContextual"/>
              </w:rPr>
              <mc:AlternateContent>
                <mc:Choice Requires="wps">
                  <w:drawing>
                    <wp:anchor distT="0" distB="0" distL="114300" distR="114300" simplePos="0" relativeHeight="251575808" behindDoc="0" locked="0" layoutInCell="1" allowOverlap="1" wp14:anchorId="3D6C4168" wp14:editId="3B46017B">
                      <wp:simplePos x="0" y="0"/>
                      <wp:positionH relativeFrom="column">
                        <wp:posOffset>272415</wp:posOffset>
                      </wp:positionH>
                      <wp:positionV relativeFrom="paragraph">
                        <wp:posOffset>755650</wp:posOffset>
                      </wp:positionV>
                      <wp:extent cx="191135" cy="190500"/>
                      <wp:effectExtent l="0" t="0" r="18415" b="19050"/>
                      <wp:wrapNone/>
                      <wp:docPr id="556644824"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52BD7F"/>
                              </a:solidFill>
                              <a:ln>
                                <a:solidFill>
                                  <a:srgbClr val="52BD7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09C411" id="Oval 2" o:spid="_x0000_s1026" alt="&quot;&quot;" style="position:absolute;margin-left:21.45pt;margin-top:59.5pt;width:15.05pt;height:1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" fillcolor="#52bd7f" strokecolor="#52bd7f" strokeweight="1pt">
                      <v:stroke joinstyle="miter"/>
                    </v:oval>
                  </w:pict>
                </mc:Fallback>
              </mc:AlternateContent>
            </w:r>
            <w:r w:rsidR="002F09EC" w:rsidRPr="00DF5139">
              <w:rPr>
                <w:rFonts w:cs="Arial"/>
                <w:noProof/>
                <w:color w:val="FFFFFF" w:themeColor="background1"/>
                <w:sz w:val="2"/>
                <w:szCs w:val="2"/>
                <w14:ligatures w14:val="standardContextual"/>
              </w:rPr>
              <mc:AlternateContent>
                <mc:Choice Requires="wps">
                  <w:drawing>
                    <wp:anchor distT="0" distB="0" distL="114300" distR="114300" simplePos="0" relativeHeight="251690496" behindDoc="0" locked="0" layoutInCell="1" allowOverlap="1" wp14:anchorId="7E631EA0" wp14:editId="07B3968A">
                      <wp:simplePos x="0" y="0"/>
                      <wp:positionH relativeFrom="column">
                        <wp:posOffset>272415</wp:posOffset>
                      </wp:positionH>
                      <wp:positionV relativeFrom="paragraph">
                        <wp:posOffset>441960</wp:posOffset>
                      </wp:positionV>
                      <wp:extent cx="191135" cy="190500"/>
                      <wp:effectExtent l="0" t="0" r="18415" b="19050"/>
                      <wp:wrapNone/>
                      <wp:docPr id="1539600718"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DF5454"/>
                              </a:solidFill>
                              <a:ln>
                                <a:solidFill>
                                  <a:srgbClr val="DF545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BE8F57" id="Oval 2" o:spid="_x0000_s1026" alt="&quot;&quot;" style="position:absolute;margin-left:21.45pt;margin-top:34.8pt;width:15.05pt;height: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" fillcolor="#df5454" strokecolor="#df5454" strokeweight="1pt">
                      <v:stroke joinstyle="miter"/>
                    </v:oval>
                  </w:pict>
                </mc:Fallback>
              </mc:AlternateContent>
            </w:r>
            <w:r w:rsidRPr="00DF5139">
              <w:rPr>
                <w:rFonts w:cs="Arial"/>
                <w:color w:val="FFFFFF" w:themeColor="background1"/>
                <w:sz w:val="2"/>
                <w:szCs w:val="2"/>
              </w:rPr>
              <w:t>Deteriorating or significant gap</w:t>
            </w:r>
          </w:p>
        </w:tc>
        <w:tc>
          <w:tcPr>
            <w:tcW w:w="1559" w:type="dxa"/>
            <w:vMerge w:val="restart"/>
            <w:shd w:val="clear" w:color="auto" w:fill="DF5454"/>
            <w:vAlign w:val="center"/>
          </w:tcPr>
          <w:p w14:paraId="3F4ADABC" w14:textId="77777777" w:rsidR="00B40F10" w:rsidRPr="00566D4F" w:rsidRDefault="00B40F10">
            <w:pPr>
              <w:jc w:val="center"/>
              <w:rPr>
                <w:rFonts w:cs="Arial"/>
                <w:sz w:val="20"/>
              </w:rPr>
            </w:pPr>
            <w:r w:rsidRPr="00566D4F">
              <w:rPr>
                <w:rFonts w:cs="Arial"/>
                <w:sz w:val="20"/>
              </w:rPr>
              <w:t>Deteriorating or significant gap</w:t>
            </w:r>
          </w:p>
        </w:tc>
      </w:tr>
      <w:tr w:rsidR="00B40F10" w14:paraId="1971DAF4" w14:textId="77777777" w:rsidTr="005F3A40">
        <w:trPr>
          <w:cnfStyle w:val="000000010000" w:firstRow="0" w:lastRow="0" w:firstColumn="0" w:lastColumn="0" w:oddVBand="0" w:evenVBand="0" w:oddHBand="0" w:evenHBand="1" w:firstRowFirstColumn="0" w:firstRowLastColumn="0" w:lastRowFirstColumn="0" w:lastRowLastColumn="0"/>
          <w:cantSplit/>
          <w:trHeight w:val="510"/>
        </w:trPr>
        <w:tc>
          <w:tcPr>
            <w:tcW w:w="1427" w:type="dxa"/>
            <w:vMerge/>
            <w:shd w:val="clear" w:color="auto" w:fill="FFFFFF" w:themeFill="background1"/>
          </w:tcPr>
          <w:p w14:paraId="28C87D15" w14:textId="77777777" w:rsidR="00B40F10" w:rsidRPr="00566D4F" w:rsidRDefault="00B40F10">
            <w:pPr>
              <w:rPr>
                <w:rStyle w:val="Characterbold"/>
                <w:rFonts w:cs="Arial"/>
                <w:sz w:val="21"/>
                <w:szCs w:val="21"/>
              </w:rPr>
            </w:pPr>
          </w:p>
        </w:tc>
        <w:tc>
          <w:tcPr>
            <w:tcW w:w="2401" w:type="dxa"/>
            <w:vMerge/>
            <w:shd w:val="clear" w:color="auto" w:fill="FFFFFF" w:themeFill="background1"/>
          </w:tcPr>
          <w:p w14:paraId="2E7348D9" w14:textId="77777777" w:rsidR="00B40F10" w:rsidRPr="00566D4F" w:rsidRDefault="00B40F10">
            <w:pPr>
              <w:rPr>
                <w:rStyle w:val="Characteritalic"/>
                <w:rFonts w:cs="Arial"/>
                <w:sz w:val="21"/>
                <w:szCs w:val="21"/>
              </w:rPr>
            </w:pPr>
          </w:p>
        </w:tc>
        <w:tc>
          <w:tcPr>
            <w:tcW w:w="3119" w:type="dxa"/>
            <w:shd w:val="clear" w:color="auto" w:fill="FFFFFF" w:themeFill="background1"/>
            <w:vAlign w:val="center"/>
          </w:tcPr>
          <w:p w14:paraId="17BE8BD8" w14:textId="77777777" w:rsidR="00B40F10" w:rsidRPr="00566D4F" w:rsidRDefault="00B40F10">
            <w:pPr>
              <w:rPr>
                <w:rFonts w:cs="Arial"/>
                <w:sz w:val="21"/>
                <w:szCs w:val="21"/>
              </w:rPr>
            </w:pPr>
            <w:r w:rsidRPr="00566D4F">
              <w:rPr>
                <w:rFonts w:cs="Arial"/>
                <w:sz w:val="21"/>
                <w:szCs w:val="21"/>
              </w:rPr>
              <w:t>Youth not in employment, education or training</w:t>
            </w:r>
          </w:p>
        </w:tc>
        <w:tc>
          <w:tcPr>
            <w:tcW w:w="1417" w:type="dxa"/>
            <w:shd w:val="clear" w:color="auto" w:fill="FFFFFF" w:themeFill="background1"/>
            <w:vAlign w:val="center"/>
          </w:tcPr>
          <w:p w14:paraId="04079D3D" w14:textId="4565065D" w:rsidR="00B40F10" w:rsidRPr="00DF5139" w:rsidRDefault="00DF5139">
            <w:pPr>
              <w:pStyle w:val="TableBodyText"/>
              <w:jc w:val="center"/>
              <w:rPr>
                <w:rFonts w:cs="Arial"/>
                <w:color w:val="FFFFFF" w:themeColor="background1"/>
                <w:sz w:val="2"/>
                <w:szCs w:val="2"/>
              </w:rPr>
            </w:pPr>
            <w:r w:rsidRPr="00DF5139">
              <w:rPr>
                <w:rFonts w:cs="Arial"/>
                <w:color w:val="FFFFFF" w:themeColor="background1"/>
                <w:sz w:val="2"/>
                <w:szCs w:val="2"/>
              </w:rPr>
              <w:t>Deteriorating or significant gap</w:t>
            </w:r>
          </w:p>
        </w:tc>
        <w:tc>
          <w:tcPr>
            <w:tcW w:w="1559" w:type="dxa"/>
            <w:vMerge/>
            <w:shd w:val="clear" w:color="auto" w:fill="DF5454"/>
          </w:tcPr>
          <w:p w14:paraId="3327D061" w14:textId="77777777" w:rsidR="00B40F10" w:rsidRPr="00566D4F" w:rsidRDefault="00B40F10">
            <w:pPr>
              <w:rPr>
                <w:rFonts w:cs="Arial"/>
                <w:sz w:val="20"/>
              </w:rPr>
            </w:pPr>
          </w:p>
        </w:tc>
      </w:tr>
      <w:tr w:rsidR="00B40F10" w14:paraId="034E071F" w14:textId="77777777" w:rsidTr="005F3A40">
        <w:trPr>
          <w:cantSplit/>
          <w:trHeight w:val="510"/>
        </w:trPr>
        <w:tc>
          <w:tcPr>
            <w:tcW w:w="1427" w:type="dxa"/>
            <w:vMerge/>
            <w:shd w:val="clear" w:color="auto" w:fill="FFFFFF" w:themeFill="background1"/>
          </w:tcPr>
          <w:p w14:paraId="3FE98195" w14:textId="77777777" w:rsidR="00B40F10" w:rsidRPr="00566D4F" w:rsidRDefault="00B40F10">
            <w:pPr>
              <w:rPr>
                <w:rStyle w:val="Characterbold"/>
                <w:rFonts w:cs="Arial"/>
                <w:sz w:val="21"/>
                <w:szCs w:val="21"/>
              </w:rPr>
            </w:pPr>
          </w:p>
        </w:tc>
        <w:tc>
          <w:tcPr>
            <w:tcW w:w="2401" w:type="dxa"/>
            <w:vMerge/>
            <w:shd w:val="clear" w:color="auto" w:fill="FFFFFF" w:themeFill="background1"/>
          </w:tcPr>
          <w:p w14:paraId="7C1CFAC8" w14:textId="77777777" w:rsidR="00B40F10" w:rsidRPr="00566D4F" w:rsidRDefault="00B40F10">
            <w:pPr>
              <w:rPr>
                <w:rStyle w:val="Characteritalic"/>
                <w:rFonts w:cs="Arial"/>
                <w:sz w:val="21"/>
                <w:szCs w:val="21"/>
              </w:rPr>
            </w:pPr>
          </w:p>
        </w:tc>
        <w:tc>
          <w:tcPr>
            <w:tcW w:w="3119" w:type="dxa"/>
            <w:shd w:val="clear" w:color="auto" w:fill="FFFFFF" w:themeFill="background1"/>
            <w:vAlign w:val="center"/>
          </w:tcPr>
          <w:p w14:paraId="7ECDB9B2" w14:textId="77777777" w:rsidR="00B40F10" w:rsidRPr="00566D4F" w:rsidRDefault="00B40F10">
            <w:pPr>
              <w:rPr>
                <w:rFonts w:cs="Arial"/>
                <w:sz w:val="21"/>
                <w:szCs w:val="21"/>
              </w:rPr>
            </w:pPr>
            <w:r w:rsidRPr="00566D4F">
              <w:rPr>
                <w:rFonts w:cs="Arial"/>
                <w:sz w:val="21"/>
                <w:szCs w:val="21"/>
              </w:rPr>
              <w:t>Prime age participation rate</w:t>
            </w:r>
          </w:p>
        </w:tc>
        <w:tc>
          <w:tcPr>
            <w:tcW w:w="1417" w:type="dxa"/>
            <w:shd w:val="clear" w:color="auto" w:fill="FFFFFF" w:themeFill="background1"/>
            <w:vAlign w:val="center"/>
          </w:tcPr>
          <w:p w14:paraId="3559E95C" w14:textId="3912765E" w:rsidR="00B40F10" w:rsidRPr="00DF5139" w:rsidRDefault="00DF5139">
            <w:pPr>
              <w:pStyle w:val="TableBodyText"/>
              <w:jc w:val="center"/>
              <w:rPr>
                <w:rFonts w:cs="Arial"/>
                <w:color w:val="FFFFFF" w:themeColor="background1"/>
                <w:sz w:val="2"/>
                <w:szCs w:val="2"/>
              </w:rPr>
            </w:pPr>
            <w:r w:rsidRPr="00DF5139">
              <w:rPr>
                <w:rFonts w:cs="Arial"/>
                <w:color w:val="FFFFFF" w:themeColor="background1"/>
                <w:sz w:val="2"/>
                <w:szCs w:val="2"/>
              </w:rPr>
              <w:t>On track or performing at an appropriate level</w:t>
            </w:r>
          </w:p>
        </w:tc>
        <w:tc>
          <w:tcPr>
            <w:tcW w:w="1559" w:type="dxa"/>
            <w:vMerge/>
            <w:shd w:val="clear" w:color="auto" w:fill="DF5454"/>
          </w:tcPr>
          <w:p w14:paraId="555A4676" w14:textId="77777777" w:rsidR="00B40F10" w:rsidRPr="00566D4F" w:rsidRDefault="00B40F10">
            <w:pPr>
              <w:rPr>
                <w:rFonts w:cs="Arial"/>
                <w:sz w:val="20"/>
              </w:rPr>
            </w:pPr>
          </w:p>
        </w:tc>
      </w:tr>
      <w:tr w:rsidR="00B40F10" w14:paraId="5AC073A6" w14:textId="77777777" w:rsidTr="005F3A40">
        <w:trPr>
          <w:cnfStyle w:val="000000010000" w:firstRow="0" w:lastRow="0" w:firstColumn="0" w:lastColumn="0" w:oddVBand="0" w:evenVBand="0" w:oddHBand="0" w:evenHBand="1" w:firstRowFirstColumn="0" w:firstRowLastColumn="0" w:lastRowFirstColumn="0" w:lastRowLastColumn="0"/>
          <w:cantSplit/>
          <w:trHeight w:val="510"/>
        </w:trPr>
        <w:tc>
          <w:tcPr>
            <w:tcW w:w="1427" w:type="dxa"/>
            <w:vMerge/>
            <w:shd w:val="clear" w:color="auto" w:fill="FFFFFF" w:themeFill="background1"/>
          </w:tcPr>
          <w:p w14:paraId="6373D31A" w14:textId="77777777" w:rsidR="00B40F10" w:rsidRPr="00566D4F" w:rsidRDefault="00B40F10">
            <w:pPr>
              <w:rPr>
                <w:rStyle w:val="Characterbold"/>
                <w:rFonts w:cs="Arial"/>
                <w:sz w:val="21"/>
                <w:szCs w:val="21"/>
              </w:rPr>
            </w:pPr>
          </w:p>
        </w:tc>
        <w:tc>
          <w:tcPr>
            <w:tcW w:w="2401" w:type="dxa"/>
            <w:vMerge/>
            <w:shd w:val="clear" w:color="auto" w:fill="FFFFFF" w:themeFill="background1"/>
          </w:tcPr>
          <w:p w14:paraId="6D76780B" w14:textId="77777777" w:rsidR="00B40F10" w:rsidRPr="00566D4F" w:rsidRDefault="00B40F10">
            <w:pPr>
              <w:rPr>
                <w:rStyle w:val="Characteritalic"/>
                <w:rFonts w:cs="Arial"/>
                <w:sz w:val="21"/>
                <w:szCs w:val="21"/>
              </w:rPr>
            </w:pPr>
          </w:p>
        </w:tc>
        <w:tc>
          <w:tcPr>
            <w:tcW w:w="3119" w:type="dxa"/>
            <w:shd w:val="clear" w:color="auto" w:fill="FFFFFF" w:themeFill="background1"/>
            <w:vAlign w:val="center"/>
          </w:tcPr>
          <w:p w14:paraId="74E8288B" w14:textId="77777777" w:rsidR="00B40F10" w:rsidRPr="00566D4F" w:rsidRDefault="00B40F10">
            <w:pPr>
              <w:rPr>
                <w:rFonts w:cs="Arial"/>
                <w:sz w:val="21"/>
                <w:szCs w:val="21"/>
              </w:rPr>
            </w:pPr>
            <w:r w:rsidRPr="00566D4F">
              <w:rPr>
                <w:rFonts w:cs="Arial"/>
                <w:sz w:val="21"/>
                <w:szCs w:val="21"/>
              </w:rPr>
              <w:t>Unemployment rate</w:t>
            </w:r>
            <w:r>
              <w:rPr>
                <w:rFonts w:cs="Arial"/>
                <w:sz w:val="21"/>
                <w:szCs w:val="21"/>
              </w:rPr>
              <w:t xml:space="preserve"> </w:t>
            </w:r>
          </w:p>
        </w:tc>
        <w:tc>
          <w:tcPr>
            <w:tcW w:w="1417" w:type="dxa"/>
            <w:shd w:val="clear" w:color="auto" w:fill="FFFFFF" w:themeFill="background1"/>
            <w:vAlign w:val="center"/>
          </w:tcPr>
          <w:p w14:paraId="096841BA" w14:textId="22AD906E" w:rsidR="00B40F10" w:rsidRPr="00DF5139" w:rsidRDefault="00DF5139">
            <w:pPr>
              <w:pStyle w:val="TableBodyText"/>
              <w:jc w:val="center"/>
              <w:rPr>
                <w:rFonts w:cs="Arial"/>
                <w:color w:val="FFFFFF" w:themeColor="background1"/>
                <w:sz w:val="2"/>
                <w:szCs w:val="2"/>
              </w:rPr>
            </w:pPr>
            <w:r w:rsidRPr="00DF5139">
              <w:rPr>
                <w:rFonts w:cs="Arial"/>
                <w:color w:val="FFFFFF" w:themeColor="background1"/>
                <w:sz w:val="2"/>
                <w:szCs w:val="2"/>
              </w:rPr>
              <w:t>On track or performing at an appropriate level</w:t>
            </w:r>
          </w:p>
        </w:tc>
        <w:tc>
          <w:tcPr>
            <w:tcW w:w="1559" w:type="dxa"/>
            <w:vMerge/>
            <w:shd w:val="clear" w:color="auto" w:fill="DF5454"/>
          </w:tcPr>
          <w:p w14:paraId="7FAE3F54" w14:textId="77777777" w:rsidR="00B40F10" w:rsidRPr="00566D4F" w:rsidRDefault="00B40F10">
            <w:pPr>
              <w:rPr>
                <w:rFonts w:cs="Arial"/>
                <w:sz w:val="20"/>
              </w:rPr>
            </w:pPr>
          </w:p>
        </w:tc>
      </w:tr>
      <w:tr w:rsidR="00B40F10" w14:paraId="67582484" w14:textId="77777777" w:rsidTr="005F3A40">
        <w:trPr>
          <w:cantSplit/>
          <w:trHeight w:val="510"/>
        </w:trPr>
        <w:tc>
          <w:tcPr>
            <w:tcW w:w="1427" w:type="dxa"/>
            <w:vMerge/>
            <w:tcBorders>
              <w:bottom w:val="single" w:sz="4" w:space="0" w:color="auto"/>
            </w:tcBorders>
            <w:shd w:val="clear" w:color="auto" w:fill="FFFFFF" w:themeFill="background1"/>
          </w:tcPr>
          <w:p w14:paraId="24218425" w14:textId="77777777" w:rsidR="00B40F10" w:rsidRPr="00566D4F" w:rsidRDefault="00B40F10">
            <w:pPr>
              <w:rPr>
                <w:rStyle w:val="Characterbold"/>
                <w:rFonts w:cs="Arial"/>
                <w:sz w:val="21"/>
                <w:szCs w:val="21"/>
              </w:rPr>
            </w:pPr>
          </w:p>
        </w:tc>
        <w:tc>
          <w:tcPr>
            <w:tcW w:w="2401" w:type="dxa"/>
            <w:vMerge/>
            <w:tcBorders>
              <w:bottom w:val="single" w:sz="4" w:space="0" w:color="auto"/>
            </w:tcBorders>
            <w:shd w:val="clear" w:color="auto" w:fill="FFFFFF" w:themeFill="background1"/>
          </w:tcPr>
          <w:p w14:paraId="34D734F1" w14:textId="77777777" w:rsidR="00B40F10" w:rsidRPr="00566D4F" w:rsidRDefault="00B40F10">
            <w:pPr>
              <w:rPr>
                <w:rStyle w:val="Characteritalic"/>
                <w:rFonts w:cs="Arial"/>
                <w:sz w:val="21"/>
                <w:szCs w:val="21"/>
              </w:rPr>
            </w:pPr>
          </w:p>
        </w:tc>
        <w:tc>
          <w:tcPr>
            <w:tcW w:w="3119" w:type="dxa"/>
            <w:tcBorders>
              <w:bottom w:val="single" w:sz="4" w:space="0" w:color="auto"/>
            </w:tcBorders>
            <w:shd w:val="clear" w:color="auto" w:fill="FFFFFF" w:themeFill="background1"/>
            <w:vAlign w:val="center"/>
          </w:tcPr>
          <w:p w14:paraId="3F16CF8D" w14:textId="77777777" w:rsidR="00B40F10" w:rsidRPr="00566D4F" w:rsidRDefault="00B40F10">
            <w:pPr>
              <w:rPr>
                <w:rFonts w:cs="Arial"/>
                <w:sz w:val="21"/>
                <w:szCs w:val="21"/>
              </w:rPr>
            </w:pPr>
            <w:r w:rsidRPr="00566D4F">
              <w:rPr>
                <w:rFonts w:cs="Arial"/>
                <w:sz w:val="21"/>
                <w:szCs w:val="21"/>
              </w:rPr>
              <w:t>Prop. on long-term income support</w:t>
            </w:r>
          </w:p>
        </w:tc>
        <w:tc>
          <w:tcPr>
            <w:tcW w:w="1417" w:type="dxa"/>
            <w:tcBorders>
              <w:bottom w:val="single" w:sz="4" w:space="0" w:color="auto"/>
            </w:tcBorders>
            <w:shd w:val="clear" w:color="auto" w:fill="FFFFFF" w:themeFill="background1"/>
            <w:vAlign w:val="center"/>
          </w:tcPr>
          <w:p w14:paraId="6925316E" w14:textId="55E55FB4" w:rsidR="00B40F10" w:rsidRPr="00DF5139" w:rsidRDefault="00DF5139">
            <w:pPr>
              <w:pStyle w:val="TableBodyText"/>
              <w:jc w:val="center"/>
              <w:rPr>
                <w:rFonts w:cs="Arial"/>
                <w:color w:val="FFFFFF" w:themeColor="background1"/>
                <w:sz w:val="2"/>
                <w:szCs w:val="2"/>
              </w:rPr>
            </w:pPr>
            <w:r w:rsidRPr="00DF5139">
              <w:rPr>
                <w:rFonts w:cs="Arial"/>
                <w:color w:val="FFFFFF" w:themeColor="background1"/>
                <w:sz w:val="2"/>
                <w:szCs w:val="2"/>
              </w:rPr>
              <w:t>Deteriorating or significant gap</w:t>
            </w:r>
            <w:r w:rsidRPr="00DF5139">
              <w:rPr>
                <w:rFonts w:cs="Arial"/>
                <w:noProof/>
                <w:color w:val="FFFFFF" w:themeColor="background1"/>
                <w:sz w:val="2"/>
                <w:szCs w:val="2"/>
                <w14:ligatures w14:val="standardContextual"/>
              </w:rPr>
              <w:t xml:space="preserve"> </w:t>
            </w:r>
            <w:r w:rsidR="002F09EC" w:rsidRPr="00DF5139">
              <w:rPr>
                <w:rFonts w:cs="Arial"/>
                <w:noProof/>
                <w:color w:val="FFFFFF" w:themeColor="background1"/>
                <w:sz w:val="2"/>
                <w:szCs w:val="2"/>
                <w14:ligatures w14:val="standardContextual"/>
              </w:rPr>
              <mc:AlternateContent>
                <mc:Choice Requires="wps">
                  <w:drawing>
                    <wp:anchor distT="0" distB="0" distL="114300" distR="114300" simplePos="0" relativeHeight="251698688" behindDoc="0" locked="0" layoutInCell="1" allowOverlap="1" wp14:anchorId="6FB13BE2" wp14:editId="0FA2F138">
                      <wp:simplePos x="0" y="0"/>
                      <wp:positionH relativeFrom="column">
                        <wp:posOffset>273685</wp:posOffset>
                      </wp:positionH>
                      <wp:positionV relativeFrom="paragraph">
                        <wp:posOffset>61595</wp:posOffset>
                      </wp:positionV>
                      <wp:extent cx="191135" cy="190500"/>
                      <wp:effectExtent l="0" t="0" r="18415" b="19050"/>
                      <wp:wrapNone/>
                      <wp:docPr id="1914307176"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DF5454"/>
                              </a:solidFill>
                              <a:ln>
                                <a:solidFill>
                                  <a:srgbClr val="DF545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902623" id="Oval 2" o:spid="_x0000_s1026" alt="&quot;&quot;" style="position:absolute;margin-left:21.55pt;margin-top:4.85pt;width:15.05pt;height: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" fillcolor="#df5454" strokecolor="#df5454" strokeweight="1pt">
                      <v:stroke joinstyle="miter"/>
                    </v:oval>
                  </w:pict>
                </mc:Fallback>
              </mc:AlternateContent>
            </w:r>
          </w:p>
        </w:tc>
        <w:tc>
          <w:tcPr>
            <w:tcW w:w="1559" w:type="dxa"/>
            <w:vMerge/>
            <w:tcBorders>
              <w:bottom w:val="single" w:sz="4" w:space="0" w:color="auto"/>
            </w:tcBorders>
            <w:shd w:val="clear" w:color="auto" w:fill="DF5454"/>
          </w:tcPr>
          <w:p w14:paraId="52E647AA" w14:textId="77777777" w:rsidR="00B40F10" w:rsidRPr="00566D4F" w:rsidRDefault="00B40F10">
            <w:pPr>
              <w:rPr>
                <w:rFonts w:cs="Arial"/>
                <w:sz w:val="20"/>
              </w:rPr>
            </w:pPr>
          </w:p>
        </w:tc>
      </w:tr>
      <w:tr w:rsidR="001809C9" w14:paraId="292EA177" w14:textId="77777777" w:rsidTr="005F3A40">
        <w:trPr>
          <w:cnfStyle w:val="000000010000" w:firstRow="0" w:lastRow="0" w:firstColumn="0" w:lastColumn="0" w:oddVBand="0" w:evenVBand="0" w:oddHBand="0" w:evenHBand="1" w:firstRowFirstColumn="0" w:firstRowLastColumn="0" w:lastRowFirstColumn="0" w:lastRowLastColumn="0"/>
          <w:cantSplit/>
          <w:trHeight w:val="624"/>
        </w:trPr>
        <w:tc>
          <w:tcPr>
            <w:tcW w:w="1427" w:type="dxa"/>
            <w:vMerge w:val="restart"/>
            <w:tcBorders>
              <w:top w:val="single" w:sz="4" w:space="0" w:color="auto"/>
              <w:bottom w:val="nil"/>
            </w:tcBorders>
            <w:vAlign w:val="center"/>
          </w:tcPr>
          <w:p w14:paraId="3B7DBB0A" w14:textId="77777777" w:rsidR="00B40F10" w:rsidRPr="00566D4F" w:rsidRDefault="00B40F10">
            <w:pPr>
              <w:rPr>
                <w:rFonts w:cs="Arial"/>
                <w:sz w:val="21"/>
                <w:szCs w:val="21"/>
              </w:rPr>
            </w:pPr>
            <w:r w:rsidRPr="00566D4F">
              <w:rPr>
                <w:rStyle w:val="Characterbold"/>
                <w:rFonts w:cs="Arial"/>
                <w:sz w:val="21"/>
                <w:szCs w:val="21"/>
              </w:rPr>
              <w:t>Developing skills</w:t>
            </w:r>
          </w:p>
        </w:tc>
        <w:tc>
          <w:tcPr>
            <w:tcW w:w="2401" w:type="dxa"/>
            <w:vMerge w:val="restart"/>
            <w:tcBorders>
              <w:top w:val="single" w:sz="4" w:space="0" w:color="auto"/>
              <w:bottom w:val="nil"/>
            </w:tcBorders>
            <w:vAlign w:val="center"/>
          </w:tcPr>
          <w:p w14:paraId="617D355D" w14:textId="77777777" w:rsidR="00B40F10" w:rsidRPr="00566D4F" w:rsidRDefault="00B40F10">
            <w:pPr>
              <w:rPr>
                <w:rFonts w:cs="Arial"/>
                <w:sz w:val="21"/>
                <w:szCs w:val="21"/>
              </w:rPr>
            </w:pPr>
            <w:r w:rsidRPr="00566D4F">
              <w:rPr>
                <w:rStyle w:val="Characteritalic"/>
                <w:rFonts w:cs="Arial"/>
                <w:sz w:val="21"/>
                <w:szCs w:val="21"/>
              </w:rPr>
              <w:t>Everyone in Regional Australia is supported to efficiently develop skills that enable them to meaningfully contribute to community, economy and culture.</w:t>
            </w:r>
          </w:p>
        </w:tc>
        <w:tc>
          <w:tcPr>
            <w:tcW w:w="3119" w:type="dxa"/>
            <w:tcBorders>
              <w:top w:val="single" w:sz="4" w:space="0" w:color="auto"/>
              <w:bottom w:val="nil"/>
            </w:tcBorders>
            <w:vAlign w:val="center"/>
          </w:tcPr>
          <w:p w14:paraId="1B751C9C" w14:textId="77777777" w:rsidR="00B40F10" w:rsidRPr="00566D4F" w:rsidRDefault="00B40F10">
            <w:pPr>
              <w:rPr>
                <w:rFonts w:cs="Arial"/>
                <w:sz w:val="21"/>
                <w:szCs w:val="21"/>
              </w:rPr>
            </w:pPr>
            <w:r w:rsidRPr="00566D4F">
              <w:rPr>
                <w:rFonts w:cs="Arial"/>
                <w:sz w:val="21"/>
                <w:szCs w:val="21"/>
              </w:rPr>
              <w:t>Youth tertiary participation rate</w:t>
            </w:r>
          </w:p>
        </w:tc>
        <w:tc>
          <w:tcPr>
            <w:tcW w:w="1417" w:type="dxa"/>
            <w:tcBorders>
              <w:top w:val="single" w:sz="4" w:space="0" w:color="auto"/>
              <w:bottom w:val="nil"/>
            </w:tcBorders>
            <w:vAlign w:val="center"/>
          </w:tcPr>
          <w:p w14:paraId="76D74EC1" w14:textId="0BB24041" w:rsidR="00B40F10" w:rsidRPr="00DF5139" w:rsidRDefault="00DF5139">
            <w:pPr>
              <w:pStyle w:val="TableBodyText"/>
              <w:jc w:val="center"/>
              <w:rPr>
                <w:rFonts w:cs="Arial"/>
                <w:color w:val="FFFFFF" w:themeColor="background1"/>
                <w:sz w:val="2"/>
                <w:szCs w:val="2"/>
              </w:rPr>
            </w:pPr>
            <w:r w:rsidRPr="00DF5139">
              <w:rPr>
                <w:rFonts w:cs="Arial"/>
                <w:color w:val="FFFFFF" w:themeColor="background1"/>
                <w:sz w:val="2"/>
                <w:szCs w:val="2"/>
              </w:rPr>
              <w:t>Deteriorating or significant gap</w:t>
            </w:r>
            <w:r w:rsidRPr="00DF5139">
              <w:rPr>
                <w:rFonts w:cs="Arial"/>
                <w:noProof/>
                <w:color w:val="FFFFFF" w:themeColor="background1"/>
                <w:sz w:val="2"/>
                <w:szCs w:val="2"/>
                <w14:ligatures w14:val="standardContextual"/>
              </w:rPr>
              <w:t xml:space="preserve"> </w:t>
            </w:r>
            <w:r w:rsidR="00B40F10" w:rsidRPr="00DF5139">
              <w:rPr>
                <w:rFonts w:cs="Arial"/>
                <w:noProof/>
                <w:color w:val="FFFFFF" w:themeColor="background1"/>
                <w:sz w:val="2"/>
                <w:szCs w:val="2"/>
                <w14:ligatures w14:val="standardContextual"/>
              </w:rPr>
              <mc:AlternateContent>
                <mc:Choice Requires="wps">
                  <w:drawing>
                    <wp:anchor distT="0" distB="0" distL="114300" distR="114300" simplePos="0" relativeHeight="251706880" behindDoc="0" locked="0" layoutInCell="1" allowOverlap="1" wp14:anchorId="7D3A1891" wp14:editId="790CB6F3">
                      <wp:simplePos x="0" y="0"/>
                      <wp:positionH relativeFrom="column">
                        <wp:posOffset>269875</wp:posOffset>
                      </wp:positionH>
                      <wp:positionV relativeFrom="paragraph">
                        <wp:posOffset>113665</wp:posOffset>
                      </wp:positionV>
                      <wp:extent cx="191135" cy="190500"/>
                      <wp:effectExtent l="0" t="0" r="18415" b="19050"/>
                      <wp:wrapNone/>
                      <wp:docPr id="203587537"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DF5454"/>
                              </a:solidFill>
                              <a:ln>
                                <a:solidFill>
                                  <a:srgbClr val="DF545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417DD9" id="Oval 2" o:spid="_x0000_s1026" alt="&quot;&quot;" style="position:absolute;margin-left:21.25pt;margin-top:8.95pt;width:15.05pt;height: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" fillcolor="#df5454" strokecolor="#df5454" strokeweight="1pt">
                      <v:stroke joinstyle="miter"/>
                    </v:oval>
                  </w:pict>
                </mc:Fallback>
              </mc:AlternateContent>
            </w:r>
          </w:p>
        </w:tc>
        <w:tc>
          <w:tcPr>
            <w:tcW w:w="1559" w:type="dxa"/>
            <w:vMerge w:val="restart"/>
            <w:tcBorders>
              <w:top w:val="single" w:sz="4" w:space="0" w:color="auto"/>
              <w:bottom w:val="nil"/>
            </w:tcBorders>
            <w:shd w:val="clear" w:color="auto" w:fill="FFAD4C"/>
            <w:vAlign w:val="center"/>
          </w:tcPr>
          <w:p w14:paraId="3CF54A42" w14:textId="77777777" w:rsidR="00B40F10" w:rsidRPr="00566D4F" w:rsidRDefault="00B40F10">
            <w:pPr>
              <w:jc w:val="center"/>
              <w:rPr>
                <w:rFonts w:cs="Arial"/>
                <w:sz w:val="20"/>
              </w:rPr>
            </w:pPr>
            <w:r w:rsidRPr="006E09E3">
              <w:rPr>
                <w:rFonts w:cs="Arial"/>
                <w:sz w:val="20"/>
              </w:rPr>
              <w:t>Slow progress, stagnating or moderate gap</w:t>
            </w:r>
          </w:p>
        </w:tc>
      </w:tr>
      <w:tr w:rsidR="00B40F10" w14:paraId="3DE44742" w14:textId="77777777" w:rsidTr="005F3A40">
        <w:trPr>
          <w:cantSplit/>
          <w:trHeight w:val="624"/>
        </w:trPr>
        <w:tc>
          <w:tcPr>
            <w:tcW w:w="1427" w:type="dxa"/>
            <w:vMerge/>
            <w:tcBorders>
              <w:top w:val="nil"/>
            </w:tcBorders>
            <w:shd w:val="clear" w:color="auto" w:fill="F2F2F2" w:themeFill="background1" w:themeFillShade="F2"/>
          </w:tcPr>
          <w:p w14:paraId="7CF523C0" w14:textId="77777777" w:rsidR="00B40F10" w:rsidRPr="00566D4F" w:rsidRDefault="00B40F10">
            <w:pPr>
              <w:rPr>
                <w:rStyle w:val="Characterbold"/>
                <w:rFonts w:cs="Arial"/>
                <w:sz w:val="21"/>
                <w:szCs w:val="21"/>
              </w:rPr>
            </w:pPr>
          </w:p>
        </w:tc>
        <w:tc>
          <w:tcPr>
            <w:tcW w:w="2401" w:type="dxa"/>
            <w:vMerge/>
            <w:tcBorders>
              <w:top w:val="nil"/>
            </w:tcBorders>
            <w:shd w:val="clear" w:color="auto" w:fill="F2F2F2" w:themeFill="background1" w:themeFillShade="F2"/>
          </w:tcPr>
          <w:p w14:paraId="63696E90" w14:textId="77777777" w:rsidR="00B40F10" w:rsidRPr="00566D4F" w:rsidRDefault="00B40F10">
            <w:pPr>
              <w:rPr>
                <w:rStyle w:val="Characteritalic"/>
                <w:rFonts w:cs="Arial"/>
                <w:sz w:val="21"/>
                <w:szCs w:val="21"/>
              </w:rPr>
            </w:pPr>
          </w:p>
        </w:tc>
        <w:tc>
          <w:tcPr>
            <w:tcW w:w="3119" w:type="dxa"/>
            <w:tcBorders>
              <w:top w:val="nil"/>
            </w:tcBorders>
            <w:shd w:val="clear" w:color="auto" w:fill="F2F2F2" w:themeFill="background1" w:themeFillShade="F2"/>
            <w:vAlign w:val="center"/>
          </w:tcPr>
          <w:p w14:paraId="5EC38737" w14:textId="77777777" w:rsidR="00B40F10" w:rsidRPr="00566D4F" w:rsidRDefault="00B40F10">
            <w:pPr>
              <w:rPr>
                <w:rFonts w:cs="Arial"/>
                <w:sz w:val="21"/>
                <w:szCs w:val="21"/>
              </w:rPr>
            </w:pPr>
            <w:r w:rsidRPr="00566D4F">
              <w:rPr>
                <w:rFonts w:cs="Arial"/>
                <w:sz w:val="21"/>
                <w:szCs w:val="21"/>
              </w:rPr>
              <w:t>Completion rates for apprentices and trainees</w:t>
            </w:r>
          </w:p>
        </w:tc>
        <w:tc>
          <w:tcPr>
            <w:tcW w:w="1417" w:type="dxa"/>
            <w:tcBorders>
              <w:top w:val="nil"/>
            </w:tcBorders>
            <w:shd w:val="clear" w:color="auto" w:fill="F2F2F2" w:themeFill="background1" w:themeFillShade="F2"/>
            <w:vAlign w:val="center"/>
          </w:tcPr>
          <w:p w14:paraId="0E274152" w14:textId="067CF24A" w:rsidR="00B40F10" w:rsidRPr="00DF5139" w:rsidRDefault="00DF5139">
            <w:pPr>
              <w:pStyle w:val="TableBodyText"/>
              <w:jc w:val="center"/>
              <w:rPr>
                <w:rFonts w:cs="Arial"/>
                <w:color w:val="FFFFFF" w:themeColor="background1"/>
                <w:sz w:val="2"/>
                <w:szCs w:val="2"/>
              </w:rPr>
            </w:pPr>
            <w:r w:rsidRPr="00DF5139">
              <w:rPr>
                <w:rFonts w:cs="Arial"/>
                <w:color w:val="FFFFFF" w:themeColor="background1"/>
                <w:sz w:val="2"/>
                <w:szCs w:val="2"/>
              </w:rPr>
              <w:t>Slow progress, or stagnating or moderate gap</w:t>
            </w:r>
          </w:p>
        </w:tc>
        <w:tc>
          <w:tcPr>
            <w:tcW w:w="1559" w:type="dxa"/>
            <w:vMerge/>
            <w:tcBorders>
              <w:top w:val="nil"/>
            </w:tcBorders>
            <w:shd w:val="clear" w:color="auto" w:fill="FFAD4C"/>
          </w:tcPr>
          <w:p w14:paraId="13018F54" w14:textId="77777777" w:rsidR="00B40F10" w:rsidRPr="00566D4F" w:rsidRDefault="00B40F10">
            <w:pPr>
              <w:rPr>
                <w:rFonts w:cs="Arial"/>
                <w:sz w:val="20"/>
              </w:rPr>
            </w:pPr>
          </w:p>
        </w:tc>
      </w:tr>
      <w:tr w:rsidR="008060A9" w14:paraId="2554D2B1" w14:textId="77777777" w:rsidTr="005F3A40">
        <w:trPr>
          <w:cnfStyle w:val="000000010000" w:firstRow="0" w:lastRow="0" w:firstColumn="0" w:lastColumn="0" w:oddVBand="0" w:evenVBand="0" w:oddHBand="0" w:evenHBand="1" w:firstRowFirstColumn="0" w:firstRowLastColumn="0" w:lastRowFirstColumn="0" w:lastRowLastColumn="0"/>
          <w:cantSplit/>
          <w:trHeight w:val="624"/>
        </w:trPr>
        <w:tc>
          <w:tcPr>
            <w:tcW w:w="1427" w:type="dxa"/>
            <w:vMerge/>
          </w:tcPr>
          <w:p w14:paraId="798E7C39" w14:textId="77777777" w:rsidR="00B40F10" w:rsidRPr="00566D4F" w:rsidRDefault="00B40F10">
            <w:pPr>
              <w:rPr>
                <w:rStyle w:val="Characterbold"/>
                <w:rFonts w:cs="Arial"/>
                <w:sz w:val="21"/>
                <w:szCs w:val="21"/>
              </w:rPr>
            </w:pPr>
          </w:p>
        </w:tc>
        <w:tc>
          <w:tcPr>
            <w:tcW w:w="2401" w:type="dxa"/>
            <w:vMerge/>
          </w:tcPr>
          <w:p w14:paraId="6A40A152" w14:textId="77777777" w:rsidR="00B40F10" w:rsidRPr="00566D4F" w:rsidRDefault="00B40F10">
            <w:pPr>
              <w:rPr>
                <w:rStyle w:val="Characteritalic"/>
                <w:rFonts w:cs="Arial"/>
                <w:sz w:val="21"/>
                <w:szCs w:val="21"/>
              </w:rPr>
            </w:pPr>
          </w:p>
        </w:tc>
        <w:tc>
          <w:tcPr>
            <w:tcW w:w="3119" w:type="dxa"/>
            <w:vAlign w:val="center"/>
          </w:tcPr>
          <w:p w14:paraId="4C79C87D" w14:textId="0D55EA49" w:rsidR="00B40F10" w:rsidRPr="00566D4F" w:rsidRDefault="00B40F10">
            <w:pPr>
              <w:rPr>
                <w:rFonts w:cs="Arial"/>
                <w:sz w:val="21"/>
                <w:szCs w:val="21"/>
              </w:rPr>
            </w:pPr>
            <w:r w:rsidRPr="00566D4F">
              <w:rPr>
                <w:rFonts w:cs="Arial"/>
                <w:sz w:val="21"/>
                <w:szCs w:val="21"/>
              </w:rPr>
              <w:t xml:space="preserve">Proportion working in same field as </w:t>
            </w:r>
            <w:r w:rsidR="00A040AD">
              <w:rPr>
                <w:rFonts w:cs="Arial"/>
                <w:sz w:val="21"/>
                <w:szCs w:val="21"/>
              </w:rPr>
              <w:t>most relevant</w:t>
            </w:r>
            <w:r w:rsidRPr="00566D4F">
              <w:rPr>
                <w:rFonts w:cs="Arial"/>
                <w:sz w:val="21"/>
                <w:szCs w:val="21"/>
              </w:rPr>
              <w:t xml:space="preserve"> qual</w:t>
            </w:r>
          </w:p>
        </w:tc>
        <w:tc>
          <w:tcPr>
            <w:tcW w:w="1417" w:type="dxa"/>
            <w:vAlign w:val="center"/>
          </w:tcPr>
          <w:p w14:paraId="770D4D5B" w14:textId="218EC8E3" w:rsidR="00B40F10" w:rsidRPr="00DF5139" w:rsidRDefault="00DF5139">
            <w:pPr>
              <w:pStyle w:val="TableBodyText"/>
              <w:jc w:val="center"/>
              <w:rPr>
                <w:rFonts w:cs="Arial"/>
                <w:color w:val="FFFFFF" w:themeColor="background1"/>
                <w:sz w:val="2"/>
                <w:szCs w:val="2"/>
              </w:rPr>
            </w:pPr>
            <w:r w:rsidRPr="00DF5139">
              <w:rPr>
                <w:rFonts w:cs="Arial"/>
                <w:color w:val="FFFFFF" w:themeColor="background1"/>
                <w:sz w:val="2"/>
                <w:szCs w:val="2"/>
              </w:rPr>
              <w:t>Slow progress, or stagnating or moderate gap</w:t>
            </w:r>
            <w:r w:rsidRPr="00DF5139">
              <w:rPr>
                <w:rFonts w:cs="Arial"/>
                <w:noProof/>
                <w:color w:val="FFFFFF" w:themeColor="background1"/>
                <w:sz w:val="2"/>
                <w:szCs w:val="2"/>
                <w14:ligatures w14:val="standardContextual"/>
              </w:rPr>
              <w:t xml:space="preserve"> </w:t>
            </w:r>
            <w:r w:rsidR="0033106B" w:rsidRPr="00DF5139">
              <w:rPr>
                <w:rFonts w:cs="Arial"/>
                <w:noProof/>
                <w:color w:val="FFFFFF" w:themeColor="background1"/>
                <w:sz w:val="2"/>
                <w:szCs w:val="2"/>
                <w14:ligatures w14:val="standardContextual"/>
              </w:rPr>
              <mc:AlternateContent>
                <mc:Choice Requires="wps">
                  <w:drawing>
                    <wp:anchor distT="0" distB="0" distL="114300" distR="114300" simplePos="0" relativeHeight="251616768" behindDoc="0" locked="0" layoutInCell="1" allowOverlap="1" wp14:anchorId="3ACE89BB" wp14:editId="6F4736AF">
                      <wp:simplePos x="0" y="0"/>
                      <wp:positionH relativeFrom="column">
                        <wp:posOffset>274955</wp:posOffset>
                      </wp:positionH>
                      <wp:positionV relativeFrom="paragraph">
                        <wp:posOffset>-398780</wp:posOffset>
                      </wp:positionV>
                      <wp:extent cx="191135" cy="190500"/>
                      <wp:effectExtent l="0" t="0" r="18415" b="19050"/>
                      <wp:wrapNone/>
                      <wp:docPr id="1535587137"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FFAD4C"/>
                              </a:solidFill>
                              <a:ln>
                                <a:solidFill>
                                  <a:srgbClr val="FFAD4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011384" id="Oval 2" o:spid="_x0000_s1026" alt="&quot;&quot;" style="position:absolute;margin-left:21.65pt;margin-top:-31.4pt;width:15.05pt;height: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" fillcolor="#ffad4c" strokecolor="#ffad4c" strokeweight="1pt">
                      <v:stroke joinstyle="miter"/>
                    </v:oval>
                  </w:pict>
                </mc:Fallback>
              </mc:AlternateContent>
            </w:r>
          </w:p>
        </w:tc>
        <w:tc>
          <w:tcPr>
            <w:tcW w:w="1559" w:type="dxa"/>
            <w:vMerge/>
            <w:shd w:val="clear" w:color="auto" w:fill="FFAD4C"/>
          </w:tcPr>
          <w:p w14:paraId="545D961E" w14:textId="77777777" w:rsidR="00B40F10" w:rsidRPr="00566D4F" w:rsidRDefault="00B40F10">
            <w:pPr>
              <w:rPr>
                <w:rFonts w:cs="Arial"/>
                <w:sz w:val="20"/>
              </w:rPr>
            </w:pPr>
          </w:p>
        </w:tc>
      </w:tr>
      <w:tr w:rsidR="00B40F10" w14:paraId="51F2EA87" w14:textId="77777777" w:rsidTr="005F3A40">
        <w:trPr>
          <w:cantSplit/>
          <w:trHeight w:val="624"/>
        </w:trPr>
        <w:tc>
          <w:tcPr>
            <w:tcW w:w="1427" w:type="dxa"/>
            <w:vMerge/>
            <w:tcBorders>
              <w:bottom w:val="single" w:sz="4" w:space="0" w:color="auto"/>
            </w:tcBorders>
            <w:shd w:val="clear" w:color="auto" w:fill="F2F2F2" w:themeFill="background1" w:themeFillShade="F2"/>
          </w:tcPr>
          <w:p w14:paraId="4223A951" w14:textId="77777777" w:rsidR="00B40F10" w:rsidRPr="00566D4F" w:rsidRDefault="00B40F10">
            <w:pPr>
              <w:rPr>
                <w:rStyle w:val="Characterbold"/>
                <w:rFonts w:cs="Arial"/>
                <w:sz w:val="21"/>
                <w:szCs w:val="21"/>
              </w:rPr>
            </w:pPr>
          </w:p>
        </w:tc>
        <w:tc>
          <w:tcPr>
            <w:tcW w:w="2401" w:type="dxa"/>
            <w:vMerge/>
            <w:tcBorders>
              <w:bottom w:val="single" w:sz="4" w:space="0" w:color="auto"/>
            </w:tcBorders>
            <w:shd w:val="clear" w:color="auto" w:fill="F2F2F2" w:themeFill="background1" w:themeFillShade="F2"/>
          </w:tcPr>
          <w:p w14:paraId="6D235A2C" w14:textId="77777777" w:rsidR="00B40F10" w:rsidRPr="00566D4F" w:rsidRDefault="00B40F10">
            <w:pPr>
              <w:rPr>
                <w:rStyle w:val="Characteritalic"/>
                <w:rFonts w:cs="Arial"/>
                <w:sz w:val="21"/>
                <w:szCs w:val="21"/>
              </w:rPr>
            </w:pPr>
          </w:p>
        </w:tc>
        <w:tc>
          <w:tcPr>
            <w:tcW w:w="3119" w:type="dxa"/>
            <w:tcBorders>
              <w:bottom w:val="single" w:sz="4" w:space="0" w:color="auto"/>
            </w:tcBorders>
            <w:shd w:val="clear" w:color="auto" w:fill="F2F2F2" w:themeFill="background1" w:themeFillShade="F2"/>
            <w:vAlign w:val="center"/>
          </w:tcPr>
          <w:p w14:paraId="3E1BC00C" w14:textId="77777777" w:rsidR="00B40F10" w:rsidRDefault="00B40F10">
            <w:pPr>
              <w:rPr>
                <w:rFonts w:cs="Arial"/>
                <w:sz w:val="21"/>
                <w:szCs w:val="21"/>
              </w:rPr>
            </w:pPr>
            <w:r w:rsidRPr="00566D4F">
              <w:rPr>
                <w:rFonts w:cs="Arial"/>
                <w:sz w:val="21"/>
                <w:szCs w:val="21"/>
              </w:rPr>
              <w:t>Proportion working in jobs below their qualification level</w:t>
            </w:r>
          </w:p>
          <w:p w14:paraId="1E075385" w14:textId="77777777" w:rsidR="003761BB" w:rsidRDefault="003761BB">
            <w:pPr>
              <w:rPr>
                <w:rFonts w:cs="Arial"/>
                <w:sz w:val="21"/>
                <w:szCs w:val="21"/>
              </w:rPr>
            </w:pPr>
          </w:p>
          <w:p w14:paraId="00472A59" w14:textId="77777777" w:rsidR="00B40F10" w:rsidRPr="00566D4F" w:rsidRDefault="00B40F10">
            <w:pPr>
              <w:rPr>
                <w:rFonts w:cs="Arial"/>
                <w:sz w:val="21"/>
                <w:szCs w:val="21"/>
              </w:rPr>
            </w:pPr>
          </w:p>
        </w:tc>
        <w:tc>
          <w:tcPr>
            <w:tcW w:w="1417" w:type="dxa"/>
            <w:tcBorders>
              <w:bottom w:val="single" w:sz="4" w:space="0" w:color="auto"/>
            </w:tcBorders>
            <w:shd w:val="clear" w:color="auto" w:fill="F2F2F2" w:themeFill="background1" w:themeFillShade="F2"/>
            <w:vAlign w:val="center"/>
          </w:tcPr>
          <w:p w14:paraId="45303C39" w14:textId="6D616906" w:rsidR="00B40F10" w:rsidRPr="00DF5139" w:rsidRDefault="00DF5139">
            <w:pPr>
              <w:jc w:val="center"/>
              <w:rPr>
                <w:rFonts w:cs="Arial"/>
                <w:color w:val="FFFFFF" w:themeColor="background1"/>
                <w:sz w:val="2"/>
                <w:szCs w:val="2"/>
              </w:rPr>
            </w:pPr>
            <w:r w:rsidRPr="00DF5139">
              <w:rPr>
                <w:rFonts w:cs="Arial"/>
                <w:color w:val="FFFFFF" w:themeColor="background1"/>
                <w:sz w:val="2"/>
                <w:szCs w:val="2"/>
              </w:rPr>
              <w:t>Slow progress, or stagnating or moderate gap</w:t>
            </w:r>
            <w:r w:rsidRPr="00DF5139">
              <w:rPr>
                <w:rFonts w:cs="Arial"/>
                <w:noProof/>
                <w:color w:val="FFFFFF" w:themeColor="background1"/>
                <w:sz w:val="2"/>
                <w:szCs w:val="2"/>
                <w14:ligatures w14:val="standardContextual"/>
              </w:rPr>
              <w:t xml:space="preserve"> </w:t>
            </w:r>
            <w:r w:rsidR="0033106B" w:rsidRPr="00DF5139">
              <w:rPr>
                <w:rFonts w:cs="Arial"/>
                <w:noProof/>
                <w:color w:val="FFFFFF" w:themeColor="background1"/>
                <w:sz w:val="2"/>
                <w:szCs w:val="2"/>
                <w14:ligatures w14:val="standardContextual"/>
              </w:rPr>
              <mc:AlternateContent>
                <mc:Choice Requires="wps">
                  <w:drawing>
                    <wp:anchor distT="0" distB="0" distL="114300" distR="114300" simplePos="0" relativeHeight="251633152" behindDoc="0" locked="0" layoutInCell="1" allowOverlap="1" wp14:anchorId="6BC66EC4" wp14:editId="1A09C25A">
                      <wp:simplePos x="0" y="0"/>
                      <wp:positionH relativeFrom="column">
                        <wp:posOffset>254000</wp:posOffset>
                      </wp:positionH>
                      <wp:positionV relativeFrom="paragraph">
                        <wp:posOffset>-236855</wp:posOffset>
                      </wp:positionV>
                      <wp:extent cx="191135" cy="190500"/>
                      <wp:effectExtent l="0" t="0" r="18415" b="19050"/>
                      <wp:wrapNone/>
                      <wp:docPr id="1459243828"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FFAD4C"/>
                              </a:solidFill>
                              <a:ln>
                                <a:solidFill>
                                  <a:srgbClr val="FFAD4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7C3130" id="Oval 2" o:spid="_x0000_s1026" alt="&quot;&quot;" style="position:absolute;margin-left:20pt;margin-top:-18.65pt;width:15.05pt;height: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" fillcolor="#ffad4c" strokecolor="#ffad4c" strokeweight="1pt">
                      <v:stroke joinstyle="miter"/>
                    </v:oval>
                  </w:pict>
                </mc:Fallback>
              </mc:AlternateContent>
            </w:r>
            <w:r w:rsidR="0033106B" w:rsidRPr="00DF5139">
              <w:rPr>
                <w:rFonts w:cs="Arial"/>
                <w:noProof/>
                <w:color w:val="FFFFFF" w:themeColor="background1"/>
                <w:sz w:val="2"/>
                <w:szCs w:val="2"/>
                <w14:ligatures w14:val="standardContextual"/>
              </w:rPr>
              <mc:AlternateContent>
                <mc:Choice Requires="wps">
                  <w:drawing>
                    <wp:anchor distT="0" distB="0" distL="114300" distR="114300" simplePos="0" relativeHeight="251624960" behindDoc="0" locked="0" layoutInCell="1" allowOverlap="1" wp14:anchorId="6663C902" wp14:editId="0371A408">
                      <wp:simplePos x="0" y="0"/>
                      <wp:positionH relativeFrom="column">
                        <wp:posOffset>266700</wp:posOffset>
                      </wp:positionH>
                      <wp:positionV relativeFrom="paragraph">
                        <wp:posOffset>-637540</wp:posOffset>
                      </wp:positionV>
                      <wp:extent cx="191135" cy="190500"/>
                      <wp:effectExtent l="0" t="0" r="18415" b="19050"/>
                      <wp:wrapNone/>
                      <wp:docPr id="282856641"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FFAD4C"/>
                              </a:solidFill>
                              <a:ln>
                                <a:solidFill>
                                  <a:srgbClr val="FFAD4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8DEA91" id="Oval 2" o:spid="_x0000_s1026" alt="&quot;&quot;" style="position:absolute;margin-left:21pt;margin-top:-50.2pt;width:15.05pt;height: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" fillcolor="#ffad4c" strokecolor="#ffad4c" strokeweight="1pt">
                      <v:stroke joinstyle="miter"/>
                    </v:oval>
                  </w:pict>
                </mc:Fallback>
              </mc:AlternateContent>
            </w:r>
          </w:p>
        </w:tc>
        <w:tc>
          <w:tcPr>
            <w:tcW w:w="1559" w:type="dxa"/>
            <w:vMerge/>
            <w:tcBorders>
              <w:bottom w:val="single" w:sz="4" w:space="0" w:color="auto"/>
            </w:tcBorders>
            <w:shd w:val="clear" w:color="auto" w:fill="FFAD4C"/>
          </w:tcPr>
          <w:p w14:paraId="668330C5" w14:textId="77777777" w:rsidR="00B40F10" w:rsidRPr="00566D4F" w:rsidRDefault="00B40F10">
            <w:pPr>
              <w:rPr>
                <w:rFonts w:cs="Arial"/>
                <w:sz w:val="20"/>
              </w:rPr>
            </w:pPr>
          </w:p>
        </w:tc>
      </w:tr>
      <w:tr w:rsidR="00B40F10" w14:paraId="24B9D198" w14:textId="77777777" w:rsidTr="005F3A40">
        <w:trPr>
          <w:cnfStyle w:val="000000010000" w:firstRow="0" w:lastRow="0" w:firstColumn="0" w:lastColumn="0" w:oddVBand="0" w:evenVBand="0" w:oddHBand="0" w:evenHBand="1" w:firstRowFirstColumn="0" w:firstRowLastColumn="0" w:lastRowFirstColumn="0" w:lastRowLastColumn="0"/>
          <w:cantSplit/>
          <w:trHeight w:val="510"/>
        </w:trPr>
        <w:tc>
          <w:tcPr>
            <w:tcW w:w="1427" w:type="dxa"/>
            <w:vMerge w:val="restart"/>
            <w:tcBorders>
              <w:top w:val="single" w:sz="4" w:space="0" w:color="auto"/>
              <w:bottom w:val="nil"/>
            </w:tcBorders>
            <w:shd w:val="clear" w:color="auto" w:fill="FFFFFF" w:themeFill="background1"/>
            <w:vAlign w:val="center"/>
          </w:tcPr>
          <w:p w14:paraId="6F1C2BA2" w14:textId="2B6EE1E5" w:rsidR="00B40F10" w:rsidRPr="00566D4F" w:rsidRDefault="00B40F10">
            <w:pPr>
              <w:rPr>
                <w:rFonts w:cs="Arial"/>
                <w:sz w:val="21"/>
                <w:szCs w:val="21"/>
              </w:rPr>
            </w:pPr>
            <w:r w:rsidRPr="00566D4F">
              <w:rPr>
                <w:rStyle w:val="Characterbold"/>
                <w:rFonts w:cs="Arial"/>
                <w:sz w:val="21"/>
                <w:szCs w:val="21"/>
              </w:rPr>
              <w:lastRenderedPageBreak/>
              <w:t>Quality jobs</w:t>
            </w:r>
          </w:p>
        </w:tc>
        <w:tc>
          <w:tcPr>
            <w:tcW w:w="2401" w:type="dxa"/>
            <w:vMerge w:val="restart"/>
            <w:tcBorders>
              <w:top w:val="single" w:sz="4" w:space="0" w:color="auto"/>
              <w:bottom w:val="nil"/>
            </w:tcBorders>
            <w:shd w:val="clear" w:color="auto" w:fill="FFFFFF" w:themeFill="background1"/>
            <w:vAlign w:val="center"/>
          </w:tcPr>
          <w:p w14:paraId="26C2E9F4" w14:textId="77777777" w:rsidR="00B40F10" w:rsidRPr="00566D4F" w:rsidRDefault="00B40F10">
            <w:pPr>
              <w:rPr>
                <w:rFonts w:cs="Arial"/>
                <w:sz w:val="21"/>
                <w:szCs w:val="21"/>
              </w:rPr>
            </w:pPr>
            <w:r w:rsidRPr="00566D4F">
              <w:rPr>
                <w:rStyle w:val="Characteritalic"/>
                <w:rFonts w:cs="Arial"/>
                <w:sz w:val="21"/>
                <w:szCs w:val="21"/>
              </w:rPr>
              <w:t>Everyone employed in Regional Australia can work in a quality job that is safe, fair, rewarding and satisfying.</w:t>
            </w:r>
          </w:p>
        </w:tc>
        <w:tc>
          <w:tcPr>
            <w:tcW w:w="3119" w:type="dxa"/>
            <w:tcBorders>
              <w:top w:val="single" w:sz="4" w:space="0" w:color="auto"/>
              <w:bottom w:val="nil"/>
            </w:tcBorders>
            <w:shd w:val="clear" w:color="auto" w:fill="FFFFFF" w:themeFill="background1"/>
            <w:vAlign w:val="center"/>
          </w:tcPr>
          <w:p w14:paraId="1E95F21C" w14:textId="77777777" w:rsidR="00B40F10" w:rsidRPr="00566D4F" w:rsidRDefault="00B40F10">
            <w:pPr>
              <w:rPr>
                <w:rFonts w:cs="Arial"/>
                <w:sz w:val="21"/>
                <w:szCs w:val="21"/>
              </w:rPr>
            </w:pPr>
            <w:r w:rsidRPr="00566D4F">
              <w:rPr>
                <w:rFonts w:cs="Arial"/>
                <w:sz w:val="21"/>
                <w:szCs w:val="21"/>
              </w:rPr>
              <w:t>High job satisfaction</w:t>
            </w:r>
          </w:p>
        </w:tc>
        <w:tc>
          <w:tcPr>
            <w:tcW w:w="1417" w:type="dxa"/>
            <w:tcBorders>
              <w:top w:val="single" w:sz="4" w:space="0" w:color="auto"/>
              <w:bottom w:val="nil"/>
            </w:tcBorders>
            <w:shd w:val="clear" w:color="auto" w:fill="FFFFFF" w:themeFill="background1"/>
            <w:vAlign w:val="center"/>
          </w:tcPr>
          <w:p w14:paraId="7975E60C" w14:textId="413D111A" w:rsidR="00B40F10" w:rsidRPr="00DF5139" w:rsidRDefault="00DF5139">
            <w:pPr>
              <w:jc w:val="center"/>
              <w:rPr>
                <w:rFonts w:cs="Arial"/>
                <w:color w:val="FFFFFF" w:themeColor="background1"/>
                <w:sz w:val="2"/>
                <w:szCs w:val="2"/>
              </w:rPr>
            </w:pPr>
            <w:r w:rsidRPr="00DF5139">
              <w:rPr>
                <w:rFonts w:cs="Arial"/>
                <w:color w:val="FFFFFF" w:themeColor="background1"/>
                <w:sz w:val="2"/>
                <w:szCs w:val="2"/>
              </w:rPr>
              <w:t>On track or performing at an appropriate level</w:t>
            </w:r>
            <w:r w:rsidRPr="00DF5139">
              <w:rPr>
                <w:rFonts w:cs="Arial"/>
                <w:noProof/>
                <w:color w:val="FFFFFF" w:themeColor="background1"/>
                <w:sz w:val="2"/>
                <w:szCs w:val="2"/>
                <w14:ligatures w14:val="standardContextual"/>
              </w:rPr>
              <w:t xml:space="preserve"> </w:t>
            </w:r>
          </w:p>
        </w:tc>
        <w:tc>
          <w:tcPr>
            <w:tcW w:w="1559" w:type="dxa"/>
            <w:vMerge w:val="restart"/>
            <w:tcBorders>
              <w:top w:val="single" w:sz="4" w:space="0" w:color="auto"/>
              <w:bottom w:val="nil"/>
            </w:tcBorders>
            <w:shd w:val="clear" w:color="auto" w:fill="52BD7F"/>
            <w:vAlign w:val="center"/>
          </w:tcPr>
          <w:p w14:paraId="3B075E4F" w14:textId="77777777" w:rsidR="00B40F10" w:rsidRPr="00566D4F" w:rsidRDefault="00B40F10">
            <w:pPr>
              <w:jc w:val="center"/>
              <w:rPr>
                <w:rFonts w:cs="Arial"/>
                <w:sz w:val="20"/>
              </w:rPr>
            </w:pPr>
            <w:r w:rsidRPr="006E09E3">
              <w:rPr>
                <w:rFonts w:cs="Arial"/>
                <w:sz w:val="20"/>
              </w:rPr>
              <w:t>On track or performing at an appropriate level</w:t>
            </w:r>
          </w:p>
        </w:tc>
      </w:tr>
      <w:tr w:rsidR="00B40F10" w14:paraId="72A19186" w14:textId="77777777" w:rsidTr="005F3A40">
        <w:trPr>
          <w:cantSplit/>
          <w:trHeight w:val="510"/>
        </w:trPr>
        <w:tc>
          <w:tcPr>
            <w:tcW w:w="1427" w:type="dxa"/>
            <w:vMerge/>
            <w:tcBorders>
              <w:top w:val="nil"/>
            </w:tcBorders>
            <w:shd w:val="clear" w:color="auto" w:fill="FFFFFF" w:themeFill="background1"/>
          </w:tcPr>
          <w:p w14:paraId="07AA8658" w14:textId="77777777" w:rsidR="00B40F10" w:rsidRPr="00566D4F" w:rsidRDefault="00B40F10">
            <w:pPr>
              <w:rPr>
                <w:rStyle w:val="Characterbold"/>
                <w:rFonts w:cs="Arial"/>
                <w:sz w:val="21"/>
                <w:szCs w:val="21"/>
              </w:rPr>
            </w:pPr>
          </w:p>
        </w:tc>
        <w:tc>
          <w:tcPr>
            <w:tcW w:w="2401" w:type="dxa"/>
            <w:vMerge/>
            <w:tcBorders>
              <w:top w:val="nil"/>
            </w:tcBorders>
            <w:shd w:val="clear" w:color="auto" w:fill="FFFFFF" w:themeFill="background1"/>
          </w:tcPr>
          <w:p w14:paraId="33F09471" w14:textId="77777777" w:rsidR="00B40F10" w:rsidRPr="00566D4F" w:rsidRDefault="00B40F10">
            <w:pPr>
              <w:rPr>
                <w:rStyle w:val="Characteritalic"/>
                <w:rFonts w:cs="Arial"/>
                <w:sz w:val="21"/>
                <w:szCs w:val="21"/>
              </w:rPr>
            </w:pPr>
          </w:p>
        </w:tc>
        <w:tc>
          <w:tcPr>
            <w:tcW w:w="3119" w:type="dxa"/>
            <w:tcBorders>
              <w:top w:val="nil"/>
            </w:tcBorders>
            <w:shd w:val="clear" w:color="auto" w:fill="FFFFFF" w:themeFill="background1"/>
            <w:vAlign w:val="center"/>
          </w:tcPr>
          <w:p w14:paraId="2F7B8EEA" w14:textId="50B4FAF3" w:rsidR="00B40F10" w:rsidRPr="00566D4F" w:rsidRDefault="00B40F10">
            <w:pPr>
              <w:rPr>
                <w:rFonts w:cs="Arial"/>
                <w:sz w:val="21"/>
                <w:szCs w:val="21"/>
              </w:rPr>
            </w:pPr>
            <w:r w:rsidRPr="00566D4F">
              <w:rPr>
                <w:rFonts w:cs="Arial"/>
                <w:sz w:val="21"/>
                <w:szCs w:val="21"/>
              </w:rPr>
              <w:t>Underemployment</w:t>
            </w:r>
            <w:r w:rsidR="004C69D3">
              <w:rPr>
                <w:rFonts w:cs="Arial"/>
                <w:sz w:val="21"/>
                <w:szCs w:val="21"/>
              </w:rPr>
              <w:t xml:space="preserve"> rate</w:t>
            </w:r>
          </w:p>
        </w:tc>
        <w:tc>
          <w:tcPr>
            <w:tcW w:w="1417" w:type="dxa"/>
            <w:tcBorders>
              <w:top w:val="nil"/>
            </w:tcBorders>
            <w:shd w:val="clear" w:color="auto" w:fill="FFFFFF" w:themeFill="background1"/>
            <w:vAlign w:val="center"/>
          </w:tcPr>
          <w:p w14:paraId="32267502" w14:textId="2218BF95" w:rsidR="00B40F10" w:rsidRPr="00DF5139" w:rsidRDefault="00DF5139">
            <w:pPr>
              <w:jc w:val="center"/>
              <w:rPr>
                <w:rFonts w:cs="Arial"/>
                <w:color w:val="FFFFFF" w:themeColor="background1"/>
                <w:sz w:val="2"/>
                <w:szCs w:val="2"/>
              </w:rPr>
            </w:pPr>
            <w:r w:rsidRPr="00DF5139">
              <w:rPr>
                <w:rFonts w:cs="Arial"/>
                <w:color w:val="FFFFFF" w:themeColor="background1"/>
                <w:sz w:val="2"/>
                <w:szCs w:val="2"/>
              </w:rPr>
              <w:t>On track or performing at an appropriate level</w:t>
            </w:r>
            <w:r w:rsidRPr="00DF5139">
              <w:rPr>
                <w:rFonts w:cs="Arial"/>
                <w:noProof/>
                <w:color w:val="FFFFFF" w:themeColor="background1"/>
                <w:sz w:val="2"/>
                <w:szCs w:val="2"/>
                <w14:ligatures w14:val="standardContextual"/>
              </w:rPr>
              <w:t xml:space="preserve"> </w:t>
            </w:r>
            <w:r w:rsidR="00B40F10" w:rsidRPr="00DF5139">
              <w:rPr>
                <w:rFonts w:cs="Arial"/>
                <w:noProof/>
                <w:color w:val="FFFFFF" w:themeColor="background1"/>
                <w:sz w:val="2"/>
                <w:szCs w:val="2"/>
                <w14:ligatures w14:val="standardContextual"/>
              </w:rPr>
              <mc:AlternateContent>
                <mc:Choice Requires="wps">
                  <w:drawing>
                    <wp:anchor distT="0" distB="0" distL="114300" distR="114300" simplePos="0" relativeHeight="251600384" behindDoc="0" locked="0" layoutInCell="1" allowOverlap="1" wp14:anchorId="754C5C7F" wp14:editId="39AE7643">
                      <wp:simplePos x="0" y="0"/>
                      <wp:positionH relativeFrom="column">
                        <wp:posOffset>319405</wp:posOffset>
                      </wp:positionH>
                      <wp:positionV relativeFrom="paragraph">
                        <wp:posOffset>66040</wp:posOffset>
                      </wp:positionV>
                      <wp:extent cx="191135" cy="190500"/>
                      <wp:effectExtent l="0" t="0" r="18415" b="19050"/>
                      <wp:wrapNone/>
                      <wp:docPr id="463231455"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52BD7F"/>
                              </a:solidFill>
                              <a:ln>
                                <a:solidFill>
                                  <a:srgbClr val="52BD7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BB9FE5" id="Oval 2" o:spid="_x0000_s1026" alt="&quot;&quot;" style="position:absolute;margin-left:25.15pt;margin-top:5.2pt;width:15.05pt;height:1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" fillcolor="#52bd7f" strokecolor="#52bd7f" strokeweight="1pt">
                      <v:stroke joinstyle="miter"/>
                    </v:oval>
                  </w:pict>
                </mc:Fallback>
              </mc:AlternateContent>
            </w:r>
          </w:p>
        </w:tc>
        <w:tc>
          <w:tcPr>
            <w:tcW w:w="1559" w:type="dxa"/>
            <w:vMerge/>
            <w:tcBorders>
              <w:top w:val="nil"/>
            </w:tcBorders>
            <w:shd w:val="clear" w:color="auto" w:fill="52BD7F"/>
          </w:tcPr>
          <w:p w14:paraId="0863AAF1" w14:textId="77777777" w:rsidR="00B40F10" w:rsidRPr="00566D4F" w:rsidRDefault="00B40F10">
            <w:pPr>
              <w:rPr>
                <w:rFonts w:cs="Arial"/>
                <w:sz w:val="20"/>
              </w:rPr>
            </w:pPr>
          </w:p>
        </w:tc>
      </w:tr>
      <w:tr w:rsidR="00B40F10" w14:paraId="0B55BF95" w14:textId="77777777" w:rsidTr="005F3A40">
        <w:trPr>
          <w:cnfStyle w:val="000000010000" w:firstRow="0" w:lastRow="0" w:firstColumn="0" w:lastColumn="0" w:oddVBand="0" w:evenVBand="0" w:oddHBand="0" w:evenHBand="1" w:firstRowFirstColumn="0" w:firstRowLastColumn="0" w:lastRowFirstColumn="0" w:lastRowLastColumn="0"/>
          <w:cantSplit/>
          <w:trHeight w:val="510"/>
        </w:trPr>
        <w:tc>
          <w:tcPr>
            <w:tcW w:w="1427" w:type="dxa"/>
            <w:vMerge/>
            <w:shd w:val="clear" w:color="auto" w:fill="FFFFFF" w:themeFill="background1"/>
          </w:tcPr>
          <w:p w14:paraId="3B58C7CD" w14:textId="77777777" w:rsidR="00B40F10" w:rsidRPr="00566D4F" w:rsidRDefault="00B40F10">
            <w:pPr>
              <w:rPr>
                <w:rStyle w:val="Characterbold"/>
                <w:rFonts w:cs="Arial"/>
                <w:sz w:val="21"/>
                <w:szCs w:val="21"/>
              </w:rPr>
            </w:pPr>
          </w:p>
        </w:tc>
        <w:tc>
          <w:tcPr>
            <w:tcW w:w="2401" w:type="dxa"/>
            <w:vMerge/>
            <w:shd w:val="clear" w:color="auto" w:fill="FFFFFF" w:themeFill="background1"/>
          </w:tcPr>
          <w:p w14:paraId="57F5E2B5" w14:textId="77777777" w:rsidR="00B40F10" w:rsidRPr="00566D4F" w:rsidRDefault="00B40F10">
            <w:pPr>
              <w:rPr>
                <w:rStyle w:val="Characteritalic"/>
                <w:rFonts w:cs="Arial"/>
                <w:sz w:val="21"/>
                <w:szCs w:val="21"/>
              </w:rPr>
            </w:pPr>
          </w:p>
        </w:tc>
        <w:tc>
          <w:tcPr>
            <w:tcW w:w="3119" w:type="dxa"/>
            <w:shd w:val="clear" w:color="auto" w:fill="FFFFFF" w:themeFill="background1"/>
            <w:vAlign w:val="center"/>
          </w:tcPr>
          <w:p w14:paraId="0F070E6D" w14:textId="77777777" w:rsidR="00B40F10" w:rsidRPr="00566D4F" w:rsidRDefault="00B40F10">
            <w:pPr>
              <w:rPr>
                <w:rFonts w:cs="Arial"/>
                <w:sz w:val="21"/>
                <w:szCs w:val="21"/>
              </w:rPr>
            </w:pPr>
            <w:r w:rsidRPr="00566D4F">
              <w:rPr>
                <w:rFonts w:cs="Arial"/>
                <w:sz w:val="21"/>
                <w:szCs w:val="21"/>
              </w:rPr>
              <w:t>Income inequality ratio</w:t>
            </w:r>
          </w:p>
        </w:tc>
        <w:tc>
          <w:tcPr>
            <w:tcW w:w="1417" w:type="dxa"/>
            <w:shd w:val="clear" w:color="auto" w:fill="FFFFFF" w:themeFill="background1"/>
            <w:vAlign w:val="center"/>
          </w:tcPr>
          <w:p w14:paraId="1CC128D1" w14:textId="5EC5E23E" w:rsidR="00B40F10" w:rsidRPr="00DF5139" w:rsidRDefault="005977BD">
            <w:pPr>
              <w:jc w:val="center"/>
              <w:rPr>
                <w:rFonts w:cs="Arial"/>
                <w:color w:val="FFFFFF" w:themeColor="background1"/>
                <w:sz w:val="2"/>
                <w:szCs w:val="2"/>
              </w:rPr>
            </w:pPr>
            <w:r w:rsidRPr="00DF5139">
              <w:rPr>
                <w:rFonts w:cs="Arial"/>
                <w:noProof/>
                <w:color w:val="FFFFFF" w:themeColor="background1"/>
                <w:sz w:val="2"/>
                <w:szCs w:val="2"/>
                <w14:ligatures w14:val="standardContextual"/>
              </w:rPr>
              <mc:AlternateContent>
                <mc:Choice Requires="wps">
                  <w:drawing>
                    <wp:anchor distT="0" distB="0" distL="114300" distR="114300" simplePos="0" relativeHeight="251592192" behindDoc="0" locked="0" layoutInCell="1" allowOverlap="1" wp14:anchorId="6F4A9A64" wp14:editId="74FBBA62">
                      <wp:simplePos x="0" y="0"/>
                      <wp:positionH relativeFrom="column">
                        <wp:posOffset>318135</wp:posOffset>
                      </wp:positionH>
                      <wp:positionV relativeFrom="paragraph">
                        <wp:posOffset>-695960</wp:posOffset>
                      </wp:positionV>
                      <wp:extent cx="191135" cy="190500"/>
                      <wp:effectExtent l="0" t="0" r="18415" b="19050"/>
                      <wp:wrapNone/>
                      <wp:docPr id="1064356004"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52BD7F"/>
                              </a:solidFill>
                              <a:ln>
                                <a:solidFill>
                                  <a:srgbClr val="52BD7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88A76" id="Oval 2" o:spid="_x0000_s1026" alt="&quot;&quot;" style="position:absolute;margin-left:25.05pt;margin-top:-54.8pt;width:15.05pt;height:1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" fillcolor="#52bd7f" strokecolor="#52bd7f" strokeweight="1pt">
                      <v:stroke joinstyle="miter"/>
                    </v:oval>
                  </w:pict>
                </mc:Fallback>
              </mc:AlternateContent>
            </w:r>
            <w:r w:rsidR="00DF5139" w:rsidRPr="00DF5139">
              <w:rPr>
                <w:rFonts w:cs="Arial"/>
                <w:color w:val="FFFFFF" w:themeColor="background1"/>
                <w:sz w:val="2"/>
                <w:szCs w:val="2"/>
              </w:rPr>
              <w:t>Slow progress, or stagnating or moderate gap</w:t>
            </w:r>
          </w:p>
        </w:tc>
        <w:tc>
          <w:tcPr>
            <w:tcW w:w="1559" w:type="dxa"/>
            <w:vMerge/>
            <w:shd w:val="clear" w:color="auto" w:fill="52BD7F"/>
          </w:tcPr>
          <w:p w14:paraId="39479CC3" w14:textId="77777777" w:rsidR="00B40F10" w:rsidRPr="00566D4F" w:rsidRDefault="00B40F10">
            <w:pPr>
              <w:rPr>
                <w:rFonts w:cs="Arial"/>
                <w:sz w:val="20"/>
              </w:rPr>
            </w:pPr>
          </w:p>
        </w:tc>
      </w:tr>
      <w:tr w:rsidR="00B40F10" w14:paraId="72CB594B" w14:textId="77777777" w:rsidTr="005F3A40">
        <w:trPr>
          <w:cantSplit/>
          <w:trHeight w:val="510"/>
        </w:trPr>
        <w:tc>
          <w:tcPr>
            <w:tcW w:w="1427" w:type="dxa"/>
            <w:vMerge/>
            <w:tcBorders>
              <w:bottom w:val="single" w:sz="4" w:space="0" w:color="auto"/>
            </w:tcBorders>
            <w:shd w:val="clear" w:color="auto" w:fill="FFFFFF" w:themeFill="background1"/>
          </w:tcPr>
          <w:p w14:paraId="73A36954" w14:textId="77777777" w:rsidR="00B40F10" w:rsidRPr="00566D4F" w:rsidRDefault="00B40F10">
            <w:pPr>
              <w:rPr>
                <w:rStyle w:val="Characterbold"/>
                <w:rFonts w:cs="Arial"/>
                <w:sz w:val="21"/>
                <w:szCs w:val="21"/>
              </w:rPr>
            </w:pPr>
          </w:p>
        </w:tc>
        <w:tc>
          <w:tcPr>
            <w:tcW w:w="2401" w:type="dxa"/>
            <w:vMerge/>
            <w:tcBorders>
              <w:bottom w:val="single" w:sz="4" w:space="0" w:color="auto"/>
            </w:tcBorders>
            <w:shd w:val="clear" w:color="auto" w:fill="FFFFFF" w:themeFill="background1"/>
          </w:tcPr>
          <w:p w14:paraId="5F0CB02D" w14:textId="77777777" w:rsidR="00B40F10" w:rsidRPr="00566D4F" w:rsidRDefault="00B40F10">
            <w:pPr>
              <w:rPr>
                <w:rStyle w:val="Characteritalic"/>
                <w:rFonts w:cs="Arial"/>
                <w:sz w:val="21"/>
                <w:szCs w:val="21"/>
              </w:rPr>
            </w:pPr>
          </w:p>
        </w:tc>
        <w:tc>
          <w:tcPr>
            <w:tcW w:w="3119" w:type="dxa"/>
            <w:tcBorders>
              <w:bottom w:val="single" w:sz="4" w:space="0" w:color="auto"/>
            </w:tcBorders>
            <w:shd w:val="clear" w:color="auto" w:fill="FFFFFF" w:themeFill="background1"/>
            <w:vAlign w:val="center"/>
          </w:tcPr>
          <w:p w14:paraId="04CFA783" w14:textId="048333FF" w:rsidR="00B40F10" w:rsidRPr="00566D4F" w:rsidRDefault="00B35FB5">
            <w:pPr>
              <w:rPr>
                <w:rFonts w:cs="Arial"/>
                <w:sz w:val="21"/>
                <w:szCs w:val="21"/>
              </w:rPr>
            </w:pPr>
            <w:r>
              <w:rPr>
                <w:rFonts w:cs="Arial"/>
                <w:sz w:val="21"/>
                <w:szCs w:val="21"/>
              </w:rPr>
              <w:t>Workers’</w:t>
            </w:r>
            <w:r w:rsidR="00B31EE0">
              <w:rPr>
                <w:rFonts w:cs="Arial"/>
                <w:sz w:val="21"/>
                <w:szCs w:val="21"/>
              </w:rPr>
              <w:t xml:space="preserve"> compensation</w:t>
            </w:r>
            <w:r w:rsidR="00B40F10" w:rsidRPr="00566D4F">
              <w:rPr>
                <w:rFonts w:cs="Arial"/>
                <w:sz w:val="21"/>
                <w:szCs w:val="21"/>
              </w:rPr>
              <w:t xml:space="preserve"> incidence rate</w:t>
            </w:r>
          </w:p>
        </w:tc>
        <w:tc>
          <w:tcPr>
            <w:tcW w:w="1417" w:type="dxa"/>
            <w:tcBorders>
              <w:bottom w:val="single" w:sz="4" w:space="0" w:color="auto"/>
            </w:tcBorders>
            <w:shd w:val="clear" w:color="auto" w:fill="FFFFFF" w:themeFill="background1"/>
            <w:vAlign w:val="center"/>
          </w:tcPr>
          <w:p w14:paraId="2D59F50D" w14:textId="6694C105" w:rsidR="00B40F10" w:rsidRPr="00DF5139" w:rsidRDefault="00DF5139">
            <w:pPr>
              <w:jc w:val="center"/>
              <w:rPr>
                <w:rFonts w:cs="Arial"/>
                <w:color w:val="FFFFFF" w:themeColor="background1"/>
                <w:sz w:val="2"/>
                <w:szCs w:val="2"/>
              </w:rPr>
            </w:pPr>
            <w:r w:rsidRPr="00DF5139">
              <w:rPr>
                <w:rFonts w:cs="Arial"/>
                <w:color w:val="FFFFFF" w:themeColor="background1"/>
                <w:sz w:val="2"/>
                <w:szCs w:val="2"/>
              </w:rPr>
              <w:t>Slow progress, or stagnating or moderate gap</w:t>
            </w:r>
          </w:p>
        </w:tc>
        <w:tc>
          <w:tcPr>
            <w:tcW w:w="1559" w:type="dxa"/>
            <w:vMerge/>
            <w:tcBorders>
              <w:bottom w:val="single" w:sz="4" w:space="0" w:color="auto"/>
            </w:tcBorders>
            <w:shd w:val="clear" w:color="auto" w:fill="52BD7F"/>
          </w:tcPr>
          <w:p w14:paraId="6F1AD0DB" w14:textId="77777777" w:rsidR="00B40F10" w:rsidRPr="00566D4F" w:rsidRDefault="00B40F10">
            <w:pPr>
              <w:rPr>
                <w:rFonts w:cs="Arial"/>
                <w:sz w:val="20"/>
              </w:rPr>
            </w:pPr>
          </w:p>
        </w:tc>
      </w:tr>
      <w:tr w:rsidR="001809C9" w14:paraId="15FDE039" w14:textId="77777777" w:rsidTr="005F3A40">
        <w:trPr>
          <w:cnfStyle w:val="000000010000" w:firstRow="0" w:lastRow="0" w:firstColumn="0" w:lastColumn="0" w:oddVBand="0" w:evenVBand="0" w:oddHBand="0" w:evenHBand="1" w:firstRowFirstColumn="0" w:firstRowLastColumn="0" w:lastRowFirstColumn="0" w:lastRowLastColumn="0"/>
          <w:trHeight w:val="510"/>
        </w:trPr>
        <w:tc>
          <w:tcPr>
            <w:tcW w:w="1427" w:type="dxa"/>
            <w:vMerge w:val="restart"/>
            <w:tcBorders>
              <w:top w:val="single" w:sz="4" w:space="0" w:color="auto"/>
              <w:bottom w:val="nil"/>
            </w:tcBorders>
            <w:vAlign w:val="center"/>
          </w:tcPr>
          <w:p w14:paraId="7E2D7646" w14:textId="77777777" w:rsidR="00B40F10" w:rsidRPr="00566D4F" w:rsidRDefault="00B40F10">
            <w:pPr>
              <w:rPr>
                <w:rStyle w:val="Characterbold"/>
                <w:rFonts w:cs="Arial"/>
                <w:sz w:val="21"/>
                <w:szCs w:val="21"/>
              </w:rPr>
            </w:pPr>
            <w:r w:rsidRPr="00566D4F">
              <w:rPr>
                <w:rStyle w:val="Characterbold"/>
                <w:rFonts w:cs="Arial"/>
                <w:sz w:val="21"/>
                <w:szCs w:val="21"/>
              </w:rPr>
              <w:t>Meeting demand</w:t>
            </w:r>
          </w:p>
        </w:tc>
        <w:tc>
          <w:tcPr>
            <w:tcW w:w="2401" w:type="dxa"/>
            <w:vMerge w:val="restart"/>
            <w:tcBorders>
              <w:top w:val="single" w:sz="4" w:space="0" w:color="auto"/>
              <w:bottom w:val="nil"/>
            </w:tcBorders>
            <w:vAlign w:val="center"/>
          </w:tcPr>
          <w:p w14:paraId="311F4827" w14:textId="77777777" w:rsidR="00B40F10" w:rsidRPr="00566D4F" w:rsidRDefault="00B40F10">
            <w:pPr>
              <w:rPr>
                <w:rStyle w:val="Characteritalic"/>
                <w:rFonts w:cs="Arial"/>
                <w:sz w:val="21"/>
                <w:szCs w:val="21"/>
              </w:rPr>
            </w:pPr>
            <w:r w:rsidRPr="00566D4F">
              <w:rPr>
                <w:rStyle w:val="Characteritalic"/>
                <w:rFonts w:cs="Arial"/>
                <w:sz w:val="21"/>
                <w:szCs w:val="21"/>
              </w:rPr>
              <w:t>Regional Australia and its employers can access, attract and develop sufficient suitable labour, including as skills needs change.</w:t>
            </w:r>
          </w:p>
        </w:tc>
        <w:tc>
          <w:tcPr>
            <w:tcW w:w="3119" w:type="dxa"/>
            <w:tcBorders>
              <w:top w:val="single" w:sz="4" w:space="0" w:color="auto"/>
              <w:bottom w:val="nil"/>
            </w:tcBorders>
            <w:vAlign w:val="center"/>
          </w:tcPr>
          <w:p w14:paraId="181FC93A" w14:textId="77777777" w:rsidR="00B40F10" w:rsidRPr="00566D4F" w:rsidRDefault="00B40F10">
            <w:pPr>
              <w:rPr>
                <w:rFonts w:cs="Arial"/>
                <w:sz w:val="21"/>
                <w:szCs w:val="21"/>
              </w:rPr>
            </w:pPr>
            <w:r w:rsidRPr="00566D4F">
              <w:rPr>
                <w:rFonts w:cs="Arial"/>
                <w:sz w:val="21"/>
                <w:szCs w:val="21"/>
              </w:rPr>
              <w:t>Vacancy fill rate</w:t>
            </w:r>
          </w:p>
        </w:tc>
        <w:tc>
          <w:tcPr>
            <w:tcW w:w="1417" w:type="dxa"/>
            <w:tcBorders>
              <w:top w:val="single" w:sz="4" w:space="0" w:color="auto"/>
              <w:bottom w:val="nil"/>
            </w:tcBorders>
            <w:vAlign w:val="center"/>
          </w:tcPr>
          <w:p w14:paraId="16776D5F" w14:textId="73BDD1A0" w:rsidR="00B40F10" w:rsidRPr="00DF5139" w:rsidRDefault="00DF5139">
            <w:pPr>
              <w:pStyle w:val="TableBodyText"/>
              <w:jc w:val="center"/>
              <w:rPr>
                <w:rFonts w:cs="Arial"/>
                <w:color w:val="FFFFFF" w:themeColor="background1"/>
                <w:sz w:val="2"/>
                <w:szCs w:val="2"/>
              </w:rPr>
            </w:pPr>
            <w:r w:rsidRPr="00DF5139">
              <w:rPr>
                <w:rFonts w:cs="Arial"/>
                <w:color w:val="FFFFFF" w:themeColor="background1"/>
                <w:sz w:val="2"/>
                <w:szCs w:val="2"/>
              </w:rPr>
              <w:t>Slow progress, or stagnating or moderate gap</w:t>
            </w:r>
          </w:p>
        </w:tc>
        <w:tc>
          <w:tcPr>
            <w:tcW w:w="1559" w:type="dxa"/>
            <w:vMerge w:val="restart"/>
            <w:tcBorders>
              <w:top w:val="single" w:sz="4" w:space="0" w:color="auto"/>
              <w:bottom w:val="nil"/>
            </w:tcBorders>
            <w:shd w:val="clear" w:color="auto" w:fill="FFAD4C"/>
            <w:vAlign w:val="center"/>
          </w:tcPr>
          <w:p w14:paraId="7EAB8AEF" w14:textId="77777777" w:rsidR="00B40F10" w:rsidRPr="006E09E3" w:rsidRDefault="00B40F10">
            <w:pPr>
              <w:jc w:val="center"/>
              <w:rPr>
                <w:rFonts w:cs="Arial"/>
                <w:sz w:val="20"/>
              </w:rPr>
            </w:pPr>
            <w:r w:rsidRPr="006E09E3">
              <w:rPr>
                <w:rFonts w:cs="Arial"/>
                <w:sz w:val="20"/>
              </w:rPr>
              <w:t>Slow progress, stagnating or moderate gap</w:t>
            </w:r>
          </w:p>
        </w:tc>
      </w:tr>
      <w:tr w:rsidR="00B40F10" w14:paraId="3EA6770D" w14:textId="77777777" w:rsidTr="005F3A40">
        <w:trPr>
          <w:trHeight w:val="510"/>
        </w:trPr>
        <w:tc>
          <w:tcPr>
            <w:tcW w:w="1427" w:type="dxa"/>
            <w:vMerge/>
            <w:tcBorders>
              <w:top w:val="nil"/>
            </w:tcBorders>
            <w:vAlign w:val="center"/>
          </w:tcPr>
          <w:p w14:paraId="478FA5AD" w14:textId="77777777" w:rsidR="00B40F10" w:rsidRPr="00566D4F" w:rsidRDefault="00B40F10">
            <w:pPr>
              <w:rPr>
                <w:rStyle w:val="Characterbold"/>
                <w:rFonts w:cs="Arial"/>
                <w:sz w:val="21"/>
                <w:szCs w:val="21"/>
              </w:rPr>
            </w:pPr>
          </w:p>
        </w:tc>
        <w:tc>
          <w:tcPr>
            <w:tcW w:w="2401" w:type="dxa"/>
            <w:vMerge/>
            <w:tcBorders>
              <w:top w:val="nil"/>
            </w:tcBorders>
            <w:shd w:val="clear" w:color="auto" w:fill="F2F2F2" w:themeFill="background1" w:themeFillShade="F2"/>
            <w:vAlign w:val="center"/>
          </w:tcPr>
          <w:p w14:paraId="6CD3B5D0" w14:textId="77777777" w:rsidR="00B40F10" w:rsidRPr="00566D4F" w:rsidRDefault="00B40F10">
            <w:pPr>
              <w:rPr>
                <w:rStyle w:val="Characteritalic"/>
                <w:rFonts w:cs="Arial"/>
                <w:sz w:val="21"/>
                <w:szCs w:val="21"/>
              </w:rPr>
            </w:pPr>
          </w:p>
        </w:tc>
        <w:tc>
          <w:tcPr>
            <w:tcW w:w="3119" w:type="dxa"/>
            <w:tcBorders>
              <w:top w:val="nil"/>
            </w:tcBorders>
            <w:shd w:val="clear" w:color="auto" w:fill="F2F2F2" w:themeFill="background1" w:themeFillShade="F2"/>
            <w:vAlign w:val="center"/>
          </w:tcPr>
          <w:p w14:paraId="10F2CFD8" w14:textId="15932256" w:rsidR="00B40F10" w:rsidRPr="00566D4F" w:rsidRDefault="00B40F10">
            <w:pPr>
              <w:rPr>
                <w:rFonts w:cs="Arial"/>
                <w:sz w:val="21"/>
                <w:szCs w:val="21"/>
              </w:rPr>
            </w:pPr>
            <w:r w:rsidRPr="00566D4F">
              <w:rPr>
                <w:rFonts w:cs="Arial"/>
                <w:sz w:val="21"/>
                <w:szCs w:val="21"/>
              </w:rPr>
              <w:t>Essential service</w:t>
            </w:r>
            <w:r w:rsidR="005F3A40">
              <w:rPr>
                <w:rFonts w:cs="Arial"/>
                <w:sz w:val="21"/>
                <w:szCs w:val="21"/>
              </w:rPr>
              <w:t>s</w:t>
            </w:r>
            <w:r w:rsidRPr="00566D4F">
              <w:rPr>
                <w:rFonts w:cs="Arial"/>
                <w:sz w:val="21"/>
                <w:szCs w:val="21"/>
              </w:rPr>
              <w:t xml:space="preserve"> vacancy rate</w:t>
            </w:r>
          </w:p>
        </w:tc>
        <w:tc>
          <w:tcPr>
            <w:tcW w:w="1417" w:type="dxa"/>
            <w:tcBorders>
              <w:top w:val="nil"/>
            </w:tcBorders>
            <w:shd w:val="clear" w:color="auto" w:fill="F2F2F2" w:themeFill="background1" w:themeFillShade="F2"/>
            <w:vAlign w:val="center"/>
          </w:tcPr>
          <w:p w14:paraId="4E1C5EDF" w14:textId="5057BC67" w:rsidR="00B40F10" w:rsidRPr="00DF5139" w:rsidRDefault="00DF5139">
            <w:pPr>
              <w:pStyle w:val="TableBodyText"/>
              <w:jc w:val="center"/>
              <w:rPr>
                <w:rFonts w:cs="Arial"/>
                <w:color w:val="FFFFFF" w:themeColor="background1"/>
                <w:sz w:val="2"/>
                <w:szCs w:val="2"/>
              </w:rPr>
            </w:pPr>
            <w:r w:rsidRPr="00DF5139">
              <w:rPr>
                <w:rFonts w:cs="Arial"/>
                <w:color w:val="FFFFFF" w:themeColor="background1"/>
                <w:sz w:val="2"/>
                <w:szCs w:val="2"/>
              </w:rPr>
              <w:t>Deteriorating or significant gap</w:t>
            </w:r>
          </w:p>
        </w:tc>
        <w:tc>
          <w:tcPr>
            <w:tcW w:w="1559" w:type="dxa"/>
            <w:vMerge/>
            <w:tcBorders>
              <w:top w:val="nil"/>
            </w:tcBorders>
            <w:shd w:val="clear" w:color="auto" w:fill="FFAD4C"/>
          </w:tcPr>
          <w:p w14:paraId="31705CD7" w14:textId="77777777" w:rsidR="00B40F10" w:rsidRPr="00566D4F" w:rsidRDefault="00B40F10">
            <w:pPr>
              <w:rPr>
                <w:rFonts w:cs="Arial"/>
                <w:sz w:val="20"/>
              </w:rPr>
            </w:pPr>
          </w:p>
        </w:tc>
      </w:tr>
      <w:tr w:rsidR="008060A9" w14:paraId="1F215EF8" w14:textId="77777777" w:rsidTr="005F3A40">
        <w:trPr>
          <w:cnfStyle w:val="000000010000" w:firstRow="0" w:lastRow="0" w:firstColumn="0" w:lastColumn="0" w:oddVBand="0" w:evenVBand="0" w:oddHBand="0" w:evenHBand="1" w:firstRowFirstColumn="0" w:firstRowLastColumn="0" w:lastRowFirstColumn="0" w:lastRowLastColumn="0"/>
          <w:trHeight w:val="510"/>
        </w:trPr>
        <w:tc>
          <w:tcPr>
            <w:tcW w:w="1427" w:type="dxa"/>
            <w:vMerge/>
            <w:vAlign w:val="center"/>
          </w:tcPr>
          <w:p w14:paraId="13320A7D" w14:textId="77777777" w:rsidR="00B40F10" w:rsidRPr="00566D4F" w:rsidRDefault="00B40F10">
            <w:pPr>
              <w:rPr>
                <w:rStyle w:val="Characterbold"/>
                <w:rFonts w:cs="Arial"/>
                <w:sz w:val="21"/>
                <w:szCs w:val="21"/>
              </w:rPr>
            </w:pPr>
          </w:p>
        </w:tc>
        <w:tc>
          <w:tcPr>
            <w:tcW w:w="2401" w:type="dxa"/>
            <w:vMerge/>
            <w:vAlign w:val="center"/>
          </w:tcPr>
          <w:p w14:paraId="01C90BF2" w14:textId="77777777" w:rsidR="00B40F10" w:rsidRPr="00566D4F" w:rsidRDefault="00B40F10">
            <w:pPr>
              <w:rPr>
                <w:rStyle w:val="Characteritalic"/>
                <w:rFonts w:cs="Arial"/>
                <w:sz w:val="21"/>
                <w:szCs w:val="21"/>
              </w:rPr>
            </w:pPr>
          </w:p>
        </w:tc>
        <w:tc>
          <w:tcPr>
            <w:tcW w:w="3119" w:type="dxa"/>
            <w:vAlign w:val="center"/>
          </w:tcPr>
          <w:p w14:paraId="18DBEEAD" w14:textId="77777777" w:rsidR="00B40F10" w:rsidRPr="00566D4F" w:rsidRDefault="00B40F10">
            <w:pPr>
              <w:rPr>
                <w:rFonts w:cs="Arial"/>
                <w:sz w:val="21"/>
                <w:szCs w:val="21"/>
              </w:rPr>
            </w:pPr>
            <w:r w:rsidRPr="00566D4F">
              <w:rPr>
                <w:rFonts w:cs="Arial"/>
                <w:sz w:val="21"/>
                <w:szCs w:val="21"/>
              </w:rPr>
              <w:t>Persistent hiring pressure indicator</w:t>
            </w:r>
          </w:p>
        </w:tc>
        <w:tc>
          <w:tcPr>
            <w:tcW w:w="1417" w:type="dxa"/>
            <w:vAlign w:val="center"/>
          </w:tcPr>
          <w:p w14:paraId="48601953" w14:textId="22AEF98C" w:rsidR="00B40F10" w:rsidRPr="00DF5139" w:rsidRDefault="005977BD">
            <w:pPr>
              <w:pStyle w:val="TableBodyText"/>
              <w:jc w:val="center"/>
              <w:rPr>
                <w:rFonts w:cs="Arial"/>
                <w:color w:val="FFFFFF" w:themeColor="background1"/>
                <w:sz w:val="2"/>
                <w:szCs w:val="2"/>
              </w:rPr>
            </w:pPr>
            <w:r>
              <w:rPr>
                <w:rFonts w:cs="Arial"/>
                <w:noProof/>
                <w:color w:val="00B050"/>
                <w:sz w:val="21"/>
                <w:szCs w:val="21"/>
                <w14:ligatures w14:val="standardContextual"/>
              </w:rPr>
              <mc:AlternateContent>
                <mc:Choice Requires="wps">
                  <w:drawing>
                    <wp:anchor distT="0" distB="0" distL="114300" distR="114300" simplePos="0" relativeHeight="251657728" behindDoc="0" locked="0" layoutInCell="1" allowOverlap="1" wp14:anchorId="0F504012" wp14:editId="782A3DD4">
                      <wp:simplePos x="0" y="0"/>
                      <wp:positionH relativeFrom="column">
                        <wp:posOffset>318135</wp:posOffset>
                      </wp:positionH>
                      <wp:positionV relativeFrom="paragraph">
                        <wp:posOffset>-765175</wp:posOffset>
                      </wp:positionV>
                      <wp:extent cx="191135" cy="190500"/>
                      <wp:effectExtent l="0" t="0" r="18415" b="19050"/>
                      <wp:wrapNone/>
                      <wp:docPr id="284310594"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FFAD4C"/>
                              </a:solidFill>
                              <a:ln>
                                <a:solidFill>
                                  <a:srgbClr val="FFAD4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164128" id="Oval 2" o:spid="_x0000_s1026" alt="&quot;&quot;" style="position:absolute;margin-left:25.05pt;margin-top:-60.25pt;width:15.0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" fillcolor="#ffad4c" strokecolor="#ffad4c" strokeweight="1pt">
                      <v:stroke joinstyle="miter"/>
                    </v:oval>
                  </w:pict>
                </mc:Fallback>
              </mc:AlternateContent>
            </w:r>
            <w:r w:rsidR="00DF5139" w:rsidRPr="00DF5139">
              <w:rPr>
                <w:rFonts w:cs="Arial"/>
                <w:color w:val="FFFFFF" w:themeColor="background1"/>
                <w:sz w:val="2"/>
                <w:szCs w:val="2"/>
              </w:rPr>
              <w:t>Deteriorating or significant gap</w:t>
            </w:r>
          </w:p>
        </w:tc>
        <w:tc>
          <w:tcPr>
            <w:tcW w:w="1559" w:type="dxa"/>
            <w:vMerge/>
            <w:shd w:val="clear" w:color="auto" w:fill="FFAD4C"/>
          </w:tcPr>
          <w:p w14:paraId="29B851A8" w14:textId="77777777" w:rsidR="00B40F10" w:rsidRPr="00566D4F" w:rsidRDefault="00B40F10">
            <w:pPr>
              <w:rPr>
                <w:rFonts w:cs="Arial"/>
                <w:sz w:val="20"/>
              </w:rPr>
            </w:pPr>
          </w:p>
        </w:tc>
      </w:tr>
      <w:tr w:rsidR="00B40F10" w14:paraId="277A1DEE" w14:textId="77777777" w:rsidTr="005F3A40">
        <w:trPr>
          <w:cantSplit/>
          <w:trHeight w:val="510"/>
        </w:trPr>
        <w:tc>
          <w:tcPr>
            <w:tcW w:w="1427" w:type="dxa"/>
            <w:vMerge/>
            <w:tcBorders>
              <w:bottom w:val="single" w:sz="4" w:space="0" w:color="auto"/>
            </w:tcBorders>
            <w:vAlign w:val="center"/>
          </w:tcPr>
          <w:p w14:paraId="5E4507C4" w14:textId="77777777" w:rsidR="00B40F10" w:rsidRPr="00566D4F" w:rsidRDefault="00B40F10">
            <w:pPr>
              <w:rPr>
                <w:rStyle w:val="Characterbold"/>
                <w:rFonts w:cs="Arial"/>
                <w:sz w:val="21"/>
                <w:szCs w:val="21"/>
              </w:rPr>
            </w:pPr>
          </w:p>
        </w:tc>
        <w:tc>
          <w:tcPr>
            <w:tcW w:w="2401" w:type="dxa"/>
            <w:vMerge/>
            <w:tcBorders>
              <w:bottom w:val="single" w:sz="4" w:space="0" w:color="auto"/>
            </w:tcBorders>
            <w:shd w:val="clear" w:color="auto" w:fill="F2F2F2" w:themeFill="background1" w:themeFillShade="F2"/>
            <w:vAlign w:val="center"/>
          </w:tcPr>
          <w:p w14:paraId="1947C279" w14:textId="77777777" w:rsidR="00B40F10" w:rsidRPr="00566D4F" w:rsidRDefault="00B40F10">
            <w:pPr>
              <w:rPr>
                <w:rStyle w:val="Characteritalic"/>
                <w:rFonts w:cs="Arial"/>
                <w:sz w:val="21"/>
                <w:szCs w:val="21"/>
              </w:rPr>
            </w:pPr>
          </w:p>
        </w:tc>
        <w:tc>
          <w:tcPr>
            <w:tcW w:w="3119" w:type="dxa"/>
            <w:tcBorders>
              <w:bottom w:val="single" w:sz="4" w:space="0" w:color="auto"/>
            </w:tcBorders>
            <w:shd w:val="clear" w:color="auto" w:fill="F2F2F2" w:themeFill="background1" w:themeFillShade="F2"/>
            <w:vAlign w:val="center"/>
          </w:tcPr>
          <w:p w14:paraId="70FC4E62" w14:textId="6E8EDB04" w:rsidR="00B40F10" w:rsidRPr="00566D4F" w:rsidRDefault="00BA52B9">
            <w:pPr>
              <w:rPr>
                <w:rFonts w:cs="Arial"/>
                <w:sz w:val="21"/>
                <w:szCs w:val="21"/>
              </w:rPr>
            </w:pPr>
            <w:r>
              <w:rPr>
                <w:rFonts w:cs="Arial"/>
                <w:sz w:val="21"/>
                <w:szCs w:val="21"/>
              </w:rPr>
              <w:t>Business creation</w:t>
            </w:r>
            <w:r w:rsidR="004D5C4D">
              <w:rPr>
                <w:rFonts w:cs="Arial"/>
                <w:sz w:val="21"/>
                <w:szCs w:val="21"/>
              </w:rPr>
              <w:t xml:space="preserve"> rate</w:t>
            </w:r>
          </w:p>
        </w:tc>
        <w:tc>
          <w:tcPr>
            <w:tcW w:w="1417" w:type="dxa"/>
            <w:tcBorders>
              <w:bottom w:val="single" w:sz="4" w:space="0" w:color="auto"/>
            </w:tcBorders>
            <w:shd w:val="clear" w:color="auto" w:fill="F2F2F2" w:themeFill="background1" w:themeFillShade="F2"/>
            <w:vAlign w:val="center"/>
          </w:tcPr>
          <w:p w14:paraId="1A57E8CF" w14:textId="49A9D04C" w:rsidR="00B40F10" w:rsidRPr="00DF5139" w:rsidRDefault="00DF5139">
            <w:pPr>
              <w:jc w:val="center"/>
              <w:rPr>
                <w:rFonts w:cs="Arial"/>
                <w:color w:val="FFFFFF" w:themeColor="background1"/>
                <w:sz w:val="2"/>
                <w:szCs w:val="2"/>
              </w:rPr>
            </w:pPr>
            <w:r w:rsidRPr="00DF5139">
              <w:rPr>
                <w:rFonts w:cs="Arial"/>
                <w:color w:val="FFFFFF" w:themeColor="background1"/>
                <w:sz w:val="2"/>
                <w:szCs w:val="2"/>
              </w:rPr>
              <w:t>Slow progress, or stagnating or moderate gap</w:t>
            </w:r>
          </w:p>
        </w:tc>
        <w:tc>
          <w:tcPr>
            <w:tcW w:w="1559" w:type="dxa"/>
            <w:vMerge/>
            <w:tcBorders>
              <w:bottom w:val="single" w:sz="4" w:space="0" w:color="auto"/>
            </w:tcBorders>
            <w:shd w:val="clear" w:color="auto" w:fill="FFAD4C"/>
          </w:tcPr>
          <w:p w14:paraId="398B138F" w14:textId="77777777" w:rsidR="00B40F10" w:rsidRPr="00566D4F" w:rsidRDefault="00B40F10">
            <w:pPr>
              <w:rPr>
                <w:rFonts w:cs="Arial"/>
                <w:sz w:val="20"/>
              </w:rPr>
            </w:pPr>
          </w:p>
        </w:tc>
      </w:tr>
      <w:tr w:rsidR="00B40F10" w14:paraId="54C1411C" w14:textId="77777777" w:rsidTr="005F3A40">
        <w:trPr>
          <w:cnfStyle w:val="000000010000" w:firstRow="0" w:lastRow="0" w:firstColumn="0" w:lastColumn="0" w:oddVBand="0" w:evenVBand="0" w:oddHBand="0" w:evenHBand="1" w:firstRowFirstColumn="0" w:firstRowLastColumn="0" w:lastRowFirstColumn="0" w:lastRowLastColumn="0"/>
          <w:cantSplit/>
          <w:trHeight w:val="510"/>
        </w:trPr>
        <w:tc>
          <w:tcPr>
            <w:tcW w:w="1427" w:type="dxa"/>
            <w:vMerge w:val="restart"/>
            <w:tcBorders>
              <w:top w:val="single" w:sz="4" w:space="0" w:color="auto"/>
              <w:bottom w:val="nil"/>
            </w:tcBorders>
            <w:shd w:val="clear" w:color="auto" w:fill="FFFFFF" w:themeFill="background1"/>
            <w:vAlign w:val="center"/>
          </w:tcPr>
          <w:p w14:paraId="12DB0A28" w14:textId="77777777" w:rsidR="00B40F10" w:rsidRPr="00566D4F" w:rsidRDefault="00B40F10">
            <w:pPr>
              <w:rPr>
                <w:rStyle w:val="Characterbold"/>
                <w:rFonts w:cs="Arial"/>
                <w:sz w:val="21"/>
                <w:szCs w:val="21"/>
              </w:rPr>
            </w:pPr>
            <w:r w:rsidRPr="00566D4F">
              <w:rPr>
                <w:rStyle w:val="Characterbold"/>
                <w:rFonts w:cs="Arial"/>
                <w:sz w:val="21"/>
                <w:szCs w:val="21"/>
              </w:rPr>
              <w:t>Efficient matching</w:t>
            </w:r>
          </w:p>
        </w:tc>
        <w:tc>
          <w:tcPr>
            <w:tcW w:w="2401" w:type="dxa"/>
            <w:vMerge w:val="restart"/>
            <w:tcBorders>
              <w:top w:val="single" w:sz="4" w:space="0" w:color="auto"/>
              <w:bottom w:val="nil"/>
            </w:tcBorders>
            <w:shd w:val="clear" w:color="auto" w:fill="FFFFFF" w:themeFill="background1"/>
            <w:vAlign w:val="center"/>
          </w:tcPr>
          <w:p w14:paraId="78215A13" w14:textId="77777777" w:rsidR="00B40F10" w:rsidRPr="00566D4F" w:rsidRDefault="00B40F10">
            <w:pPr>
              <w:rPr>
                <w:rStyle w:val="Characteritalic"/>
                <w:rFonts w:cs="Arial"/>
                <w:sz w:val="21"/>
                <w:szCs w:val="21"/>
              </w:rPr>
            </w:pPr>
            <w:r w:rsidRPr="00566D4F">
              <w:rPr>
                <w:rStyle w:val="Characteritalic"/>
                <w:rFonts w:cs="Arial"/>
                <w:sz w:val="21"/>
                <w:szCs w:val="21"/>
              </w:rPr>
              <w:t>The labour market in Regional Australia efficiently matches labour demand with labour supply.</w:t>
            </w:r>
          </w:p>
        </w:tc>
        <w:tc>
          <w:tcPr>
            <w:tcW w:w="3119" w:type="dxa"/>
            <w:tcBorders>
              <w:top w:val="single" w:sz="4" w:space="0" w:color="auto"/>
              <w:bottom w:val="nil"/>
            </w:tcBorders>
            <w:shd w:val="clear" w:color="auto" w:fill="FFFFFF" w:themeFill="background1"/>
            <w:vAlign w:val="center"/>
          </w:tcPr>
          <w:p w14:paraId="328977ED" w14:textId="77777777" w:rsidR="00B40F10" w:rsidRPr="00566D4F" w:rsidRDefault="00B40F10">
            <w:pPr>
              <w:rPr>
                <w:rFonts w:cs="Arial"/>
                <w:sz w:val="21"/>
                <w:szCs w:val="21"/>
              </w:rPr>
            </w:pPr>
            <w:r w:rsidRPr="00566D4F">
              <w:rPr>
                <w:rFonts w:cs="Arial"/>
                <w:sz w:val="21"/>
                <w:szCs w:val="21"/>
              </w:rPr>
              <w:t>Beveridge Curve analysis</w:t>
            </w:r>
          </w:p>
        </w:tc>
        <w:tc>
          <w:tcPr>
            <w:tcW w:w="1417" w:type="dxa"/>
            <w:tcBorders>
              <w:top w:val="single" w:sz="4" w:space="0" w:color="auto"/>
              <w:bottom w:val="nil"/>
            </w:tcBorders>
            <w:shd w:val="clear" w:color="auto" w:fill="FFFFFF" w:themeFill="background1"/>
            <w:vAlign w:val="center"/>
          </w:tcPr>
          <w:p w14:paraId="5ECA7DA9" w14:textId="2A7A8548" w:rsidR="00B40F10" w:rsidRPr="00DF5139" w:rsidRDefault="00DF5139">
            <w:pPr>
              <w:pStyle w:val="TableBodyText"/>
              <w:jc w:val="center"/>
              <w:rPr>
                <w:rFonts w:cs="Arial"/>
                <w:color w:val="FFFFFF" w:themeColor="background1"/>
                <w:sz w:val="2"/>
                <w:szCs w:val="2"/>
              </w:rPr>
            </w:pPr>
            <w:r w:rsidRPr="00DF5139">
              <w:rPr>
                <w:rFonts w:cs="Arial"/>
                <w:color w:val="FFFFFF" w:themeColor="background1"/>
                <w:sz w:val="2"/>
                <w:szCs w:val="2"/>
              </w:rPr>
              <w:t>On track or performing at an appropriate level</w:t>
            </w:r>
          </w:p>
        </w:tc>
        <w:tc>
          <w:tcPr>
            <w:tcW w:w="1559" w:type="dxa"/>
            <w:vMerge w:val="restart"/>
            <w:tcBorders>
              <w:top w:val="single" w:sz="4" w:space="0" w:color="auto"/>
              <w:bottom w:val="nil"/>
            </w:tcBorders>
            <w:shd w:val="clear" w:color="auto" w:fill="FFAD4C"/>
            <w:vAlign w:val="center"/>
          </w:tcPr>
          <w:p w14:paraId="1943AFF0" w14:textId="77777777" w:rsidR="00B40F10" w:rsidRPr="00566D4F" w:rsidRDefault="00B40F10">
            <w:pPr>
              <w:jc w:val="center"/>
              <w:rPr>
                <w:rFonts w:cs="Arial"/>
                <w:sz w:val="20"/>
              </w:rPr>
            </w:pPr>
            <w:r w:rsidRPr="006E09E3">
              <w:rPr>
                <w:rFonts w:cs="Arial"/>
                <w:sz w:val="20"/>
              </w:rPr>
              <w:t>Slow progress, stagnating or moderate gap</w:t>
            </w:r>
          </w:p>
        </w:tc>
      </w:tr>
      <w:tr w:rsidR="00B40F10" w14:paraId="13D8B4F5" w14:textId="77777777" w:rsidTr="005F3A40">
        <w:trPr>
          <w:cantSplit/>
          <w:trHeight w:val="510"/>
        </w:trPr>
        <w:tc>
          <w:tcPr>
            <w:tcW w:w="1427" w:type="dxa"/>
            <w:vMerge/>
            <w:tcBorders>
              <w:top w:val="nil"/>
            </w:tcBorders>
            <w:shd w:val="clear" w:color="auto" w:fill="FFFFFF" w:themeFill="background1"/>
          </w:tcPr>
          <w:p w14:paraId="14EBAE7C" w14:textId="77777777" w:rsidR="00B40F10" w:rsidRPr="00566D4F" w:rsidRDefault="00B40F10">
            <w:pPr>
              <w:rPr>
                <w:rStyle w:val="Characterbold"/>
                <w:rFonts w:cs="Arial"/>
                <w:sz w:val="21"/>
                <w:szCs w:val="21"/>
              </w:rPr>
            </w:pPr>
          </w:p>
        </w:tc>
        <w:tc>
          <w:tcPr>
            <w:tcW w:w="2401" w:type="dxa"/>
            <w:vMerge/>
            <w:tcBorders>
              <w:top w:val="nil"/>
            </w:tcBorders>
            <w:shd w:val="clear" w:color="auto" w:fill="FFFFFF" w:themeFill="background1"/>
          </w:tcPr>
          <w:p w14:paraId="30918052" w14:textId="77777777" w:rsidR="00B40F10" w:rsidRPr="00566D4F" w:rsidRDefault="00B40F10">
            <w:pPr>
              <w:rPr>
                <w:rStyle w:val="Characteritalic"/>
                <w:rFonts w:cs="Arial"/>
                <w:sz w:val="21"/>
                <w:szCs w:val="21"/>
              </w:rPr>
            </w:pPr>
          </w:p>
        </w:tc>
        <w:tc>
          <w:tcPr>
            <w:tcW w:w="3119" w:type="dxa"/>
            <w:tcBorders>
              <w:top w:val="nil"/>
            </w:tcBorders>
            <w:shd w:val="clear" w:color="auto" w:fill="FFFFFF" w:themeFill="background1"/>
            <w:vAlign w:val="center"/>
          </w:tcPr>
          <w:p w14:paraId="58F4A93F" w14:textId="77777777" w:rsidR="00B40F10" w:rsidRPr="00566D4F" w:rsidRDefault="00B40F10">
            <w:pPr>
              <w:rPr>
                <w:rFonts w:cs="Arial"/>
                <w:sz w:val="21"/>
                <w:szCs w:val="21"/>
              </w:rPr>
            </w:pPr>
            <w:r w:rsidRPr="00566D4F">
              <w:rPr>
                <w:rFonts w:cs="Arial"/>
                <w:sz w:val="21"/>
                <w:szCs w:val="21"/>
              </w:rPr>
              <w:t>Labour market matching efficiency</w:t>
            </w:r>
          </w:p>
        </w:tc>
        <w:tc>
          <w:tcPr>
            <w:tcW w:w="1417" w:type="dxa"/>
            <w:tcBorders>
              <w:top w:val="nil"/>
            </w:tcBorders>
            <w:shd w:val="clear" w:color="auto" w:fill="FFFFFF" w:themeFill="background1"/>
            <w:vAlign w:val="center"/>
          </w:tcPr>
          <w:p w14:paraId="3D0DBF76" w14:textId="10722CB2" w:rsidR="00B40F10" w:rsidRPr="00DF5139" w:rsidRDefault="00DF5139">
            <w:pPr>
              <w:jc w:val="center"/>
              <w:rPr>
                <w:rFonts w:cs="Arial"/>
                <w:color w:val="FFFFFF" w:themeColor="background1"/>
                <w:sz w:val="2"/>
                <w:szCs w:val="2"/>
              </w:rPr>
            </w:pPr>
            <w:r w:rsidRPr="00DF5139">
              <w:rPr>
                <w:rFonts w:cs="Arial"/>
                <w:color w:val="FFFFFF" w:themeColor="background1"/>
                <w:sz w:val="2"/>
                <w:szCs w:val="2"/>
              </w:rPr>
              <w:t>Slow progress, or stagnating or moderate gap</w:t>
            </w:r>
          </w:p>
        </w:tc>
        <w:tc>
          <w:tcPr>
            <w:tcW w:w="1559" w:type="dxa"/>
            <w:vMerge/>
            <w:tcBorders>
              <w:top w:val="nil"/>
            </w:tcBorders>
            <w:shd w:val="clear" w:color="auto" w:fill="FFAD4C"/>
          </w:tcPr>
          <w:p w14:paraId="5376E915" w14:textId="77777777" w:rsidR="00B40F10" w:rsidRDefault="00B40F10"/>
        </w:tc>
      </w:tr>
    </w:tbl>
    <w:p w14:paraId="1B1B69CA" w14:textId="3F696739" w:rsidR="009A37AD" w:rsidRDefault="002F09EC" w:rsidP="009A37AD">
      <w:r>
        <w:rPr>
          <w:rFonts w:cs="Arial"/>
          <w:noProof/>
          <w:color w:val="00B050"/>
          <w:sz w:val="21"/>
          <w:szCs w:val="21"/>
          <w14:ligatures w14:val="standardContextual"/>
        </w:rPr>
        <mc:AlternateContent>
          <mc:Choice Requires="wps">
            <w:drawing>
              <wp:anchor distT="0" distB="0" distL="114300" distR="114300" simplePos="0" relativeHeight="251674112" behindDoc="0" locked="0" layoutInCell="1" allowOverlap="1" wp14:anchorId="7FCB238F" wp14:editId="2BBB213B">
                <wp:simplePos x="0" y="0"/>
                <wp:positionH relativeFrom="column">
                  <wp:posOffset>4616450</wp:posOffset>
                </wp:positionH>
                <wp:positionV relativeFrom="paragraph">
                  <wp:posOffset>-355600</wp:posOffset>
                </wp:positionV>
                <wp:extent cx="191135" cy="190500"/>
                <wp:effectExtent l="0" t="0" r="18415" b="19050"/>
                <wp:wrapNone/>
                <wp:docPr id="947547649"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FFAD4C"/>
                        </a:solidFill>
                        <a:ln>
                          <a:solidFill>
                            <a:srgbClr val="FFAD4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5CFE5E" id="Oval 2" o:spid="_x0000_s1026" alt="&quot;&quot;" style="position:absolute;margin-left:363.5pt;margin-top:-28pt;width:15.05pt;height: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" fillcolor="#ffad4c" strokecolor="#ffad4c" strokeweight="1pt">
                <v:stroke joinstyle="miter"/>
              </v:oval>
            </w:pict>
          </mc:Fallback>
        </mc:AlternateContent>
      </w:r>
      <w:r>
        <w:rPr>
          <w:rFonts w:cs="Arial"/>
          <w:noProof/>
          <w:color w:val="00B050"/>
          <w:sz w:val="21"/>
          <w:szCs w:val="21"/>
          <w14:ligatures w14:val="standardContextual"/>
        </w:rPr>
        <mc:AlternateContent>
          <mc:Choice Requires="wps">
            <w:drawing>
              <wp:anchor distT="0" distB="0" distL="114300" distR="114300" simplePos="0" relativeHeight="251608576" behindDoc="0" locked="0" layoutInCell="1" allowOverlap="1" wp14:anchorId="4E8F90F7" wp14:editId="44F68D87">
                <wp:simplePos x="0" y="0"/>
                <wp:positionH relativeFrom="column">
                  <wp:posOffset>4617085</wp:posOffset>
                </wp:positionH>
                <wp:positionV relativeFrom="paragraph">
                  <wp:posOffset>-797560</wp:posOffset>
                </wp:positionV>
                <wp:extent cx="191135" cy="190500"/>
                <wp:effectExtent l="0" t="0" r="18415" b="19050"/>
                <wp:wrapNone/>
                <wp:docPr id="1634734976"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52BD7F"/>
                        </a:solidFill>
                        <a:ln>
                          <a:solidFill>
                            <a:srgbClr val="52BD7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91C468" id="Oval 2" o:spid="_x0000_s1026" alt="&quot;&quot;" style="position:absolute;margin-left:363.55pt;margin-top:-62.8pt;width:15.05pt;height:1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" fillcolor="#52bd7f" strokecolor="#52bd7f" strokeweight="1pt">
                <v:stroke joinstyle="miter"/>
              </v:oval>
            </w:pict>
          </mc:Fallback>
        </mc:AlternateContent>
      </w:r>
      <w:r>
        <w:rPr>
          <w:rFonts w:cs="Arial"/>
          <w:noProof/>
          <w:color w:val="00B050"/>
          <w:sz w:val="21"/>
          <w:szCs w:val="21"/>
          <w14:ligatures w14:val="standardContextual"/>
        </w:rPr>
        <mc:AlternateContent>
          <mc:Choice Requires="wps">
            <w:drawing>
              <wp:anchor distT="0" distB="0" distL="114300" distR="114300" simplePos="0" relativeHeight="251665920" behindDoc="0" locked="0" layoutInCell="1" allowOverlap="1" wp14:anchorId="0846998F" wp14:editId="3202CB5D">
                <wp:simplePos x="0" y="0"/>
                <wp:positionH relativeFrom="column">
                  <wp:posOffset>4617720</wp:posOffset>
                </wp:positionH>
                <wp:positionV relativeFrom="paragraph">
                  <wp:posOffset>-1252220</wp:posOffset>
                </wp:positionV>
                <wp:extent cx="191135" cy="190500"/>
                <wp:effectExtent l="0" t="0" r="18415" b="19050"/>
                <wp:wrapNone/>
                <wp:docPr id="1782283641"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FFAD4C"/>
                        </a:solidFill>
                        <a:ln>
                          <a:solidFill>
                            <a:srgbClr val="FFAD4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E44DBD" id="Oval 2" o:spid="_x0000_s1026" alt="&quot;&quot;" style="position:absolute;margin-left:363.6pt;margin-top:-98.6pt;width:15.05pt;height: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" fillcolor="#ffad4c" strokecolor="#ffad4c" strokeweight="1pt">
                <v:stroke joinstyle="miter"/>
              </v:oval>
            </w:pict>
          </mc:Fallback>
        </mc:AlternateContent>
      </w:r>
      <w:r>
        <w:rPr>
          <w:rFonts w:cs="Arial"/>
          <w:noProof/>
          <w:color w:val="00B050"/>
          <w:sz w:val="21"/>
          <w:szCs w:val="21"/>
          <w14:ligatures w14:val="standardContextual"/>
        </w:rPr>
        <mc:AlternateContent>
          <mc:Choice Requires="wps">
            <w:drawing>
              <wp:anchor distT="0" distB="0" distL="114300" distR="114300" simplePos="0" relativeHeight="251723264" behindDoc="0" locked="0" layoutInCell="1" allowOverlap="1" wp14:anchorId="4098CE58" wp14:editId="41A05D9E">
                <wp:simplePos x="0" y="0"/>
                <wp:positionH relativeFrom="column">
                  <wp:posOffset>4612005</wp:posOffset>
                </wp:positionH>
                <wp:positionV relativeFrom="paragraph">
                  <wp:posOffset>-1616075</wp:posOffset>
                </wp:positionV>
                <wp:extent cx="191135" cy="190500"/>
                <wp:effectExtent l="0" t="0" r="18415" b="19050"/>
                <wp:wrapNone/>
                <wp:docPr id="1265683842"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DF5454"/>
                        </a:solidFill>
                        <a:ln>
                          <a:solidFill>
                            <a:srgbClr val="DF545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3F36FE" id="Oval 2" o:spid="_x0000_s1026" alt="&quot;&quot;" style="position:absolute;margin-left:363.15pt;margin-top:-127.25pt;width:15.05pt;height:1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" fillcolor="#df5454" strokecolor="#df5454" strokeweight="1pt">
                <v:stroke joinstyle="miter"/>
              </v:oval>
            </w:pict>
          </mc:Fallback>
        </mc:AlternateContent>
      </w:r>
      <w:r>
        <w:rPr>
          <w:rFonts w:cs="Arial"/>
          <w:noProof/>
          <w:color w:val="00B050"/>
          <w:sz w:val="21"/>
          <w:szCs w:val="21"/>
          <w14:ligatures w14:val="standardContextual"/>
        </w:rPr>
        <mc:AlternateContent>
          <mc:Choice Requires="wps">
            <w:drawing>
              <wp:anchor distT="0" distB="0" distL="114300" distR="114300" simplePos="0" relativeHeight="251715072" behindDoc="0" locked="0" layoutInCell="1" allowOverlap="1" wp14:anchorId="3E4DD627" wp14:editId="40344D9E">
                <wp:simplePos x="0" y="0"/>
                <wp:positionH relativeFrom="column">
                  <wp:posOffset>4612005</wp:posOffset>
                </wp:positionH>
                <wp:positionV relativeFrom="paragraph">
                  <wp:posOffset>-1987550</wp:posOffset>
                </wp:positionV>
                <wp:extent cx="191135" cy="190500"/>
                <wp:effectExtent l="0" t="0" r="18415" b="19050"/>
                <wp:wrapNone/>
                <wp:docPr id="954264414"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DF5454"/>
                        </a:solidFill>
                        <a:ln>
                          <a:solidFill>
                            <a:srgbClr val="DF545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4BE395" id="Oval 2" o:spid="_x0000_s1026" alt="&quot;&quot;" style="position:absolute;margin-left:363.15pt;margin-top:-156.5pt;width:15.05pt;height: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" fillcolor="#df5454" strokecolor="#df5454" strokeweight="1pt">
                <v:stroke joinstyle="miter"/>
              </v:oval>
            </w:pict>
          </mc:Fallback>
        </mc:AlternateContent>
      </w:r>
      <w:r>
        <w:rPr>
          <w:rFonts w:cs="Arial"/>
          <w:noProof/>
          <w:color w:val="00B050"/>
          <w:sz w:val="21"/>
          <w:szCs w:val="21"/>
          <w14:ligatures w14:val="standardContextual"/>
        </w:rPr>
        <mc:AlternateContent>
          <mc:Choice Requires="wps">
            <w:drawing>
              <wp:anchor distT="0" distB="0" distL="114300" distR="114300" simplePos="0" relativeHeight="251649536" behindDoc="0" locked="0" layoutInCell="1" allowOverlap="1" wp14:anchorId="73DB3A5E" wp14:editId="31926A5C">
                <wp:simplePos x="0" y="0"/>
                <wp:positionH relativeFrom="column">
                  <wp:posOffset>4614545</wp:posOffset>
                </wp:positionH>
                <wp:positionV relativeFrom="paragraph">
                  <wp:posOffset>-2654935</wp:posOffset>
                </wp:positionV>
                <wp:extent cx="191135" cy="190500"/>
                <wp:effectExtent l="0" t="0" r="18415" b="19050"/>
                <wp:wrapNone/>
                <wp:docPr id="748220019"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FFAD4C"/>
                        </a:solidFill>
                        <a:ln>
                          <a:solidFill>
                            <a:srgbClr val="FFAD4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9346F0" id="Oval 2" o:spid="_x0000_s1026" alt="&quot;&quot;" style="position:absolute;margin-left:363.35pt;margin-top:-209.05pt;width:15.05pt;height: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" fillcolor="#ffad4c" strokecolor="#ffad4c" strokeweight="1pt">
                <v:stroke joinstyle="miter"/>
              </v:oval>
            </w:pict>
          </mc:Fallback>
        </mc:AlternateContent>
      </w:r>
      <w:r>
        <w:rPr>
          <w:rFonts w:cs="Arial"/>
          <w:noProof/>
          <w:color w:val="00B050"/>
          <w:sz w:val="21"/>
          <w:szCs w:val="21"/>
          <w14:ligatures w14:val="standardContextual"/>
        </w:rPr>
        <mc:AlternateContent>
          <mc:Choice Requires="wps">
            <w:drawing>
              <wp:anchor distT="0" distB="0" distL="114300" distR="114300" simplePos="0" relativeHeight="251641344" behindDoc="0" locked="0" layoutInCell="1" allowOverlap="1" wp14:anchorId="501B49FA" wp14:editId="59071B98">
                <wp:simplePos x="0" y="0"/>
                <wp:positionH relativeFrom="column">
                  <wp:posOffset>4613275</wp:posOffset>
                </wp:positionH>
                <wp:positionV relativeFrom="paragraph">
                  <wp:posOffset>-2968912</wp:posOffset>
                </wp:positionV>
                <wp:extent cx="191135" cy="190500"/>
                <wp:effectExtent l="0" t="0" r="18415" b="19050"/>
                <wp:wrapNone/>
                <wp:docPr id="825897988"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FFAD4C"/>
                        </a:solidFill>
                        <a:ln>
                          <a:solidFill>
                            <a:srgbClr val="FFAD4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D3C6D2" id="Oval 2" o:spid="_x0000_s1026" alt="&quot;&quot;" style="position:absolute;margin-left:363.25pt;margin-top:-233.75pt;width:15.05pt;height: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" fillcolor="#ffad4c" strokecolor="#ffad4c" strokeweight="1pt">
                <v:stroke joinstyle="miter"/>
              </v:oval>
            </w:pict>
          </mc:Fallback>
        </mc:AlternateContent>
      </w:r>
    </w:p>
    <w:p w14:paraId="47624B6F" w14:textId="596AF84C" w:rsidR="009A37AD" w:rsidRDefault="009A37AD" w:rsidP="009A37AD">
      <w:r>
        <w:t xml:space="preserve">An effective jobs and skills system in Regional Australia would see </w:t>
      </w:r>
      <w:r w:rsidR="0019075B">
        <w:t>the majority of people</w:t>
      </w:r>
      <w:r>
        <w:t xml:space="preserve"> working in a quality job that is safe, fair, rewarding and satisfying. It is therefore encouraging that high job satisfaction has been a relatively consistent feature of the labour market in Regional Australia, with the rate of satisfaction increasing in recent years. This may be a reflection </w:t>
      </w:r>
      <w:r w:rsidR="00770042">
        <w:t xml:space="preserve">of </w:t>
      </w:r>
      <w:r>
        <w:t xml:space="preserve">stronger labour market conditions in recent years that have allowed people to move closer to their preferred working hours. Additionally, it may also reflect remote and hybrid working arrangements that provide people with more choice regarding where they live and work. </w:t>
      </w:r>
    </w:p>
    <w:p w14:paraId="20F4CA14" w14:textId="77C45B84" w:rsidR="009A37AD" w:rsidRDefault="009A37AD" w:rsidP="009A37AD">
      <w:r>
        <w:t>Of particular concern, however, is the prevalence of barriers that hinder the participation and skill acquisition of people living in Regional Australia in the labour market, particularly those from priority equity groups. M</w:t>
      </w:r>
      <w:r w:rsidRPr="00B660E1">
        <w:t>any young people face barriers that are often complex and inter-related</w:t>
      </w:r>
      <w:r w:rsidR="00CA0416">
        <w:t>. Such barriers</w:t>
      </w:r>
      <w:r w:rsidRPr="00B660E1">
        <w:t xml:space="preserve"> hinder their participation in the </w:t>
      </w:r>
      <w:r>
        <w:t>jobs and skills system</w:t>
      </w:r>
      <w:r w:rsidRPr="00B660E1">
        <w:t xml:space="preserve"> altogether with around 1 in 6 young people in Regional Australia not in any form of employment, education or training in Regional Australia</w:t>
      </w:r>
      <w:r w:rsidR="00CA0416">
        <w:t xml:space="preserve">, well above the 1 in 10 young people in the Major Cities. </w:t>
      </w:r>
      <w:r>
        <w:t xml:space="preserve"> </w:t>
      </w:r>
    </w:p>
    <w:p w14:paraId="69F91231" w14:textId="75ABF01E" w:rsidR="009A37AD" w:rsidRDefault="009A37AD" w:rsidP="009A37AD">
      <w:bookmarkStart w:id="33" w:name="_Hlk200719129"/>
      <w:r>
        <w:t>The prevalence of barriers that hinder participation in the labour market, including the acquisition of skill</w:t>
      </w:r>
      <w:r w:rsidR="00FA4B4A">
        <w:t>s</w:t>
      </w:r>
      <w:r>
        <w:t xml:space="preserve"> through the tertiary and higher education system, as well as completion of apprenticeship and traineeships, likely contributes to recruitment difficulty for employers in Regional Australia. Although recruitment difficulty appears to be showing some sign of easing, it continues to remain one of the greatest challenges for employers in Regional Australia</w:t>
      </w:r>
      <w:r w:rsidR="00CA0416">
        <w:t>. This is</w:t>
      </w:r>
      <w:r>
        <w:t xml:space="preserve"> particularly </w:t>
      </w:r>
      <w:r w:rsidR="00CA0416">
        <w:t xml:space="preserve">true </w:t>
      </w:r>
      <w:r>
        <w:t>for essential services where almost 1 in 10 essential service jobs remain vacant</w:t>
      </w:r>
      <w:r w:rsidR="00CA0416">
        <w:t xml:space="preserve"> in Regional Australia, </w:t>
      </w:r>
      <w:r w:rsidR="00F72F42">
        <w:t>well above the 1 in 15 vacant essential service jobs in the Major Cities</w:t>
      </w:r>
      <w:r>
        <w:t xml:space="preserve">. This highlights the urgent need for additional support to ensure the adequate provision of </w:t>
      </w:r>
      <w:r>
        <w:lastRenderedPageBreak/>
        <w:t>essential services in Regional Australia that is central to supporting a strong labour market and the wellbeing of the community.</w:t>
      </w:r>
    </w:p>
    <w:bookmarkEnd w:id="33"/>
    <w:p w14:paraId="1DE3CDFE" w14:textId="266D1EA4" w:rsidR="009A37AD" w:rsidRPr="009A37AD" w:rsidRDefault="009A37AD" w:rsidP="009A37AD">
      <w:r>
        <w:t xml:space="preserve">Importantly, these results echo the views stakeholders provided to JSA during discussions </w:t>
      </w:r>
      <w:r w:rsidR="006D1C05">
        <w:t>across Australia</w:t>
      </w:r>
      <w:r w:rsidR="00843E95">
        <w:t>. A</w:t>
      </w:r>
      <w:r>
        <w:t xml:space="preserve">t present, Regional Australia predominantly faces a people (or labour supply) issue rather than a jobs (or demand) issue. There is a very strong demand for labour with many jobs in chronic long-term shortage that are often left unfilled. And although employers often demonstrate an increased willingness to fill vacancies </w:t>
      </w:r>
      <w:r w:rsidR="00843E95">
        <w:t>from the</w:t>
      </w:r>
      <w:r>
        <w:t xml:space="preserve"> available supply</w:t>
      </w:r>
      <w:r w:rsidR="007271ED">
        <w:t xml:space="preserve"> of people</w:t>
      </w:r>
      <w:r>
        <w:t xml:space="preserve">, with on-the-job training and support often enhancing the productivity of the employee over time, more progress must be made to addressing the prevalence of complex and inter-related barriers that prevent the necessary skill acquisition and participation in the labour market to enable Regional Australia to thrive. </w:t>
      </w:r>
    </w:p>
    <w:p w14:paraId="2606E14F" w14:textId="2B983ABC" w:rsidR="00CD0DFD" w:rsidRPr="00816459" w:rsidRDefault="00A50CCB" w:rsidP="003061D1">
      <w:pPr>
        <w:pStyle w:val="Heading11"/>
        <w:rPr>
          <w:lang w:val="en-US"/>
        </w:rPr>
      </w:pPr>
      <w:bookmarkStart w:id="34" w:name="_Toc201070172"/>
      <w:bookmarkStart w:id="35" w:name="_Toc201919835"/>
      <w:bookmarkStart w:id="36" w:name="_Toc202361863"/>
      <w:r>
        <w:rPr>
          <w:lang w:val="en-US"/>
        </w:rPr>
        <w:t xml:space="preserve">Making progress in </w:t>
      </w:r>
      <w:r w:rsidR="003E6DBA">
        <w:rPr>
          <w:lang w:val="en-US"/>
        </w:rPr>
        <w:t>enhancing</w:t>
      </w:r>
      <w:r>
        <w:rPr>
          <w:lang w:val="en-US"/>
        </w:rPr>
        <w:t xml:space="preserve"> the jobs and skills system in Regional Australia</w:t>
      </w:r>
      <w:bookmarkEnd w:id="32"/>
      <w:bookmarkEnd w:id="34"/>
      <w:bookmarkEnd w:id="35"/>
      <w:bookmarkEnd w:id="36"/>
    </w:p>
    <w:p w14:paraId="48DC7611" w14:textId="32CF5A52" w:rsidR="00B72169" w:rsidRPr="009743E1" w:rsidRDefault="0084578C" w:rsidP="003061D1">
      <w:pPr>
        <w:pStyle w:val="BodyText"/>
      </w:pPr>
      <w:r>
        <w:t>T</w:t>
      </w:r>
      <w:r w:rsidR="00B72169" w:rsidRPr="009743E1">
        <w:t xml:space="preserve">here are </w:t>
      </w:r>
      <w:r w:rsidR="00285E8D">
        <w:t>2</w:t>
      </w:r>
      <w:r w:rsidR="00635D7E">
        <w:t xml:space="preserve"> key</w:t>
      </w:r>
      <w:r w:rsidR="00B72169" w:rsidRPr="009743E1">
        <w:t xml:space="preserve"> areas of potential action to </w:t>
      </w:r>
      <w:r w:rsidR="00A43EE8">
        <w:t>enhance</w:t>
      </w:r>
      <w:r w:rsidR="00B72169" w:rsidRPr="009743E1">
        <w:t xml:space="preserve"> the jobs and skills system in Regional Australia:</w:t>
      </w:r>
    </w:p>
    <w:p w14:paraId="5348DD01" w14:textId="25C40815" w:rsidR="00A51565" w:rsidRPr="008455D1" w:rsidRDefault="00A51565" w:rsidP="00A51565">
      <w:pPr>
        <w:pStyle w:val="BodyText"/>
      </w:pPr>
      <w:r w:rsidRPr="008455D1">
        <w:t xml:space="preserve">Part 1: </w:t>
      </w:r>
      <w:r w:rsidR="005D668E">
        <w:t>10</w:t>
      </w:r>
      <w:r w:rsidRPr="008455D1">
        <w:t xml:space="preserve"> policy design </w:t>
      </w:r>
      <w:r w:rsidR="00AA7F83">
        <w:t>principles</w:t>
      </w:r>
      <w:r w:rsidRPr="008455D1">
        <w:t xml:space="preserve"> for Regional Australia</w:t>
      </w:r>
    </w:p>
    <w:p w14:paraId="2D535C29" w14:textId="77777777" w:rsidR="00A51565" w:rsidRPr="008455D1" w:rsidRDefault="00A51565" w:rsidP="00A51565">
      <w:pPr>
        <w:pStyle w:val="BodyText"/>
      </w:pPr>
      <w:r w:rsidRPr="008455D1">
        <w:t xml:space="preserve">Part 2: Emerging areas of focus to </w:t>
      </w:r>
      <w:r>
        <w:t>enhance</w:t>
      </w:r>
      <w:r w:rsidRPr="008455D1">
        <w:t xml:space="preserve"> the jobs and skills system</w:t>
      </w:r>
    </w:p>
    <w:p w14:paraId="0CB2B0CA" w14:textId="63486009" w:rsidR="00E7724D" w:rsidRPr="009743E1" w:rsidRDefault="005D668E" w:rsidP="009656DE">
      <w:pPr>
        <w:pStyle w:val="Heading3"/>
      </w:pPr>
      <w:r>
        <w:t>10</w:t>
      </w:r>
      <w:r w:rsidR="001F07EF" w:rsidRPr="00585FF9">
        <w:t xml:space="preserve"> policy design </w:t>
      </w:r>
      <w:r w:rsidR="00892D3B">
        <w:t>principles</w:t>
      </w:r>
      <w:r w:rsidR="001F07EF" w:rsidRPr="00585FF9">
        <w:t xml:space="preserve"> to </w:t>
      </w:r>
      <w:r w:rsidR="00892D3B">
        <w:t>enhance</w:t>
      </w:r>
      <w:r w:rsidR="001F07EF" w:rsidRPr="00585FF9">
        <w:t xml:space="preserve"> the jobs and skills system across Regional Australia</w:t>
      </w:r>
    </w:p>
    <w:p w14:paraId="678FC8E9" w14:textId="0A28149F" w:rsidR="00CD0DFD" w:rsidRPr="00DF34A3" w:rsidRDefault="00CD0DFD" w:rsidP="00DF34A3">
      <w:pPr>
        <w:pStyle w:val="BodyText"/>
      </w:pPr>
      <w:r w:rsidRPr="00DF34A3">
        <w:t xml:space="preserve">There are a range of foundational policy </w:t>
      </w:r>
      <w:r w:rsidR="00CB1D11">
        <w:t>principles</w:t>
      </w:r>
      <w:r w:rsidRPr="00DF34A3">
        <w:t xml:space="preserve"> that can be used to support the jobs and skills system. Such </w:t>
      </w:r>
      <w:r w:rsidR="00CB1D11">
        <w:t>principles</w:t>
      </w:r>
      <w:r w:rsidRPr="00DF34A3">
        <w:t xml:space="preserve"> are often cross-cutting in that they can apply across sectors, including for schooling, vocational education and training, employment services and related skills programs</w:t>
      </w:r>
      <w:r w:rsidR="00EC774B">
        <w:t xml:space="preserve"> as well as place-based strategies</w:t>
      </w:r>
      <w:r w:rsidRPr="00DF34A3">
        <w:t xml:space="preserve">. </w:t>
      </w:r>
    </w:p>
    <w:p w14:paraId="0C15BB23" w14:textId="77777777" w:rsidR="005D13A1" w:rsidRDefault="005D13A1" w:rsidP="005D13A1">
      <w:pPr>
        <w:pStyle w:val="BodyText"/>
      </w:pPr>
      <w:r>
        <w:t xml:space="preserve">When considering these policy design principles, users should: </w:t>
      </w:r>
    </w:p>
    <w:p w14:paraId="38B8F486" w14:textId="09B7E2FD" w:rsidR="005D13A1" w:rsidRDefault="005D13A1" w:rsidP="00D16B99">
      <w:pPr>
        <w:pStyle w:val="BodyText"/>
        <w:numPr>
          <w:ilvl w:val="0"/>
          <w:numId w:val="51"/>
        </w:numPr>
      </w:pPr>
      <w:r w:rsidRPr="00C77355">
        <w:rPr>
          <w:b/>
          <w:bCs/>
        </w:rPr>
        <w:t>Hold the principles together</w:t>
      </w:r>
      <w:r>
        <w:t xml:space="preserve"> (rather than individually or in isolation), noting the interrelations between the principles and the possibilities for trade-offs between them.</w:t>
      </w:r>
    </w:p>
    <w:p w14:paraId="2A89851C" w14:textId="77777777" w:rsidR="005D13A1" w:rsidRDefault="005D13A1" w:rsidP="00D16B99">
      <w:pPr>
        <w:pStyle w:val="BodyText"/>
        <w:numPr>
          <w:ilvl w:val="0"/>
          <w:numId w:val="51"/>
        </w:numPr>
      </w:pPr>
      <w:r w:rsidRPr="0010563E">
        <w:rPr>
          <w:b/>
          <w:bCs/>
        </w:rPr>
        <w:t>Consider the principles as directional and a starting point</w:t>
      </w:r>
      <w:r>
        <w:t xml:space="preserve"> to stimulate policy thinking, rather than being prescriptive or limiting.</w:t>
      </w:r>
    </w:p>
    <w:p w14:paraId="78C44122" w14:textId="77777777" w:rsidR="005D13A1" w:rsidRDefault="005D13A1" w:rsidP="00D16B99">
      <w:pPr>
        <w:pStyle w:val="BodyText"/>
        <w:numPr>
          <w:ilvl w:val="0"/>
          <w:numId w:val="51"/>
        </w:numPr>
      </w:pPr>
      <w:r w:rsidRPr="0010563E">
        <w:rPr>
          <w:b/>
          <w:bCs/>
        </w:rPr>
        <w:t>Use the guide to support, rather than constrain</w:t>
      </w:r>
      <w:r>
        <w:t>, possibilities for future reform.</w:t>
      </w:r>
    </w:p>
    <w:p w14:paraId="1508C261" w14:textId="2AD86517" w:rsidR="005D13A1" w:rsidRPr="00DF34A3" w:rsidRDefault="00DD5FD8" w:rsidP="00DF34A3">
      <w:pPr>
        <w:pStyle w:val="BodyText"/>
      </w:pPr>
      <w:r w:rsidRPr="4502C1DD">
        <w:t xml:space="preserve">JSA intends to work with policy makers across all levels of government to </w:t>
      </w:r>
      <w:r w:rsidR="00621172">
        <w:t xml:space="preserve">further test their usefulness and </w:t>
      </w:r>
      <w:r w:rsidRPr="4502C1DD">
        <w:t>refine th</w:t>
      </w:r>
      <w:r>
        <w:t xml:space="preserve">ese design principles </w:t>
      </w:r>
      <w:r w:rsidRPr="4502C1DD">
        <w:t xml:space="preserve">in Phase 2 of the </w:t>
      </w:r>
      <w:r>
        <w:t>R</w:t>
      </w:r>
      <w:r w:rsidRPr="4502C1DD">
        <w:t>oadmap.</w:t>
      </w:r>
    </w:p>
    <w:p w14:paraId="57816CC5" w14:textId="476B553B" w:rsidR="00522BC3" w:rsidRDefault="003D3602" w:rsidP="003D3602">
      <w:pPr>
        <w:pStyle w:val="Caption"/>
        <w:rPr>
          <w:rFonts w:eastAsia="Aptos" w:cs="Arial"/>
          <w:b w:val="0"/>
          <w:sz w:val="20"/>
          <w:szCs w:val="20"/>
        </w:rPr>
      </w:pPr>
      <w:r>
        <w:lastRenderedPageBreak/>
        <w:t xml:space="preserve">Table </w:t>
      </w:r>
      <w:r>
        <w:fldChar w:fldCharType="begin"/>
      </w:r>
      <w:r>
        <w:instrText xml:space="preserve"> SEQ Table \* ARABIC </w:instrText>
      </w:r>
      <w:r>
        <w:fldChar w:fldCharType="separate"/>
      </w:r>
      <w:r w:rsidR="00471863">
        <w:rPr>
          <w:noProof/>
        </w:rPr>
        <w:t>2</w:t>
      </w:r>
      <w:r>
        <w:fldChar w:fldCharType="end"/>
      </w:r>
      <w:r w:rsidR="00522BC3" w:rsidRPr="00497785">
        <w:rPr>
          <w:rFonts w:eastAsia="Aptos" w:cs="Arial"/>
        </w:rPr>
        <w:t xml:space="preserve">: Proposed policy design </w:t>
      </w:r>
      <w:r w:rsidR="0038625A" w:rsidRPr="0038625A">
        <w:t>principles</w:t>
      </w:r>
      <w:r w:rsidR="00522BC3" w:rsidRPr="00497785">
        <w:rPr>
          <w:rFonts w:eastAsia="Aptos" w:cs="Arial"/>
        </w:rPr>
        <w:t xml:space="preserve"> to </w:t>
      </w:r>
      <w:r w:rsidR="0038625A" w:rsidRPr="0038625A">
        <w:t>enhance</w:t>
      </w:r>
      <w:r w:rsidR="00522BC3" w:rsidRPr="00497785">
        <w:rPr>
          <w:rFonts w:eastAsia="Aptos" w:cs="Arial"/>
        </w:rPr>
        <w:t xml:space="preserve"> the jobs and skills system across Regional Australia</w:t>
      </w:r>
    </w:p>
    <w:tbl>
      <w:tblPr>
        <w:tblStyle w:val="CustomTablebasic"/>
        <w:tblW w:w="0" w:type="auto"/>
        <w:tblLook w:val="04A0" w:firstRow="1" w:lastRow="0" w:firstColumn="1" w:lastColumn="0" w:noHBand="0" w:noVBand="1"/>
      </w:tblPr>
      <w:tblGrid>
        <w:gridCol w:w="9367"/>
      </w:tblGrid>
      <w:tr w:rsidR="000C3B76" w:rsidRPr="00C24AA9" w14:paraId="29E11001" w14:textId="77777777">
        <w:trPr>
          <w:cnfStyle w:val="100000000000" w:firstRow="1" w:lastRow="0" w:firstColumn="0" w:lastColumn="0" w:oddVBand="0" w:evenVBand="0" w:oddHBand="0" w:evenHBand="0" w:firstRowFirstColumn="0" w:firstRowLastColumn="0" w:lastRowFirstColumn="0" w:lastRowLastColumn="0"/>
        </w:trPr>
        <w:tc>
          <w:tcPr>
            <w:tcW w:w="0" w:type="auto"/>
          </w:tcPr>
          <w:p w14:paraId="0EF00AF5" w14:textId="470C6989" w:rsidR="000C3B76" w:rsidRPr="00C24AA9" w:rsidRDefault="005D668E" w:rsidP="00190FCF">
            <w:pPr>
              <w:pStyle w:val="TableHeading1"/>
              <w:keepNext/>
            </w:pPr>
            <w:r>
              <w:t>10</w:t>
            </w:r>
            <w:r w:rsidR="000C3B76" w:rsidRPr="00C24AA9">
              <w:t xml:space="preserve"> Design Principles for the </w:t>
            </w:r>
            <w:r w:rsidR="0049475B">
              <w:t>j</w:t>
            </w:r>
            <w:r w:rsidR="000C3B76" w:rsidRPr="00C24AA9">
              <w:t xml:space="preserve">obs and </w:t>
            </w:r>
            <w:r w:rsidR="0049475B">
              <w:t>s</w:t>
            </w:r>
            <w:r w:rsidR="000C3B76" w:rsidRPr="00C24AA9">
              <w:t xml:space="preserve">kills </w:t>
            </w:r>
            <w:r w:rsidR="0049475B">
              <w:t>s</w:t>
            </w:r>
            <w:r w:rsidR="000C3B76" w:rsidRPr="00C24AA9">
              <w:t>ystem in Regional Australia</w:t>
            </w:r>
          </w:p>
        </w:tc>
      </w:tr>
      <w:tr w:rsidR="000C3B76" w:rsidRPr="00940ADC" w14:paraId="5370994F" w14:textId="77777777">
        <w:tc>
          <w:tcPr>
            <w:tcW w:w="0" w:type="auto"/>
            <w:vAlign w:val="center"/>
          </w:tcPr>
          <w:p w14:paraId="3A2FB647" w14:textId="77777777" w:rsidR="000C3B76" w:rsidRPr="00940ADC" w:rsidRDefault="000C3B76" w:rsidP="00190FCF">
            <w:pPr>
              <w:pStyle w:val="TableBodyText"/>
              <w:keepNext/>
              <w:rPr>
                <w:b/>
                <w:bCs w:val="0"/>
              </w:rPr>
            </w:pPr>
            <w:r w:rsidRPr="00940ADC">
              <w:rPr>
                <w:b/>
                <w:bCs w:val="0"/>
              </w:rPr>
              <w:t>Consultation and alignment principles</w:t>
            </w:r>
          </w:p>
        </w:tc>
      </w:tr>
      <w:tr w:rsidR="000C3B76" w:rsidRPr="0070274B" w14:paraId="697C8675" w14:textId="77777777">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21B64B89" w14:textId="77777777" w:rsidR="000C3B76" w:rsidRPr="0070274B" w:rsidRDefault="000C3B76" w:rsidP="00190FCF">
            <w:pPr>
              <w:pStyle w:val="TableListNumber"/>
              <w:keepNext/>
              <w:numPr>
                <w:ilvl w:val="0"/>
                <w:numId w:val="44"/>
              </w:numPr>
            </w:pPr>
            <w:r w:rsidRPr="0070274B">
              <w:t>Are local communities being supported to develop and deliver solutions</w:t>
            </w:r>
            <w:r>
              <w:t xml:space="preserve"> including by</w:t>
            </w:r>
            <w:r w:rsidRPr="0070274B">
              <w:t xml:space="preserve"> empowering </w:t>
            </w:r>
            <w:r w:rsidRPr="0070274B">
              <w:rPr>
                <w:lang w:val="en-AU"/>
              </w:rPr>
              <w:t>the people and communities most affected by a</w:t>
            </w:r>
            <w:r>
              <w:rPr>
                <w:lang w:val="en-AU"/>
              </w:rPr>
              <w:t>n issue or opportunity</w:t>
            </w:r>
            <w:r w:rsidRPr="0070274B">
              <w:rPr>
                <w:lang w:val="en-AU"/>
              </w:rPr>
              <w:t>?</w:t>
            </w:r>
          </w:p>
        </w:tc>
      </w:tr>
      <w:tr w:rsidR="000C3B76" w:rsidRPr="00F22EA8" w14:paraId="35A77785" w14:textId="77777777">
        <w:tc>
          <w:tcPr>
            <w:tcW w:w="0" w:type="auto"/>
            <w:vAlign w:val="center"/>
          </w:tcPr>
          <w:p w14:paraId="693F1F7A" w14:textId="3454D3AD" w:rsidR="000C3B76" w:rsidRPr="00F22EA8" w:rsidRDefault="000C3B76" w:rsidP="00190FCF">
            <w:pPr>
              <w:pStyle w:val="TableListNumber"/>
              <w:keepNext/>
              <w:numPr>
                <w:ilvl w:val="0"/>
                <w:numId w:val="44"/>
              </w:numPr>
            </w:pPr>
            <w:r w:rsidRPr="00C847E6">
              <w:t xml:space="preserve">Has the policy been developed </w:t>
            </w:r>
            <w:r w:rsidR="00B134B1">
              <w:t>in line with the spirit of co-design</w:t>
            </w:r>
            <w:r w:rsidRPr="00C847E6">
              <w:t xml:space="preserve"> with stakeholders </w:t>
            </w:r>
            <w:r>
              <w:t xml:space="preserve">in Regional Australia </w:t>
            </w:r>
            <w:r w:rsidRPr="00C847E6">
              <w:t>(including by ensuring any steering committees have appropriate representation of stakeholders from Regional Australia) and genuinely refined in response to feedback?</w:t>
            </w:r>
          </w:p>
        </w:tc>
      </w:tr>
      <w:tr w:rsidR="000C3B76" w:rsidRPr="0070270A" w14:paraId="5BEC9647" w14:textId="77777777">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74A0E7E1" w14:textId="77777777" w:rsidR="000C3B76" w:rsidRPr="0070270A" w:rsidRDefault="000C3B76" w:rsidP="00190FCF">
            <w:pPr>
              <w:pStyle w:val="TableListNumber"/>
              <w:keepNext/>
              <w:numPr>
                <w:ilvl w:val="0"/>
                <w:numId w:val="44"/>
              </w:numPr>
            </w:pPr>
            <w:r w:rsidRPr="00F22EA8">
              <w:t xml:space="preserve">Does the policy </w:t>
            </w:r>
            <w:r>
              <w:t>align with,</w:t>
            </w:r>
            <w:r w:rsidRPr="00F22EA8">
              <w:t xml:space="preserve"> </w:t>
            </w:r>
            <w:r>
              <w:t xml:space="preserve">and complement, </w:t>
            </w:r>
            <w:r w:rsidRPr="00F22EA8">
              <w:t xml:space="preserve">existing </w:t>
            </w:r>
            <w:r>
              <w:t xml:space="preserve">initiatives </w:t>
            </w:r>
            <w:r w:rsidRPr="00F22EA8">
              <w:t>in Regional Australia</w:t>
            </w:r>
            <w:r>
              <w:t>, including by leveraging existing areas of success and strength and fostering collaboration in the system</w:t>
            </w:r>
            <w:r w:rsidRPr="00F22EA8">
              <w:t>?</w:t>
            </w:r>
          </w:p>
        </w:tc>
      </w:tr>
      <w:tr w:rsidR="000C3B76" w14:paraId="31454151" w14:textId="77777777" w:rsidTr="006D3D1A">
        <w:tc>
          <w:tcPr>
            <w:tcW w:w="0" w:type="auto"/>
            <w:vAlign w:val="center"/>
          </w:tcPr>
          <w:p w14:paraId="1E4DFF3B" w14:textId="2DA19FF5" w:rsidR="000C3B76" w:rsidRDefault="00CC6DBA" w:rsidP="00190FCF">
            <w:pPr>
              <w:pStyle w:val="TableListNumber"/>
              <w:keepNext/>
              <w:numPr>
                <w:ilvl w:val="0"/>
                <w:numId w:val="44"/>
              </w:numPr>
            </w:pPr>
            <w:r w:rsidRPr="004736AA">
              <w:t xml:space="preserve">Does the policy </w:t>
            </w:r>
            <w:r>
              <w:t>recognise</w:t>
            </w:r>
            <w:r w:rsidRPr="004736AA">
              <w:t xml:space="preserve"> the differing workforce and skills needs of Regional Australia, </w:t>
            </w:r>
            <w:r>
              <w:t>including the local needs of individual</w:t>
            </w:r>
            <w:r w:rsidRPr="004736AA">
              <w:t xml:space="preserve"> regions</w:t>
            </w:r>
            <w:r>
              <w:t>, and provide appropriate flexibility to adapt and respond accordingly</w:t>
            </w:r>
            <w:r w:rsidRPr="004736AA">
              <w:t>?</w:t>
            </w:r>
          </w:p>
        </w:tc>
      </w:tr>
      <w:tr w:rsidR="000C3B76" w:rsidRPr="00940ADC" w14:paraId="771EBF7E" w14:textId="77777777" w:rsidTr="006D3D1A">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48E793D2" w14:textId="77777777" w:rsidR="000C3B76" w:rsidRPr="00940ADC" w:rsidRDefault="000C3B76" w:rsidP="00190FCF">
            <w:pPr>
              <w:pStyle w:val="TableBodyText"/>
              <w:keepNext/>
              <w:rPr>
                <w:b/>
                <w:bCs w:val="0"/>
              </w:rPr>
            </w:pPr>
            <w:r>
              <w:rPr>
                <w:b/>
                <w:bCs w:val="0"/>
              </w:rPr>
              <w:t>Service design principles</w:t>
            </w:r>
          </w:p>
        </w:tc>
      </w:tr>
      <w:tr w:rsidR="000C3B76" w14:paraId="6DA16D90" w14:textId="77777777">
        <w:tc>
          <w:tcPr>
            <w:tcW w:w="0" w:type="auto"/>
            <w:vAlign w:val="center"/>
          </w:tcPr>
          <w:p w14:paraId="71A54DAA" w14:textId="3B74D5DA" w:rsidR="000C3B76" w:rsidRDefault="000C3B76" w:rsidP="00190FCF">
            <w:pPr>
              <w:pStyle w:val="TableListNumber"/>
              <w:keepNext/>
              <w:numPr>
                <w:ilvl w:val="0"/>
                <w:numId w:val="44"/>
              </w:numPr>
            </w:pPr>
            <w:r w:rsidRPr="000676C7">
              <w:t xml:space="preserve">Does the policy </w:t>
            </w:r>
            <w:r>
              <w:t xml:space="preserve">seek to initially pilot or trial new approaches or initiatives (including undertaking evaluations), and </w:t>
            </w:r>
            <w:r w:rsidRPr="000676C7">
              <w:t>provide long-term funding</w:t>
            </w:r>
            <w:r>
              <w:t xml:space="preserve"> (</w:t>
            </w:r>
            <w:r w:rsidRPr="000676C7">
              <w:t xml:space="preserve">preferably for a minimum of </w:t>
            </w:r>
            <w:r w:rsidR="00285E8D">
              <w:t xml:space="preserve">4 </w:t>
            </w:r>
            <w:r w:rsidRPr="000676C7">
              <w:t>years</w:t>
            </w:r>
            <w:r>
              <w:t>) for known models of success</w:t>
            </w:r>
            <w:r w:rsidRPr="000676C7">
              <w:t>?</w:t>
            </w:r>
          </w:p>
        </w:tc>
      </w:tr>
      <w:tr w:rsidR="000C3B76" w:rsidRPr="0050330F" w14:paraId="2B3685D7" w14:textId="77777777">
        <w:trPr>
          <w:cnfStyle w:val="000000010000" w:firstRow="0" w:lastRow="0" w:firstColumn="0" w:lastColumn="0" w:oddVBand="0" w:evenVBand="0" w:oddHBand="0" w:evenHBand="1" w:firstRowFirstColumn="0" w:firstRowLastColumn="0" w:lastRowFirstColumn="0" w:lastRowLastColumn="0"/>
          <w:trHeight w:val="634"/>
        </w:trPr>
        <w:tc>
          <w:tcPr>
            <w:tcW w:w="0" w:type="auto"/>
            <w:vAlign w:val="center"/>
          </w:tcPr>
          <w:p w14:paraId="64F5226C" w14:textId="77777777" w:rsidR="000C3B76" w:rsidRPr="0050330F" w:rsidRDefault="000C3B76" w:rsidP="00190FCF">
            <w:pPr>
              <w:pStyle w:val="TableListNumber"/>
              <w:keepNext/>
              <w:numPr>
                <w:ilvl w:val="0"/>
                <w:numId w:val="44"/>
              </w:numPr>
            </w:pPr>
            <w:r w:rsidRPr="00F0176A">
              <w:t xml:space="preserve">Does the policy ensure continuity of access to quality services, and allow government to deliver services where </w:t>
            </w:r>
            <w:r>
              <w:t>appropriate</w:t>
            </w:r>
            <w:r w:rsidRPr="00F0176A">
              <w:t xml:space="preserve"> (such as through TAFE</w:t>
            </w:r>
            <w:r>
              <w:t>s</w:t>
            </w:r>
            <w:r w:rsidRPr="00F0176A">
              <w:t>, local governments, Government-Business Enterprises and so forth)?</w:t>
            </w:r>
          </w:p>
        </w:tc>
      </w:tr>
      <w:tr w:rsidR="000C3B76" w:rsidRPr="00F0176A" w14:paraId="147A4B10" w14:textId="77777777">
        <w:trPr>
          <w:trHeight w:val="634"/>
        </w:trPr>
        <w:tc>
          <w:tcPr>
            <w:tcW w:w="0" w:type="auto"/>
            <w:vAlign w:val="center"/>
          </w:tcPr>
          <w:p w14:paraId="65B96591" w14:textId="33DB5FFF" w:rsidR="000C3B76" w:rsidRPr="00F0176A" w:rsidRDefault="000C3B76" w:rsidP="00190FCF">
            <w:pPr>
              <w:pStyle w:val="TableListNumber"/>
              <w:keepNext/>
              <w:numPr>
                <w:ilvl w:val="0"/>
                <w:numId w:val="44"/>
              </w:numPr>
            </w:pPr>
            <w:r w:rsidRPr="00B2349F">
              <w:t xml:space="preserve">Does the </w:t>
            </w:r>
            <w:r w:rsidRPr="003A55E3">
              <w:t xml:space="preserve">policy consider </w:t>
            </w:r>
            <w:r w:rsidR="007271ED">
              <w:t>using</w:t>
            </w:r>
            <w:r>
              <w:t xml:space="preserve"> </w:t>
            </w:r>
            <w:r w:rsidRPr="003A55E3">
              <w:t>block-grant funding</w:t>
            </w:r>
            <w:r w:rsidR="005B0137">
              <w:t xml:space="preserve"> </w:t>
            </w:r>
            <w:r>
              <w:t xml:space="preserve">to support service delivery </w:t>
            </w:r>
            <w:r w:rsidRPr="003A55E3">
              <w:t>in situations where it is difficult to achieve viable cohort</w:t>
            </w:r>
            <w:r>
              <w:t>s</w:t>
            </w:r>
            <w:r w:rsidRPr="003A55E3">
              <w:t xml:space="preserve"> of participants</w:t>
            </w:r>
            <w:r w:rsidR="005B0137">
              <w:t xml:space="preserve"> (</w:t>
            </w:r>
            <w:r w:rsidR="005B0137" w:rsidRPr="003A55E3">
              <w:t xml:space="preserve">rather than </w:t>
            </w:r>
            <w:r w:rsidR="00592AA5">
              <w:t xml:space="preserve">using </w:t>
            </w:r>
            <w:r w:rsidR="005B0137" w:rsidRPr="003A55E3">
              <w:t>activity</w:t>
            </w:r>
            <w:r w:rsidR="005B0137">
              <w:t xml:space="preserve"> or outcome-</w:t>
            </w:r>
            <w:r w:rsidR="005B0137" w:rsidRPr="003A55E3">
              <w:t>based funding</w:t>
            </w:r>
            <w:r w:rsidR="00592AA5">
              <w:t>)</w:t>
            </w:r>
            <w:r w:rsidRPr="003A55E3">
              <w:t>?</w:t>
            </w:r>
          </w:p>
        </w:tc>
      </w:tr>
      <w:tr w:rsidR="000C3B76" w:rsidRPr="004D5CA0" w14:paraId="00FE316D" w14:textId="77777777">
        <w:trPr>
          <w:cnfStyle w:val="000000010000" w:firstRow="0" w:lastRow="0" w:firstColumn="0" w:lastColumn="0" w:oddVBand="0" w:evenVBand="0" w:oddHBand="0" w:evenHBand="1" w:firstRowFirstColumn="0" w:firstRowLastColumn="0" w:lastRowFirstColumn="0" w:lastRowLastColumn="0"/>
          <w:trHeight w:val="537"/>
        </w:trPr>
        <w:tc>
          <w:tcPr>
            <w:tcW w:w="0" w:type="auto"/>
            <w:vAlign w:val="center"/>
          </w:tcPr>
          <w:p w14:paraId="329E610E" w14:textId="77777777" w:rsidR="000C3B76" w:rsidRPr="004D5CA0" w:rsidRDefault="000C3B76" w:rsidP="00190FCF">
            <w:pPr>
              <w:pStyle w:val="TableListNumber"/>
              <w:keepNext/>
              <w:rPr>
                <w:highlight w:val="yellow"/>
              </w:rPr>
            </w:pPr>
            <w:r w:rsidRPr="00940ADC">
              <w:rPr>
                <w:b/>
                <w:bCs w:val="0"/>
              </w:rPr>
              <w:t>Funding principles</w:t>
            </w:r>
          </w:p>
        </w:tc>
      </w:tr>
      <w:tr w:rsidR="000C3B76" w:rsidRPr="0010563E" w14:paraId="471D6CC5" w14:textId="77777777">
        <w:trPr>
          <w:trHeight w:val="537"/>
        </w:trPr>
        <w:tc>
          <w:tcPr>
            <w:tcW w:w="0" w:type="auto"/>
            <w:vAlign w:val="center"/>
          </w:tcPr>
          <w:p w14:paraId="32BAE62F" w14:textId="77777777" w:rsidR="000C3B76" w:rsidRPr="0010563E" w:rsidRDefault="000C3B76" w:rsidP="00190FCF">
            <w:pPr>
              <w:pStyle w:val="TableListNumber"/>
              <w:keepNext/>
              <w:numPr>
                <w:ilvl w:val="0"/>
                <w:numId w:val="44"/>
              </w:numPr>
            </w:pPr>
            <w:r w:rsidRPr="0010563E">
              <w:t>Does the policy provide higher levels of funding to Regional Australia – including for remote areas – in response to higher costs of delivery and thin markets?</w:t>
            </w:r>
          </w:p>
        </w:tc>
      </w:tr>
      <w:tr w:rsidR="000C3B76" w:rsidRPr="0010563E" w14:paraId="678BD9AD" w14:textId="77777777">
        <w:trPr>
          <w:cnfStyle w:val="000000010000" w:firstRow="0" w:lastRow="0" w:firstColumn="0" w:lastColumn="0" w:oddVBand="0" w:evenVBand="0" w:oddHBand="0" w:evenHBand="1" w:firstRowFirstColumn="0" w:firstRowLastColumn="0" w:lastRowFirstColumn="0" w:lastRowLastColumn="0"/>
          <w:trHeight w:val="537"/>
        </w:trPr>
        <w:tc>
          <w:tcPr>
            <w:tcW w:w="0" w:type="auto"/>
            <w:vAlign w:val="center"/>
          </w:tcPr>
          <w:p w14:paraId="4EE2A2C9" w14:textId="1AD226AD" w:rsidR="000C3B76" w:rsidRPr="0010563E" w:rsidRDefault="000C3B76" w:rsidP="00190FCF">
            <w:pPr>
              <w:pStyle w:val="TableListNumber"/>
              <w:keepNext/>
              <w:numPr>
                <w:ilvl w:val="0"/>
                <w:numId w:val="44"/>
              </w:numPr>
            </w:pPr>
            <w:r w:rsidRPr="0010563E">
              <w:t>Does the funding incorporate periodic (or annual) uplifts in funding in response to changes in the cost of delivery</w:t>
            </w:r>
            <w:r w:rsidR="00C81755">
              <w:t xml:space="preserve"> in Regional Australia</w:t>
            </w:r>
            <w:r w:rsidRPr="0010563E">
              <w:t>?</w:t>
            </w:r>
          </w:p>
        </w:tc>
      </w:tr>
      <w:tr w:rsidR="000C3B76" w:rsidRPr="0010563E" w14:paraId="2E752BA9" w14:textId="77777777">
        <w:trPr>
          <w:trHeight w:val="537"/>
        </w:trPr>
        <w:tc>
          <w:tcPr>
            <w:tcW w:w="0" w:type="auto"/>
            <w:vAlign w:val="center"/>
          </w:tcPr>
          <w:p w14:paraId="7B2AA7D2" w14:textId="77777777" w:rsidR="000C3B76" w:rsidRPr="0010563E" w:rsidRDefault="000C3B76" w:rsidP="00190FCF">
            <w:pPr>
              <w:pStyle w:val="TableListNumber"/>
              <w:keepNext/>
              <w:numPr>
                <w:ilvl w:val="0"/>
                <w:numId w:val="44"/>
              </w:numPr>
            </w:pPr>
            <w:r w:rsidRPr="0010563E">
              <w:t xml:space="preserve">Does the policy ensure any substantial changes to funding or service delivery in Regional Australia (including cessations or extensions) occur progressively over time and with sufficient notice for regions to adapt? </w:t>
            </w:r>
          </w:p>
        </w:tc>
      </w:tr>
    </w:tbl>
    <w:p w14:paraId="3BBBC3FC" w14:textId="77777777" w:rsidR="00036566" w:rsidRPr="00CC041A" w:rsidRDefault="00036566" w:rsidP="00522BC3">
      <w:pPr>
        <w:rPr>
          <w:rFonts w:cs="Arial"/>
          <w:b/>
          <w:color w:val="FFFFFF" w:themeColor="background1"/>
          <w:sz w:val="20"/>
          <w:szCs w:val="20"/>
        </w:rPr>
      </w:pPr>
    </w:p>
    <w:p w14:paraId="45878C6B" w14:textId="53CCF66D" w:rsidR="009465D9" w:rsidRPr="00A07F7B" w:rsidRDefault="009465D9" w:rsidP="003E3B4D">
      <w:pPr>
        <w:pStyle w:val="Heading3"/>
      </w:pPr>
      <w:r>
        <w:t xml:space="preserve">Emerging areas of </w:t>
      </w:r>
      <w:bookmarkStart w:id="37" w:name="_Hlk198626328"/>
      <w:r>
        <w:t xml:space="preserve">focus for continued action to </w:t>
      </w:r>
      <w:r w:rsidR="00A43EE8">
        <w:t>enhance</w:t>
      </w:r>
      <w:r>
        <w:t xml:space="preserve"> the jobs and skills system in Regional Australia</w:t>
      </w:r>
      <w:bookmarkEnd w:id="37"/>
    </w:p>
    <w:p w14:paraId="3C79B5E8" w14:textId="77777777" w:rsidR="007F2F7C" w:rsidRDefault="007F2F7C" w:rsidP="00650BA8">
      <w:pPr>
        <w:pStyle w:val="BodyText"/>
      </w:pPr>
      <w:r>
        <w:t xml:space="preserve">In addition to the cross-cutting policy settings incorporated in the checklist above, there are also a range of emerging areas of focus and opportunity. These areas represent more focused and deliberate actions that should be explored with stakeholders to determine their feasibility and options for co-designing specific policy responses. </w:t>
      </w:r>
    </w:p>
    <w:p w14:paraId="24445A1A" w14:textId="77777777" w:rsidR="007F2F7C" w:rsidRDefault="007F2F7C" w:rsidP="00650BA8">
      <w:pPr>
        <w:pStyle w:val="BodyText"/>
      </w:pPr>
      <w:r>
        <w:t xml:space="preserve">In many regions and jurisdictions, the proposed areas of focus draw on existing strengths or successes in Regional Australia. There are opportunities for these approaches to be shared more broadly to enable other regions to learn from and build on the successes. </w:t>
      </w:r>
    </w:p>
    <w:p w14:paraId="6D416299" w14:textId="0D0A88A5" w:rsidR="007F2F7C" w:rsidRDefault="007F2F7C" w:rsidP="00650BA8">
      <w:pPr>
        <w:pStyle w:val="BodyText"/>
        <w:rPr>
          <w:b/>
          <w:bCs/>
        </w:rPr>
      </w:pPr>
      <w:r>
        <w:t xml:space="preserve">The list below is a starting point for the proposed </w:t>
      </w:r>
      <w:r w:rsidR="00526148">
        <w:t>r</w:t>
      </w:r>
      <w:r>
        <w:t xml:space="preserve">oundtables and </w:t>
      </w:r>
      <w:r w:rsidR="00526148">
        <w:t>s</w:t>
      </w:r>
      <w:r>
        <w:t xml:space="preserve">takeholder </w:t>
      </w:r>
      <w:r w:rsidR="00526148">
        <w:t>s</w:t>
      </w:r>
      <w:r>
        <w:t xml:space="preserve">ubmission </w:t>
      </w:r>
      <w:r w:rsidR="00526148">
        <w:t>p</w:t>
      </w:r>
      <w:r>
        <w:t xml:space="preserve">rocess to inform Phase 2 of the Roadmap. </w:t>
      </w:r>
    </w:p>
    <w:p w14:paraId="5DE7E5B0" w14:textId="77777777" w:rsidR="007F2F7C" w:rsidRPr="0051744B" w:rsidRDefault="007F2F7C" w:rsidP="0096494E">
      <w:pPr>
        <w:pStyle w:val="Heading4"/>
      </w:pPr>
      <w:r w:rsidRPr="4502C1DD">
        <w:lastRenderedPageBreak/>
        <w:t>Cross-cutting strategies and approaches</w:t>
      </w:r>
    </w:p>
    <w:p w14:paraId="7E716AB9" w14:textId="0C21FA3E" w:rsidR="00BE615F" w:rsidRPr="00BE615F" w:rsidRDefault="007F2F7C" w:rsidP="00D16B99">
      <w:pPr>
        <w:pStyle w:val="BodyText"/>
        <w:numPr>
          <w:ilvl w:val="0"/>
          <w:numId w:val="24"/>
        </w:numPr>
      </w:pPr>
      <w:r w:rsidRPr="4502C1DD">
        <w:t>All future workforce</w:t>
      </w:r>
      <w:r>
        <w:t>, capacity and cohort</w:t>
      </w:r>
      <w:r w:rsidRPr="4502C1DD">
        <w:t xml:space="preserve"> studies </w:t>
      </w:r>
      <w:r>
        <w:t xml:space="preserve">progressed </w:t>
      </w:r>
      <w:r w:rsidRPr="4502C1DD">
        <w:t xml:space="preserve">by </w:t>
      </w:r>
      <w:r w:rsidR="00526148">
        <w:t>JSA</w:t>
      </w:r>
      <w:r w:rsidRPr="4502C1DD">
        <w:t xml:space="preserve"> should </w:t>
      </w:r>
      <w:r>
        <w:t xml:space="preserve">explicitly </w:t>
      </w:r>
      <w:r w:rsidRPr="4502C1DD">
        <w:t>consider Regional Australia.</w:t>
      </w:r>
    </w:p>
    <w:p w14:paraId="55C15B68" w14:textId="03358255" w:rsidR="00BF2517" w:rsidRPr="00BF2517" w:rsidRDefault="00BF2517" w:rsidP="00D16B99">
      <w:pPr>
        <w:pStyle w:val="ListParagraph"/>
        <w:numPr>
          <w:ilvl w:val="0"/>
          <w:numId w:val="24"/>
        </w:numPr>
        <w:rPr>
          <w:rFonts w:cs="Arial"/>
        </w:rPr>
      </w:pPr>
      <w:r w:rsidRPr="4502C1DD">
        <w:rPr>
          <w:rFonts w:cs="Arial"/>
        </w:rPr>
        <w:t>The skills needs of regional and remote areas of</w:t>
      </w:r>
      <w:r>
        <w:rPr>
          <w:rFonts w:cs="Arial"/>
        </w:rPr>
        <w:t>t</w:t>
      </w:r>
      <w:r w:rsidRPr="4502C1DD">
        <w:rPr>
          <w:rFonts w:cs="Arial"/>
        </w:rPr>
        <w:t>e</w:t>
      </w:r>
      <w:r>
        <w:rPr>
          <w:rFonts w:cs="Arial"/>
        </w:rPr>
        <w:t>n</w:t>
      </w:r>
      <w:r w:rsidRPr="4502C1DD">
        <w:rPr>
          <w:rFonts w:cs="Arial"/>
        </w:rPr>
        <w:t xml:space="preserve"> differ to those of the </w:t>
      </w:r>
      <w:r w:rsidR="00B32365">
        <w:rPr>
          <w:rFonts w:cs="Arial"/>
        </w:rPr>
        <w:t>Major Cities</w:t>
      </w:r>
      <w:r w:rsidRPr="4502C1DD">
        <w:rPr>
          <w:rFonts w:cs="Arial"/>
        </w:rPr>
        <w:t xml:space="preserve">. Commonwealth and State and Territory Governments (where applicable) should work towards identifying such differences in all future skills needs lists. </w:t>
      </w:r>
    </w:p>
    <w:p w14:paraId="3DB1084F" w14:textId="5F7B51BC" w:rsidR="007F2F7C" w:rsidRDefault="007F2F7C" w:rsidP="00D16B99">
      <w:pPr>
        <w:pStyle w:val="BodyText"/>
        <w:numPr>
          <w:ilvl w:val="0"/>
          <w:numId w:val="24"/>
        </w:numPr>
      </w:pPr>
      <w:r w:rsidRPr="4502C1DD">
        <w:rPr>
          <w:color w:val="181A05"/>
        </w:rPr>
        <w:t xml:space="preserve">More comprehensive, frequent and </w:t>
      </w:r>
      <w:r w:rsidR="00E431DD">
        <w:rPr>
          <w:color w:val="181A05"/>
        </w:rPr>
        <w:t>useful</w:t>
      </w:r>
      <w:r w:rsidRPr="4502C1DD">
        <w:rPr>
          <w:color w:val="181A05"/>
        </w:rPr>
        <w:t xml:space="preserve"> data for Regional Australia is needed in relation to:</w:t>
      </w:r>
    </w:p>
    <w:p w14:paraId="34C9846A" w14:textId="1CFA1681" w:rsidR="007F2F7C" w:rsidRDefault="007F2F7C" w:rsidP="00D16B99">
      <w:pPr>
        <w:pStyle w:val="BodyText"/>
        <w:numPr>
          <w:ilvl w:val="0"/>
          <w:numId w:val="25"/>
        </w:numPr>
      </w:pPr>
      <w:r>
        <w:t>f</w:t>
      </w:r>
      <w:r w:rsidRPr="4502C1DD">
        <w:t>oundation</w:t>
      </w:r>
      <w:r>
        <w:t>al</w:t>
      </w:r>
      <w:r w:rsidRPr="4502C1DD">
        <w:t xml:space="preserve"> skills</w:t>
      </w:r>
      <w:r w:rsidR="001E7F8E">
        <w:t xml:space="preserve"> </w:t>
      </w:r>
      <w:r w:rsidRPr="4502C1DD">
        <w:t>– particularly among adults</w:t>
      </w:r>
    </w:p>
    <w:p w14:paraId="31E9AC01" w14:textId="77777777" w:rsidR="007F2F7C" w:rsidRDefault="007F2F7C" w:rsidP="00D16B99">
      <w:pPr>
        <w:pStyle w:val="BodyText"/>
        <w:numPr>
          <w:ilvl w:val="0"/>
          <w:numId w:val="25"/>
        </w:numPr>
      </w:pPr>
      <w:r w:rsidRPr="4502C1DD">
        <w:rPr>
          <w:color w:val="181A05"/>
        </w:rPr>
        <w:t>workforce and skills needs</w:t>
      </w:r>
      <w:r>
        <w:rPr>
          <w:color w:val="181A05"/>
        </w:rPr>
        <w:t>, particularly in</w:t>
      </w:r>
      <w:r w:rsidRPr="4502C1DD">
        <w:rPr>
          <w:color w:val="181A05"/>
        </w:rPr>
        <w:t xml:space="preserve"> remote Australia</w:t>
      </w:r>
    </w:p>
    <w:p w14:paraId="12F1FFDC" w14:textId="77777777" w:rsidR="001E7F8E" w:rsidRPr="00C92256" w:rsidRDefault="001E7F8E" w:rsidP="00D16B99">
      <w:pPr>
        <w:pStyle w:val="BodyText"/>
        <w:numPr>
          <w:ilvl w:val="0"/>
          <w:numId w:val="25"/>
        </w:numPr>
      </w:pPr>
      <w:r w:rsidRPr="00C92256">
        <w:t xml:space="preserve">education and employment pathways of students and youth, including </w:t>
      </w:r>
      <w:r>
        <w:t>through the continuing integration of linked datasets to enable</w:t>
      </w:r>
      <w:r w:rsidRPr="00C92256">
        <w:t xml:space="preserve"> more effective evaluation of outcomes over time</w:t>
      </w:r>
    </w:p>
    <w:p w14:paraId="700E2296" w14:textId="1C78AAA6" w:rsidR="007F2F7C" w:rsidRDefault="00764B10" w:rsidP="00D16B99">
      <w:pPr>
        <w:pStyle w:val="BodyText"/>
        <w:numPr>
          <w:ilvl w:val="0"/>
          <w:numId w:val="25"/>
        </w:numPr>
      </w:pPr>
      <w:r>
        <w:rPr>
          <w:color w:val="181A05"/>
        </w:rPr>
        <w:t>economic activity by region, to support insights into labour productivity</w:t>
      </w:r>
    </w:p>
    <w:p w14:paraId="6951D645" w14:textId="79E7D284" w:rsidR="007F2F7C" w:rsidRDefault="007F2F7C" w:rsidP="00D16B99">
      <w:pPr>
        <w:pStyle w:val="BodyText"/>
        <w:numPr>
          <w:ilvl w:val="0"/>
          <w:numId w:val="25"/>
        </w:numPr>
      </w:pPr>
      <w:r w:rsidRPr="4502C1DD">
        <w:t xml:space="preserve">barriers to participation in education </w:t>
      </w:r>
      <w:r w:rsidR="00365537">
        <w:t xml:space="preserve">and employment </w:t>
      </w:r>
      <w:r w:rsidRPr="4502C1DD">
        <w:t>faced by young p</w:t>
      </w:r>
      <w:r w:rsidR="009B02C6">
        <w:t>eople</w:t>
      </w:r>
      <w:r w:rsidRPr="4502C1DD">
        <w:t xml:space="preserve"> under the age of 18</w:t>
      </w:r>
    </w:p>
    <w:p w14:paraId="75432AD3" w14:textId="17B6B86E" w:rsidR="007F2F7C" w:rsidRDefault="004F4D23" w:rsidP="00D16B99">
      <w:pPr>
        <w:pStyle w:val="BodyText"/>
        <w:numPr>
          <w:ilvl w:val="0"/>
          <w:numId w:val="25"/>
        </w:numPr>
      </w:pPr>
      <w:r>
        <w:t xml:space="preserve">greater </w:t>
      </w:r>
      <w:r w:rsidR="007C40A5">
        <w:t xml:space="preserve">collection of </w:t>
      </w:r>
      <w:r>
        <w:t>qualitative data</w:t>
      </w:r>
      <w:r w:rsidR="007C40A5">
        <w:t xml:space="preserve"> to enhance and complement quantitative data </w:t>
      </w:r>
      <w:r w:rsidR="00480C6C">
        <w:t>including those related to people’s experiences and wellbeing.</w:t>
      </w:r>
    </w:p>
    <w:p w14:paraId="2CCED4B8" w14:textId="47EA77A5" w:rsidR="007F2F7C" w:rsidRPr="00541A1B" w:rsidRDefault="00D767E3" w:rsidP="00D767E3">
      <w:pPr>
        <w:pStyle w:val="BodyText"/>
        <w:numPr>
          <w:ilvl w:val="0"/>
          <w:numId w:val="24"/>
        </w:numPr>
      </w:pPr>
      <w:r>
        <w:t>Using</w:t>
      </w:r>
      <w:r w:rsidRPr="4502C1DD">
        <w:t xml:space="preserve"> place-based and centralised points-of-contact (‘hubs’) for students and jobseekers alike has proven successful in some regions</w:t>
      </w:r>
      <w:r w:rsidR="00CE6A8F">
        <w:t xml:space="preserve"> (including </w:t>
      </w:r>
      <w:r w:rsidR="00FE3046">
        <w:t>cross-government initiatives)</w:t>
      </w:r>
      <w:r>
        <w:t>, noting the need to ensure access to services for those who are more isolated from transport links</w:t>
      </w:r>
      <w:r w:rsidRPr="4502C1DD">
        <w:t>.</w:t>
      </w:r>
    </w:p>
    <w:p w14:paraId="6BA16DA8" w14:textId="33F9CE31" w:rsidR="007F2F7C" w:rsidRPr="00541A1B" w:rsidRDefault="007F2F7C" w:rsidP="00D16B99">
      <w:pPr>
        <w:pStyle w:val="BodyText"/>
        <w:numPr>
          <w:ilvl w:val="0"/>
          <w:numId w:val="24"/>
        </w:numPr>
      </w:pPr>
      <w:r w:rsidRPr="4502C1DD">
        <w:t xml:space="preserve">Supporting roles that focus on fostering collaboration and partnerships in the jobs and skills system are proving effective, including through the </w:t>
      </w:r>
      <w:r w:rsidR="00877778">
        <w:t>Jobs Coordinators (</w:t>
      </w:r>
      <w:r w:rsidR="00877778" w:rsidRPr="4502C1DD">
        <w:t>Employment Facilitators</w:t>
      </w:r>
      <w:r w:rsidR="00877778">
        <w:t>)</w:t>
      </w:r>
      <w:r w:rsidR="00877778" w:rsidRPr="4502C1DD">
        <w:t xml:space="preserve"> </w:t>
      </w:r>
      <w:r w:rsidRPr="4502C1DD">
        <w:t>under the Local Jobs Program and other related initiatives.</w:t>
      </w:r>
    </w:p>
    <w:p w14:paraId="2AF8BB39" w14:textId="179F9200" w:rsidR="007F2F7C" w:rsidRDefault="007F2F7C" w:rsidP="00D37CE7">
      <w:pPr>
        <w:pStyle w:val="Heading4"/>
      </w:pPr>
      <w:r w:rsidRPr="4502C1DD">
        <w:t>Reducing Barriers</w:t>
      </w:r>
    </w:p>
    <w:p w14:paraId="465F60EC" w14:textId="77777777" w:rsidR="007F2F7C" w:rsidRPr="0012426B" w:rsidRDefault="007F2F7C" w:rsidP="00D16B99">
      <w:pPr>
        <w:pStyle w:val="BodyText"/>
        <w:numPr>
          <w:ilvl w:val="0"/>
          <w:numId w:val="24"/>
        </w:numPr>
        <w:rPr>
          <w:rFonts w:asciiTheme="minorHAnsi" w:hAnsiTheme="minorHAnsi"/>
        </w:rPr>
      </w:pPr>
      <w:r>
        <w:t xml:space="preserve">Individuals who face complex barriers to employment require intensive case-managed strategies that incorporate work components and other targeted forms of social and wrap-around support. Such strategies should be developed </w:t>
      </w:r>
      <w:r w:rsidRPr="4502C1DD">
        <w:rPr>
          <w:rFonts w:asciiTheme="minorHAnsi" w:hAnsiTheme="minorHAnsi"/>
        </w:rPr>
        <w:t>on</w:t>
      </w:r>
      <w:r>
        <w:t xml:space="preserve"> a personalised and individualised basis. Additionally:</w:t>
      </w:r>
    </w:p>
    <w:p w14:paraId="541604EB" w14:textId="77777777" w:rsidR="007F2F7C" w:rsidRPr="0012426B" w:rsidRDefault="007F2F7C" w:rsidP="00D16B99">
      <w:pPr>
        <w:pStyle w:val="BodyText"/>
        <w:numPr>
          <w:ilvl w:val="0"/>
          <w:numId w:val="50"/>
        </w:numPr>
        <w:rPr>
          <w:rFonts w:asciiTheme="minorHAnsi" w:hAnsiTheme="minorHAnsi"/>
        </w:rPr>
      </w:pPr>
      <w:r>
        <w:t xml:space="preserve">Work connection activities are a priority but must be not hinder the provision of necessary social services and support. </w:t>
      </w:r>
    </w:p>
    <w:p w14:paraId="2333307B" w14:textId="3EB9DC92" w:rsidR="007F2F7C" w:rsidRDefault="007F2F7C" w:rsidP="00D16B99">
      <w:pPr>
        <w:pStyle w:val="BodyText"/>
        <w:numPr>
          <w:ilvl w:val="0"/>
          <w:numId w:val="50"/>
        </w:numPr>
        <w:rPr>
          <w:rFonts w:asciiTheme="minorHAnsi" w:hAnsiTheme="minorHAnsi"/>
        </w:rPr>
      </w:pPr>
      <w:r>
        <w:t>Long-term income support reliant recipients may be better provided for through a predominantly social-support focussed program.</w:t>
      </w:r>
    </w:p>
    <w:p w14:paraId="7DD7B00D" w14:textId="77777777" w:rsidR="007F2F7C" w:rsidRPr="00541161" w:rsidRDefault="007F2F7C" w:rsidP="00D16B99">
      <w:pPr>
        <w:pStyle w:val="BodyText"/>
        <w:numPr>
          <w:ilvl w:val="0"/>
          <w:numId w:val="24"/>
        </w:numPr>
        <w:rPr>
          <w:rFonts w:asciiTheme="minorHAnsi" w:hAnsiTheme="minorHAnsi"/>
        </w:rPr>
      </w:pPr>
      <w:r w:rsidRPr="4502C1DD">
        <w:rPr>
          <w:rFonts w:asciiTheme="minorHAnsi" w:hAnsiTheme="minorHAnsi"/>
        </w:rPr>
        <w:t xml:space="preserve">Adults who previously disengaged from schooling often face significant barriers to participation in further education or employment. Ongoing access to appropriate </w:t>
      </w:r>
      <w:r w:rsidRPr="00541161">
        <w:rPr>
          <w:rFonts w:asciiTheme="minorHAnsi" w:hAnsiTheme="minorHAnsi"/>
        </w:rPr>
        <w:t>foundation skills development programs and initiatives is essential.</w:t>
      </w:r>
    </w:p>
    <w:p w14:paraId="21F642A9" w14:textId="444C9BA7" w:rsidR="007F2F7C" w:rsidRPr="00541161" w:rsidRDefault="007F2F7C" w:rsidP="00D16B99">
      <w:pPr>
        <w:pStyle w:val="BodyText"/>
        <w:numPr>
          <w:ilvl w:val="0"/>
          <w:numId w:val="24"/>
        </w:numPr>
        <w:rPr>
          <w:rFonts w:cs="Arial"/>
        </w:rPr>
      </w:pPr>
      <w:r w:rsidRPr="00541161">
        <w:rPr>
          <w:rFonts w:cs="Arial"/>
        </w:rPr>
        <w:t xml:space="preserve">Where lack of aspiration </w:t>
      </w:r>
      <w:r>
        <w:rPr>
          <w:rFonts w:cs="Arial"/>
        </w:rPr>
        <w:t xml:space="preserve">or </w:t>
      </w:r>
      <w:r w:rsidRPr="00541161">
        <w:rPr>
          <w:rFonts w:cs="Arial"/>
        </w:rPr>
        <w:t xml:space="preserve">motivation is a key barrier (particularly in cases of intergenerational disadvantage or disengagement from schooling), consideration should be given to trialling </w:t>
      </w:r>
      <w:r>
        <w:rPr>
          <w:rFonts w:cs="Arial"/>
        </w:rPr>
        <w:t xml:space="preserve">a </w:t>
      </w:r>
      <w:r w:rsidRPr="00541161">
        <w:rPr>
          <w:rFonts w:cs="Arial"/>
        </w:rPr>
        <w:t xml:space="preserve">program </w:t>
      </w:r>
      <w:r>
        <w:rPr>
          <w:rFonts w:cs="Arial"/>
        </w:rPr>
        <w:t>targeting this particular barrier</w:t>
      </w:r>
      <w:r w:rsidR="002F74CE">
        <w:rPr>
          <w:rFonts w:cs="Arial"/>
        </w:rPr>
        <w:t xml:space="preserve"> (leveraging areas of </w:t>
      </w:r>
      <w:r w:rsidR="002F74CE">
        <w:rPr>
          <w:rFonts w:cs="Arial"/>
        </w:rPr>
        <w:lastRenderedPageBreak/>
        <w:t>existing success)</w:t>
      </w:r>
      <w:r w:rsidRPr="00541161">
        <w:rPr>
          <w:rFonts w:cs="Arial"/>
        </w:rPr>
        <w:t>. Such a program could work closely with local employers across a diverse range of industries to provide students with the opportunity to visit a variety of workplaces to inspire career aspirations.</w:t>
      </w:r>
    </w:p>
    <w:p w14:paraId="33F418D9" w14:textId="1DBA5C75" w:rsidR="006A157D" w:rsidRDefault="006A157D" w:rsidP="00CD334B">
      <w:pPr>
        <w:pStyle w:val="Heading4"/>
        <w:keepNext/>
      </w:pPr>
      <w:r>
        <w:t>Skills and Education</w:t>
      </w:r>
    </w:p>
    <w:p w14:paraId="649C5F74" w14:textId="77777777" w:rsidR="00720D8B" w:rsidRPr="005E042A" w:rsidRDefault="00E03502" w:rsidP="00D16B99">
      <w:pPr>
        <w:pStyle w:val="ListParagraph"/>
        <w:numPr>
          <w:ilvl w:val="0"/>
          <w:numId w:val="24"/>
        </w:numPr>
        <w:rPr>
          <w:rFonts w:cs="Arial"/>
        </w:rPr>
      </w:pPr>
      <w:r w:rsidRPr="005E042A">
        <w:rPr>
          <w:rFonts w:cs="Arial"/>
        </w:rPr>
        <w:t xml:space="preserve">The Commonwealth Government should work with State and Territory Governments to explore additional </w:t>
      </w:r>
      <w:r w:rsidR="006A3FFD" w:rsidRPr="006A3FFD">
        <w:rPr>
          <w:rFonts w:cs="Arial"/>
        </w:rPr>
        <w:t xml:space="preserve">reporting focused on Regional Australia (as a whole, at </w:t>
      </w:r>
      <w:r w:rsidRPr="006A3FFD">
        <w:rPr>
          <w:rFonts w:cs="Arial"/>
        </w:rPr>
        <w:t xml:space="preserve">the national </w:t>
      </w:r>
      <w:r w:rsidR="006A3FFD" w:rsidRPr="006A3FFD">
        <w:rPr>
          <w:rFonts w:cs="Arial"/>
        </w:rPr>
        <w:t>level), to support performance reporting around the National Skills Agreement (NSA). Governments should also work together to support each individual jurisdiction to monitor</w:t>
      </w:r>
      <w:r w:rsidRPr="006A3FFD">
        <w:rPr>
          <w:rFonts w:cs="Arial"/>
        </w:rPr>
        <w:t xml:space="preserve"> performance </w:t>
      </w:r>
      <w:r w:rsidR="006A3FFD" w:rsidRPr="006A3FFD">
        <w:rPr>
          <w:rFonts w:cs="Arial"/>
        </w:rPr>
        <w:t xml:space="preserve">across the regional areas of their own State/Territory as an additional identified priority area. </w:t>
      </w:r>
    </w:p>
    <w:p w14:paraId="75761D64" w14:textId="41885385" w:rsidR="005C6351" w:rsidRPr="00476009" w:rsidRDefault="005C6351" w:rsidP="00D16B99">
      <w:pPr>
        <w:pStyle w:val="BodyText"/>
        <w:numPr>
          <w:ilvl w:val="0"/>
          <w:numId w:val="24"/>
        </w:numPr>
        <w:rPr>
          <w:rFonts w:asciiTheme="minorHAnsi" w:hAnsiTheme="minorHAnsi"/>
        </w:rPr>
      </w:pPr>
      <w:r>
        <w:rPr>
          <w:rFonts w:cs="Arial"/>
        </w:rPr>
        <w:t>The Australian Tertiary Education Commission (ATEC)</w:t>
      </w:r>
      <w:r w:rsidRPr="4502C1DD">
        <w:rPr>
          <w:rFonts w:cs="Arial"/>
        </w:rPr>
        <w:t>, when established</w:t>
      </w:r>
      <w:r>
        <w:rPr>
          <w:rFonts w:cs="Arial"/>
        </w:rPr>
        <w:t>,</w:t>
      </w:r>
      <w:r w:rsidRPr="4502C1DD">
        <w:rPr>
          <w:rFonts w:cs="Arial"/>
        </w:rPr>
        <w:t xml:space="preserve"> should work with regional universities</w:t>
      </w:r>
      <w:r w:rsidR="00CE75FF">
        <w:rPr>
          <w:rFonts w:cs="Arial"/>
        </w:rPr>
        <w:t xml:space="preserve"> (including those </w:t>
      </w:r>
      <w:r w:rsidR="001C2799">
        <w:rPr>
          <w:rFonts w:cs="Arial"/>
        </w:rPr>
        <w:t>who have a regional presence)</w:t>
      </w:r>
      <w:r w:rsidRPr="4502C1DD">
        <w:rPr>
          <w:rFonts w:cs="Arial"/>
        </w:rPr>
        <w:t xml:space="preserve"> to </w:t>
      </w:r>
      <w:r w:rsidR="00295218">
        <w:rPr>
          <w:rFonts w:cs="Arial"/>
        </w:rPr>
        <w:t xml:space="preserve">explore </w:t>
      </w:r>
      <w:r w:rsidRPr="4502C1DD">
        <w:rPr>
          <w:rFonts w:cs="Arial"/>
        </w:rPr>
        <w:t>incorporat</w:t>
      </w:r>
      <w:r w:rsidR="00295218">
        <w:rPr>
          <w:rFonts w:cs="Arial"/>
        </w:rPr>
        <w:t>ing</w:t>
      </w:r>
      <w:r w:rsidRPr="4502C1DD">
        <w:rPr>
          <w:rFonts w:cs="Arial"/>
        </w:rPr>
        <w:t xml:space="preserve"> </w:t>
      </w:r>
      <w:r w:rsidR="00295218">
        <w:rPr>
          <w:rFonts w:cs="Arial"/>
        </w:rPr>
        <w:t xml:space="preserve">regional focussed </w:t>
      </w:r>
      <w:r w:rsidRPr="4502C1DD">
        <w:rPr>
          <w:rFonts w:cs="Arial"/>
        </w:rPr>
        <w:t xml:space="preserve">performance </w:t>
      </w:r>
      <w:r w:rsidRPr="00543CB9">
        <w:rPr>
          <w:rFonts w:cs="Arial"/>
        </w:rPr>
        <w:t xml:space="preserve">indicators into Mission Based Compacts. </w:t>
      </w:r>
      <w:r w:rsidRPr="00543CB9">
        <w:t xml:space="preserve">If the </w:t>
      </w:r>
      <w:r>
        <w:t xml:space="preserve">Higher Education </w:t>
      </w:r>
      <w:r w:rsidRPr="00476009">
        <w:t xml:space="preserve">Accord’s </w:t>
      </w:r>
      <w:r w:rsidRPr="005C6351">
        <w:rPr>
          <w:rFonts w:cs="Arial"/>
        </w:rPr>
        <w:t>recommendations</w:t>
      </w:r>
      <w:r w:rsidRPr="00476009">
        <w:t xml:space="preserve"> pertaining to regional higher education are adopted and effectively implemented, that will greatly increase the ability of regional universities to drive up these indicators.  </w:t>
      </w:r>
    </w:p>
    <w:p w14:paraId="4F527A11" w14:textId="77777777" w:rsidR="005C6351" w:rsidRPr="00476009" w:rsidRDefault="005C6351" w:rsidP="00D16B99">
      <w:pPr>
        <w:pStyle w:val="BodyText"/>
        <w:numPr>
          <w:ilvl w:val="0"/>
          <w:numId w:val="24"/>
        </w:numPr>
        <w:rPr>
          <w:rFonts w:asciiTheme="minorHAnsi" w:hAnsiTheme="minorHAnsi"/>
        </w:rPr>
      </w:pPr>
      <w:r w:rsidRPr="00476009">
        <w:rPr>
          <w:rFonts w:asciiTheme="minorHAnsi" w:hAnsiTheme="minorHAnsi"/>
        </w:rPr>
        <w:t xml:space="preserve">The jobs and skills system in Regional Australia would benefit from improved strategic alignment, </w:t>
      </w:r>
      <w:r w:rsidRPr="005C6351">
        <w:rPr>
          <w:rFonts w:cs="Arial"/>
        </w:rPr>
        <w:t>coordination</w:t>
      </w:r>
      <w:r w:rsidRPr="00476009">
        <w:rPr>
          <w:rFonts w:asciiTheme="minorHAnsi" w:hAnsiTheme="minorHAnsi"/>
        </w:rPr>
        <w:t xml:space="preserve"> and cooperation </w:t>
      </w:r>
      <w:r w:rsidRPr="005C6351">
        <w:rPr>
          <w:rFonts w:cs="Arial"/>
        </w:rPr>
        <w:t>between</w:t>
      </w:r>
      <w:r w:rsidRPr="00476009">
        <w:rPr>
          <w:rFonts w:asciiTheme="minorHAnsi" w:hAnsiTheme="minorHAnsi"/>
        </w:rPr>
        <w:t xml:space="preserve"> the Higher Education and Vocational Education and Training (VET) sectors. Enabling the development and effective implementation of a tertiary harmonisation roadmap of the kind proposed by JSA in its report </w:t>
      </w:r>
      <w:r w:rsidRPr="00476009">
        <w:rPr>
          <w:rFonts w:asciiTheme="minorHAnsi" w:hAnsiTheme="minorHAnsi"/>
          <w:i/>
          <w:iCs/>
        </w:rPr>
        <w:t>Opportunity and Productivity: Towards a Tertiary Harmonisation Roadmap</w:t>
      </w:r>
      <w:r w:rsidRPr="00476009">
        <w:rPr>
          <w:rFonts w:asciiTheme="minorHAnsi" w:hAnsiTheme="minorHAnsi"/>
        </w:rPr>
        <w:t xml:space="preserve"> would go some way to realising this opportunity.</w:t>
      </w:r>
    </w:p>
    <w:p w14:paraId="18BBC864" w14:textId="77777777" w:rsidR="003832B9" w:rsidRPr="00584DEA" w:rsidRDefault="003832B9" w:rsidP="003832B9">
      <w:pPr>
        <w:pStyle w:val="BodyText"/>
        <w:numPr>
          <w:ilvl w:val="0"/>
          <w:numId w:val="24"/>
        </w:numPr>
        <w:rPr>
          <w:rFonts w:asciiTheme="minorHAnsi" w:hAnsiTheme="minorHAnsi"/>
        </w:rPr>
      </w:pPr>
      <w:r w:rsidRPr="4502C1DD">
        <w:rPr>
          <w:rFonts w:asciiTheme="minorHAnsi" w:hAnsiTheme="minorHAnsi"/>
        </w:rPr>
        <w:t xml:space="preserve">Ensure that all secondary students have access to high quality careers education in school that is broadly based, well researched and deeply connected to local community and its businesses.  </w:t>
      </w:r>
    </w:p>
    <w:p w14:paraId="13E6F340" w14:textId="181185BE" w:rsidR="007F2F7C" w:rsidRPr="005D2A83" w:rsidRDefault="007F2F7C" w:rsidP="00D16B99">
      <w:pPr>
        <w:pStyle w:val="BodyText"/>
        <w:numPr>
          <w:ilvl w:val="0"/>
          <w:numId w:val="24"/>
        </w:numPr>
        <w:rPr>
          <w:rFonts w:asciiTheme="minorHAnsi" w:hAnsiTheme="minorHAnsi"/>
        </w:rPr>
      </w:pPr>
      <w:r w:rsidRPr="4502C1DD">
        <w:rPr>
          <w:rFonts w:asciiTheme="minorHAnsi" w:hAnsiTheme="minorHAnsi"/>
        </w:rPr>
        <w:t xml:space="preserve">Secondary school students in Regional Australia need access to a broad range of education </w:t>
      </w:r>
      <w:r w:rsidRPr="005C6351">
        <w:rPr>
          <w:rFonts w:cs="Arial"/>
        </w:rPr>
        <w:t>and</w:t>
      </w:r>
      <w:r w:rsidRPr="4502C1DD">
        <w:rPr>
          <w:rFonts w:asciiTheme="minorHAnsi" w:hAnsiTheme="minorHAnsi"/>
        </w:rPr>
        <w:t xml:space="preserve"> employment pathways.</w:t>
      </w:r>
      <w:r w:rsidR="00A05798">
        <w:rPr>
          <w:rFonts w:asciiTheme="minorHAnsi" w:hAnsiTheme="minorHAnsi"/>
        </w:rPr>
        <w:t xml:space="preserve"> </w:t>
      </w:r>
      <w:r w:rsidRPr="4502C1DD">
        <w:rPr>
          <w:rFonts w:asciiTheme="minorHAnsi" w:hAnsiTheme="minorHAnsi"/>
        </w:rPr>
        <w:t xml:space="preserve">Provision of vocational and trade-based opportunities in senior secondary schooling is essential, including </w:t>
      </w:r>
      <w:r w:rsidR="00E3014F">
        <w:rPr>
          <w:rFonts w:asciiTheme="minorHAnsi" w:hAnsiTheme="minorHAnsi"/>
        </w:rPr>
        <w:t xml:space="preserve">by exploring opportunities to enhance </w:t>
      </w:r>
      <w:r w:rsidRPr="4502C1DD">
        <w:rPr>
          <w:rFonts w:asciiTheme="minorHAnsi" w:hAnsiTheme="minorHAnsi"/>
        </w:rPr>
        <w:t>access to dedicated trade colleges.</w:t>
      </w:r>
    </w:p>
    <w:p w14:paraId="1E0E98FF" w14:textId="24B191F9" w:rsidR="007F2F7C" w:rsidRPr="00074433" w:rsidRDefault="007F2F7C" w:rsidP="00D16B99">
      <w:pPr>
        <w:pStyle w:val="BodyText"/>
        <w:numPr>
          <w:ilvl w:val="0"/>
          <w:numId w:val="24"/>
        </w:numPr>
        <w:rPr>
          <w:rFonts w:asciiTheme="minorHAnsi" w:hAnsiTheme="minorHAnsi"/>
        </w:rPr>
      </w:pPr>
      <w:r w:rsidRPr="4502C1DD">
        <w:rPr>
          <w:rFonts w:asciiTheme="minorHAnsi" w:hAnsiTheme="minorHAnsi"/>
        </w:rPr>
        <w:t xml:space="preserve">The availability of accommodation in Regional Australia for </w:t>
      </w:r>
      <w:r w:rsidR="00FA2D35">
        <w:rPr>
          <w:rFonts w:asciiTheme="minorHAnsi" w:hAnsiTheme="minorHAnsi"/>
        </w:rPr>
        <w:t>Vocational Education and Training (</w:t>
      </w:r>
      <w:r w:rsidRPr="4502C1DD">
        <w:rPr>
          <w:rFonts w:asciiTheme="minorHAnsi" w:hAnsiTheme="minorHAnsi"/>
        </w:rPr>
        <w:t>VET</w:t>
      </w:r>
      <w:r w:rsidR="00FA2D35">
        <w:rPr>
          <w:rFonts w:asciiTheme="minorHAnsi" w:hAnsiTheme="minorHAnsi"/>
        </w:rPr>
        <w:t>)</w:t>
      </w:r>
      <w:r w:rsidRPr="4502C1DD">
        <w:rPr>
          <w:rFonts w:asciiTheme="minorHAnsi" w:hAnsiTheme="minorHAnsi"/>
        </w:rPr>
        <w:t xml:space="preserve"> students needs to be examined to support access to in-person training blocks for vocational students in regional centres.</w:t>
      </w:r>
    </w:p>
    <w:p w14:paraId="624192E0" w14:textId="2FDD4E9A" w:rsidR="007F2F7C" w:rsidRPr="00480F63" w:rsidRDefault="007F2F7C" w:rsidP="00D16B99">
      <w:pPr>
        <w:pStyle w:val="BodyText"/>
        <w:numPr>
          <w:ilvl w:val="0"/>
          <w:numId w:val="24"/>
        </w:numPr>
      </w:pPr>
      <w:r w:rsidRPr="00480F63">
        <w:rPr>
          <w:rFonts w:asciiTheme="minorHAnsi" w:hAnsiTheme="minorHAnsi"/>
        </w:rPr>
        <w:t>Jobs and Skills Councils, in developing the Workforce Plans and their products, including training packages and training materials, should explicitly consider how regional needs have been accommodated, including </w:t>
      </w:r>
      <w:r w:rsidR="007C236C">
        <w:rPr>
          <w:rFonts w:asciiTheme="minorHAnsi" w:hAnsiTheme="minorHAnsi"/>
        </w:rPr>
        <w:t>Aboriginal and Torres Strait Islander</w:t>
      </w:r>
      <w:r w:rsidRPr="00480F63">
        <w:rPr>
          <w:rFonts w:asciiTheme="minorHAnsi" w:hAnsiTheme="minorHAnsi"/>
        </w:rPr>
        <w:t xml:space="preserve"> perspectives.  </w:t>
      </w:r>
    </w:p>
    <w:p w14:paraId="554F694E" w14:textId="17E9FB24" w:rsidR="007F2F7C" w:rsidRDefault="003832B9" w:rsidP="00D16B99">
      <w:pPr>
        <w:pStyle w:val="BodyText"/>
        <w:numPr>
          <w:ilvl w:val="0"/>
          <w:numId w:val="24"/>
        </w:numPr>
      </w:pPr>
      <w:r w:rsidRPr="003832B9">
        <w:t>Improvements to visa processing and skills accreditation (or recognition) processes for skilled migrants could unlock important productivity benefits in Regional Australia. This should be complemented by ensuring visa types and related support help meet the needs of Regional Australia.</w:t>
      </w:r>
    </w:p>
    <w:p w14:paraId="372FCEA9" w14:textId="095BD841" w:rsidR="00951CF8" w:rsidRDefault="00951CF8">
      <w:pPr>
        <w:spacing w:after="160" w:line="259" w:lineRule="auto"/>
        <w:rPr>
          <w:szCs w:val="20"/>
        </w:rPr>
      </w:pPr>
      <w:r>
        <w:br w:type="page"/>
      </w:r>
    </w:p>
    <w:p w14:paraId="727FD2FA" w14:textId="5E3352AC" w:rsidR="00CD0DFD" w:rsidRPr="00FC2338" w:rsidRDefault="00D31BFB" w:rsidP="00F816DB">
      <w:pPr>
        <w:pStyle w:val="Heading11"/>
        <w:rPr>
          <w:lang w:val="en-US"/>
        </w:rPr>
      </w:pPr>
      <w:bookmarkStart w:id="38" w:name="_Toc200637130"/>
      <w:bookmarkStart w:id="39" w:name="_Toc201070173"/>
      <w:bookmarkStart w:id="40" w:name="_Toc201919836"/>
      <w:bookmarkStart w:id="41" w:name="_Toc202361864"/>
      <w:r>
        <w:rPr>
          <w:lang w:val="en-US"/>
        </w:rPr>
        <w:lastRenderedPageBreak/>
        <w:t>Using</w:t>
      </w:r>
      <w:r w:rsidR="00CD0DFD" w:rsidRPr="00FC2338">
        <w:rPr>
          <w:lang w:val="en-US"/>
        </w:rPr>
        <w:t xml:space="preserve"> this Regional Roadmap to </w:t>
      </w:r>
      <w:r>
        <w:rPr>
          <w:lang w:val="en-US"/>
        </w:rPr>
        <w:t>move towards</w:t>
      </w:r>
      <w:r w:rsidR="00CD0DFD" w:rsidRPr="00FC2338">
        <w:rPr>
          <w:lang w:val="en-US"/>
        </w:rPr>
        <w:t xml:space="preserve"> </w:t>
      </w:r>
      <w:bookmarkEnd w:id="38"/>
      <w:r w:rsidR="0047236A">
        <w:rPr>
          <w:lang w:val="en-US"/>
        </w:rPr>
        <w:t>Phase 2</w:t>
      </w:r>
      <w:bookmarkEnd w:id="39"/>
      <w:bookmarkEnd w:id="40"/>
      <w:bookmarkEnd w:id="41"/>
      <w:r w:rsidR="00CD0DFD" w:rsidRPr="00FC2338">
        <w:rPr>
          <w:lang w:val="en-US"/>
        </w:rPr>
        <w:t xml:space="preserve"> </w:t>
      </w:r>
    </w:p>
    <w:p w14:paraId="2CCDAE11" w14:textId="63E14DEB" w:rsidR="00CD0DFD" w:rsidRPr="00B63351" w:rsidRDefault="00CD0DFD" w:rsidP="00180FEF">
      <w:pPr>
        <w:pStyle w:val="BodyText"/>
      </w:pPr>
      <w:r w:rsidRPr="00B63351">
        <w:t>In Phase 1</w:t>
      </w:r>
      <w:r w:rsidR="00ED41C8">
        <w:t>,</w:t>
      </w:r>
      <w:r w:rsidRPr="00B63351">
        <w:t xml:space="preserve"> JSA has developed </w:t>
      </w:r>
      <w:r w:rsidR="00ED41C8">
        <w:t>an</w:t>
      </w:r>
      <w:r w:rsidRPr="00B63351">
        <w:t xml:space="preserve"> overarching Regional Roadmap at the national level in consultation with key stakeholders.</w:t>
      </w:r>
      <w:r>
        <w:t xml:space="preserve"> </w:t>
      </w:r>
      <w:r w:rsidRPr="00B63351">
        <w:t xml:space="preserve">This has included undertaking fieldwork in specific regions across the states and territories. </w:t>
      </w:r>
      <w:r w:rsidR="00AA034E">
        <w:t xml:space="preserve">It identifies </w:t>
      </w:r>
      <w:r w:rsidRPr="00B63351">
        <w:t>the cross-cutting themes, develop</w:t>
      </w:r>
      <w:r w:rsidR="00AA034E">
        <w:t>s</w:t>
      </w:r>
      <w:r w:rsidRPr="00B63351">
        <w:t xml:space="preserve"> performance indicators and provide</w:t>
      </w:r>
      <w:r w:rsidR="00AA034E">
        <w:t>s</w:t>
      </w:r>
      <w:r w:rsidRPr="00B63351">
        <w:t xml:space="preserve"> an overall assessment of the way forward</w:t>
      </w:r>
      <w:r w:rsidR="00AA034E">
        <w:t xml:space="preserve"> and </w:t>
      </w:r>
      <w:r w:rsidRPr="00B63351">
        <w:t xml:space="preserve">looked at how </w:t>
      </w:r>
      <w:r w:rsidR="00A73017" w:rsidRPr="00B63351">
        <w:t>this</w:t>
      </w:r>
      <w:r w:rsidRPr="00B63351">
        <w:t xml:space="preserve"> vary across states and territories. </w:t>
      </w:r>
    </w:p>
    <w:p w14:paraId="05B8CE8A" w14:textId="159DE56F" w:rsidR="00C26626" w:rsidRPr="00B63351" w:rsidRDefault="000C71E1" w:rsidP="00180FEF">
      <w:pPr>
        <w:pStyle w:val="BodyText"/>
      </w:pPr>
      <w:r>
        <w:t>Improving</w:t>
      </w:r>
      <w:r w:rsidR="00CD0DFD" w:rsidRPr="00B63351">
        <w:t xml:space="preserve"> the </w:t>
      </w:r>
      <w:r w:rsidR="00A73017" w:rsidRPr="00B63351">
        <w:t>j</w:t>
      </w:r>
      <w:r w:rsidR="00CD0DFD" w:rsidRPr="00B63351">
        <w:t xml:space="preserve">obs and </w:t>
      </w:r>
      <w:r w:rsidR="00A73017" w:rsidRPr="00B63351">
        <w:t>s</w:t>
      </w:r>
      <w:r w:rsidR="00CD0DFD" w:rsidRPr="00B63351">
        <w:t xml:space="preserve">kills </w:t>
      </w:r>
      <w:r w:rsidR="00A73017" w:rsidRPr="00B63351">
        <w:t>s</w:t>
      </w:r>
      <w:r w:rsidR="00CD0DFD" w:rsidRPr="00B63351">
        <w:t>ystem, and harmonising its various components (e.g</w:t>
      </w:r>
      <w:r w:rsidR="00853F47" w:rsidRPr="00B63351">
        <w:t>.</w:t>
      </w:r>
      <w:r w:rsidR="00CD0DFD" w:rsidRPr="00B63351">
        <w:t xml:space="preserve">, VET and Higher Education) for the benefit of individual regions, will require collaboration between the </w:t>
      </w:r>
      <w:r w:rsidR="003E0F10">
        <w:t>levels</w:t>
      </w:r>
      <w:r w:rsidR="00CD0DFD" w:rsidRPr="00B63351">
        <w:t xml:space="preserve"> of government. </w:t>
      </w:r>
    </w:p>
    <w:p w14:paraId="1E5CFABE" w14:textId="356C6AF9" w:rsidR="00B63351" w:rsidRDefault="00CD0DFD" w:rsidP="00180FEF">
      <w:pPr>
        <w:pStyle w:val="BodyText"/>
      </w:pPr>
      <w:r w:rsidRPr="00B63351">
        <w:t xml:space="preserve">In </w:t>
      </w:r>
      <w:r w:rsidR="00A73017" w:rsidRPr="00B63351">
        <w:t>Phase</w:t>
      </w:r>
      <w:r w:rsidRPr="00B63351">
        <w:t xml:space="preserve"> 2</w:t>
      </w:r>
      <w:r w:rsidR="00A73017" w:rsidRPr="00B63351">
        <w:t>,</w:t>
      </w:r>
      <w:r w:rsidRPr="00B63351">
        <w:t xml:space="preserve"> JSA will seek to work with </w:t>
      </w:r>
      <w:r w:rsidR="00A73017" w:rsidRPr="00B63351">
        <w:t>s</w:t>
      </w:r>
      <w:r w:rsidRPr="00B63351">
        <w:t>tate</w:t>
      </w:r>
      <w:r w:rsidR="00AA034E">
        <w:t>s</w:t>
      </w:r>
      <w:r w:rsidRPr="00B63351">
        <w:t xml:space="preserve"> and </w:t>
      </w:r>
      <w:r w:rsidR="00E66F70">
        <w:t>territories</w:t>
      </w:r>
      <w:r w:rsidRPr="00B63351">
        <w:t xml:space="preserve"> to lay the groundwork for establishing Regional Jobs and Skills Roadmaps for each </w:t>
      </w:r>
      <w:r w:rsidR="00A73017" w:rsidRPr="00B63351">
        <w:t>s</w:t>
      </w:r>
      <w:r w:rsidRPr="00B63351">
        <w:t xml:space="preserve">tate and </w:t>
      </w:r>
      <w:r w:rsidR="00A73017" w:rsidRPr="00B63351">
        <w:t>t</w:t>
      </w:r>
      <w:r w:rsidRPr="00B63351">
        <w:t>erritory. This will commence with a seri</w:t>
      </w:r>
      <w:r w:rsidR="00944DE8">
        <w:t>e</w:t>
      </w:r>
      <w:r w:rsidRPr="00B63351">
        <w:t xml:space="preserve">s of roundtables in regional locations across the </w:t>
      </w:r>
      <w:r w:rsidR="00E66F70">
        <w:t xml:space="preserve">Commonwealth </w:t>
      </w:r>
      <w:r w:rsidR="00C26626" w:rsidRPr="00B63351">
        <w:t>and will be supported by a public consultation submission process.</w:t>
      </w:r>
    </w:p>
    <w:p w14:paraId="43497044" w14:textId="39ACAD91" w:rsidR="00B63351" w:rsidRPr="00014962" w:rsidRDefault="00B63351" w:rsidP="00DF1032">
      <w:pPr>
        <w:pStyle w:val="Caption"/>
        <w:rPr>
          <w:b w:val="0"/>
          <w:color w:val="FFFFFF" w:themeColor="background1"/>
        </w:rPr>
      </w:pPr>
      <w:bookmarkStart w:id="42" w:name="_Toc201916567"/>
      <w:r w:rsidRPr="00497785">
        <w:t xml:space="preserve">Figure </w:t>
      </w:r>
      <w:r w:rsidR="00DF1032" w:rsidRPr="00497785">
        <w:fldChar w:fldCharType="begin"/>
      </w:r>
      <w:r w:rsidR="00DF1032" w:rsidRPr="00497785">
        <w:instrText xml:space="preserve"> SEQ Figure \* ARABIC </w:instrText>
      </w:r>
      <w:r w:rsidR="00DF1032" w:rsidRPr="00497785">
        <w:fldChar w:fldCharType="separate"/>
      </w:r>
      <w:r w:rsidR="00471863">
        <w:rPr>
          <w:noProof/>
        </w:rPr>
        <w:t>1</w:t>
      </w:r>
      <w:r w:rsidR="00DF1032" w:rsidRPr="00497785">
        <w:fldChar w:fldCharType="end"/>
      </w:r>
      <w:r w:rsidRPr="00497785">
        <w:rPr>
          <w:rFonts w:cs="Arial"/>
        </w:rPr>
        <w:t>: Overview of JSA Regional Roadmap- Phase 1 and Phase 2</w:t>
      </w:r>
      <w:bookmarkEnd w:id="42"/>
    </w:p>
    <w:p w14:paraId="67EA7E42" w14:textId="4E082018" w:rsidR="0017726E" w:rsidRPr="008349B6" w:rsidRDefault="00D81DF9" w:rsidP="008349B6">
      <w:r>
        <w:rPr>
          <w:noProof/>
          <w:color w:val="FF0000"/>
        </w:rPr>
        <w:drawing>
          <wp:inline distT="0" distB="0" distL="0" distR="0" wp14:anchorId="28C410B0" wp14:editId="779A8E1B">
            <wp:extent cx="5733300" cy="2255525"/>
            <wp:effectExtent l="0" t="0" r="0" b="0"/>
            <wp:docPr id="1472501400" name="Picture 1" descr="An image that provides an overview of JSA's Regional Roadmap - Phase 1 and Phase 2. In phase 2, JSA will seek to work with states and territories to lay the groundwork for establishing Regional Jobs and Skills Roadmaps for each state and territory. This will commence with a series of roundtables in regional locations across the Commonwealth and will be supported by a public consultation submission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01400" name="Picture 1" descr="An image that provides an overview of JSA's Regional Roadmap - Phase 1 and Phase 2. In phase 2, JSA will seek to work with states and territories to lay the groundwork for establishing Regional Jobs and Skills Roadmaps for each state and territory. This will commence with a series of roundtables in regional locations across the Commonwealth and will be supported by a public consultation submission process. "/>
                    <pic:cNvPicPr/>
                  </pic:nvPicPr>
                  <pic:blipFill>
                    <a:blip r:embed="rId19">
                      <a:extLst>
                        <a:ext uri="{28A0092B-C50C-407E-A947-70E740481C1C}">
                          <a14:useLocalDpi xmlns:a14="http://schemas.microsoft.com/office/drawing/2010/main" val="0"/>
                        </a:ext>
                      </a:extLst>
                    </a:blip>
                    <a:stretch>
                      <a:fillRect/>
                    </a:stretch>
                  </pic:blipFill>
                  <pic:spPr>
                    <a:xfrm>
                      <a:off x="0" y="0"/>
                      <a:ext cx="5733300" cy="2255525"/>
                    </a:xfrm>
                    <a:prstGeom prst="rect">
                      <a:avLst/>
                    </a:prstGeom>
                  </pic:spPr>
                </pic:pic>
              </a:graphicData>
            </a:graphic>
          </wp:inline>
        </w:drawing>
      </w:r>
    </w:p>
    <w:p w14:paraId="5A6C8624" w14:textId="6E9A8ECC" w:rsidR="00D81DF9" w:rsidRPr="008349B6" w:rsidRDefault="00D81DF9" w:rsidP="008349B6">
      <w:r w:rsidRPr="008349B6">
        <w:br w:type="page"/>
      </w:r>
    </w:p>
    <w:p w14:paraId="192D6E88" w14:textId="51FED256" w:rsidR="00D95E9A" w:rsidRPr="00976817" w:rsidRDefault="00C824F7" w:rsidP="00E8554C">
      <w:pPr>
        <w:pStyle w:val="Heading1unnumbered"/>
        <w:sectPr w:rsidR="00D95E9A" w:rsidRPr="00976817" w:rsidSect="00EC2D1F">
          <w:footerReference w:type="first" r:id="rId20"/>
          <w:type w:val="evenPage"/>
          <w:pgSz w:w="11907" w:h="16839" w:code="9"/>
          <w:pgMar w:top="1440" w:right="1270" w:bottom="1440" w:left="1270" w:header="720" w:footer="720" w:gutter="0"/>
          <w:pgBorders w:offsetFrom="page">
            <w:top w:val="single" w:sz="4" w:space="24" w:color="A6A6A6" w:themeColor="background1" w:themeShade="A6"/>
            <w:left w:val="single" w:sz="4" w:space="24" w:color="A6A6A6" w:themeColor="background1" w:themeShade="A6"/>
            <w:bottom w:val="single" w:sz="4" w:space="24" w:color="A6A6A6" w:themeColor="background1" w:themeShade="A6"/>
            <w:right w:val="single" w:sz="4" w:space="24" w:color="A6A6A6" w:themeColor="background1" w:themeShade="A6"/>
          </w:pgBorders>
          <w:cols w:space="720"/>
          <w:titlePg/>
          <w:docGrid w:linePitch="360"/>
        </w:sectPr>
      </w:pPr>
      <w:r w:rsidRPr="00A946F6">
        <w:rPr>
          <w:noProof/>
          <w:color w:val="FFFFFF" w:themeColor="background1"/>
        </w:rPr>
        <w:lastRenderedPageBreak/>
        <w:drawing>
          <wp:anchor distT="0" distB="0" distL="114300" distR="114300" simplePos="0" relativeHeight="251939328" behindDoc="1" locked="0" layoutInCell="1" allowOverlap="1" wp14:anchorId="7BFBEFEE" wp14:editId="31A5186B">
            <wp:simplePos x="0" y="0"/>
            <wp:positionH relativeFrom="page">
              <wp:align>right</wp:align>
            </wp:positionH>
            <wp:positionV relativeFrom="paragraph">
              <wp:posOffset>-904174</wp:posOffset>
            </wp:positionV>
            <wp:extent cx="7547269" cy="10675917"/>
            <wp:effectExtent l="0" t="0" r="0" b="0"/>
            <wp:wrapNone/>
            <wp:docPr id="204056624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66245" name="Picture 6">
                      <a:extLst>
                        <a:ext uri="{C183D7F6-B498-43B3-948B-1728B52AA6E4}">
                          <adec:decorative xmlns:adec="http://schemas.microsoft.com/office/drawing/2017/decorative" val="1"/>
                        </a:ext>
                      </a:extLst>
                    </pic:cNvPr>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7547269" cy="10675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7B6" w:rsidRPr="00A946F6">
        <w:rPr>
          <w:color w:val="FFFFFF" w:themeColor="background1"/>
        </w:rPr>
        <w:t>I</w:t>
      </w:r>
      <w:r w:rsidR="005F6D84" w:rsidRPr="00A946F6">
        <w:rPr>
          <w:color w:val="FFFFFF" w:themeColor="background1"/>
        </w:rPr>
        <w:t>ntroduction</w:t>
      </w:r>
      <w:r w:rsidR="00A707B6" w:rsidRPr="00A946F6">
        <w:rPr>
          <w:color w:val="FFFFFF" w:themeColor="background1"/>
        </w:rPr>
        <w:t xml:space="preserve"> </w:t>
      </w:r>
      <w:r w:rsidR="009D3FAA" w:rsidRPr="00A946F6">
        <w:rPr>
          <w:color w:val="FFFFFF" w:themeColor="background1"/>
        </w:rPr>
        <w:t>to the Roadmap</w:t>
      </w:r>
      <w:r w:rsidR="00A707B6" w:rsidRPr="00A946F6">
        <w:rPr>
          <w:color w:val="FFFFFF" w:themeColor="background1"/>
        </w:rPr>
        <w:t xml:space="preserve"> </w:t>
      </w:r>
      <w:r w:rsidR="00D95E9A" w:rsidRPr="00976817">
        <w:rPr>
          <w:noProof/>
        </w:rPr>
        <mc:AlternateContent>
          <mc:Choice Requires="wps">
            <w:drawing>
              <wp:anchor distT="0" distB="0" distL="114300" distR="114300" simplePos="0" relativeHeight="251377152" behindDoc="0" locked="0" layoutInCell="1" allowOverlap="1" wp14:anchorId="4D7E5F22" wp14:editId="426C162B">
                <wp:simplePos x="0" y="0"/>
                <wp:positionH relativeFrom="column">
                  <wp:posOffset>-914400</wp:posOffset>
                </wp:positionH>
                <wp:positionV relativeFrom="page">
                  <wp:posOffset>10850880</wp:posOffset>
                </wp:positionV>
                <wp:extent cx="7559675" cy="5259705"/>
                <wp:effectExtent l="0" t="0" r="3175" b="0"/>
                <wp:wrapNone/>
                <wp:docPr id="3" name="Freeform: Sha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5259705"/>
                        </a:xfrm>
                        <a:custGeom>
                          <a:avLst/>
                          <a:gdLst/>
                          <a:ahLst/>
                          <a:cxnLst/>
                          <a:rect l="l" t="t" r="r" b="b"/>
                          <a:pathLst>
                            <a:path w="7560309" h="5259705">
                              <a:moveTo>
                                <a:pt x="7559992" y="0"/>
                              </a:moveTo>
                              <a:lnTo>
                                <a:pt x="0" y="0"/>
                              </a:lnTo>
                              <a:lnTo>
                                <a:pt x="0" y="5259603"/>
                              </a:lnTo>
                              <a:lnTo>
                                <a:pt x="7559992" y="5259603"/>
                              </a:lnTo>
                              <a:lnTo>
                                <a:pt x="7559992" y="0"/>
                              </a:lnTo>
                              <a:close/>
                            </a:path>
                          </a:pathLst>
                        </a:custGeom>
                        <a:solidFill>
                          <a:srgbClr val="D2DE5A"/>
                        </a:solidFill>
                      </wps:spPr>
                      <wps:txbx>
                        <w:txbxContent>
                          <w:p w14:paraId="47D317FF" w14:textId="77777777" w:rsidR="00D95E9A" w:rsidRPr="002F7925" w:rsidRDefault="00D95E9A" w:rsidP="00D95E9A">
                            <w:pPr>
                              <w:spacing w:before="1200" w:after="0"/>
                              <w:ind w:left="1417"/>
                              <w:rPr>
                                <w:spacing w:val="-5"/>
                                <w:sz w:val="72"/>
                                <w14:numForm w14:val="lining"/>
                                <w14:numSpacing w14:val="proportional"/>
                              </w:rPr>
                            </w:pPr>
                            <w:r w:rsidRPr="002F7925">
                              <w:rPr>
                                <w:sz w:val="72"/>
                                <w14:numForm w14:val="lining"/>
                                <w14:numSpacing w14:val="proportional"/>
                              </w:rPr>
                              <w:t xml:space="preserve">Chapter </w:t>
                            </w:r>
                            <w:r w:rsidRPr="002F7925">
                              <w:rPr>
                                <w:spacing w:val="-5"/>
                                <w:sz w:val="72"/>
                                <w14:numForm w14:val="lining"/>
                                <w14:numSpacing w14:val="proportional"/>
                              </w:rPr>
                              <w:t>1</w:t>
                            </w:r>
                          </w:p>
                          <w:p w14:paraId="084C72A3" w14:textId="77777777" w:rsidR="00D95E9A" w:rsidRPr="002F7925" w:rsidRDefault="00D95E9A" w:rsidP="00D95E9A">
                            <w:pPr>
                              <w:spacing w:after="0"/>
                              <w:ind w:left="1417"/>
                              <w:rPr>
                                <w:b/>
                                <w:bCs/>
                                <w:sz w:val="92"/>
                                <w:szCs w:val="92"/>
                                <w14:numForm w14:val="lining"/>
                                <w14:numSpacing w14:val="proportional"/>
                              </w:rPr>
                            </w:pPr>
                            <w:r w:rsidRPr="002F7925">
                              <w:rPr>
                                <w:b/>
                                <w:bCs/>
                                <w:sz w:val="92"/>
                                <w:szCs w:val="92"/>
                                <w14:numForm w14:val="lining"/>
                                <w14:numSpacing w14:val="proportional"/>
                              </w:rPr>
                              <w:t>The</w:t>
                            </w:r>
                            <w:r w:rsidRPr="002F7925">
                              <w:rPr>
                                <w:b/>
                                <w:bCs/>
                                <w:spacing w:val="-2"/>
                                <w:sz w:val="92"/>
                                <w:szCs w:val="92"/>
                                <w14:numForm w14:val="lining"/>
                                <w14:numSpacing w14:val="proportional"/>
                              </w:rPr>
                              <w:t xml:space="preserve"> study</w:t>
                            </w:r>
                          </w:p>
                          <w:p w14:paraId="77D67CAD" w14:textId="77777777" w:rsidR="00D95E9A" w:rsidRPr="002F7925" w:rsidRDefault="00D95E9A" w:rsidP="00D95E9A">
                            <w:pPr>
                              <w:pStyle w:val="BodyText"/>
                              <w:spacing w:before="509"/>
                              <w:ind w:left="1417"/>
                              <w:rPr>
                                <w14:numForm w14:val="lining"/>
                                <w14:numSpacing w14:val="proportional"/>
                              </w:rPr>
                            </w:pPr>
                            <w:r w:rsidRPr="002F7925">
                              <w:rPr>
                                <w14:numForm w14:val="lining"/>
                                <w14:numSpacing w14:val="proportional"/>
                              </w:rPr>
                              <w:t>Provides the study’s purpose, approach and contextual information.</w:t>
                            </w:r>
                            <w:r w:rsidRPr="002F7925">
                              <w:rPr>
                                <w:spacing w:val="-6"/>
                                <w14:numForm w14:val="lining"/>
                                <w14:numSpacing w14:val="proportional"/>
                              </w:rPr>
                              <w:t xml:space="preserve"> </w:t>
                            </w:r>
                            <w:r w:rsidRPr="002F7925">
                              <w:rPr>
                                <w14:numForm w14:val="lining"/>
                                <w14:numSpacing w14:val="proportional"/>
                              </w:rPr>
                              <w:t>Outlines</w:t>
                            </w:r>
                            <w:r w:rsidRPr="002F7925">
                              <w:rPr>
                                <w:spacing w:val="-6"/>
                                <w14:numForm w14:val="lining"/>
                                <w14:numSpacing w14:val="proportional"/>
                              </w:rPr>
                              <w:t xml:space="preserve"> </w:t>
                            </w:r>
                            <w:r w:rsidRPr="002F7925">
                              <w:rPr>
                                <w14:numForm w14:val="lining"/>
                                <w14:numSpacing w14:val="proportional"/>
                              </w:rPr>
                              <w:t>the</w:t>
                            </w:r>
                            <w:r w:rsidRPr="002F7925">
                              <w:rPr>
                                <w:spacing w:val="-6"/>
                                <w14:numForm w14:val="lining"/>
                                <w14:numSpacing w14:val="proportional"/>
                              </w:rPr>
                              <w:t xml:space="preserve"> </w:t>
                            </w:r>
                            <w:r w:rsidRPr="002F7925">
                              <w:rPr>
                                <w14:numForm w14:val="lining"/>
                                <w14:numSpacing w14:val="proportional"/>
                              </w:rPr>
                              <w:t>domestic</w:t>
                            </w:r>
                            <w:r w:rsidRPr="002F7925">
                              <w:rPr>
                                <w:spacing w:val="-6"/>
                                <w14:numForm w14:val="lining"/>
                                <w14:numSpacing w14:val="proportional"/>
                              </w:rPr>
                              <w:t xml:space="preserve"> </w:t>
                            </w:r>
                            <w:r w:rsidRPr="002F7925">
                              <w:rPr>
                                <w14:numForm w14:val="lining"/>
                                <w14:numSpacing w14:val="proportional"/>
                              </w:rPr>
                              <w:t>and</w:t>
                            </w:r>
                            <w:r w:rsidRPr="002F7925">
                              <w:rPr>
                                <w:spacing w:val="-6"/>
                                <w14:numForm w14:val="lining"/>
                                <w14:numSpacing w14:val="proportional"/>
                              </w:rPr>
                              <w:t xml:space="preserve"> </w:t>
                            </w:r>
                            <w:r w:rsidRPr="002F7925">
                              <w:rPr>
                                <w14:numForm w14:val="lining"/>
                                <w14:numSpacing w14:val="proportional"/>
                              </w:rPr>
                              <w:t>international</w:t>
                            </w:r>
                            <w:r w:rsidRPr="002F7925">
                              <w:rPr>
                                <w:spacing w:val="-6"/>
                                <w14:numForm w14:val="lining"/>
                                <w14:numSpacing w14:val="proportional"/>
                              </w:rPr>
                              <w:t xml:space="preserve"> </w:t>
                            </w:r>
                            <w:r w:rsidRPr="002F7925">
                              <w:rPr>
                                <w14:numForm w14:val="lining"/>
                                <w14:numSpacing w14:val="proportional"/>
                              </w:rPr>
                              <w:t>policies driving the energy transition.</w:t>
                            </w:r>
                          </w:p>
                          <w:p w14:paraId="7A79F227" w14:textId="77777777" w:rsidR="00D95E9A" w:rsidRDefault="00D95E9A" w:rsidP="00D95E9A">
                            <w:pPr>
                              <w:jc w:val="center"/>
                            </w:pPr>
                          </w:p>
                        </w:txbxContent>
                      </wps:txbx>
                      <wps:bodyPr wrap="square" lIns="0" tIns="0" rIns="0" bIns="0" rtlCol="0">
                        <a:prstTxWarp prst="textNoShape">
                          <a:avLst/>
                        </a:prstTxWarp>
                        <a:noAutofit/>
                      </wps:bodyPr>
                    </wps:wsp>
                  </a:graphicData>
                </a:graphic>
              </wp:anchor>
            </w:drawing>
          </mc:Choice>
          <mc:Fallback>
            <w:pict>
              <v:shape w14:anchorId="4D7E5F22" id="Freeform: Shape 3" o:spid="_x0000_s1026" alt="&quot;&quot;" style="position:absolute;margin-left:-1in;margin-top:854.4pt;width:595.25pt;height:414.15pt;z-index:251377152;visibility:visible;mso-wrap-style:square;mso-wrap-distance-left:9pt;mso-wrap-distance-top:0;mso-wrap-distance-right:9pt;mso-wrap-distance-bottom:0;mso-position-horizontal:absolute;mso-position-horizontal-relative:text;mso-position-vertical:absolute;mso-position-vertical-relative:page;v-text-anchor:top" coordsize="7560309,5259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" adj="-11796480,,5400" path="m7559992,l,,,5259603r7559992,l7559992,xe" fillcolor="#d2de5a" stroked="f">
                <v:stroke joinstyle="miter"/>
                <v:formulas/>
                <v:path arrowok="t" o:connecttype="custom" textboxrect="0,0,7560309,5259705"/>
                <v:textbox inset="0,0,0,0">
                  <w:txbxContent>
                    <w:p w14:paraId="47D317FF" w14:textId="77777777" w:rsidR="00D95E9A" w:rsidRPr="002F7925" w:rsidRDefault="00D95E9A" w:rsidP="00D95E9A">
                      <w:pPr>
                        <w:spacing w:before="1200" w:after="0"/>
                        <w:ind w:left="1417"/>
                        <w:rPr>
                          <w:spacing w:val="-5"/>
                          <w:sz w:val="72"/>
                          <w14:numForm w14:val="lining"/>
                          <w14:numSpacing w14:val="proportional"/>
                        </w:rPr>
                      </w:pPr>
                      <w:r w:rsidRPr="002F7925">
                        <w:rPr>
                          <w:sz w:val="72"/>
                          <w14:numForm w14:val="lining"/>
                          <w14:numSpacing w14:val="proportional"/>
                        </w:rPr>
                        <w:t xml:space="preserve">Chapter </w:t>
                      </w:r>
                      <w:r w:rsidRPr="002F7925">
                        <w:rPr>
                          <w:spacing w:val="-5"/>
                          <w:sz w:val="72"/>
                          <w14:numForm w14:val="lining"/>
                          <w14:numSpacing w14:val="proportional"/>
                        </w:rPr>
                        <w:t>1</w:t>
                      </w:r>
                    </w:p>
                    <w:p w14:paraId="084C72A3" w14:textId="77777777" w:rsidR="00D95E9A" w:rsidRPr="002F7925" w:rsidRDefault="00D95E9A" w:rsidP="00D95E9A">
                      <w:pPr>
                        <w:spacing w:after="0"/>
                        <w:ind w:left="1417"/>
                        <w:rPr>
                          <w:b/>
                          <w:bCs/>
                          <w:sz w:val="92"/>
                          <w:szCs w:val="92"/>
                          <w14:numForm w14:val="lining"/>
                          <w14:numSpacing w14:val="proportional"/>
                        </w:rPr>
                      </w:pPr>
                      <w:r w:rsidRPr="002F7925">
                        <w:rPr>
                          <w:b/>
                          <w:bCs/>
                          <w:sz w:val="92"/>
                          <w:szCs w:val="92"/>
                          <w14:numForm w14:val="lining"/>
                          <w14:numSpacing w14:val="proportional"/>
                        </w:rPr>
                        <w:t>The</w:t>
                      </w:r>
                      <w:r w:rsidRPr="002F7925">
                        <w:rPr>
                          <w:b/>
                          <w:bCs/>
                          <w:spacing w:val="-2"/>
                          <w:sz w:val="92"/>
                          <w:szCs w:val="92"/>
                          <w14:numForm w14:val="lining"/>
                          <w14:numSpacing w14:val="proportional"/>
                        </w:rPr>
                        <w:t xml:space="preserve"> study</w:t>
                      </w:r>
                    </w:p>
                    <w:p w14:paraId="77D67CAD" w14:textId="77777777" w:rsidR="00D95E9A" w:rsidRPr="002F7925" w:rsidRDefault="00D95E9A" w:rsidP="00D95E9A">
                      <w:pPr>
                        <w:pStyle w:val="BodyText"/>
                        <w:spacing w:before="509"/>
                        <w:ind w:left="1417"/>
                        <w:rPr>
                          <w14:numForm w14:val="lining"/>
                          <w14:numSpacing w14:val="proportional"/>
                        </w:rPr>
                      </w:pPr>
                      <w:r w:rsidRPr="002F7925">
                        <w:rPr>
                          <w14:numForm w14:val="lining"/>
                          <w14:numSpacing w14:val="proportional"/>
                        </w:rPr>
                        <w:t>Provides the study’s purpose, approach and contextual information.</w:t>
                      </w:r>
                      <w:r w:rsidRPr="002F7925">
                        <w:rPr>
                          <w:spacing w:val="-6"/>
                          <w14:numForm w14:val="lining"/>
                          <w14:numSpacing w14:val="proportional"/>
                        </w:rPr>
                        <w:t xml:space="preserve"> </w:t>
                      </w:r>
                      <w:r w:rsidRPr="002F7925">
                        <w:rPr>
                          <w14:numForm w14:val="lining"/>
                          <w14:numSpacing w14:val="proportional"/>
                        </w:rPr>
                        <w:t>Outlines</w:t>
                      </w:r>
                      <w:r w:rsidRPr="002F7925">
                        <w:rPr>
                          <w:spacing w:val="-6"/>
                          <w14:numForm w14:val="lining"/>
                          <w14:numSpacing w14:val="proportional"/>
                        </w:rPr>
                        <w:t xml:space="preserve"> </w:t>
                      </w:r>
                      <w:r w:rsidRPr="002F7925">
                        <w:rPr>
                          <w14:numForm w14:val="lining"/>
                          <w14:numSpacing w14:val="proportional"/>
                        </w:rPr>
                        <w:t>the</w:t>
                      </w:r>
                      <w:r w:rsidRPr="002F7925">
                        <w:rPr>
                          <w:spacing w:val="-6"/>
                          <w14:numForm w14:val="lining"/>
                          <w14:numSpacing w14:val="proportional"/>
                        </w:rPr>
                        <w:t xml:space="preserve"> </w:t>
                      </w:r>
                      <w:r w:rsidRPr="002F7925">
                        <w:rPr>
                          <w14:numForm w14:val="lining"/>
                          <w14:numSpacing w14:val="proportional"/>
                        </w:rPr>
                        <w:t>domestic</w:t>
                      </w:r>
                      <w:r w:rsidRPr="002F7925">
                        <w:rPr>
                          <w:spacing w:val="-6"/>
                          <w14:numForm w14:val="lining"/>
                          <w14:numSpacing w14:val="proportional"/>
                        </w:rPr>
                        <w:t xml:space="preserve"> </w:t>
                      </w:r>
                      <w:r w:rsidRPr="002F7925">
                        <w:rPr>
                          <w14:numForm w14:val="lining"/>
                          <w14:numSpacing w14:val="proportional"/>
                        </w:rPr>
                        <w:t>and</w:t>
                      </w:r>
                      <w:r w:rsidRPr="002F7925">
                        <w:rPr>
                          <w:spacing w:val="-6"/>
                          <w14:numForm w14:val="lining"/>
                          <w14:numSpacing w14:val="proportional"/>
                        </w:rPr>
                        <w:t xml:space="preserve"> </w:t>
                      </w:r>
                      <w:r w:rsidRPr="002F7925">
                        <w:rPr>
                          <w14:numForm w14:val="lining"/>
                          <w14:numSpacing w14:val="proportional"/>
                        </w:rPr>
                        <w:t>international</w:t>
                      </w:r>
                      <w:r w:rsidRPr="002F7925">
                        <w:rPr>
                          <w:spacing w:val="-6"/>
                          <w14:numForm w14:val="lining"/>
                          <w14:numSpacing w14:val="proportional"/>
                        </w:rPr>
                        <w:t xml:space="preserve"> </w:t>
                      </w:r>
                      <w:r w:rsidRPr="002F7925">
                        <w:rPr>
                          <w14:numForm w14:val="lining"/>
                          <w14:numSpacing w14:val="proportional"/>
                        </w:rPr>
                        <w:t>policies driving the energy transition.</w:t>
                      </w:r>
                    </w:p>
                    <w:p w14:paraId="7A79F227" w14:textId="77777777" w:rsidR="00D95E9A" w:rsidRDefault="00D95E9A" w:rsidP="00D95E9A">
                      <w:pPr>
                        <w:jc w:val="center"/>
                      </w:pPr>
                    </w:p>
                  </w:txbxContent>
                </v:textbox>
                <w10:wrap anchory="page"/>
              </v:shape>
            </w:pict>
          </mc:Fallback>
        </mc:AlternateContent>
      </w:r>
    </w:p>
    <w:p w14:paraId="1920F7CD" w14:textId="0F21B4A4" w:rsidR="00D93A84" w:rsidRDefault="00D93A84" w:rsidP="00180FEF">
      <w:pPr>
        <w:pStyle w:val="Heading11"/>
      </w:pPr>
      <w:bookmarkStart w:id="43" w:name="_Toc200637133"/>
      <w:bookmarkStart w:id="44" w:name="_Toc201070174"/>
      <w:bookmarkStart w:id="45" w:name="_Toc201919837"/>
      <w:bookmarkStart w:id="46" w:name="_Toc202361865"/>
      <w:r w:rsidRPr="00C864F1">
        <w:lastRenderedPageBreak/>
        <w:t xml:space="preserve">What is the purpose of JSA’s </w:t>
      </w:r>
      <w:r w:rsidR="003E0F10">
        <w:t>J</w:t>
      </w:r>
      <w:r>
        <w:t xml:space="preserve">obs and </w:t>
      </w:r>
      <w:r w:rsidR="003E0F10">
        <w:t>S</w:t>
      </w:r>
      <w:r>
        <w:t>kills R</w:t>
      </w:r>
      <w:r w:rsidRPr="00C864F1">
        <w:t>oadmap for Regional Australia?</w:t>
      </w:r>
      <w:bookmarkEnd w:id="43"/>
      <w:bookmarkEnd w:id="44"/>
      <w:bookmarkEnd w:id="45"/>
      <w:bookmarkEnd w:id="46"/>
    </w:p>
    <w:tbl>
      <w:tblPr>
        <w:tblStyle w:val="CustomTablepulloutbox"/>
        <w:tblW w:w="0" w:type="auto"/>
        <w:tblLook w:val="04A0" w:firstRow="1" w:lastRow="0" w:firstColumn="1" w:lastColumn="0" w:noHBand="0" w:noVBand="1"/>
      </w:tblPr>
      <w:tblGrid>
        <w:gridCol w:w="8997"/>
      </w:tblGrid>
      <w:tr w:rsidR="000853FB" w14:paraId="761257E9" w14:textId="77777777">
        <w:tc>
          <w:tcPr>
            <w:tcW w:w="8997" w:type="dxa"/>
          </w:tcPr>
          <w:p w14:paraId="64901880" w14:textId="77777777" w:rsidR="000853FB" w:rsidRPr="00266282" w:rsidRDefault="000853FB" w:rsidP="00266282">
            <w:pPr>
              <w:pStyle w:val="BoxHeading"/>
            </w:pPr>
            <w:r w:rsidRPr="00266282">
              <w:t>Purpose of JSA Regional Roadmap</w:t>
            </w:r>
          </w:p>
          <w:p w14:paraId="0708C24A" w14:textId="113AB521" w:rsidR="000853FB" w:rsidRPr="00BA67E0" w:rsidRDefault="00C4286D">
            <w:pPr>
              <w:pStyle w:val="BodyText"/>
              <w:rPr>
                <w:rStyle w:val="Characteritalic"/>
              </w:rPr>
            </w:pPr>
            <w:r>
              <w:rPr>
                <w:rStyle w:val="Characteritalic"/>
                <w:sz w:val="22"/>
                <w:szCs w:val="22"/>
              </w:rPr>
              <w:t>To provide</w:t>
            </w:r>
            <w:r w:rsidR="000853FB" w:rsidRPr="00266282">
              <w:rPr>
                <w:rStyle w:val="Characteritalic"/>
                <w:sz w:val="22"/>
                <w:szCs w:val="22"/>
              </w:rPr>
              <w:t xml:space="preserve"> an enduring, shared and overarching framework that empowers stakeholders to work collaboratively to </w:t>
            </w:r>
            <w:r w:rsidR="00A43EE8">
              <w:rPr>
                <w:rStyle w:val="Characteritalic"/>
                <w:sz w:val="22"/>
                <w:szCs w:val="22"/>
              </w:rPr>
              <w:t>e</w:t>
            </w:r>
            <w:r w:rsidR="00A43EE8" w:rsidRPr="00A43EE8">
              <w:rPr>
                <w:rStyle w:val="Characteritalic"/>
                <w:sz w:val="22"/>
                <w:szCs w:val="22"/>
              </w:rPr>
              <w:t>nhance</w:t>
            </w:r>
            <w:r w:rsidR="000853FB" w:rsidRPr="00266282">
              <w:rPr>
                <w:rStyle w:val="Characteritalic"/>
                <w:sz w:val="22"/>
                <w:szCs w:val="22"/>
              </w:rPr>
              <w:t xml:space="preserve"> the equity, effectiveness and efficiency of the jobs and skills system across Regional Australia both now and into the future.</w:t>
            </w:r>
          </w:p>
        </w:tc>
      </w:tr>
    </w:tbl>
    <w:p w14:paraId="20CF2F0B" w14:textId="32993E8D" w:rsidR="00D93A84" w:rsidRDefault="00D93A84" w:rsidP="0038053C">
      <w:pPr>
        <w:pStyle w:val="BodyText"/>
      </w:pPr>
      <w:r w:rsidRPr="00700C62">
        <w:t>Th</w:t>
      </w:r>
      <w:r w:rsidR="00946813">
        <w:t>e</w:t>
      </w:r>
      <w:r w:rsidRPr="00700C62">
        <w:t xml:space="preserve"> purpose statement </w:t>
      </w:r>
      <w:r w:rsidR="00946813">
        <w:t xml:space="preserve">above </w:t>
      </w:r>
      <w:r w:rsidRPr="00700C62">
        <w:t>reflects the inherent nature of roadmaps – that is,</w:t>
      </w:r>
      <w:r>
        <w:t xml:space="preserve"> </w:t>
      </w:r>
      <w:r w:rsidRPr="00700C62">
        <w:t xml:space="preserve">they are meant to provide an overarching strategic plan or pathway towards a shared goal or mission. </w:t>
      </w:r>
      <w:r w:rsidRPr="006A2E97">
        <w:t>This is not</w:t>
      </w:r>
      <w:r w:rsidRPr="00700C62">
        <w:t xml:space="preserve"> a statement for a single organisation </w:t>
      </w:r>
      <w:r w:rsidRPr="006A2E97">
        <w:t xml:space="preserve">or person </w:t>
      </w:r>
      <w:r w:rsidRPr="00700C62">
        <w:t>to pursue</w:t>
      </w:r>
      <w:r w:rsidRPr="006A2E97">
        <w:t>, but one</w:t>
      </w:r>
      <w:r w:rsidRPr="00700C62">
        <w:t xml:space="preserve"> that </w:t>
      </w:r>
      <w:r w:rsidRPr="006A2E97">
        <w:t xml:space="preserve">should </w:t>
      </w:r>
      <w:r>
        <w:t>apply</w:t>
      </w:r>
      <w:r w:rsidRPr="00700C62">
        <w:t xml:space="preserve"> across the </w:t>
      </w:r>
      <w:r w:rsidRPr="006A2E97">
        <w:t xml:space="preserve">entire </w:t>
      </w:r>
      <w:r w:rsidRPr="00700C62">
        <w:t>jobs and skills system</w:t>
      </w:r>
      <w:r>
        <w:t>, resonating with individuals and organisations alike, many of who</w:t>
      </w:r>
      <w:r w:rsidR="00DA6EE4">
        <w:t>m</w:t>
      </w:r>
      <w:r>
        <w:t xml:space="preserve"> are </w:t>
      </w:r>
      <w:r w:rsidRPr="00700C62">
        <w:t xml:space="preserve">already working </w:t>
      </w:r>
      <w:r>
        <w:t xml:space="preserve">to </w:t>
      </w:r>
      <w:r w:rsidR="00DA6EE4">
        <w:t>strengthen</w:t>
      </w:r>
      <w:r w:rsidRPr="00700C62">
        <w:t xml:space="preserve"> the jobs and skills system in Regional Australia. </w:t>
      </w:r>
      <w:r>
        <w:t xml:space="preserve"> </w:t>
      </w:r>
    </w:p>
    <w:p w14:paraId="474C7BFB" w14:textId="77777777" w:rsidR="00D93A84" w:rsidRDefault="00D93A84" w:rsidP="0038053C">
      <w:pPr>
        <w:pStyle w:val="BodyText"/>
      </w:pPr>
      <w:r>
        <w:t>B</w:t>
      </w:r>
      <w:r w:rsidRPr="00700C62">
        <w:t xml:space="preserve">y developing an overarching roadmap, JSA </w:t>
      </w:r>
      <w:r>
        <w:t xml:space="preserve">aims </w:t>
      </w:r>
      <w:r w:rsidRPr="00700C62">
        <w:t xml:space="preserve">to bring together and join-up the collective actions </w:t>
      </w:r>
      <w:r>
        <w:t xml:space="preserve">already </w:t>
      </w:r>
      <w:r w:rsidRPr="00700C62">
        <w:t>being taken across Regional Australia</w:t>
      </w:r>
      <w:r>
        <w:t>,</w:t>
      </w:r>
      <w:r w:rsidRPr="00700C62">
        <w:t xml:space="preserve"> </w:t>
      </w:r>
      <w:r>
        <w:t xml:space="preserve">into </w:t>
      </w:r>
      <w:r w:rsidRPr="00700C62">
        <w:t xml:space="preserve">a coherent framework and vision. </w:t>
      </w:r>
      <w:r>
        <w:t xml:space="preserve">It is hoped that the roadmap will </w:t>
      </w:r>
      <w:r w:rsidRPr="00700C62">
        <w:t xml:space="preserve">foster and support </w:t>
      </w:r>
      <w:r>
        <w:t xml:space="preserve">further </w:t>
      </w:r>
      <w:r w:rsidRPr="00700C62">
        <w:t>collaboration and provide a starting point for continuing</w:t>
      </w:r>
      <w:r>
        <w:t>, focusing and accelerating</w:t>
      </w:r>
      <w:r w:rsidRPr="00700C62">
        <w:t xml:space="preserve"> local conversations, planning and actions being undertake in pursuit of an improved jobs and skills system. </w:t>
      </w:r>
    </w:p>
    <w:p w14:paraId="1FE0DE93" w14:textId="77777777" w:rsidR="00DA6EE4" w:rsidRDefault="001F2531" w:rsidP="0038053C">
      <w:pPr>
        <w:pStyle w:val="BodyText"/>
      </w:pPr>
      <w:r w:rsidRPr="00E25913">
        <w:t xml:space="preserve">Pursuing a </w:t>
      </w:r>
      <w:r w:rsidR="00CE634F" w:rsidRPr="00E25913">
        <w:t>roadmap for the</w:t>
      </w:r>
      <w:r w:rsidRPr="00E25913">
        <w:t xml:space="preserve"> jobs and skills system requires a deep understanding of how the various challenges and opportunities impacting on the regional jobs and skills system</w:t>
      </w:r>
      <w:r w:rsidR="00CE634F" w:rsidRPr="00E25913">
        <w:t>. This includes the perspectives of</w:t>
      </w:r>
      <w:r w:rsidRPr="00E25913">
        <w:t xml:space="preserve"> people who live and work in Regional Australia</w:t>
      </w:r>
      <w:r w:rsidR="00CE634F" w:rsidRPr="00E25913">
        <w:t>,</w:t>
      </w:r>
      <w:r w:rsidRPr="00E25913">
        <w:t xml:space="preserve"> or who are working to enhance the jobs and skills system. </w:t>
      </w:r>
    </w:p>
    <w:p w14:paraId="7F29D912" w14:textId="6282EF8F" w:rsidR="001F2531" w:rsidRPr="001F2531" w:rsidRDefault="00E25913" w:rsidP="0038053C">
      <w:pPr>
        <w:pStyle w:val="BodyText"/>
      </w:pPr>
      <w:r w:rsidRPr="00E25913">
        <w:t xml:space="preserve">The </w:t>
      </w:r>
      <w:r w:rsidR="00B51A95">
        <w:t>r</w:t>
      </w:r>
      <w:r w:rsidRPr="00E25913">
        <w:t>oadmap is a shared and collaborative vision. To this end, a</w:t>
      </w:r>
      <w:r w:rsidR="001F2531" w:rsidRPr="00E25913">
        <w:t xml:space="preserve"> collection of insights and voices have been incorporated </w:t>
      </w:r>
      <w:r w:rsidRPr="00E25913">
        <w:t xml:space="preserve">and highlighted </w:t>
      </w:r>
      <w:r w:rsidR="001F2531" w:rsidRPr="00E25913">
        <w:t xml:space="preserve">as </w:t>
      </w:r>
      <w:r w:rsidR="00306785">
        <w:t>‘</w:t>
      </w:r>
      <w:r w:rsidR="001F2531" w:rsidRPr="00E25913">
        <w:t>stakeholder insights</w:t>
      </w:r>
      <w:r w:rsidR="00306785">
        <w:t>’</w:t>
      </w:r>
      <w:r w:rsidR="001F2531" w:rsidRPr="00E25913">
        <w:t xml:space="preserve">, </w:t>
      </w:r>
      <w:r w:rsidRPr="00E25913">
        <w:t>reflecting</w:t>
      </w:r>
      <w:r w:rsidR="001F2531" w:rsidRPr="00E25913">
        <w:t xml:space="preserve"> </w:t>
      </w:r>
      <w:r w:rsidR="0044330F">
        <w:t>that the</w:t>
      </w:r>
      <w:r w:rsidRPr="00E25913">
        <w:t xml:space="preserve"> </w:t>
      </w:r>
      <w:r w:rsidR="00B51A95">
        <w:t>r</w:t>
      </w:r>
      <w:r w:rsidRPr="00E25913">
        <w:t>oadmap draws</w:t>
      </w:r>
      <w:r w:rsidR="001F2531" w:rsidRPr="00E25913">
        <w:t xml:space="preserve"> on </w:t>
      </w:r>
      <w:r w:rsidR="00E344DE">
        <w:t xml:space="preserve">and shares </w:t>
      </w:r>
      <w:r w:rsidR="001F2531" w:rsidRPr="00E25913">
        <w:t xml:space="preserve">the </w:t>
      </w:r>
      <w:r w:rsidRPr="00E25913">
        <w:t>experience</w:t>
      </w:r>
      <w:r w:rsidR="00E344DE">
        <w:t>s</w:t>
      </w:r>
      <w:r w:rsidRPr="00E25913">
        <w:t xml:space="preserve"> </w:t>
      </w:r>
      <w:r w:rsidR="00E344DE">
        <w:t>and</w:t>
      </w:r>
      <w:r w:rsidRPr="00E25913">
        <w:t xml:space="preserve"> </w:t>
      </w:r>
      <w:r w:rsidR="001F2531" w:rsidRPr="00E25913">
        <w:t xml:space="preserve">expertise of those </w:t>
      </w:r>
      <w:r w:rsidRPr="00E25913">
        <w:t>interacting with</w:t>
      </w:r>
      <w:r w:rsidR="001F2531" w:rsidRPr="00E25913">
        <w:t xml:space="preserve"> the regional jobs and skills system. </w:t>
      </w:r>
    </w:p>
    <w:p w14:paraId="5C3D34DB" w14:textId="77777777" w:rsidR="00D93A84" w:rsidRPr="000A2FA6" w:rsidRDefault="00D93A84" w:rsidP="0038053C">
      <w:pPr>
        <w:pStyle w:val="Heading11"/>
      </w:pPr>
      <w:bookmarkStart w:id="47" w:name="_Toc200637134"/>
      <w:bookmarkStart w:id="48" w:name="_Toc201070175"/>
      <w:bookmarkStart w:id="49" w:name="_Toc201919838"/>
      <w:bookmarkStart w:id="50" w:name="_Toc202361866"/>
      <w:r w:rsidRPr="000A2FA6">
        <w:t xml:space="preserve">Why do we need a jobs and skills roadmap for </w:t>
      </w:r>
      <w:r>
        <w:t>R</w:t>
      </w:r>
      <w:r w:rsidRPr="000A2FA6">
        <w:t>egional Australia?</w:t>
      </w:r>
      <w:bookmarkEnd w:id="47"/>
      <w:bookmarkEnd w:id="48"/>
      <w:bookmarkEnd w:id="49"/>
      <w:bookmarkEnd w:id="50"/>
    </w:p>
    <w:p w14:paraId="7EBEFB2B" w14:textId="77777777" w:rsidR="00E344DE" w:rsidRDefault="00D93A84" w:rsidP="0038053C">
      <w:pPr>
        <w:pStyle w:val="BodyText"/>
      </w:pPr>
      <w:r w:rsidRPr="00782BDE">
        <w:t xml:space="preserve">The significance of Regional Australia in supporting the economic and social wellbeing of Australians, as well as the unique challenges and opportunities of the regions (among other factors) demonstrates the clear need for the Regional Roadmap. </w:t>
      </w:r>
    </w:p>
    <w:p w14:paraId="19593207" w14:textId="77777777" w:rsidR="00E344DE" w:rsidRDefault="00D93A84" w:rsidP="0038053C">
      <w:pPr>
        <w:pStyle w:val="BodyText"/>
      </w:pPr>
      <w:r w:rsidRPr="00782BDE">
        <w:t xml:space="preserve">Regional Australia </w:t>
      </w:r>
      <w:r w:rsidR="0042707F">
        <w:t xml:space="preserve">accounts for </w:t>
      </w:r>
      <w:r w:rsidRPr="00782BDE">
        <w:t>around 30</w:t>
      </w:r>
      <w:r>
        <w:t>%</w:t>
      </w:r>
      <w:r w:rsidRPr="00782BDE">
        <w:t xml:space="preserve"> of Australia’s total working-age population</w:t>
      </w:r>
      <w:r w:rsidR="0042707F">
        <w:t xml:space="preserve"> and covers </w:t>
      </w:r>
      <w:r w:rsidR="0042707F" w:rsidRPr="00782BDE">
        <w:t>99</w:t>
      </w:r>
      <w:r w:rsidR="0042707F">
        <w:t>%</w:t>
      </w:r>
      <w:r w:rsidR="0042707F" w:rsidRPr="00782BDE">
        <w:t xml:space="preserve"> of the geographic area </w:t>
      </w:r>
      <w:r w:rsidR="0042707F">
        <w:t>of the country,</w:t>
      </w:r>
      <w:r w:rsidRPr="00782BDE">
        <w:t xml:space="preserve"> demonstrating its size and significance in contributing to national ambitions and goals.</w:t>
      </w:r>
      <w:r w:rsidRPr="00782BDE">
        <w:rPr>
          <w:rStyle w:val="FootnoteReference"/>
          <w:rFonts w:cs="Arial"/>
        </w:rPr>
        <w:footnoteReference w:id="2"/>
      </w:r>
    </w:p>
    <w:p w14:paraId="3321AC3F" w14:textId="0DE0EDEB" w:rsidR="00D93A84" w:rsidRDefault="00D93A84" w:rsidP="00A93693">
      <w:pPr>
        <w:pStyle w:val="BodyText"/>
        <w:numPr>
          <w:ilvl w:val="0"/>
          <w:numId w:val="57"/>
        </w:numPr>
      </w:pPr>
      <w:r>
        <w:t>Around 90%</w:t>
      </w:r>
      <w:r w:rsidRPr="00782BDE">
        <w:t xml:space="preserve"> of those living in Regional Australia in 2011 were </w:t>
      </w:r>
      <w:r>
        <w:t xml:space="preserve">also </w:t>
      </w:r>
      <w:r w:rsidRPr="00782BDE">
        <w:t xml:space="preserve">living in Regional Australia ten years later in 2021, indicating that </w:t>
      </w:r>
      <w:r>
        <w:t>most</w:t>
      </w:r>
      <w:r w:rsidRPr="00782BDE">
        <w:t xml:space="preserve"> people in Regional Australia are likely to stay there </w:t>
      </w:r>
      <w:r>
        <w:t>over</w:t>
      </w:r>
      <w:r w:rsidRPr="00782BDE">
        <w:t xml:space="preserve"> the long</w:t>
      </w:r>
      <w:r>
        <w:t>-</w:t>
      </w:r>
      <w:r w:rsidRPr="00782BDE">
        <w:t>term</w:t>
      </w:r>
      <w:r w:rsidR="009A3FA6">
        <w:t xml:space="preserve">. </w:t>
      </w:r>
      <w:r w:rsidRPr="00782BDE">
        <w:t xml:space="preserve">Regional Australia contributes significantly to </w:t>
      </w:r>
      <w:r w:rsidRPr="00782BDE">
        <w:lastRenderedPageBreak/>
        <w:t xml:space="preserve">the overall social and economic wellbeing of Australia through key </w:t>
      </w:r>
      <w:r w:rsidR="0040458C">
        <w:t>sectors</w:t>
      </w:r>
      <w:r w:rsidRPr="00782BDE">
        <w:t xml:space="preserve"> such as agriculture, mining</w:t>
      </w:r>
      <w:r w:rsidR="002469D5">
        <w:t>, tourism and renewable energy</w:t>
      </w:r>
      <w:r w:rsidRPr="00782BDE">
        <w:t xml:space="preserve">. </w:t>
      </w:r>
    </w:p>
    <w:p w14:paraId="150BB1DE" w14:textId="31B05289" w:rsidR="00D93A84" w:rsidRPr="001344A6" w:rsidRDefault="00D93A84" w:rsidP="00D93A84">
      <w:pPr>
        <w:keepNext/>
        <w:keepLines/>
        <w:spacing w:before="120" w:after="120"/>
        <w:rPr>
          <w:rFonts w:cs="Arial"/>
          <w:b/>
          <w:sz w:val="18"/>
          <w:szCs w:val="18"/>
        </w:rPr>
      </w:pPr>
      <w:bookmarkStart w:id="51" w:name="_Toc201916568"/>
      <w:r w:rsidRPr="001344A6">
        <w:rPr>
          <w:b/>
          <w:sz w:val="18"/>
          <w:szCs w:val="18"/>
        </w:rPr>
        <w:t xml:space="preserve">Figure </w:t>
      </w:r>
      <w:r w:rsidRPr="001344A6">
        <w:rPr>
          <w:b/>
          <w:sz w:val="18"/>
          <w:szCs w:val="18"/>
        </w:rPr>
        <w:fldChar w:fldCharType="begin"/>
      </w:r>
      <w:r w:rsidRPr="001344A6">
        <w:rPr>
          <w:b/>
          <w:sz w:val="18"/>
          <w:szCs w:val="18"/>
        </w:rPr>
        <w:instrText xml:space="preserve"> SEQ Figure \* ARABIC </w:instrText>
      </w:r>
      <w:r w:rsidRPr="001344A6">
        <w:rPr>
          <w:b/>
          <w:sz w:val="18"/>
          <w:szCs w:val="18"/>
        </w:rPr>
        <w:fldChar w:fldCharType="separate"/>
      </w:r>
      <w:r w:rsidR="00471863">
        <w:rPr>
          <w:b/>
          <w:noProof/>
          <w:sz w:val="18"/>
          <w:szCs w:val="18"/>
        </w:rPr>
        <w:t>2</w:t>
      </w:r>
      <w:r w:rsidRPr="001344A6">
        <w:rPr>
          <w:b/>
          <w:sz w:val="18"/>
          <w:szCs w:val="18"/>
        </w:rPr>
        <w:fldChar w:fldCharType="end"/>
      </w:r>
      <w:r w:rsidRPr="001344A6">
        <w:rPr>
          <w:b/>
          <w:sz w:val="18"/>
          <w:szCs w:val="18"/>
        </w:rPr>
        <w:t xml:space="preserve">: </w:t>
      </w:r>
      <w:r w:rsidRPr="001344A6">
        <w:rPr>
          <w:rFonts w:cs="Arial"/>
          <w:b/>
          <w:sz w:val="18"/>
          <w:szCs w:val="18"/>
        </w:rPr>
        <w:t>Selected statistics on the size and importance of Regional Australia</w:t>
      </w:r>
      <w:bookmarkEnd w:id="51"/>
    </w:p>
    <w:p w14:paraId="650CC4D3" w14:textId="191B1289" w:rsidR="008349B6" w:rsidRPr="00CB0C7A" w:rsidRDefault="008349B6" w:rsidP="00D93A84">
      <w:pPr>
        <w:spacing w:before="120" w:after="120"/>
        <w:rPr>
          <w:rFonts w:cs="Arial"/>
          <w:b/>
          <w:bCs/>
        </w:rPr>
      </w:pPr>
      <w:r>
        <w:rPr>
          <w:rFonts w:cs="Arial"/>
          <w:b/>
          <w:bCs/>
          <w:noProof/>
        </w:rPr>
        <w:drawing>
          <wp:inline distT="0" distB="0" distL="0" distR="0" wp14:anchorId="3EA2D44E" wp14:editId="049546A7">
            <wp:extent cx="5732145" cy="3059430"/>
            <wp:effectExtent l="0" t="0" r="1905" b="0"/>
            <wp:docPr id="230379897" name="Picture 3" descr="An image shows selected statistics on the size and importance of Regional Australia. The image shows that Regional Australia accounts for 30% of Australia’s working age population, 66% of Australia’s mining and agriculture employment and, 99% of Australia’s geographic area. It also shows that 90% of people in Regional Australia will be living there 10 years 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79897" name="Picture 3" descr="An image shows selected statistics on the size and importance of Regional Australia. The image shows that Regional Australia accounts for 30% of Australia’s working age population, 66% of Australia’s mining and agriculture employment and, 99% of Australia’s geographic area. It also shows that 90% of people in Regional Australia will be living there 10 years later."/>
                    <pic:cNvPicPr/>
                  </pic:nvPicPr>
                  <pic:blipFill>
                    <a:blip r:embed="rId22">
                      <a:extLst>
                        <a:ext uri="{28A0092B-C50C-407E-A947-70E740481C1C}">
                          <a14:useLocalDpi xmlns:a14="http://schemas.microsoft.com/office/drawing/2010/main" val="0"/>
                        </a:ext>
                      </a:extLst>
                    </a:blip>
                    <a:stretch>
                      <a:fillRect/>
                    </a:stretch>
                  </pic:blipFill>
                  <pic:spPr>
                    <a:xfrm>
                      <a:off x="0" y="0"/>
                      <a:ext cx="5732145" cy="3059430"/>
                    </a:xfrm>
                    <a:prstGeom prst="rect">
                      <a:avLst/>
                    </a:prstGeom>
                  </pic:spPr>
                </pic:pic>
              </a:graphicData>
            </a:graphic>
          </wp:inline>
        </w:drawing>
      </w:r>
    </w:p>
    <w:tbl>
      <w:tblPr>
        <w:tblStyle w:val="CustomTablepulloutbox2"/>
        <w:tblW w:w="0" w:type="auto"/>
        <w:tblLook w:val="04A0" w:firstRow="1" w:lastRow="0" w:firstColumn="1" w:lastColumn="0" w:noHBand="0" w:noVBand="1"/>
      </w:tblPr>
      <w:tblGrid>
        <w:gridCol w:w="8997"/>
      </w:tblGrid>
      <w:tr w:rsidR="00946813" w14:paraId="050391BE" w14:textId="77777777">
        <w:trPr>
          <w:trHeight w:val="1713"/>
        </w:trPr>
        <w:tc>
          <w:tcPr>
            <w:tcW w:w="8997" w:type="dxa"/>
          </w:tcPr>
          <w:p w14:paraId="256B60A7" w14:textId="77777777" w:rsidR="00946813" w:rsidRPr="001814F5" w:rsidRDefault="00946813">
            <w:pPr>
              <w:pStyle w:val="BoxHeading"/>
              <w:jc w:val="center"/>
              <w:rPr>
                <w:sz w:val="24"/>
                <w:szCs w:val="22"/>
              </w:rPr>
            </w:pPr>
            <w:r w:rsidRPr="001814F5">
              <w:rPr>
                <w:sz w:val="24"/>
                <w:szCs w:val="22"/>
              </w:rPr>
              <w:t>Stakeholder insight</w:t>
            </w:r>
          </w:p>
          <w:p w14:paraId="2367BB6A" w14:textId="52EC422C" w:rsidR="00946813" w:rsidRPr="0038053C" w:rsidRDefault="00306785">
            <w:pPr>
              <w:jc w:val="center"/>
              <w:rPr>
                <w:sz w:val="22"/>
                <w:szCs w:val="22"/>
              </w:rPr>
            </w:pPr>
            <w:r>
              <w:rPr>
                <w:rFonts w:cs="Arial"/>
                <w:i/>
                <w:iCs/>
                <w:sz w:val="22"/>
                <w:szCs w:val="22"/>
              </w:rPr>
              <w:t>‘</w:t>
            </w:r>
            <w:r w:rsidR="00946813" w:rsidRPr="0038053C">
              <w:rPr>
                <w:rFonts w:cs="Arial"/>
                <w:i/>
                <w:iCs/>
                <w:sz w:val="22"/>
                <w:szCs w:val="22"/>
              </w:rPr>
              <w:t>Regional Australia makes a substantial contribution to the economic and social wellbeing of the nation. However, unleashing the underutilised skills potential of Regional Australia, by major enhancement of the regional jobs and skills system, will be critical to ensuring the future prosperity of our country.</w:t>
            </w:r>
            <w:r>
              <w:rPr>
                <w:rFonts w:cs="Arial"/>
                <w:i/>
                <w:iCs/>
                <w:sz w:val="22"/>
                <w:szCs w:val="22"/>
              </w:rPr>
              <w:t>’</w:t>
            </w:r>
          </w:p>
          <w:p w14:paraId="5D8D95B1" w14:textId="77777777" w:rsidR="00946813" w:rsidRPr="001814F5" w:rsidRDefault="00946813">
            <w:pPr>
              <w:jc w:val="center"/>
              <w:rPr>
                <w:rFonts w:cs="Arial"/>
                <w:b/>
                <w:bCs/>
                <w:sz w:val="24"/>
                <w:szCs w:val="24"/>
                <w:lang w:val="en-AU"/>
              </w:rPr>
            </w:pPr>
            <w:r w:rsidRPr="001814F5">
              <w:rPr>
                <w:rFonts w:cs="Arial"/>
                <w:b/>
                <w:sz w:val="24"/>
                <w:szCs w:val="24"/>
                <w:lang w:val="en-AU"/>
              </w:rPr>
              <w:t>Peter Dawkins AO</w:t>
            </w:r>
          </w:p>
          <w:p w14:paraId="1BB48C62" w14:textId="77777777" w:rsidR="00946813" w:rsidRDefault="00946813">
            <w:pPr>
              <w:jc w:val="center"/>
              <w:rPr>
                <w:rFonts w:cs="Arial"/>
                <w:sz w:val="22"/>
                <w:szCs w:val="22"/>
                <w:lang w:val="en-AU"/>
              </w:rPr>
            </w:pPr>
            <w:r w:rsidRPr="00033320">
              <w:rPr>
                <w:rFonts w:cs="Arial"/>
                <w:sz w:val="22"/>
                <w:szCs w:val="22"/>
                <w:lang w:val="en-AU"/>
              </w:rPr>
              <w:t>Emeritus Professor of Economics</w:t>
            </w:r>
          </w:p>
          <w:p w14:paraId="787A4059" w14:textId="77777777" w:rsidR="00946813" w:rsidRPr="00033320" w:rsidRDefault="00946813">
            <w:pPr>
              <w:jc w:val="center"/>
              <w:rPr>
                <w:rFonts w:cs="Arial"/>
                <w:lang w:val="en-AU"/>
              </w:rPr>
            </w:pPr>
            <w:r w:rsidRPr="00033320">
              <w:rPr>
                <w:rFonts w:cs="Arial"/>
                <w:sz w:val="22"/>
                <w:szCs w:val="22"/>
                <w:lang w:val="en-AU"/>
              </w:rPr>
              <w:t>Mitchell Institute, Victoria University</w:t>
            </w:r>
          </w:p>
        </w:tc>
      </w:tr>
    </w:tbl>
    <w:p w14:paraId="296ADA0F" w14:textId="42161557" w:rsidR="00F50972" w:rsidRPr="00946813" w:rsidRDefault="00D93A84" w:rsidP="004C7ED1">
      <w:pPr>
        <w:pStyle w:val="BodyText"/>
        <w:rPr>
          <w:rFonts w:cs="Arial"/>
          <w:sz w:val="24"/>
          <w:szCs w:val="24"/>
        </w:rPr>
      </w:pPr>
      <w:r w:rsidRPr="00D93974">
        <w:t xml:space="preserve">Labour market conditions can vary widely across Regional Australia resulting in marked disparities in outcomes across regions. JSA’s Regional Labour Market Indicator (RLMI) consistently </w:t>
      </w:r>
      <w:r>
        <w:t>shows</w:t>
      </w:r>
      <w:r w:rsidRPr="00D93974">
        <w:t xml:space="preserve"> that regional and remote areas are more likely to experience weaker labour market conditions than their counterparts</w:t>
      </w:r>
      <w:r>
        <w:t xml:space="preserve"> in M</w:t>
      </w:r>
      <w:r w:rsidRPr="00D93974">
        <w:t xml:space="preserve">ajor </w:t>
      </w:r>
      <w:r>
        <w:t>Cities</w:t>
      </w:r>
      <w:r w:rsidRPr="00D93974">
        <w:t xml:space="preserve">. </w:t>
      </w:r>
      <w:r w:rsidR="00946813" w:rsidRPr="00F50972">
        <w:t xml:space="preserve">JSA has produced </w:t>
      </w:r>
      <w:r w:rsidR="00946813" w:rsidRPr="00F11AC1">
        <w:rPr>
          <w:i/>
        </w:rPr>
        <w:t>experimental</w:t>
      </w:r>
      <w:r w:rsidR="00946813" w:rsidRPr="00F50972">
        <w:t xml:space="preserve"> labour market ratings at the SA3 level, based largely on </w:t>
      </w:r>
      <w:r w:rsidR="00946813">
        <w:t>JSA’s</w:t>
      </w:r>
      <w:r w:rsidR="00946813" w:rsidRPr="00F50972">
        <w:t xml:space="preserve"> methodology used to create the SA4 labour market ratings</w:t>
      </w:r>
      <w:r w:rsidR="00946813">
        <w:t>,</w:t>
      </w:r>
      <w:r w:rsidR="00946813">
        <w:rPr>
          <w:rStyle w:val="FootnoteReference"/>
          <w:rFonts w:cs="Arial"/>
        </w:rPr>
        <w:footnoteReference w:id="3"/>
      </w:r>
      <w:r w:rsidR="00946813">
        <w:t xml:space="preserve"> which </w:t>
      </w:r>
      <w:r w:rsidR="001677E0">
        <w:t xml:space="preserve">further </w:t>
      </w:r>
      <w:r w:rsidR="00946813">
        <w:t xml:space="preserve">highlights this variation. </w:t>
      </w:r>
    </w:p>
    <w:p w14:paraId="1549E9F1" w14:textId="5F8FA824" w:rsidR="00CC32BA" w:rsidRPr="00A34A30" w:rsidRDefault="00BF5231" w:rsidP="00BF5231">
      <w:pPr>
        <w:pStyle w:val="Caption"/>
        <w:rPr>
          <w:rFonts w:cs="Arial"/>
          <w:b w:val="0"/>
        </w:rPr>
      </w:pPr>
      <w:bookmarkStart w:id="52" w:name="_Toc201916569"/>
      <w:r>
        <w:lastRenderedPageBreak/>
        <w:t xml:space="preserve">Figure </w:t>
      </w:r>
      <w:r>
        <w:fldChar w:fldCharType="begin"/>
      </w:r>
      <w:r>
        <w:instrText xml:space="preserve"> SEQ Figure \* ARABIC </w:instrText>
      </w:r>
      <w:r>
        <w:fldChar w:fldCharType="separate"/>
      </w:r>
      <w:r w:rsidR="00471863">
        <w:rPr>
          <w:noProof/>
        </w:rPr>
        <w:t>3</w:t>
      </w:r>
      <w:r>
        <w:fldChar w:fldCharType="end"/>
      </w:r>
      <w:r w:rsidR="00CC32BA">
        <w:t xml:space="preserve">: </w:t>
      </w:r>
      <w:r w:rsidR="002368C1">
        <w:t xml:space="preserve">JSA </w:t>
      </w:r>
      <w:r w:rsidR="00CC32BA" w:rsidRPr="002E15CA">
        <w:rPr>
          <w:rFonts w:cs="Arial"/>
        </w:rPr>
        <w:t xml:space="preserve">RLMI ratings </w:t>
      </w:r>
      <w:r w:rsidR="002368C1">
        <w:rPr>
          <w:rFonts w:cs="Arial"/>
        </w:rPr>
        <w:t xml:space="preserve">of labour market strength </w:t>
      </w:r>
      <w:r w:rsidR="00CC32BA" w:rsidRPr="002E15CA">
        <w:rPr>
          <w:rFonts w:cs="Arial"/>
        </w:rPr>
        <w:t xml:space="preserve">by </w:t>
      </w:r>
      <w:r w:rsidR="00CC32BA">
        <w:rPr>
          <w:rFonts w:cs="Arial"/>
        </w:rPr>
        <w:t>SA3 regions</w:t>
      </w:r>
      <w:bookmarkEnd w:id="52"/>
    </w:p>
    <w:p w14:paraId="739F2497" w14:textId="71440AC2" w:rsidR="00F10C92" w:rsidRDefault="00FA561B" w:rsidP="0000799C">
      <w:pPr>
        <w:jc w:val="center"/>
        <w:rPr>
          <w:rFonts w:cs="Arial"/>
        </w:rPr>
      </w:pPr>
      <w:r>
        <w:rPr>
          <w:noProof/>
        </w:rPr>
        <w:drawing>
          <wp:inline distT="0" distB="0" distL="0" distR="0" wp14:anchorId="4168D61A" wp14:editId="17317A66">
            <wp:extent cx="4105275" cy="4024604"/>
            <wp:effectExtent l="0" t="0" r="0" b="0"/>
            <wp:docPr id="940497502" name="Picture 1" descr="A map of Australia that shows JSA's Regional Labour Market Indicator (RLMI) ratings by region (SA3). The map shows that regional and remote areas are more likely to experience weaker labour market conditions than their counterparts in Major C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97502" name="Picture 1" descr="A map of Australia that shows JSA's Regional Labour Market Indicator (RLMI) ratings by region (SA3). The map shows that regional and remote areas are more likely to experience weaker labour market conditions than their counterparts in Major Cities. "/>
                    <pic:cNvPicPr>
                      <a:picLocks noChangeAspect="1" noChangeArrowheads="1"/>
                    </pic:cNvPicPr>
                  </pic:nvPicPr>
                  <pic:blipFill>
                    <a:blip r:embed="rId23" r:link="rId24" cstate="email">
                      <a:extLst>
                        <a:ext uri="{28A0092B-C50C-407E-A947-70E740481C1C}">
                          <a14:useLocalDpi xmlns:a14="http://schemas.microsoft.com/office/drawing/2010/main" val="0"/>
                        </a:ext>
                      </a:extLst>
                    </a:blip>
                    <a:srcRect/>
                    <a:stretch>
                      <a:fillRect/>
                    </a:stretch>
                  </pic:blipFill>
                  <pic:spPr bwMode="auto">
                    <a:xfrm>
                      <a:off x="0" y="0"/>
                      <a:ext cx="4115792" cy="4034915"/>
                    </a:xfrm>
                    <a:prstGeom prst="rect">
                      <a:avLst/>
                    </a:prstGeom>
                    <a:noFill/>
                    <a:ln>
                      <a:noFill/>
                    </a:ln>
                  </pic:spPr>
                </pic:pic>
              </a:graphicData>
            </a:graphic>
          </wp:inline>
        </w:drawing>
      </w:r>
    </w:p>
    <w:p w14:paraId="3DA52190" w14:textId="28873D0E" w:rsidR="00900818" w:rsidRDefault="00900818" w:rsidP="00946813">
      <w:pPr>
        <w:rPr>
          <w:rFonts w:cs="Arial"/>
          <w:i/>
          <w:sz w:val="18"/>
          <w:szCs w:val="18"/>
        </w:rPr>
      </w:pPr>
      <w:r>
        <w:rPr>
          <w:rFonts w:cs="Arial"/>
          <w:i/>
          <w:sz w:val="18"/>
          <w:szCs w:val="18"/>
        </w:rPr>
        <w:t xml:space="preserve">Source: JSA, </w:t>
      </w:r>
      <w:r w:rsidRPr="00BE32F3">
        <w:rPr>
          <w:rFonts w:cs="Arial"/>
          <w:i/>
          <w:sz w:val="18"/>
          <w:szCs w:val="18"/>
        </w:rPr>
        <w:t xml:space="preserve">Regional Labour Market Indicator (RLMI), </w:t>
      </w:r>
      <w:r>
        <w:rPr>
          <w:rFonts w:cs="Arial"/>
          <w:i/>
          <w:sz w:val="18"/>
          <w:szCs w:val="18"/>
        </w:rPr>
        <w:t>experimental estimates.</w:t>
      </w:r>
    </w:p>
    <w:p w14:paraId="5AA09DC3" w14:textId="77777777" w:rsidR="00CB3146" w:rsidRDefault="00F11AC1" w:rsidP="004C7ED1">
      <w:pPr>
        <w:pStyle w:val="BodyText"/>
      </w:pPr>
      <w:r>
        <w:t>Overall</w:t>
      </w:r>
      <w:r w:rsidRPr="00F6185C">
        <w:t xml:space="preserve">, there is a strong </w:t>
      </w:r>
      <w:r>
        <w:t xml:space="preserve">and well-accepted </w:t>
      </w:r>
      <w:r w:rsidRPr="00F6185C">
        <w:t xml:space="preserve">rationale for undertaking </w:t>
      </w:r>
      <w:r>
        <w:t xml:space="preserve">more </w:t>
      </w:r>
      <w:r w:rsidR="00D63669">
        <w:t>locally</w:t>
      </w:r>
      <w:r w:rsidR="00C10AA0">
        <w:t>-</w:t>
      </w:r>
      <w:r w:rsidR="00D63669">
        <w:t xml:space="preserve">led </w:t>
      </w:r>
      <w:r w:rsidRPr="00F6185C">
        <w:t>place-</w:t>
      </w:r>
      <w:r w:rsidR="003E1DF2">
        <w:t xml:space="preserve">based </w:t>
      </w:r>
      <w:r w:rsidRPr="00F6185C">
        <w:t>focussed research and analysis, particularly where place-based policy initiatives may be a successful mechanism for improving outcomes</w:t>
      </w:r>
      <w:r>
        <w:t xml:space="preserve"> for communities</w:t>
      </w:r>
      <w:r w:rsidRPr="00F6185C">
        <w:t>. Place-focussed research and analysis cuts across sectors and industries</w:t>
      </w:r>
      <w:r>
        <w:t>,</w:t>
      </w:r>
      <w:r w:rsidRPr="00F6185C">
        <w:t xml:space="preserve"> providing a picture of the skills system </w:t>
      </w:r>
      <w:r w:rsidR="008870F4">
        <w:t xml:space="preserve">and economy </w:t>
      </w:r>
      <w:r w:rsidRPr="00F6185C">
        <w:t xml:space="preserve">of a region (or regions) as a whole. </w:t>
      </w:r>
    </w:p>
    <w:p w14:paraId="77BB3C67" w14:textId="2A174AE3" w:rsidR="00F11AC1" w:rsidRPr="00D93A84" w:rsidRDefault="00F11AC1" w:rsidP="004C7ED1">
      <w:pPr>
        <w:pStyle w:val="BodyText"/>
      </w:pPr>
      <w:r w:rsidRPr="00F6185C">
        <w:t>Undertaking workforce planning on a geographic basis, including for Regional Australia</w:t>
      </w:r>
      <w:r>
        <w:t>, is critical for</w:t>
      </w:r>
      <w:r w:rsidRPr="00F6185C">
        <w:t xml:space="preserve"> ensuring the jobs and skills system </w:t>
      </w:r>
      <w:r>
        <w:t xml:space="preserve">reflects and </w:t>
      </w:r>
      <w:r w:rsidRPr="00F6185C">
        <w:t xml:space="preserve">is aligned to </w:t>
      </w:r>
      <w:r>
        <w:t xml:space="preserve">the specific </w:t>
      </w:r>
      <w:r w:rsidRPr="00F6185C">
        <w:t>workforce needs</w:t>
      </w:r>
      <w:r>
        <w:t xml:space="preserve"> of different parts of the country</w:t>
      </w:r>
      <w:r w:rsidRPr="00F6185C">
        <w:t xml:space="preserve">. </w:t>
      </w:r>
      <w:r>
        <w:t>The</w:t>
      </w:r>
      <w:r w:rsidRPr="00F6185C">
        <w:t xml:space="preserve"> Regional Roadmap provides a foundational framework as a starting point for developing </w:t>
      </w:r>
      <w:r>
        <w:t>further and more detailed</w:t>
      </w:r>
      <w:r w:rsidRPr="00F6185C">
        <w:t xml:space="preserve"> roadmaps targeted to specific regions or types of regions in the future.</w:t>
      </w:r>
    </w:p>
    <w:p w14:paraId="5C49243D" w14:textId="5ED11DA0" w:rsidR="00CA3581" w:rsidRPr="00D93A84" w:rsidRDefault="00CA3581" w:rsidP="004C7ED1">
      <w:pPr>
        <w:pStyle w:val="BodyText"/>
      </w:pPr>
      <w:r>
        <w:t xml:space="preserve">Notably, </w:t>
      </w:r>
      <w:r w:rsidR="006E3785">
        <w:t>JSA’s Regional Roadmap is a</w:t>
      </w:r>
      <w:r w:rsidR="00CB3146">
        <w:t>n</w:t>
      </w:r>
      <w:r w:rsidR="006E3785">
        <w:t xml:space="preserve"> overarching framework focussed on the jobs and skills system, </w:t>
      </w:r>
      <w:r w:rsidR="00B82389">
        <w:t>alongside</w:t>
      </w:r>
      <w:r w:rsidR="006E3785">
        <w:t xml:space="preserve"> other initiatives and plans that seek to support broader regional development processes and aspirations. </w:t>
      </w:r>
      <w:r w:rsidR="00B82389">
        <w:t xml:space="preserve">While such regional development plans often incorporate a jobs or skills component, JSA’s Regional Roadmap is </w:t>
      </w:r>
      <w:r w:rsidR="004538F2">
        <w:t>centred on the jobs and skills system in Regional Australia.</w:t>
      </w:r>
    </w:p>
    <w:p w14:paraId="3ACAB6F6" w14:textId="43637D12" w:rsidR="00CC2A0E" w:rsidRPr="00CC2A0E" w:rsidRDefault="00CC2A0E" w:rsidP="00CC2A0E">
      <w:pPr>
        <w:pStyle w:val="BodyText"/>
      </w:pPr>
      <w:r w:rsidRPr="00CC2A0E">
        <w:t>JSA acknowledges that the National Agreement on Closing the Gap remains the most critical policy platform for delivering improved outcomes for First Nations people.</w:t>
      </w:r>
      <w:r>
        <w:t xml:space="preserve"> </w:t>
      </w:r>
      <w:r w:rsidRPr="00CC2A0E">
        <w:t>This includes the National Agreement’s Priority Reforms as well as the 19 socio</w:t>
      </w:r>
      <w:r w:rsidRPr="00CC2A0E">
        <w:noBreakHyphen/>
        <w:t xml:space="preserve">economic targets across areas that have an impact on life outcomes for Aboriginal and Torres Strait Islander people. JSA’s Jobs and Skills Roadmap for Regional Australia seeks to complement existing efforts to Close the Gap, noting the </w:t>
      </w:r>
      <w:r>
        <w:t xml:space="preserve">Regional </w:t>
      </w:r>
      <w:r w:rsidRPr="00CC2A0E">
        <w:t>Roadmap provides a broader framework that pertains to Regional Australia as a whole.</w:t>
      </w:r>
    </w:p>
    <w:tbl>
      <w:tblPr>
        <w:tblStyle w:val="CustomTablepulloutbox"/>
        <w:tblW w:w="0" w:type="auto"/>
        <w:tblLook w:val="04A0" w:firstRow="1" w:lastRow="0" w:firstColumn="1" w:lastColumn="0" w:noHBand="0" w:noVBand="1"/>
      </w:tblPr>
      <w:tblGrid>
        <w:gridCol w:w="8997"/>
      </w:tblGrid>
      <w:tr w:rsidR="0013330D" w14:paraId="52272D41" w14:textId="77777777" w:rsidTr="00CC2A0E">
        <w:tc>
          <w:tcPr>
            <w:tcW w:w="8997" w:type="dxa"/>
          </w:tcPr>
          <w:p w14:paraId="447D351B" w14:textId="77BBA64A" w:rsidR="00F072A1" w:rsidRPr="00884F96" w:rsidRDefault="00F072A1" w:rsidP="00F072A1">
            <w:pPr>
              <w:pStyle w:val="BoxHeading"/>
            </w:pPr>
            <w:bookmarkStart w:id="53" w:name="_Toc200637135"/>
            <w:r w:rsidRPr="00884F96">
              <w:lastRenderedPageBreak/>
              <w:t xml:space="preserve">Box: </w:t>
            </w:r>
            <w:r>
              <w:t xml:space="preserve">The Australian Government’s </w:t>
            </w:r>
            <w:r w:rsidR="00D12100">
              <w:t>Regional Investment Framework</w:t>
            </w:r>
          </w:p>
          <w:p w14:paraId="461DB455" w14:textId="0F8D9869" w:rsidR="00C46397" w:rsidRPr="008A3BA6" w:rsidRDefault="00C46397" w:rsidP="008A3BA6">
            <w:pPr>
              <w:rPr>
                <w:sz w:val="22"/>
                <w:szCs w:val="22"/>
              </w:rPr>
            </w:pPr>
            <w:r w:rsidRPr="008A3BA6">
              <w:rPr>
                <w:sz w:val="22"/>
                <w:szCs w:val="22"/>
              </w:rPr>
              <w:t xml:space="preserve">The Australian Government's </w:t>
            </w:r>
            <w:hyperlink r:id="rId25" w:history="1">
              <w:r w:rsidRPr="008A3BA6">
                <w:rPr>
                  <w:rStyle w:val="Hyperlink"/>
                  <w:bCs/>
                  <w:sz w:val="22"/>
                  <w:szCs w:val="22"/>
                  <w:lang w:val="en-AU"/>
                </w:rPr>
                <w:t>Regional Investment Framework</w:t>
              </w:r>
            </w:hyperlink>
            <w:r w:rsidRPr="008A3BA6">
              <w:rPr>
                <w:sz w:val="22"/>
                <w:szCs w:val="22"/>
              </w:rPr>
              <w:t xml:space="preserve"> (the Framework) sets out a new approach to delivering regional investment, coordinating across governments to make investment work better for regions and placing regions and their people at the centre of decision making. It outlines guiding principles, priority areas for investment and an implementation approach that will support the delivery of smart and responsible investments that support regions to adapt and thrive, regardless of their economic circumstances.</w:t>
            </w:r>
          </w:p>
          <w:p w14:paraId="067E1B90" w14:textId="77777777" w:rsidR="00C46397" w:rsidRPr="008A3BA6" w:rsidRDefault="00C46397" w:rsidP="008A3BA6">
            <w:pPr>
              <w:rPr>
                <w:sz w:val="22"/>
                <w:szCs w:val="22"/>
              </w:rPr>
            </w:pPr>
            <w:r w:rsidRPr="008A3BA6">
              <w:rPr>
                <w:sz w:val="22"/>
                <w:szCs w:val="22"/>
              </w:rPr>
              <w:t>The Framework supports a joined-up and cohesive approach to seizing opportunities and responding to challenges across Australia's diverse regions. The Framework supports the Government's commitments to valuing local voices and priorities; informed and evidence-based decision making; and delivery of investment in our regions with integrity and transparency.</w:t>
            </w:r>
          </w:p>
          <w:p w14:paraId="66238928" w14:textId="77777777" w:rsidR="00C46397" w:rsidRPr="008A3BA6" w:rsidRDefault="00C46397" w:rsidP="008A3BA6">
            <w:pPr>
              <w:rPr>
                <w:sz w:val="22"/>
                <w:szCs w:val="22"/>
              </w:rPr>
            </w:pPr>
            <w:r w:rsidRPr="008A3BA6">
              <w:rPr>
                <w:sz w:val="22"/>
                <w:szCs w:val="22"/>
              </w:rPr>
              <w:t>Under the Framework, government investment will be targeted and support better outcomes for regional people, the places they live in, the services they rely on, and the regional industries and economies that are core to Australia's prosperity.</w:t>
            </w:r>
          </w:p>
          <w:p w14:paraId="4CDCEAC4" w14:textId="15058278" w:rsidR="0013330D" w:rsidRPr="00DB66BB" w:rsidRDefault="00C46397" w:rsidP="008A3BA6">
            <w:pPr>
              <w:rPr>
                <w:b/>
              </w:rPr>
            </w:pPr>
            <w:r w:rsidRPr="008A3BA6">
              <w:rPr>
                <w:sz w:val="22"/>
                <w:szCs w:val="22"/>
              </w:rPr>
              <w:t xml:space="preserve">Working in genuine partnerships with communities, other levels of government and the private sector, the Australian Government is committed to </w:t>
            </w:r>
            <w:r w:rsidR="00D12100" w:rsidRPr="003240C9">
              <w:rPr>
                <w:sz w:val="22"/>
                <w:szCs w:val="22"/>
              </w:rPr>
              <w:t xml:space="preserve">supporting </w:t>
            </w:r>
            <w:r w:rsidR="008E16EB" w:rsidRPr="003240C9">
              <w:rPr>
                <w:sz w:val="22"/>
                <w:szCs w:val="22"/>
              </w:rPr>
              <w:t xml:space="preserve">regional Australia to </w:t>
            </w:r>
            <w:r w:rsidR="003240C9" w:rsidRPr="003240C9">
              <w:rPr>
                <w:sz w:val="22"/>
                <w:szCs w:val="22"/>
              </w:rPr>
              <w:t>ensure no one is held back or left behind.</w:t>
            </w:r>
          </w:p>
        </w:tc>
      </w:tr>
    </w:tbl>
    <w:p w14:paraId="2FC7CF54" w14:textId="16D7276D" w:rsidR="00D95E9A" w:rsidRPr="00730787" w:rsidRDefault="00D95E9A" w:rsidP="004C7ED1">
      <w:pPr>
        <w:pStyle w:val="Heading11"/>
      </w:pPr>
      <w:bookmarkStart w:id="54" w:name="_Toc201070176"/>
      <w:bookmarkStart w:id="55" w:name="_Toc201919839"/>
      <w:bookmarkStart w:id="56" w:name="_Toc202361867"/>
      <w:bookmarkEnd w:id="53"/>
      <w:r w:rsidRPr="00730787">
        <w:t xml:space="preserve">Where is </w:t>
      </w:r>
      <w:r w:rsidR="00306785">
        <w:t>‘</w:t>
      </w:r>
      <w:r w:rsidRPr="00730787">
        <w:t>Regional Australia</w:t>
      </w:r>
      <w:r w:rsidR="00306785">
        <w:t>’</w:t>
      </w:r>
      <w:r w:rsidRPr="00730787">
        <w:t>?</w:t>
      </w:r>
      <w:bookmarkEnd w:id="54"/>
      <w:bookmarkEnd w:id="55"/>
      <w:bookmarkEnd w:id="56"/>
    </w:p>
    <w:p w14:paraId="5585B035" w14:textId="71145CE0" w:rsidR="0005599E" w:rsidRPr="0005599E" w:rsidRDefault="00D95E9A" w:rsidP="004C7ED1">
      <w:pPr>
        <w:pStyle w:val="BodyText"/>
      </w:pPr>
      <w:r w:rsidRPr="00F6185C">
        <w:t xml:space="preserve">Regional boundaries and classifications can be defined in many ways, depending on the purpose of the research, policy or program. One geographic definition or classification may be used for one purpose, and a different definition may be appropriate for another. </w:t>
      </w:r>
    </w:p>
    <w:p w14:paraId="6237BEF9" w14:textId="21969562" w:rsidR="00D95E9A" w:rsidRDefault="00D95E9A" w:rsidP="004C7ED1">
      <w:pPr>
        <w:pStyle w:val="BodyText"/>
      </w:pPr>
      <w:r w:rsidRPr="00F6185C">
        <w:t xml:space="preserve">The definition of Regional Australia </w:t>
      </w:r>
      <w:r w:rsidR="0005599E" w:rsidRPr="0005599E">
        <w:t>used</w:t>
      </w:r>
      <w:r w:rsidRPr="00F6185C">
        <w:t xml:space="preserve"> in this report (unless otherwise stated) </w:t>
      </w:r>
      <w:r w:rsidR="0005599E" w:rsidRPr="0005599E">
        <w:t>is</w:t>
      </w:r>
      <w:r w:rsidRPr="00F6185C">
        <w:t>:</w:t>
      </w:r>
    </w:p>
    <w:tbl>
      <w:tblPr>
        <w:tblStyle w:val="CustomTablepulloutbox"/>
        <w:tblW w:w="0" w:type="auto"/>
        <w:tblLook w:val="0480" w:firstRow="0" w:lastRow="0" w:firstColumn="1" w:lastColumn="0" w:noHBand="0" w:noVBand="1"/>
      </w:tblPr>
      <w:tblGrid>
        <w:gridCol w:w="8997"/>
      </w:tblGrid>
      <w:tr w:rsidR="003D1DC5" w14:paraId="62C63B0F" w14:textId="77777777">
        <w:tc>
          <w:tcPr>
            <w:tcW w:w="8997" w:type="dxa"/>
          </w:tcPr>
          <w:p w14:paraId="1FB0F57B" w14:textId="77777777" w:rsidR="003D1DC5" w:rsidRPr="00BA67E0" w:rsidRDefault="003D1DC5">
            <w:pPr>
              <w:pStyle w:val="BodyText"/>
            </w:pPr>
            <w:r w:rsidRPr="008409D2">
              <w:rPr>
                <w:sz w:val="22"/>
                <w:szCs w:val="22"/>
              </w:rPr>
              <w:t>Regional Australia includes all regions of Australia except for those in the major capital cities of Sydney, Melbourne, Brisbane, Adelaide and Perth and the Australian Capital Territory (ACT).</w:t>
            </w:r>
          </w:p>
        </w:tc>
      </w:tr>
    </w:tbl>
    <w:p w14:paraId="5824F571" w14:textId="4FBE5356" w:rsidR="00517D91" w:rsidRDefault="00517D91" w:rsidP="004C7ED1">
      <w:pPr>
        <w:pStyle w:val="BodyText"/>
      </w:pPr>
      <w:r w:rsidRPr="000156C8">
        <w:t>In defining Regional</w:t>
      </w:r>
      <w:r>
        <w:t xml:space="preserve"> Australia</w:t>
      </w:r>
      <w:r w:rsidRPr="000156C8">
        <w:t>, it’s important to remember the range of different population sizes, resources, economic conditions and access to services across regions. Australia’s regions and their economies are diverse, with each region having unique strengths, opportunities and challenges.</w:t>
      </w:r>
      <w:r w:rsidR="00260165" w:rsidRPr="00260165">
        <w:t xml:space="preserve"> </w:t>
      </w:r>
      <w:r w:rsidR="00EE3C88">
        <w:t>In this way, R</w:t>
      </w:r>
      <w:r w:rsidR="00260165" w:rsidRPr="007D2AA5">
        <w:t>egional Australia is not homogeneous</w:t>
      </w:r>
      <w:r w:rsidR="00EE3C88">
        <w:t>.</w:t>
      </w:r>
      <w:r w:rsidR="00260165" w:rsidRPr="007D2AA5">
        <w:t xml:space="preserve"> </w:t>
      </w:r>
    </w:p>
    <w:p w14:paraId="7B5F044A" w14:textId="652FBAD9" w:rsidR="00517D91" w:rsidRDefault="00517D91" w:rsidP="004C7ED1">
      <w:pPr>
        <w:pStyle w:val="BodyText"/>
      </w:pPr>
      <w:r>
        <w:t>JSA’s</w:t>
      </w:r>
      <w:r w:rsidR="00F33331">
        <w:t xml:space="preserve"> </w:t>
      </w:r>
      <w:r w:rsidR="00E4727A">
        <w:t>definition</w:t>
      </w:r>
      <w:r w:rsidR="00F33331">
        <w:t xml:space="preserve"> of </w:t>
      </w:r>
      <w:r w:rsidR="00E4727A">
        <w:t>Regional Australia</w:t>
      </w:r>
      <w:r w:rsidR="00D95E9A" w:rsidRPr="00904003">
        <w:t xml:space="preserve"> </w:t>
      </w:r>
      <w:r w:rsidR="00F33331">
        <w:t xml:space="preserve">closely follows the </w:t>
      </w:r>
      <w:r w:rsidR="00D95E9A" w:rsidRPr="00904003">
        <w:t>ABS Australian Statistical Geography Standard (ASGS) Greater Capital City Statistical Areas (GCCSAs)</w:t>
      </w:r>
      <w:r w:rsidR="00D95E9A" w:rsidRPr="00904003">
        <w:rPr>
          <w:rStyle w:val="FootnoteReference"/>
          <w:rFonts w:cs="Arial"/>
        </w:rPr>
        <w:footnoteReference w:id="4"/>
      </w:r>
      <w:r w:rsidR="00D95E9A" w:rsidRPr="00904003">
        <w:t xml:space="preserve">, </w:t>
      </w:r>
      <w:r w:rsidR="00B0694D">
        <w:t xml:space="preserve">which differentiates between </w:t>
      </w:r>
      <w:r w:rsidR="00110C28">
        <w:t>M</w:t>
      </w:r>
      <w:r w:rsidR="0057399D">
        <w:t xml:space="preserve">ajor </w:t>
      </w:r>
      <w:r w:rsidR="00110C28">
        <w:t>C</w:t>
      </w:r>
      <w:r w:rsidR="0057399D">
        <w:t>ities and rest of state/territory regions. The</w:t>
      </w:r>
      <w:r w:rsidR="00D95E9A" w:rsidRPr="00904003">
        <w:t xml:space="preserve"> exceptions </w:t>
      </w:r>
      <w:r w:rsidR="0057399D">
        <w:t xml:space="preserve">to this </w:t>
      </w:r>
      <w:r w:rsidR="009057D4">
        <w:t>are</w:t>
      </w:r>
      <w:r w:rsidR="00D95E9A" w:rsidRPr="00904003">
        <w:t xml:space="preserve"> the Northern Territory (NT) and Tasmania, which are wholly </w:t>
      </w:r>
      <w:r w:rsidR="0005599E">
        <w:t xml:space="preserve">considered </w:t>
      </w:r>
      <w:r w:rsidR="00D95E9A" w:rsidRPr="00904003">
        <w:t xml:space="preserve">as </w:t>
      </w:r>
      <w:r w:rsidR="00AA1784">
        <w:t xml:space="preserve">being part of </w:t>
      </w:r>
      <w:r w:rsidR="00E4727A">
        <w:t>R</w:t>
      </w:r>
      <w:r w:rsidR="00D95E9A" w:rsidRPr="00904003">
        <w:t>egional</w:t>
      </w:r>
      <w:r w:rsidR="00AA1784">
        <w:t xml:space="preserve"> </w:t>
      </w:r>
      <w:r w:rsidR="004D0461">
        <w:t>Australia</w:t>
      </w:r>
      <w:r w:rsidR="00E4727A">
        <w:t xml:space="preserve"> for the purposes of this </w:t>
      </w:r>
      <w:r w:rsidR="003B1485">
        <w:t>R</w:t>
      </w:r>
      <w:r w:rsidR="00E4727A">
        <w:t>oadmap</w:t>
      </w:r>
      <w:r w:rsidR="006729C4">
        <w:t>.</w:t>
      </w:r>
      <w:r w:rsidR="0088382F">
        <w:t xml:space="preserve"> </w:t>
      </w:r>
    </w:p>
    <w:p w14:paraId="0C0FC8C0" w14:textId="6E7AE2E3" w:rsidR="003849C3" w:rsidRDefault="00362BDC" w:rsidP="004C7ED1">
      <w:pPr>
        <w:pStyle w:val="BodyText"/>
      </w:pPr>
      <w:r>
        <w:lastRenderedPageBreak/>
        <w:t>C</w:t>
      </w:r>
      <w:r w:rsidR="00642DC7">
        <w:t>ompared with other capital cities</w:t>
      </w:r>
      <w:r w:rsidR="001159C0">
        <w:t xml:space="preserve">, </w:t>
      </w:r>
      <w:r w:rsidRPr="00904003">
        <w:t>Darwin and Hobart</w:t>
      </w:r>
      <w:r>
        <w:t xml:space="preserve"> </w:t>
      </w:r>
      <w:r w:rsidR="00D95E9A" w:rsidRPr="00904003">
        <w:t>have smaller populations and are more geographically isolated from the rest of Australia.</w:t>
      </w:r>
      <w:r w:rsidR="00A031BF">
        <w:t xml:space="preserve"> </w:t>
      </w:r>
      <w:r w:rsidR="00D95E9A" w:rsidRPr="00904003">
        <w:t xml:space="preserve">Hobart faces </w:t>
      </w:r>
      <w:r w:rsidR="00F340E4">
        <w:t>additional</w:t>
      </w:r>
      <w:r w:rsidR="00D95E9A" w:rsidRPr="00904003">
        <w:t xml:space="preserve"> unique challenges being located on an island that is geographically </w:t>
      </w:r>
      <w:r w:rsidR="00866CCA">
        <w:t>separated</w:t>
      </w:r>
      <w:r w:rsidR="00D95E9A" w:rsidRPr="00904003">
        <w:t xml:space="preserve"> from mainland Australia, while Darwin is also distinct in its climate, population structure and geographic distance </w:t>
      </w:r>
      <w:r w:rsidR="005F4D9D">
        <w:t xml:space="preserve">and is much closer to cities in South-East Asia than </w:t>
      </w:r>
      <w:r w:rsidR="001159C0">
        <w:t>many of the other capital cities.</w:t>
      </w:r>
      <w:r w:rsidR="00D95E9A" w:rsidRPr="00904003">
        <w:t xml:space="preserve"> </w:t>
      </w:r>
    </w:p>
    <w:p w14:paraId="3F8C91BB" w14:textId="6470E2AB" w:rsidR="003849C3" w:rsidRPr="006470FB" w:rsidRDefault="00762C97" w:rsidP="00762C97">
      <w:pPr>
        <w:pStyle w:val="Caption"/>
        <w:rPr>
          <w:rFonts w:cs="Arial"/>
          <w:bCs w:val="0"/>
        </w:rPr>
      </w:pPr>
      <w:bookmarkStart w:id="57" w:name="_Toc201916570"/>
      <w:r>
        <w:t xml:space="preserve">Figure </w:t>
      </w:r>
      <w:r>
        <w:fldChar w:fldCharType="begin"/>
      </w:r>
      <w:r w:rsidRPr="001344A6">
        <w:rPr>
          <w:b w:val="0"/>
        </w:rPr>
        <w:instrText xml:space="preserve"> SEQ Figure \* ARABIC </w:instrText>
      </w:r>
      <w:r>
        <w:fldChar w:fldCharType="separate"/>
      </w:r>
      <w:r w:rsidR="00471863">
        <w:rPr>
          <w:b w:val="0"/>
          <w:noProof/>
        </w:rPr>
        <w:t>4</w:t>
      </w:r>
      <w:r>
        <w:fldChar w:fldCharType="end"/>
      </w:r>
      <w:r w:rsidR="003849C3" w:rsidRPr="001344A6">
        <w:rPr>
          <w:b w:val="0"/>
        </w:rPr>
        <w:t xml:space="preserve">: </w:t>
      </w:r>
      <w:r w:rsidR="003849C3" w:rsidRPr="006470FB">
        <w:rPr>
          <w:rFonts w:cs="Arial"/>
          <w:bCs w:val="0"/>
        </w:rPr>
        <w:t xml:space="preserve">Visual representation of the definition of </w:t>
      </w:r>
      <w:r w:rsidR="00306785">
        <w:rPr>
          <w:rFonts w:cs="Arial"/>
          <w:bCs w:val="0"/>
        </w:rPr>
        <w:t>‘</w:t>
      </w:r>
      <w:r w:rsidR="003849C3" w:rsidRPr="006470FB" w:rsidDel="00087C8A">
        <w:rPr>
          <w:rFonts w:cs="Arial"/>
          <w:bCs w:val="0"/>
        </w:rPr>
        <w:t>R</w:t>
      </w:r>
      <w:r w:rsidR="003849C3" w:rsidRPr="006470FB">
        <w:rPr>
          <w:rFonts w:cs="Arial"/>
          <w:bCs w:val="0"/>
        </w:rPr>
        <w:t>egional Australia</w:t>
      </w:r>
      <w:r w:rsidR="00306785">
        <w:rPr>
          <w:rFonts w:cs="Arial"/>
          <w:bCs w:val="0"/>
        </w:rPr>
        <w:t>’</w:t>
      </w:r>
      <w:r w:rsidR="003849C3" w:rsidRPr="006470FB">
        <w:rPr>
          <w:rFonts w:cs="Arial"/>
          <w:bCs w:val="0"/>
        </w:rPr>
        <w:t xml:space="preserve"> for the purposes of the JSA Regional Roadmap</w:t>
      </w:r>
      <w:bookmarkEnd w:id="57"/>
    </w:p>
    <w:p w14:paraId="4DFBE0BC" w14:textId="74107233" w:rsidR="00480967" w:rsidRPr="001254FC" w:rsidRDefault="003849C3" w:rsidP="001254FC">
      <w:pPr>
        <w:spacing w:before="120" w:after="120"/>
        <w:jc w:val="center"/>
        <w:rPr>
          <w:rFonts w:cs="Arial"/>
          <w:color w:val="FF0000"/>
          <w:sz w:val="24"/>
          <w:szCs w:val="24"/>
        </w:rPr>
      </w:pPr>
      <w:r w:rsidRPr="00CB0C7A">
        <w:rPr>
          <w:rFonts w:cs="Arial"/>
          <w:noProof/>
          <w:color w:val="FF0000"/>
          <w:sz w:val="24"/>
          <w:szCs w:val="24"/>
        </w:rPr>
        <w:drawing>
          <wp:inline distT="0" distB="0" distL="0" distR="0" wp14:anchorId="039061BC" wp14:editId="0FA687C0">
            <wp:extent cx="3523129" cy="3230787"/>
            <wp:effectExtent l="0" t="0" r="1270" b="8255"/>
            <wp:docPr id="2112584968" name="Picture 2" descr="A map of Australia that provides a visual representation of the definition of Regional Australia for the purposes of the JSA Regional Roadmap. For the purposes of this report, Regional Australia includes all regions of Australia except for those in the major capital cities of Sydney, Melbourne, Brisbane, Adelaide and Perth and the Australian Capital Territory (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84968" name="Picture 2" descr="A map of Australia that provides a visual representation of the definition of Regional Australia for the purposes of the JSA Regional Roadmap. For the purposes of this report, Regional Australia includes all regions of Australia except for those in the major capital cities of Sydney, Melbourne, Brisbane, Adelaide and Perth and the Australian Capital Territory (ACT). "/>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3544474" cy="325036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CustomTablepulloutbox2"/>
        <w:tblW w:w="0" w:type="auto"/>
        <w:tblLook w:val="04A0" w:firstRow="1" w:lastRow="0" w:firstColumn="1" w:lastColumn="0" w:noHBand="0" w:noVBand="1"/>
      </w:tblPr>
      <w:tblGrid>
        <w:gridCol w:w="8997"/>
      </w:tblGrid>
      <w:tr w:rsidR="00CE622A" w14:paraId="1E8669A9" w14:textId="77777777">
        <w:trPr>
          <w:trHeight w:val="1713"/>
        </w:trPr>
        <w:tc>
          <w:tcPr>
            <w:tcW w:w="8997" w:type="dxa"/>
          </w:tcPr>
          <w:p w14:paraId="597A4890" w14:textId="77777777" w:rsidR="00CE622A" w:rsidRPr="00DE0848" w:rsidRDefault="00CE622A">
            <w:pPr>
              <w:pStyle w:val="BoxHeading"/>
              <w:jc w:val="center"/>
              <w:rPr>
                <w:sz w:val="24"/>
                <w:szCs w:val="24"/>
              </w:rPr>
            </w:pPr>
            <w:r w:rsidRPr="00DE0848">
              <w:rPr>
                <w:sz w:val="24"/>
                <w:szCs w:val="24"/>
              </w:rPr>
              <w:t>Stakeholder insight</w:t>
            </w:r>
          </w:p>
          <w:p w14:paraId="433EA5D0" w14:textId="05F24BA5" w:rsidR="00CE622A" w:rsidRPr="0079705C" w:rsidRDefault="00306785">
            <w:pPr>
              <w:jc w:val="center"/>
              <w:rPr>
                <w:sz w:val="22"/>
                <w:szCs w:val="22"/>
              </w:rPr>
            </w:pPr>
            <w:r>
              <w:rPr>
                <w:rFonts w:cs="Arial"/>
                <w:i/>
                <w:iCs/>
                <w:sz w:val="22"/>
                <w:szCs w:val="22"/>
              </w:rPr>
              <w:t>‘</w:t>
            </w:r>
            <w:r w:rsidR="00CE622A" w:rsidRPr="0079705C">
              <w:rPr>
                <w:rFonts w:cs="Arial"/>
                <w:i/>
                <w:iCs/>
                <w:sz w:val="22"/>
                <w:szCs w:val="22"/>
                <w:lang w:val="en-AU"/>
              </w:rPr>
              <w:t>Regional Australia is not a single labour market, but a group of diverse local communities and regions that each have their own challenges and opportunities. While some issues are shared or cross-cutting, many issues require tailoring to the needs of local communities.</w:t>
            </w:r>
            <w:r>
              <w:rPr>
                <w:rFonts w:cs="Arial"/>
                <w:i/>
                <w:iCs/>
                <w:sz w:val="22"/>
                <w:szCs w:val="22"/>
                <w:lang w:val="en-AU"/>
              </w:rPr>
              <w:t>’</w:t>
            </w:r>
          </w:p>
          <w:p w14:paraId="556BECCF" w14:textId="77777777" w:rsidR="00CE622A" w:rsidRDefault="00CE622A">
            <w:pPr>
              <w:jc w:val="center"/>
              <w:rPr>
                <w:rFonts w:cs="Arial"/>
                <w:b/>
                <w:bCs/>
                <w:sz w:val="24"/>
                <w:szCs w:val="24"/>
                <w:lang w:val="en-AU"/>
              </w:rPr>
            </w:pPr>
            <w:r w:rsidRPr="00DE0848">
              <w:rPr>
                <w:rFonts w:cs="Arial"/>
                <w:b/>
                <w:sz w:val="24"/>
                <w:szCs w:val="24"/>
                <w:lang w:val="en-AU"/>
              </w:rPr>
              <w:t>Professor Jeff Borland</w:t>
            </w:r>
          </w:p>
          <w:p w14:paraId="2868AFA5" w14:textId="77777777" w:rsidR="00CE622A" w:rsidRDefault="00CE622A">
            <w:pPr>
              <w:jc w:val="center"/>
              <w:rPr>
                <w:rFonts w:cs="Arial"/>
                <w:sz w:val="22"/>
                <w:szCs w:val="22"/>
                <w:lang w:val="en-AU"/>
              </w:rPr>
            </w:pPr>
            <w:r w:rsidRPr="0079705C">
              <w:rPr>
                <w:rFonts w:cs="Arial"/>
                <w:sz w:val="22"/>
                <w:szCs w:val="22"/>
                <w:lang w:val="en-AU"/>
              </w:rPr>
              <w:t>Professor of Economics</w:t>
            </w:r>
            <w:r>
              <w:rPr>
                <w:rFonts w:cs="Arial"/>
                <w:sz w:val="22"/>
                <w:szCs w:val="22"/>
                <w:lang w:val="en-AU"/>
              </w:rPr>
              <w:t xml:space="preserve"> </w:t>
            </w:r>
          </w:p>
          <w:p w14:paraId="53271CBD" w14:textId="77777777" w:rsidR="00CE622A" w:rsidRPr="00033320" w:rsidRDefault="00CE622A">
            <w:pPr>
              <w:jc w:val="center"/>
              <w:rPr>
                <w:rFonts w:cs="Arial"/>
                <w:lang w:val="en-AU"/>
              </w:rPr>
            </w:pPr>
            <w:r w:rsidRPr="0079705C">
              <w:rPr>
                <w:rFonts w:cs="Arial"/>
                <w:sz w:val="22"/>
                <w:szCs w:val="22"/>
                <w:lang w:val="en-AU"/>
              </w:rPr>
              <w:t>University of Melbourne.</w:t>
            </w:r>
          </w:p>
        </w:tc>
      </w:tr>
    </w:tbl>
    <w:p w14:paraId="74CF588D" w14:textId="48640743" w:rsidR="003E6D2D" w:rsidRPr="003E6D2D" w:rsidRDefault="003E6D2D" w:rsidP="00C93616">
      <w:pPr>
        <w:pStyle w:val="Heading3"/>
        <w:keepNext w:val="0"/>
      </w:pPr>
      <w:r w:rsidRPr="003E6D2D">
        <w:t>JSA’s commitment to intersectional</w:t>
      </w:r>
      <w:r w:rsidR="00D17793">
        <w:t xml:space="preserve"> analysis – including by </w:t>
      </w:r>
      <w:r w:rsidRPr="003E6D2D">
        <w:t>gender</w:t>
      </w:r>
    </w:p>
    <w:p w14:paraId="3FED5521" w14:textId="77777777" w:rsidR="00C93616" w:rsidRPr="00C93616" w:rsidRDefault="00C93616" w:rsidP="00AE353A">
      <w:pPr>
        <w:pStyle w:val="BodyText"/>
        <w:rPr>
          <w:b/>
        </w:rPr>
      </w:pPr>
      <w:r w:rsidRPr="00C93616">
        <w:t xml:space="preserve">JSA is committed to embedding and building capability in intersectional analysis across its research and analysis. This acknowledges that outcomes achieved across the jobs and system are influenced by a range of factors, which often interact – or intersect – with each other. </w:t>
      </w:r>
    </w:p>
    <w:p w14:paraId="0EE7A8EF" w14:textId="12A19F0D" w:rsidR="00C93616" w:rsidRPr="00C93616" w:rsidRDefault="00C93616" w:rsidP="00AE353A">
      <w:pPr>
        <w:pStyle w:val="BodyText"/>
        <w:rPr>
          <w:b/>
        </w:rPr>
      </w:pPr>
      <w:r w:rsidRPr="00C93616">
        <w:t xml:space="preserve">JSA has recently established a Gender Framework that seeks to support more focused gender analysis and provides best practice advice on how to approach this through the form of a Placemat. JSA will also publish the outcome of its Gender Economic Equality Study in </w:t>
      </w:r>
      <w:r w:rsidRPr="00C93616">
        <w:lastRenderedPageBreak/>
        <w:t xml:space="preserve">the coming months. </w:t>
      </w:r>
      <w:r w:rsidR="00AB435F">
        <w:t xml:space="preserve">This reflects JSA’s emerging </w:t>
      </w:r>
      <w:r w:rsidR="00F123A7">
        <w:t xml:space="preserve">focus on </w:t>
      </w:r>
      <w:r w:rsidR="00AB435F">
        <w:t xml:space="preserve">considering key intersectional factors as part of its </w:t>
      </w:r>
      <w:r w:rsidR="00F123A7">
        <w:t xml:space="preserve">data, </w:t>
      </w:r>
      <w:r w:rsidR="00AB435F">
        <w:t>research</w:t>
      </w:r>
      <w:r w:rsidR="00F123A7">
        <w:t>,</w:t>
      </w:r>
      <w:r w:rsidR="00AB435F">
        <w:t xml:space="preserve"> analysis </w:t>
      </w:r>
      <w:r w:rsidR="00F123A7">
        <w:t xml:space="preserve">and advice around </w:t>
      </w:r>
      <w:r w:rsidR="00AB435F">
        <w:t>the jobs and skills system.</w:t>
      </w:r>
    </w:p>
    <w:p w14:paraId="1D9F0708" w14:textId="0817B998" w:rsidR="00F123A7" w:rsidRDefault="00723F96" w:rsidP="00AE353A">
      <w:pPr>
        <w:pStyle w:val="BodyText"/>
      </w:pPr>
      <w:r>
        <w:t xml:space="preserve">While Phase 1 of this Roadmap includes some consideration of differences in outcomes for different groups of people in the jobs and skills system, this will have an increased focus in the next phase. </w:t>
      </w:r>
      <w:r w:rsidR="00C93616" w:rsidRPr="00C93616">
        <w:t xml:space="preserve">Phase 2 of the Regional Roadmap will </w:t>
      </w:r>
      <w:r w:rsidR="00531EDC">
        <w:t>further</w:t>
      </w:r>
      <w:r w:rsidR="00C93616" w:rsidRPr="00C93616">
        <w:t xml:space="preserve"> consider how </w:t>
      </w:r>
      <w:r w:rsidR="00531EDC">
        <w:t xml:space="preserve">other factors (such as </w:t>
      </w:r>
      <w:r w:rsidR="00C93616" w:rsidRPr="00C93616">
        <w:t>gender</w:t>
      </w:r>
      <w:r w:rsidR="00DE5968">
        <w:t xml:space="preserve">, </w:t>
      </w:r>
      <w:r w:rsidR="00531EDC">
        <w:t>ethnicity</w:t>
      </w:r>
      <w:r w:rsidR="002326A3">
        <w:t xml:space="preserve">, disability and other </w:t>
      </w:r>
      <w:r w:rsidR="00531EDC">
        <w:t>factors)</w:t>
      </w:r>
      <w:r w:rsidR="00C93616" w:rsidRPr="00C93616">
        <w:t xml:space="preserve"> interacts with geography from a jobs and skills system perspective, including by </w:t>
      </w:r>
      <w:r w:rsidR="00531EDC">
        <w:t>highlighting</w:t>
      </w:r>
      <w:r w:rsidR="00C93616" w:rsidRPr="00C93616">
        <w:t xml:space="preserve"> some of the current data </w:t>
      </w:r>
      <w:r w:rsidR="00F123A7">
        <w:t xml:space="preserve">opportunities and </w:t>
      </w:r>
      <w:r w:rsidR="00C93616" w:rsidRPr="00C93616">
        <w:t xml:space="preserve">limitations. </w:t>
      </w:r>
    </w:p>
    <w:p w14:paraId="5C83D124" w14:textId="0DEB7525" w:rsidR="00C93616" w:rsidRDefault="00723F96" w:rsidP="00AE353A">
      <w:pPr>
        <w:pStyle w:val="BodyText"/>
        <w:rPr>
          <w:b/>
        </w:rPr>
      </w:pPr>
      <w:r>
        <w:t>A</w:t>
      </w:r>
      <w:r w:rsidR="00C93616" w:rsidRPr="00C93616">
        <w:t xml:space="preserve">n increased focus on </w:t>
      </w:r>
      <w:r w:rsidR="00531EDC">
        <w:t>intersectionality</w:t>
      </w:r>
      <w:r w:rsidR="00C93616" w:rsidRPr="00C93616">
        <w:t xml:space="preserve"> in Phase 2 of the Roadmap will be informed by feedback from the roundtables and public submission processes, and the </w:t>
      </w:r>
      <w:r w:rsidR="00F123A7">
        <w:t xml:space="preserve">findings </w:t>
      </w:r>
      <w:r w:rsidR="00C93616" w:rsidRPr="00C93616">
        <w:t>and recommendations from the Gender Economic Equality Study</w:t>
      </w:r>
      <w:r>
        <w:t>, and emerging work being undertaken to better understand the outcomes and experiences of Aboriginal and Torres Strait Islander peoples, people with disability, and other groups of people</w:t>
      </w:r>
      <w:r w:rsidR="00C93616" w:rsidRPr="00C93616">
        <w:t>.</w:t>
      </w:r>
      <w:r w:rsidR="00F123A7">
        <w:t xml:space="preserve"> </w:t>
      </w:r>
    </w:p>
    <w:p w14:paraId="5E103513" w14:textId="6599E8C6" w:rsidR="00ED7CC3" w:rsidRPr="00ED7CC3" w:rsidRDefault="00ED7CC3" w:rsidP="004C7ED1">
      <w:pPr>
        <w:pStyle w:val="Heading3"/>
      </w:pPr>
      <w:r>
        <w:t xml:space="preserve">Structure of </w:t>
      </w:r>
      <w:r w:rsidR="009A7F9E">
        <w:t xml:space="preserve">the remainder of </w:t>
      </w:r>
      <w:r>
        <w:t>this Report</w:t>
      </w:r>
    </w:p>
    <w:p w14:paraId="23E791E3" w14:textId="13E70FDE" w:rsidR="003561E1" w:rsidRDefault="00EA0CDF" w:rsidP="004C7ED1">
      <w:pPr>
        <w:pStyle w:val="BodyText"/>
      </w:pPr>
      <w:r>
        <w:t>Th</w:t>
      </w:r>
      <w:r w:rsidR="009C65FA">
        <w:t>e</w:t>
      </w:r>
      <w:r>
        <w:t xml:space="preserve"> </w:t>
      </w:r>
      <w:r w:rsidR="008B2A7A">
        <w:t>remainder</w:t>
      </w:r>
      <w:r w:rsidR="002D326B">
        <w:t xml:space="preserve"> of this </w:t>
      </w:r>
      <w:r w:rsidR="008B2A7A">
        <w:t>R</w:t>
      </w:r>
      <w:r>
        <w:t xml:space="preserve">eport </w:t>
      </w:r>
      <w:r w:rsidR="003561E1">
        <w:t>is structure</w:t>
      </w:r>
      <w:r w:rsidR="00877C0F">
        <w:t>d</w:t>
      </w:r>
      <w:r w:rsidR="003561E1">
        <w:t xml:space="preserve"> in </w:t>
      </w:r>
      <w:r w:rsidR="00285E8D">
        <w:t>3</w:t>
      </w:r>
      <w:r w:rsidR="009B12E6" w:rsidRPr="009B12E6">
        <w:t xml:space="preserve"> key</w:t>
      </w:r>
      <w:r w:rsidR="003561E1">
        <w:t xml:space="preserve"> parts</w:t>
      </w:r>
      <w:r w:rsidR="008B2A7A">
        <w:t>:</w:t>
      </w:r>
    </w:p>
    <w:p w14:paraId="56C7F65A" w14:textId="37A02B9F" w:rsidR="00355C36" w:rsidRPr="009B12E6" w:rsidRDefault="002E1415" w:rsidP="00D16B99">
      <w:pPr>
        <w:pStyle w:val="BodyText"/>
        <w:numPr>
          <w:ilvl w:val="0"/>
          <w:numId w:val="26"/>
        </w:numPr>
      </w:pPr>
      <w:r w:rsidRPr="009B12E6">
        <w:rPr>
          <w:b/>
        </w:rPr>
        <w:t>Chapter 1</w:t>
      </w:r>
      <w:r w:rsidR="00355C36" w:rsidRPr="009B12E6">
        <w:t xml:space="preserve"> will provide an overview</w:t>
      </w:r>
      <w:r w:rsidR="003734D3" w:rsidRPr="009B12E6">
        <w:t xml:space="preserve"> of the </w:t>
      </w:r>
      <w:r w:rsidR="00355C36" w:rsidRPr="009B12E6">
        <w:t>jobs and skills system in Regional Australia, including</w:t>
      </w:r>
      <w:r w:rsidR="00A87B51" w:rsidRPr="009B12E6">
        <w:t xml:space="preserve"> by </w:t>
      </w:r>
      <w:r w:rsidR="00355C36" w:rsidRPr="009B12E6">
        <w:t xml:space="preserve">identifying current trends, challenges and </w:t>
      </w:r>
      <w:r w:rsidRPr="009B12E6">
        <w:t>opportunities in the system</w:t>
      </w:r>
      <w:r w:rsidR="002D7383" w:rsidRPr="009B12E6">
        <w:t>, including examples of models that are making a difference</w:t>
      </w:r>
      <w:r w:rsidRPr="009B12E6">
        <w:t xml:space="preserve">. </w:t>
      </w:r>
    </w:p>
    <w:p w14:paraId="2BD54A99" w14:textId="1A752485" w:rsidR="00030647" w:rsidRPr="009B12E6" w:rsidRDefault="002E1415" w:rsidP="00D16B99">
      <w:pPr>
        <w:pStyle w:val="BodyText"/>
        <w:numPr>
          <w:ilvl w:val="0"/>
          <w:numId w:val="26"/>
        </w:numPr>
      </w:pPr>
      <w:r w:rsidRPr="009B12E6">
        <w:rPr>
          <w:b/>
        </w:rPr>
        <w:t>Chapter 2</w:t>
      </w:r>
      <w:r w:rsidRPr="009B12E6">
        <w:t xml:space="preserve"> presents the aspirational vision for the jobs and skills system in Regional Australia, including underpinning vision principles, before</w:t>
      </w:r>
      <w:r w:rsidR="00A87B51" w:rsidRPr="009B12E6">
        <w:t xml:space="preserve"> </w:t>
      </w:r>
      <w:r w:rsidR="00887293" w:rsidRPr="009B12E6">
        <w:t xml:space="preserve">drawing on </w:t>
      </w:r>
      <w:r w:rsidR="00030647" w:rsidRPr="009B12E6">
        <w:t xml:space="preserve">both quantitative </w:t>
      </w:r>
      <w:r w:rsidRPr="009B12E6">
        <w:t xml:space="preserve">metrics </w:t>
      </w:r>
      <w:r w:rsidR="00030647" w:rsidRPr="009B12E6">
        <w:t>and qualitative insights</w:t>
      </w:r>
      <w:r w:rsidRPr="009B12E6">
        <w:t xml:space="preserve"> to assess how the system is currently performing in reference to the stated vision. </w:t>
      </w:r>
    </w:p>
    <w:p w14:paraId="45E0C2B2" w14:textId="329B133B" w:rsidR="00582F79" w:rsidRPr="009B12E6" w:rsidRDefault="00582F79" w:rsidP="00D16B99">
      <w:pPr>
        <w:pStyle w:val="BodyText"/>
        <w:numPr>
          <w:ilvl w:val="0"/>
          <w:numId w:val="26"/>
        </w:numPr>
      </w:pPr>
      <w:r w:rsidRPr="009B12E6">
        <w:rPr>
          <w:b/>
          <w:bCs/>
        </w:rPr>
        <w:t>Chapter 3</w:t>
      </w:r>
      <w:r w:rsidRPr="009B12E6">
        <w:t xml:space="preserve"> sets out </w:t>
      </w:r>
      <w:r w:rsidR="00146787" w:rsidRPr="009B12E6">
        <w:t>actions to</w:t>
      </w:r>
      <w:r w:rsidRPr="009B12E6">
        <w:t xml:space="preserve"> </w:t>
      </w:r>
      <w:r w:rsidR="00146787" w:rsidRPr="009B12E6">
        <w:t>pursue</w:t>
      </w:r>
      <w:r w:rsidRPr="009B12E6">
        <w:t xml:space="preserve"> JSA’s overarching vision for the regional jobs and skill system</w:t>
      </w:r>
      <w:r w:rsidR="00146787" w:rsidRPr="009B12E6">
        <w:t xml:space="preserve">, </w:t>
      </w:r>
      <w:r w:rsidR="002D7383" w:rsidRPr="009B12E6">
        <w:t xml:space="preserve">including a new </w:t>
      </w:r>
      <w:r w:rsidR="0036725F" w:rsidRPr="009B12E6">
        <w:t xml:space="preserve">cross-cutting </w:t>
      </w:r>
      <w:r w:rsidR="002D7383" w:rsidRPr="009B12E6">
        <w:t xml:space="preserve">policy design checklist, </w:t>
      </w:r>
      <w:r w:rsidR="0036725F" w:rsidRPr="009B12E6">
        <w:t>a list of emerging policy priorities and</w:t>
      </w:r>
      <w:r w:rsidR="00630E6C" w:rsidRPr="009B12E6">
        <w:t xml:space="preserve"> the pathway to refine and enact the Roadmap with stakeholders, including through roundtables and a public consultation process.</w:t>
      </w:r>
    </w:p>
    <w:p w14:paraId="4CD627CB" w14:textId="612D92BD" w:rsidR="009C68FA" w:rsidRPr="00ED7CC3" w:rsidRDefault="009C68FA" w:rsidP="004C7ED1">
      <w:pPr>
        <w:pStyle w:val="Heading3"/>
      </w:pPr>
      <w:r>
        <w:t xml:space="preserve">Glossary of key terms to remember </w:t>
      </w:r>
      <w:r w:rsidR="007C6B0D">
        <w:t>when reading this report</w:t>
      </w:r>
    </w:p>
    <w:p w14:paraId="757BEA0C" w14:textId="19A5F4CC" w:rsidR="007C6B0D" w:rsidRPr="00A50327" w:rsidRDefault="007C6B0D" w:rsidP="00D16B99">
      <w:pPr>
        <w:pStyle w:val="BodyText"/>
        <w:numPr>
          <w:ilvl w:val="0"/>
          <w:numId w:val="27"/>
        </w:numPr>
      </w:pPr>
      <w:r w:rsidRPr="009C68FA">
        <w:rPr>
          <w:b/>
          <w:bCs/>
        </w:rPr>
        <w:t>Regional Australia</w:t>
      </w:r>
      <w:r>
        <w:t xml:space="preserve"> </w:t>
      </w:r>
      <w:r w:rsidR="002E6FD7">
        <w:t xml:space="preserve">– </w:t>
      </w:r>
      <w:r w:rsidRPr="00A50327">
        <w:t xml:space="preserve">all regions of Australia except for those in the </w:t>
      </w:r>
      <w:r w:rsidR="005D0448">
        <w:t xml:space="preserve">Major Cities </w:t>
      </w:r>
      <w:r w:rsidRPr="00A50327">
        <w:t>of Sydney, Melbourne, Brisbane, Adelaide and Perth</w:t>
      </w:r>
      <w:r w:rsidR="00C93616">
        <w:t>,</w:t>
      </w:r>
      <w:r w:rsidRPr="00A50327">
        <w:t xml:space="preserve"> and the Australian Capital Territory.</w:t>
      </w:r>
    </w:p>
    <w:p w14:paraId="472D34B9" w14:textId="5DE6D1B9" w:rsidR="009C68FA" w:rsidRPr="009C68FA" w:rsidRDefault="009C68FA" w:rsidP="00D16B99">
      <w:pPr>
        <w:pStyle w:val="BodyText"/>
        <w:numPr>
          <w:ilvl w:val="0"/>
          <w:numId w:val="27"/>
        </w:numPr>
        <w:rPr>
          <w:rFonts w:cs="Arial"/>
        </w:rPr>
      </w:pPr>
      <w:r w:rsidRPr="009C68FA">
        <w:rPr>
          <w:b/>
          <w:bCs/>
        </w:rPr>
        <w:t>Roadmap</w:t>
      </w:r>
      <w:r>
        <w:t xml:space="preserve"> </w:t>
      </w:r>
      <w:r w:rsidR="007C6B0D">
        <w:t>–</w:t>
      </w:r>
      <w:r>
        <w:t xml:space="preserve"> </w:t>
      </w:r>
      <w:r w:rsidR="007C6B0D">
        <w:t xml:space="preserve">refers to this report, </w:t>
      </w:r>
      <w:r w:rsidRPr="009C68FA">
        <w:rPr>
          <w:rFonts w:cs="Arial"/>
        </w:rPr>
        <w:t>an indicative strategic plan</w:t>
      </w:r>
      <w:r w:rsidR="007C6B0D">
        <w:rPr>
          <w:rFonts w:cs="Arial"/>
        </w:rPr>
        <w:t xml:space="preserve"> for the jobs and skills system in Regional Australia</w:t>
      </w:r>
      <w:r w:rsidR="00493875">
        <w:rPr>
          <w:rFonts w:cs="Arial"/>
        </w:rPr>
        <w:t>, noting</w:t>
      </w:r>
      <w:r w:rsidRPr="009C68FA">
        <w:rPr>
          <w:rFonts w:cs="Arial"/>
        </w:rPr>
        <w:t xml:space="preserve"> that </w:t>
      </w:r>
      <w:r w:rsidR="00493875">
        <w:rPr>
          <w:rFonts w:cs="Arial"/>
        </w:rPr>
        <w:t>there are other roadmaps</w:t>
      </w:r>
      <w:r w:rsidRPr="009C68FA">
        <w:rPr>
          <w:rFonts w:cs="Arial"/>
        </w:rPr>
        <w:t xml:space="preserve"> and </w:t>
      </w:r>
      <w:r w:rsidR="00493875">
        <w:rPr>
          <w:rFonts w:cs="Arial"/>
        </w:rPr>
        <w:t>plans</w:t>
      </w:r>
      <w:r w:rsidRPr="009C68FA">
        <w:rPr>
          <w:rFonts w:cs="Arial"/>
        </w:rPr>
        <w:t xml:space="preserve"> that </w:t>
      </w:r>
      <w:r w:rsidR="00493875">
        <w:rPr>
          <w:rFonts w:cs="Arial"/>
        </w:rPr>
        <w:t>exist</w:t>
      </w:r>
      <w:r w:rsidRPr="009C68FA">
        <w:rPr>
          <w:rFonts w:cs="Arial"/>
        </w:rPr>
        <w:t xml:space="preserve">. </w:t>
      </w:r>
    </w:p>
    <w:p w14:paraId="0CC7B5CD" w14:textId="1B5E94A9" w:rsidR="009C68FA" w:rsidRDefault="009C68FA" w:rsidP="00D16B99">
      <w:pPr>
        <w:pStyle w:val="BodyText"/>
        <w:numPr>
          <w:ilvl w:val="0"/>
          <w:numId w:val="27"/>
        </w:numPr>
      </w:pPr>
      <w:r w:rsidRPr="009C68FA">
        <w:rPr>
          <w:b/>
          <w:bCs/>
        </w:rPr>
        <w:t>Major Cities</w:t>
      </w:r>
      <w:r>
        <w:t xml:space="preserve"> </w:t>
      </w:r>
      <w:r w:rsidR="002E6FD7">
        <w:t>–</w:t>
      </w:r>
      <w:r w:rsidR="004E28C6">
        <w:t xml:space="preserve"> </w:t>
      </w:r>
      <w:r w:rsidRPr="00A50327">
        <w:t>Sydney, Melbourne, Br</w:t>
      </w:r>
      <w:r w:rsidR="00D57A72">
        <w:t>i</w:t>
      </w:r>
      <w:r w:rsidRPr="00A50327">
        <w:t>sbane, Adelaide and Perth</w:t>
      </w:r>
      <w:r w:rsidR="00716FD2">
        <w:t>,</w:t>
      </w:r>
      <w:r w:rsidRPr="00A50327">
        <w:t xml:space="preserve"> and the Australian Capital Territory</w:t>
      </w:r>
      <w:r>
        <w:t>.</w:t>
      </w:r>
    </w:p>
    <w:p w14:paraId="59D1D944" w14:textId="71B15C53" w:rsidR="004E28C6" w:rsidRDefault="009C68FA" w:rsidP="00D16B99">
      <w:pPr>
        <w:pStyle w:val="BodyText"/>
        <w:numPr>
          <w:ilvl w:val="0"/>
          <w:numId w:val="27"/>
        </w:numPr>
      </w:pPr>
      <w:r w:rsidRPr="009C68FA">
        <w:rPr>
          <w:b/>
          <w:bCs/>
        </w:rPr>
        <w:t>Remote areas</w:t>
      </w:r>
      <w:r>
        <w:t xml:space="preserve"> </w:t>
      </w:r>
      <w:r w:rsidR="002E6FD7">
        <w:t>–</w:t>
      </w:r>
      <w:r w:rsidR="00AC3AEE">
        <w:t xml:space="preserve"> </w:t>
      </w:r>
      <w:r w:rsidRPr="009C68FA">
        <w:rPr>
          <w:rFonts w:cs="Arial"/>
        </w:rPr>
        <w:t>sparsely populated, low-density regions that are isolated or well away from other main concentrations of population.</w:t>
      </w:r>
      <w:r w:rsidR="00D129A0" w:rsidRPr="00D129A0">
        <w:rPr>
          <w:noProof/>
        </w:rPr>
        <w:t xml:space="preserve"> </w:t>
      </w:r>
    </w:p>
    <w:p w14:paraId="3D45A076" w14:textId="68C990AA" w:rsidR="009F0EBB" w:rsidRPr="00746114" w:rsidRDefault="009F0EBB" w:rsidP="00B75067">
      <w:pPr>
        <w:pStyle w:val="BodyText"/>
        <w:ind w:left="720"/>
        <w:rPr>
          <w:b/>
          <w:bCs/>
        </w:rPr>
      </w:pPr>
    </w:p>
    <w:p w14:paraId="6496388F" w14:textId="0CABD44F" w:rsidR="009C68FA" w:rsidRDefault="009C68FA" w:rsidP="004E28C6">
      <w:pPr>
        <w:pStyle w:val="ListParagraph"/>
        <w:spacing w:after="160" w:line="259" w:lineRule="auto"/>
        <w:ind w:left="360"/>
      </w:pPr>
    </w:p>
    <w:p w14:paraId="7084DA34" w14:textId="6DACE95C" w:rsidR="00C83741" w:rsidRDefault="0046312C" w:rsidP="00076E2B">
      <w:r>
        <w:t xml:space="preserve"> </w:t>
      </w:r>
      <w:r w:rsidR="00C83741">
        <w:br w:type="page"/>
      </w:r>
    </w:p>
    <w:p w14:paraId="6B43FE63" w14:textId="6933E9E6" w:rsidR="000F676C" w:rsidRPr="003A18EB" w:rsidRDefault="000901AD" w:rsidP="000F676C">
      <w:pPr>
        <w:pStyle w:val="Heading1"/>
      </w:pPr>
      <w:bookmarkStart w:id="58" w:name="_Toc201070177"/>
      <w:bookmarkStart w:id="59" w:name="_Toc201919840"/>
      <w:bookmarkStart w:id="60" w:name="_Toc202361868"/>
      <w:r w:rsidRPr="00211FD3">
        <w:rPr>
          <w:bCs/>
          <w:noProof/>
          <w:color w:val="FFFFFF" w:themeColor="background1"/>
          <w:szCs w:val="56"/>
        </w:rPr>
        <w:lastRenderedPageBreak/>
        <w:drawing>
          <wp:anchor distT="0" distB="0" distL="114300" distR="114300" simplePos="0" relativeHeight="251941376" behindDoc="1" locked="0" layoutInCell="1" allowOverlap="1" wp14:anchorId="07A10768" wp14:editId="7E37E541">
            <wp:simplePos x="0" y="0"/>
            <wp:positionH relativeFrom="page">
              <wp:align>right</wp:align>
            </wp:positionH>
            <wp:positionV relativeFrom="paragraph">
              <wp:posOffset>-807085</wp:posOffset>
            </wp:positionV>
            <wp:extent cx="7547269" cy="10675917"/>
            <wp:effectExtent l="0" t="0" r="0" b="0"/>
            <wp:wrapNone/>
            <wp:docPr id="24511857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18572" name="Picture 6">
                      <a:extLst>
                        <a:ext uri="{C183D7F6-B498-43B3-948B-1728B52AA6E4}">
                          <adec:decorative xmlns:adec="http://schemas.microsoft.com/office/drawing/2017/decorative" val="1"/>
                        </a:ext>
                      </a:extLst>
                    </pic:cNvPr>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7547269" cy="10675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1BD">
        <w:rPr>
          <w:color w:val="FFFFFF" w:themeColor="background1"/>
          <w:szCs w:val="56"/>
        </w:rPr>
        <w:t xml:space="preserve">1. </w:t>
      </w:r>
      <w:r w:rsidR="003A18EB" w:rsidRPr="003A18EB">
        <w:rPr>
          <w:color w:val="FFFFFF" w:themeColor="background1"/>
          <w:szCs w:val="56"/>
        </w:rPr>
        <w:t>Overview of the jobs and skills system in Regional Australia</w:t>
      </w:r>
      <w:bookmarkEnd w:id="58"/>
      <w:bookmarkEnd w:id="59"/>
      <w:bookmarkEnd w:id="60"/>
    </w:p>
    <w:p w14:paraId="615905D7" w14:textId="1564A5EA" w:rsidR="00093117" w:rsidRDefault="00093117">
      <w:pPr>
        <w:spacing w:after="160" w:line="259" w:lineRule="auto"/>
      </w:pPr>
      <w:r>
        <w:br w:type="page"/>
      </w:r>
    </w:p>
    <w:p w14:paraId="55D6FC23" w14:textId="2DE56218" w:rsidR="000E301F" w:rsidRDefault="00CA1CF0" w:rsidP="00C033D4">
      <w:pPr>
        <w:pStyle w:val="Heading11"/>
      </w:pPr>
      <w:bookmarkStart w:id="61" w:name="_Toc200637138"/>
      <w:bookmarkStart w:id="62" w:name="_Toc201070178"/>
      <w:bookmarkStart w:id="63" w:name="_Toc201919841"/>
      <w:bookmarkStart w:id="64" w:name="_Toc202361869"/>
      <w:r w:rsidRPr="00461308">
        <w:lastRenderedPageBreak/>
        <w:t xml:space="preserve">Overview of </w:t>
      </w:r>
      <w:r w:rsidR="00626BB1">
        <w:t>Regional Australia’s</w:t>
      </w:r>
      <w:r w:rsidR="000E301F">
        <w:t xml:space="preserve"> </w:t>
      </w:r>
      <w:r w:rsidR="00994110">
        <w:t>j</w:t>
      </w:r>
      <w:r w:rsidR="000E301F">
        <w:t xml:space="preserve">obs and </w:t>
      </w:r>
      <w:r w:rsidR="00994110">
        <w:t>s</w:t>
      </w:r>
      <w:r w:rsidR="000E301F">
        <w:t>kills system</w:t>
      </w:r>
      <w:bookmarkEnd w:id="61"/>
      <w:bookmarkEnd w:id="62"/>
      <w:bookmarkEnd w:id="63"/>
      <w:bookmarkEnd w:id="64"/>
      <w:r w:rsidR="007A71AE">
        <w:t xml:space="preserve"> </w:t>
      </w:r>
    </w:p>
    <w:p w14:paraId="3393B471" w14:textId="06A00EFB" w:rsidR="000E301F" w:rsidRDefault="000E301F" w:rsidP="00C033D4">
      <w:pPr>
        <w:pStyle w:val="BodyText"/>
      </w:pPr>
      <w:r>
        <w:t xml:space="preserve">Before examining the jobs and skills system across Regional Australia, it is important to outline the jobs and skills system in Australia. The jobs </w:t>
      </w:r>
      <w:r w:rsidRPr="00B44E44">
        <w:t>and skill system in Australia is complex</w:t>
      </w:r>
      <w:r w:rsidR="007F3409">
        <w:t>,</w:t>
      </w:r>
      <w:r w:rsidRPr="00B44E44">
        <w:t xml:space="preserve"> made up of many sub</w:t>
      </w:r>
      <w:r>
        <w:t>-</w:t>
      </w:r>
      <w:r w:rsidRPr="00B44E44">
        <w:t>systems</w:t>
      </w:r>
      <w:r>
        <w:t>,</w:t>
      </w:r>
      <w:r w:rsidRPr="00B44E44">
        <w:t xml:space="preserve"> stakeholders and </w:t>
      </w:r>
      <w:r>
        <w:t>associated</w:t>
      </w:r>
      <w:r w:rsidRPr="00B44E44">
        <w:t xml:space="preserve"> policies that work to ensure the prosperity of Australia and its communities. </w:t>
      </w:r>
      <w:r>
        <w:t>T</w:t>
      </w:r>
      <w:r w:rsidRPr="003D2C37">
        <w:t>he system incorporates</w:t>
      </w:r>
      <w:r>
        <w:t xml:space="preserve"> </w:t>
      </w:r>
      <w:r w:rsidRPr="00B44E44">
        <w:t>the education</w:t>
      </w:r>
      <w:r>
        <w:t>,</w:t>
      </w:r>
      <w:r w:rsidRPr="00B44E44">
        <w:t xml:space="preserve"> training a</w:t>
      </w:r>
      <w:r>
        <w:t>n</w:t>
      </w:r>
      <w:r w:rsidRPr="00B44E44">
        <w:t>d skill</w:t>
      </w:r>
      <w:r>
        <w:t>s</w:t>
      </w:r>
      <w:r w:rsidRPr="00B44E44">
        <w:t xml:space="preserve"> </w:t>
      </w:r>
      <w:r>
        <w:t>system,</w:t>
      </w:r>
      <w:r w:rsidRPr="003F7E98">
        <w:t xml:space="preserve"> </w:t>
      </w:r>
      <w:r>
        <w:t>t</w:t>
      </w:r>
      <w:r w:rsidRPr="003F7E98">
        <w:t xml:space="preserve">he migration </w:t>
      </w:r>
      <w:r>
        <w:t>system, and the</w:t>
      </w:r>
      <w:r w:rsidRPr="003F7E98">
        <w:t xml:space="preserve"> jobs and labour market</w:t>
      </w:r>
      <w:r>
        <w:t xml:space="preserve"> itself. </w:t>
      </w:r>
      <w:r w:rsidRPr="004D5D81">
        <w:t>In each of these sub</w:t>
      </w:r>
      <w:r>
        <w:t>-</w:t>
      </w:r>
      <w:r w:rsidRPr="004D5D81">
        <w:t>systems</w:t>
      </w:r>
      <w:r>
        <w:t>,</w:t>
      </w:r>
      <w:r w:rsidRPr="004D5D81">
        <w:t xml:space="preserve"> there </w:t>
      </w:r>
      <w:r w:rsidR="00386A51">
        <w:t>is</w:t>
      </w:r>
      <w:r w:rsidRPr="004D5D81">
        <w:t xml:space="preserve"> a range of key stakeholders </w:t>
      </w:r>
      <w:r>
        <w:t xml:space="preserve">(both government and non-government) </w:t>
      </w:r>
      <w:r w:rsidRPr="004D5D81">
        <w:t>responsible for the design</w:t>
      </w:r>
      <w:r>
        <w:t>,</w:t>
      </w:r>
      <w:r w:rsidRPr="004D5D81">
        <w:t xml:space="preserve"> delivery</w:t>
      </w:r>
      <w:r>
        <w:t xml:space="preserve"> </w:t>
      </w:r>
      <w:r w:rsidRPr="000E6426">
        <w:t>and coordination of the system</w:t>
      </w:r>
      <w:r>
        <w:t xml:space="preserve">. </w:t>
      </w:r>
    </w:p>
    <w:p w14:paraId="447E11D7" w14:textId="7170530F" w:rsidR="000E301F" w:rsidRDefault="000E301F" w:rsidP="00C033D4">
      <w:pPr>
        <w:pStyle w:val="BodyText"/>
      </w:pPr>
      <w:r>
        <w:t>The role of the jobs and skills system</w:t>
      </w:r>
      <w:r w:rsidRPr="000E6426">
        <w:t xml:space="preserve"> </w:t>
      </w:r>
      <w:r>
        <w:t>starts in the</w:t>
      </w:r>
      <w:r w:rsidRPr="000E6426">
        <w:t xml:space="preserve"> early learning years of a child's life</w:t>
      </w:r>
      <w:r>
        <w:t>, and extends through</w:t>
      </w:r>
      <w:r w:rsidRPr="000E6426">
        <w:t xml:space="preserve"> to schooling</w:t>
      </w:r>
      <w:r>
        <w:t>,</w:t>
      </w:r>
      <w:r w:rsidRPr="000E6426">
        <w:t xml:space="preserve"> vocational education</w:t>
      </w:r>
      <w:r>
        <w:t xml:space="preserve"> and training</w:t>
      </w:r>
      <w:r w:rsidRPr="000E6426">
        <w:t xml:space="preserve"> and </w:t>
      </w:r>
      <w:r w:rsidR="007F3409">
        <w:t>higher education</w:t>
      </w:r>
      <w:r>
        <w:t>. Skills accreditation and qualification reform, including the role of Jobs and Skills Councils, also intersects these components. The system also</w:t>
      </w:r>
      <w:r w:rsidRPr="00EA15B6">
        <w:t xml:space="preserve"> incorporates the various actors who are responsible for a functioning </w:t>
      </w:r>
      <w:r>
        <w:t xml:space="preserve">and </w:t>
      </w:r>
      <w:r w:rsidRPr="00EA15B6">
        <w:t>efficient jobs market</w:t>
      </w:r>
      <w:r>
        <w:t>,</w:t>
      </w:r>
      <w:r w:rsidRPr="00EA15B6">
        <w:t xml:space="preserve"> from industry bodies to unions</w:t>
      </w:r>
      <w:r>
        <w:t>,</w:t>
      </w:r>
      <w:r w:rsidRPr="00EA15B6">
        <w:t xml:space="preserve"> recruitment firms and employment service providers</w:t>
      </w:r>
      <w:r>
        <w:t>,</w:t>
      </w:r>
      <w:r w:rsidRPr="00EA15B6">
        <w:t xml:space="preserve"> each of which work to facilitate </w:t>
      </w:r>
      <w:r>
        <w:t xml:space="preserve">the </w:t>
      </w:r>
      <w:r w:rsidRPr="00EA15B6">
        <w:t>efficient matching between workers and firms</w:t>
      </w:r>
      <w:r>
        <w:t xml:space="preserve">. </w:t>
      </w:r>
    </w:p>
    <w:p w14:paraId="337F4730" w14:textId="59BF140F" w:rsidR="000E301F" w:rsidRDefault="000E301F" w:rsidP="00C033D4">
      <w:pPr>
        <w:pStyle w:val="BodyText"/>
      </w:pPr>
      <w:r w:rsidRPr="000B199F">
        <w:t xml:space="preserve">When seeking to illustrate this system, </w:t>
      </w:r>
      <w:r w:rsidRPr="0065529E">
        <w:t xml:space="preserve">(see Figure </w:t>
      </w:r>
      <w:r w:rsidR="00657F7F">
        <w:t>5</w:t>
      </w:r>
      <w:r w:rsidRPr="0065529E">
        <w:t>, below), the</w:t>
      </w:r>
      <w:r w:rsidRPr="000B199F">
        <w:t xml:space="preserve"> system is clearly represented in a complex and interrelated form.</w:t>
      </w:r>
      <w:r w:rsidRPr="003D2C37">
        <w:t xml:space="preserve"> While such representations are complex</w:t>
      </w:r>
      <w:r>
        <w:t>,</w:t>
      </w:r>
      <w:r w:rsidRPr="003D2C37">
        <w:t xml:space="preserve"> this is </w:t>
      </w:r>
      <w:r>
        <w:t>reflective</w:t>
      </w:r>
      <w:r w:rsidRPr="003D2C37">
        <w:t xml:space="preserve"> of what the system is like</w:t>
      </w:r>
      <w:r>
        <w:t xml:space="preserve"> – a complex, interrelated system.</w:t>
      </w:r>
    </w:p>
    <w:p w14:paraId="34DACD5C" w14:textId="7BB4982B" w:rsidR="000E301F" w:rsidRDefault="000E301F" w:rsidP="00C033D4">
      <w:pPr>
        <w:pStyle w:val="BodyText"/>
      </w:pPr>
      <w:r>
        <w:t>T</w:t>
      </w:r>
      <w:r w:rsidRPr="0021605B">
        <w:t xml:space="preserve">he </w:t>
      </w:r>
      <w:r>
        <w:t xml:space="preserve">driving </w:t>
      </w:r>
      <w:r w:rsidRPr="0021605B">
        <w:t xml:space="preserve">source of activity for the jobs </w:t>
      </w:r>
      <w:r>
        <w:t>and</w:t>
      </w:r>
      <w:r w:rsidRPr="0021605B">
        <w:t xml:space="preserve"> skill</w:t>
      </w:r>
      <w:r>
        <w:t>s</w:t>
      </w:r>
      <w:r w:rsidRPr="0021605B">
        <w:t xml:space="preserve"> system stems predominantly from demand for products and services</w:t>
      </w:r>
      <w:r>
        <w:t xml:space="preserve"> which is linked to population, among other factors</w:t>
      </w:r>
      <w:r w:rsidRPr="0021605B">
        <w:t xml:space="preserve">. </w:t>
      </w:r>
      <w:r w:rsidRPr="0004381F">
        <w:t xml:space="preserve">Typically, demand is not uniform, and thus </w:t>
      </w:r>
      <w:r>
        <w:t xml:space="preserve">the division of labour becomes critical to ensuring the efficient functioning of the economy. </w:t>
      </w:r>
      <w:r w:rsidR="00386A51">
        <w:t xml:space="preserve">A </w:t>
      </w:r>
      <w:r w:rsidRPr="0004381F">
        <w:t xml:space="preserve"> jobs market is </w:t>
      </w:r>
      <w:r w:rsidR="00D01D43">
        <w:t>therefore</w:t>
      </w:r>
      <w:r w:rsidRPr="0004381F">
        <w:t xml:space="preserve"> required to </w:t>
      </w:r>
      <w:r>
        <w:t>align the skills and labour of workers with the processes required to efficiently produce the goods and services that are in demand.</w:t>
      </w:r>
      <w:r w:rsidRPr="009D4BF5">
        <w:t xml:space="preserve"> </w:t>
      </w:r>
      <w:r>
        <w:t>D</w:t>
      </w:r>
      <w:r w:rsidRPr="0021605B">
        <w:t>emand for labour</w:t>
      </w:r>
      <w:r w:rsidRPr="0004381F">
        <w:t xml:space="preserve"> th</w:t>
      </w:r>
      <w:r>
        <w:t>u</w:t>
      </w:r>
      <w:r w:rsidRPr="0004381F">
        <w:t xml:space="preserve">s can </w:t>
      </w:r>
      <w:r>
        <w:t>be met</w:t>
      </w:r>
      <w:r w:rsidRPr="0004381F">
        <w:t xml:space="preserve"> through firms</w:t>
      </w:r>
      <w:r>
        <w:t>,</w:t>
      </w:r>
      <w:r w:rsidRPr="0004381F">
        <w:t xml:space="preserve"> employers and businesses</w:t>
      </w:r>
      <w:r>
        <w:t>,</w:t>
      </w:r>
      <w:r w:rsidRPr="0004381F">
        <w:t xml:space="preserve"> or through the direct labour of entrepreneurs</w:t>
      </w:r>
      <w:r w:rsidR="006736F7">
        <w:t xml:space="preserve">, </w:t>
      </w:r>
      <w:r w:rsidRPr="0004381F">
        <w:t>self-employed persons</w:t>
      </w:r>
      <w:r>
        <w:t xml:space="preserve"> or sole-traders</w:t>
      </w:r>
      <w:r w:rsidRPr="0004381F">
        <w:t xml:space="preserve">. </w:t>
      </w:r>
    </w:p>
    <w:p w14:paraId="490522DB" w14:textId="4EC0907E" w:rsidR="000E301F" w:rsidRDefault="000E301F" w:rsidP="00C033D4">
      <w:pPr>
        <w:pStyle w:val="BodyText"/>
      </w:pPr>
      <w:r>
        <w:t>To ensure</w:t>
      </w:r>
      <w:r w:rsidRPr="009D4BF5">
        <w:t xml:space="preserve"> workers have the skills necessary</w:t>
      </w:r>
      <w:r w:rsidRPr="00016136">
        <w:t xml:space="preserve"> to meet the demand for products and services</w:t>
      </w:r>
      <w:r>
        <w:t>,</w:t>
      </w:r>
      <w:r w:rsidRPr="00016136">
        <w:t xml:space="preserve"> and also the demands of employers</w:t>
      </w:r>
      <w:r>
        <w:t>,</w:t>
      </w:r>
      <w:r w:rsidRPr="00016136">
        <w:t xml:space="preserve"> skills and training development is essential. However</w:t>
      </w:r>
      <w:r>
        <w:t>,</w:t>
      </w:r>
      <w:r w:rsidRPr="00016136">
        <w:t xml:space="preserve"> where the population or the education and training system cannot supply </w:t>
      </w:r>
      <w:r>
        <w:t xml:space="preserve">the </w:t>
      </w:r>
      <w:r w:rsidRPr="00016136">
        <w:t xml:space="preserve">labour to meet the demands </w:t>
      </w:r>
      <w:r>
        <w:t>(</w:t>
      </w:r>
      <w:r w:rsidRPr="00016136">
        <w:t>of both employers in terms of the demand for labour and consumers in terms of demand for products and services</w:t>
      </w:r>
      <w:r>
        <w:t>),</w:t>
      </w:r>
      <w:r w:rsidRPr="00016136">
        <w:t xml:space="preserve"> overseas migration plays an important role</w:t>
      </w:r>
      <w:r w:rsidRPr="00830C4A">
        <w:t>. In effect</w:t>
      </w:r>
      <w:r>
        <w:t>,</w:t>
      </w:r>
      <w:r w:rsidRPr="00830C4A">
        <w:t xml:space="preserve"> migration </w:t>
      </w:r>
      <w:r>
        <w:t xml:space="preserve">helps </w:t>
      </w:r>
      <w:r w:rsidRPr="00830C4A">
        <w:t xml:space="preserve">firms </w:t>
      </w:r>
      <w:r>
        <w:t>access</w:t>
      </w:r>
      <w:r w:rsidRPr="00830C4A">
        <w:t xml:space="preserve"> </w:t>
      </w:r>
      <w:r w:rsidR="006116FC" w:rsidRPr="00830C4A">
        <w:t>enough</w:t>
      </w:r>
      <w:r>
        <w:t xml:space="preserve"> </w:t>
      </w:r>
      <w:r w:rsidRPr="00830C4A">
        <w:t>labour</w:t>
      </w:r>
      <w:r>
        <w:t xml:space="preserve"> with</w:t>
      </w:r>
      <w:r w:rsidRPr="00830C4A">
        <w:t xml:space="preserve"> the right skills mix to meet demand. </w:t>
      </w:r>
      <w:r>
        <w:t>Although s</w:t>
      </w:r>
      <w:r w:rsidRPr="00830C4A">
        <w:t>kills gaps or shortage</w:t>
      </w:r>
      <w:r>
        <w:t>s</w:t>
      </w:r>
      <w:r w:rsidRPr="00830C4A">
        <w:t xml:space="preserve"> </w:t>
      </w:r>
      <w:r>
        <w:t xml:space="preserve">can be an indicator of a growing and innovative economy </w:t>
      </w:r>
      <w:r w:rsidR="006116FC">
        <w:t>and</w:t>
      </w:r>
      <w:r>
        <w:t xml:space="preserve"> provide opportunities for jobseekers, they also </w:t>
      </w:r>
      <w:r w:rsidRPr="00830C4A">
        <w:t>hav</w:t>
      </w:r>
      <w:r>
        <w:t>e</w:t>
      </w:r>
      <w:r w:rsidRPr="00830C4A">
        <w:t xml:space="preserve"> a</w:t>
      </w:r>
      <w:r>
        <w:t xml:space="preserve"> </w:t>
      </w:r>
      <w:r w:rsidRPr="00830C4A">
        <w:t>cost on the economy</w:t>
      </w:r>
      <w:r>
        <w:t>,</w:t>
      </w:r>
      <w:r w:rsidRPr="00830C4A">
        <w:t xml:space="preserve"> and </w:t>
      </w:r>
      <w:r>
        <w:t>th</w:t>
      </w:r>
      <w:r w:rsidRPr="00830C4A">
        <w:t xml:space="preserve">us an efficient and effective education training and skill system and a quality </w:t>
      </w:r>
      <w:r w:rsidR="00737C0D">
        <w:t xml:space="preserve">regional </w:t>
      </w:r>
      <w:r w:rsidRPr="00830C4A">
        <w:t>migration system are critical to the success of the nation</w:t>
      </w:r>
      <w:r>
        <w:t>.</w:t>
      </w:r>
    </w:p>
    <w:p w14:paraId="6516FCA1" w14:textId="001B4F27" w:rsidR="000E301F" w:rsidRDefault="000E301F" w:rsidP="00C033D4">
      <w:pPr>
        <w:pStyle w:val="BodyText"/>
      </w:pPr>
      <w:r w:rsidRPr="00AA5F95">
        <w:t xml:space="preserve">In seeking to support and </w:t>
      </w:r>
      <w:r w:rsidR="00A43EE8">
        <w:t>enhance</w:t>
      </w:r>
      <w:r w:rsidRPr="00AA5F95">
        <w:t xml:space="preserve"> the system, there are a range of policies in place that </w:t>
      </w:r>
      <w:r>
        <w:t xml:space="preserve">can </w:t>
      </w:r>
      <w:r w:rsidRPr="00AA5F95">
        <w:t>influence the various parts of the system</w:t>
      </w:r>
      <w:r w:rsidR="00EF3B3C">
        <w:t xml:space="preserve"> – both at the Commonwealth and State/Territory level</w:t>
      </w:r>
      <w:r w:rsidRPr="00AA5F95">
        <w:t xml:space="preserve">. </w:t>
      </w:r>
      <w:r>
        <w:t>T</w:t>
      </w:r>
      <w:r w:rsidRPr="00AA5F95">
        <w:t xml:space="preserve">his includes </w:t>
      </w:r>
      <w:r>
        <w:t xml:space="preserve">education and skills policies, </w:t>
      </w:r>
      <w:r w:rsidRPr="00AA5F95">
        <w:t>social policies</w:t>
      </w:r>
      <w:r>
        <w:t>,</w:t>
      </w:r>
      <w:r w:rsidRPr="00AA5F95">
        <w:t xml:space="preserve"> migration policies</w:t>
      </w:r>
      <w:r>
        <w:t>,</w:t>
      </w:r>
      <w:r w:rsidRPr="00AA5F95">
        <w:t xml:space="preserve"> employment policies</w:t>
      </w:r>
      <w:r>
        <w:t>,</w:t>
      </w:r>
      <w:r w:rsidRPr="00AA5F95">
        <w:t xml:space="preserve"> economic</w:t>
      </w:r>
      <w:r>
        <w:t>, tax</w:t>
      </w:r>
      <w:r w:rsidRPr="00AA5F95">
        <w:t xml:space="preserve"> and trade policies</w:t>
      </w:r>
      <w:r>
        <w:t xml:space="preserve"> as well as</w:t>
      </w:r>
      <w:r w:rsidRPr="00AA5F95">
        <w:t xml:space="preserve"> wages and conditions polic</w:t>
      </w:r>
      <w:r>
        <w:t xml:space="preserve">ies (including workplace relations and safe work). </w:t>
      </w:r>
      <w:r w:rsidRPr="00197575">
        <w:t>Through these vari</w:t>
      </w:r>
      <w:r w:rsidR="000C71E1">
        <w:t>ous</w:t>
      </w:r>
      <w:r w:rsidRPr="00197575">
        <w:t xml:space="preserve"> policy </w:t>
      </w:r>
      <w:r w:rsidR="00CB1D11">
        <w:t>principles</w:t>
      </w:r>
      <w:r>
        <w:t>,</w:t>
      </w:r>
      <w:r w:rsidRPr="00197575">
        <w:t xml:space="preserve"> the intention is to </w:t>
      </w:r>
      <w:r w:rsidR="00A43EE8">
        <w:t>enhance</w:t>
      </w:r>
      <w:r w:rsidRPr="00197575">
        <w:t xml:space="preserve"> and support the jobs and skills system</w:t>
      </w:r>
      <w:r>
        <w:t xml:space="preserve">, with specific policy and delivery responsibilities are shared between Commonwealth and State/Territory </w:t>
      </w:r>
      <w:r w:rsidR="00D01D43">
        <w:t>g</w:t>
      </w:r>
      <w:r>
        <w:t>overnments (depending on the policy).</w:t>
      </w:r>
    </w:p>
    <w:p w14:paraId="05095EDF" w14:textId="71D21E87" w:rsidR="000E301F" w:rsidRPr="0065529E" w:rsidRDefault="00762C97" w:rsidP="00762C97">
      <w:pPr>
        <w:pStyle w:val="Caption"/>
      </w:pPr>
      <w:bookmarkStart w:id="65" w:name="_Toc201916571"/>
      <w:r>
        <w:lastRenderedPageBreak/>
        <w:t xml:space="preserve">Figure </w:t>
      </w:r>
      <w:r>
        <w:fldChar w:fldCharType="begin"/>
      </w:r>
      <w:r>
        <w:instrText xml:space="preserve"> SEQ Figure \* ARABIC </w:instrText>
      </w:r>
      <w:r>
        <w:fldChar w:fldCharType="separate"/>
      </w:r>
      <w:r w:rsidR="00471863">
        <w:rPr>
          <w:noProof/>
        </w:rPr>
        <w:t>5</w:t>
      </w:r>
      <w:r>
        <w:fldChar w:fldCharType="end"/>
      </w:r>
      <w:r w:rsidR="000E301F" w:rsidRPr="0065529E">
        <w:t xml:space="preserve">: </w:t>
      </w:r>
      <w:r w:rsidR="000E301F" w:rsidRPr="0065529E">
        <w:rPr>
          <w:rFonts w:cs="Arial"/>
        </w:rPr>
        <w:t>Overview of the jobs and skills system, stakeholders and policies</w:t>
      </w:r>
      <w:bookmarkEnd w:id="65"/>
    </w:p>
    <w:p w14:paraId="538952CC" w14:textId="77777777" w:rsidR="000E301F" w:rsidRPr="00C14EF2" w:rsidRDefault="000E301F" w:rsidP="000E301F">
      <w:pPr>
        <w:ind w:left="-567"/>
      </w:pPr>
      <w:r>
        <w:rPr>
          <w:noProof/>
        </w:rPr>
        <mc:AlternateContent>
          <mc:Choice Requires="wps">
            <w:drawing>
              <wp:anchor distT="0" distB="0" distL="114300" distR="114300" simplePos="0" relativeHeight="251442688" behindDoc="0" locked="0" layoutInCell="1" allowOverlap="1" wp14:anchorId="5A84FC45" wp14:editId="1E124E93">
                <wp:simplePos x="0" y="0"/>
                <wp:positionH relativeFrom="column">
                  <wp:posOffset>-184658</wp:posOffset>
                </wp:positionH>
                <wp:positionV relativeFrom="paragraph">
                  <wp:posOffset>3887316</wp:posOffset>
                </wp:positionV>
                <wp:extent cx="976901" cy="536753"/>
                <wp:effectExtent l="0" t="0" r="13970" b="15875"/>
                <wp:wrapNone/>
                <wp:docPr id="976280511" name="Rectangle: Rounded Corners 1"/>
                <wp:cNvGraphicFramePr/>
                <a:graphic xmlns:a="http://schemas.openxmlformats.org/drawingml/2006/main">
                  <a:graphicData uri="http://schemas.microsoft.com/office/word/2010/wordprocessingShape">
                    <wps:wsp>
                      <wps:cNvSpPr/>
                      <wps:spPr>
                        <a:xfrm>
                          <a:off x="0" y="0"/>
                          <a:ext cx="976901" cy="536753"/>
                        </a:xfrm>
                        <a:prstGeom prst="roundRect">
                          <a:avLst/>
                        </a:prstGeom>
                        <a:solidFill>
                          <a:schemeClr val="accent6">
                            <a:lumMod val="20000"/>
                            <a:lumOff val="80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597F4F" w14:textId="77777777" w:rsidR="000E301F" w:rsidRPr="00CE3555" w:rsidRDefault="000E301F" w:rsidP="000E301F">
                            <w:pPr>
                              <w:spacing w:after="0"/>
                              <w:jc w:val="center"/>
                              <w:rPr>
                                <w:rFonts w:cs="Arial"/>
                                <w:color w:val="000000" w:themeColor="text1"/>
                                <w:kern w:val="24"/>
                                <w:sz w:val="20"/>
                                <w:szCs w:val="20"/>
                              </w:rPr>
                            </w:pPr>
                            <w:r>
                              <w:rPr>
                                <w:rFonts w:cs="Arial"/>
                                <w:color w:val="000000" w:themeColor="text1"/>
                                <w:kern w:val="24"/>
                                <w:sz w:val="20"/>
                                <w:szCs w:val="20"/>
                              </w:rPr>
                              <w:t>Regulatory environment</w:t>
                            </w:r>
                          </w:p>
                        </w:txbxContent>
                      </wps:txbx>
                      <wps:bodyPr wrap="square" rtlCol="0" anchor="ctr">
                        <a:noAutofit/>
                      </wps:bodyPr>
                    </wps:wsp>
                  </a:graphicData>
                </a:graphic>
                <wp14:sizeRelV relativeFrom="margin">
                  <wp14:pctHeight>0</wp14:pctHeight>
                </wp14:sizeRelV>
              </wp:anchor>
            </w:drawing>
          </mc:Choice>
          <mc:Fallback>
            <w:pict>
              <v:roundrect w14:anchorId="5A84FC45" id="Rectangle: Rounded Corners 1" o:spid="_x0000_s1027" style="position:absolute;left:0;text-align:left;margin-left:-14.55pt;margin-top:306.1pt;width:76.9pt;height:42.25pt;z-index:25144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" fillcolor="#f6c5db [665]" strokecolor="#7f7f7f [1612]" strokeweight="1pt">
                <v:stroke joinstyle="miter"/>
                <v:textbox>
                  <w:txbxContent>
                    <w:p w14:paraId="68597F4F" w14:textId="77777777" w:rsidR="000E301F" w:rsidRPr="00CE3555" w:rsidRDefault="000E301F" w:rsidP="000E301F">
                      <w:pPr>
                        <w:spacing w:after="0"/>
                        <w:jc w:val="center"/>
                        <w:rPr>
                          <w:rFonts w:cs="Arial"/>
                          <w:color w:val="000000" w:themeColor="text1"/>
                          <w:kern w:val="24"/>
                          <w:sz w:val="20"/>
                          <w:szCs w:val="20"/>
                        </w:rPr>
                      </w:pPr>
                      <w:r>
                        <w:rPr>
                          <w:rFonts w:cs="Arial"/>
                          <w:color w:val="000000" w:themeColor="text1"/>
                          <w:kern w:val="24"/>
                          <w:sz w:val="20"/>
                          <w:szCs w:val="20"/>
                        </w:rPr>
                        <w:t>Regulatory environment</w:t>
                      </w:r>
                    </w:p>
                  </w:txbxContent>
                </v:textbox>
              </v:roundrect>
            </w:pict>
          </mc:Fallback>
        </mc:AlternateContent>
      </w:r>
      <w:r>
        <w:rPr>
          <w:noProof/>
        </w:rPr>
        <mc:AlternateContent>
          <mc:Choice Requires="wpg">
            <w:drawing>
              <wp:inline distT="0" distB="0" distL="0" distR="0" wp14:anchorId="28AD7C65" wp14:editId="42D2F993">
                <wp:extent cx="6623685" cy="6460176"/>
                <wp:effectExtent l="19050" t="0" r="24765" b="17145"/>
                <wp:docPr id="928967810" name="Group 7" descr="A flow diagram that provides an overview of the jobs and skills system, including stakeholders and policies. The diagram illustrates the complexity of the jobs and skills system due to the inter-relatedness of systems, stakeholders, government policies and drivers (such as population and demand for products and services)."/>
                <wp:cNvGraphicFramePr/>
                <a:graphic xmlns:a="http://schemas.openxmlformats.org/drawingml/2006/main">
                  <a:graphicData uri="http://schemas.microsoft.com/office/word/2010/wordprocessingGroup">
                    <wpg:wgp>
                      <wpg:cNvGrpSpPr/>
                      <wpg:grpSpPr>
                        <a:xfrm>
                          <a:off x="0" y="0"/>
                          <a:ext cx="6623685" cy="6460176"/>
                          <a:chOff x="0" y="0"/>
                          <a:chExt cx="6623685" cy="6460176"/>
                        </a:xfrm>
                      </wpg:grpSpPr>
                      <wpg:grpSp>
                        <wpg:cNvPr id="1476298671" name="Group 5"/>
                        <wpg:cNvGrpSpPr/>
                        <wpg:grpSpPr>
                          <a:xfrm>
                            <a:off x="0" y="0"/>
                            <a:ext cx="6623685" cy="6460176"/>
                            <a:chOff x="0" y="0"/>
                            <a:chExt cx="6623685" cy="6460176"/>
                          </a:xfrm>
                        </wpg:grpSpPr>
                        <wpg:grpSp>
                          <wpg:cNvPr id="556460299" name="Group 4"/>
                          <wpg:cNvGrpSpPr/>
                          <wpg:grpSpPr>
                            <a:xfrm>
                              <a:off x="0" y="0"/>
                              <a:ext cx="6623685" cy="6304858"/>
                              <a:chOff x="0" y="-83128"/>
                              <a:chExt cx="6623685" cy="6304858"/>
                            </a:xfrm>
                          </wpg:grpSpPr>
                          <wpg:grpSp>
                            <wpg:cNvPr id="1139765050" name="Group 3"/>
                            <wpg:cNvGrpSpPr/>
                            <wpg:grpSpPr>
                              <a:xfrm>
                                <a:off x="0" y="-83128"/>
                                <a:ext cx="6623685" cy="6304858"/>
                                <a:chOff x="0" y="-755737"/>
                                <a:chExt cx="6623685" cy="6305189"/>
                              </a:xfrm>
                            </wpg:grpSpPr>
                            <wps:wsp>
                              <wps:cNvPr id="271680043" name="Straight Arrow Connector 1"/>
                              <wps:cNvCnPr>
                                <a:cxnSpLocks/>
                              </wps:cNvCnPr>
                              <wps:spPr>
                                <a:xfrm flipH="1">
                                  <a:off x="5582093" y="1337488"/>
                                  <a:ext cx="635635" cy="0"/>
                                </a:xfrm>
                                <a:prstGeom prst="straightConnector1">
                                  <a:avLst/>
                                </a:prstGeom>
                                <a:ln w="38100">
                                  <a:solidFill>
                                    <a:schemeClr val="tx1"/>
                                  </a:solidFill>
                                  <a:prstDash val="solid"/>
                                  <a:headEnd type="none" w="med" len="med"/>
                                  <a:tailEnd type="none" w="med" len="med"/>
                                </a:ln>
                              </wps:spPr>
                              <wps:style>
                                <a:lnRef idx="2">
                                  <a:schemeClr val="dk1"/>
                                </a:lnRef>
                                <a:fillRef idx="0">
                                  <a:schemeClr val="dk1"/>
                                </a:fillRef>
                                <a:effectRef idx="1">
                                  <a:schemeClr val="dk1"/>
                                </a:effectRef>
                                <a:fontRef idx="minor">
                                  <a:schemeClr val="tx1"/>
                                </a:fontRef>
                              </wps:style>
                              <wps:bodyPr/>
                            </wps:wsp>
                            <wpg:grpSp>
                              <wpg:cNvPr id="1683156239" name="Group 2"/>
                              <wpg:cNvGrpSpPr/>
                              <wpg:grpSpPr>
                                <a:xfrm>
                                  <a:off x="0" y="-755737"/>
                                  <a:ext cx="6623685" cy="6305189"/>
                                  <a:chOff x="0" y="-755737"/>
                                  <a:chExt cx="6623685" cy="6305189"/>
                                </a:xfrm>
                              </wpg:grpSpPr>
                              <wpg:grpSp>
                                <wpg:cNvPr id="277477909" name="Group 1"/>
                                <wpg:cNvGrpSpPr/>
                                <wpg:grpSpPr>
                                  <a:xfrm>
                                    <a:off x="0" y="-755737"/>
                                    <a:ext cx="6623685" cy="6305189"/>
                                    <a:chOff x="0" y="-596217"/>
                                    <a:chExt cx="6581774" cy="6307349"/>
                                  </a:xfrm>
                                </wpg:grpSpPr>
                                <wpg:grpSp>
                                  <wpg:cNvPr id="523511562" name="Group 14"/>
                                  <wpg:cNvGrpSpPr/>
                                  <wpg:grpSpPr>
                                    <a:xfrm>
                                      <a:off x="0" y="-596217"/>
                                      <a:ext cx="6581774" cy="6307349"/>
                                      <a:chOff x="142502" y="-547557"/>
                                      <a:chExt cx="6582284" cy="6307989"/>
                                    </a:xfrm>
                                  </wpg:grpSpPr>
                                  <wps:wsp>
                                    <wps:cNvPr id="532829238" name="Rectangle 1"/>
                                    <wps:cNvSpPr/>
                                    <wps:spPr>
                                      <a:xfrm>
                                        <a:off x="1477241" y="3816679"/>
                                        <a:ext cx="3024000" cy="1714113"/>
                                      </a:xfrm>
                                      <a:prstGeom prst="rect">
                                        <a:avLst/>
                                      </a:prstGeom>
                                      <a:solidFill>
                                        <a:schemeClr val="bg1">
                                          <a:lumMod val="95000"/>
                                        </a:schemeClr>
                                      </a:solidFill>
                                      <a:ln w="19050">
                                        <a:solidFill>
                                          <a:schemeClr val="bg1">
                                            <a:lumMod val="50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10906077" name="Rectangle 1"/>
                                    <wps:cNvSpPr/>
                                    <wps:spPr>
                                      <a:xfrm>
                                        <a:off x="265958" y="1025978"/>
                                        <a:ext cx="3285440" cy="1373958"/>
                                      </a:xfrm>
                                      <a:prstGeom prst="rect">
                                        <a:avLst/>
                                      </a:prstGeom>
                                      <a:solidFill>
                                        <a:schemeClr val="bg1">
                                          <a:lumMod val="95000"/>
                                        </a:schemeClr>
                                      </a:solidFill>
                                      <a:ln w="19050">
                                        <a:solidFill>
                                          <a:schemeClr val="bg1">
                                            <a:lumMod val="50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591505944" name="Group 11"/>
                                    <wpg:cNvGrpSpPr/>
                                    <wpg:grpSpPr>
                                      <a:xfrm>
                                        <a:off x="142502" y="-547557"/>
                                        <a:ext cx="6582284" cy="6307989"/>
                                        <a:chOff x="78427" y="-564147"/>
                                        <a:chExt cx="6582585" cy="6308118"/>
                                      </a:xfrm>
                                    </wpg:grpSpPr>
                                    <wpg:grpSp>
                                      <wpg:cNvPr id="1299557374" name="Group 9"/>
                                      <wpg:cNvGrpSpPr/>
                                      <wpg:grpSpPr>
                                        <a:xfrm>
                                          <a:off x="78427" y="636567"/>
                                          <a:ext cx="6162167" cy="4907564"/>
                                          <a:chOff x="78427" y="636567"/>
                                          <a:chExt cx="6162167" cy="4907564"/>
                                        </a:xfrm>
                                      </wpg:grpSpPr>
                                      <wpg:grpSp>
                                        <wpg:cNvPr id="1699152936" name="Group 8"/>
                                        <wpg:cNvGrpSpPr/>
                                        <wpg:grpSpPr>
                                          <a:xfrm>
                                            <a:off x="78427" y="636567"/>
                                            <a:ext cx="6162167" cy="4569373"/>
                                            <a:chOff x="78427" y="636567"/>
                                            <a:chExt cx="6162167" cy="4569373"/>
                                          </a:xfrm>
                                        </wpg:grpSpPr>
                                        <wpg:grpSp>
                                          <wpg:cNvPr id="362310353" name="Group 7"/>
                                          <wpg:cNvGrpSpPr/>
                                          <wpg:grpSpPr>
                                            <a:xfrm>
                                              <a:off x="78427" y="636567"/>
                                              <a:ext cx="6162167" cy="4569373"/>
                                              <a:chOff x="78427" y="636567"/>
                                              <a:chExt cx="6162167" cy="4569373"/>
                                            </a:xfrm>
                                          </wpg:grpSpPr>
                                          <wpg:grpSp>
                                            <wpg:cNvPr id="1377276755" name="Group 6"/>
                                            <wpg:cNvGrpSpPr/>
                                            <wpg:grpSpPr>
                                              <a:xfrm>
                                                <a:off x="1978479" y="648443"/>
                                                <a:ext cx="4262115" cy="3362778"/>
                                                <a:chOff x="1978479" y="648443"/>
                                                <a:chExt cx="4262115" cy="3362778"/>
                                              </a:xfrm>
                                            </wpg:grpSpPr>
                                            <wps:wsp>
                                              <wps:cNvPr id="1089820184" name="Straight Arrow Connector 1"/>
                                              <wps:cNvCnPr>
                                                <a:cxnSpLocks/>
                                              </wps:cNvCnPr>
                                              <wps:spPr>
                                                <a:xfrm flipH="1">
                                                  <a:off x="4496048" y="3529572"/>
                                                  <a:ext cx="1584092" cy="0"/>
                                                </a:xfrm>
                                                <a:prstGeom prst="straightConnector1">
                                                  <a:avLst/>
                                                </a:prstGeom>
                                                <a:ln w="38100">
                                                  <a:solidFill>
                                                    <a:schemeClr val="tx1"/>
                                                  </a:solidFill>
                                                  <a:prstDash val="solid"/>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wps:wsp>
                                              <wps:cNvPr id="1381120282" name="Straight Arrow Connector 1"/>
                                              <wps:cNvCnPr>
                                                <a:cxnSpLocks/>
                                              </wps:cNvCnPr>
                                              <wps:spPr>
                                                <a:xfrm flipH="1">
                                                  <a:off x="4186031" y="1531207"/>
                                                  <a:ext cx="636339" cy="4665"/>
                                                </a:xfrm>
                                                <a:prstGeom prst="straightConnector1">
                                                  <a:avLst/>
                                                </a:prstGeom>
                                                <a:ln w="28575">
                                                  <a:solidFill>
                                                    <a:schemeClr val="tx1">
                                                      <a:lumMod val="50000"/>
                                                      <a:lumOff val="50000"/>
                                                    </a:schemeClr>
                                                  </a:solidFill>
                                                  <a:prstDash val="sysDash"/>
                                                  <a:headEnd type="triangle" w="med" len="med"/>
                                                  <a:tailEnd type="none" w="med" len="med"/>
                                                </a:ln>
                                              </wps:spPr>
                                              <wps:style>
                                                <a:lnRef idx="2">
                                                  <a:schemeClr val="dk1"/>
                                                </a:lnRef>
                                                <a:fillRef idx="0">
                                                  <a:schemeClr val="dk1"/>
                                                </a:fillRef>
                                                <a:effectRef idx="1">
                                                  <a:schemeClr val="dk1"/>
                                                </a:effectRef>
                                                <a:fontRef idx="minor">
                                                  <a:schemeClr val="tx1"/>
                                                </a:fontRef>
                                              </wps:style>
                                              <wps:bodyPr/>
                                            </wps:wsp>
                                            <wps:wsp>
                                              <wps:cNvPr id="243278423" name="Straight Arrow Connector 1"/>
                                              <wps:cNvCnPr>
                                                <a:cxnSpLocks/>
                                              </wps:cNvCnPr>
                                              <wps:spPr>
                                                <a:xfrm flipV="1">
                                                  <a:off x="6240594" y="1521680"/>
                                                  <a:ext cx="0" cy="2484643"/>
                                                </a:xfrm>
                                                <a:prstGeom prst="straightConnector1">
                                                  <a:avLst/>
                                                </a:prstGeom>
                                                <a:ln w="38100">
                                                  <a:solidFill>
                                                    <a:schemeClr val="tx1"/>
                                                  </a:solidFill>
                                                  <a:prstDash val="solid"/>
                                                  <a:headEnd type="triangle" w="med" len="med"/>
                                                  <a:tailEnd type="none" w="med" len="med"/>
                                                </a:ln>
                                              </wps:spPr>
                                              <wps:style>
                                                <a:lnRef idx="2">
                                                  <a:schemeClr val="dk1"/>
                                                </a:lnRef>
                                                <a:fillRef idx="0">
                                                  <a:schemeClr val="dk1"/>
                                                </a:fillRef>
                                                <a:effectRef idx="1">
                                                  <a:schemeClr val="dk1"/>
                                                </a:effectRef>
                                                <a:fontRef idx="minor">
                                                  <a:schemeClr val="tx1"/>
                                                </a:fontRef>
                                              </wps:style>
                                              <wps:bodyPr/>
                                            </wps:wsp>
                                            <wps:wsp>
                                              <wps:cNvPr id="335642773" name="Straight Arrow Connector 1"/>
                                              <wps:cNvCnPr>
                                                <a:cxnSpLocks/>
                                              </wps:cNvCnPr>
                                              <wps:spPr>
                                                <a:xfrm flipH="1" flipV="1">
                                                  <a:off x="1978479" y="648443"/>
                                                  <a:ext cx="2088257" cy="0"/>
                                                </a:xfrm>
                                                <a:prstGeom prst="straightConnector1">
                                                  <a:avLst/>
                                                </a:prstGeom>
                                                <a:ln w="28575">
                                                  <a:solidFill>
                                                    <a:schemeClr val="tx1">
                                                      <a:lumMod val="50000"/>
                                                      <a:lumOff val="50000"/>
                                                    </a:schemeClr>
                                                  </a:solidFill>
                                                  <a:prstDash val="sysDash"/>
                                                  <a:headEnd type="none" w="med" len="med"/>
                                                  <a:tailEnd type="none" w="med" len="med"/>
                                                </a:ln>
                                              </wps:spPr>
                                              <wps:style>
                                                <a:lnRef idx="2">
                                                  <a:schemeClr val="dk1"/>
                                                </a:lnRef>
                                                <a:fillRef idx="0">
                                                  <a:schemeClr val="dk1"/>
                                                </a:fillRef>
                                                <a:effectRef idx="1">
                                                  <a:schemeClr val="dk1"/>
                                                </a:effectRef>
                                                <a:fontRef idx="minor">
                                                  <a:schemeClr val="tx1"/>
                                                </a:fontRef>
                                              </wps:style>
                                              <wps:bodyPr/>
                                            </wps:wsp>
                                            <wps:wsp>
                                              <wps:cNvPr id="694813715" name="Straight Arrow Connector 1"/>
                                              <wps:cNvCnPr>
                                                <a:cxnSpLocks/>
                                              </wps:cNvCnPr>
                                              <wps:spPr>
                                                <a:xfrm flipV="1">
                                                  <a:off x="6073364" y="3522271"/>
                                                  <a:ext cx="0" cy="488950"/>
                                                </a:xfrm>
                                                <a:prstGeom prst="straightConnector1">
                                                  <a:avLst/>
                                                </a:prstGeom>
                                                <a:ln w="38100">
                                                  <a:solidFill>
                                                    <a:schemeClr val="tx1"/>
                                                  </a:solidFill>
                                                  <a:prstDash val="solid"/>
                                                  <a:headEnd type="triangle" w="med" len="med"/>
                                                  <a:tailEnd type="none" w="med" len="med"/>
                                                </a:ln>
                                              </wps:spPr>
                                              <wps:style>
                                                <a:lnRef idx="2">
                                                  <a:schemeClr val="dk1"/>
                                                </a:lnRef>
                                                <a:fillRef idx="0">
                                                  <a:schemeClr val="dk1"/>
                                                </a:fillRef>
                                                <a:effectRef idx="1">
                                                  <a:schemeClr val="dk1"/>
                                                </a:effectRef>
                                                <a:fontRef idx="minor">
                                                  <a:schemeClr val="tx1"/>
                                                </a:fontRef>
                                              </wps:style>
                                              <wps:bodyPr/>
                                            </wps:wsp>
                                          </wpg:grpSp>
                                          <wps:wsp>
                                            <wps:cNvPr id="49035448" name="Straight Arrow Connector 1"/>
                                            <wps:cNvCnPr>
                                              <a:cxnSpLocks/>
                                            </wps:cNvCnPr>
                                            <wps:spPr>
                                              <a:xfrm flipH="1" flipV="1">
                                                <a:off x="78427" y="636567"/>
                                                <a:ext cx="1691640" cy="0"/>
                                              </a:xfrm>
                                              <a:prstGeom prst="straightConnector1">
                                                <a:avLst/>
                                              </a:prstGeom>
                                              <a:ln w="28575">
                                                <a:solidFill>
                                                  <a:schemeClr val="tx1">
                                                    <a:lumMod val="50000"/>
                                                    <a:lumOff val="50000"/>
                                                  </a:schemeClr>
                                                </a:solidFill>
                                                <a:prstDash val="sysDash"/>
                                                <a:headEnd type="none" w="med" len="med"/>
                                                <a:tailEnd type="none" w="med" len="med"/>
                                              </a:ln>
                                            </wps:spPr>
                                            <wps:style>
                                              <a:lnRef idx="2">
                                                <a:schemeClr val="dk1"/>
                                              </a:lnRef>
                                              <a:fillRef idx="0">
                                                <a:schemeClr val="dk1"/>
                                              </a:fillRef>
                                              <a:effectRef idx="1">
                                                <a:schemeClr val="dk1"/>
                                              </a:effectRef>
                                              <a:fontRef idx="minor">
                                                <a:schemeClr val="tx1"/>
                                              </a:fontRef>
                                            </wps:style>
                                            <wps:bodyPr/>
                                          </wps:wsp>
                                          <wps:wsp>
                                            <wps:cNvPr id="651390287" name="Straight Arrow Connector 1"/>
                                            <wps:cNvCnPr>
                                              <a:cxnSpLocks/>
                                            </wps:cNvCnPr>
                                            <wps:spPr>
                                              <a:xfrm flipH="1" flipV="1">
                                                <a:off x="2910852" y="3801481"/>
                                                <a:ext cx="0" cy="1404459"/>
                                              </a:xfrm>
                                              <a:prstGeom prst="straightConnector1">
                                                <a:avLst/>
                                              </a:prstGeom>
                                              <a:ln w="76200">
                                                <a:solidFill>
                                                  <a:srgbClr val="4B0885"/>
                                                </a:solidFill>
                                                <a:headEnd type="triangle" w="med" len="med"/>
                                                <a:tailEnd type="triangle" w="med" len="med"/>
                                              </a:ln>
                                            </wps:spPr>
                                            <wps:style>
                                              <a:lnRef idx="2">
                                                <a:schemeClr val="dk1"/>
                                              </a:lnRef>
                                              <a:fillRef idx="0">
                                                <a:schemeClr val="dk1"/>
                                              </a:fillRef>
                                              <a:effectRef idx="1">
                                                <a:schemeClr val="dk1"/>
                                              </a:effectRef>
                                              <a:fontRef idx="minor">
                                                <a:schemeClr val="tx1"/>
                                              </a:fontRef>
                                            </wps:style>
                                            <wps:bodyPr/>
                                          </wps:wsp>
                                          <wps:wsp>
                                            <wps:cNvPr id="753653493" name="Straight Arrow Connector 24"/>
                                            <wps:cNvCnPr>
                                              <a:cxnSpLocks/>
                                            </wps:cNvCnPr>
                                            <wps:spPr>
                                              <a:xfrm flipV="1">
                                                <a:off x="1834292" y="2091532"/>
                                                <a:ext cx="0" cy="1151890"/>
                                              </a:xfrm>
                                              <a:prstGeom prst="straightConnector1">
                                                <a:avLst/>
                                              </a:prstGeom>
                                              <a:ln w="76200">
                                                <a:solidFill>
                                                  <a:srgbClr val="4B0885"/>
                                                </a:solidFill>
                                                <a:headEnd type="triangle" w="med" len="med"/>
                                                <a:tailEnd type="triangle" w="med" len="med"/>
                                              </a:ln>
                                            </wps:spPr>
                                            <wps:style>
                                              <a:lnRef idx="2">
                                                <a:schemeClr val="dk1"/>
                                              </a:lnRef>
                                              <a:fillRef idx="0">
                                                <a:schemeClr val="dk1"/>
                                              </a:fillRef>
                                              <a:effectRef idx="1">
                                                <a:schemeClr val="dk1"/>
                                              </a:effectRef>
                                              <a:fontRef idx="minor">
                                                <a:schemeClr val="tx1"/>
                                              </a:fontRef>
                                            </wps:style>
                                            <wps:bodyPr/>
                                          </wps:wsp>
                                          <wps:wsp>
                                            <wps:cNvPr id="740509451" name="Straight Arrow Connector 1"/>
                                            <wps:cNvCnPr>
                                              <a:cxnSpLocks/>
                                            </wps:cNvCnPr>
                                            <wps:spPr>
                                              <a:xfrm>
                                                <a:off x="3958721" y="1816801"/>
                                                <a:ext cx="0" cy="1439545"/>
                                              </a:xfrm>
                                              <a:prstGeom prst="straightConnector1">
                                                <a:avLst/>
                                              </a:prstGeom>
                                              <a:ln w="76200">
                                                <a:solidFill>
                                                  <a:srgbClr val="4B0885"/>
                                                </a:solidFill>
                                                <a:tailEnd type="triangle"/>
                                              </a:ln>
                                            </wps:spPr>
                                            <wps:style>
                                              <a:lnRef idx="2">
                                                <a:schemeClr val="dk1"/>
                                              </a:lnRef>
                                              <a:fillRef idx="0">
                                                <a:schemeClr val="dk1"/>
                                              </a:fillRef>
                                              <a:effectRef idx="1">
                                                <a:schemeClr val="dk1"/>
                                              </a:effectRef>
                                              <a:fontRef idx="minor">
                                                <a:schemeClr val="tx1"/>
                                              </a:fontRef>
                                            </wps:style>
                                            <wps:bodyPr/>
                                          </wps:wsp>
                                          <wps:wsp>
                                            <wps:cNvPr id="1597483706" name="Straight Arrow Connector 1"/>
                                            <wps:cNvCnPr>
                                              <a:cxnSpLocks/>
                                            </wps:cNvCnPr>
                                            <wps:spPr>
                                              <a:xfrm flipV="1">
                                                <a:off x="1767197" y="660318"/>
                                                <a:ext cx="0" cy="288290"/>
                                              </a:xfrm>
                                              <a:prstGeom prst="straightConnector1">
                                                <a:avLst/>
                                              </a:prstGeom>
                                              <a:ln w="28575">
                                                <a:solidFill>
                                                  <a:schemeClr val="tx1">
                                                    <a:lumMod val="50000"/>
                                                    <a:lumOff val="50000"/>
                                                  </a:schemeClr>
                                                </a:solidFill>
                                                <a:prstDash val="sysDash"/>
                                                <a:headEnd type="triangle" w="med" len="med"/>
                                                <a:tailEnd type="none" w="med" len="med"/>
                                              </a:ln>
                                            </wps:spPr>
                                            <wps:style>
                                              <a:lnRef idx="2">
                                                <a:schemeClr val="dk1"/>
                                              </a:lnRef>
                                              <a:fillRef idx="0">
                                                <a:schemeClr val="dk1"/>
                                              </a:fillRef>
                                              <a:effectRef idx="1">
                                                <a:schemeClr val="dk1"/>
                                              </a:effectRef>
                                              <a:fontRef idx="minor">
                                                <a:schemeClr val="tx1"/>
                                              </a:fontRef>
                                            </wps:style>
                                            <wps:bodyPr/>
                                          </wps:wsp>
                                        </wpg:grpSp>
                                        <wps:wsp>
                                          <wps:cNvPr id="1380256713" name="Straight Arrow Connector 1"/>
                                          <wps:cNvCnPr>
                                            <a:cxnSpLocks/>
                                          </wps:cNvCnPr>
                                          <wps:spPr>
                                            <a:xfrm flipV="1">
                                              <a:off x="1992828" y="660318"/>
                                              <a:ext cx="0" cy="288851"/>
                                            </a:xfrm>
                                            <a:prstGeom prst="straightConnector1">
                                              <a:avLst/>
                                            </a:prstGeom>
                                            <a:ln w="28575">
                                              <a:solidFill>
                                                <a:schemeClr val="tx1">
                                                  <a:lumMod val="50000"/>
                                                  <a:lumOff val="50000"/>
                                                </a:schemeClr>
                                              </a:solidFill>
                                              <a:prstDash val="sysDash"/>
                                              <a:headEnd type="triangle" w="med" len="med"/>
                                              <a:tailEnd type="none" w="med" len="med"/>
                                            </a:ln>
                                          </wps:spPr>
                                          <wps:style>
                                            <a:lnRef idx="2">
                                              <a:schemeClr val="dk1"/>
                                            </a:lnRef>
                                            <a:fillRef idx="0">
                                              <a:schemeClr val="dk1"/>
                                            </a:fillRef>
                                            <a:effectRef idx="1">
                                              <a:schemeClr val="dk1"/>
                                            </a:effectRef>
                                            <a:fontRef idx="minor">
                                              <a:schemeClr val="tx1"/>
                                            </a:fontRef>
                                          </wps:style>
                                          <wps:bodyPr/>
                                        </wps:wsp>
                                        <wps:wsp>
                                          <wps:cNvPr id="303006425" name="Straight Arrow Connector 1"/>
                                          <wps:cNvCnPr>
                                            <a:cxnSpLocks/>
                                          </wps:cNvCnPr>
                                          <wps:spPr>
                                            <a:xfrm flipH="1" flipV="1">
                                              <a:off x="4078110" y="648443"/>
                                              <a:ext cx="0" cy="359410"/>
                                            </a:xfrm>
                                            <a:prstGeom prst="straightConnector1">
                                              <a:avLst/>
                                            </a:prstGeom>
                                            <a:ln w="28575">
                                              <a:solidFill>
                                                <a:schemeClr val="tx1">
                                                  <a:lumMod val="50000"/>
                                                  <a:lumOff val="50000"/>
                                                </a:schemeClr>
                                              </a:solidFill>
                                              <a:prstDash val="sysDash"/>
                                              <a:headEnd type="none" w="med" len="med"/>
                                              <a:tailEnd type="none" w="med" len="med"/>
                                            </a:ln>
                                          </wps:spPr>
                                          <wps:style>
                                            <a:lnRef idx="2">
                                              <a:schemeClr val="dk1"/>
                                            </a:lnRef>
                                            <a:fillRef idx="0">
                                              <a:schemeClr val="dk1"/>
                                            </a:fillRef>
                                            <a:effectRef idx="1">
                                              <a:schemeClr val="dk1"/>
                                            </a:effectRef>
                                            <a:fontRef idx="minor">
                                              <a:schemeClr val="tx1"/>
                                            </a:fontRef>
                                          </wps:style>
                                          <wps:bodyPr/>
                                        </wps:wsp>
                                      </wpg:grpSp>
                                      <wps:wsp>
                                        <wps:cNvPr id="125873664" name="Straight Arrow Connector 1"/>
                                        <wps:cNvCnPr>
                                          <a:cxnSpLocks/>
                                        </wps:cNvCnPr>
                                        <wps:spPr>
                                          <a:xfrm flipV="1">
                                            <a:off x="95127" y="636567"/>
                                            <a:ext cx="0" cy="4897601"/>
                                          </a:xfrm>
                                          <a:prstGeom prst="straightConnector1">
                                            <a:avLst/>
                                          </a:prstGeom>
                                          <a:ln w="28575">
                                            <a:solidFill>
                                              <a:schemeClr val="tx1">
                                                <a:lumMod val="50000"/>
                                                <a:lumOff val="50000"/>
                                              </a:schemeClr>
                                            </a:solidFill>
                                            <a:prstDash val="sysDash"/>
                                            <a:headEnd type="none" w="med" len="med"/>
                                            <a:tailEnd type="none" w="med" len="med"/>
                                          </a:ln>
                                        </wps:spPr>
                                        <wps:style>
                                          <a:lnRef idx="2">
                                            <a:schemeClr val="dk1"/>
                                          </a:lnRef>
                                          <a:fillRef idx="0">
                                            <a:schemeClr val="dk1"/>
                                          </a:fillRef>
                                          <a:effectRef idx="1">
                                            <a:schemeClr val="dk1"/>
                                          </a:effectRef>
                                          <a:fontRef idx="minor">
                                            <a:schemeClr val="tx1"/>
                                          </a:fontRef>
                                        </wps:style>
                                        <wps:bodyPr/>
                                      </wps:wsp>
                                      <wps:wsp>
                                        <wps:cNvPr id="1955900759" name="Straight Arrow Connector 1"/>
                                        <wps:cNvCnPr>
                                          <a:cxnSpLocks/>
                                        </wps:cNvCnPr>
                                        <wps:spPr>
                                          <a:xfrm>
                                            <a:off x="95127" y="5514324"/>
                                            <a:ext cx="1404000" cy="0"/>
                                          </a:xfrm>
                                          <a:prstGeom prst="straightConnector1">
                                            <a:avLst/>
                                          </a:prstGeom>
                                          <a:ln w="28575">
                                            <a:solidFill>
                                              <a:schemeClr val="tx1">
                                                <a:lumMod val="50000"/>
                                                <a:lumOff val="50000"/>
                                              </a:schemeClr>
                                            </a:solidFill>
                                            <a:prstDash val="sysDash"/>
                                            <a:headEnd type="none" w="med" len="med"/>
                                            <a:tailEnd type="none" w="med" len="med"/>
                                          </a:ln>
                                        </wps:spPr>
                                        <wps:style>
                                          <a:lnRef idx="2">
                                            <a:schemeClr val="dk1"/>
                                          </a:lnRef>
                                          <a:fillRef idx="0">
                                            <a:schemeClr val="dk1"/>
                                          </a:fillRef>
                                          <a:effectRef idx="1">
                                            <a:schemeClr val="dk1"/>
                                          </a:effectRef>
                                          <a:fontRef idx="minor">
                                            <a:schemeClr val="tx1"/>
                                          </a:fontRef>
                                        </wps:style>
                                        <wps:bodyPr/>
                                      </wps:wsp>
                                      <wps:wsp>
                                        <wps:cNvPr id="674658180" name="Straight Arrow Connector 1"/>
                                        <wps:cNvCnPr>
                                          <a:cxnSpLocks/>
                                        </wps:cNvCnPr>
                                        <wps:spPr>
                                          <a:xfrm flipV="1">
                                            <a:off x="4472979" y="5535597"/>
                                            <a:ext cx="1728079" cy="0"/>
                                          </a:xfrm>
                                          <a:prstGeom prst="straightConnector1">
                                            <a:avLst/>
                                          </a:prstGeom>
                                          <a:ln w="38100">
                                            <a:solidFill>
                                              <a:schemeClr val="tx1"/>
                                            </a:solidFill>
                                            <a:prstDash val="solid"/>
                                            <a:headEnd type="triangle" w="med" len="med"/>
                                            <a:tailEnd type="none" w="med" len="med"/>
                                          </a:ln>
                                        </wps:spPr>
                                        <wps:style>
                                          <a:lnRef idx="2">
                                            <a:schemeClr val="dk1"/>
                                          </a:lnRef>
                                          <a:fillRef idx="0">
                                            <a:schemeClr val="dk1"/>
                                          </a:fillRef>
                                          <a:effectRef idx="1">
                                            <a:schemeClr val="dk1"/>
                                          </a:effectRef>
                                          <a:fontRef idx="minor">
                                            <a:schemeClr val="tx1"/>
                                          </a:fontRef>
                                        </wps:style>
                                        <wps:bodyPr/>
                                      </wps:wsp>
                                      <wps:wsp>
                                        <wps:cNvPr id="1335288446" name="Straight Arrow Connector 1"/>
                                        <wps:cNvCnPr>
                                          <a:cxnSpLocks/>
                                        </wps:cNvCnPr>
                                        <wps:spPr>
                                          <a:xfrm flipV="1">
                                            <a:off x="6201058" y="5184013"/>
                                            <a:ext cx="0" cy="360118"/>
                                          </a:xfrm>
                                          <a:prstGeom prst="straightConnector1">
                                            <a:avLst/>
                                          </a:prstGeom>
                                          <a:ln w="38100">
                                            <a:solidFill>
                                              <a:schemeClr val="tx1"/>
                                            </a:solidFill>
                                            <a:prstDash val="solid"/>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wpg:grpSp>
                                    <wpg:grpSp>
                                      <wpg:cNvPr id="1834672572" name="Group 3"/>
                                      <wpg:cNvGrpSpPr/>
                                      <wpg:grpSpPr>
                                        <a:xfrm>
                                          <a:off x="245041" y="1163262"/>
                                          <a:ext cx="5286447" cy="4030190"/>
                                          <a:chOff x="233165" y="106358"/>
                                          <a:chExt cx="5286447" cy="4030190"/>
                                        </a:xfrm>
                                      </wpg:grpSpPr>
                                      <wpg:grpSp>
                                        <wpg:cNvPr id="843096720" name="Group 37"/>
                                        <wpg:cNvGrpSpPr/>
                                        <wpg:grpSpPr>
                                          <a:xfrm>
                                            <a:off x="233853" y="106358"/>
                                            <a:ext cx="4138701" cy="3864228"/>
                                            <a:chOff x="-404761" y="-490027"/>
                                            <a:chExt cx="4139712" cy="3865669"/>
                                          </a:xfrm>
                                        </wpg:grpSpPr>
                                        <wps:wsp>
                                          <wps:cNvPr id="1290061014" name="Rectangle: Rounded Corners 30"/>
                                          <wps:cNvSpPr/>
                                          <wps:spPr>
                                            <a:xfrm>
                                              <a:off x="-404761" y="2370294"/>
                                              <a:ext cx="971550" cy="324227"/>
                                            </a:xfrm>
                                            <a:prstGeom prst="roundRect">
                                              <a:avLst/>
                                            </a:prstGeom>
                                            <a:solidFill>
                                              <a:srgbClr val="012749"/>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75EE10" w14:textId="77777777" w:rsidR="000E301F" w:rsidRPr="001D6A1B" w:rsidRDefault="000E301F" w:rsidP="000E301F">
                                                <w:pPr>
                                                  <w:spacing w:after="0"/>
                                                  <w:jc w:val="center"/>
                                                  <w:rPr>
                                                    <w:rFonts w:cs="Arial"/>
                                                    <w:color w:val="FFFFFF" w:themeColor="background1"/>
                                                    <w:kern w:val="24"/>
                                                    <w:sz w:val="20"/>
                                                    <w:szCs w:val="20"/>
                                                  </w:rPr>
                                                </w:pPr>
                                                <w:r w:rsidRPr="001D6A1B">
                                                  <w:rPr>
                                                    <w:rFonts w:cs="Arial"/>
                                                    <w:color w:val="FFFFFF" w:themeColor="background1"/>
                                                    <w:kern w:val="24"/>
                                                    <w:sz w:val="20"/>
                                                    <w:szCs w:val="20"/>
                                                  </w:rPr>
                                                  <w:t>Unions</w:t>
                                                </w:r>
                                              </w:p>
                                            </w:txbxContent>
                                          </wps:txbx>
                                          <wps:bodyPr wrap="square" rtlCol="0" anchor="ctr">
                                            <a:noAutofit/>
                                          </wps:bodyPr>
                                        </wps:wsp>
                                        <wps:wsp>
                                          <wps:cNvPr id="189194573" name="Rectangle: Rounded Corners 32"/>
                                          <wps:cNvSpPr/>
                                          <wps:spPr>
                                            <a:xfrm>
                                              <a:off x="2763401" y="2943842"/>
                                              <a:ext cx="971550" cy="431800"/>
                                            </a:xfrm>
                                            <a:prstGeom prst="roundRect">
                                              <a:avLst/>
                                            </a:prstGeom>
                                            <a:solidFill>
                                              <a:srgbClr val="012749"/>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33AB905" w14:textId="77777777" w:rsidR="000E301F" w:rsidRPr="001D6A1B" w:rsidRDefault="000E301F" w:rsidP="000E301F">
                                                <w:pPr>
                                                  <w:spacing w:after="0"/>
                                                  <w:jc w:val="center"/>
                                                  <w:rPr>
                                                    <w:rFonts w:cs="Arial"/>
                                                    <w:color w:val="FFFFFF" w:themeColor="background1"/>
                                                    <w:kern w:val="24"/>
                                                    <w:sz w:val="20"/>
                                                    <w:szCs w:val="20"/>
                                                  </w:rPr>
                                                </w:pPr>
                                                <w:r w:rsidRPr="001D6A1B">
                                                  <w:rPr>
                                                    <w:rFonts w:cs="Arial"/>
                                                    <w:color w:val="FFFFFF" w:themeColor="background1"/>
                                                    <w:kern w:val="24"/>
                                                    <w:sz w:val="20"/>
                                                    <w:szCs w:val="20"/>
                                                  </w:rPr>
                                                  <w:t>Recruitment firms</w:t>
                                                </w:r>
                                              </w:p>
                                            </w:txbxContent>
                                          </wps:txbx>
                                          <wps:bodyPr wrap="square" rtlCol="0" anchor="ctr">
                                            <a:noAutofit/>
                                          </wps:bodyPr>
                                        </wps:wsp>
                                        <wps:wsp>
                                          <wps:cNvPr id="2097835871" name="Rectangle: Rounded Corners 33"/>
                                          <wps:cNvSpPr/>
                                          <wps:spPr>
                                            <a:xfrm>
                                              <a:off x="2763401" y="2236646"/>
                                              <a:ext cx="971550" cy="504353"/>
                                            </a:xfrm>
                                            <a:prstGeom prst="roundRect">
                                              <a:avLst/>
                                            </a:prstGeom>
                                            <a:solidFill>
                                              <a:srgbClr val="012749"/>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ED8F385" w14:textId="77777777" w:rsidR="000E301F" w:rsidRPr="001D6A1B" w:rsidRDefault="000E301F" w:rsidP="000E301F">
                                                <w:pPr>
                                                  <w:spacing w:after="0"/>
                                                  <w:jc w:val="center"/>
                                                  <w:rPr>
                                                    <w:rFonts w:cs="Arial"/>
                                                    <w:color w:val="FFFFFF" w:themeColor="background1"/>
                                                    <w:kern w:val="24"/>
                                                    <w:sz w:val="20"/>
                                                    <w:szCs w:val="20"/>
                                                  </w:rPr>
                                                </w:pPr>
                                                <w:r w:rsidRPr="001D6A1B">
                                                  <w:rPr>
                                                    <w:rFonts w:cs="Arial"/>
                                                    <w:color w:val="FFFFFF" w:themeColor="background1"/>
                                                    <w:kern w:val="24"/>
                                                    <w:sz w:val="20"/>
                                                    <w:szCs w:val="20"/>
                                                  </w:rPr>
                                                  <w:t>Employment services</w:t>
                                                </w:r>
                                              </w:p>
                                            </w:txbxContent>
                                          </wps:txbx>
                                          <wps:bodyPr wrap="square" rtlCol="0" anchor="ctr">
                                            <a:noAutofit/>
                                          </wps:bodyPr>
                                        </wps:wsp>
                                        <wps:wsp>
                                          <wps:cNvPr id="1205432213" name="Rectangle: Rounded Corners 34"/>
                                          <wps:cNvSpPr/>
                                          <wps:spPr>
                                            <a:xfrm>
                                              <a:off x="-404761" y="2897803"/>
                                              <a:ext cx="971550" cy="431800"/>
                                            </a:xfrm>
                                            <a:prstGeom prst="roundRect">
                                              <a:avLst/>
                                            </a:prstGeom>
                                            <a:solidFill>
                                              <a:srgbClr val="012749"/>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031513" w14:textId="77777777" w:rsidR="000E301F" w:rsidRPr="001D6A1B" w:rsidRDefault="000E301F" w:rsidP="000E301F">
                                                <w:pPr>
                                                  <w:spacing w:after="0"/>
                                                  <w:jc w:val="center"/>
                                                  <w:rPr>
                                                    <w:rFonts w:cs="Arial"/>
                                                    <w:color w:val="FFFFFF" w:themeColor="background1"/>
                                                    <w:kern w:val="24"/>
                                                    <w:sz w:val="20"/>
                                                    <w:szCs w:val="20"/>
                                                  </w:rPr>
                                                </w:pPr>
                                                <w:r w:rsidRPr="001D6A1B">
                                                  <w:rPr>
                                                    <w:rFonts w:cs="Arial"/>
                                                    <w:color w:val="FFFFFF" w:themeColor="background1"/>
                                                    <w:kern w:val="24"/>
                                                    <w:sz w:val="20"/>
                                                    <w:szCs w:val="20"/>
                                                  </w:rPr>
                                                  <w:t>Industry bodies</w:t>
                                                </w:r>
                                              </w:p>
                                            </w:txbxContent>
                                          </wps:txbx>
                                          <wps:bodyPr wrap="square" rtlCol="0" anchor="ctr">
                                            <a:noAutofit/>
                                          </wps:bodyPr>
                                        </wps:wsp>
                                        <wps:wsp>
                                          <wps:cNvPr id="1650042306" name="Rectangle: Rounded Corners 1"/>
                                          <wps:cNvSpPr/>
                                          <wps:spPr>
                                            <a:xfrm>
                                              <a:off x="-404761" y="-490027"/>
                                              <a:ext cx="1008147" cy="468083"/>
                                            </a:xfrm>
                                            <a:prstGeom prst="roundRect">
                                              <a:avLst/>
                                            </a:prstGeom>
                                            <a:solidFill>
                                              <a:srgbClr val="012749"/>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54C58FD" w14:textId="77777777" w:rsidR="000E301F" w:rsidRPr="001D6A1B" w:rsidRDefault="000E301F" w:rsidP="000E301F">
                                                <w:pPr>
                                                  <w:spacing w:after="0"/>
                                                  <w:jc w:val="center"/>
                                                  <w:rPr>
                                                    <w:rFonts w:cs="Arial"/>
                                                    <w:color w:val="FFFFFF" w:themeColor="background1"/>
                                                    <w:kern w:val="24"/>
                                                    <w:sz w:val="20"/>
                                                    <w:szCs w:val="20"/>
                                                  </w:rPr>
                                                </w:pPr>
                                                <w:r>
                                                  <w:rPr>
                                                    <w:rFonts w:cs="Arial"/>
                                                    <w:color w:val="FFFFFF" w:themeColor="background1"/>
                                                    <w:kern w:val="24"/>
                                                    <w:sz w:val="20"/>
                                                    <w:szCs w:val="20"/>
                                                  </w:rPr>
                                                  <w:t>Childcare providers</w:t>
                                                </w:r>
                                              </w:p>
                                            </w:txbxContent>
                                          </wps:txbx>
                                          <wps:bodyPr wrap="square" rtlCol="0" anchor="ctr">
                                            <a:noAutofit/>
                                          </wps:bodyPr>
                                        </wps:wsp>
                                        <wps:wsp>
                                          <wps:cNvPr id="411997128" name="Rectangle 1"/>
                                          <wps:cNvSpPr/>
                                          <wps:spPr>
                                            <a:xfrm>
                                              <a:off x="1759638" y="-490027"/>
                                              <a:ext cx="1008147" cy="468083"/>
                                            </a:xfrm>
                                            <a:prstGeom prst="roundRect">
                                              <a:avLst/>
                                            </a:prstGeom>
                                            <a:solidFill>
                                              <a:srgbClr val="012749"/>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FEA8A5" w14:textId="77777777" w:rsidR="000E301F" w:rsidRPr="001D6A1B" w:rsidRDefault="000E301F" w:rsidP="000E301F">
                                                <w:pPr>
                                                  <w:spacing w:after="0"/>
                                                  <w:jc w:val="center"/>
                                                  <w:rPr>
                                                    <w:rFonts w:cs="Arial"/>
                                                    <w:color w:val="FFFFFF" w:themeColor="background1"/>
                                                    <w:kern w:val="24"/>
                                                    <w:sz w:val="20"/>
                                                    <w:szCs w:val="20"/>
                                                  </w:rPr>
                                                </w:pPr>
                                                <w:r w:rsidRPr="001D6A1B">
                                                  <w:rPr>
                                                    <w:rFonts w:cs="Arial"/>
                                                    <w:color w:val="FFFFFF" w:themeColor="background1"/>
                                                    <w:kern w:val="24"/>
                                                    <w:sz w:val="20"/>
                                                    <w:szCs w:val="20"/>
                                                  </w:rPr>
                                                  <w:t>TAFES &amp; RTOs</w:t>
                                                </w:r>
                                              </w:p>
                                            </w:txbxContent>
                                          </wps:txbx>
                                          <wps:bodyPr wrap="square" rtlCol="0" anchor="ctr">
                                            <a:noAutofit/>
                                          </wps:bodyPr>
                                        </wps:wsp>
                                        <wps:wsp>
                                          <wps:cNvPr id="822797567" name="Rectangle 2"/>
                                          <wps:cNvSpPr/>
                                          <wps:spPr>
                                            <a:xfrm>
                                              <a:off x="-404761" y="69849"/>
                                              <a:ext cx="1008147" cy="468083"/>
                                            </a:xfrm>
                                            <a:prstGeom prst="roundRect">
                                              <a:avLst/>
                                            </a:prstGeom>
                                            <a:solidFill>
                                              <a:srgbClr val="012749"/>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988766" w14:textId="77777777" w:rsidR="000E301F" w:rsidRPr="001D6A1B" w:rsidRDefault="000E301F" w:rsidP="000E301F">
                                                <w:pPr>
                                                  <w:spacing w:after="0"/>
                                                  <w:jc w:val="center"/>
                                                  <w:rPr>
                                                    <w:rFonts w:cs="Arial"/>
                                                    <w:color w:val="FFFFFF" w:themeColor="background1"/>
                                                    <w:kern w:val="24"/>
                                                    <w:sz w:val="20"/>
                                                    <w:szCs w:val="20"/>
                                                  </w:rPr>
                                                </w:pPr>
                                                <w:r w:rsidRPr="001D6A1B">
                                                  <w:rPr>
                                                    <w:rFonts w:cs="Arial"/>
                                                    <w:color w:val="FFFFFF" w:themeColor="background1"/>
                                                    <w:kern w:val="24"/>
                                                    <w:sz w:val="20"/>
                                                    <w:szCs w:val="20"/>
                                                  </w:rPr>
                                                  <w:t>Schools</w:t>
                                                </w:r>
                                              </w:p>
                                            </w:txbxContent>
                                          </wps:txbx>
                                          <wps:bodyPr wrap="square" rtlCol="0" anchor="ctr">
                                            <a:noAutofit/>
                                          </wps:bodyPr>
                                        </wps:wsp>
                                        <wps:wsp>
                                          <wps:cNvPr id="1863983291" name="Rectangle 3"/>
                                          <wps:cNvSpPr/>
                                          <wps:spPr>
                                            <a:xfrm>
                                              <a:off x="1755255" y="79888"/>
                                              <a:ext cx="1008147" cy="468083"/>
                                            </a:xfrm>
                                            <a:prstGeom prst="roundRect">
                                              <a:avLst/>
                                            </a:prstGeom>
                                            <a:solidFill>
                                              <a:srgbClr val="012749"/>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8F3C82" w14:textId="77777777" w:rsidR="000E301F" w:rsidRPr="001D6A1B" w:rsidRDefault="000E301F" w:rsidP="000E301F">
                                                <w:pPr>
                                                  <w:spacing w:after="0"/>
                                                  <w:jc w:val="center"/>
                                                  <w:rPr>
                                                    <w:rFonts w:cs="Arial"/>
                                                    <w:color w:val="FFFFFF" w:themeColor="background1"/>
                                                    <w:kern w:val="24"/>
                                                    <w:sz w:val="20"/>
                                                    <w:szCs w:val="20"/>
                                                  </w:rPr>
                                                </w:pPr>
                                                <w:r w:rsidRPr="001D6A1B">
                                                  <w:rPr>
                                                    <w:rFonts w:cs="Arial"/>
                                                    <w:color w:val="FFFFFF" w:themeColor="background1"/>
                                                    <w:kern w:val="24"/>
                                                    <w:sz w:val="20"/>
                                                    <w:szCs w:val="20"/>
                                                  </w:rPr>
                                                  <w:t>Universities</w:t>
                                                </w:r>
                                              </w:p>
                                            </w:txbxContent>
                                          </wps:txbx>
                                          <wps:bodyPr wrap="square" rtlCol="0" anchor="ctr">
                                            <a:noAutofit/>
                                          </wps:bodyPr>
                                        </wps:wsp>
                                      </wpg:grpSp>
                                      <wps:wsp>
                                        <wps:cNvPr id="2011866013" name="Rectangle: Rounded Corners 12"/>
                                        <wps:cNvSpPr/>
                                        <wps:spPr>
                                          <a:xfrm>
                                            <a:off x="4483313" y="3424078"/>
                                            <a:ext cx="1036299" cy="712470"/>
                                          </a:xfrm>
                                          <a:prstGeom prst="roundRect">
                                            <a:avLst/>
                                          </a:prstGeom>
                                          <a:solidFill>
                                            <a:srgbClr val="012749"/>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1102CB" w14:textId="77777777" w:rsidR="000E301F" w:rsidRPr="001D6A1B" w:rsidRDefault="000E301F" w:rsidP="000E301F">
                                              <w:pPr>
                                                <w:spacing w:after="0"/>
                                                <w:jc w:val="center"/>
                                                <w:rPr>
                                                  <w:rFonts w:cs="Arial"/>
                                                  <w:color w:val="FFFFFF" w:themeColor="background1"/>
                                                  <w:kern w:val="24"/>
                                                  <w:sz w:val="20"/>
                                                  <w:szCs w:val="20"/>
                                                </w:rPr>
                                              </w:pPr>
                                              <w:r w:rsidRPr="001D6A1B">
                                                <w:rPr>
                                                  <w:rFonts w:cs="Arial"/>
                                                  <w:color w:val="FFFFFF" w:themeColor="background1"/>
                                                  <w:kern w:val="24"/>
                                                  <w:sz w:val="20"/>
                                                  <w:szCs w:val="20"/>
                                                </w:rPr>
                                                <w:t>Regional development associations</w:t>
                                              </w:r>
                                            </w:p>
                                          </w:txbxContent>
                                        </wps:txbx>
                                        <wps:bodyPr wrap="square" rtlCol="0" anchor="ctr">
                                          <a:noAutofit/>
                                        </wps:bodyPr>
                                      </wps:wsp>
                                      <wps:wsp>
                                        <wps:cNvPr id="1074661712" name="Rectangle 1"/>
                                        <wps:cNvSpPr/>
                                        <wps:spPr>
                                          <a:xfrm>
                                            <a:off x="233165" y="1610832"/>
                                            <a:ext cx="972000" cy="468000"/>
                                          </a:xfrm>
                                          <a:prstGeom prst="roundRect">
                                            <a:avLst/>
                                          </a:prstGeom>
                                          <a:solidFill>
                                            <a:srgbClr val="012749"/>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7A50F19" w14:textId="77777777" w:rsidR="000E301F" w:rsidRPr="001D6A1B" w:rsidRDefault="000E301F" w:rsidP="000E301F">
                                              <w:pPr>
                                                <w:spacing w:after="0"/>
                                                <w:jc w:val="center"/>
                                                <w:rPr>
                                                  <w:rFonts w:cs="Arial"/>
                                                  <w:color w:val="FFFFFF" w:themeColor="background1"/>
                                                  <w:kern w:val="24"/>
                                                  <w:sz w:val="20"/>
                                                  <w:szCs w:val="20"/>
                                                </w:rPr>
                                              </w:pPr>
                                              <w:r w:rsidRPr="001D6A1B">
                                                <w:rPr>
                                                  <w:rFonts w:cs="Arial"/>
                                                  <w:color w:val="FFFFFF" w:themeColor="background1"/>
                                                  <w:kern w:val="24"/>
                                                  <w:sz w:val="20"/>
                                                  <w:szCs w:val="20"/>
                                                </w:rPr>
                                                <w:t>Jobs &amp; Skills Councils</w:t>
                                              </w:r>
                                            </w:p>
                                          </w:txbxContent>
                                        </wps:txbx>
                                        <wps:bodyPr wrap="square" rtlCol="0" anchor="ctr">
                                          <a:noAutofit/>
                                        </wps:bodyPr>
                                      </wps:wsp>
                                    </wpg:grpSp>
                                    <wpg:grpSp>
                                      <wpg:cNvPr id="1146363605" name="Group 10"/>
                                      <wpg:cNvGrpSpPr/>
                                      <wpg:grpSpPr>
                                        <a:xfrm>
                                          <a:off x="216382" y="191940"/>
                                          <a:ext cx="6444630" cy="5552031"/>
                                          <a:chOff x="-116127" y="-199946"/>
                                          <a:chExt cx="6444630" cy="5552031"/>
                                        </a:xfrm>
                                      </wpg:grpSpPr>
                                      <wps:wsp>
                                        <wps:cNvPr id="1239655701" name="Rectangle 1"/>
                                        <wps:cNvSpPr/>
                                        <wps:spPr>
                                          <a:xfrm>
                                            <a:off x="4492254" y="2684596"/>
                                            <a:ext cx="1090920" cy="411805"/>
                                          </a:xfrm>
                                          <a:prstGeom prst="rect">
                                            <a:avLst/>
                                          </a:prstGeom>
                                          <a:solidFill>
                                            <a:schemeClr val="bg1"/>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240F464" w14:textId="77777777" w:rsidR="000E301F" w:rsidRPr="00D36EC6" w:rsidRDefault="000E301F" w:rsidP="000E301F">
                                              <w:pPr>
                                                <w:spacing w:after="0"/>
                                                <w:jc w:val="center"/>
                                                <w:rPr>
                                                  <w:rFonts w:cs="Arial"/>
                                                  <w:i/>
                                                  <w:iCs/>
                                                  <w:color w:val="000000" w:themeColor="text1"/>
                                                  <w:kern w:val="24"/>
                                                  <w:sz w:val="18"/>
                                                  <w:szCs w:val="18"/>
                                                </w:rPr>
                                              </w:pPr>
                                              <w:r>
                                                <w:rPr>
                                                  <w:rFonts w:cs="Arial"/>
                                                  <w:i/>
                                                  <w:iCs/>
                                                  <w:color w:val="000000" w:themeColor="text1"/>
                                                  <w:kern w:val="24"/>
                                                  <w:sz w:val="18"/>
                                                  <w:szCs w:val="18"/>
                                                </w:rPr>
                                                <w:t>Sole-traders &amp;</w:t>
                                              </w:r>
                                              <w:r w:rsidRPr="00D36EC6">
                                                <w:rPr>
                                                  <w:rFonts w:cs="Arial"/>
                                                  <w:i/>
                                                  <w:iCs/>
                                                  <w:color w:val="000000" w:themeColor="text1"/>
                                                  <w:kern w:val="24"/>
                                                  <w:sz w:val="18"/>
                                                  <w:szCs w:val="18"/>
                                                </w:rPr>
                                                <w:t xml:space="preserve"> self-employment</w:t>
                                              </w:r>
                                            </w:p>
                                          </w:txbxContent>
                                        </wps:txbx>
                                        <wps:bodyPr wrap="square" rtlCol="0" anchor="ctr">
                                          <a:noAutofit/>
                                        </wps:bodyPr>
                                      </wps:wsp>
                                      <wpg:grpSp>
                                        <wpg:cNvPr id="1565095789" name="Group 5"/>
                                        <wpg:cNvGrpSpPr/>
                                        <wpg:grpSpPr>
                                          <a:xfrm>
                                            <a:off x="-116127" y="-199946"/>
                                            <a:ext cx="6444630" cy="5552031"/>
                                            <a:chOff x="-116127" y="-199946"/>
                                            <a:chExt cx="6444630" cy="5552031"/>
                                          </a:xfrm>
                                        </wpg:grpSpPr>
                                        <wps:wsp>
                                          <wps:cNvPr id="262706489" name="Rectangle 31"/>
                                          <wps:cNvSpPr/>
                                          <wps:spPr>
                                            <a:xfrm>
                                              <a:off x="2162549" y="3764555"/>
                                              <a:ext cx="844907" cy="648212"/>
                                            </a:xfrm>
                                            <a:prstGeom prst="rect">
                                              <a:avLst/>
                                            </a:prstGeom>
                                            <a:solidFill>
                                              <a:srgbClr val="4B0885"/>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EC9703" w14:textId="77777777" w:rsidR="000E301F" w:rsidRPr="00CE3555" w:rsidRDefault="000E301F" w:rsidP="000E301F">
                                                <w:pPr>
                                                  <w:spacing w:after="0"/>
                                                  <w:jc w:val="center"/>
                                                  <w:rPr>
                                                    <w:rFonts w:cs="Arial"/>
                                                    <w:b/>
                                                    <w:bCs/>
                                                    <w:color w:val="FFFFFF" w:themeColor="light1"/>
                                                    <w:kern w:val="24"/>
                                                  </w:rPr>
                                                </w:pPr>
                                                <w:r w:rsidRPr="00CE3555">
                                                  <w:rPr>
                                                    <w:rFonts w:cs="Arial"/>
                                                    <w:b/>
                                                    <w:bCs/>
                                                    <w:color w:val="FFFFFF" w:themeColor="light1"/>
                                                    <w:kern w:val="24"/>
                                                  </w:rPr>
                                                  <w:t>Jobs market</w:t>
                                                </w:r>
                                              </w:p>
                                            </w:txbxContent>
                                          </wps:txbx>
                                          <wps:bodyPr rtlCol="0" anchor="ctr"/>
                                        </wps:wsp>
                                        <wpg:grpSp>
                                          <wpg:cNvPr id="1041541057" name="Group 4"/>
                                          <wpg:cNvGrpSpPr/>
                                          <wpg:grpSpPr>
                                            <a:xfrm>
                                              <a:off x="-116127" y="-199946"/>
                                              <a:ext cx="6444630" cy="5552031"/>
                                              <a:chOff x="-116127" y="-199946"/>
                                              <a:chExt cx="6444630" cy="5552031"/>
                                            </a:xfrm>
                                          </wpg:grpSpPr>
                                          <wpg:grpSp>
                                            <wpg:cNvPr id="1244782769" name="Group 40"/>
                                            <wpg:cNvGrpSpPr/>
                                            <wpg:grpSpPr>
                                              <a:xfrm>
                                                <a:off x="-116127" y="-199946"/>
                                                <a:ext cx="6444630" cy="5552031"/>
                                                <a:chOff x="661323" y="-120923"/>
                                                <a:chExt cx="6448325" cy="5557644"/>
                                              </a:xfrm>
                                            </wpg:grpSpPr>
                                            <wpg:grpSp>
                                              <wpg:cNvPr id="525707397" name="Group 36"/>
                                              <wpg:cNvGrpSpPr/>
                                              <wpg:grpSpPr>
                                                <a:xfrm>
                                                  <a:off x="1741767" y="685889"/>
                                                  <a:ext cx="5367881" cy="4750832"/>
                                                  <a:chOff x="1547229" y="685889"/>
                                                  <a:chExt cx="5367881" cy="4750832"/>
                                                </a:xfrm>
                                              </wpg:grpSpPr>
                                              <wps:wsp>
                                                <wps:cNvPr id="773841679" name="Rectangle 29"/>
                                                <wps:cNvSpPr/>
                                                <wps:spPr>
                                                  <a:xfrm>
                                                    <a:off x="1638603" y="4896457"/>
                                                    <a:ext cx="3057700" cy="540264"/>
                                                  </a:xfrm>
                                                  <a:prstGeom prst="rect">
                                                    <a:avLst/>
                                                  </a:prstGeom>
                                                  <a:solidFill>
                                                    <a:srgbClr val="012749"/>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F6A4381" w14:textId="77777777" w:rsidR="000E301F" w:rsidRPr="00CE3555" w:rsidRDefault="000E301F" w:rsidP="000E301F">
                                                      <w:pPr>
                                                        <w:spacing w:after="0"/>
                                                        <w:jc w:val="center"/>
                                                        <w:rPr>
                                                          <w:rFonts w:cs="Arial"/>
                                                          <w:b/>
                                                          <w:bCs/>
                                                          <w:color w:val="FFFFFF" w:themeColor="light1"/>
                                                          <w:kern w:val="24"/>
                                                        </w:rPr>
                                                      </w:pPr>
                                                      <w:r w:rsidRPr="00CE3555">
                                                        <w:rPr>
                                                          <w:rFonts w:cs="Arial"/>
                                                          <w:b/>
                                                          <w:bCs/>
                                                          <w:color w:val="FFFFFF" w:themeColor="light1"/>
                                                          <w:kern w:val="24"/>
                                                        </w:rPr>
                                                        <w:t>Employers</w:t>
                                                      </w:r>
                                                      <w:r>
                                                        <w:rPr>
                                                          <w:rFonts w:cs="Arial"/>
                                                          <w:b/>
                                                          <w:bCs/>
                                                          <w:color w:val="FFFFFF" w:themeColor="light1"/>
                                                          <w:kern w:val="24"/>
                                                        </w:rPr>
                                                        <w:t>, businesses and firms</w:t>
                                                      </w:r>
                                                      <w:r w:rsidRPr="00CE3555">
                                                        <w:rPr>
                                                          <w:rFonts w:cs="Arial"/>
                                                          <w:b/>
                                                          <w:bCs/>
                                                          <w:color w:val="FFFFFF" w:themeColor="light1"/>
                                                          <w:kern w:val="24"/>
                                                        </w:rPr>
                                                        <w:t xml:space="preserve"> </w:t>
                                                      </w:r>
                                                    </w:p>
                                                    <w:p w14:paraId="6AAC779D" w14:textId="77777777" w:rsidR="000E301F" w:rsidRPr="00CE3555" w:rsidRDefault="000E301F" w:rsidP="000E301F">
                                                      <w:pPr>
                                                        <w:spacing w:after="0"/>
                                                        <w:jc w:val="center"/>
                                                        <w:rPr>
                                                          <w:rFonts w:cs="Arial"/>
                                                          <w:b/>
                                                          <w:bCs/>
                                                          <w:color w:val="FFFFFF" w:themeColor="light1"/>
                                                          <w:kern w:val="24"/>
                                                        </w:rPr>
                                                      </w:pPr>
                                                      <w:r w:rsidRPr="00CE3555">
                                                        <w:rPr>
                                                          <w:rFonts w:cs="Arial"/>
                                                          <w:i/>
                                                          <w:iCs/>
                                                          <w:color w:val="FFFFFF" w:themeColor="light1"/>
                                                          <w:kern w:val="24"/>
                                                        </w:rPr>
                                                        <w:t>(demand for labour)</w:t>
                                                      </w:r>
                                                    </w:p>
                                                  </w:txbxContent>
                                                </wps:txbx>
                                                <wps:bodyPr rtlCol="0" anchor="ctr"/>
                                              </wps:wsp>
                                              <wps:wsp>
                                                <wps:cNvPr id="1272536168" name="Rectangle 35"/>
                                                <wps:cNvSpPr/>
                                                <wps:spPr>
                                                  <a:xfrm>
                                                    <a:off x="1649322" y="2933644"/>
                                                    <a:ext cx="3051332" cy="540264"/>
                                                  </a:xfrm>
                                                  <a:prstGeom prst="rect">
                                                    <a:avLst/>
                                                  </a:prstGeom>
                                                  <a:solidFill>
                                                    <a:srgbClr val="012749"/>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75B45F" w14:textId="77777777" w:rsidR="000E301F" w:rsidRPr="00CE3555" w:rsidRDefault="000E301F" w:rsidP="000E301F">
                                                      <w:pPr>
                                                        <w:spacing w:after="0"/>
                                                        <w:jc w:val="center"/>
                                                        <w:rPr>
                                                          <w:rFonts w:cs="Arial"/>
                                                          <w:b/>
                                                          <w:bCs/>
                                                          <w:color w:val="FFFFFF" w:themeColor="light1"/>
                                                          <w:kern w:val="24"/>
                                                        </w:rPr>
                                                      </w:pPr>
                                                      <w:r w:rsidRPr="00CE3555">
                                                        <w:rPr>
                                                          <w:rFonts w:cs="Arial"/>
                                                          <w:b/>
                                                          <w:bCs/>
                                                          <w:color w:val="FFFFFF" w:themeColor="light1"/>
                                                          <w:kern w:val="24"/>
                                                        </w:rPr>
                                                        <w:t>Jobseekers and workers</w:t>
                                                      </w:r>
                                                    </w:p>
                                                    <w:p w14:paraId="3F95A7C2" w14:textId="77777777" w:rsidR="000E301F" w:rsidRPr="00CE3555" w:rsidRDefault="000E301F" w:rsidP="000E301F">
                                                      <w:pPr>
                                                        <w:spacing w:after="0"/>
                                                        <w:jc w:val="center"/>
                                                        <w:rPr>
                                                          <w:rFonts w:cs="Arial"/>
                                                          <w:i/>
                                                          <w:iCs/>
                                                          <w:color w:val="FFFFFF" w:themeColor="light1"/>
                                                          <w:kern w:val="24"/>
                                                        </w:rPr>
                                                      </w:pPr>
                                                      <w:r w:rsidRPr="00CE3555">
                                                        <w:rPr>
                                                          <w:rFonts w:cs="Arial"/>
                                                          <w:i/>
                                                          <w:iCs/>
                                                          <w:color w:val="FFFFFF" w:themeColor="light1"/>
                                                          <w:kern w:val="24"/>
                                                        </w:rPr>
                                                        <w:t>(supply of labour)</w:t>
                                                      </w:r>
                                                    </w:p>
                                                  </w:txbxContent>
                                                </wps:txbx>
                                                <wps:bodyPr rtlCol="0" anchor="ctr"/>
                                              </wps:wsp>
                                              <wps:wsp>
                                                <wps:cNvPr id="110436625" name="Rectangle: Rounded Corners 28"/>
                                                <wps:cNvSpPr/>
                                                <wps:spPr>
                                                  <a:xfrm>
                                                    <a:off x="5857098" y="3704862"/>
                                                    <a:ext cx="1058012" cy="1164612"/>
                                                  </a:xfrm>
                                                  <a:prstGeom prst="roundRect">
                                                    <a:avLst/>
                                                  </a:prstGeom>
                                                  <a:solidFill>
                                                    <a:srgbClr val="007674"/>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B519211" w14:textId="77777777" w:rsidR="000E301F" w:rsidRPr="00DF458E" w:rsidRDefault="000E301F" w:rsidP="000E301F">
                                                      <w:pPr>
                                                        <w:spacing w:after="0"/>
                                                        <w:jc w:val="center"/>
                                                        <w:rPr>
                                                          <w:rFonts w:cs="Arial"/>
                                                          <w:b/>
                                                          <w:bCs/>
                                                          <w:i/>
                                                          <w:iCs/>
                                                          <w:color w:val="FFFFFF" w:themeColor="background1"/>
                                                          <w:kern w:val="24"/>
                                                        </w:rPr>
                                                      </w:pPr>
                                                      <w:r w:rsidRPr="00DF458E">
                                                        <w:rPr>
                                                          <w:rFonts w:cs="Arial"/>
                                                          <w:b/>
                                                          <w:bCs/>
                                                          <w:i/>
                                                          <w:iCs/>
                                                          <w:color w:val="FFFFFF" w:themeColor="background1"/>
                                                          <w:kern w:val="24"/>
                                                        </w:rPr>
                                                        <w:t>Demand for products &amp; services</w:t>
                                                      </w:r>
                                                    </w:p>
                                                  </w:txbxContent>
                                                </wps:txbx>
                                                <wps:bodyPr wrap="square" rtlCol="0" anchor="ctr"/>
                                              </wps:wsp>
                                              <wps:wsp>
                                                <wps:cNvPr id="1004298267" name="Rectangle 26"/>
                                                <wps:cNvSpPr/>
                                                <wps:spPr>
                                                  <a:xfrm>
                                                    <a:off x="1547229" y="698666"/>
                                                    <a:ext cx="1066182" cy="1374093"/>
                                                  </a:xfrm>
                                                  <a:prstGeom prst="rect">
                                                    <a:avLst/>
                                                  </a:prstGeom>
                                                  <a:solidFill>
                                                    <a:srgbClr val="4B0885"/>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5D9927" w14:textId="77777777" w:rsidR="000E301F" w:rsidRPr="00CE3555" w:rsidRDefault="000E301F" w:rsidP="000E301F">
                                                      <w:pPr>
                                                        <w:spacing w:after="0"/>
                                                        <w:jc w:val="center"/>
                                                        <w:rPr>
                                                          <w:rFonts w:cs="Arial"/>
                                                          <w:b/>
                                                          <w:bCs/>
                                                          <w:color w:val="FFFFFF" w:themeColor="background1"/>
                                                          <w:kern w:val="24"/>
                                                        </w:rPr>
                                                      </w:pPr>
                                                      <w:r w:rsidRPr="00CE3555">
                                                        <w:rPr>
                                                          <w:rFonts w:cs="Arial"/>
                                                          <w:b/>
                                                          <w:bCs/>
                                                          <w:color w:val="FFFFFF" w:themeColor="background1"/>
                                                          <w:kern w:val="24"/>
                                                        </w:rPr>
                                                        <w:t>Education, training &amp; skills development</w:t>
                                                      </w:r>
                                                    </w:p>
                                                  </w:txbxContent>
                                                </wps:txbx>
                                                <wps:bodyPr wrap="square" rtlCol="0" anchor="t">
                                                  <a:noAutofit/>
                                                </wps:bodyPr>
                                              </wps:wsp>
                                              <wps:wsp>
                                                <wps:cNvPr id="460194317" name="Rectangle 14"/>
                                                <wps:cNvSpPr/>
                                                <wps:spPr>
                                                  <a:xfrm>
                                                    <a:off x="3836278" y="685889"/>
                                                    <a:ext cx="916189" cy="1335017"/>
                                                  </a:xfrm>
                                                  <a:prstGeom prst="rect">
                                                    <a:avLst/>
                                                  </a:prstGeom>
                                                  <a:solidFill>
                                                    <a:srgbClr val="4B0885"/>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8C93420" w14:textId="77777777" w:rsidR="000E301F" w:rsidRPr="00CE3555" w:rsidRDefault="000E301F" w:rsidP="000E301F">
                                                      <w:pPr>
                                                        <w:spacing w:before="240" w:after="0"/>
                                                        <w:jc w:val="center"/>
                                                        <w:rPr>
                                                          <w:rFonts w:cs="Arial"/>
                                                          <w:b/>
                                                          <w:bCs/>
                                                          <w:color w:val="FFFFFF" w:themeColor="background1"/>
                                                          <w:kern w:val="24"/>
                                                        </w:rPr>
                                                      </w:pPr>
                                                      <w:r w:rsidRPr="00CE3555">
                                                        <w:rPr>
                                                          <w:rFonts w:cs="Arial"/>
                                                          <w:b/>
                                                          <w:bCs/>
                                                          <w:color w:val="FFFFFF" w:themeColor="background1"/>
                                                          <w:kern w:val="24"/>
                                                        </w:rPr>
                                                        <w:t>Overseas Migration</w:t>
                                                      </w:r>
                                                    </w:p>
                                                  </w:txbxContent>
                                                </wps:txbx>
                                                <wps:bodyPr wrap="square" rtlCol="0" anchor="t">
                                                  <a:noAutofit/>
                                                </wps:bodyPr>
                                              </wps:wsp>
                                              <wps:wsp>
                                                <wps:cNvPr id="1827616795" name="Rectangle 1"/>
                                                <wps:cNvSpPr/>
                                                <wps:spPr>
                                                  <a:xfrm>
                                                    <a:off x="2490693" y="2135646"/>
                                                    <a:ext cx="1396088" cy="382358"/>
                                                  </a:xfrm>
                                                  <a:prstGeom prst="rect">
                                                    <a:avLst/>
                                                  </a:prstGeom>
                                                  <a:solidFill>
                                                    <a:srgbClr val="4B0885"/>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E189FD" w14:textId="77777777" w:rsidR="000E301F" w:rsidRPr="00245B13" w:rsidRDefault="000E301F" w:rsidP="000E301F">
                                                      <w:pPr>
                                                        <w:spacing w:after="0"/>
                                                        <w:jc w:val="center"/>
                                                        <w:rPr>
                                                          <w:rFonts w:cs="Arial"/>
                                                          <w:b/>
                                                          <w:bCs/>
                                                          <w:color w:val="FFFFFF" w:themeColor="background1"/>
                                                          <w:kern w:val="24"/>
                                                        </w:rPr>
                                                      </w:pPr>
                                                      <w:r w:rsidRPr="00245B13">
                                                        <w:rPr>
                                                          <w:rFonts w:cs="Arial"/>
                                                          <w:b/>
                                                          <w:bCs/>
                                                          <w:color w:val="FFFFFF" w:themeColor="background1"/>
                                                          <w:kern w:val="24"/>
                                                        </w:rPr>
                                                        <w:t>Social services</w:t>
                                                      </w:r>
                                                    </w:p>
                                                  </w:txbxContent>
                                                </wps:txbx>
                                                <wps:bodyPr wrap="square" rtlCol="0" anchor="ctr">
                                                  <a:noAutofit/>
                                                </wps:bodyPr>
                                              </wps:wsp>
                                            </wpg:grpSp>
                                            <wps:wsp>
                                              <wps:cNvPr id="618553902" name="Rectangle 18"/>
                                              <wps:cNvSpPr/>
                                              <wps:spPr>
                                                <a:xfrm>
                                                  <a:off x="661323" y="-120923"/>
                                                  <a:ext cx="1037894" cy="668434"/>
                                                </a:xfrm>
                                                <a:prstGeom prst="rect">
                                                  <a:avLst/>
                                                </a:prstGeom>
                                                <a:solidFill>
                                                  <a:schemeClr val="bg1"/>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778AFF" w14:textId="77777777" w:rsidR="000E301F" w:rsidRPr="00CE3555" w:rsidRDefault="000E301F" w:rsidP="000E301F">
                                                    <w:pPr>
                                                      <w:spacing w:after="0"/>
                                                      <w:jc w:val="center"/>
                                                      <w:rPr>
                                                        <w:rFonts w:cs="Arial"/>
                                                        <w:i/>
                                                        <w:iCs/>
                                                        <w:color w:val="000000" w:themeColor="text1"/>
                                                        <w:kern w:val="24"/>
                                                        <w:sz w:val="18"/>
                                                        <w:szCs w:val="18"/>
                                                      </w:rPr>
                                                    </w:pPr>
                                                    <w:r w:rsidRPr="00CE3555">
                                                      <w:rPr>
                                                        <w:rFonts w:cs="Arial"/>
                                                        <w:i/>
                                                        <w:iCs/>
                                                        <w:color w:val="000000" w:themeColor="text1"/>
                                                        <w:kern w:val="24"/>
                                                        <w:sz w:val="18"/>
                                                        <w:szCs w:val="18"/>
                                                      </w:rPr>
                                                      <w:t xml:space="preserve">Employer-based </w:t>
                                                    </w:r>
                                                    <w:r>
                                                      <w:rPr>
                                                        <w:rFonts w:cs="Arial"/>
                                                        <w:i/>
                                                        <w:iCs/>
                                                        <w:color w:val="000000" w:themeColor="text1"/>
                                                        <w:kern w:val="24"/>
                                                        <w:sz w:val="18"/>
                                                        <w:szCs w:val="18"/>
                                                      </w:rPr>
                                                      <w:t>apprenticeships &amp; traineeships</w:t>
                                                    </w:r>
                                                  </w:p>
                                                </w:txbxContent>
                                              </wps:txbx>
                                              <wps:bodyPr wrap="square" rtlCol="0" anchor="ctr">
                                                <a:noAutofit/>
                                              </wps:bodyPr>
                                            </wps:wsp>
                                          </wpg:grpSp>
                                          <wps:wsp>
                                            <wps:cNvPr id="2125523541" name="Rectangle 1"/>
                                            <wps:cNvSpPr/>
                                            <wps:spPr>
                                              <a:xfrm>
                                                <a:off x="2197407" y="66782"/>
                                                <a:ext cx="827405" cy="431165"/>
                                              </a:xfrm>
                                              <a:prstGeom prst="rect">
                                                <a:avLst/>
                                              </a:prstGeom>
                                              <a:solidFill>
                                                <a:schemeClr val="bg1"/>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11C3B8B" w14:textId="77777777" w:rsidR="000E301F" w:rsidRPr="00D40035" w:rsidRDefault="000E301F" w:rsidP="000E301F">
                                                  <w:pPr>
                                                    <w:spacing w:after="0"/>
                                                    <w:jc w:val="center"/>
                                                    <w:rPr>
                                                      <w:rFonts w:cs="Arial"/>
                                                      <w:i/>
                                                      <w:iCs/>
                                                      <w:color w:val="000000" w:themeColor="text1"/>
                                                      <w:kern w:val="24"/>
                                                      <w:sz w:val="18"/>
                                                      <w:szCs w:val="18"/>
                                                    </w:rPr>
                                                  </w:pPr>
                                                  <w:r w:rsidRPr="00D40035">
                                                    <w:rPr>
                                                      <w:rFonts w:cs="Arial"/>
                                                      <w:i/>
                                                      <w:iCs/>
                                                      <w:color w:val="000000" w:themeColor="text1"/>
                                                      <w:kern w:val="24"/>
                                                      <w:sz w:val="18"/>
                                                      <w:szCs w:val="18"/>
                                                    </w:rPr>
                                                    <w:t>International students</w:t>
                                                  </w:r>
                                                </w:p>
                                              </w:txbxContent>
                                            </wps:txbx>
                                            <wps:bodyPr wrap="square" rtlCol="0" anchor="ctr">
                                              <a:noAutofit/>
                                            </wps:bodyPr>
                                          </wps:wsp>
                                        </wpg:grpSp>
                                      </wpg:grpSp>
                                    </wpg:grpSp>
                                    <wpg:grpSp>
                                      <wpg:cNvPr id="1823192955" name="Group 2"/>
                                      <wpg:cNvGrpSpPr/>
                                      <wpg:grpSpPr>
                                        <a:xfrm>
                                          <a:off x="1325391" y="1733386"/>
                                          <a:ext cx="3122434" cy="3407662"/>
                                          <a:chOff x="1076009" y="1662134"/>
                                          <a:chExt cx="3122434" cy="3407662"/>
                                        </a:xfrm>
                                      </wpg:grpSpPr>
                                      <wpg:grpSp>
                                        <wpg:cNvPr id="138334832" name="Group 38"/>
                                        <wpg:cNvGrpSpPr/>
                                        <wpg:grpSpPr>
                                          <a:xfrm>
                                            <a:off x="1076009" y="1662134"/>
                                            <a:ext cx="3122434" cy="3407662"/>
                                            <a:chOff x="1296324" y="1893562"/>
                                            <a:chExt cx="3124720" cy="3410086"/>
                                          </a:xfrm>
                                        </wpg:grpSpPr>
                                        <wps:wsp>
                                          <wps:cNvPr id="1201583844" name="Rectangle: Rounded Corners 1"/>
                                          <wps:cNvSpPr/>
                                          <wps:spPr>
                                            <a:xfrm>
                                              <a:off x="1296324" y="2023720"/>
                                              <a:ext cx="1008959" cy="468486"/>
                                            </a:xfrm>
                                            <a:prstGeom prst="roundRect">
                                              <a:avLst/>
                                            </a:prstGeom>
                                            <a:solidFill>
                                              <a:schemeClr val="accent6">
                                                <a:lumMod val="20000"/>
                                                <a:lumOff val="80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251457" w14:textId="77777777" w:rsidR="000E301F" w:rsidRPr="00CE3555" w:rsidRDefault="000E301F" w:rsidP="000E301F">
                                                <w:pPr>
                                                  <w:spacing w:after="0"/>
                                                  <w:jc w:val="center"/>
                                                  <w:rPr>
                                                    <w:rFonts w:cs="Arial"/>
                                                    <w:color w:val="000000" w:themeColor="text1"/>
                                                    <w:kern w:val="24"/>
                                                    <w:sz w:val="20"/>
                                                    <w:szCs w:val="20"/>
                                                  </w:rPr>
                                                </w:pPr>
                                                <w:r w:rsidRPr="00CE3555">
                                                  <w:rPr>
                                                    <w:rFonts w:cs="Arial"/>
                                                    <w:color w:val="000000" w:themeColor="text1"/>
                                                    <w:kern w:val="24"/>
                                                    <w:sz w:val="20"/>
                                                    <w:szCs w:val="20"/>
                                                  </w:rPr>
                                                  <w:t>Education &amp; skills policies</w:t>
                                                </w:r>
                                              </w:p>
                                            </w:txbxContent>
                                          </wps:txbx>
                                          <wps:bodyPr wrap="square" rtlCol="0" anchor="ctr">
                                            <a:noAutofit/>
                                          </wps:bodyPr>
                                        </wps:wsp>
                                        <wps:wsp>
                                          <wps:cNvPr id="1647055283" name="Rectangle: Rounded Corners 19"/>
                                          <wps:cNvSpPr/>
                                          <wps:spPr>
                                            <a:xfrm>
                                              <a:off x="1405391" y="4618938"/>
                                              <a:ext cx="971550" cy="684710"/>
                                            </a:xfrm>
                                            <a:prstGeom prst="roundRect">
                                              <a:avLst/>
                                            </a:prstGeom>
                                            <a:solidFill>
                                              <a:schemeClr val="accent6">
                                                <a:lumMod val="20000"/>
                                                <a:lumOff val="80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8A4D6E" w14:textId="77777777" w:rsidR="000E301F" w:rsidRPr="00CE3555" w:rsidRDefault="000E301F" w:rsidP="000E301F">
                                                <w:pPr>
                                                  <w:spacing w:after="0"/>
                                                  <w:jc w:val="center"/>
                                                  <w:rPr>
                                                    <w:rFonts w:cs="Arial"/>
                                                    <w:color w:val="000000" w:themeColor="text1"/>
                                                    <w:kern w:val="24"/>
                                                    <w:sz w:val="20"/>
                                                    <w:szCs w:val="20"/>
                                                  </w:rPr>
                                                </w:pPr>
                                                <w:r w:rsidRPr="00CE3555">
                                                  <w:rPr>
                                                    <w:rFonts w:cs="Arial"/>
                                                    <w:color w:val="000000" w:themeColor="text1"/>
                                                    <w:kern w:val="24"/>
                                                    <w:sz w:val="20"/>
                                                    <w:szCs w:val="20"/>
                                                  </w:rPr>
                                                  <w:t>Wage</w:t>
                                                </w:r>
                                                <w:r>
                                                  <w:rPr>
                                                    <w:rFonts w:cs="Arial"/>
                                                    <w:color w:val="000000" w:themeColor="text1"/>
                                                    <w:kern w:val="24"/>
                                                    <w:sz w:val="20"/>
                                                    <w:szCs w:val="20"/>
                                                  </w:rPr>
                                                  <w:t>s</w:t>
                                                </w:r>
                                                <w:r w:rsidRPr="00CE3555">
                                                  <w:rPr>
                                                    <w:rFonts w:cs="Arial"/>
                                                    <w:color w:val="000000" w:themeColor="text1"/>
                                                    <w:kern w:val="24"/>
                                                    <w:sz w:val="20"/>
                                                    <w:szCs w:val="20"/>
                                                  </w:rPr>
                                                  <w:t xml:space="preserve"> </w:t>
                                                </w:r>
                                                <w:r>
                                                  <w:rPr>
                                                    <w:rFonts w:cs="Arial"/>
                                                    <w:color w:val="000000" w:themeColor="text1"/>
                                                    <w:kern w:val="24"/>
                                                    <w:sz w:val="20"/>
                                                    <w:szCs w:val="20"/>
                                                  </w:rPr>
                                                  <w:t xml:space="preserve">&amp; conditions </w:t>
                                                </w:r>
                                                <w:r w:rsidRPr="00CE3555">
                                                  <w:rPr>
                                                    <w:rFonts w:cs="Arial"/>
                                                    <w:color w:val="000000" w:themeColor="text1"/>
                                                    <w:kern w:val="24"/>
                                                    <w:sz w:val="20"/>
                                                    <w:szCs w:val="20"/>
                                                  </w:rPr>
                                                  <w:t>policies</w:t>
                                                </w:r>
                                              </w:p>
                                            </w:txbxContent>
                                          </wps:txbx>
                                          <wps:bodyPr rtlCol="0" anchor="ctr">
                                            <a:noAutofit/>
                                          </wps:bodyPr>
                                        </wps:wsp>
                                        <wps:wsp>
                                          <wps:cNvPr id="1706007691" name="Rectangle: Rounded Corners 1"/>
                                          <wps:cNvSpPr/>
                                          <wps:spPr>
                                            <a:xfrm>
                                              <a:off x="1405391" y="4024553"/>
                                              <a:ext cx="971550" cy="539750"/>
                                            </a:xfrm>
                                            <a:prstGeom prst="roundRect">
                                              <a:avLst/>
                                            </a:prstGeom>
                                            <a:solidFill>
                                              <a:schemeClr val="accent6">
                                                <a:lumMod val="20000"/>
                                                <a:lumOff val="80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4C970AC" w14:textId="77777777" w:rsidR="000E301F" w:rsidRPr="00CE3555" w:rsidRDefault="000E301F" w:rsidP="000E301F">
                                                <w:pPr>
                                                  <w:spacing w:after="0"/>
                                                  <w:jc w:val="center"/>
                                                  <w:rPr>
                                                    <w:rFonts w:cs="Arial"/>
                                                    <w:color w:val="000000" w:themeColor="text1"/>
                                                    <w:kern w:val="24"/>
                                                    <w:sz w:val="20"/>
                                                    <w:szCs w:val="20"/>
                                                  </w:rPr>
                                                </w:pPr>
                                                <w:r w:rsidRPr="00CE3555">
                                                  <w:rPr>
                                                    <w:rFonts w:cs="Arial"/>
                                                    <w:color w:val="000000" w:themeColor="text1"/>
                                                    <w:kern w:val="24"/>
                                                    <w:sz w:val="20"/>
                                                    <w:szCs w:val="20"/>
                                                  </w:rPr>
                                                  <w:t>Employment policies</w:t>
                                                </w:r>
                                              </w:p>
                                            </w:txbxContent>
                                          </wps:txbx>
                                          <wps:bodyPr wrap="square" rtlCol="0" anchor="ctr">
                                            <a:noAutofit/>
                                          </wps:bodyPr>
                                        </wps:wsp>
                                        <wps:wsp>
                                          <wps:cNvPr id="1834703652" name="Rectangle: Rounded Corners 1"/>
                                          <wps:cNvSpPr/>
                                          <wps:spPr>
                                            <a:xfrm>
                                              <a:off x="3632867" y="1893562"/>
                                              <a:ext cx="788177" cy="468055"/>
                                            </a:xfrm>
                                            <a:prstGeom prst="roundRect">
                                              <a:avLst/>
                                            </a:prstGeom>
                                            <a:solidFill>
                                              <a:schemeClr val="accent6">
                                                <a:lumMod val="20000"/>
                                                <a:lumOff val="80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F425C4" w14:textId="77777777" w:rsidR="000E301F" w:rsidRPr="00CE3555" w:rsidRDefault="000E301F" w:rsidP="000E301F">
                                                <w:pPr>
                                                  <w:spacing w:after="0"/>
                                                  <w:jc w:val="center"/>
                                                  <w:rPr>
                                                    <w:rFonts w:cs="Arial"/>
                                                    <w:color w:val="000000" w:themeColor="text1"/>
                                                    <w:kern w:val="24"/>
                                                    <w:sz w:val="20"/>
                                                    <w:szCs w:val="20"/>
                                                  </w:rPr>
                                                </w:pPr>
                                                <w:r w:rsidRPr="00CE3555">
                                                  <w:rPr>
                                                    <w:rFonts w:cs="Arial"/>
                                                    <w:color w:val="000000" w:themeColor="text1"/>
                                                    <w:kern w:val="24"/>
                                                    <w:sz w:val="20"/>
                                                    <w:szCs w:val="20"/>
                                                  </w:rPr>
                                                  <w:t>Migration policies</w:t>
                                                </w:r>
                                              </w:p>
                                            </w:txbxContent>
                                          </wps:txbx>
                                          <wps:bodyPr wrap="square" rtlCol="0" anchor="ctr">
                                            <a:noAutofit/>
                                          </wps:bodyPr>
                                        </wps:wsp>
                                      </wpg:grpSp>
                                      <wps:wsp>
                                        <wps:cNvPr id="1774163184" name="Rectangle: Rounded Corners 1"/>
                                        <wps:cNvSpPr/>
                                        <wps:spPr>
                                          <a:xfrm>
                                            <a:off x="2084230" y="2777297"/>
                                            <a:ext cx="1250332" cy="332607"/>
                                          </a:xfrm>
                                          <a:prstGeom prst="roundRect">
                                            <a:avLst/>
                                          </a:prstGeom>
                                          <a:solidFill>
                                            <a:schemeClr val="accent3">
                                              <a:lumMod val="20000"/>
                                              <a:lumOff val="80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599B48" w14:textId="77777777" w:rsidR="000E301F" w:rsidRPr="00CE3555" w:rsidRDefault="000E301F" w:rsidP="000E301F">
                                              <w:pPr>
                                                <w:spacing w:after="0"/>
                                                <w:jc w:val="center"/>
                                                <w:rPr>
                                                  <w:rFonts w:cs="Arial"/>
                                                  <w:color w:val="000000" w:themeColor="text1"/>
                                                  <w:kern w:val="24"/>
                                                  <w:sz w:val="20"/>
                                                  <w:szCs w:val="20"/>
                                                </w:rPr>
                                              </w:pPr>
                                              <w:r>
                                                <w:rPr>
                                                  <w:rFonts w:cs="Arial"/>
                                                  <w:color w:val="000000" w:themeColor="text1"/>
                                                  <w:kern w:val="24"/>
                                                  <w:sz w:val="20"/>
                                                  <w:szCs w:val="20"/>
                                                </w:rPr>
                                                <w:t>Social policies</w:t>
                                              </w:r>
                                            </w:p>
                                          </w:txbxContent>
                                        </wps:txbx>
                                        <wps:bodyPr wrap="square" rtlCol="0" anchor="ctr">
                                          <a:noAutofit/>
                                        </wps:bodyPr>
                                      </wps:wsp>
                                    </wpg:grpSp>
                                    <wpg:grpSp>
                                      <wpg:cNvPr id="1497776547" name="Group 1"/>
                                      <wpg:cNvGrpSpPr/>
                                      <wpg:grpSpPr>
                                        <a:xfrm>
                                          <a:off x="839484" y="-564147"/>
                                          <a:ext cx="4870046" cy="459337"/>
                                          <a:chOff x="-3646090" y="-1411733"/>
                                          <a:chExt cx="4870482" cy="459337"/>
                                        </a:xfrm>
                                      </wpg:grpSpPr>
                                      <wps:wsp>
                                        <wps:cNvPr id="2062696790" name="Rectangle: Rounded Corners 1"/>
                                        <wps:cNvSpPr/>
                                        <wps:spPr>
                                          <a:xfrm>
                                            <a:off x="-3646090" y="-1411733"/>
                                            <a:ext cx="4870482" cy="459337"/>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A6F326" w14:textId="77777777" w:rsidR="000E301F" w:rsidRPr="00245B13" w:rsidRDefault="000E301F" w:rsidP="000E301F">
                                              <w:pPr>
                                                <w:spacing w:before="120" w:after="0"/>
                                                <w:rPr>
                                                  <w:rFonts w:cs="Arial"/>
                                                  <w:b/>
                                                  <w:bCs/>
                                                  <w:color w:val="000000" w:themeColor="text1"/>
                                                  <w:kern w:val="24"/>
                                                  <w:sz w:val="20"/>
                                                  <w:szCs w:val="20"/>
                                                </w:rPr>
                                              </w:pPr>
                                              <w:r>
                                                <w:rPr>
                                                  <w:rFonts w:cs="Arial"/>
                                                  <w:b/>
                                                  <w:bCs/>
                                                  <w:color w:val="000000" w:themeColor="text1"/>
                                                  <w:kern w:val="24"/>
                                                  <w:sz w:val="20"/>
                                                  <w:szCs w:val="20"/>
                                                </w:rPr>
                                                <w:t>Legend</w:t>
                                              </w:r>
                                            </w:p>
                                          </w:txbxContent>
                                        </wps:txbx>
                                        <wps:bodyPr wrap="square" rtlCol="0" anchor="t">
                                          <a:noAutofit/>
                                        </wps:bodyPr>
                                      </wps:wsp>
                                      <wps:wsp>
                                        <wps:cNvPr id="1033213639" name="Rectangle: Rounded Corners 1"/>
                                        <wps:cNvSpPr/>
                                        <wps:spPr>
                                          <a:xfrm>
                                            <a:off x="-830111" y="-1330542"/>
                                            <a:ext cx="971550" cy="287654"/>
                                          </a:xfrm>
                                          <a:prstGeom prst="roundRect">
                                            <a:avLst/>
                                          </a:prstGeom>
                                          <a:solidFill>
                                            <a:schemeClr val="accent6">
                                              <a:lumMod val="20000"/>
                                              <a:lumOff val="80000"/>
                                            </a:schemeClr>
                                          </a:solidFill>
                                          <a:ln>
                                            <a:solidFill>
                                              <a:srgbClr val="0B76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CAB20D" w14:textId="77777777" w:rsidR="000E301F" w:rsidRPr="00CE3555" w:rsidRDefault="000E301F" w:rsidP="000E301F">
                                              <w:pPr>
                                                <w:spacing w:after="0"/>
                                                <w:jc w:val="center"/>
                                                <w:rPr>
                                                  <w:rFonts w:cs="Arial"/>
                                                  <w:color w:val="000000" w:themeColor="text1"/>
                                                  <w:kern w:val="24"/>
                                                  <w:sz w:val="20"/>
                                                  <w:szCs w:val="20"/>
                                                </w:rPr>
                                              </w:pPr>
                                              <w:r>
                                                <w:rPr>
                                                  <w:rFonts w:cs="Arial"/>
                                                  <w:color w:val="000000" w:themeColor="text1"/>
                                                  <w:kern w:val="24"/>
                                                  <w:sz w:val="20"/>
                                                  <w:szCs w:val="20"/>
                                                </w:rPr>
                                                <w:t>Govt Policies</w:t>
                                              </w:r>
                                            </w:p>
                                          </w:txbxContent>
                                        </wps:txbx>
                                        <wps:bodyPr wrap="square" rtlCol="0" anchor="ctr">
                                          <a:noAutofit/>
                                        </wps:bodyPr>
                                      </wps:wsp>
                                      <wps:wsp>
                                        <wps:cNvPr id="641891320" name="Rectangle: Rounded Corners 1"/>
                                        <wps:cNvSpPr/>
                                        <wps:spPr>
                                          <a:xfrm>
                                            <a:off x="-1876878" y="-1328617"/>
                                            <a:ext cx="971550" cy="287655"/>
                                          </a:xfrm>
                                          <a:prstGeom prst="roundRect">
                                            <a:avLst/>
                                          </a:prstGeom>
                                          <a:solidFill>
                                            <a:srgbClr val="012749"/>
                                          </a:solidFill>
                                          <a:ln>
                                            <a:solidFill>
                                              <a:srgbClr val="0B76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91D6DDF" w14:textId="77777777" w:rsidR="000E301F" w:rsidRPr="001D6A1B" w:rsidRDefault="000E301F" w:rsidP="000E301F">
                                              <w:pPr>
                                                <w:spacing w:after="0"/>
                                                <w:jc w:val="center"/>
                                                <w:rPr>
                                                  <w:rFonts w:cs="Arial"/>
                                                  <w:color w:val="FFFFFF" w:themeColor="background1"/>
                                                  <w:kern w:val="24"/>
                                                  <w:sz w:val="20"/>
                                                  <w:szCs w:val="20"/>
                                                </w:rPr>
                                              </w:pPr>
                                              <w:r w:rsidRPr="001D6A1B">
                                                <w:rPr>
                                                  <w:rFonts w:cs="Arial"/>
                                                  <w:color w:val="FFFFFF" w:themeColor="background1"/>
                                                  <w:kern w:val="24"/>
                                                  <w:sz w:val="20"/>
                                                  <w:szCs w:val="20"/>
                                                </w:rPr>
                                                <w:t>Stakeholders</w:t>
                                              </w:r>
                                            </w:p>
                                          </w:txbxContent>
                                        </wps:txbx>
                                        <wps:bodyPr wrap="square" rtlCol="0" anchor="ctr">
                                          <a:noAutofit/>
                                        </wps:bodyPr>
                                      </wps:wsp>
                                      <wps:wsp>
                                        <wps:cNvPr id="908190177" name="Rectangle: Rounded Corners 1"/>
                                        <wps:cNvSpPr/>
                                        <wps:spPr>
                                          <a:xfrm>
                                            <a:off x="-2942548" y="-1328613"/>
                                            <a:ext cx="971550" cy="287655"/>
                                          </a:xfrm>
                                          <a:prstGeom prst="roundRect">
                                            <a:avLst/>
                                          </a:prstGeom>
                                          <a:solidFill>
                                            <a:srgbClr val="4B0885"/>
                                          </a:solidFill>
                                          <a:ln>
                                            <a:solidFill>
                                              <a:srgbClr val="0B76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90CD2FD" w14:textId="77777777" w:rsidR="000E301F" w:rsidRPr="00245B13" w:rsidRDefault="000E301F" w:rsidP="000E301F">
                                              <w:pPr>
                                                <w:spacing w:after="0"/>
                                                <w:jc w:val="center"/>
                                                <w:rPr>
                                                  <w:rFonts w:cs="Arial"/>
                                                  <w:b/>
                                                  <w:bCs/>
                                                  <w:color w:val="FFFFFF" w:themeColor="background1"/>
                                                  <w:kern w:val="24"/>
                                                  <w:sz w:val="20"/>
                                                  <w:szCs w:val="20"/>
                                                </w:rPr>
                                              </w:pPr>
                                              <w:r w:rsidRPr="00245B13">
                                                <w:rPr>
                                                  <w:rFonts w:cs="Arial"/>
                                                  <w:b/>
                                                  <w:bCs/>
                                                  <w:color w:val="FFFFFF" w:themeColor="background1"/>
                                                  <w:kern w:val="24"/>
                                                  <w:sz w:val="20"/>
                                                  <w:szCs w:val="20"/>
                                                </w:rPr>
                                                <w:t>Systems</w:t>
                                              </w:r>
                                            </w:p>
                                          </w:txbxContent>
                                        </wps:txbx>
                                        <wps:bodyPr wrap="square" rtlCol="0" anchor="ctr">
                                          <a:noAutofit/>
                                        </wps:bodyPr>
                                      </wps:wsp>
                                    </wpg:grpSp>
                                  </wpg:grpSp>
                                </wpg:grpSp>
                                <wps:wsp>
                                  <wps:cNvPr id="910815625" name="Rectangle: Rounded Corners 1"/>
                                  <wps:cNvSpPr/>
                                  <wps:spPr>
                                    <a:xfrm>
                                      <a:off x="4471104" y="3656626"/>
                                      <a:ext cx="970720" cy="714128"/>
                                    </a:xfrm>
                                    <a:prstGeom prst="roundRect">
                                      <a:avLst/>
                                    </a:prstGeom>
                                    <a:solidFill>
                                      <a:schemeClr val="accent6">
                                        <a:lumMod val="20000"/>
                                        <a:lumOff val="80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06F89F" w14:textId="77777777" w:rsidR="000E301F" w:rsidRPr="00CE3555" w:rsidRDefault="000E301F" w:rsidP="000E301F">
                                        <w:pPr>
                                          <w:spacing w:after="0"/>
                                          <w:jc w:val="center"/>
                                          <w:rPr>
                                            <w:rFonts w:cs="Arial"/>
                                            <w:color w:val="000000" w:themeColor="text1"/>
                                            <w:kern w:val="24"/>
                                            <w:sz w:val="20"/>
                                            <w:szCs w:val="20"/>
                                          </w:rPr>
                                        </w:pPr>
                                        <w:r>
                                          <w:rPr>
                                            <w:rFonts w:cs="Arial"/>
                                            <w:color w:val="000000" w:themeColor="text1"/>
                                            <w:kern w:val="24"/>
                                            <w:sz w:val="20"/>
                                            <w:szCs w:val="20"/>
                                          </w:rPr>
                                          <w:t>Economic, trade and tax</w:t>
                                        </w:r>
                                        <w:r w:rsidRPr="00CE3555">
                                          <w:rPr>
                                            <w:rFonts w:cs="Arial"/>
                                            <w:color w:val="000000" w:themeColor="text1"/>
                                            <w:kern w:val="24"/>
                                            <w:sz w:val="20"/>
                                            <w:szCs w:val="20"/>
                                          </w:rPr>
                                          <w:t xml:space="preserve"> policies</w:t>
                                        </w:r>
                                      </w:p>
                                    </w:txbxContent>
                                  </wps:txbx>
                                  <wps:bodyPr wrap="square" rtlCol="0" anchor="ctr">
                                    <a:noAutofit/>
                                  </wps:bodyPr>
                                </wps:wsp>
                              </wpg:grpSp>
                              <wps:wsp>
                                <wps:cNvPr id="615933413" name="Straight Arrow Connector 1"/>
                                <wps:cNvCnPr>
                                  <a:cxnSpLocks/>
                                </wps:cNvCnPr>
                                <wps:spPr>
                                  <a:xfrm flipH="1">
                                    <a:off x="1796902" y="157274"/>
                                    <a:ext cx="3495675" cy="0"/>
                                  </a:xfrm>
                                  <a:prstGeom prst="straightConnector1">
                                    <a:avLst/>
                                  </a:prstGeom>
                                  <a:ln w="38100">
                                    <a:solidFill>
                                      <a:schemeClr val="tx1"/>
                                    </a:solidFill>
                                    <a:prstDash val="solid"/>
                                    <a:headEnd type="none" w="med" len="med"/>
                                    <a:tailEnd type="none" w="med" len="med"/>
                                  </a:ln>
                                </wps:spPr>
                                <wps:style>
                                  <a:lnRef idx="2">
                                    <a:schemeClr val="dk1"/>
                                  </a:lnRef>
                                  <a:fillRef idx="0">
                                    <a:schemeClr val="dk1"/>
                                  </a:fillRef>
                                  <a:effectRef idx="1">
                                    <a:schemeClr val="dk1"/>
                                  </a:effectRef>
                                  <a:fontRef idx="minor">
                                    <a:schemeClr val="tx1"/>
                                  </a:fontRef>
                                </wps:style>
                                <wps:bodyPr/>
                              </wps:wsp>
                              <wps:wsp>
                                <wps:cNvPr id="1773366532" name="Straight Arrow Connector 1"/>
                                <wps:cNvCnPr>
                                  <a:cxnSpLocks/>
                                </wps:cNvCnPr>
                                <wps:spPr>
                                  <a:xfrm>
                                    <a:off x="1808065" y="159489"/>
                                    <a:ext cx="0" cy="611505"/>
                                  </a:xfrm>
                                  <a:prstGeom prst="straightConnector1">
                                    <a:avLst/>
                                  </a:prstGeom>
                                  <a:ln w="38100">
                                    <a:solidFill>
                                      <a:schemeClr val="tx1"/>
                                    </a:solidFill>
                                    <a:prstDash val="solid"/>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wps:wsp>
                                <wps:cNvPr id="1235974893" name="Straight Arrow Connector 1"/>
                                <wps:cNvCnPr>
                                  <a:cxnSpLocks/>
                                </wps:cNvCnPr>
                                <wps:spPr>
                                  <a:xfrm flipH="1" flipV="1">
                                    <a:off x="5295014" y="146641"/>
                                    <a:ext cx="0" cy="895350"/>
                                  </a:xfrm>
                                  <a:prstGeom prst="straightConnector1">
                                    <a:avLst/>
                                  </a:prstGeom>
                                  <a:ln w="38100">
                                    <a:solidFill>
                                      <a:schemeClr val="tx1"/>
                                    </a:solidFill>
                                    <a:prstDash val="solid"/>
                                    <a:headEnd type="none" w="med" len="med"/>
                                    <a:tailEnd type="none" w="med" len="med"/>
                                  </a:ln>
                                </wps:spPr>
                                <wps:style>
                                  <a:lnRef idx="2">
                                    <a:schemeClr val="dk1"/>
                                  </a:lnRef>
                                  <a:fillRef idx="0">
                                    <a:schemeClr val="dk1"/>
                                  </a:fillRef>
                                  <a:effectRef idx="1">
                                    <a:schemeClr val="dk1"/>
                                  </a:effectRef>
                                  <a:fontRef idx="minor">
                                    <a:schemeClr val="tx1"/>
                                  </a:fontRef>
                                </wps:style>
                                <wps:bodyPr/>
                              </wps:wsp>
                            </wpg:grpSp>
                            <wps:wsp>
                              <wps:cNvPr id="151261947" name="Rectangle: Rounded Corners 28"/>
                              <wps:cNvSpPr/>
                              <wps:spPr>
                                <a:xfrm>
                                  <a:off x="4754969" y="1041991"/>
                                  <a:ext cx="1085850" cy="576680"/>
                                </a:xfrm>
                                <a:prstGeom prst="roundRect">
                                  <a:avLst/>
                                </a:prstGeom>
                                <a:solidFill>
                                  <a:schemeClr val="accent2">
                                    <a:lumMod val="75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7CB4E4" w14:textId="77777777" w:rsidR="000E301F" w:rsidRPr="00DF458E" w:rsidRDefault="000E301F" w:rsidP="000E301F">
                                    <w:pPr>
                                      <w:spacing w:after="0"/>
                                      <w:jc w:val="center"/>
                                      <w:rPr>
                                        <w:rFonts w:cs="Arial"/>
                                        <w:b/>
                                        <w:bCs/>
                                        <w:i/>
                                        <w:iCs/>
                                        <w:color w:val="FFFFFF" w:themeColor="background1"/>
                                        <w:kern w:val="24"/>
                                      </w:rPr>
                                    </w:pPr>
                                    <w:r w:rsidRPr="00DF458E">
                                      <w:rPr>
                                        <w:rFonts w:cs="Arial"/>
                                        <w:b/>
                                        <w:bCs/>
                                        <w:i/>
                                        <w:iCs/>
                                        <w:color w:val="FFFFFF" w:themeColor="background1"/>
                                        <w:kern w:val="24"/>
                                      </w:rPr>
                                      <w:t>Population</w:t>
                                    </w:r>
                                  </w:p>
                                </w:txbxContent>
                              </wps:txbx>
                              <wps:bodyPr wrap="square" rtlCol="0" anchor="ctr">
                                <a:noAutofit/>
                              </wps:bodyPr>
                            </wps:wsp>
                          </wpg:grpSp>
                          <wps:wsp>
                            <wps:cNvPr id="162304989" name="Rectangle: Rounded Corners 1"/>
                            <wps:cNvSpPr/>
                            <wps:spPr>
                              <a:xfrm>
                                <a:off x="4666502" y="0"/>
                                <a:ext cx="977529" cy="287506"/>
                              </a:xfrm>
                              <a:prstGeom prst="roundRect">
                                <a:avLst/>
                              </a:prstGeom>
                              <a:solidFill>
                                <a:srgbClr val="007674"/>
                              </a:solidFill>
                              <a:ln>
                                <a:solidFill>
                                  <a:srgbClr val="0B76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347376" w14:textId="77777777" w:rsidR="000E301F" w:rsidRPr="009E6579" w:rsidRDefault="000E301F" w:rsidP="000E301F">
                                  <w:pPr>
                                    <w:spacing w:after="0"/>
                                    <w:jc w:val="center"/>
                                    <w:rPr>
                                      <w:rFonts w:cs="Arial"/>
                                      <w:b/>
                                      <w:bCs/>
                                      <w:i/>
                                      <w:iCs/>
                                      <w:color w:val="FFFFFF" w:themeColor="background1"/>
                                      <w:kern w:val="24"/>
                                      <w:sz w:val="20"/>
                                      <w:szCs w:val="20"/>
                                    </w:rPr>
                                  </w:pPr>
                                  <w:r w:rsidRPr="009E6579">
                                    <w:rPr>
                                      <w:rFonts w:cs="Arial"/>
                                      <w:b/>
                                      <w:bCs/>
                                      <w:i/>
                                      <w:iCs/>
                                      <w:color w:val="FFFFFF" w:themeColor="background1"/>
                                      <w:kern w:val="24"/>
                                      <w:sz w:val="20"/>
                                      <w:szCs w:val="20"/>
                                    </w:rPr>
                                    <w:t>Drivers</w:t>
                                  </w:r>
                                </w:p>
                              </w:txbxContent>
                            </wps:txbx>
                            <wps:bodyPr wrap="square" rtlCol="0" anchor="ctr">
                              <a:noAutofit/>
                            </wps:bodyPr>
                          </wps:wsp>
                        </wpg:grpSp>
                        <wps:wsp>
                          <wps:cNvPr id="1619266133" name="Rectangle 1"/>
                          <wps:cNvSpPr/>
                          <wps:spPr>
                            <a:xfrm>
                              <a:off x="4671703" y="6151418"/>
                              <a:ext cx="1286188" cy="308758"/>
                            </a:xfrm>
                            <a:prstGeom prst="rect">
                              <a:avLst/>
                            </a:prstGeom>
                            <a:solidFill>
                              <a:schemeClr val="bg1"/>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3E272C" w14:textId="77777777" w:rsidR="000E301F" w:rsidRPr="00D36EC6" w:rsidRDefault="000E301F" w:rsidP="000E301F">
                                <w:pPr>
                                  <w:spacing w:after="0"/>
                                  <w:jc w:val="center"/>
                                  <w:rPr>
                                    <w:rFonts w:cs="Arial"/>
                                    <w:i/>
                                    <w:iCs/>
                                    <w:color w:val="000000" w:themeColor="text1"/>
                                    <w:kern w:val="24"/>
                                    <w:sz w:val="18"/>
                                    <w:szCs w:val="18"/>
                                  </w:rPr>
                                </w:pPr>
                                <w:r>
                                  <w:rPr>
                                    <w:rFonts w:cs="Arial"/>
                                    <w:i/>
                                    <w:iCs/>
                                    <w:color w:val="000000" w:themeColor="text1"/>
                                    <w:kern w:val="24"/>
                                    <w:sz w:val="18"/>
                                    <w:szCs w:val="18"/>
                                  </w:rPr>
                                  <w:t>Business creation</w:t>
                                </w:r>
                              </w:p>
                            </w:txbxContent>
                          </wps:txbx>
                          <wps:bodyPr wrap="square" rtlCol="0" anchor="ctr">
                            <a:noAutofit/>
                          </wps:bodyPr>
                        </wps:wsp>
                      </wpg:grpSp>
                      <wpg:grpSp>
                        <wpg:cNvPr id="1135804976" name="Group 6"/>
                        <wpg:cNvGrpSpPr/>
                        <wpg:grpSpPr>
                          <a:xfrm>
                            <a:off x="4149436" y="1128156"/>
                            <a:ext cx="2122784" cy="2631180"/>
                            <a:chOff x="0" y="0"/>
                            <a:chExt cx="2122784" cy="2631180"/>
                          </a:xfrm>
                        </wpg:grpSpPr>
                        <wps:wsp>
                          <wps:cNvPr id="1509536118" name="Straight Arrow Connector 1"/>
                          <wps:cNvCnPr>
                            <a:cxnSpLocks/>
                          </wps:cNvCnPr>
                          <wps:spPr>
                            <a:xfrm flipH="1" flipV="1">
                              <a:off x="1133955" y="1273431"/>
                              <a:ext cx="0" cy="720000"/>
                            </a:xfrm>
                            <a:prstGeom prst="straightConnector1">
                              <a:avLst/>
                            </a:prstGeom>
                            <a:ln w="38100">
                              <a:solidFill>
                                <a:schemeClr val="tx1"/>
                              </a:solidFill>
                              <a:prstDash val="solid"/>
                              <a:headEnd type="none" w="med" len="med"/>
                              <a:tailEnd type="none" w="med" len="med"/>
                            </a:ln>
                          </wps:spPr>
                          <wps:style>
                            <a:lnRef idx="2">
                              <a:schemeClr val="dk1"/>
                            </a:lnRef>
                            <a:fillRef idx="0">
                              <a:schemeClr val="dk1"/>
                            </a:fillRef>
                            <a:effectRef idx="1">
                              <a:schemeClr val="dk1"/>
                            </a:effectRef>
                            <a:fontRef idx="minor">
                              <a:schemeClr val="tx1"/>
                            </a:fontRef>
                          </wps:style>
                          <wps:bodyPr/>
                        </wps:wsp>
                        <wps:wsp>
                          <wps:cNvPr id="1711688417" name="Rectangle 1"/>
                          <wps:cNvSpPr/>
                          <wps:spPr>
                            <a:xfrm>
                              <a:off x="1258784" y="0"/>
                              <a:ext cx="864000" cy="598624"/>
                            </a:xfrm>
                            <a:prstGeom prst="rect">
                              <a:avLst/>
                            </a:prstGeom>
                            <a:solidFill>
                              <a:schemeClr val="bg1"/>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718A65" w14:textId="77777777" w:rsidR="000E301F" w:rsidRPr="00D36EC6" w:rsidRDefault="000E301F" w:rsidP="000E301F">
                                <w:pPr>
                                  <w:spacing w:after="0"/>
                                  <w:jc w:val="center"/>
                                  <w:rPr>
                                    <w:rFonts w:cs="Arial"/>
                                    <w:i/>
                                    <w:iCs/>
                                    <w:color w:val="000000" w:themeColor="text1"/>
                                    <w:kern w:val="24"/>
                                    <w:sz w:val="18"/>
                                    <w:szCs w:val="18"/>
                                  </w:rPr>
                                </w:pPr>
                                <w:r>
                                  <w:rPr>
                                    <w:rFonts w:cs="Arial"/>
                                    <w:i/>
                                    <w:iCs/>
                                    <w:color w:val="000000" w:themeColor="text1"/>
                                    <w:kern w:val="24"/>
                                    <w:sz w:val="18"/>
                                    <w:szCs w:val="18"/>
                                  </w:rPr>
                                  <w:t>Internal and inter-region mobility</w:t>
                                </w:r>
                              </w:p>
                            </w:txbxContent>
                          </wps:txbx>
                          <wps:bodyPr wrap="square" rtlCol="0" anchor="ctr">
                            <a:noAutofit/>
                          </wps:bodyPr>
                        </wps:wsp>
                        <wps:wsp>
                          <wps:cNvPr id="1760625230" name="Straight Arrow Connector 1"/>
                          <wps:cNvCnPr>
                            <a:cxnSpLocks/>
                          </wps:cNvCnPr>
                          <wps:spPr>
                            <a:xfrm>
                              <a:off x="247" y="1983180"/>
                              <a:ext cx="0" cy="648000"/>
                            </a:xfrm>
                            <a:prstGeom prst="straightConnector1">
                              <a:avLst/>
                            </a:prstGeom>
                            <a:ln w="38100">
                              <a:solidFill>
                                <a:schemeClr val="tx1"/>
                              </a:solidFill>
                              <a:prstDash val="solid"/>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wps:wsp>
                          <wps:cNvPr id="1329097628" name="Straight Arrow Connector 1"/>
                          <wps:cNvCnPr>
                            <a:cxnSpLocks/>
                          </wps:cNvCnPr>
                          <wps:spPr>
                            <a:xfrm flipV="1">
                              <a:off x="0" y="1978479"/>
                              <a:ext cx="1151890" cy="0"/>
                            </a:xfrm>
                            <a:prstGeom prst="straightConnector1">
                              <a:avLst/>
                            </a:prstGeom>
                            <a:ln w="38100">
                              <a:solidFill>
                                <a:schemeClr val="tx1"/>
                              </a:solidFill>
                              <a:prstDash val="solid"/>
                              <a:headEnd type="none" w="med" len="med"/>
                              <a:tailEnd type="none" w="med" len="med"/>
                            </a:ln>
                          </wps:spPr>
                          <wps:style>
                            <a:lnRef idx="2">
                              <a:schemeClr val="dk1"/>
                            </a:lnRef>
                            <a:fillRef idx="0">
                              <a:schemeClr val="dk1"/>
                            </a:fillRef>
                            <a:effectRef idx="1">
                              <a:schemeClr val="dk1"/>
                            </a:effectRef>
                            <a:fontRef idx="minor">
                              <a:schemeClr val="tx1"/>
                            </a:fontRef>
                          </wps:style>
                          <wps:bodyPr/>
                        </wps:wsp>
                      </wpg:grpSp>
                    </wpg:wgp>
                  </a:graphicData>
                </a:graphic>
              </wp:inline>
            </w:drawing>
          </mc:Choice>
          <mc:Fallback>
            <w:pict>
              <v:group w14:anchorId="28AD7C65" id="Group 7" o:spid="_x0000_s1028" alt="A flow diagram that provides an overview of the jobs and skills system, including stakeholders and policies. The diagram illustrates the complexity of the jobs and skills system due to the inter-relatedness of systems, stakeholders, government policies and drivers (such as population and demand for products and services)." style="width:521.55pt;height:508.7pt;mso-position-horizontal-relative:char;mso-position-vertical-relative:line" coordsize="66236,64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">
                <v:group id="Group 5" o:spid="_x0000_s1029" style="position:absolute;width:66236;height:64601" coordsize="66236,6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">
                  <v:group id="Group 4" o:spid="_x0000_s1030" style="position:absolute;width:66236;height:63048" coordorigin=",-831" coordsize="66236,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">
                    <v:group id="Group 3" o:spid="_x0000_s1031" style="position:absolute;top:-831;width:66236;height:63048" coordorigin=",-7557" coordsize="66236,63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">
                      <v:shapetype id="_x0000_t32" coordsize="21600,21600" o:spt="32" o:oned="t" path="m,l21600,21600e" filled="f">
                        <v:path arrowok="t" fillok="f" o:connecttype="none"/>
                        <o:lock v:ext="edit" shapetype="t"/>
                      </v:shapetype>
                      <v:shape id="Straight Arrow Connector 1" o:spid="_x0000_s1032" type="#_x0000_t32" style="position:absolute;left:55820;top:13374;width:635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" strokecolor="black [3213]" strokeweight="3pt">
                        <v:stroke joinstyle="miter"/>
                        <o:lock v:ext="edit" shapetype="f"/>
                      </v:shape>
                      <v:group id="Group 2" o:spid="_x0000_s1033" style="position:absolute;top:-7557;width:66236;height:63051" coordorigin=",-7557" coordsize="66236,63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">
                        <v:group id="Group 1" o:spid="_x0000_s1034" style="position:absolute;top:-7557;width:66236;height:63051" coordorigin=",-5962" coordsize="65817,6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">
                          <v:group id="Group 14" o:spid="_x0000_s1035" style="position:absolute;top:-5962;width:65817;height:63073" coordorigin="1425,-5475" coordsize="65822,6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">
                            <v:rect id="Rectangle 1" o:spid="_x0000_s1036" style="position:absolute;left:14772;top:38166;width:30240;height:17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" fillcolor="#f2f2f2 [3052]" strokecolor="#7f7f7f [1612]" strokeweight="1.5pt">
                              <v:stroke dashstyle="1 1"/>
                            </v:rect>
                            <v:rect id="Rectangle 1" o:spid="_x0000_s1037" style="position:absolute;left:2659;top:10259;width:32854;height:13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" fillcolor="#f2f2f2 [3052]" strokecolor="#7f7f7f [1612]" strokeweight="1.5pt">
                              <v:stroke dashstyle="1 1"/>
                            </v:rect>
                            <v:group id="Group 11" o:spid="_x0000_s1038" style="position:absolute;left:1425;top:-5475;width:65822;height:63079" coordorigin="784,-5641" coordsize="65825,6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">
                              <v:group id="Group 9" o:spid="_x0000_s1039" style="position:absolute;left:784;top:6365;width:61621;height:49076" coordorigin="784,6365" coordsize="61621,4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">
                                <v:group id="Group 8" o:spid="_x0000_s1040" style="position:absolute;left:784;top:6365;width:61621;height:45694" coordorigin="784,6365" coordsize="61621,4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">
                                  <v:group id="_x0000_s1041" style="position:absolute;left:784;top:6365;width:61621;height:45694" coordorigin="784,6365" coordsize="61621,4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">
                                    <v:group id="Group 6" o:spid="_x0000_s1042" style="position:absolute;left:19784;top:6484;width:42621;height:33628" coordorigin="19784,6484" coordsize="42621,3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">
                                      <v:shape id="Straight Arrow Connector 1" o:spid="_x0000_s1043" type="#_x0000_t32" style="position:absolute;left:44960;top:35295;width:158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" strokecolor="black [3213]" strokeweight="3pt">
                                        <v:stroke endarrow="block" joinstyle="miter"/>
                                        <o:lock v:ext="edit" shapetype="f"/>
                                      </v:shape>
                                      <v:shape id="Straight Arrow Connector 1" o:spid="_x0000_s1044" type="#_x0000_t32" style="position:absolute;left:41860;top:15312;width:6363;height: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" strokecolor="gray [1629]" strokeweight="2.25pt">
                                        <v:stroke dashstyle="3 1" startarrow="block" joinstyle="miter"/>
                                        <o:lock v:ext="edit" shapetype="f"/>
                                      </v:shape>
                                      <v:shape id="Straight Arrow Connector 1" o:spid="_x0000_s1045" type="#_x0000_t32" style="position:absolute;left:62405;top:15216;width:0;height:248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" strokecolor="black [3213]" strokeweight="3pt">
                                        <v:stroke startarrow="block" joinstyle="miter"/>
                                        <o:lock v:ext="edit" shapetype="f"/>
                                      </v:shape>
                                      <v:shape id="Straight Arrow Connector 1" o:spid="_x0000_s1046" type="#_x0000_t32" style="position:absolute;left:19784;top:6484;width:20883;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" strokecolor="gray [1629]" strokeweight="2.25pt">
                                        <v:stroke dashstyle="3 1" joinstyle="miter"/>
                                        <o:lock v:ext="edit" shapetype="f"/>
                                      </v:shape>
                                      <v:shape id="Straight Arrow Connector 1" o:spid="_x0000_s1047" type="#_x0000_t32" style="position:absolute;left:60733;top:35222;width:0;height:48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" strokecolor="black [3213]" strokeweight="3pt">
                                        <v:stroke startarrow="block" joinstyle="miter"/>
                                        <o:lock v:ext="edit" shapetype="f"/>
                                      </v:shape>
                                    </v:group>
                                    <v:shape id="Straight Arrow Connector 1" o:spid="_x0000_s1048" type="#_x0000_t32" style="position:absolute;left:784;top:6365;width:16916;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" strokecolor="gray [1629]" strokeweight="2.25pt">
                                      <v:stroke dashstyle="3 1" joinstyle="miter"/>
                                      <o:lock v:ext="edit" shapetype="f"/>
                                    </v:shape>
                                    <v:shape id="Straight Arrow Connector 1" o:spid="_x0000_s1049" type="#_x0000_t32" style="position:absolute;left:29108;top:38014;width:0;height:140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" strokecolor="#4b0885" strokeweight="6pt">
                                      <v:stroke startarrow="block" endarrow="block" joinstyle="miter"/>
                                      <o:lock v:ext="edit" shapetype="f"/>
                                    </v:shape>
                                    <v:shape id="Straight Arrow Connector 24" o:spid="_x0000_s1050" type="#_x0000_t32" style="position:absolute;left:18342;top:20915;width:0;height:115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" strokecolor="#4b0885" strokeweight="6pt">
                                      <v:stroke startarrow="block" endarrow="block" joinstyle="miter"/>
                                      <o:lock v:ext="edit" shapetype="f"/>
                                    </v:shape>
                                    <v:shape id="Straight Arrow Connector 1" o:spid="_x0000_s1051" type="#_x0000_t32" style="position:absolute;left:39587;top:18168;width:0;height:143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" strokecolor="#4b0885" strokeweight="6pt">
                                      <v:stroke endarrow="block" joinstyle="miter"/>
                                      <o:lock v:ext="edit" shapetype="f"/>
                                    </v:shape>
                                    <v:shape id="Straight Arrow Connector 1" o:spid="_x0000_s1052" type="#_x0000_t32" style="position:absolute;left:17671;top:6603;width:0;height:28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" strokecolor="gray [1629]" strokeweight="2.25pt">
                                      <v:stroke dashstyle="3 1" startarrow="block" joinstyle="miter"/>
                                      <o:lock v:ext="edit" shapetype="f"/>
                                    </v:shape>
                                  </v:group>
                                  <v:shape id="Straight Arrow Connector 1" o:spid="_x0000_s1053" type="#_x0000_t32" style="position:absolute;left:19928;top:6603;width:0;height:28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" strokecolor="gray [1629]" strokeweight="2.25pt">
                                    <v:stroke dashstyle="3 1" startarrow="block" joinstyle="miter"/>
                                    <o:lock v:ext="edit" shapetype="f"/>
                                  </v:shape>
                                  <v:shape id="Straight Arrow Connector 1" o:spid="_x0000_s1054" type="#_x0000_t32" style="position:absolute;left:40781;top:6484;width:0;height:35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" strokecolor="gray [1629]" strokeweight="2.25pt">
                                    <v:stroke dashstyle="3 1" joinstyle="miter"/>
                                    <o:lock v:ext="edit" shapetype="f"/>
                                  </v:shape>
                                </v:group>
                                <v:shape id="Straight Arrow Connector 1" o:spid="_x0000_s1055" type="#_x0000_t32" style="position:absolute;left:951;top:6365;width:0;height:489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" strokecolor="gray [1629]" strokeweight="2.25pt">
                                  <v:stroke dashstyle="3 1" joinstyle="miter"/>
                                  <o:lock v:ext="edit" shapetype="f"/>
                                </v:shape>
                                <v:shape id="Straight Arrow Connector 1" o:spid="_x0000_s1056" type="#_x0000_t32" style="position:absolute;left:951;top:55143;width:14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" strokecolor="gray [1629]" strokeweight="2.25pt">
                                  <v:stroke dashstyle="3 1" joinstyle="miter"/>
                                  <o:lock v:ext="edit" shapetype="f"/>
                                </v:shape>
                                <v:shape id="Straight Arrow Connector 1" o:spid="_x0000_s1057" type="#_x0000_t32" style="position:absolute;left:44729;top:55355;width:1728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" strokecolor="black [3213]" strokeweight="3pt">
                                  <v:stroke startarrow="block" joinstyle="miter"/>
                                  <o:lock v:ext="edit" shapetype="f"/>
                                </v:shape>
                                <v:shape id="Straight Arrow Connector 1" o:spid="_x0000_s1058" type="#_x0000_t32" style="position:absolute;left:62010;top:51840;width:0;height:36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" strokecolor="black [3213]" strokeweight="3pt">
                                  <v:stroke endarrow="block" joinstyle="miter"/>
                                  <o:lock v:ext="edit" shapetype="f"/>
                                </v:shape>
                              </v:group>
                              <v:group id="Group 3" o:spid="_x0000_s1059" style="position:absolute;left:2450;top:11632;width:52864;height:40302" coordorigin="2331,1063" coordsize="52864,4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">
                                <v:group id="Group 37" o:spid="_x0000_s1060" style="position:absolute;left:2338;top:1063;width:41387;height:38642" coordorigin="-4047,-4900" coordsize="41397,3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">
                                  <v:roundrect id="Rectangle: Rounded Corners 30" o:spid="_x0000_s1061" style="position:absolute;left:-4047;top:23702;width:9714;height:32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" fillcolor="#012749" strokecolor="#7f7f7f [1612]" strokeweight="1pt">
                                    <v:stroke joinstyle="miter"/>
                                    <v:textbox>
                                      <w:txbxContent>
                                        <w:p w14:paraId="4C75EE10" w14:textId="77777777" w:rsidR="000E301F" w:rsidRPr="001D6A1B" w:rsidRDefault="000E301F" w:rsidP="000E301F">
                                          <w:pPr>
                                            <w:spacing w:after="0"/>
                                            <w:jc w:val="center"/>
                                            <w:rPr>
                                              <w:rFonts w:cs="Arial"/>
                                              <w:color w:val="FFFFFF" w:themeColor="background1"/>
                                              <w:kern w:val="24"/>
                                              <w:sz w:val="20"/>
                                              <w:szCs w:val="20"/>
                                            </w:rPr>
                                          </w:pPr>
                                          <w:r w:rsidRPr="001D6A1B">
                                            <w:rPr>
                                              <w:rFonts w:cs="Arial"/>
                                              <w:color w:val="FFFFFF" w:themeColor="background1"/>
                                              <w:kern w:val="24"/>
                                              <w:sz w:val="20"/>
                                              <w:szCs w:val="20"/>
                                            </w:rPr>
                                            <w:t>Unions</w:t>
                                          </w:r>
                                        </w:p>
                                      </w:txbxContent>
                                    </v:textbox>
                                  </v:roundrect>
                                  <v:roundrect id="Rectangle: Rounded Corners 32" o:spid="_x0000_s1062" style="position:absolute;left:27634;top:29438;width:9715;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" fillcolor="#012749" strokecolor="#7f7f7f [1612]" strokeweight="1pt">
                                    <v:stroke joinstyle="miter"/>
                                    <v:textbox>
                                      <w:txbxContent>
                                        <w:p w14:paraId="633AB905" w14:textId="77777777" w:rsidR="000E301F" w:rsidRPr="001D6A1B" w:rsidRDefault="000E301F" w:rsidP="000E301F">
                                          <w:pPr>
                                            <w:spacing w:after="0"/>
                                            <w:jc w:val="center"/>
                                            <w:rPr>
                                              <w:rFonts w:cs="Arial"/>
                                              <w:color w:val="FFFFFF" w:themeColor="background1"/>
                                              <w:kern w:val="24"/>
                                              <w:sz w:val="20"/>
                                              <w:szCs w:val="20"/>
                                            </w:rPr>
                                          </w:pPr>
                                          <w:r w:rsidRPr="001D6A1B">
                                            <w:rPr>
                                              <w:rFonts w:cs="Arial"/>
                                              <w:color w:val="FFFFFF" w:themeColor="background1"/>
                                              <w:kern w:val="24"/>
                                              <w:sz w:val="20"/>
                                              <w:szCs w:val="20"/>
                                            </w:rPr>
                                            <w:t>Recruitment firms</w:t>
                                          </w:r>
                                        </w:p>
                                      </w:txbxContent>
                                    </v:textbox>
                                  </v:roundrect>
                                  <v:roundrect id="Rectangle: Rounded Corners 33" o:spid="_x0000_s1063" style="position:absolute;left:27634;top:22366;width:9715;height:50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" fillcolor="#012749" strokecolor="#7f7f7f [1612]" strokeweight="1pt">
                                    <v:stroke joinstyle="miter"/>
                                    <v:textbox>
                                      <w:txbxContent>
                                        <w:p w14:paraId="5ED8F385" w14:textId="77777777" w:rsidR="000E301F" w:rsidRPr="001D6A1B" w:rsidRDefault="000E301F" w:rsidP="000E301F">
                                          <w:pPr>
                                            <w:spacing w:after="0"/>
                                            <w:jc w:val="center"/>
                                            <w:rPr>
                                              <w:rFonts w:cs="Arial"/>
                                              <w:color w:val="FFFFFF" w:themeColor="background1"/>
                                              <w:kern w:val="24"/>
                                              <w:sz w:val="20"/>
                                              <w:szCs w:val="20"/>
                                            </w:rPr>
                                          </w:pPr>
                                          <w:r w:rsidRPr="001D6A1B">
                                            <w:rPr>
                                              <w:rFonts w:cs="Arial"/>
                                              <w:color w:val="FFFFFF" w:themeColor="background1"/>
                                              <w:kern w:val="24"/>
                                              <w:sz w:val="20"/>
                                              <w:szCs w:val="20"/>
                                            </w:rPr>
                                            <w:t>Employment services</w:t>
                                          </w:r>
                                        </w:p>
                                      </w:txbxContent>
                                    </v:textbox>
                                  </v:roundrect>
                                  <v:roundrect id="Rectangle: Rounded Corners 34" o:spid="_x0000_s1064" style="position:absolute;left:-4047;top:28978;width:9714;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" fillcolor="#012749" strokecolor="#7f7f7f [1612]" strokeweight="1pt">
                                    <v:stroke joinstyle="miter"/>
                                    <v:textbox>
                                      <w:txbxContent>
                                        <w:p w14:paraId="44031513" w14:textId="77777777" w:rsidR="000E301F" w:rsidRPr="001D6A1B" w:rsidRDefault="000E301F" w:rsidP="000E301F">
                                          <w:pPr>
                                            <w:spacing w:after="0"/>
                                            <w:jc w:val="center"/>
                                            <w:rPr>
                                              <w:rFonts w:cs="Arial"/>
                                              <w:color w:val="FFFFFF" w:themeColor="background1"/>
                                              <w:kern w:val="24"/>
                                              <w:sz w:val="20"/>
                                              <w:szCs w:val="20"/>
                                            </w:rPr>
                                          </w:pPr>
                                          <w:r w:rsidRPr="001D6A1B">
                                            <w:rPr>
                                              <w:rFonts w:cs="Arial"/>
                                              <w:color w:val="FFFFFF" w:themeColor="background1"/>
                                              <w:kern w:val="24"/>
                                              <w:sz w:val="20"/>
                                              <w:szCs w:val="20"/>
                                            </w:rPr>
                                            <w:t>Industry bodies</w:t>
                                          </w:r>
                                        </w:p>
                                      </w:txbxContent>
                                    </v:textbox>
                                  </v:roundrect>
                                  <v:roundrect id="_x0000_s1065" style="position:absolute;left:-4047;top:-4900;width:10080;height:4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" fillcolor="#012749" strokecolor="#7f7f7f [1612]" strokeweight="1pt">
                                    <v:stroke joinstyle="miter"/>
                                    <v:textbox>
                                      <w:txbxContent>
                                        <w:p w14:paraId="454C58FD" w14:textId="77777777" w:rsidR="000E301F" w:rsidRPr="001D6A1B" w:rsidRDefault="000E301F" w:rsidP="000E301F">
                                          <w:pPr>
                                            <w:spacing w:after="0"/>
                                            <w:jc w:val="center"/>
                                            <w:rPr>
                                              <w:rFonts w:cs="Arial"/>
                                              <w:color w:val="FFFFFF" w:themeColor="background1"/>
                                              <w:kern w:val="24"/>
                                              <w:sz w:val="20"/>
                                              <w:szCs w:val="20"/>
                                            </w:rPr>
                                          </w:pPr>
                                          <w:r>
                                            <w:rPr>
                                              <w:rFonts w:cs="Arial"/>
                                              <w:color w:val="FFFFFF" w:themeColor="background1"/>
                                              <w:kern w:val="24"/>
                                              <w:sz w:val="20"/>
                                              <w:szCs w:val="20"/>
                                            </w:rPr>
                                            <w:t>Childcare providers</w:t>
                                          </w:r>
                                        </w:p>
                                      </w:txbxContent>
                                    </v:textbox>
                                  </v:roundrect>
                                  <v:roundrect id="Rectangle 1" o:spid="_x0000_s1066" style="position:absolute;left:17596;top:-4900;width:10081;height:4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" fillcolor="#012749" strokecolor="#7f7f7f [1612]" strokeweight="1pt">
                                    <v:stroke joinstyle="miter"/>
                                    <v:textbox>
                                      <w:txbxContent>
                                        <w:p w14:paraId="1CFEA8A5" w14:textId="77777777" w:rsidR="000E301F" w:rsidRPr="001D6A1B" w:rsidRDefault="000E301F" w:rsidP="000E301F">
                                          <w:pPr>
                                            <w:spacing w:after="0"/>
                                            <w:jc w:val="center"/>
                                            <w:rPr>
                                              <w:rFonts w:cs="Arial"/>
                                              <w:color w:val="FFFFFF" w:themeColor="background1"/>
                                              <w:kern w:val="24"/>
                                              <w:sz w:val="20"/>
                                              <w:szCs w:val="20"/>
                                            </w:rPr>
                                          </w:pPr>
                                          <w:r w:rsidRPr="001D6A1B">
                                            <w:rPr>
                                              <w:rFonts w:cs="Arial"/>
                                              <w:color w:val="FFFFFF" w:themeColor="background1"/>
                                              <w:kern w:val="24"/>
                                              <w:sz w:val="20"/>
                                              <w:szCs w:val="20"/>
                                            </w:rPr>
                                            <w:t>TAFES &amp; RTOs</w:t>
                                          </w:r>
                                        </w:p>
                                      </w:txbxContent>
                                    </v:textbox>
                                  </v:roundrect>
                                  <v:roundrect id="Rectangle 2" o:spid="_x0000_s1067" style="position:absolute;left:-4047;top:698;width:10080;height:4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" fillcolor="#012749" strokecolor="#7f7f7f [1612]" strokeweight="1pt">
                                    <v:stroke joinstyle="miter"/>
                                    <v:textbox>
                                      <w:txbxContent>
                                        <w:p w14:paraId="70988766" w14:textId="77777777" w:rsidR="000E301F" w:rsidRPr="001D6A1B" w:rsidRDefault="000E301F" w:rsidP="000E301F">
                                          <w:pPr>
                                            <w:spacing w:after="0"/>
                                            <w:jc w:val="center"/>
                                            <w:rPr>
                                              <w:rFonts w:cs="Arial"/>
                                              <w:color w:val="FFFFFF" w:themeColor="background1"/>
                                              <w:kern w:val="24"/>
                                              <w:sz w:val="20"/>
                                              <w:szCs w:val="20"/>
                                            </w:rPr>
                                          </w:pPr>
                                          <w:r w:rsidRPr="001D6A1B">
                                            <w:rPr>
                                              <w:rFonts w:cs="Arial"/>
                                              <w:color w:val="FFFFFF" w:themeColor="background1"/>
                                              <w:kern w:val="24"/>
                                              <w:sz w:val="20"/>
                                              <w:szCs w:val="20"/>
                                            </w:rPr>
                                            <w:t>Schools</w:t>
                                          </w:r>
                                        </w:p>
                                      </w:txbxContent>
                                    </v:textbox>
                                  </v:roundrect>
                                  <v:roundrect id="Rectangle 3" o:spid="_x0000_s1068" style="position:absolute;left:17552;top:798;width:10082;height:4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" fillcolor="#012749" strokecolor="#7f7f7f [1612]" strokeweight="1pt">
                                    <v:stroke joinstyle="miter"/>
                                    <v:textbox>
                                      <w:txbxContent>
                                        <w:p w14:paraId="268F3C82" w14:textId="77777777" w:rsidR="000E301F" w:rsidRPr="001D6A1B" w:rsidRDefault="000E301F" w:rsidP="000E301F">
                                          <w:pPr>
                                            <w:spacing w:after="0"/>
                                            <w:jc w:val="center"/>
                                            <w:rPr>
                                              <w:rFonts w:cs="Arial"/>
                                              <w:color w:val="FFFFFF" w:themeColor="background1"/>
                                              <w:kern w:val="24"/>
                                              <w:sz w:val="20"/>
                                              <w:szCs w:val="20"/>
                                            </w:rPr>
                                          </w:pPr>
                                          <w:r w:rsidRPr="001D6A1B">
                                            <w:rPr>
                                              <w:rFonts w:cs="Arial"/>
                                              <w:color w:val="FFFFFF" w:themeColor="background1"/>
                                              <w:kern w:val="24"/>
                                              <w:sz w:val="20"/>
                                              <w:szCs w:val="20"/>
                                            </w:rPr>
                                            <w:t>Universities</w:t>
                                          </w:r>
                                        </w:p>
                                      </w:txbxContent>
                                    </v:textbox>
                                  </v:roundrect>
                                </v:group>
                                <v:roundrect id="Rectangle: Rounded Corners 12" o:spid="_x0000_s1069" style="position:absolute;left:44833;top:34240;width:10363;height:7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" fillcolor="#012749" strokecolor="#7f7f7f [1612]" strokeweight="1pt">
                                  <v:stroke joinstyle="miter"/>
                                  <v:textbox>
                                    <w:txbxContent>
                                      <w:p w14:paraId="601102CB" w14:textId="77777777" w:rsidR="000E301F" w:rsidRPr="001D6A1B" w:rsidRDefault="000E301F" w:rsidP="000E301F">
                                        <w:pPr>
                                          <w:spacing w:after="0"/>
                                          <w:jc w:val="center"/>
                                          <w:rPr>
                                            <w:rFonts w:cs="Arial"/>
                                            <w:color w:val="FFFFFF" w:themeColor="background1"/>
                                            <w:kern w:val="24"/>
                                            <w:sz w:val="20"/>
                                            <w:szCs w:val="20"/>
                                          </w:rPr>
                                        </w:pPr>
                                        <w:r w:rsidRPr="001D6A1B">
                                          <w:rPr>
                                            <w:rFonts w:cs="Arial"/>
                                            <w:color w:val="FFFFFF" w:themeColor="background1"/>
                                            <w:kern w:val="24"/>
                                            <w:sz w:val="20"/>
                                            <w:szCs w:val="20"/>
                                          </w:rPr>
                                          <w:t>Regional development associations</w:t>
                                        </w:r>
                                      </w:p>
                                    </w:txbxContent>
                                  </v:textbox>
                                </v:roundrect>
                                <v:roundrect id="Rectangle 1" o:spid="_x0000_s1070" style="position:absolute;left:2331;top:16108;width:9720;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" fillcolor="#012749" strokecolor="#7f7f7f [1612]" strokeweight="1pt">
                                  <v:stroke joinstyle="miter"/>
                                  <v:textbox>
                                    <w:txbxContent>
                                      <w:p w14:paraId="07A50F19" w14:textId="77777777" w:rsidR="000E301F" w:rsidRPr="001D6A1B" w:rsidRDefault="000E301F" w:rsidP="000E301F">
                                        <w:pPr>
                                          <w:spacing w:after="0"/>
                                          <w:jc w:val="center"/>
                                          <w:rPr>
                                            <w:rFonts w:cs="Arial"/>
                                            <w:color w:val="FFFFFF" w:themeColor="background1"/>
                                            <w:kern w:val="24"/>
                                            <w:sz w:val="20"/>
                                            <w:szCs w:val="20"/>
                                          </w:rPr>
                                        </w:pPr>
                                        <w:r w:rsidRPr="001D6A1B">
                                          <w:rPr>
                                            <w:rFonts w:cs="Arial"/>
                                            <w:color w:val="FFFFFF" w:themeColor="background1"/>
                                            <w:kern w:val="24"/>
                                            <w:sz w:val="20"/>
                                            <w:szCs w:val="20"/>
                                          </w:rPr>
                                          <w:t>Jobs &amp; Skills Councils</w:t>
                                        </w:r>
                                      </w:p>
                                    </w:txbxContent>
                                  </v:textbox>
                                </v:roundrect>
                              </v:group>
                              <v:group id="Group 10" o:spid="_x0000_s1071" style="position:absolute;left:2163;top:1919;width:64447;height:55520" coordorigin="-1161,-1999" coordsize="64446,5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">
                                <v:rect id="Rectangle 1" o:spid="_x0000_s1072" style="position:absolute;left:44922;top:26845;width:10909;height:4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" fillcolor="white [3212]" strokecolor="#7f7f7f [1612]" strokeweight="1pt">
                                  <v:textbox>
                                    <w:txbxContent>
                                      <w:p w14:paraId="6240F464" w14:textId="77777777" w:rsidR="000E301F" w:rsidRPr="00D36EC6" w:rsidRDefault="000E301F" w:rsidP="000E301F">
                                        <w:pPr>
                                          <w:spacing w:after="0"/>
                                          <w:jc w:val="center"/>
                                          <w:rPr>
                                            <w:rFonts w:cs="Arial"/>
                                            <w:i/>
                                            <w:iCs/>
                                            <w:color w:val="000000" w:themeColor="text1"/>
                                            <w:kern w:val="24"/>
                                            <w:sz w:val="18"/>
                                            <w:szCs w:val="18"/>
                                          </w:rPr>
                                        </w:pPr>
                                        <w:r>
                                          <w:rPr>
                                            <w:rFonts w:cs="Arial"/>
                                            <w:i/>
                                            <w:iCs/>
                                            <w:color w:val="000000" w:themeColor="text1"/>
                                            <w:kern w:val="24"/>
                                            <w:sz w:val="18"/>
                                            <w:szCs w:val="18"/>
                                          </w:rPr>
                                          <w:t>Sole-traders &amp;</w:t>
                                        </w:r>
                                        <w:r w:rsidRPr="00D36EC6">
                                          <w:rPr>
                                            <w:rFonts w:cs="Arial"/>
                                            <w:i/>
                                            <w:iCs/>
                                            <w:color w:val="000000" w:themeColor="text1"/>
                                            <w:kern w:val="24"/>
                                            <w:sz w:val="18"/>
                                            <w:szCs w:val="18"/>
                                          </w:rPr>
                                          <w:t xml:space="preserve"> self-employment</w:t>
                                        </w:r>
                                      </w:p>
                                    </w:txbxContent>
                                  </v:textbox>
                                </v:rect>
                                <v:group id="Group 5" o:spid="_x0000_s1073" style="position:absolute;left:-1161;top:-1999;width:64446;height:55519" coordorigin="-1161,-1999" coordsize="64446,5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">
                                  <v:rect id="Rectangle 31" o:spid="_x0000_s1074" style="position:absolute;left:21625;top:37645;width:8449;height:6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" fillcolor="#4b0885" strokecolor="#7f7f7f [1612]" strokeweight="1pt">
                                    <v:textbox>
                                      <w:txbxContent>
                                        <w:p w14:paraId="70EC9703" w14:textId="77777777" w:rsidR="000E301F" w:rsidRPr="00CE3555" w:rsidRDefault="000E301F" w:rsidP="000E301F">
                                          <w:pPr>
                                            <w:spacing w:after="0"/>
                                            <w:jc w:val="center"/>
                                            <w:rPr>
                                              <w:rFonts w:cs="Arial"/>
                                              <w:b/>
                                              <w:bCs/>
                                              <w:color w:val="FFFFFF" w:themeColor="light1"/>
                                              <w:kern w:val="24"/>
                                            </w:rPr>
                                          </w:pPr>
                                          <w:r w:rsidRPr="00CE3555">
                                            <w:rPr>
                                              <w:rFonts w:cs="Arial"/>
                                              <w:b/>
                                              <w:bCs/>
                                              <w:color w:val="FFFFFF" w:themeColor="light1"/>
                                              <w:kern w:val="24"/>
                                            </w:rPr>
                                            <w:t>Jobs market</w:t>
                                          </w:r>
                                        </w:p>
                                      </w:txbxContent>
                                    </v:textbox>
                                  </v:rect>
                                  <v:group id="Group 4" o:spid="_x0000_s1075" style="position:absolute;left:-1161;top:-1999;width:64446;height:55519" coordorigin="-1161,-1999" coordsize="64446,5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">
                                    <v:group id="Group 40" o:spid="_x0000_s1076" style="position:absolute;left:-1161;top:-1999;width:64446;height:55519" coordorigin="6613,-1209" coordsize="64483,5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">
                                      <v:group id="Group 36" o:spid="_x0000_s1077" style="position:absolute;left:17417;top:6858;width:53679;height:47509" coordorigin="15472,6858" coordsize="53678,4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">
                                        <v:rect id="Rectangle 29" o:spid="_x0000_s1078" style="position:absolute;left:16386;top:48964;width:30577;height: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" fillcolor="#012749" strokecolor="#7f7f7f [1612]" strokeweight="1pt">
                                          <v:textbox>
                                            <w:txbxContent>
                                              <w:p w14:paraId="3F6A4381" w14:textId="77777777" w:rsidR="000E301F" w:rsidRPr="00CE3555" w:rsidRDefault="000E301F" w:rsidP="000E301F">
                                                <w:pPr>
                                                  <w:spacing w:after="0"/>
                                                  <w:jc w:val="center"/>
                                                  <w:rPr>
                                                    <w:rFonts w:cs="Arial"/>
                                                    <w:b/>
                                                    <w:bCs/>
                                                    <w:color w:val="FFFFFF" w:themeColor="light1"/>
                                                    <w:kern w:val="24"/>
                                                  </w:rPr>
                                                </w:pPr>
                                                <w:r w:rsidRPr="00CE3555">
                                                  <w:rPr>
                                                    <w:rFonts w:cs="Arial"/>
                                                    <w:b/>
                                                    <w:bCs/>
                                                    <w:color w:val="FFFFFF" w:themeColor="light1"/>
                                                    <w:kern w:val="24"/>
                                                  </w:rPr>
                                                  <w:t>Employers</w:t>
                                                </w:r>
                                                <w:r>
                                                  <w:rPr>
                                                    <w:rFonts w:cs="Arial"/>
                                                    <w:b/>
                                                    <w:bCs/>
                                                    <w:color w:val="FFFFFF" w:themeColor="light1"/>
                                                    <w:kern w:val="24"/>
                                                  </w:rPr>
                                                  <w:t>, businesses and firms</w:t>
                                                </w:r>
                                                <w:r w:rsidRPr="00CE3555">
                                                  <w:rPr>
                                                    <w:rFonts w:cs="Arial"/>
                                                    <w:b/>
                                                    <w:bCs/>
                                                    <w:color w:val="FFFFFF" w:themeColor="light1"/>
                                                    <w:kern w:val="24"/>
                                                  </w:rPr>
                                                  <w:t xml:space="preserve"> </w:t>
                                                </w:r>
                                              </w:p>
                                              <w:p w14:paraId="6AAC779D" w14:textId="77777777" w:rsidR="000E301F" w:rsidRPr="00CE3555" w:rsidRDefault="000E301F" w:rsidP="000E301F">
                                                <w:pPr>
                                                  <w:spacing w:after="0"/>
                                                  <w:jc w:val="center"/>
                                                  <w:rPr>
                                                    <w:rFonts w:cs="Arial"/>
                                                    <w:b/>
                                                    <w:bCs/>
                                                    <w:color w:val="FFFFFF" w:themeColor="light1"/>
                                                    <w:kern w:val="24"/>
                                                  </w:rPr>
                                                </w:pPr>
                                                <w:r w:rsidRPr="00CE3555">
                                                  <w:rPr>
                                                    <w:rFonts w:cs="Arial"/>
                                                    <w:i/>
                                                    <w:iCs/>
                                                    <w:color w:val="FFFFFF" w:themeColor="light1"/>
                                                    <w:kern w:val="24"/>
                                                  </w:rPr>
                                                  <w:t>(demand for labour)</w:t>
                                                </w:r>
                                              </w:p>
                                            </w:txbxContent>
                                          </v:textbox>
                                        </v:rect>
                                        <v:rect id="Rectangle 35" o:spid="_x0000_s1079" style="position:absolute;left:16493;top:29336;width:30513;height: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" fillcolor="#012749" strokecolor="#7f7f7f [1612]" strokeweight="1pt">
                                          <v:textbox>
                                            <w:txbxContent>
                                              <w:p w14:paraId="7575B45F" w14:textId="77777777" w:rsidR="000E301F" w:rsidRPr="00CE3555" w:rsidRDefault="000E301F" w:rsidP="000E301F">
                                                <w:pPr>
                                                  <w:spacing w:after="0"/>
                                                  <w:jc w:val="center"/>
                                                  <w:rPr>
                                                    <w:rFonts w:cs="Arial"/>
                                                    <w:b/>
                                                    <w:bCs/>
                                                    <w:color w:val="FFFFFF" w:themeColor="light1"/>
                                                    <w:kern w:val="24"/>
                                                  </w:rPr>
                                                </w:pPr>
                                                <w:r w:rsidRPr="00CE3555">
                                                  <w:rPr>
                                                    <w:rFonts w:cs="Arial"/>
                                                    <w:b/>
                                                    <w:bCs/>
                                                    <w:color w:val="FFFFFF" w:themeColor="light1"/>
                                                    <w:kern w:val="24"/>
                                                  </w:rPr>
                                                  <w:t>Jobseekers and workers</w:t>
                                                </w:r>
                                              </w:p>
                                              <w:p w14:paraId="3F95A7C2" w14:textId="77777777" w:rsidR="000E301F" w:rsidRPr="00CE3555" w:rsidRDefault="000E301F" w:rsidP="000E301F">
                                                <w:pPr>
                                                  <w:spacing w:after="0"/>
                                                  <w:jc w:val="center"/>
                                                  <w:rPr>
                                                    <w:rFonts w:cs="Arial"/>
                                                    <w:i/>
                                                    <w:iCs/>
                                                    <w:color w:val="FFFFFF" w:themeColor="light1"/>
                                                    <w:kern w:val="24"/>
                                                  </w:rPr>
                                                </w:pPr>
                                                <w:r w:rsidRPr="00CE3555">
                                                  <w:rPr>
                                                    <w:rFonts w:cs="Arial"/>
                                                    <w:i/>
                                                    <w:iCs/>
                                                    <w:color w:val="FFFFFF" w:themeColor="light1"/>
                                                    <w:kern w:val="24"/>
                                                  </w:rPr>
                                                  <w:t>(supply of labour)</w:t>
                                                </w:r>
                                              </w:p>
                                            </w:txbxContent>
                                          </v:textbox>
                                        </v:rect>
                                        <v:roundrect id="Rectangle: Rounded Corners 28" o:spid="_x0000_s1080" style="position:absolute;left:58570;top:37048;width:10581;height:116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" fillcolor="#007674" strokecolor="#7f7f7f [1612]" strokeweight="1pt">
                                          <v:stroke joinstyle="miter"/>
                                          <v:textbox>
                                            <w:txbxContent>
                                              <w:p w14:paraId="6B519211" w14:textId="77777777" w:rsidR="000E301F" w:rsidRPr="00DF458E" w:rsidRDefault="000E301F" w:rsidP="000E301F">
                                                <w:pPr>
                                                  <w:spacing w:after="0"/>
                                                  <w:jc w:val="center"/>
                                                  <w:rPr>
                                                    <w:rFonts w:cs="Arial"/>
                                                    <w:b/>
                                                    <w:bCs/>
                                                    <w:i/>
                                                    <w:iCs/>
                                                    <w:color w:val="FFFFFF" w:themeColor="background1"/>
                                                    <w:kern w:val="24"/>
                                                  </w:rPr>
                                                </w:pPr>
                                                <w:r w:rsidRPr="00DF458E">
                                                  <w:rPr>
                                                    <w:rFonts w:cs="Arial"/>
                                                    <w:b/>
                                                    <w:bCs/>
                                                    <w:i/>
                                                    <w:iCs/>
                                                    <w:color w:val="FFFFFF" w:themeColor="background1"/>
                                                    <w:kern w:val="24"/>
                                                  </w:rPr>
                                                  <w:t>Demand for products &amp; services</w:t>
                                                </w:r>
                                              </w:p>
                                            </w:txbxContent>
                                          </v:textbox>
                                        </v:roundrect>
                                        <v:rect id="Rectangle 26" o:spid="_x0000_s1081" style="position:absolute;left:15472;top:6986;width:10662;height:13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" fillcolor="#4b0885" strokecolor="#7f7f7f [1612]" strokeweight="1pt">
                                          <v:textbox>
                                            <w:txbxContent>
                                              <w:p w14:paraId="335D9927" w14:textId="77777777" w:rsidR="000E301F" w:rsidRPr="00CE3555" w:rsidRDefault="000E301F" w:rsidP="000E301F">
                                                <w:pPr>
                                                  <w:spacing w:after="0"/>
                                                  <w:jc w:val="center"/>
                                                  <w:rPr>
                                                    <w:rFonts w:cs="Arial"/>
                                                    <w:b/>
                                                    <w:bCs/>
                                                    <w:color w:val="FFFFFF" w:themeColor="background1"/>
                                                    <w:kern w:val="24"/>
                                                  </w:rPr>
                                                </w:pPr>
                                                <w:r w:rsidRPr="00CE3555">
                                                  <w:rPr>
                                                    <w:rFonts w:cs="Arial"/>
                                                    <w:b/>
                                                    <w:bCs/>
                                                    <w:color w:val="FFFFFF" w:themeColor="background1"/>
                                                    <w:kern w:val="24"/>
                                                  </w:rPr>
                                                  <w:t>Education, training &amp; skills development</w:t>
                                                </w:r>
                                              </w:p>
                                            </w:txbxContent>
                                          </v:textbox>
                                        </v:rect>
                                        <v:rect id="Rectangle 14" o:spid="_x0000_s1082" style="position:absolute;left:38362;top:6858;width:9162;height:13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" fillcolor="#4b0885" strokecolor="#7f7f7f [1612]" strokeweight="1pt">
                                          <v:textbox>
                                            <w:txbxContent>
                                              <w:p w14:paraId="28C93420" w14:textId="77777777" w:rsidR="000E301F" w:rsidRPr="00CE3555" w:rsidRDefault="000E301F" w:rsidP="000E301F">
                                                <w:pPr>
                                                  <w:spacing w:before="240" w:after="0"/>
                                                  <w:jc w:val="center"/>
                                                  <w:rPr>
                                                    <w:rFonts w:cs="Arial"/>
                                                    <w:b/>
                                                    <w:bCs/>
                                                    <w:color w:val="FFFFFF" w:themeColor="background1"/>
                                                    <w:kern w:val="24"/>
                                                  </w:rPr>
                                                </w:pPr>
                                                <w:r w:rsidRPr="00CE3555">
                                                  <w:rPr>
                                                    <w:rFonts w:cs="Arial"/>
                                                    <w:b/>
                                                    <w:bCs/>
                                                    <w:color w:val="FFFFFF" w:themeColor="background1"/>
                                                    <w:kern w:val="24"/>
                                                  </w:rPr>
                                                  <w:t>Overseas Migration</w:t>
                                                </w:r>
                                              </w:p>
                                            </w:txbxContent>
                                          </v:textbox>
                                        </v:rect>
                                        <v:rect id="Rectangle 1" o:spid="_x0000_s1083" style="position:absolute;left:24906;top:21356;width:13961;height:3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" fillcolor="#4b0885" strokecolor="#7f7f7f [1612]" strokeweight="1pt">
                                          <v:textbox>
                                            <w:txbxContent>
                                              <w:p w14:paraId="49E189FD" w14:textId="77777777" w:rsidR="000E301F" w:rsidRPr="00245B13" w:rsidRDefault="000E301F" w:rsidP="000E301F">
                                                <w:pPr>
                                                  <w:spacing w:after="0"/>
                                                  <w:jc w:val="center"/>
                                                  <w:rPr>
                                                    <w:rFonts w:cs="Arial"/>
                                                    <w:b/>
                                                    <w:bCs/>
                                                    <w:color w:val="FFFFFF" w:themeColor="background1"/>
                                                    <w:kern w:val="24"/>
                                                  </w:rPr>
                                                </w:pPr>
                                                <w:r w:rsidRPr="00245B13">
                                                  <w:rPr>
                                                    <w:rFonts w:cs="Arial"/>
                                                    <w:b/>
                                                    <w:bCs/>
                                                    <w:color w:val="FFFFFF" w:themeColor="background1"/>
                                                    <w:kern w:val="24"/>
                                                  </w:rPr>
                                                  <w:t>Social services</w:t>
                                                </w:r>
                                              </w:p>
                                            </w:txbxContent>
                                          </v:textbox>
                                        </v:rect>
                                      </v:group>
                                      <v:rect id="Rectangle 18" o:spid="_x0000_s1084" style="position:absolute;left:6613;top:-1209;width:10379;height:6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" fillcolor="white [3212]" strokecolor="#0070c0" strokeweight="1pt">
                                        <v:textbox>
                                          <w:txbxContent>
                                            <w:p w14:paraId="6C778AFF" w14:textId="77777777" w:rsidR="000E301F" w:rsidRPr="00CE3555" w:rsidRDefault="000E301F" w:rsidP="000E301F">
                                              <w:pPr>
                                                <w:spacing w:after="0"/>
                                                <w:jc w:val="center"/>
                                                <w:rPr>
                                                  <w:rFonts w:cs="Arial"/>
                                                  <w:i/>
                                                  <w:iCs/>
                                                  <w:color w:val="000000" w:themeColor="text1"/>
                                                  <w:kern w:val="24"/>
                                                  <w:sz w:val="18"/>
                                                  <w:szCs w:val="18"/>
                                                </w:rPr>
                                              </w:pPr>
                                              <w:r w:rsidRPr="00CE3555">
                                                <w:rPr>
                                                  <w:rFonts w:cs="Arial"/>
                                                  <w:i/>
                                                  <w:iCs/>
                                                  <w:color w:val="000000" w:themeColor="text1"/>
                                                  <w:kern w:val="24"/>
                                                  <w:sz w:val="18"/>
                                                  <w:szCs w:val="18"/>
                                                </w:rPr>
                                                <w:t xml:space="preserve">Employer-based </w:t>
                                              </w:r>
                                              <w:r>
                                                <w:rPr>
                                                  <w:rFonts w:cs="Arial"/>
                                                  <w:i/>
                                                  <w:iCs/>
                                                  <w:color w:val="000000" w:themeColor="text1"/>
                                                  <w:kern w:val="24"/>
                                                  <w:sz w:val="18"/>
                                                  <w:szCs w:val="18"/>
                                                </w:rPr>
                                                <w:t>apprenticeships &amp; traineeships</w:t>
                                              </w:r>
                                            </w:p>
                                          </w:txbxContent>
                                        </v:textbox>
                                      </v:rect>
                                    </v:group>
                                    <v:rect id="Rectangle 1" o:spid="_x0000_s1085" style="position:absolute;left:21974;top:667;width:8274;height:4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" fillcolor="white [3212]" strokecolor="#0070c0" strokeweight="1pt">
                                      <v:textbox>
                                        <w:txbxContent>
                                          <w:p w14:paraId="411C3B8B" w14:textId="77777777" w:rsidR="000E301F" w:rsidRPr="00D40035" w:rsidRDefault="000E301F" w:rsidP="000E301F">
                                            <w:pPr>
                                              <w:spacing w:after="0"/>
                                              <w:jc w:val="center"/>
                                              <w:rPr>
                                                <w:rFonts w:cs="Arial"/>
                                                <w:i/>
                                                <w:iCs/>
                                                <w:color w:val="000000" w:themeColor="text1"/>
                                                <w:kern w:val="24"/>
                                                <w:sz w:val="18"/>
                                                <w:szCs w:val="18"/>
                                              </w:rPr>
                                            </w:pPr>
                                            <w:r w:rsidRPr="00D40035">
                                              <w:rPr>
                                                <w:rFonts w:cs="Arial"/>
                                                <w:i/>
                                                <w:iCs/>
                                                <w:color w:val="000000" w:themeColor="text1"/>
                                                <w:kern w:val="24"/>
                                                <w:sz w:val="18"/>
                                                <w:szCs w:val="18"/>
                                              </w:rPr>
                                              <w:t>International students</w:t>
                                            </w:r>
                                          </w:p>
                                        </w:txbxContent>
                                      </v:textbox>
                                    </v:rect>
                                  </v:group>
                                </v:group>
                              </v:group>
                              <v:group id="Group 2" o:spid="_x0000_s1086" style="position:absolute;left:13253;top:17333;width:31225;height:34077" coordorigin="10760,16621" coordsize="31224,3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">
                                <v:group id="Group 38" o:spid="_x0000_s1087" style="position:absolute;left:10760;top:16621;width:31224;height:34076" coordorigin="12963,18935" coordsize="31247,3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">
                                  <v:roundrect id="_x0000_s1088" style="position:absolute;left:12963;top:20237;width:10089;height:46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" fillcolor="#f6c5db [665]" strokecolor="#7f7f7f [1612]" strokeweight="1pt">
                                    <v:stroke joinstyle="miter"/>
                                    <v:textbox>
                                      <w:txbxContent>
                                        <w:p w14:paraId="73251457" w14:textId="77777777" w:rsidR="000E301F" w:rsidRPr="00CE3555" w:rsidRDefault="000E301F" w:rsidP="000E301F">
                                          <w:pPr>
                                            <w:spacing w:after="0"/>
                                            <w:jc w:val="center"/>
                                            <w:rPr>
                                              <w:rFonts w:cs="Arial"/>
                                              <w:color w:val="000000" w:themeColor="text1"/>
                                              <w:kern w:val="24"/>
                                              <w:sz w:val="20"/>
                                              <w:szCs w:val="20"/>
                                            </w:rPr>
                                          </w:pPr>
                                          <w:r w:rsidRPr="00CE3555">
                                            <w:rPr>
                                              <w:rFonts w:cs="Arial"/>
                                              <w:color w:val="000000" w:themeColor="text1"/>
                                              <w:kern w:val="24"/>
                                              <w:sz w:val="20"/>
                                              <w:szCs w:val="20"/>
                                            </w:rPr>
                                            <w:t>Education &amp; skills policies</w:t>
                                          </w:r>
                                        </w:p>
                                      </w:txbxContent>
                                    </v:textbox>
                                  </v:roundrect>
                                  <v:roundrect id="Rectangle: Rounded Corners 19" o:spid="_x0000_s1089" style="position:absolute;left:14053;top:46189;width:9716;height:6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" fillcolor="#f6c5db [665]" strokecolor="#7f7f7f [1612]" strokeweight="1pt">
                                    <v:stroke joinstyle="miter"/>
                                    <v:textbox>
                                      <w:txbxContent>
                                        <w:p w14:paraId="708A4D6E" w14:textId="77777777" w:rsidR="000E301F" w:rsidRPr="00CE3555" w:rsidRDefault="000E301F" w:rsidP="000E301F">
                                          <w:pPr>
                                            <w:spacing w:after="0"/>
                                            <w:jc w:val="center"/>
                                            <w:rPr>
                                              <w:rFonts w:cs="Arial"/>
                                              <w:color w:val="000000" w:themeColor="text1"/>
                                              <w:kern w:val="24"/>
                                              <w:sz w:val="20"/>
                                              <w:szCs w:val="20"/>
                                            </w:rPr>
                                          </w:pPr>
                                          <w:r w:rsidRPr="00CE3555">
                                            <w:rPr>
                                              <w:rFonts w:cs="Arial"/>
                                              <w:color w:val="000000" w:themeColor="text1"/>
                                              <w:kern w:val="24"/>
                                              <w:sz w:val="20"/>
                                              <w:szCs w:val="20"/>
                                            </w:rPr>
                                            <w:t>Wage</w:t>
                                          </w:r>
                                          <w:r>
                                            <w:rPr>
                                              <w:rFonts w:cs="Arial"/>
                                              <w:color w:val="000000" w:themeColor="text1"/>
                                              <w:kern w:val="24"/>
                                              <w:sz w:val="20"/>
                                              <w:szCs w:val="20"/>
                                            </w:rPr>
                                            <w:t>s</w:t>
                                          </w:r>
                                          <w:r w:rsidRPr="00CE3555">
                                            <w:rPr>
                                              <w:rFonts w:cs="Arial"/>
                                              <w:color w:val="000000" w:themeColor="text1"/>
                                              <w:kern w:val="24"/>
                                              <w:sz w:val="20"/>
                                              <w:szCs w:val="20"/>
                                            </w:rPr>
                                            <w:t xml:space="preserve"> </w:t>
                                          </w:r>
                                          <w:r>
                                            <w:rPr>
                                              <w:rFonts w:cs="Arial"/>
                                              <w:color w:val="000000" w:themeColor="text1"/>
                                              <w:kern w:val="24"/>
                                              <w:sz w:val="20"/>
                                              <w:szCs w:val="20"/>
                                            </w:rPr>
                                            <w:t xml:space="preserve">&amp; conditions </w:t>
                                          </w:r>
                                          <w:r w:rsidRPr="00CE3555">
                                            <w:rPr>
                                              <w:rFonts w:cs="Arial"/>
                                              <w:color w:val="000000" w:themeColor="text1"/>
                                              <w:kern w:val="24"/>
                                              <w:sz w:val="20"/>
                                              <w:szCs w:val="20"/>
                                            </w:rPr>
                                            <w:t>policies</w:t>
                                          </w:r>
                                        </w:p>
                                      </w:txbxContent>
                                    </v:textbox>
                                  </v:roundrect>
                                  <v:roundrect id="_x0000_s1090" style="position:absolute;left:14053;top:40245;width:9716;height:53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" fillcolor="#f6c5db [665]" strokecolor="#7f7f7f [1612]" strokeweight="1pt">
                                    <v:stroke joinstyle="miter"/>
                                    <v:textbox>
                                      <w:txbxContent>
                                        <w:p w14:paraId="04C970AC" w14:textId="77777777" w:rsidR="000E301F" w:rsidRPr="00CE3555" w:rsidRDefault="000E301F" w:rsidP="000E301F">
                                          <w:pPr>
                                            <w:spacing w:after="0"/>
                                            <w:jc w:val="center"/>
                                            <w:rPr>
                                              <w:rFonts w:cs="Arial"/>
                                              <w:color w:val="000000" w:themeColor="text1"/>
                                              <w:kern w:val="24"/>
                                              <w:sz w:val="20"/>
                                              <w:szCs w:val="20"/>
                                            </w:rPr>
                                          </w:pPr>
                                          <w:r w:rsidRPr="00CE3555">
                                            <w:rPr>
                                              <w:rFonts w:cs="Arial"/>
                                              <w:color w:val="000000" w:themeColor="text1"/>
                                              <w:kern w:val="24"/>
                                              <w:sz w:val="20"/>
                                              <w:szCs w:val="20"/>
                                            </w:rPr>
                                            <w:t>Employment policies</w:t>
                                          </w:r>
                                        </w:p>
                                      </w:txbxContent>
                                    </v:textbox>
                                  </v:roundrect>
                                  <v:roundrect id="_x0000_s1091" style="position:absolute;left:36328;top:18935;width:7882;height:4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" fillcolor="#f6c5db [665]" strokecolor="#7f7f7f [1612]" strokeweight="1pt">
                                    <v:stroke joinstyle="miter"/>
                                    <v:textbox>
                                      <w:txbxContent>
                                        <w:p w14:paraId="3EF425C4" w14:textId="77777777" w:rsidR="000E301F" w:rsidRPr="00CE3555" w:rsidRDefault="000E301F" w:rsidP="000E301F">
                                          <w:pPr>
                                            <w:spacing w:after="0"/>
                                            <w:jc w:val="center"/>
                                            <w:rPr>
                                              <w:rFonts w:cs="Arial"/>
                                              <w:color w:val="000000" w:themeColor="text1"/>
                                              <w:kern w:val="24"/>
                                              <w:sz w:val="20"/>
                                              <w:szCs w:val="20"/>
                                            </w:rPr>
                                          </w:pPr>
                                          <w:r w:rsidRPr="00CE3555">
                                            <w:rPr>
                                              <w:rFonts w:cs="Arial"/>
                                              <w:color w:val="000000" w:themeColor="text1"/>
                                              <w:kern w:val="24"/>
                                              <w:sz w:val="20"/>
                                              <w:szCs w:val="20"/>
                                            </w:rPr>
                                            <w:t>Migration policies</w:t>
                                          </w:r>
                                        </w:p>
                                      </w:txbxContent>
                                    </v:textbox>
                                  </v:roundrect>
                                </v:group>
                                <v:roundrect id="_x0000_s1092" style="position:absolute;left:20842;top:27772;width:12503;height:33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" fillcolor="#a8d5fd [662]" strokecolor="#7f7f7f [1612]" strokeweight="1pt">
                                  <v:stroke joinstyle="miter"/>
                                  <v:textbox>
                                    <w:txbxContent>
                                      <w:p w14:paraId="37599B48" w14:textId="77777777" w:rsidR="000E301F" w:rsidRPr="00CE3555" w:rsidRDefault="000E301F" w:rsidP="000E301F">
                                        <w:pPr>
                                          <w:spacing w:after="0"/>
                                          <w:jc w:val="center"/>
                                          <w:rPr>
                                            <w:rFonts w:cs="Arial"/>
                                            <w:color w:val="000000" w:themeColor="text1"/>
                                            <w:kern w:val="24"/>
                                            <w:sz w:val="20"/>
                                            <w:szCs w:val="20"/>
                                          </w:rPr>
                                        </w:pPr>
                                        <w:r>
                                          <w:rPr>
                                            <w:rFonts w:cs="Arial"/>
                                            <w:color w:val="000000" w:themeColor="text1"/>
                                            <w:kern w:val="24"/>
                                            <w:sz w:val="20"/>
                                            <w:szCs w:val="20"/>
                                          </w:rPr>
                                          <w:t>Social policies</w:t>
                                        </w:r>
                                      </w:p>
                                    </w:txbxContent>
                                  </v:textbox>
                                </v:roundrect>
                              </v:group>
                              <v:group id="Group 1" o:spid="_x0000_s1093" style="position:absolute;left:8394;top:-5641;width:48701;height:4593" coordorigin="-36460,-14117" coordsize="48704,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">
                                <v:roundrect id="_x0000_s1094" style="position:absolute;left:-36460;top:-14117;width:48703;height:45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" fillcolor="white [3212]" strokecolor="black [3213]" strokeweight="1pt">
                                  <v:stroke joinstyle="miter"/>
                                  <v:textbox>
                                    <w:txbxContent>
                                      <w:p w14:paraId="03A6F326" w14:textId="77777777" w:rsidR="000E301F" w:rsidRPr="00245B13" w:rsidRDefault="000E301F" w:rsidP="000E301F">
                                        <w:pPr>
                                          <w:spacing w:before="120" w:after="0"/>
                                          <w:rPr>
                                            <w:rFonts w:cs="Arial"/>
                                            <w:b/>
                                            <w:bCs/>
                                            <w:color w:val="000000" w:themeColor="text1"/>
                                            <w:kern w:val="24"/>
                                            <w:sz w:val="20"/>
                                            <w:szCs w:val="20"/>
                                          </w:rPr>
                                        </w:pPr>
                                        <w:r>
                                          <w:rPr>
                                            <w:rFonts w:cs="Arial"/>
                                            <w:b/>
                                            <w:bCs/>
                                            <w:color w:val="000000" w:themeColor="text1"/>
                                            <w:kern w:val="24"/>
                                            <w:sz w:val="20"/>
                                            <w:szCs w:val="20"/>
                                          </w:rPr>
                                          <w:t>Legend</w:t>
                                        </w:r>
                                      </w:p>
                                    </w:txbxContent>
                                  </v:textbox>
                                </v:roundrect>
                                <v:roundrect id="_x0000_s1095" style="position:absolute;left:-8301;top:-13305;width:9715;height:28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" fillcolor="#f6c5db [665]" strokecolor="#0b76a0" strokeweight="1pt">
                                  <v:stroke joinstyle="miter"/>
                                  <v:textbox>
                                    <w:txbxContent>
                                      <w:p w14:paraId="36CAB20D" w14:textId="77777777" w:rsidR="000E301F" w:rsidRPr="00CE3555" w:rsidRDefault="000E301F" w:rsidP="000E301F">
                                        <w:pPr>
                                          <w:spacing w:after="0"/>
                                          <w:jc w:val="center"/>
                                          <w:rPr>
                                            <w:rFonts w:cs="Arial"/>
                                            <w:color w:val="000000" w:themeColor="text1"/>
                                            <w:kern w:val="24"/>
                                            <w:sz w:val="20"/>
                                            <w:szCs w:val="20"/>
                                          </w:rPr>
                                        </w:pPr>
                                        <w:r>
                                          <w:rPr>
                                            <w:rFonts w:cs="Arial"/>
                                            <w:color w:val="000000" w:themeColor="text1"/>
                                            <w:kern w:val="24"/>
                                            <w:sz w:val="20"/>
                                            <w:szCs w:val="20"/>
                                          </w:rPr>
                                          <w:t>Govt Policies</w:t>
                                        </w:r>
                                      </w:p>
                                    </w:txbxContent>
                                  </v:textbox>
                                </v:roundrect>
                                <v:roundrect id="_x0000_s1096" style="position:absolute;left:-18768;top:-13286;width:9715;height:28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" fillcolor="#012749" strokecolor="#0b76a0" strokeweight="1pt">
                                  <v:stroke joinstyle="miter"/>
                                  <v:textbox>
                                    <w:txbxContent>
                                      <w:p w14:paraId="191D6DDF" w14:textId="77777777" w:rsidR="000E301F" w:rsidRPr="001D6A1B" w:rsidRDefault="000E301F" w:rsidP="000E301F">
                                        <w:pPr>
                                          <w:spacing w:after="0"/>
                                          <w:jc w:val="center"/>
                                          <w:rPr>
                                            <w:rFonts w:cs="Arial"/>
                                            <w:color w:val="FFFFFF" w:themeColor="background1"/>
                                            <w:kern w:val="24"/>
                                            <w:sz w:val="20"/>
                                            <w:szCs w:val="20"/>
                                          </w:rPr>
                                        </w:pPr>
                                        <w:r w:rsidRPr="001D6A1B">
                                          <w:rPr>
                                            <w:rFonts w:cs="Arial"/>
                                            <w:color w:val="FFFFFF" w:themeColor="background1"/>
                                            <w:kern w:val="24"/>
                                            <w:sz w:val="20"/>
                                            <w:szCs w:val="20"/>
                                          </w:rPr>
                                          <w:t>Stakeholders</w:t>
                                        </w:r>
                                      </w:p>
                                    </w:txbxContent>
                                  </v:textbox>
                                </v:roundrect>
                                <v:roundrect id="_x0000_s1097" style="position:absolute;left:-29425;top:-13286;width:9716;height:28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" fillcolor="#4b0885" strokecolor="#0b76a0" strokeweight="1pt">
                                  <v:stroke joinstyle="miter"/>
                                  <v:textbox>
                                    <w:txbxContent>
                                      <w:p w14:paraId="190CD2FD" w14:textId="77777777" w:rsidR="000E301F" w:rsidRPr="00245B13" w:rsidRDefault="000E301F" w:rsidP="000E301F">
                                        <w:pPr>
                                          <w:spacing w:after="0"/>
                                          <w:jc w:val="center"/>
                                          <w:rPr>
                                            <w:rFonts w:cs="Arial"/>
                                            <w:b/>
                                            <w:bCs/>
                                            <w:color w:val="FFFFFF" w:themeColor="background1"/>
                                            <w:kern w:val="24"/>
                                            <w:sz w:val="20"/>
                                            <w:szCs w:val="20"/>
                                          </w:rPr>
                                        </w:pPr>
                                        <w:r w:rsidRPr="00245B13">
                                          <w:rPr>
                                            <w:rFonts w:cs="Arial"/>
                                            <w:b/>
                                            <w:bCs/>
                                            <w:color w:val="FFFFFF" w:themeColor="background1"/>
                                            <w:kern w:val="24"/>
                                            <w:sz w:val="20"/>
                                            <w:szCs w:val="20"/>
                                          </w:rPr>
                                          <w:t>Systems</w:t>
                                        </w:r>
                                      </w:p>
                                    </w:txbxContent>
                                  </v:textbox>
                                </v:roundrect>
                              </v:group>
                            </v:group>
                          </v:group>
                          <v:roundrect id="_x0000_s1098" style="position:absolute;left:44711;top:36566;width:9707;height:7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" fillcolor="#f6c5db [665]" strokecolor="#7f7f7f [1612]" strokeweight="1pt">
                            <v:stroke joinstyle="miter"/>
                            <v:textbox>
                              <w:txbxContent>
                                <w:p w14:paraId="1C06F89F" w14:textId="77777777" w:rsidR="000E301F" w:rsidRPr="00CE3555" w:rsidRDefault="000E301F" w:rsidP="000E301F">
                                  <w:pPr>
                                    <w:spacing w:after="0"/>
                                    <w:jc w:val="center"/>
                                    <w:rPr>
                                      <w:rFonts w:cs="Arial"/>
                                      <w:color w:val="000000" w:themeColor="text1"/>
                                      <w:kern w:val="24"/>
                                      <w:sz w:val="20"/>
                                      <w:szCs w:val="20"/>
                                    </w:rPr>
                                  </w:pPr>
                                  <w:r>
                                    <w:rPr>
                                      <w:rFonts w:cs="Arial"/>
                                      <w:color w:val="000000" w:themeColor="text1"/>
                                      <w:kern w:val="24"/>
                                      <w:sz w:val="20"/>
                                      <w:szCs w:val="20"/>
                                    </w:rPr>
                                    <w:t>Economic, trade and tax</w:t>
                                  </w:r>
                                  <w:r w:rsidRPr="00CE3555">
                                    <w:rPr>
                                      <w:rFonts w:cs="Arial"/>
                                      <w:color w:val="000000" w:themeColor="text1"/>
                                      <w:kern w:val="24"/>
                                      <w:sz w:val="20"/>
                                      <w:szCs w:val="20"/>
                                    </w:rPr>
                                    <w:t xml:space="preserve"> policies</w:t>
                                  </w:r>
                                </w:p>
                              </w:txbxContent>
                            </v:textbox>
                          </v:roundrect>
                        </v:group>
                        <v:shape id="Straight Arrow Connector 1" o:spid="_x0000_s1099" type="#_x0000_t32" style="position:absolute;left:17969;top:1572;width:3495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" strokecolor="black [3213]" strokeweight="3pt">
                          <v:stroke joinstyle="miter"/>
                          <o:lock v:ext="edit" shapetype="f"/>
                        </v:shape>
                        <v:shape id="Straight Arrow Connector 1" o:spid="_x0000_s1100" type="#_x0000_t32" style="position:absolute;left:18080;top:1594;width:0;height:6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" strokecolor="black [3213]" strokeweight="3pt">
                          <v:stroke endarrow="block" joinstyle="miter"/>
                          <o:lock v:ext="edit" shapetype="f"/>
                        </v:shape>
                        <v:shape id="Straight Arrow Connector 1" o:spid="_x0000_s1101" type="#_x0000_t32" style="position:absolute;left:52950;top:1466;width:0;height:89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" strokecolor="black [3213]" strokeweight="3pt">
                          <v:stroke joinstyle="miter"/>
                          <o:lock v:ext="edit" shapetype="f"/>
                        </v:shape>
                      </v:group>
                      <v:roundrect id="Rectangle: Rounded Corners 28" o:spid="_x0000_s1102" style="position:absolute;left:47549;top:10419;width:10859;height:57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" fillcolor="#007573 [2405]" strokecolor="#7f7f7f [1612]" strokeweight="1pt">
                        <v:stroke joinstyle="miter"/>
                        <v:textbox>
                          <w:txbxContent>
                            <w:p w14:paraId="527CB4E4" w14:textId="77777777" w:rsidR="000E301F" w:rsidRPr="00DF458E" w:rsidRDefault="000E301F" w:rsidP="000E301F">
                              <w:pPr>
                                <w:spacing w:after="0"/>
                                <w:jc w:val="center"/>
                                <w:rPr>
                                  <w:rFonts w:cs="Arial"/>
                                  <w:b/>
                                  <w:bCs/>
                                  <w:i/>
                                  <w:iCs/>
                                  <w:color w:val="FFFFFF" w:themeColor="background1"/>
                                  <w:kern w:val="24"/>
                                </w:rPr>
                              </w:pPr>
                              <w:r w:rsidRPr="00DF458E">
                                <w:rPr>
                                  <w:rFonts w:cs="Arial"/>
                                  <w:b/>
                                  <w:bCs/>
                                  <w:i/>
                                  <w:iCs/>
                                  <w:color w:val="FFFFFF" w:themeColor="background1"/>
                                  <w:kern w:val="24"/>
                                </w:rPr>
                                <w:t>Population</w:t>
                              </w:r>
                            </w:p>
                          </w:txbxContent>
                        </v:textbox>
                      </v:roundrect>
                    </v:group>
                    <v:roundrect id="_x0000_s1103" style="position:absolute;left:46665;width:9775;height:28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" fillcolor="#007674" strokecolor="#0b76a0" strokeweight="1pt">
                      <v:stroke joinstyle="miter"/>
                      <v:textbox>
                        <w:txbxContent>
                          <w:p w14:paraId="15347376" w14:textId="77777777" w:rsidR="000E301F" w:rsidRPr="009E6579" w:rsidRDefault="000E301F" w:rsidP="000E301F">
                            <w:pPr>
                              <w:spacing w:after="0"/>
                              <w:jc w:val="center"/>
                              <w:rPr>
                                <w:rFonts w:cs="Arial"/>
                                <w:b/>
                                <w:bCs/>
                                <w:i/>
                                <w:iCs/>
                                <w:color w:val="FFFFFF" w:themeColor="background1"/>
                                <w:kern w:val="24"/>
                                <w:sz w:val="20"/>
                                <w:szCs w:val="20"/>
                              </w:rPr>
                            </w:pPr>
                            <w:r w:rsidRPr="009E6579">
                              <w:rPr>
                                <w:rFonts w:cs="Arial"/>
                                <w:b/>
                                <w:bCs/>
                                <w:i/>
                                <w:iCs/>
                                <w:color w:val="FFFFFF" w:themeColor="background1"/>
                                <w:kern w:val="24"/>
                                <w:sz w:val="20"/>
                                <w:szCs w:val="20"/>
                              </w:rPr>
                              <w:t>Drivers</w:t>
                            </w:r>
                          </w:p>
                        </w:txbxContent>
                      </v:textbox>
                    </v:roundrect>
                  </v:group>
                  <v:rect id="Rectangle 1" o:spid="_x0000_s1104" style="position:absolute;left:46717;top:61514;width:12861;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" fillcolor="white [3212]" strokecolor="#7f7f7f [1612]" strokeweight="1pt">
                    <v:textbox>
                      <w:txbxContent>
                        <w:p w14:paraId="183E272C" w14:textId="77777777" w:rsidR="000E301F" w:rsidRPr="00D36EC6" w:rsidRDefault="000E301F" w:rsidP="000E301F">
                          <w:pPr>
                            <w:spacing w:after="0"/>
                            <w:jc w:val="center"/>
                            <w:rPr>
                              <w:rFonts w:cs="Arial"/>
                              <w:i/>
                              <w:iCs/>
                              <w:color w:val="000000" w:themeColor="text1"/>
                              <w:kern w:val="24"/>
                              <w:sz w:val="18"/>
                              <w:szCs w:val="18"/>
                            </w:rPr>
                          </w:pPr>
                          <w:r>
                            <w:rPr>
                              <w:rFonts w:cs="Arial"/>
                              <w:i/>
                              <w:iCs/>
                              <w:color w:val="000000" w:themeColor="text1"/>
                              <w:kern w:val="24"/>
                              <w:sz w:val="18"/>
                              <w:szCs w:val="18"/>
                            </w:rPr>
                            <w:t>Business creation</w:t>
                          </w:r>
                        </w:p>
                      </w:txbxContent>
                    </v:textbox>
                  </v:rect>
                </v:group>
                <v:group id="Group 6" o:spid="_x0000_s1105" style="position:absolute;left:41494;top:11281;width:21228;height:26312" coordsize="21227,2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">
                  <v:shape id="Straight Arrow Connector 1" o:spid="_x0000_s1106" type="#_x0000_t32" style="position:absolute;left:11339;top:12734;width:0;height:72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" strokecolor="black [3213]" strokeweight="3pt">
                    <v:stroke joinstyle="miter"/>
                    <o:lock v:ext="edit" shapetype="f"/>
                  </v:shape>
                  <v:rect id="Rectangle 1" o:spid="_x0000_s1107" style="position:absolute;left:12587;width:8640;height:5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" fillcolor="white [3212]" strokecolor="#7f7f7f [1612]" strokeweight="1pt">
                    <v:textbox>
                      <w:txbxContent>
                        <w:p w14:paraId="23718A65" w14:textId="77777777" w:rsidR="000E301F" w:rsidRPr="00D36EC6" w:rsidRDefault="000E301F" w:rsidP="000E301F">
                          <w:pPr>
                            <w:spacing w:after="0"/>
                            <w:jc w:val="center"/>
                            <w:rPr>
                              <w:rFonts w:cs="Arial"/>
                              <w:i/>
                              <w:iCs/>
                              <w:color w:val="000000" w:themeColor="text1"/>
                              <w:kern w:val="24"/>
                              <w:sz w:val="18"/>
                              <w:szCs w:val="18"/>
                            </w:rPr>
                          </w:pPr>
                          <w:r>
                            <w:rPr>
                              <w:rFonts w:cs="Arial"/>
                              <w:i/>
                              <w:iCs/>
                              <w:color w:val="000000" w:themeColor="text1"/>
                              <w:kern w:val="24"/>
                              <w:sz w:val="18"/>
                              <w:szCs w:val="18"/>
                            </w:rPr>
                            <w:t>Internal and inter-region mobility</w:t>
                          </w:r>
                        </w:p>
                      </w:txbxContent>
                    </v:textbox>
                  </v:rect>
                  <v:shape id="Straight Arrow Connector 1" o:spid="_x0000_s1108" type="#_x0000_t32" style="position:absolute;left:2;top:19831;width:0;height:6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" strokecolor="black [3213]" strokeweight="3pt">
                    <v:stroke endarrow="block" joinstyle="miter"/>
                    <o:lock v:ext="edit" shapetype="f"/>
                  </v:shape>
                  <v:shape id="Straight Arrow Connector 1" o:spid="_x0000_s1109" type="#_x0000_t32" style="position:absolute;top:19784;width:1151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" strokecolor="black [3213]" strokeweight="3pt">
                    <v:stroke joinstyle="miter"/>
                    <o:lock v:ext="edit" shapetype="f"/>
                  </v:shape>
                </v:group>
                <w10:anchorlock/>
              </v:group>
            </w:pict>
          </mc:Fallback>
        </mc:AlternateContent>
      </w:r>
    </w:p>
    <w:p w14:paraId="563A4861" w14:textId="77777777" w:rsidR="000E301F" w:rsidRDefault="000E301F" w:rsidP="008061B8">
      <w:pPr>
        <w:rPr>
          <w:color w:val="FF0000"/>
          <w:highlight w:val="yellow"/>
          <w:lang w:val="en-US"/>
        </w:rPr>
      </w:pPr>
    </w:p>
    <w:p w14:paraId="3B7916EE" w14:textId="585A0303" w:rsidR="008061B8" w:rsidRPr="000E18EB" w:rsidRDefault="00FF0A01" w:rsidP="00C033D4">
      <w:pPr>
        <w:pStyle w:val="BodyText"/>
      </w:pPr>
      <w:r w:rsidRPr="00FF0A01">
        <w:rPr>
          <w:lang w:val="en-US"/>
        </w:rPr>
        <w:t xml:space="preserve">Conceptually, the regional jobs and skills system is part of the system that operates for and in Regional Australia. Much of it is the system that also applies to </w:t>
      </w:r>
      <w:r w:rsidR="006F323C">
        <w:rPr>
          <w:lang w:val="en-US"/>
        </w:rPr>
        <w:t>the Major Cities</w:t>
      </w:r>
      <w:r w:rsidRPr="00FF0A01">
        <w:rPr>
          <w:lang w:val="en-US"/>
        </w:rPr>
        <w:t xml:space="preserve">, that may nor may not vary the way it operates in </w:t>
      </w:r>
      <w:r w:rsidR="006F323C">
        <w:rPr>
          <w:lang w:val="en-US"/>
        </w:rPr>
        <w:t>R</w:t>
      </w:r>
      <w:r w:rsidRPr="00FF0A01">
        <w:rPr>
          <w:lang w:val="en-US"/>
        </w:rPr>
        <w:t xml:space="preserve">egional Australia. </w:t>
      </w:r>
      <w:r w:rsidRPr="00FF0A01">
        <w:t>In effect, while</w:t>
      </w:r>
      <w:r w:rsidR="008061B8" w:rsidRPr="000E18EB">
        <w:t xml:space="preserve"> the illustration of the jobs and skills system above is </w:t>
      </w:r>
      <w:r w:rsidR="00220488" w:rsidRPr="000E18EB">
        <w:t xml:space="preserve">representative of the </w:t>
      </w:r>
      <w:r w:rsidR="005917A7" w:rsidRPr="000E18EB">
        <w:t>system across Australia</w:t>
      </w:r>
      <w:r w:rsidR="00220488" w:rsidRPr="000E18EB">
        <w:t xml:space="preserve">, there are some notably differences or distinctions in the operation of the system </w:t>
      </w:r>
      <w:r w:rsidR="005917A7" w:rsidRPr="000E18EB">
        <w:t>when it comes to Regional Australia.</w:t>
      </w:r>
      <w:r w:rsidR="002C6840" w:rsidRPr="000E18EB">
        <w:t xml:space="preserve"> Examples of this include:</w:t>
      </w:r>
    </w:p>
    <w:p w14:paraId="7246C487" w14:textId="6DB1C3EC" w:rsidR="002C6840" w:rsidRPr="000E18EB" w:rsidRDefault="002C6840" w:rsidP="00D16B99">
      <w:pPr>
        <w:pStyle w:val="BodyText"/>
        <w:numPr>
          <w:ilvl w:val="0"/>
          <w:numId w:val="28"/>
        </w:numPr>
      </w:pPr>
      <w:r w:rsidRPr="000E18EB">
        <w:t>Differences in government incentives, both in terms of equity adjustments and adjustments for regional and remote delivery (noting such incentives vary across jurisdictions and sectors)</w:t>
      </w:r>
    </w:p>
    <w:p w14:paraId="1637BE4A" w14:textId="578C6ABF" w:rsidR="002C6840" w:rsidRPr="000E18EB" w:rsidRDefault="002C6840" w:rsidP="00D16B99">
      <w:pPr>
        <w:pStyle w:val="BodyText"/>
        <w:numPr>
          <w:ilvl w:val="0"/>
          <w:numId w:val="28"/>
        </w:numPr>
      </w:pPr>
      <w:r w:rsidRPr="000E18EB">
        <w:lastRenderedPageBreak/>
        <w:t xml:space="preserve">A greater focus on </w:t>
      </w:r>
      <w:r w:rsidR="00B8118D">
        <w:t>VET</w:t>
      </w:r>
      <w:r w:rsidRPr="000E18EB">
        <w:t>, reflecting differences in the co</w:t>
      </w:r>
      <w:r w:rsidR="00120033" w:rsidRPr="000E18EB">
        <w:t>mposition of the labour market in Regional Australia</w:t>
      </w:r>
    </w:p>
    <w:p w14:paraId="57A644F3" w14:textId="6DBE3AFA" w:rsidR="00120033" w:rsidRPr="000E18EB" w:rsidRDefault="006943C2" w:rsidP="00D16B99">
      <w:pPr>
        <w:pStyle w:val="BodyText"/>
        <w:numPr>
          <w:ilvl w:val="0"/>
          <w:numId w:val="28"/>
        </w:numPr>
      </w:pPr>
      <w:r w:rsidRPr="000E18EB">
        <w:t xml:space="preserve">Differences in </w:t>
      </w:r>
      <w:r w:rsidR="001414D9" w:rsidRPr="000E18EB">
        <w:t xml:space="preserve">access and </w:t>
      </w:r>
      <w:r w:rsidRPr="000E18EB">
        <w:t xml:space="preserve">modes of delivery, </w:t>
      </w:r>
      <w:r w:rsidR="00B427F5" w:rsidRPr="000E18EB">
        <w:t>reflecting the large geographic distances and dispersed populations</w:t>
      </w:r>
      <w:r w:rsidR="001414D9" w:rsidRPr="000E18EB">
        <w:t>, the differing needs of student cohorts</w:t>
      </w:r>
      <w:r w:rsidR="008F7FC0" w:rsidRPr="000E18EB">
        <w:t xml:space="preserve"> as well as operational differences </w:t>
      </w:r>
    </w:p>
    <w:p w14:paraId="01EC0607" w14:textId="1F6FF93B" w:rsidR="002C6840" w:rsidRPr="000E18EB" w:rsidRDefault="001414D9" w:rsidP="00D16B99">
      <w:pPr>
        <w:pStyle w:val="BodyText"/>
        <w:numPr>
          <w:ilvl w:val="0"/>
          <w:numId w:val="28"/>
        </w:numPr>
      </w:pPr>
      <w:r w:rsidRPr="000E18EB">
        <w:t>Challenges in recruiting and retaining staff, leading to the use of differing staffing models (such as temporary or FIFO teaching staff)</w:t>
      </w:r>
    </w:p>
    <w:p w14:paraId="37995C2F" w14:textId="41BDE3E1" w:rsidR="001414D9" w:rsidRPr="000E18EB" w:rsidRDefault="001414D9" w:rsidP="00D16B99">
      <w:pPr>
        <w:pStyle w:val="BodyText"/>
        <w:numPr>
          <w:ilvl w:val="0"/>
          <w:numId w:val="28"/>
        </w:numPr>
      </w:pPr>
      <w:r w:rsidRPr="000E18EB">
        <w:t>Greater exposure to mobility issues, including in relation to the movement of people between Regional Australia and the Major Cities.</w:t>
      </w:r>
    </w:p>
    <w:p w14:paraId="48DFFE02" w14:textId="10508EDA" w:rsidR="001414D9" w:rsidRPr="000E18EB" w:rsidRDefault="001414D9" w:rsidP="00C033D4">
      <w:pPr>
        <w:pStyle w:val="BodyText"/>
      </w:pPr>
      <w:r w:rsidRPr="000E18EB">
        <w:t>In effect, while the system operates at a national or juris</w:t>
      </w:r>
      <w:r w:rsidR="00E5319A" w:rsidRPr="000E18EB">
        <w:t>dictional level, differences</w:t>
      </w:r>
      <w:r w:rsidR="008F7FC0" w:rsidRPr="000E18EB">
        <w:t xml:space="preserve"> in how the system is structured and operate are evident in Regional Australia.</w:t>
      </w:r>
    </w:p>
    <w:p w14:paraId="6FF9042C" w14:textId="77777777" w:rsidR="003813FD" w:rsidRDefault="003813FD" w:rsidP="00C033D4">
      <w:pPr>
        <w:pStyle w:val="BodyText"/>
      </w:pPr>
    </w:p>
    <w:tbl>
      <w:tblPr>
        <w:tblStyle w:val="CustomTablepulloutbox2"/>
        <w:tblW w:w="0" w:type="auto"/>
        <w:tblLook w:val="04A0" w:firstRow="1" w:lastRow="0" w:firstColumn="1" w:lastColumn="0" w:noHBand="0" w:noVBand="1"/>
      </w:tblPr>
      <w:tblGrid>
        <w:gridCol w:w="8997"/>
      </w:tblGrid>
      <w:tr w:rsidR="003813FD" w14:paraId="6EF71B83" w14:textId="77777777">
        <w:trPr>
          <w:trHeight w:val="1713"/>
        </w:trPr>
        <w:tc>
          <w:tcPr>
            <w:tcW w:w="9027" w:type="dxa"/>
          </w:tcPr>
          <w:p w14:paraId="2357B472" w14:textId="77777777" w:rsidR="003813FD" w:rsidRPr="00CC191D" w:rsidRDefault="003813FD">
            <w:pPr>
              <w:pStyle w:val="BoxHeading"/>
              <w:jc w:val="center"/>
            </w:pPr>
            <w:r>
              <w:t>Stakeholder insight</w:t>
            </w:r>
          </w:p>
          <w:p w14:paraId="76B24085" w14:textId="3B349A46" w:rsidR="003813FD" w:rsidRDefault="00306785">
            <w:pPr>
              <w:jc w:val="center"/>
              <w:rPr>
                <w:rFonts w:cs="Arial"/>
                <w:i/>
                <w:iCs/>
                <w:sz w:val="22"/>
                <w:szCs w:val="22"/>
              </w:rPr>
            </w:pPr>
            <w:r>
              <w:rPr>
                <w:rFonts w:cs="Arial"/>
                <w:i/>
                <w:iCs/>
                <w:sz w:val="22"/>
                <w:szCs w:val="22"/>
              </w:rPr>
              <w:t>‘</w:t>
            </w:r>
            <w:r w:rsidR="003813FD" w:rsidRPr="00D804EF">
              <w:rPr>
                <w:rFonts w:cs="Arial"/>
                <w:i/>
                <w:iCs/>
                <w:sz w:val="22"/>
                <w:szCs w:val="22"/>
              </w:rPr>
              <w:t>The jobs and skills system in Australia has evolved over time and is effectively designed for the majority of the population</w:t>
            </w:r>
            <w:r w:rsidR="003813FD">
              <w:rPr>
                <w:rFonts w:cs="Arial"/>
                <w:i/>
                <w:iCs/>
                <w:sz w:val="22"/>
                <w:szCs w:val="22"/>
              </w:rPr>
              <w:t>,</w:t>
            </w:r>
            <w:r w:rsidR="003813FD" w:rsidRPr="00D804EF">
              <w:rPr>
                <w:rFonts w:cs="Arial"/>
                <w:i/>
                <w:iCs/>
                <w:sz w:val="22"/>
                <w:szCs w:val="22"/>
              </w:rPr>
              <w:t xml:space="preserve"> and is thus more tailored for</w:t>
            </w:r>
            <w:r w:rsidR="006F323C">
              <w:rPr>
                <w:rFonts w:cs="Arial"/>
                <w:i/>
                <w:iCs/>
                <w:sz w:val="22"/>
                <w:szCs w:val="22"/>
              </w:rPr>
              <w:t xml:space="preserve"> the Major Cities of </w:t>
            </w:r>
            <w:r w:rsidR="003813FD" w:rsidRPr="00D804EF">
              <w:rPr>
                <w:rFonts w:cs="Arial"/>
                <w:i/>
                <w:iCs/>
                <w:sz w:val="22"/>
                <w:szCs w:val="22"/>
              </w:rPr>
              <w:t>Australia. Regional Australia requires a different approach that is more targeted to the specific issues and opportunities of the regions.</w:t>
            </w:r>
            <w:r>
              <w:rPr>
                <w:rFonts w:cs="Arial"/>
                <w:i/>
                <w:iCs/>
                <w:sz w:val="22"/>
                <w:szCs w:val="22"/>
              </w:rPr>
              <w:t>’</w:t>
            </w:r>
            <w:r w:rsidR="003813FD" w:rsidRPr="00D804EF">
              <w:rPr>
                <w:rFonts w:cs="Arial"/>
                <w:i/>
                <w:iCs/>
                <w:sz w:val="22"/>
                <w:szCs w:val="22"/>
              </w:rPr>
              <w:t xml:space="preserve"> </w:t>
            </w:r>
          </w:p>
          <w:p w14:paraId="2F62169E" w14:textId="77777777" w:rsidR="003813FD" w:rsidRPr="00B008EE" w:rsidRDefault="003813FD">
            <w:pPr>
              <w:jc w:val="center"/>
              <w:rPr>
                <w:rFonts w:cs="Arial"/>
                <w:b/>
                <w:bCs/>
                <w:sz w:val="22"/>
                <w:szCs w:val="22"/>
              </w:rPr>
            </w:pPr>
            <w:r>
              <w:rPr>
                <w:rFonts w:cs="Arial"/>
                <w:b/>
                <w:bCs/>
                <w:sz w:val="22"/>
                <w:szCs w:val="22"/>
              </w:rPr>
              <w:t>Megan Lilly</w:t>
            </w:r>
          </w:p>
          <w:p w14:paraId="610A7F3E" w14:textId="77777777" w:rsidR="003813FD" w:rsidRDefault="003813FD">
            <w:pPr>
              <w:jc w:val="center"/>
              <w:rPr>
                <w:rFonts w:cs="Arial"/>
                <w:sz w:val="22"/>
                <w:szCs w:val="22"/>
              </w:rPr>
            </w:pPr>
            <w:r>
              <w:rPr>
                <w:rFonts w:cs="Arial"/>
                <w:sz w:val="22"/>
                <w:szCs w:val="22"/>
              </w:rPr>
              <w:t>Deputy Commissioner</w:t>
            </w:r>
          </w:p>
          <w:p w14:paraId="6AC0512D" w14:textId="77777777" w:rsidR="003813FD" w:rsidRPr="009D6143" w:rsidRDefault="003813FD">
            <w:pPr>
              <w:jc w:val="center"/>
              <w:rPr>
                <w:rFonts w:cs="Arial"/>
                <w:i/>
                <w:iCs/>
              </w:rPr>
            </w:pPr>
            <w:r>
              <w:rPr>
                <w:rFonts w:cs="Arial"/>
                <w:sz w:val="22"/>
                <w:szCs w:val="22"/>
              </w:rPr>
              <w:t>Jobs and Skills Australia</w:t>
            </w:r>
          </w:p>
        </w:tc>
      </w:tr>
    </w:tbl>
    <w:p w14:paraId="18E76D93" w14:textId="77777777" w:rsidR="003813FD" w:rsidRDefault="003813FD" w:rsidP="003813FD"/>
    <w:p w14:paraId="7AC98A28" w14:textId="77777777" w:rsidR="003813FD" w:rsidRPr="000E18EB" w:rsidRDefault="003813FD" w:rsidP="00C033D4">
      <w:pPr>
        <w:pStyle w:val="BodyText"/>
      </w:pPr>
    </w:p>
    <w:tbl>
      <w:tblPr>
        <w:tblStyle w:val="CustomTablepulloutbox"/>
        <w:tblW w:w="0" w:type="auto"/>
        <w:tblLook w:val="04A0" w:firstRow="1" w:lastRow="0" w:firstColumn="1" w:lastColumn="0" w:noHBand="0" w:noVBand="1"/>
      </w:tblPr>
      <w:tblGrid>
        <w:gridCol w:w="8997"/>
      </w:tblGrid>
      <w:tr w:rsidR="00C811CA" w14:paraId="691F8798" w14:textId="77777777">
        <w:tc>
          <w:tcPr>
            <w:tcW w:w="9027" w:type="dxa"/>
          </w:tcPr>
          <w:p w14:paraId="4CCC2F94" w14:textId="77777777" w:rsidR="00C811CA" w:rsidRPr="00C811CA" w:rsidRDefault="00C811CA">
            <w:pPr>
              <w:pStyle w:val="BoxHeading"/>
              <w:rPr>
                <w:sz w:val="22"/>
                <w:szCs w:val="22"/>
              </w:rPr>
            </w:pPr>
            <w:r w:rsidRPr="00C811CA">
              <w:rPr>
                <w:sz w:val="22"/>
                <w:szCs w:val="22"/>
              </w:rPr>
              <w:lastRenderedPageBreak/>
              <w:t>Box: Jobs and Skills Councils</w:t>
            </w:r>
          </w:p>
          <w:p w14:paraId="504A144F" w14:textId="1FC4A1A1" w:rsidR="00C811CA" w:rsidRPr="00C811CA" w:rsidRDefault="00C811CA">
            <w:pPr>
              <w:pStyle w:val="BodyText"/>
              <w:rPr>
                <w:sz w:val="22"/>
                <w:szCs w:val="22"/>
              </w:rPr>
            </w:pPr>
            <w:r w:rsidRPr="00C811CA">
              <w:rPr>
                <w:sz w:val="22"/>
                <w:szCs w:val="22"/>
              </w:rPr>
              <w:t xml:space="preserve">Jobs and Skills Councils (JSCs) are industry-led partnerships that provide leadership to address skills and workforce challenges for their industry. JSCs focus bring together employers, unions and governments in a tripartite arrangement to find solutions to skills and workforce challenges in their industry, including through qualification reform. JSCs play a crucial role in shaping the workforce and skills landscape in Australia and operate at the intersection of skills and training policy with workplace issues and labour market needs. These insights inform the development of training packages and are related to the curriculum, ensuring that tertiary education </w:t>
            </w:r>
            <w:r w:rsidR="005F1DA6">
              <w:rPr>
                <w:sz w:val="22"/>
                <w:szCs w:val="22"/>
              </w:rPr>
              <w:t xml:space="preserve">design and </w:t>
            </w:r>
            <w:r w:rsidRPr="00C811CA">
              <w:rPr>
                <w:sz w:val="22"/>
                <w:szCs w:val="22"/>
              </w:rPr>
              <w:t>delivery is tied to the needs of the modern workforce.</w:t>
            </w:r>
          </w:p>
          <w:p w14:paraId="44FA08D8" w14:textId="77777777" w:rsidR="00C811CA" w:rsidRPr="00C811CA" w:rsidRDefault="00C811CA">
            <w:pPr>
              <w:pStyle w:val="BodyText"/>
              <w:rPr>
                <w:sz w:val="22"/>
                <w:szCs w:val="22"/>
              </w:rPr>
            </w:pPr>
            <w:r w:rsidRPr="00C811CA">
              <w:rPr>
                <w:sz w:val="22"/>
                <w:szCs w:val="22"/>
              </w:rPr>
              <w:t>JSCs are playing a key role in VET qualification reform, which involves a new purpose-based approach to VET qualifications design to improve quality and simplify course designs while also reducing complexity. The reforms provide industry with opportunities for new approaches for qualifications linked to a broader industry or vocational education purpose. As national industry skills bodies, JSCs have been central to the reform working closely with unions, employers, educators and state/territory governments in developing a revised Training Package Organising Framework. This will enhance learning outcomes and improve alignment with industry needs alternative approaches to VET qualification design.</w:t>
            </w:r>
          </w:p>
          <w:p w14:paraId="2DD0FDE9" w14:textId="77777777" w:rsidR="00F9786E" w:rsidRDefault="00C811CA">
            <w:pPr>
              <w:pStyle w:val="BodyText"/>
              <w:rPr>
                <w:sz w:val="22"/>
                <w:szCs w:val="22"/>
              </w:rPr>
            </w:pPr>
            <w:r w:rsidRPr="00C811CA">
              <w:rPr>
                <w:sz w:val="22"/>
                <w:szCs w:val="22"/>
              </w:rPr>
              <w:t xml:space="preserve">Workforce planning is also a key strategic function of JSCs. It involves developing an in-depth understanding of Australia’s current, emerging, and future workforce challenges and opportunities (including skills gaps and shortages) for all sectors within a JSC’s remit and developing advice and strategies to address the challenges and take advantage of the opportunities. JSA, DEWR, and JSCs work together in the development of workforce plans, with a key role for JSA in providing national data, including regional level data, as well as technical guidance. </w:t>
            </w:r>
          </w:p>
          <w:p w14:paraId="473220C2" w14:textId="1A031995" w:rsidR="00C811CA" w:rsidRPr="00F9786E" w:rsidRDefault="00C811CA">
            <w:pPr>
              <w:pStyle w:val="BodyText"/>
              <w:rPr>
                <w:sz w:val="22"/>
                <w:szCs w:val="22"/>
              </w:rPr>
            </w:pPr>
            <w:r w:rsidRPr="00C811CA">
              <w:rPr>
                <w:sz w:val="22"/>
                <w:szCs w:val="22"/>
              </w:rPr>
              <w:t xml:space="preserve">JSA’s role in supporting the JSCs is demonstrated through </w:t>
            </w:r>
            <w:r w:rsidR="000478D0">
              <w:rPr>
                <w:sz w:val="22"/>
                <w:szCs w:val="22"/>
              </w:rPr>
              <w:t>its</w:t>
            </w:r>
            <w:r w:rsidRPr="00C811CA">
              <w:rPr>
                <w:sz w:val="22"/>
                <w:szCs w:val="22"/>
              </w:rPr>
              <w:t xml:space="preserve"> Jobs and Skills Atlas (‘Atlas’). Officially launched by JSA in August 2024, Atlas </w:t>
            </w:r>
            <w:r w:rsidR="000478D0">
              <w:rPr>
                <w:sz w:val="22"/>
                <w:szCs w:val="22"/>
              </w:rPr>
              <w:t xml:space="preserve">is </w:t>
            </w:r>
            <w:r w:rsidRPr="00C811CA">
              <w:rPr>
                <w:sz w:val="22"/>
                <w:szCs w:val="22"/>
              </w:rPr>
              <w:t>an interactive data visualisation and exploration tool that combines a range of jobs and skills datasets at national, state, and regional levels by occupation, industry and training. By combining various data sets and information sources in one tool, Atlas enables access to the information in a consistent and user-friendly format with the ability to reference and cross-reference these data points.</w:t>
            </w:r>
          </w:p>
        </w:tc>
      </w:tr>
    </w:tbl>
    <w:p w14:paraId="0FD82836" w14:textId="69FCC8E8" w:rsidR="005F6D84" w:rsidRDefault="005F6D84" w:rsidP="00C701F2">
      <w:pPr>
        <w:pStyle w:val="Heading11"/>
      </w:pPr>
      <w:bookmarkStart w:id="66" w:name="_Toc200637139"/>
      <w:bookmarkStart w:id="67" w:name="_Toc201070179"/>
      <w:bookmarkStart w:id="68" w:name="_Toc201919842"/>
      <w:bookmarkStart w:id="69" w:name="_Toc202361870"/>
      <w:r>
        <w:t>What are the challenges and opportunities for Regional Australia?</w:t>
      </w:r>
      <w:bookmarkEnd w:id="66"/>
      <w:bookmarkEnd w:id="67"/>
      <w:bookmarkEnd w:id="68"/>
      <w:bookmarkEnd w:id="69"/>
    </w:p>
    <w:p w14:paraId="728B5BB5" w14:textId="729D7E76" w:rsidR="005F6D84" w:rsidRDefault="005F6D84" w:rsidP="00C033D4">
      <w:pPr>
        <w:pStyle w:val="BodyText"/>
      </w:pPr>
      <w:r w:rsidRPr="002E10E0">
        <w:t>At present, Regional Australia is impacted by a range of factors that influence its propensity to succeed. Some of these issues are cross-cutting or national challenges, that are also felt in Regional Australia. Other issues are specific to Regional Australia, more remote areas or indeed selected regions in Regional Australia, reflecting the wide and varied regions of Australia.</w:t>
      </w:r>
      <w:r w:rsidR="00B1728D">
        <w:t xml:space="preserve"> </w:t>
      </w:r>
      <w:r w:rsidR="00657F7F">
        <w:t>Figure 6</w:t>
      </w:r>
      <w:r w:rsidRPr="002E10E0">
        <w:t xml:space="preserve"> below summarises some of the key issues evident in Regional Australia under these broad categories.</w:t>
      </w:r>
    </w:p>
    <w:p w14:paraId="674A2284" w14:textId="7951310C" w:rsidR="005F6D84" w:rsidRDefault="00762C97" w:rsidP="00762C97">
      <w:pPr>
        <w:pStyle w:val="Caption"/>
      </w:pPr>
      <w:bookmarkStart w:id="70" w:name="_Toc201916572"/>
      <w:r>
        <w:lastRenderedPageBreak/>
        <w:t xml:space="preserve">Figure </w:t>
      </w:r>
      <w:r>
        <w:fldChar w:fldCharType="begin"/>
      </w:r>
      <w:r>
        <w:instrText xml:space="preserve"> SEQ Figure \* ARABIC </w:instrText>
      </w:r>
      <w:r>
        <w:fldChar w:fldCharType="separate"/>
      </w:r>
      <w:r w:rsidR="00471863">
        <w:rPr>
          <w:noProof/>
        </w:rPr>
        <w:t>6</w:t>
      </w:r>
      <w:r>
        <w:fldChar w:fldCharType="end"/>
      </w:r>
      <w:r w:rsidR="005F6D84">
        <w:t>: I</w:t>
      </w:r>
      <w:r w:rsidR="005F6D84" w:rsidRPr="009E3A60">
        <w:t>ssues impacting Regional Australia</w:t>
      </w:r>
      <w:bookmarkEnd w:id="70"/>
      <w:r w:rsidR="005F6D84">
        <w:t xml:space="preserve"> </w:t>
      </w:r>
    </w:p>
    <w:p w14:paraId="56F29F4D" w14:textId="16372FC3" w:rsidR="00E7262A" w:rsidRDefault="00E7262A" w:rsidP="005F6D84">
      <w:r>
        <w:rPr>
          <w:noProof/>
        </w:rPr>
        <w:drawing>
          <wp:inline distT="0" distB="0" distL="0" distR="0" wp14:anchorId="5E301C03" wp14:editId="4F38014F">
            <wp:extent cx="5730252" cy="5041402"/>
            <wp:effectExtent l="0" t="0" r="3810" b="0"/>
            <wp:docPr id="1189302410" name="Picture 4" descr="An image displaying a range of issues, some of which are cross-cutting or national challenges, that influence the jobs and skills system in Regional Australia. Issues predominantly felt in Regional Australia include difficulties accessing education and training opportunities, chronic workforce shortages and child care deserts. Issues predominantly felt in remote areas include dispersed populations and large geographic distances and access to technology and inter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02410" name="Picture 4" descr="An image displaying a range of issues, some of which are cross-cutting or national challenges, that influence the jobs and skills system in Regional Australia. Issues predominantly felt in Regional Australia include difficulties accessing education and training opportunities, chronic workforce shortages and child care deserts. Issues predominantly felt in remote areas include dispersed populations and large geographic distances and access to technology and internet. "/>
                    <pic:cNvPicPr/>
                  </pic:nvPicPr>
                  <pic:blipFill>
                    <a:blip r:embed="rId27">
                      <a:extLst>
                        <a:ext uri="{28A0092B-C50C-407E-A947-70E740481C1C}">
                          <a14:useLocalDpi xmlns:a14="http://schemas.microsoft.com/office/drawing/2010/main" val="0"/>
                        </a:ext>
                      </a:extLst>
                    </a:blip>
                    <a:stretch>
                      <a:fillRect/>
                    </a:stretch>
                  </pic:blipFill>
                  <pic:spPr>
                    <a:xfrm>
                      <a:off x="0" y="0"/>
                      <a:ext cx="5730252" cy="5041402"/>
                    </a:xfrm>
                    <a:prstGeom prst="rect">
                      <a:avLst/>
                    </a:prstGeom>
                  </pic:spPr>
                </pic:pic>
              </a:graphicData>
            </a:graphic>
          </wp:inline>
        </w:drawing>
      </w:r>
    </w:p>
    <w:p w14:paraId="0C47FA8F" w14:textId="4827ED5C" w:rsidR="00B832FF" w:rsidRDefault="00B832FF" w:rsidP="00C033D4">
      <w:pPr>
        <w:pStyle w:val="BodyText"/>
      </w:pPr>
      <w:r>
        <w:t xml:space="preserve">While Regional Australia faces </w:t>
      </w:r>
      <w:r w:rsidR="00B1728D">
        <w:t>several</w:t>
      </w:r>
      <w:r>
        <w:t xml:space="preserve"> challenges and issues</w:t>
      </w:r>
      <w:r w:rsidR="004038B9">
        <w:t xml:space="preserve">, </w:t>
      </w:r>
      <w:r w:rsidR="00B1728D">
        <w:t>it</w:t>
      </w:r>
      <w:r w:rsidR="00E0687B">
        <w:t xml:space="preserve"> nonetheless </w:t>
      </w:r>
      <w:r w:rsidR="00B1728D">
        <w:t>possesses</w:t>
      </w:r>
      <w:r w:rsidR="00E0687B">
        <w:t xml:space="preserve"> key strengths and attractions that provide a</w:t>
      </w:r>
      <w:r w:rsidR="00DB6647">
        <w:t xml:space="preserve">n </w:t>
      </w:r>
      <w:r w:rsidR="00E0687B">
        <w:t xml:space="preserve">advantage </w:t>
      </w:r>
      <w:r w:rsidR="00B1728D">
        <w:t xml:space="preserve">when </w:t>
      </w:r>
      <w:r w:rsidR="00417692">
        <w:t xml:space="preserve">compared with Major Cities. Examples </w:t>
      </w:r>
      <w:r w:rsidR="00B1728D">
        <w:t>include</w:t>
      </w:r>
      <w:r w:rsidR="00417692">
        <w:t xml:space="preserve"> both lifestyle and community factors (such as opportunities for stronger community connections, better work-life balance and access to natural beauty across land, water and sea)</w:t>
      </w:r>
      <w:r w:rsidR="00F954B0">
        <w:t xml:space="preserve"> and also economic and labour market factors (such as potentially lower competition for jobs, opportunities to access more affordable housing, and unique career opportunities particularly across mining, energy and agriculture)</w:t>
      </w:r>
      <w:r w:rsidR="00B1728D">
        <w:t xml:space="preserve"> (see Figure </w:t>
      </w:r>
      <w:r w:rsidR="00657F7F">
        <w:t>7</w:t>
      </w:r>
      <w:r w:rsidR="00B1728D">
        <w:t>, below)</w:t>
      </w:r>
      <w:r w:rsidR="00F954B0">
        <w:t>.</w:t>
      </w:r>
    </w:p>
    <w:p w14:paraId="4F0AA6EE" w14:textId="5BC2CB10" w:rsidR="008F0F57" w:rsidRDefault="00F954B0" w:rsidP="00C033D4">
      <w:pPr>
        <w:pStyle w:val="BodyText"/>
      </w:pPr>
      <w:r w:rsidRPr="00CB5206">
        <w:t>Many of the key issues and opportunities</w:t>
      </w:r>
      <w:r>
        <w:t xml:space="preserve"> facing Regional Australia</w:t>
      </w:r>
      <w:r w:rsidRPr="00CB5206">
        <w:t xml:space="preserve"> also need deeper consideration for Australia more broadly but </w:t>
      </w:r>
      <w:r>
        <w:t xml:space="preserve">require an explicit consideration of the impacts on </w:t>
      </w:r>
      <w:r w:rsidRPr="00CB5206">
        <w:t xml:space="preserve">Regional Australia. In leading the development of the Roadmap, JSA is committing to its future sector-based or issue-specific workforce studies explicitly considering the potential implications for Regional Australia, including how impacts and outcomes may vary across regions. </w:t>
      </w:r>
    </w:p>
    <w:p w14:paraId="5AF50D69" w14:textId="77777777" w:rsidR="008F0F57" w:rsidRDefault="008F0F57">
      <w:pPr>
        <w:spacing w:after="160" w:line="259" w:lineRule="auto"/>
        <w:rPr>
          <w:szCs w:val="20"/>
        </w:rPr>
      </w:pPr>
      <w:r>
        <w:br w:type="page"/>
      </w:r>
    </w:p>
    <w:p w14:paraId="301495EA" w14:textId="383B867B" w:rsidR="00B832FF" w:rsidRDefault="00762C97" w:rsidP="00762C97">
      <w:pPr>
        <w:pStyle w:val="Caption"/>
        <w:rPr>
          <w:noProof/>
          <w14:ligatures w14:val="standardContextual"/>
        </w:rPr>
      </w:pPr>
      <w:bookmarkStart w:id="71" w:name="_Toc201916573"/>
      <w:r>
        <w:lastRenderedPageBreak/>
        <w:t xml:space="preserve">Figure </w:t>
      </w:r>
      <w:r>
        <w:fldChar w:fldCharType="begin"/>
      </w:r>
      <w:r>
        <w:instrText xml:space="preserve"> SEQ Figure \* ARABIC </w:instrText>
      </w:r>
      <w:r>
        <w:fldChar w:fldCharType="separate"/>
      </w:r>
      <w:r w:rsidR="00471863">
        <w:rPr>
          <w:noProof/>
        </w:rPr>
        <w:t>7</w:t>
      </w:r>
      <w:r>
        <w:fldChar w:fldCharType="end"/>
      </w:r>
      <w:r w:rsidR="00B832FF">
        <w:t>: Strengths and attractions of Regional Australia</w:t>
      </w:r>
      <w:bookmarkEnd w:id="71"/>
      <w:r w:rsidR="00B832FF" w:rsidRPr="006C17ED">
        <w:rPr>
          <w:noProof/>
          <w14:ligatures w14:val="standardContextual"/>
        </w:rPr>
        <w:t xml:space="preserve"> </w:t>
      </w:r>
    </w:p>
    <w:p w14:paraId="259B435A" w14:textId="04E0ADFD" w:rsidR="00200511" w:rsidRPr="00200511" w:rsidRDefault="00200511" w:rsidP="00200511">
      <w:r>
        <w:rPr>
          <w:noProof/>
        </w:rPr>
        <w:drawing>
          <wp:inline distT="0" distB="0" distL="0" distR="0" wp14:anchorId="3A7F7A48" wp14:editId="2D7FCA13">
            <wp:extent cx="5732145" cy="3943350"/>
            <wp:effectExtent l="0" t="0" r="1905" b="0"/>
            <wp:docPr id="1515732534" name="Picture 5" descr="A diagram that highlights some of the strengths and weaknesses of Regional Australia. Strengths and attractions include: lifestyle and work-life balance, natural beauty and unique career opport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32534" name="Picture 5" descr="A diagram that highlights some of the strengths and weaknesses of Regional Australia. Strengths and attractions include: lifestyle and work-life balance, natural beauty and unique career opportunities. "/>
                    <pic:cNvPicPr/>
                  </pic:nvPicPr>
                  <pic:blipFill>
                    <a:blip r:embed="rId28">
                      <a:extLst>
                        <a:ext uri="{28A0092B-C50C-407E-A947-70E740481C1C}">
                          <a14:useLocalDpi xmlns:a14="http://schemas.microsoft.com/office/drawing/2010/main" val="0"/>
                        </a:ext>
                      </a:extLst>
                    </a:blip>
                    <a:stretch>
                      <a:fillRect/>
                    </a:stretch>
                  </pic:blipFill>
                  <pic:spPr>
                    <a:xfrm>
                      <a:off x="0" y="0"/>
                      <a:ext cx="5732145" cy="3943350"/>
                    </a:xfrm>
                    <a:prstGeom prst="rect">
                      <a:avLst/>
                    </a:prstGeom>
                  </pic:spPr>
                </pic:pic>
              </a:graphicData>
            </a:graphic>
          </wp:inline>
        </w:drawing>
      </w:r>
    </w:p>
    <w:p w14:paraId="7AC791D2" w14:textId="6B187DB4" w:rsidR="00B832FF" w:rsidRPr="009F36B6" w:rsidRDefault="00B832FF" w:rsidP="00200511">
      <w:pPr>
        <w:rPr>
          <w:rFonts w:cs="Arial"/>
        </w:rPr>
      </w:pPr>
      <w:r w:rsidRPr="00200511">
        <w:t>In</w:t>
      </w:r>
      <w:r w:rsidRPr="009F36B6">
        <w:t xml:space="preserve"> support of this, the framework embedded in </w:t>
      </w:r>
      <w:r w:rsidR="00B33C7A" w:rsidRPr="009F36B6">
        <w:t>this</w:t>
      </w:r>
      <w:r w:rsidRPr="009F36B6">
        <w:t xml:space="preserve"> Roadmap is designed to be an overarching and enduring framework for the jobs and skills system in Regional Australia. It should support complementary subsidiary roadmaps and analysis relating to other significant factors and drivers, to specifically consider regional implications.</w:t>
      </w:r>
      <w:r w:rsidRPr="00CB5206">
        <w:t xml:space="preserve"> </w:t>
      </w:r>
    </w:p>
    <w:p w14:paraId="4A08F69E" w14:textId="50300975" w:rsidR="005F6D84" w:rsidRDefault="00B832FF" w:rsidP="00C033D4">
      <w:pPr>
        <w:pStyle w:val="BodyText"/>
      </w:pPr>
      <w:r w:rsidRPr="00CB5206">
        <w:t>While the jobs and skills system is critical to the success of Regional Australia, it is not always the sole or key determinant of success. We should therefore not expect the jobs and skills system to be able to solve issues that arise from all other challenges or drivers. The Roadmap works alongside and complements other sector or region-specific studies and policy responses with the shared goal of delivering improved outcomes for people and communities across Regional Australia.</w:t>
      </w:r>
      <w:r w:rsidRPr="009E747F">
        <w:t xml:space="preserve"> </w:t>
      </w:r>
      <w:r w:rsidR="000478D0">
        <w:t xml:space="preserve">The Roadmap has also been developed in a way that it could be replicated for these other systems for Regional Australia, beyond the jobs and skills system. </w:t>
      </w:r>
    </w:p>
    <w:p w14:paraId="69EB561F" w14:textId="77777777" w:rsidR="000C4246" w:rsidRDefault="000C4246">
      <w:pPr>
        <w:spacing w:after="160" w:line="259" w:lineRule="auto"/>
        <w:rPr>
          <w:rFonts w:cs="Arial"/>
        </w:rPr>
      </w:pPr>
      <w:r>
        <w:rPr>
          <w:rFonts w:cs="Arial"/>
        </w:rPr>
        <w:br w:type="page"/>
      </w:r>
    </w:p>
    <w:p w14:paraId="20F2F1DA" w14:textId="59B0F13E" w:rsidR="00D2470E" w:rsidRDefault="005D668E" w:rsidP="00D804EF">
      <w:pPr>
        <w:pStyle w:val="Heading11"/>
      </w:pPr>
      <w:bookmarkStart w:id="72" w:name="_Toc200637140"/>
      <w:bookmarkStart w:id="73" w:name="_Toc201070180"/>
      <w:bookmarkStart w:id="74" w:name="_Toc201919843"/>
      <w:bookmarkStart w:id="75" w:name="_Toc202361871"/>
      <w:r>
        <w:lastRenderedPageBreak/>
        <w:t>4</w:t>
      </w:r>
      <w:r w:rsidR="005F6D84">
        <w:t xml:space="preserve"> key t</w:t>
      </w:r>
      <w:r w:rsidR="00E85B66">
        <w:t>rends influencing</w:t>
      </w:r>
      <w:r w:rsidR="00D2470E" w:rsidRPr="00CB0C7A">
        <w:t xml:space="preserve"> the jobs and skills system in Regional Australia</w:t>
      </w:r>
      <w:bookmarkEnd w:id="72"/>
      <w:bookmarkEnd w:id="73"/>
      <w:bookmarkEnd w:id="74"/>
      <w:bookmarkEnd w:id="75"/>
    </w:p>
    <w:p w14:paraId="6018DBE5" w14:textId="3DDF0BF6" w:rsidR="00C6775C" w:rsidRPr="00C6775C" w:rsidRDefault="00C6775C" w:rsidP="00D804EF">
      <w:pPr>
        <w:pStyle w:val="BodyText"/>
      </w:pPr>
      <w:r w:rsidRPr="00C6775C">
        <w:t>While there have always been differences in regional economies and labour markets across Australia, changes in the fortunes of particular industries, infrastructure, technological developments and other factors mean that these differences vary over time and by region. Gaining an understanding of the trends that are associated with regional labour market performance will help better inform policy development and assist in ensuring Australia has the necessary pre-requisites to build a better-skilled and more adaptable workforce to position the Australian labour market for the future</w:t>
      </w:r>
      <w:r>
        <w:t>.</w:t>
      </w:r>
    </w:p>
    <w:p w14:paraId="5A746838" w14:textId="532B8B9F" w:rsidR="00180310" w:rsidRPr="00180310" w:rsidRDefault="00180310" w:rsidP="00D804EF">
      <w:pPr>
        <w:pStyle w:val="Heading3"/>
      </w:pPr>
      <w:r w:rsidRPr="00180310">
        <w:t>Coastal regions have benefited from strong population growth</w:t>
      </w:r>
      <w:r w:rsidR="00B84EE4">
        <w:rPr>
          <w:rStyle w:val="FootnoteReference"/>
        </w:rPr>
        <w:footnoteReference w:id="5"/>
      </w:r>
      <w:r w:rsidRPr="005F6D84">
        <w:rPr>
          <w:vertAlign w:val="superscript"/>
        </w:rPr>
        <w:t> </w:t>
      </w:r>
    </w:p>
    <w:p w14:paraId="3ECF24FB" w14:textId="2A23DEFE" w:rsidR="00180310" w:rsidRPr="00180310" w:rsidRDefault="00180310" w:rsidP="00D804EF">
      <w:pPr>
        <w:pStyle w:val="BodyText"/>
      </w:pPr>
      <w:r w:rsidRPr="00180310">
        <w:t xml:space="preserve">Population growth (and decline) has important social, economic and policy implications. Population growth can </w:t>
      </w:r>
      <w:r w:rsidR="00C666FA">
        <w:t>lead to</w:t>
      </w:r>
      <w:r w:rsidRPr="00180310">
        <w:t xml:space="preserve"> increased economic activity </w:t>
      </w:r>
      <w:r w:rsidR="00C666FA">
        <w:t>and</w:t>
      </w:r>
      <w:r w:rsidRPr="00180310">
        <w:t xml:space="preserve"> stronger labour market outcomes, although it can also pose some challenges if the supply of labour does not match the increased demand for services</w:t>
      </w:r>
      <w:r w:rsidR="0028166A">
        <w:t xml:space="preserve"> or if it puts excessive pressure on infrastructure and services</w:t>
      </w:r>
      <w:r w:rsidRPr="00180310">
        <w:t>. By contrast, regions experiencing low or negative population growth may struggle to attract investment, which can lead to reduced economic activity and service availability and poorer labour market outcomes. </w:t>
      </w:r>
    </w:p>
    <w:p w14:paraId="06C00DD2" w14:textId="5AE0D82D" w:rsidR="0028166A" w:rsidRDefault="00180310" w:rsidP="00D804EF">
      <w:pPr>
        <w:pStyle w:val="BodyText"/>
      </w:pPr>
      <w:r w:rsidRPr="00180310">
        <w:t xml:space="preserve">As can be seen in Figure </w:t>
      </w:r>
      <w:r w:rsidR="00657F7F">
        <w:t>8</w:t>
      </w:r>
      <w:r w:rsidRPr="00180310">
        <w:t xml:space="preserve">, over the longer-term, there has been considerable population growth in both capital cities and coastal regions, while inland regions have lagged behind. </w:t>
      </w:r>
      <w:r w:rsidR="0028166A">
        <w:t>C</w:t>
      </w:r>
      <w:r w:rsidRPr="00180310">
        <w:t>oastal regions have become an increasingly popular destination to live and as a result have experienced particularly strong population growth, especially when compared with inland regions. </w:t>
      </w:r>
      <w:r w:rsidR="0028166A" w:rsidRPr="00373118">
        <w:t xml:space="preserve">The Regional Australia Institute (RAI) </w:t>
      </w:r>
      <w:r w:rsidR="0028166A" w:rsidRPr="00373118">
        <w:rPr>
          <w:i/>
          <w:iCs/>
        </w:rPr>
        <w:t>Regional Movers December 2024</w:t>
      </w:r>
      <w:r w:rsidR="0028166A" w:rsidRPr="00373118">
        <w:t xml:space="preserve"> report showing that city to regional migration continues to outpace regional to city flows</w:t>
      </w:r>
      <w:r w:rsidR="0028166A">
        <w:t>.</w:t>
      </w:r>
      <w:r w:rsidR="0028166A">
        <w:rPr>
          <w:rStyle w:val="FootnoteReference"/>
        </w:rPr>
        <w:footnoteReference w:id="6"/>
      </w:r>
    </w:p>
    <w:p w14:paraId="7255CE13" w14:textId="77777777" w:rsidR="005C430A" w:rsidRDefault="0028166A" w:rsidP="00D804EF">
      <w:pPr>
        <w:pStyle w:val="BodyText"/>
      </w:pPr>
      <w:r>
        <w:t>P</w:t>
      </w:r>
      <w:r w:rsidR="00CA6367" w:rsidRPr="00180310">
        <w:t xml:space="preserve">opulation growth </w:t>
      </w:r>
      <w:r>
        <w:t>in</w:t>
      </w:r>
      <w:r w:rsidR="00CA6367" w:rsidRPr="00180310">
        <w:t xml:space="preserve"> coastal regions has been driven predominantly by strong net internal migration as more people move to coastal regions from capital cities and inland regions than back in the other direction (</w:t>
      </w:r>
      <w:r w:rsidR="00BC4262">
        <w:t xml:space="preserve">see </w:t>
      </w:r>
      <w:r w:rsidR="00CA6367" w:rsidRPr="00180310">
        <w:t xml:space="preserve">Figure </w:t>
      </w:r>
      <w:r w:rsidR="00F30DD8">
        <w:t>9</w:t>
      </w:r>
      <w:r w:rsidR="00BC4262">
        <w:t>, below</w:t>
      </w:r>
      <w:r w:rsidR="00CA6367" w:rsidRPr="00180310">
        <w:t xml:space="preserve">). </w:t>
      </w:r>
    </w:p>
    <w:p w14:paraId="1C6F08BB" w14:textId="7F8C0BC7" w:rsidR="00180310" w:rsidRPr="00180310" w:rsidRDefault="00CA6367" w:rsidP="00D804EF">
      <w:pPr>
        <w:pStyle w:val="BodyText"/>
      </w:pPr>
      <w:r w:rsidRPr="00180310">
        <w:t>For inland regions, however, and except for 2021 and 2022, net internal migration has been detracting from population growth</w:t>
      </w:r>
      <w:r w:rsidR="0028166A">
        <w:t>, with growth instead</w:t>
      </w:r>
      <w:r w:rsidRPr="00180310">
        <w:t xml:space="preserve"> driven by natural increase and net overseas migration</w:t>
      </w:r>
      <w:r w:rsidR="0028166A">
        <w:t xml:space="preserve"> (</w:t>
      </w:r>
      <w:r w:rsidRPr="00180310">
        <w:t xml:space="preserve">although </w:t>
      </w:r>
      <w:r w:rsidR="00524B3A">
        <w:t>with</w:t>
      </w:r>
      <w:r w:rsidR="0028166A">
        <w:t xml:space="preserve"> rates that</w:t>
      </w:r>
      <w:r w:rsidRPr="00180310">
        <w:t xml:space="preserve"> still lag behind that seen in coastal regions</w:t>
      </w:r>
      <w:r w:rsidR="0028166A">
        <w:t>)</w:t>
      </w:r>
      <w:r w:rsidRPr="00180310">
        <w:t xml:space="preserve">. While Australia’s regional </w:t>
      </w:r>
      <w:r w:rsidR="00737C0D" w:rsidRPr="00180310">
        <w:t xml:space="preserve">visa </w:t>
      </w:r>
      <w:r w:rsidR="00737C0D">
        <w:t>settings</w:t>
      </w:r>
      <w:r w:rsidR="00737C0D" w:rsidRPr="00180310">
        <w:t xml:space="preserve">, which offer incentives to encourage skilled migrants to live and work in regional Australia, </w:t>
      </w:r>
      <w:r w:rsidR="00737C0D">
        <w:t>is</w:t>
      </w:r>
      <w:r w:rsidR="00737C0D" w:rsidRPr="00180310">
        <w:t xml:space="preserve"> contributing to some of the increase in net overseas migration</w:t>
      </w:r>
      <w:r w:rsidRPr="00180310">
        <w:t>, the majority of migrants (close to 90%) settle in capital cities, predominately Sydney and Melbourne</w:t>
      </w:r>
      <w:r w:rsidR="00737C0D">
        <w:t>.</w:t>
      </w:r>
      <w:r w:rsidR="002F2EC3">
        <w:rPr>
          <w:rStyle w:val="FootnoteReference"/>
        </w:rPr>
        <w:footnoteReference w:id="7"/>
      </w:r>
      <w:r w:rsidRPr="00180310">
        <w:t> </w:t>
      </w:r>
    </w:p>
    <w:p w14:paraId="6AAE9D10" w14:textId="2D0F948B" w:rsidR="00180310" w:rsidRPr="00180310" w:rsidRDefault="00762C97" w:rsidP="00762C97">
      <w:pPr>
        <w:pStyle w:val="Caption"/>
        <w:rPr>
          <w:b w:val="0"/>
          <w:sz w:val="20"/>
          <w:szCs w:val="20"/>
        </w:rPr>
      </w:pPr>
      <w:bookmarkStart w:id="76" w:name="_Toc201916574"/>
      <w:r>
        <w:lastRenderedPageBreak/>
        <w:t xml:space="preserve">Figure </w:t>
      </w:r>
      <w:r>
        <w:fldChar w:fldCharType="begin"/>
      </w:r>
      <w:r>
        <w:instrText xml:space="preserve"> SEQ Figure \* ARABIC </w:instrText>
      </w:r>
      <w:r>
        <w:fldChar w:fldCharType="separate"/>
      </w:r>
      <w:r w:rsidR="00471863">
        <w:rPr>
          <w:noProof/>
        </w:rPr>
        <w:t>8</w:t>
      </w:r>
      <w:r>
        <w:fldChar w:fldCharType="end"/>
      </w:r>
      <w:r w:rsidR="00180310" w:rsidRPr="00180310">
        <w:rPr>
          <w:sz w:val="20"/>
          <w:szCs w:val="20"/>
        </w:rPr>
        <w:t xml:space="preserve">: </w:t>
      </w:r>
      <w:r w:rsidR="00180310" w:rsidRPr="00EE0A71">
        <w:t>Annual population growth (%), 2002 to 202</w:t>
      </w:r>
      <w:r w:rsidR="005A6080">
        <w:t>4</w:t>
      </w:r>
      <w:bookmarkEnd w:id="76"/>
      <w:r w:rsidR="00180310" w:rsidRPr="00EE0A71">
        <w:t> </w:t>
      </w:r>
    </w:p>
    <w:p w14:paraId="47CC5251" w14:textId="65D99082" w:rsidR="00180310" w:rsidRPr="00180310" w:rsidRDefault="00180310" w:rsidP="00180310">
      <w:pPr>
        <w:spacing w:after="160" w:line="259" w:lineRule="auto"/>
      </w:pPr>
      <w:r w:rsidRPr="00180310">
        <w:t> </w:t>
      </w:r>
      <w:r w:rsidR="005C272B">
        <w:rPr>
          <w:noProof/>
        </w:rPr>
        <w:drawing>
          <wp:inline distT="0" distB="0" distL="0" distR="0" wp14:anchorId="71D07CFB" wp14:editId="3FA0BE12">
            <wp:extent cx="5487035" cy="2859405"/>
            <wp:effectExtent l="0" t="0" r="0" b="0"/>
            <wp:docPr id="1709362730" name="Picture 18" descr="A line chart that shows annual population growth for Capital Cities, Coastal Regions and Inland regions from 2002 to 2024. The chart shows that over the longer-term, there has been considerable population growth in both capital cities and coastal regions, while inland regions have lagged beh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62730" name="Picture 18" descr="A line chart that shows annual population growth for Capital Cities, Coastal Regions and Inland regions from 2002 to 2024. The chart shows that over the longer-term, there has been considerable population growth in both capital cities and coastal regions, while inland regions have lagged behind. "/>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5487035" cy="2859405"/>
                    </a:xfrm>
                    <a:prstGeom prst="rect">
                      <a:avLst/>
                    </a:prstGeom>
                    <a:noFill/>
                  </pic:spPr>
                </pic:pic>
              </a:graphicData>
            </a:graphic>
          </wp:inline>
        </w:drawing>
      </w:r>
    </w:p>
    <w:p w14:paraId="047ECFA9" w14:textId="56559E70" w:rsidR="00180310" w:rsidRPr="005A6080" w:rsidRDefault="00180310" w:rsidP="00180310">
      <w:pPr>
        <w:spacing w:after="160" w:line="259" w:lineRule="auto"/>
        <w:rPr>
          <w:sz w:val="18"/>
          <w:szCs w:val="18"/>
        </w:rPr>
      </w:pPr>
      <w:r w:rsidRPr="005A6080">
        <w:rPr>
          <w:sz w:val="18"/>
          <w:szCs w:val="18"/>
        </w:rPr>
        <w:t xml:space="preserve">Source: ABS, </w:t>
      </w:r>
      <w:r w:rsidRPr="005A6080">
        <w:rPr>
          <w:i/>
          <w:iCs/>
          <w:sz w:val="18"/>
          <w:szCs w:val="18"/>
        </w:rPr>
        <w:t xml:space="preserve">Regional population, </w:t>
      </w:r>
      <w:r w:rsidR="005A6080">
        <w:rPr>
          <w:sz w:val="18"/>
          <w:szCs w:val="18"/>
        </w:rPr>
        <w:t>2023-24</w:t>
      </w:r>
      <w:r w:rsidRPr="005A6080">
        <w:rPr>
          <w:sz w:val="18"/>
          <w:szCs w:val="18"/>
        </w:rPr>
        <w:t xml:space="preserve"> (Estimated Resident Population) </w:t>
      </w:r>
    </w:p>
    <w:p w14:paraId="56C356A3" w14:textId="06097BB6" w:rsidR="00180310" w:rsidRPr="00BC4262" w:rsidRDefault="00762C97" w:rsidP="00762C97">
      <w:pPr>
        <w:pStyle w:val="Caption"/>
        <w:rPr>
          <w:b w:val="0"/>
        </w:rPr>
      </w:pPr>
      <w:bookmarkStart w:id="77" w:name="_Toc201916575"/>
      <w:r>
        <w:t xml:space="preserve">Figure </w:t>
      </w:r>
      <w:r>
        <w:fldChar w:fldCharType="begin"/>
      </w:r>
      <w:r>
        <w:instrText xml:space="preserve"> SEQ Figure \* ARABIC </w:instrText>
      </w:r>
      <w:r>
        <w:fldChar w:fldCharType="separate"/>
      </w:r>
      <w:r w:rsidR="00471863">
        <w:rPr>
          <w:noProof/>
        </w:rPr>
        <w:t>9</w:t>
      </w:r>
      <w:r>
        <w:fldChar w:fldCharType="end"/>
      </w:r>
      <w:r w:rsidR="00180310" w:rsidRPr="00BC4262">
        <w:t>: Population components, 2017 to 202</w:t>
      </w:r>
      <w:r w:rsidR="00F22F38" w:rsidRPr="00BC4262">
        <w:t>4</w:t>
      </w:r>
      <w:bookmarkEnd w:id="77"/>
    </w:p>
    <w:p w14:paraId="1EDF928B" w14:textId="2200AFD2" w:rsidR="00180310" w:rsidRPr="00180310" w:rsidRDefault="00180310" w:rsidP="00180310">
      <w:pPr>
        <w:spacing w:after="160" w:line="259" w:lineRule="auto"/>
      </w:pPr>
      <w:r w:rsidRPr="00180310">
        <w:t> </w:t>
      </w:r>
      <w:r w:rsidR="005C272B">
        <w:rPr>
          <w:noProof/>
        </w:rPr>
        <w:drawing>
          <wp:inline distT="0" distB="0" distL="0" distR="0" wp14:anchorId="7A7C2230" wp14:editId="13C39594">
            <wp:extent cx="5712460" cy="3035935"/>
            <wp:effectExtent l="0" t="0" r="2540" b="0"/>
            <wp:docPr id="1093863006" name="Picture 19" descr="A stacked column chart that shows population components for Coastal and Inland regions from 2017 to 2024. The char shows that population growth in coastal regions has been driven predominantly by strong net internal ,migration as more people move to coastal regions from capital cities and inland regions than back in the other dir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863006" name="Picture 19" descr="A stacked column chart that shows population components for Coastal and Inland regions from 2017 to 2024. The char shows that population growth in coastal regions has been driven predominantly by strong net internal ,migration as more people move to coastal regions from capital cities and inland regions than back in the other direction. "/>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5712460" cy="3035935"/>
                    </a:xfrm>
                    <a:prstGeom prst="rect">
                      <a:avLst/>
                    </a:prstGeom>
                    <a:noFill/>
                  </pic:spPr>
                </pic:pic>
              </a:graphicData>
            </a:graphic>
          </wp:inline>
        </w:drawing>
      </w:r>
    </w:p>
    <w:p w14:paraId="0205A47C" w14:textId="3C5AD01D" w:rsidR="00180310" w:rsidRPr="00EE0A71" w:rsidRDefault="00180310" w:rsidP="00180310">
      <w:pPr>
        <w:spacing w:after="160" w:line="259" w:lineRule="auto"/>
        <w:rPr>
          <w:sz w:val="18"/>
          <w:szCs w:val="18"/>
        </w:rPr>
      </w:pPr>
      <w:r w:rsidRPr="00EE0A71">
        <w:rPr>
          <w:sz w:val="18"/>
          <w:szCs w:val="18"/>
        </w:rPr>
        <w:t xml:space="preserve">Source: ABS, </w:t>
      </w:r>
      <w:r w:rsidRPr="00EE0A71">
        <w:rPr>
          <w:i/>
          <w:sz w:val="18"/>
          <w:szCs w:val="18"/>
        </w:rPr>
        <w:t xml:space="preserve">Regional population, </w:t>
      </w:r>
      <w:r w:rsidR="00F22F38">
        <w:rPr>
          <w:sz w:val="18"/>
          <w:szCs w:val="18"/>
        </w:rPr>
        <w:t>2023-24</w:t>
      </w:r>
      <w:r w:rsidRPr="00EE0A71">
        <w:rPr>
          <w:sz w:val="18"/>
          <w:szCs w:val="18"/>
        </w:rPr>
        <w:t xml:space="preserve"> (Estimated Resident Population); Data prior to 2022 is sourced from ABS, </w:t>
      </w:r>
      <w:r w:rsidRPr="00EE0A71">
        <w:rPr>
          <w:i/>
          <w:sz w:val="18"/>
          <w:szCs w:val="18"/>
        </w:rPr>
        <w:t>Regional population</w:t>
      </w:r>
      <w:r w:rsidRPr="00EE0A71">
        <w:rPr>
          <w:sz w:val="18"/>
          <w:szCs w:val="18"/>
        </w:rPr>
        <w:t xml:space="preserve"> (Estimated Resident Population), using .Stat Data Explorer</w:t>
      </w:r>
      <w:r w:rsidRPr="00EE0A71">
        <w:rPr>
          <w:i/>
          <w:sz w:val="18"/>
          <w:szCs w:val="18"/>
        </w:rPr>
        <w:t> </w:t>
      </w:r>
      <w:r w:rsidRPr="00EE0A71">
        <w:rPr>
          <w:sz w:val="18"/>
          <w:szCs w:val="18"/>
        </w:rPr>
        <w:t> </w:t>
      </w:r>
    </w:p>
    <w:p w14:paraId="6530168C" w14:textId="44832DE0" w:rsidR="00180310" w:rsidRPr="00180310" w:rsidRDefault="00180310" w:rsidP="00D804EF">
      <w:pPr>
        <w:pStyle w:val="Heading3"/>
      </w:pPr>
      <w:r w:rsidRPr="00180310">
        <w:t xml:space="preserve">An ageing population and the </w:t>
      </w:r>
      <w:r w:rsidR="00524B3A">
        <w:t>importance of</w:t>
      </w:r>
      <w:r w:rsidRPr="00180310">
        <w:t xml:space="preserve"> the health and care sector</w:t>
      </w:r>
    </w:p>
    <w:p w14:paraId="00DDEE6D" w14:textId="3C65844E" w:rsidR="00180310" w:rsidRPr="00180310" w:rsidRDefault="00180310" w:rsidP="00D804EF">
      <w:pPr>
        <w:pStyle w:val="BodyText"/>
      </w:pPr>
      <w:r w:rsidRPr="00180310">
        <w:t>Demographic change is a key driver of labour supply and can greatly affect the size and shape of the workforce. Population ageing, through a long-term decline in fertility rates and rising longevity, is a global trend amongst most of the advanced economies, including Australia, and will place downward pressure on labour supply as older workers retire.</w:t>
      </w:r>
      <w:r w:rsidR="00322283">
        <w:rPr>
          <w:rStyle w:val="FootnoteReference"/>
        </w:rPr>
        <w:footnoteReference w:id="8"/>
      </w:r>
      <w:r w:rsidRPr="00180310">
        <w:t xml:space="preserve"> That </w:t>
      </w:r>
      <w:r w:rsidRPr="00180310">
        <w:lastRenderedPageBreak/>
        <w:t xml:space="preserve">said, a relatively high net migration rate and increasing participation by females and older cohorts has helped mitigate </w:t>
      </w:r>
      <w:r w:rsidR="00524B3A">
        <w:t xml:space="preserve">some of </w:t>
      </w:r>
      <w:r w:rsidRPr="00180310">
        <w:t>the impact of ageing on the labour market in Australia.  </w:t>
      </w:r>
    </w:p>
    <w:p w14:paraId="5D107ED9" w14:textId="57658326" w:rsidR="00180310" w:rsidRPr="00180310" w:rsidRDefault="00180310" w:rsidP="00D804EF">
      <w:pPr>
        <w:pStyle w:val="BodyText"/>
      </w:pPr>
      <w:r w:rsidRPr="00180310">
        <w:t xml:space="preserve">Nevertheless, Australia’s population is expected to continue to age over the next 40 years, while the share of the working age population to fall. Treasury’s </w:t>
      </w:r>
      <w:r w:rsidRPr="00180310">
        <w:rPr>
          <w:i/>
          <w:iCs/>
        </w:rPr>
        <w:t>2023 Intergenerational Report</w:t>
      </w:r>
      <w:r w:rsidRPr="00180310">
        <w:t xml:space="preserve"> estimating that the share of the population aged 65 years and over </w:t>
      </w:r>
      <w:r w:rsidR="009666E3">
        <w:t xml:space="preserve">is </w:t>
      </w:r>
      <w:r w:rsidRPr="00180310">
        <w:t>projected to increase from 17% in 2022–23 to 23% in 2062–63, while the share of the working age population will fall from 65% to 61% over the same period.</w:t>
      </w:r>
      <w:r w:rsidR="003D4477">
        <w:rPr>
          <w:rStyle w:val="FootnoteReference"/>
        </w:rPr>
        <w:footnoteReference w:id="9"/>
      </w:r>
      <w:r w:rsidRPr="00180310">
        <w:t> </w:t>
      </w:r>
    </w:p>
    <w:p w14:paraId="5CDF2DF6" w14:textId="50B4F27D" w:rsidR="00180310" w:rsidRPr="00180310" w:rsidRDefault="00180310" w:rsidP="00D804EF">
      <w:pPr>
        <w:pStyle w:val="BodyText"/>
      </w:pPr>
      <w:r w:rsidRPr="00180310">
        <w:t xml:space="preserve">As can be seen from Figure </w:t>
      </w:r>
      <w:r w:rsidR="00547254">
        <w:t>1</w:t>
      </w:r>
      <w:r w:rsidR="00571AF8">
        <w:t>0</w:t>
      </w:r>
      <w:r w:rsidRPr="00180310">
        <w:t xml:space="preserve">, regional areas have a much older age structure than </w:t>
      </w:r>
      <w:r w:rsidR="00E07A25">
        <w:t>Major City areas</w:t>
      </w:r>
      <w:r w:rsidRPr="00180310">
        <w:t xml:space="preserve">. </w:t>
      </w:r>
      <w:r w:rsidR="009666E3">
        <w:t>O</w:t>
      </w:r>
      <w:r w:rsidRPr="00180310">
        <w:t xml:space="preserve">nly 19% of the </w:t>
      </w:r>
      <w:r w:rsidR="003D4477">
        <w:t xml:space="preserve">civilian </w:t>
      </w:r>
      <w:r w:rsidRPr="00180310">
        <w:t xml:space="preserve">population in </w:t>
      </w:r>
      <w:r w:rsidR="002722BD">
        <w:t>major</w:t>
      </w:r>
      <w:r w:rsidRPr="00180310">
        <w:t xml:space="preserve"> cities were aged 65 years and over in </w:t>
      </w:r>
      <w:r w:rsidR="002722BD">
        <w:t>March 2025</w:t>
      </w:r>
      <w:r w:rsidRPr="00180310">
        <w:t>, compared with 2</w:t>
      </w:r>
      <w:r w:rsidR="002722BD">
        <w:t>8</w:t>
      </w:r>
      <w:r w:rsidRPr="00180310">
        <w:t>% in regional areas. With an older population and less people of prime working age, regional areas have a smaller pool of prime age workers available to them which may lead to labour market challenges including labour shortages and reduced productivity levels.</w:t>
      </w:r>
      <w:r w:rsidR="003D4477">
        <w:rPr>
          <w:rStyle w:val="FootnoteReference"/>
        </w:rPr>
        <w:footnoteReference w:id="10"/>
      </w:r>
    </w:p>
    <w:p w14:paraId="78F32795" w14:textId="3F2140CD" w:rsidR="00180310" w:rsidRPr="00EE0A71" w:rsidRDefault="00762C97" w:rsidP="00762C97">
      <w:pPr>
        <w:pStyle w:val="Caption"/>
        <w:rPr>
          <w:b w:val="0"/>
        </w:rPr>
      </w:pPr>
      <w:bookmarkStart w:id="78" w:name="_Toc201916576"/>
      <w:r>
        <w:t xml:space="preserve">Figure </w:t>
      </w:r>
      <w:r>
        <w:fldChar w:fldCharType="begin"/>
      </w:r>
      <w:r>
        <w:instrText xml:space="preserve"> SEQ Figure \* ARABIC </w:instrText>
      </w:r>
      <w:r>
        <w:fldChar w:fldCharType="separate"/>
      </w:r>
      <w:r w:rsidR="00471863">
        <w:rPr>
          <w:noProof/>
        </w:rPr>
        <w:t>10</w:t>
      </w:r>
      <w:r>
        <w:fldChar w:fldCharType="end"/>
      </w:r>
      <w:r w:rsidR="00180310" w:rsidRPr="00EE0A71">
        <w:t>: Proportion of population (%) by age by remoteness category,</w:t>
      </w:r>
      <w:r w:rsidR="002722BD">
        <w:t xml:space="preserve"> 2025</w:t>
      </w:r>
      <w:bookmarkEnd w:id="78"/>
      <w:r w:rsidR="00180310" w:rsidRPr="00EE0A71">
        <w:t> </w:t>
      </w:r>
    </w:p>
    <w:p w14:paraId="50712C4E" w14:textId="506A4237" w:rsidR="00812B95" w:rsidRDefault="00812B95" w:rsidP="00180310">
      <w:pPr>
        <w:spacing w:after="160" w:line="259" w:lineRule="auto"/>
        <w:rPr>
          <w:sz w:val="18"/>
          <w:szCs w:val="18"/>
        </w:rPr>
      </w:pPr>
      <w:r>
        <w:rPr>
          <w:noProof/>
          <w:sz w:val="18"/>
          <w:szCs w:val="18"/>
        </w:rPr>
        <w:drawing>
          <wp:inline distT="0" distB="0" distL="0" distR="0" wp14:anchorId="20756DAC" wp14:editId="1385A140">
            <wp:extent cx="5730875" cy="2865120"/>
            <wp:effectExtent l="0" t="0" r="3175" b="0"/>
            <wp:docPr id="1899046041" name="Picture 20" descr="A stacked bar chart that shows the proportion of population (%) by age by remoteness category. The chart shows that regional areas have a much older age structure than Major City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46041" name="Picture 20" descr="A stacked bar chart that shows the proportion of population (%) by age by remoteness category. The chart shows that regional areas have a much older age structure than Major City areas. "/>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5730875" cy="2865120"/>
                    </a:xfrm>
                    <a:prstGeom prst="rect">
                      <a:avLst/>
                    </a:prstGeom>
                    <a:noFill/>
                  </pic:spPr>
                </pic:pic>
              </a:graphicData>
            </a:graphic>
          </wp:inline>
        </w:drawing>
      </w:r>
    </w:p>
    <w:p w14:paraId="45FF7586" w14:textId="1DD35BB0" w:rsidR="00180310" w:rsidRPr="00EA2BE5" w:rsidRDefault="00180310" w:rsidP="00180310">
      <w:pPr>
        <w:spacing w:after="160" w:line="259" w:lineRule="auto"/>
        <w:rPr>
          <w:sz w:val="18"/>
          <w:szCs w:val="18"/>
        </w:rPr>
      </w:pPr>
      <w:r w:rsidRPr="00EA2BE5">
        <w:rPr>
          <w:sz w:val="18"/>
          <w:szCs w:val="18"/>
        </w:rPr>
        <w:t xml:space="preserve">Source: ABS, </w:t>
      </w:r>
      <w:r w:rsidRPr="00EA2BE5">
        <w:rPr>
          <w:i/>
          <w:sz w:val="18"/>
          <w:szCs w:val="18"/>
        </w:rPr>
        <w:t>Labour Force, Detailed</w:t>
      </w:r>
      <w:r w:rsidRPr="00EA2BE5">
        <w:rPr>
          <w:sz w:val="18"/>
          <w:szCs w:val="18"/>
        </w:rPr>
        <w:t xml:space="preserve">, </w:t>
      </w:r>
      <w:r w:rsidRPr="00EA2BE5">
        <w:rPr>
          <w:i/>
          <w:sz w:val="18"/>
          <w:szCs w:val="18"/>
        </w:rPr>
        <w:t>Australia</w:t>
      </w:r>
      <w:r w:rsidRPr="00EA2BE5">
        <w:rPr>
          <w:sz w:val="18"/>
          <w:szCs w:val="18"/>
        </w:rPr>
        <w:t xml:space="preserve">, </w:t>
      </w:r>
      <w:r w:rsidR="002722BD" w:rsidRPr="00EA2BE5">
        <w:rPr>
          <w:sz w:val="18"/>
          <w:szCs w:val="18"/>
        </w:rPr>
        <w:t>March 2025</w:t>
      </w:r>
      <w:r w:rsidRPr="00EA2BE5">
        <w:rPr>
          <w:sz w:val="18"/>
          <w:szCs w:val="18"/>
        </w:rPr>
        <w:t>, 6-month averages of original estimates </w:t>
      </w:r>
    </w:p>
    <w:p w14:paraId="2ED26C39" w14:textId="77777777" w:rsidR="00180310" w:rsidRPr="00180310" w:rsidRDefault="00180310" w:rsidP="00D804EF">
      <w:pPr>
        <w:pStyle w:val="Heading3"/>
      </w:pPr>
      <w:r w:rsidRPr="00180310">
        <w:t>Growth in the high skilled, services-based workforce </w:t>
      </w:r>
    </w:p>
    <w:p w14:paraId="598E8C77" w14:textId="35DBB33F" w:rsidR="00180310" w:rsidRPr="00180310" w:rsidRDefault="00180310" w:rsidP="00D804EF">
      <w:pPr>
        <w:pStyle w:val="BodyText"/>
      </w:pPr>
      <w:r w:rsidRPr="00180310">
        <w:t xml:space="preserve">Compositionally, employment has continued to shift towards jobs that are higher skilled (commensurate with some level of post-secondary school qualification) and away from jobs that are lower skilled (and do not require such a qualification). For instance, </w:t>
      </w:r>
      <w:r w:rsidR="00D52FAE">
        <w:t>S</w:t>
      </w:r>
      <w:r w:rsidRPr="00180310">
        <w:t xml:space="preserve">kill </w:t>
      </w:r>
      <w:r w:rsidR="00D52FAE">
        <w:t>L</w:t>
      </w:r>
      <w:r w:rsidRPr="00180310">
        <w:t xml:space="preserve">evel 1 occupations (commensurate with a Bachelor Degree or </w:t>
      </w:r>
      <w:r w:rsidR="00952A80">
        <w:t>above</w:t>
      </w:r>
      <w:r w:rsidRPr="00180310">
        <w:t xml:space="preserve">) accounted for more than a third (35%) of the share of total employment in February 2024, well above the 23% recorded </w:t>
      </w:r>
      <w:r w:rsidR="00285E8D">
        <w:t>3</w:t>
      </w:r>
      <w:r w:rsidRPr="00180310">
        <w:t xml:space="preserve"> decades ago.  </w:t>
      </w:r>
    </w:p>
    <w:p w14:paraId="4CAF8F31" w14:textId="5E8771A0" w:rsidR="00180310" w:rsidRPr="00180310" w:rsidRDefault="00180310" w:rsidP="00D804EF">
      <w:pPr>
        <w:pStyle w:val="BodyText"/>
      </w:pPr>
      <w:r w:rsidRPr="00180310">
        <w:t xml:space="preserve">The shift towards employment in higher skilled occupations in recent years is a continuation of a long-term trend, as the workforce has become more highly educated and employment </w:t>
      </w:r>
      <w:r w:rsidRPr="00180310">
        <w:lastRenderedPageBreak/>
        <w:t>has transitioned towards more services-based industries.</w:t>
      </w:r>
      <w:r w:rsidR="00475F4B">
        <w:rPr>
          <w:rStyle w:val="FootnoteReference"/>
        </w:rPr>
        <w:footnoteReference w:id="11"/>
      </w:r>
      <w:r w:rsidRPr="00180310">
        <w:t xml:space="preserve"> These changes have occurred against the backdrop of a rapid improvement in computer technology, including automation and the emergence of artificial intelligence, that has helped shift demand for labour away from routine tasks (repetitive physical labour that can be replicated by machines) towards non-routine cognitive (non-repetitive or non-codifiable) jobs.</w:t>
      </w:r>
      <w:r w:rsidR="00475F4B">
        <w:rPr>
          <w:rStyle w:val="FootnoteReference"/>
        </w:rPr>
        <w:footnoteReference w:id="12"/>
      </w:r>
      <w:r w:rsidRPr="00180310">
        <w:t xml:space="preserve"> This trend has increased the demand for higher levels of technical and digital skills across all industries, for both ICT and non-ICT occupations.</w:t>
      </w:r>
      <w:r w:rsidR="003753E1">
        <w:rPr>
          <w:rStyle w:val="FootnoteReference"/>
        </w:rPr>
        <w:footnoteReference w:id="13"/>
      </w:r>
      <w:r w:rsidRPr="00180310">
        <w:t> </w:t>
      </w:r>
    </w:p>
    <w:p w14:paraId="06151C1A" w14:textId="64E419D9" w:rsidR="00180310" w:rsidRPr="00180310" w:rsidRDefault="00180310" w:rsidP="00D804EF">
      <w:pPr>
        <w:pStyle w:val="BodyText"/>
      </w:pPr>
      <w:r w:rsidRPr="00180310">
        <w:t xml:space="preserve">The increasing demand for more highly skilled jobs has had an uneven impact across regions. Unlike </w:t>
      </w:r>
      <w:r w:rsidR="00EA2BE5">
        <w:t>Major Cities</w:t>
      </w:r>
      <w:r w:rsidRPr="00180310">
        <w:t xml:space="preserve"> and </w:t>
      </w:r>
      <w:r w:rsidR="00EA2BE5">
        <w:t>Cities of Regional Australia</w:t>
      </w:r>
      <w:r w:rsidRPr="00180310">
        <w:t xml:space="preserve">, where there has been the largest shift in the share of employment towards </w:t>
      </w:r>
      <w:r w:rsidR="00D52FAE">
        <w:t>S</w:t>
      </w:r>
      <w:r w:rsidRPr="00180310">
        <w:t xml:space="preserve">kill </w:t>
      </w:r>
      <w:r w:rsidR="00D52FAE">
        <w:t>L</w:t>
      </w:r>
      <w:r w:rsidRPr="00180310">
        <w:t>evel 1 occupations (</w:t>
      </w:r>
      <w:r w:rsidR="00B83B10">
        <w:t xml:space="preserve">see </w:t>
      </w:r>
      <w:r w:rsidRPr="00180310">
        <w:t xml:space="preserve">Figure </w:t>
      </w:r>
      <w:r w:rsidR="00B83B10">
        <w:t>1</w:t>
      </w:r>
      <w:r w:rsidR="00F30DD8">
        <w:t>1</w:t>
      </w:r>
      <w:r w:rsidR="00B83B10">
        <w:t>, below</w:t>
      </w:r>
      <w:r w:rsidRPr="00180310">
        <w:t xml:space="preserve">), </w:t>
      </w:r>
      <w:r w:rsidR="00EA2BE5">
        <w:t>R</w:t>
      </w:r>
      <w:r w:rsidRPr="00180310">
        <w:t xml:space="preserve">egional and </w:t>
      </w:r>
      <w:r w:rsidR="00EA2BE5">
        <w:t>R</w:t>
      </w:r>
      <w:r w:rsidRPr="00180310">
        <w:t>emote areas have experienced a shift in the share of employment towards occupations where VET is the primary pathway (</w:t>
      </w:r>
      <w:r w:rsidR="0005020A">
        <w:t>S</w:t>
      </w:r>
      <w:r w:rsidR="00B434F1" w:rsidRPr="00180310">
        <w:t xml:space="preserve">kill </w:t>
      </w:r>
      <w:r w:rsidR="0005020A">
        <w:t>L</w:t>
      </w:r>
      <w:r w:rsidR="00B434F1" w:rsidRPr="00180310">
        <w:t>evel</w:t>
      </w:r>
      <w:r w:rsidRPr="00180310">
        <w:t xml:space="preserve"> 2 to 4), in addition to an increase in </w:t>
      </w:r>
      <w:r w:rsidR="00B434F1">
        <w:t>S</w:t>
      </w:r>
      <w:r w:rsidR="00B434F1" w:rsidRPr="00180310">
        <w:t xml:space="preserve">kill </w:t>
      </w:r>
      <w:r w:rsidR="00B434F1">
        <w:t>L</w:t>
      </w:r>
      <w:r w:rsidR="00B434F1" w:rsidRPr="00180310">
        <w:t>evel</w:t>
      </w:r>
      <w:r w:rsidRPr="00180310">
        <w:t xml:space="preserve"> 1 occupations.  </w:t>
      </w:r>
    </w:p>
    <w:p w14:paraId="72E3C7FE" w14:textId="4D9E648C" w:rsidR="00180310" w:rsidRPr="00EE0A71" w:rsidRDefault="00762C97" w:rsidP="00762C97">
      <w:pPr>
        <w:pStyle w:val="Caption"/>
        <w:rPr>
          <w:b w:val="0"/>
        </w:rPr>
      </w:pPr>
      <w:bookmarkStart w:id="79" w:name="_Toc201916577"/>
      <w:r>
        <w:t xml:space="preserve">Figure </w:t>
      </w:r>
      <w:r>
        <w:fldChar w:fldCharType="begin"/>
      </w:r>
      <w:r>
        <w:instrText xml:space="preserve"> SEQ Figure \* ARABIC </w:instrText>
      </w:r>
      <w:r>
        <w:fldChar w:fldCharType="separate"/>
      </w:r>
      <w:r w:rsidR="00471863">
        <w:rPr>
          <w:noProof/>
        </w:rPr>
        <w:t>11</w:t>
      </w:r>
      <w:r>
        <w:fldChar w:fldCharType="end"/>
      </w:r>
      <w:r w:rsidR="00180310" w:rsidRPr="00EE0A71">
        <w:t>: Skill level employment share, change (% pts) between 2019 and 2024</w:t>
      </w:r>
      <w:bookmarkEnd w:id="79"/>
      <w:r w:rsidR="00180310" w:rsidRPr="00EE0A71">
        <w:t>  </w:t>
      </w:r>
    </w:p>
    <w:p w14:paraId="2A6C460C" w14:textId="75C2D2F8" w:rsidR="002308AA" w:rsidRDefault="002308AA" w:rsidP="00180310">
      <w:pPr>
        <w:spacing w:after="160" w:line="259" w:lineRule="auto"/>
        <w:rPr>
          <w:noProof/>
        </w:rPr>
      </w:pPr>
      <w:r>
        <w:rPr>
          <w:noProof/>
        </w:rPr>
        <w:drawing>
          <wp:inline distT="0" distB="0" distL="0" distR="0" wp14:anchorId="0F74B6FC" wp14:editId="6BE2C5E6">
            <wp:extent cx="5730875" cy="2865120"/>
            <wp:effectExtent l="0" t="0" r="3175" b="0"/>
            <wp:docPr id="1892236965" name="Picture 21" descr="A bar chart that shows the change in employment share by skill level (% pts) from 2019 to 2024. The chart shows Regional and Remote areas have experienced a shift in the share of employment towards occupations where VET is the primary pathway (Skill Level 2 to 4), in addition to an increase in Skill Level 1 occup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236965" name="Picture 21" descr="A bar chart that shows the change in employment share by skill level (% pts) from 2019 to 2024. The chart shows Regional and Remote areas have experienced a shift in the share of employment towards occupations where VET is the primary pathway (Skill Level 2 to 4), in addition to an increase in Skill Level 1 occupations. "/>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5730875" cy="2865120"/>
                    </a:xfrm>
                    <a:prstGeom prst="rect">
                      <a:avLst/>
                    </a:prstGeom>
                    <a:noFill/>
                  </pic:spPr>
                </pic:pic>
              </a:graphicData>
            </a:graphic>
          </wp:inline>
        </w:drawing>
      </w:r>
    </w:p>
    <w:p w14:paraId="64675BC3" w14:textId="4A2C8EBA" w:rsidR="00180310" w:rsidRPr="00EA2BE5" w:rsidRDefault="00180310" w:rsidP="00180310">
      <w:pPr>
        <w:spacing w:after="160" w:line="259" w:lineRule="auto"/>
      </w:pPr>
      <w:r w:rsidRPr="00EE0A71">
        <w:rPr>
          <w:sz w:val="18"/>
          <w:szCs w:val="18"/>
        </w:rPr>
        <w:t xml:space="preserve">Source: JSA, </w:t>
      </w:r>
      <w:r w:rsidRPr="00EE0A71">
        <w:rPr>
          <w:i/>
          <w:sz w:val="18"/>
          <w:szCs w:val="18"/>
        </w:rPr>
        <w:t>Nowcast of Employment by Region and Occupation (NERO)</w:t>
      </w:r>
      <w:r w:rsidRPr="00EE0A71">
        <w:rPr>
          <w:sz w:val="18"/>
          <w:szCs w:val="18"/>
        </w:rPr>
        <w:t>, April 2024 </w:t>
      </w:r>
    </w:p>
    <w:p w14:paraId="6C382C64" w14:textId="0CD70168" w:rsidR="00180310" w:rsidRPr="004D5CD8" w:rsidRDefault="00180310" w:rsidP="00180310">
      <w:pPr>
        <w:spacing w:after="160" w:line="259" w:lineRule="auto"/>
        <w:rPr>
          <w:sz w:val="18"/>
          <w:szCs w:val="18"/>
        </w:rPr>
      </w:pPr>
      <w:r w:rsidRPr="004D5CD8">
        <w:rPr>
          <w:sz w:val="18"/>
          <w:szCs w:val="18"/>
        </w:rPr>
        <w:t xml:space="preserve">Note: Skill Level 1 relates to Bachelor Degree or </w:t>
      </w:r>
      <w:r w:rsidR="00D53DFA">
        <w:rPr>
          <w:sz w:val="18"/>
          <w:szCs w:val="18"/>
        </w:rPr>
        <w:t>above</w:t>
      </w:r>
      <w:r w:rsidRPr="004D5CD8">
        <w:rPr>
          <w:sz w:val="18"/>
          <w:szCs w:val="18"/>
        </w:rPr>
        <w:t xml:space="preserve"> qualification; Skill Level 2 relates to Advanced Diploma or Diploma; Skill Level 3 relates to Certificate IV or III (including at least 2 years on-the-job training); Skill Level 4 relates to Certificate II or III; Skill Level 5 relates to Certificate I or secondary education.  </w:t>
      </w:r>
    </w:p>
    <w:p w14:paraId="420BEF64" w14:textId="722FCB8C" w:rsidR="00180310" w:rsidRPr="00180310" w:rsidRDefault="00180310" w:rsidP="00D804EF">
      <w:pPr>
        <w:pStyle w:val="BodyText"/>
      </w:pPr>
      <w:r w:rsidRPr="00180310">
        <w:t>The shift toward high skilled employment will continue to be a key driver of labour market performance going forward as the demand for high skilled workers is expected to grow strongly. Over the 10 years to May 2033, more than 9 out of 10 new jobs (around 92%) expected to be created will require post-secondary qualifications (kill levels 1 to 4).</w:t>
      </w:r>
      <w:r w:rsidR="009A4502">
        <w:rPr>
          <w:rStyle w:val="FootnoteReference"/>
        </w:rPr>
        <w:footnoteReference w:id="14"/>
      </w:r>
      <w:r w:rsidRPr="00180310">
        <w:t xml:space="preserve"> Around half (48%) will require a Bachelor Degree or </w:t>
      </w:r>
      <w:r w:rsidR="00D53DFA">
        <w:t>above</w:t>
      </w:r>
      <w:r w:rsidRPr="00180310">
        <w:t xml:space="preserve"> qualification as the primary education </w:t>
      </w:r>
      <w:r w:rsidRPr="00180310">
        <w:lastRenderedPageBreak/>
        <w:t>training pathway (Skill Level 1), and around 44% will have VET as the primary pathway (Skill Levels 2 to 4).  </w:t>
      </w:r>
    </w:p>
    <w:p w14:paraId="5EEB9AEE" w14:textId="1E0396A4" w:rsidR="00180310" w:rsidRPr="00180310" w:rsidRDefault="00180310" w:rsidP="00D804EF">
      <w:pPr>
        <w:pStyle w:val="BodyText"/>
      </w:pPr>
      <w:r w:rsidRPr="00180310">
        <w:t xml:space="preserve">The projected continued compositional shift towards high skilled employment highlights the importance of the </w:t>
      </w:r>
      <w:r w:rsidR="00A8262E">
        <w:t>tertiary</w:t>
      </w:r>
      <w:r w:rsidRPr="00180310">
        <w:t xml:space="preserve"> education system to ensure the workforce has appropriate training and skills. </w:t>
      </w:r>
    </w:p>
    <w:p w14:paraId="08ACC1A1" w14:textId="67B91621" w:rsidR="001909D2" w:rsidRPr="001909D2" w:rsidRDefault="00390CD9" w:rsidP="00D804EF">
      <w:pPr>
        <w:pStyle w:val="Heading3"/>
      </w:pPr>
      <w:r>
        <w:t>T</w:t>
      </w:r>
      <w:r w:rsidR="001909D2" w:rsidRPr="001909D2">
        <w:t>he clean energy transformation</w:t>
      </w:r>
    </w:p>
    <w:p w14:paraId="668CF4A2" w14:textId="5223565F" w:rsidR="001909D2" w:rsidRPr="001909D2" w:rsidRDefault="001909D2" w:rsidP="00D804EF">
      <w:pPr>
        <w:pStyle w:val="BodyText"/>
      </w:pPr>
      <w:r w:rsidRPr="001909D2">
        <w:t>Achieving the net zero transformation</w:t>
      </w:r>
      <w:r w:rsidR="00254D80">
        <w:rPr>
          <w:rStyle w:val="FootnoteReference"/>
        </w:rPr>
        <w:footnoteReference w:id="15"/>
      </w:r>
      <w:r w:rsidRPr="001909D2">
        <w:t xml:space="preserve"> represents one of the most significant economic structural shifts since the Industrial Revolution. It presents both challenges and opportunities for the Australian economy and will accelerate investment in capital, people, and communities. The transformation has particular implications for regional Australia, both in terms of the regional location of the existing workforce and the likely changes to regional employment. </w:t>
      </w:r>
    </w:p>
    <w:p w14:paraId="4891DF11" w14:textId="77777777" w:rsidR="001909D2" w:rsidRPr="001909D2" w:rsidRDefault="001909D2" w:rsidP="00D804EF">
      <w:pPr>
        <w:pStyle w:val="Heading4"/>
      </w:pPr>
      <w:r w:rsidRPr="001909D2">
        <w:t>The clean energy workforce </w:t>
      </w:r>
    </w:p>
    <w:p w14:paraId="1F275E74" w14:textId="6F844205" w:rsidR="001909D2" w:rsidRPr="001909D2" w:rsidRDefault="001909D2" w:rsidP="00D804EF">
      <w:pPr>
        <w:pStyle w:val="BodyText"/>
      </w:pPr>
      <w:r w:rsidRPr="001909D2">
        <w:t>Clean energy jobs are found right across the workforce</w:t>
      </w:r>
      <w:r w:rsidR="002A5F63">
        <w:t xml:space="preserve"> and the regions of Australia</w:t>
      </w:r>
      <w:r w:rsidRPr="001909D2">
        <w:t xml:space="preserve">, extending well beyond obvious sectors like wind, solar and hydroelectricity generation into parts of construction and research and development amongst others. </w:t>
      </w:r>
    </w:p>
    <w:p w14:paraId="6B7BAF9A" w14:textId="3DBA8C0B" w:rsidR="00C25D0F" w:rsidRDefault="001909D2" w:rsidP="00D804EF">
      <w:pPr>
        <w:pStyle w:val="BodyText"/>
      </w:pPr>
      <w:r w:rsidRPr="001909D2">
        <w:t xml:space="preserve">New employment opportunities are likely to be created from the net zero transformation, particularly in regional Australia, although there is some variation across regions. Reflecting growth in renewable energy projects and the associated construction pipeline, many regions are likely to have average annual employment growth rates close to 2% between 2023 and 2030, including Northern NSW, and ACT and Southern NSW. Eastern Victoria and the Northern Territory are also expected to have relatively high growth rates (close to 2%), but in these </w:t>
      </w:r>
      <w:r w:rsidR="00285E8D">
        <w:t>2</w:t>
      </w:r>
      <w:r w:rsidRPr="001909D2">
        <w:t xml:space="preserve"> regions the growth is off a small base. </w:t>
      </w:r>
    </w:p>
    <w:p w14:paraId="445F425C" w14:textId="62157022" w:rsidR="001909D2" w:rsidRPr="001909D2" w:rsidRDefault="001909D2" w:rsidP="00D804EF">
      <w:pPr>
        <w:pStyle w:val="BodyText"/>
      </w:pPr>
      <w:r w:rsidRPr="001909D2">
        <w:t>The strong projected employment growth in regional Australia highlights the importance of the VET sector to fill the workforce supply gaps for qualified workers, such as electrical and engineering trade roles that are critical to the construction and maintenance of renewable energy projects. </w:t>
      </w:r>
    </w:p>
    <w:p w14:paraId="1581A26F" w14:textId="77777777" w:rsidR="001909D2" w:rsidRPr="001909D2" w:rsidRDefault="001909D2" w:rsidP="00D804EF">
      <w:pPr>
        <w:pStyle w:val="Heading4"/>
      </w:pPr>
      <w:r w:rsidRPr="001909D2">
        <w:t>Regional implications of decarbonisation </w:t>
      </w:r>
    </w:p>
    <w:p w14:paraId="13701CDA" w14:textId="77777777" w:rsidR="00C25D0F" w:rsidRDefault="001909D2" w:rsidP="00D804EF">
      <w:pPr>
        <w:pStyle w:val="BodyText"/>
      </w:pPr>
      <w:r w:rsidRPr="001909D2">
        <w:t>There are, however, a number of regional areas across Australia that will be disproportionately impacted by the impact of decarbonisation due to the high share of workers in transitioning sectors.</w:t>
      </w:r>
      <w:r w:rsidR="00BC5229">
        <w:rPr>
          <w:rStyle w:val="FootnoteReference"/>
        </w:rPr>
        <w:footnoteReference w:id="16"/>
      </w:r>
      <w:r w:rsidRPr="001909D2">
        <w:t xml:space="preserve"> There are 12 regions (SA3s) where workers in transitioning industries make up more than 2% of local employment, all of which are located in regional Australia (</w:t>
      </w:r>
      <w:r w:rsidR="000D57DD">
        <w:t xml:space="preserve">see </w:t>
      </w:r>
      <w:r w:rsidRPr="001909D2">
        <w:t xml:space="preserve">Figure </w:t>
      </w:r>
      <w:r w:rsidR="000D57DD">
        <w:t>1</w:t>
      </w:r>
      <w:r w:rsidR="003C6054">
        <w:t>2</w:t>
      </w:r>
      <w:r w:rsidR="000D57DD">
        <w:t>, below</w:t>
      </w:r>
      <w:r w:rsidRPr="001909D2">
        <w:t xml:space="preserve">). </w:t>
      </w:r>
    </w:p>
    <w:p w14:paraId="29413C17" w14:textId="203A3043" w:rsidR="001909D2" w:rsidRPr="001909D2" w:rsidRDefault="001909D2" w:rsidP="00D804EF">
      <w:pPr>
        <w:pStyle w:val="BodyText"/>
      </w:pPr>
      <w:r w:rsidRPr="001909D2">
        <w:t xml:space="preserve">By comparison, there are only </w:t>
      </w:r>
      <w:r w:rsidR="00285E8D">
        <w:t>5</w:t>
      </w:r>
      <w:r w:rsidRPr="001909D2">
        <w:t xml:space="preserve"> regions where clean energy supply workers (generation and distribution) make up over 1% of their local labour market. This highlights the differences between the </w:t>
      </w:r>
      <w:r w:rsidR="00285E8D">
        <w:t>2</w:t>
      </w:r>
      <w:r w:rsidRPr="001909D2">
        <w:t xml:space="preserve"> segments, with clean energy typically being less concentrated and labour intensive than transitioning work.  </w:t>
      </w:r>
    </w:p>
    <w:p w14:paraId="46AB07EF" w14:textId="60DA5125" w:rsidR="001909D2" w:rsidRPr="00EE0A71" w:rsidRDefault="00762C97" w:rsidP="00762C97">
      <w:pPr>
        <w:pStyle w:val="Caption"/>
        <w:rPr>
          <w:b w:val="0"/>
        </w:rPr>
      </w:pPr>
      <w:bookmarkStart w:id="80" w:name="_Toc201916578"/>
      <w:r>
        <w:lastRenderedPageBreak/>
        <w:t xml:space="preserve">Figure </w:t>
      </w:r>
      <w:r>
        <w:fldChar w:fldCharType="begin"/>
      </w:r>
      <w:r>
        <w:instrText xml:space="preserve"> SEQ Figure \* ARABIC </w:instrText>
      </w:r>
      <w:r>
        <w:fldChar w:fldCharType="separate"/>
      </w:r>
      <w:r w:rsidR="00471863">
        <w:rPr>
          <w:noProof/>
        </w:rPr>
        <w:t>12</w:t>
      </w:r>
      <w:r>
        <w:fldChar w:fldCharType="end"/>
      </w:r>
      <w:r w:rsidR="001909D2" w:rsidRPr="00EE0A71">
        <w:t>: Regions with high proportions of local employment in transitioning industries</w:t>
      </w:r>
      <w:bookmarkEnd w:id="80"/>
      <w:r w:rsidR="001909D2" w:rsidRPr="00EE0A71">
        <w:t> </w:t>
      </w:r>
    </w:p>
    <w:p w14:paraId="30A5B3DC" w14:textId="24C0AE2D" w:rsidR="001909D2" w:rsidRPr="001909D2" w:rsidRDefault="001909D2" w:rsidP="001909D2">
      <w:pPr>
        <w:spacing w:after="160" w:line="259" w:lineRule="auto"/>
      </w:pPr>
      <w:r w:rsidRPr="001909D2">
        <w:rPr>
          <w:noProof/>
        </w:rPr>
        <w:drawing>
          <wp:inline distT="0" distB="0" distL="0" distR="0" wp14:anchorId="0BAD0BDD" wp14:editId="51201D92">
            <wp:extent cx="5732145" cy="4450080"/>
            <wp:effectExtent l="0" t="0" r="1905" b="7620"/>
            <wp:docPr id="1118305383" name="Picture 10" descr="This figure represents regions where the local employment of transitioning workers is greater than 2%. The Bowen Basin in Queensland represents the largest group at 21% of local workers in transitioning industries, followed by the Central Highlands in Queensland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is figure represents regions where the local employment of transitioning workers is greater than 2%. The Bowen Basin in Queensland represents the largest group at 21% of local workers in transitioning industries, followed by the Central Highlands in Queensland at 15%"/>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5732145" cy="4450080"/>
                    </a:xfrm>
                    <a:prstGeom prst="rect">
                      <a:avLst/>
                    </a:prstGeom>
                    <a:noFill/>
                    <a:ln>
                      <a:noFill/>
                    </a:ln>
                  </pic:spPr>
                </pic:pic>
              </a:graphicData>
            </a:graphic>
          </wp:inline>
        </w:drawing>
      </w:r>
      <w:r w:rsidRPr="001909D2">
        <w:t> </w:t>
      </w:r>
      <w:r w:rsidRPr="00EE0A71">
        <w:rPr>
          <w:sz w:val="18"/>
          <w:szCs w:val="18"/>
        </w:rPr>
        <w:t xml:space="preserve">Source: ABS, </w:t>
      </w:r>
      <w:r w:rsidRPr="00EE0A71">
        <w:rPr>
          <w:i/>
          <w:sz w:val="18"/>
          <w:szCs w:val="18"/>
        </w:rPr>
        <w:t>Census of Population and Housing,</w:t>
      </w:r>
      <w:r w:rsidRPr="00EE0A71">
        <w:rPr>
          <w:sz w:val="18"/>
          <w:szCs w:val="18"/>
        </w:rPr>
        <w:t xml:space="preserve"> 2021</w:t>
      </w:r>
      <w:r w:rsidR="002368C1">
        <w:rPr>
          <w:sz w:val="18"/>
          <w:szCs w:val="18"/>
        </w:rPr>
        <w:t>. SA3 regions.</w:t>
      </w:r>
    </w:p>
    <w:p w14:paraId="5FF1C893" w14:textId="76374F74" w:rsidR="001909D2" w:rsidRDefault="001909D2" w:rsidP="00D804EF">
      <w:pPr>
        <w:pStyle w:val="BodyText"/>
      </w:pPr>
      <w:r w:rsidRPr="001909D2">
        <w:t xml:space="preserve">While some transitioning workers will likely move into clean energy jobs, this isn’t the only (or necessarily the best) outcome. Mismatches in skills, location, timing and preferences are just some of the considerations policy makers will need to consider </w:t>
      </w:r>
      <w:r w:rsidR="00855780">
        <w:t xml:space="preserve">in </w:t>
      </w:r>
      <w:r w:rsidRPr="001909D2">
        <w:t>delivering targeted, localised and individualised supports to drive successful outcomes for workers and their communities.  </w:t>
      </w:r>
    </w:p>
    <w:p w14:paraId="721D57EB" w14:textId="3F6C37FE" w:rsidR="001909D2" w:rsidRDefault="001909D2" w:rsidP="00D804EF">
      <w:pPr>
        <w:pStyle w:val="BodyText"/>
      </w:pPr>
      <w:r w:rsidRPr="00EC2009">
        <w:t xml:space="preserve">In looking ahead, JSA partnered with Deloitte Access Economics, conducting scenario modelling to explore the workforce implications of reaching next zero by 2050. The results point to strong growth in trades and technical occupations, particularly those that are critical to clean energy such as electricians, metal fitters and machinists, and plant operators. </w:t>
      </w:r>
      <w:r w:rsidRPr="008C5FF3">
        <w:t>Importantly, the modelling showed that growth in these occupations is likely to be concentrated in Regional Australia.</w:t>
      </w:r>
      <w:r>
        <w:t xml:space="preserve"> As such, a key part of JSA</w:t>
      </w:r>
      <w:r w:rsidR="00D804EF">
        <w:t>’</w:t>
      </w:r>
      <w:r>
        <w:t xml:space="preserve">s study was the focus on transitioning workers and communities. Among the key recommendations put forward by JSA was the need for government to develop targeted education plans for transitioning communities to ensure an uplift in education attainment. </w:t>
      </w:r>
    </w:p>
    <w:p w14:paraId="6D2F8E26" w14:textId="2A5817E0" w:rsidR="00D64596" w:rsidRDefault="001909D2" w:rsidP="002A5F63">
      <w:pPr>
        <w:pStyle w:val="BodyText"/>
        <w:rPr>
          <w:rFonts w:eastAsiaTheme="majorEastAsia" w:cstheme="majorBidi"/>
          <w:b/>
          <w:color w:val="FFFFFF" w:themeColor="background1"/>
          <w:sz w:val="56"/>
          <w:szCs w:val="32"/>
        </w:rPr>
      </w:pPr>
      <w:r>
        <w:t xml:space="preserve">Overall, JSA found that Regional Australia can benefit from the net zero transformation. The implications of the workforce transformation at the local level will be more significant in some parts of Australia, particularly those with a relatively high proportion of employment based on fossil-fuels. Economic growth and development provide good prospects for supporting these communities, provided there is local investment in new industries and impacted workers receive targeted training and other forms of support to transition into roles that build on their existing skills. </w:t>
      </w:r>
      <w:bookmarkStart w:id="81" w:name="_Toc200637142"/>
      <w:r w:rsidR="00D64596">
        <w:rPr>
          <w:color w:val="FFFFFF" w:themeColor="background1"/>
        </w:rPr>
        <w:br w:type="page"/>
      </w:r>
    </w:p>
    <w:p w14:paraId="1753F185" w14:textId="4F3B042F" w:rsidR="0047235D" w:rsidRDefault="000901AD" w:rsidP="00065AAF">
      <w:pPr>
        <w:pStyle w:val="Heading1"/>
        <w:spacing w:before="960"/>
        <w:rPr>
          <w:color w:val="FFFFFF" w:themeColor="background1"/>
        </w:rPr>
      </w:pPr>
      <w:bookmarkStart w:id="82" w:name="_Toc201070181"/>
      <w:bookmarkStart w:id="83" w:name="_Toc201919844"/>
      <w:bookmarkStart w:id="84" w:name="_Toc202361872"/>
      <w:r w:rsidRPr="00211FD3">
        <w:rPr>
          <w:bCs/>
          <w:noProof/>
          <w:color w:val="FFFFFF" w:themeColor="background1"/>
          <w:szCs w:val="56"/>
        </w:rPr>
        <w:lastRenderedPageBreak/>
        <w:drawing>
          <wp:anchor distT="0" distB="0" distL="114300" distR="114300" simplePos="0" relativeHeight="251943424" behindDoc="1" locked="0" layoutInCell="1" allowOverlap="1" wp14:anchorId="261C63EE" wp14:editId="133500C8">
            <wp:simplePos x="0" y="0"/>
            <wp:positionH relativeFrom="page">
              <wp:align>right</wp:align>
            </wp:positionH>
            <wp:positionV relativeFrom="paragraph">
              <wp:posOffset>-807803</wp:posOffset>
            </wp:positionV>
            <wp:extent cx="7547269" cy="10675917"/>
            <wp:effectExtent l="0" t="0" r="0" b="0"/>
            <wp:wrapNone/>
            <wp:docPr id="154050069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00695" name="Picture 6">
                      <a:extLst>
                        <a:ext uri="{C183D7F6-B498-43B3-948B-1728B52AA6E4}">
                          <adec:decorative xmlns:adec="http://schemas.microsoft.com/office/drawing/2017/decorative" val="1"/>
                        </a:ext>
                      </a:extLst>
                    </pic:cNvPr>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7547269" cy="10675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7C64">
        <w:rPr>
          <w:color w:val="FFFFFF" w:themeColor="background1"/>
        </w:rPr>
        <w:t xml:space="preserve">2. </w:t>
      </w:r>
      <w:r w:rsidR="00D31BFB">
        <w:rPr>
          <w:color w:val="FFFFFF" w:themeColor="background1"/>
        </w:rPr>
        <w:t>V</w:t>
      </w:r>
      <w:r w:rsidR="002A18C1">
        <w:rPr>
          <w:color w:val="FFFFFF" w:themeColor="background1"/>
        </w:rPr>
        <w:t>ision and</w:t>
      </w:r>
      <w:r w:rsidR="00087505">
        <w:rPr>
          <w:color w:val="FFFFFF" w:themeColor="background1"/>
        </w:rPr>
        <w:t xml:space="preserve"> evaluative framework for</w:t>
      </w:r>
      <w:r w:rsidR="00B80EFA" w:rsidRPr="00EA6D0A">
        <w:rPr>
          <w:color w:val="FFFFFF" w:themeColor="background1"/>
        </w:rPr>
        <w:t xml:space="preserve"> </w:t>
      </w:r>
      <w:r w:rsidR="00D31BFB">
        <w:rPr>
          <w:color w:val="FFFFFF" w:themeColor="background1"/>
        </w:rPr>
        <w:t>Regional Australia’s</w:t>
      </w:r>
      <w:r w:rsidR="00B80EFA" w:rsidRPr="00EA6D0A">
        <w:rPr>
          <w:color w:val="FFFFFF" w:themeColor="background1"/>
        </w:rPr>
        <w:t xml:space="preserve"> jobs and skills system</w:t>
      </w:r>
      <w:bookmarkEnd w:id="81"/>
      <w:bookmarkEnd w:id="82"/>
      <w:bookmarkEnd w:id="83"/>
      <w:bookmarkEnd w:id="84"/>
    </w:p>
    <w:p w14:paraId="68BADCA8" w14:textId="77777777" w:rsidR="0047235D" w:rsidRDefault="0047235D">
      <w:pPr>
        <w:spacing w:after="160" w:line="259" w:lineRule="auto"/>
        <w:rPr>
          <w:rFonts w:eastAsiaTheme="majorEastAsia" w:cstheme="majorBidi"/>
          <w:b/>
          <w:color w:val="FFFFFF" w:themeColor="background1"/>
          <w:sz w:val="56"/>
          <w:szCs w:val="32"/>
        </w:rPr>
      </w:pPr>
      <w:r>
        <w:rPr>
          <w:color w:val="FFFFFF" w:themeColor="background1"/>
        </w:rPr>
        <w:br w:type="page"/>
      </w:r>
    </w:p>
    <w:p w14:paraId="268963D0" w14:textId="26265649" w:rsidR="00D95E9A" w:rsidRPr="00D3798B" w:rsidRDefault="0067411D" w:rsidP="005367BF">
      <w:pPr>
        <w:pStyle w:val="Heading11"/>
      </w:pPr>
      <w:bookmarkStart w:id="85" w:name="_Toc200637143"/>
      <w:bookmarkStart w:id="86" w:name="_Toc201070182"/>
      <w:bookmarkStart w:id="87" w:name="_Toc201919845"/>
      <w:bookmarkStart w:id="88" w:name="_Toc202361873"/>
      <w:r>
        <w:lastRenderedPageBreak/>
        <w:t>O</w:t>
      </w:r>
      <w:r w:rsidR="00D95E9A" w:rsidRPr="00D3798B">
        <w:t>verarching vision for the jobs and skills system in Regional Australia</w:t>
      </w:r>
      <w:bookmarkStart w:id="89" w:name="_Hlk195268295"/>
      <w:bookmarkEnd w:id="85"/>
      <w:bookmarkEnd w:id="86"/>
      <w:bookmarkEnd w:id="87"/>
      <w:bookmarkEnd w:id="88"/>
    </w:p>
    <w:bookmarkEnd w:id="89"/>
    <w:p w14:paraId="410677F1" w14:textId="4C04301E" w:rsidR="00D95E9A" w:rsidRDefault="00D95E9A" w:rsidP="005367BF">
      <w:pPr>
        <w:pStyle w:val="BodyText"/>
        <w:rPr>
          <w:iCs/>
        </w:rPr>
      </w:pPr>
      <w:r w:rsidRPr="00C325AB">
        <w:t xml:space="preserve">JSA’s overall vision provides an aspirational picture of what the various parts of the jobs and skills system in </w:t>
      </w:r>
      <w:r w:rsidRPr="00C325AB" w:rsidDel="00192675">
        <w:t>R</w:t>
      </w:r>
      <w:r w:rsidRPr="00C325AB">
        <w:t xml:space="preserve">egional Australia should work together to achieve. It’s about ensuring the jobs and skills system in </w:t>
      </w:r>
      <w:r w:rsidRPr="00C325AB" w:rsidDel="001E4A54">
        <w:t>R</w:t>
      </w:r>
      <w:r w:rsidRPr="00C325AB">
        <w:t xml:space="preserve">egional Australia is enabling the right people, to be in the right jobs, at the right time to </w:t>
      </w:r>
      <w:r w:rsidRPr="00605CBE">
        <w:t>support individuals, businesses and communities to thrive both now and into the future.</w:t>
      </w:r>
      <w:r w:rsidR="00496186" w:rsidRPr="00605CBE">
        <w:t xml:space="preserve"> It’s about minimising the impact that geography or locale has on the effectiveness of the jobs and skills system.</w:t>
      </w:r>
      <w:r w:rsidR="00D01ABE" w:rsidRPr="00605CBE">
        <w:rPr>
          <w:i/>
        </w:rPr>
        <w:t xml:space="preserve"> </w:t>
      </w:r>
      <w:r w:rsidR="00605CBE" w:rsidRPr="00605CBE">
        <w:rPr>
          <w:iCs/>
        </w:rPr>
        <w:t>This vision can be summarised as:</w:t>
      </w:r>
    </w:p>
    <w:tbl>
      <w:tblPr>
        <w:tblStyle w:val="CustomTablepulloutbox"/>
        <w:tblW w:w="0" w:type="auto"/>
        <w:tblLook w:val="04A0" w:firstRow="1" w:lastRow="0" w:firstColumn="1" w:lastColumn="0" w:noHBand="0" w:noVBand="1"/>
      </w:tblPr>
      <w:tblGrid>
        <w:gridCol w:w="8997"/>
      </w:tblGrid>
      <w:tr w:rsidR="00050DBE" w14:paraId="510E9943" w14:textId="77777777">
        <w:tc>
          <w:tcPr>
            <w:tcW w:w="8997" w:type="dxa"/>
          </w:tcPr>
          <w:p w14:paraId="2D2EEA66" w14:textId="1E6769D0" w:rsidR="00050DBE" w:rsidRPr="001E6F4E" w:rsidRDefault="00050DBE" w:rsidP="001E6F4E">
            <w:pPr>
              <w:pStyle w:val="BoxHeading"/>
            </w:pPr>
            <w:r w:rsidRPr="001E6F4E">
              <w:t>JSA’s vision for the jobs and skills system in Regional Australia</w:t>
            </w:r>
          </w:p>
          <w:p w14:paraId="7BE310F6" w14:textId="24C16A1B" w:rsidR="00050DBE" w:rsidRPr="00702267" w:rsidRDefault="002323B7">
            <w:pPr>
              <w:pStyle w:val="BodyText"/>
              <w:rPr>
                <w:sz w:val="22"/>
                <w:szCs w:val="22"/>
              </w:rPr>
            </w:pPr>
            <w:r>
              <w:rPr>
                <w:sz w:val="22"/>
                <w:szCs w:val="22"/>
              </w:rPr>
              <w:t>T</w:t>
            </w:r>
            <w:r w:rsidR="009E4797" w:rsidRPr="009E4797">
              <w:rPr>
                <w:sz w:val="22"/>
                <w:szCs w:val="22"/>
              </w:rPr>
              <w:t>he</w:t>
            </w:r>
            <w:r w:rsidR="00050DBE" w:rsidRPr="009E4797">
              <w:rPr>
                <w:sz w:val="22"/>
                <w:szCs w:val="22"/>
              </w:rPr>
              <w:t xml:space="preserve"> jobs and skills system </w:t>
            </w:r>
            <w:r>
              <w:rPr>
                <w:sz w:val="22"/>
                <w:szCs w:val="22"/>
              </w:rPr>
              <w:t xml:space="preserve">in Regional Australia </w:t>
            </w:r>
            <w:r w:rsidR="009E4797" w:rsidRPr="009E4797">
              <w:rPr>
                <w:sz w:val="22"/>
                <w:szCs w:val="22"/>
              </w:rPr>
              <w:t>help</w:t>
            </w:r>
            <w:r>
              <w:rPr>
                <w:sz w:val="22"/>
                <w:szCs w:val="22"/>
              </w:rPr>
              <w:t>s</w:t>
            </w:r>
            <w:r w:rsidR="00050DBE" w:rsidRPr="009E4797">
              <w:rPr>
                <w:sz w:val="22"/>
                <w:szCs w:val="22"/>
              </w:rPr>
              <w:t xml:space="preserve"> realise the aspirations of </w:t>
            </w:r>
            <w:r>
              <w:rPr>
                <w:sz w:val="22"/>
                <w:szCs w:val="22"/>
              </w:rPr>
              <w:t>its</w:t>
            </w:r>
            <w:r w:rsidR="00050DBE" w:rsidRPr="009E4797">
              <w:rPr>
                <w:sz w:val="22"/>
                <w:szCs w:val="22"/>
              </w:rPr>
              <w:t xml:space="preserve"> people</w:t>
            </w:r>
            <w:r w:rsidR="009E4797" w:rsidRPr="009E4797">
              <w:rPr>
                <w:sz w:val="22"/>
                <w:szCs w:val="22"/>
              </w:rPr>
              <w:t>.</w:t>
            </w:r>
          </w:p>
        </w:tc>
      </w:tr>
    </w:tbl>
    <w:p w14:paraId="1E2C9952" w14:textId="77777777" w:rsidR="00050DBE" w:rsidRPr="00605CBE" w:rsidRDefault="00050DBE" w:rsidP="00122DEC">
      <w:pPr>
        <w:rPr>
          <w:rFonts w:eastAsia="Times New Roman" w:cs="Arial"/>
          <w:iCs/>
          <w:color w:val="000000" w:themeColor="text1"/>
          <w:lang w:eastAsia="en-AU"/>
        </w:rPr>
      </w:pPr>
    </w:p>
    <w:p w14:paraId="57E0D2F7" w14:textId="7A66FFA8" w:rsidR="00AD614D" w:rsidRDefault="00605CBE" w:rsidP="005367BF">
      <w:pPr>
        <w:pStyle w:val="BodyText"/>
      </w:pPr>
      <w:r>
        <w:t>This vision statement is</w:t>
      </w:r>
      <w:r w:rsidR="00EC7140">
        <w:t xml:space="preserve"> intentionally inclusive </w:t>
      </w:r>
      <w:r w:rsidR="00925453">
        <w:t xml:space="preserve">and </w:t>
      </w:r>
      <w:r w:rsidR="00D95E9A" w:rsidRPr="00C325AB">
        <w:t xml:space="preserve">applies to all people, regions, industries and employers across </w:t>
      </w:r>
      <w:r w:rsidR="00D95E9A" w:rsidRPr="00C325AB" w:rsidDel="00AC7567">
        <w:t>R</w:t>
      </w:r>
      <w:r w:rsidR="00D95E9A" w:rsidRPr="00C325AB">
        <w:t>egional Australia.</w:t>
      </w:r>
      <w:r w:rsidR="001C4849">
        <w:t xml:space="preserve"> </w:t>
      </w:r>
      <w:r w:rsidR="00D95E9A" w:rsidRPr="00C325AB">
        <w:t xml:space="preserve">This means the pursuit of the vision is underpinned by an aspirational priority to ensure no-one is left behind. That all individuals, employers and communities across Regional Australia are prepared to respond to labour market and skills opportunities and challenges – both now and into the future. </w:t>
      </w:r>
      <w:r w:rsidR="003F4075">
        <w:t xml:space="preserve">The Roadmap </w:t>
      </w:r>
      <w:r w:rsidR="00E72403">
        <w:t xml:space="preserve">also </w:t>
      </w:r>
      <w:r w:rsidR="003F4075">
        <w:t xml:space="preserve">provides an opportunity to be more ambitious in establishing </w:t>
      </w:r>
      <w:r w:rsidR="006D6F9E">
        <w:t xml:space="preserve">greater </w:t>
      </w:r>
      <w:r w:rsidR="00E72403">
        <w:t xml:space="preserve">connections </w:t>
      </w:r>
      <w:r w:rsidR="00BE2B13">
        <w:t>with</w:t>
      </w:r>
      <w:r w:rsidR="004966AB">
        <w:t xml:space="preserve"> the schooling system</w:t>
      </w:r>
      <w:r w:rsidR="00BE2B13">
        <w:t>, which is</w:t>
      </w:r>
      <w:r w:rsidR="00E72403">
        <w:t xml:space="preserve"> </w:t>
      </w:r>
      <w:r w:rsidR="009E2689">
        <w:t>a key factor or precursor to success in the jobs and skills system.</w:t>
      </w:r>
      <w:r w:rsidR="006D6F9E">
        <w:t xml:space="preserve"> </w:t>
      </w:r>
    </w:p>
    <w:p w14:paraId="4F0FAEC2" w14:textId="6A338A23" w:rsidR="00D95E9A" w:rsidRDefault="00D95E9A" w:rsidP="005367BF">
      <w:pPr>
        <w:pStyle w:val="BodyText"/>
      </w:pPr>
      <w:r w:rsidRPr="00C325AB">
        <w:t xml:space="preserve">Examining differences in progress and outcomes across cohorts and groups in </w:t>
      </w:r>
      <w:r w:rsidRPr="00C325AB" w:rsidDel="007B5418">
        <w:t>R</w:t>
      </w:r>
      <w:r w:rsidRPr="00C325AB">
        <w:t xml:space="preserve">egional Australia can help identify areas of </w:t>
      </w:r>
      <w:r w:rsidR="007D5E76">
        <w:t xml:space="preserve">existing </w:t>
      </w:r>
      <w:r w:rsidRPr="00C325AB">
        <w:t>strength that can be learnt from, and areas of weakness where additional investment or a new approach may be required. But this</w:t>
      </w:r>
      <w:r w:rsidR="0056085F">
        <w:t>,</w:t>
      </w:r>
      <w:r w:rsidRPr="00C325AB">
        <w:t xml:space="preserve"> undertaken </w:t>
      </w:r>
      <w:r w:rsidR="00F471BC">
        <w:t>with</w:t>
      </w:r>
      <w:r w:rsidRPr="00C325AB">
        <w:t xml:space="preserve"> the </w:t>
      </w:r>
      <w:r w:rsidR="00FD5B88">
        <w:t>view to</w:t>
      </w:r>
      <w:r w:rsidRPr="00C325AB">
        <w:t xml:space="preserve"> the underpinning vision and vision principles apply</w:t>
      </w:r>
      <w:r w:rsidR="00F471BC">
        <w:t>ing</w:t>
      </w:r>
      <w:r w:rsidRPr="00C325AB">
        <w:t xml:space="preserve"> to </w:t>
      </w:r>
      <w:r w:rsidR="00A351FB">
        <w:t>everyone</w:t>
      </w:r>
      <w:r w:rsidRPr="00C325AB">
        <w:t xml:space="preserve"> across Regional Australia.</w:t>
      </w:r>
    </w:p>
    <w:p w14:paraId="7CDF7770" w14:textId="11544E79" w:rsidR="00D20FE2" w:rsidRDefault="00456B01" w:rsidP="005367BF">
      <w:pPr>
        <w:pStyle w:val="BodyText"/>
      </w:pPr>
      <w:r>
        <w:t>How</w:t>
      </w:r>
      <w:r w:rsidR="00D95E9A" w:rsidRPr="00C325AB">
        <w:t xml:space="preserve"> a vision is </w:t>
      </w:r>
      <w:r>
        <w:t>pursued and</w:t>
      </w:r>
      <w:r w:rsidR="00D95E9A" w:rsidRPr="00C325AB">
        <w:t xml:space="preserve"> achieved may differ across sectors, regions and time. This is one of the key reasons why an aspirational vision for the jobs and skills system in Regional Australia is needed – not necessarily because the vision would not equally apply to </w:t>
      </w:r>
      <w:r w:rsidR="006F323C">
        <w:t>the Major Cities of Australia</w:t>
      </w:r>
      <w:r w:rsidR="00D95E9A" w:rsidRPr="00C325AB">
        <w:t xml:space="preserve">, but because in many cases the way the vision will be pursued is different in regional, rural and remote Australia. In fact, the way the vision </w:t>
      </w:r>
      <w:r w:rsidR="00B41233">
        <w:t>is achieved could</w:t>
      </w:r>
      <w:r w:rsidR="00D95E9A" w:rsidRPr="00C325AB">
        <w:t xml:space="preserve"> vary from region to region </w:t>
      </w:r>
      <w:r w:rsidR="00D95E9A" w:rsidRPr="00C325AB">
        <w:rPr>
          <w:i/>
        </w:rPr>
        <w:t xml:space="preserve">within </w:t>
      </w:r>
      <w:r w:rsidR="00D95E9A" w:rsidRPr="00C325AB">
        <w:t xml:space="preserve">Regional Australia. </w:t>
      </w:r>
    </w:p>
    <w:p w14:paraId="27B0343A" w14:textId="7E09FF9B" w:rsidR="00D95E9A" w:rsidRPr="00C325AB" w:rsidRDefault="00D20FE2" w:rsidP="005367BF">
      <w:pPr>
        <w:pStyle w:val="BodyText"/>
      </w:pPr>
      <w:r>
        <w:t>T</w:t>
      </w:r>
      <w:r w:rsidR="00D95E9A" w:rsidRPr="00C325AB">
        <w:t>his further highlights the need for a shared overarching aspirational vision that can help guide the pursuit of a more effective jobs and skills system in Regional Australia. JSA’s vision for the jobs and skills system provides such an overarching framework to help align efforts across stakeholders, regions and jurisdictions.</w:t>
      </w:r>
    </w:p>
    <w:p w14:paraId="2DD05031" w14:textId="4FC26C46" w:rsidR="00D95E9A" w:rsidRDefault="00D95E9A" w:rsidP="005367BF">
      <w:pPr>
        <w:pStyle w:val="BodyText"/>
      </w:pPr>
      <w:r w:rsidRPr="00C325AB">
        <w:t xml:space="preserve">In a practical sense, pursuing an aspirational vision will have its challenges. In many ways, seeking </w:t>
      </w:r>
      <w:r w:rsidR="00C70CB1">
        <w:t>improvements in</w:t>
      </w:r>
      <w:r w:rsidRPr="00C325AB">
        <w:t xml:space="preserve"> complex systems </w:t>
      </w:r>
      <w:r w:rsidR="00C70CB1">
        <w:t>like</w:t>
      </w:r>
      <w:r w:rsidRPr="00C325AB">
        <w:t xml:space="preserve"> the jobs and skills system of Regional Australia quickly becomes a maximisation or optimisation problem. There are often tensions and trade-offs</w:t>
      </w:r>
      <w:r w:rsidR="00503B7E">
        <w:t xml:space="preserve"> between elements</w:t>
      </w:r>
      <w:r w:rsidRPr="00C325AB">
        <w:t xml:space="preserve"> and </w:t>
      </w:r>
      <w:r w:rsidR="00C47C85">
        <w:t xml:space="preserve">it is therefore critical </w:t>
      </w:r>
      <w:r w:rsidR="009D10A8">
        <w:t>to ensure that</w:t>
      </w:r>
      <w:r w:rsidRPr="00C325AB">
        <w:t xml:space="preserve"> system design thinking, which is central to </w:t>
      </w:r>
      <w:r w:rsidR="00C70B93">
        <w:t xml:space="preserve">planning and action </w:t>
      </w:r>
      <w:r w:rsidR="0059430C">
        <w:t xml:space="preserve">in pursuit of the </w:t>
      </w:r>
      <w:r w:rsidRPr="00C325AB">
        <w:t xml:space="preserve">vision. </w:t>
      </w:r>
    </w:p>
    <w:p w14:paraId="2BA12757" w14:textId="7FB259A0" w:rsidR="00D95E9A" w:rsidRPr="00DB37BF" w:rsidRDefault="00445318" w:rsidP="000443FB">
      <w:pPr>
        <w:pStyle w:val="Heading3"/>
      </w:pPr>
      <w:bookmarkStart w:id="90" w:name="_Hlk202191965"/>
      <w:r>
        <w:lastRenderedPageBreak/>
        <w:t>Summary of</w:t>
      </w:r>
      <w:r w:rsidR="003A5D97">
        <w:t xml:space="preserve"> </w:t>
      </w:r>
      <w:r w:rsidR="0011335A">
        <w:t>core</w:t>
      </w:r>
      <w:r w:rsidR="003A5D97">
        <w:t xml:space="preserve"> </w:t>
      </w:r>
      <w:r w:rsidR="00A12B93">
        <w:t xml:space="preserve">underpinning </w:t>
      </w:r>
      <w:r w:rsidR="003A5D97">
        <w:t xml:space="preserve">vision principles </w:t>
      </w:r>
    </w:p>
    <w:p w14:paraId="720459FE" w14:textId="77777777" w:rsidR="00F85D33" w:rsidRPr="005C6323" w:rsidRDefault="00D95E9A" w:rsidP="00F85D33">
      <w:pPr>
        <w:pStyle w:val="BodyText"/>
      </w:pPr>
      <w:r w:rsidRPr="00C325AB">
        <w:t xml:space="preserve">The </w:t>
      </w:r>
      <w:r w:rsidR="004E306D">
        <w:t xml:space="preserve">Roadmap’s </w:t>
      </w:r>
      <w:r w:rsidRPr="00C325AB">
        <w:t xml:space="preserve">vision for the jobs and skills system in Regional Australia is underpinned by a set of core principles. These principles form the foundations of the vision </w:t>
      </w:r>
      <w:r w:rsidR="00F85D33">
        <w:t xml:space="preserve">that </w:t>
      </w:r>
      <w:r w:rsidR="00F85D33" w:rsidRPr="005C6323">
        <w:t xml:space="preserve">should support action </w:t>
      </w:r>
      <w:r w:rsidR="00F85D33">
        <w:t xml:space="preserve">through the ongoing </w:t>
      </w:r>
      <w:r w:rsidR="00F85D33" w:rsidRPr="005C6323">
        <w:t xml:space="preserve">monitoring and </w:t>
      </w:r>
      <w:r w:rsidR="00F85D33">
        <w:t>assessment of</w:t>
      </w:r>
      <w:r w:rsidR="00F85D33" w:rsidRPr="005C6323">
        <w:t xml:space="preserve"> the effectiveness of the jobs and skills system and its outcomes over time</w:t>
      </w:r>
      <w:r w:rsidR="00F85D33">
        <w:t>.</w:t>
      </w:r>
    </w:p>
    <w:p w14:paraId="1E785804" w14:textId="7762F50E" w:rsidR="00CF29B5" w:rsidRDefault="000C71E1" w:rsidP="005367BF">
      <w:pPr>
        <w:pStyle w:val="BodyText"/>
      </w:pPr>
      <w:r>
        <w:t>Breaking down</w:t>
      </w:r>
      <w:r w:rsidR="00D95E9A" w:rsidRPr="00C325AB">
        <w:t xml:space="preserve"> the vision into a set of foundation</w:t>
      </w:r>
      <w:r w:rsidR="00684DB2">
        <w:t>al</w:t>
      </w:r>
      <w:r w:rsidR="00D95E9A" w:rsidRPr="00C325AB">
        <w:t xml:space="preserve"> principles also helps identify areas where investment and new policy responses are necessary to support the jobs and skills system in </w:t>
      </w:r>
      <w:r w:rsidR="00D95E9A" w:rsidRPr="00C325AB" w:rsidDel="00532F01">
        <w:t>R</w:t>
      </w:r>
      <w:r w:rsidR="00D95E9A" w:rsidRPr="00C325AB">
        <w:t xml:space="preserve">egional Australia. These vision principles work together to simultaneously underpin the overall vision statement, noting that each principle is distinct </w:t>
      </w:r>
      <w:r w:rsidR="00684DB2">
        <w:t xml:space="preserve">but </w:t>
      </w:r>
      <w:r w:rsidR="00D95E9A" w:rsidRPr="00C325AB">
        <w:t xml:space="preserve">without being mutually exclusive of each other. As such, the overall vision cannot be achieved without the underlying core principles </w:t>
      </w:r>
      <w:r w:rsidR="00A55D40">
        <w:t xml:space="preserve">all </w:t>
      </w:r>
      <w:r w:rsidR="00D95E9A" w:rsidRPr="00C325AB">
        <w:t xml:space="preserve">being </w:t>
      </w:r>
      <w:r w:rsidR="00A55D40">
        <w:t xml:space="preserve">effectively </w:t>
      </w:r>
      <w:r w:rsidR="00D95E9A" w:rsidRPr="00C325AB">
        <w:t>pursued and satisfied.</w:t>
      </w:r>
    </w:p>
    <w:p w14:paraId="26FC6B0D" w14:textId="68E3D6D5" w:rsidR="00CF29B5" w:rsidRPr="00EB08F6" w:rsidRDefault="00CF29B5" w:rsidP="000443FB">
      <w:pPr>
        <w:pStyle w:val="BodyText"/>
      </w:pPr>
      <w:r w:rsidRPr="00EB08F6">
        <w:t xml:space="preserve">The </w:t>
      </w:r>
      <w:r w:rsidR="00285E8D">
        <w:t>5</w:t>
      </w:r>
      <w:r w:rsidRPr="00EB08F6">
        <w:t xml:space="preserve"> underpinning principles are:</w:t>
      </w:r>
    </w:p>
    <w:p w14:paraId="4851F1A0" w14:textId="77777777" w:rsidR="00687A3C" w:rsidRPr="00687A3C" w:rsidRDefault="00687A3C" w:rsidP="00D16B99">
      <w:pPr>
        <w:pStyle w:val="BodyText"/>
        <w:numPr>
          <w:ilvl w:val="0"/>
          <w:numId w:val="34"/>
        </w:numPr>
      </w:pPr>
      <w:r w:rsidRPr="00687A3C">
        <w:t>People with barriers in Regional Australia receive timely high-quality support to move towards participating in education, training and employment.</w:t>
      </w:r>
    </w:p>
    <w:p w14:paraId="0AAF5EDF" w14:textId="4799FD4C" w:rsidR="00687A3C" w:rsidRPr="00477804" w:rsidRDefault="00687A3C" w:rsidP="00D16B99">
      <w:pPr>
        <w:pStyle w:val="BodyText"/>
        <w:numPr>
          <w:ilvl w:val="0"/>
          <w:numId w:val="34"/>
        </w:numPr>
      </w:pPr>
      <w:r w:rsidRPr="00477804">
        <w:t>Everyone in Regional Australia is supported to efficiently develop skills that enable them to meaningfully contribute to community, economy and culture.</w:t>
      </w:r>
    </w:p>
    <w:p w14:paraId="04D73907" w14:textId="77777777" w:rsidR="00687A3C" w:rsidRPr="00687A3C" w:rsidRDefault="00687A3C" w:rsidP="00D16B99">
      <w:pPr>
        <w:pStyle w:val="BodyText"/>
        <w:numPr>
          <w:ilvl w:val="0"/>
          <w:numId w:val="34"/>
        </w:numPr>
      </w:pPr>
      <w:r w:rsidRPr="00687A3C">
        <w:t>Everyone employed in Regional Australia can work in a quality job that is safe, fair, rewarding and satisfying.</w:t>
      </w:r>
    </w:p>
    <w:p w14:paraId="6BB2666B" w14:textId="77777777" w:rsidR="009D77CD" w:rsidRPr="00687A3C" w:rsidRDefault="00A31775" w:rsidP="00D16B99">
      <w:pPr>
        <w:pStyle w:val="BodyText"/>
        <w:numPr>
          <w:ilvl w:val="0"/>
          <w:numId w:val="34"/>
        </w:numPr>
      </w:pPr>
      <w:r w:rsidRPr="00687A3C">
        <w:t xml:space="preserve">Regional Australia </w:t>
      </w:r>
      <w:r w:rsidR="00B81343" w:rsidRPr="00687A3C">
        <w:t>and its employers</w:t>
      </w:r>
      <w:r w:rsidR="00A75828" w:rsidRPr="00687A3C">
        <w:t xml:space="preserve"> </w:t>
      </w:r>
      <w:r w:rsidRPr="00687A3C">
        <w:t>can access</w:t>
      </w:r>
      <w:r w:rsidR="00EB510A" w:rsidRPr="00687A3C">
        <w:t xml:space="preserve">, attract and </w:t>
      </w:r>
      <w:r w:rsidRPr="00687A3C">
        <w:t xml:space="preserve">develop </w:t>
      </w:r>
      <w:r w:rsidR="00EB510A" w:rsidRPr="00687A3C">
        <w:t xml:space="preserve">sufficient </w:t>
      </w:r>
      <w:r w:rsidRPr="00687A3C">
        <w:t>suitable labour, including as skills needs change.</w:t>
      </w:r>
    </w:p>
    <w:p w14:paraId="2CD3FE8E" w14:textId="01E84EC5" w:rsidR="00D256DA" w:rsidRDefault="00E158EF" w:rsidP="00D16B99">
      <w:pPr>
        <w:pStyle w:val="BodyText"/>
        <w:numPr>
          <w:ilvl w:val="0"/>
          <w:numId w:val="34"/>
        </w:numPr>
      </w:pPr>
      <w:r w:rsidRPr="00687A3C">
        <w:t>The labour market in Regional Australia efficiently matches labour demand with labour supply</w:t>
      </w:r>
      <w:r w:rsidR="00477804">
        <w:t>.</w:t>
      </w:r>
    </w:p>
    <w:p w14:paraId="2AF69EC7" w14:textId="7BD973E8" w:rsidR="003A5D97" w:rsidRPr="00DB37BF" w:rsidRDefault="000D26ED" w:rsidP="00245C2C">
      <w:pPr>
        <w:pStyle w:val="Heading11"/>
      </w:pPr>
      <w:bookmarkStart w:id="91" w:name="_Toc200637144"/>
      <w:bookmarkStart w:id="92" w:name="_Toc201070183"/>
      <w:bookmarkStart w:id="93" w:name="_Toc201919846"/>
      <w:bookmarkStart w:id="94" w:name="_Toc202361874"/>
      <w:r>
        <w:t xml:space="preserve">Evaluative metrics to </w:t>
      </w:r>
      <w:r w:rsidR="00445318">
        <w:t>measure progress towards the vision</w:t>
      </w:r>
      <w:bookmarkEnd w:id="91"/>
      <w:bookmarkEnd w:id="92"/>
      <w:bookmarkEnd w:id="93"/>
      <w:bookmarkEnd w:id="94"/>
    </w:p>
    <w:p w14:paraId="20DF9F19" w14:textId="511373A5" w:rsidR="004D1448" w:rsidRDefault="00D95E9A" w:rsidP="00245C2C">
      <w:pPr>
        <w:pStyle w:val="BodyText"/>
      </w:pPr>
      <w:r w:rsidRPr="00EB08F6">
        <w:t xml:space="preserve">For each vision principle, a number of partial indicators </w:t>
      </w:r>
      <w:r w:rsidR="000D341B">
        <w:t xml:space="preserve">have been identified </w:t>
      </w:r>
      <w:r w:rsidR="00CA1E1B" w:rsidRPr="00EB08F6">
        <w:t xml:space="preserve">for </w:t>
      </w:r>
      <w:r w:rsidR="0064041C" w:rsidRPr="00EB08F6">
        <w:t>assessing</w:t>
      </w:r>
      <w:r w:rsidRPr="00EB08F6">
        <w:t xml:space="preserve"> the jobs and skills system </w:t>
      </w:r>
      <w:r w:rsidR="00777188" w:rsidRPr="00EB08F6">
        <w:t>against</w:t>
      </w:r>
      <w:r w:rsidRPr="00EB08F6">
        <w:t xml:space="preserve"> each vision principle, and subsequently </w:t>
      </w:r>
      <w:r w:rsidR="00D37811" w:rsidRPr="00EB08F6">
        <w:t xml:space="preserve">together </w:t>
      </w:r>
      <w:r w:rsidRPr="00EB08F6">
        <w:t xml:space="preserve">as a whole. While these indicators cannot </w:t>
      </w:r>
      <w:r w:rsidR="000E4F15" w:rsidRPr="00EB08F6">
        <w:t xml:space="preserve">simply and </w:t>
      </w:r>
      <w:r w:rsidRPr="00EB08F6">
        <w:t>fully capture a vision principle in its entirety, they nonetheless provide</w:t>
      </w:r>
      <w:r w:rsidRPr="00C325AB">
        <w:t xml:space="preserve"> </w:t>
      </w:r>
      <w:r w:rsidR="00254C9E">
        <w:t>a useful and important</w:t>
      </w:r>
      <w:r w:rsidRPr="00C325AB">
        <w:t xml:space="preserve"> indication of the current state of the jobs and skills system. They </w:t>
      </w:r>
      <w:r w:rsidR="00DD3E59">
        <w:t>focus on</w:t>
      </w:r>
      <w:r w:rsidRPr="00C325AB">
        <w:t xml:space="preserve"> an assessment of the current state, rather than examining potential future gaps or issues.</w:t>
      </w:r>
    </w:p>
    <w:p w14:paraId="1FB7FB05" w14:textId="2D16F108" w:rsidR="00D95E9A" w:rsidRPr="00C325AB" w:rsidRDefault="00D95E9A" w:rsidP="00245C2C">
      <w:pPr>
        <w:pStyle w:val="BodyText"/>
      </w:pPr>
      <w:r w:rsidRPr="00C325AB">
        <w:t>Each indicator is subject to an informed assessment based on a number of factors</w:t>
      </w:r>
      <w:r w:rsidR="000D341B">
        <w:t xml:space="preserve"> including:</w:t>
      </w:r>
    </w:p>
    <w:p w14:paraId="7025ACA1" w14:textId="5A2E309D" w:rsidR="00D95E9A" w:rsidRPr="00C325AB" w:rsidRDefault="00D95E9A" w:rsidP="00D16B99">
      <w:pPr>
        <w:pStyle w:val="BodyText"/>
        <w:numPr>
          <w:ilvl w:val="0"/>
          <w:numId w:val="35"/>
        </w:numPr>
      </w:pPr>
      <w:r w:rsidRPr="00C325AB">
        <w:rPr>
          <w:b/>
        </w:rPr>
        <w:t>The current level of the indicator</w:t>
      </w:r>
      <w:r w:rsidRPr="00C325AB">
        <w:t xml:space="preserve">, including </w:t>
      </w:r>
      <w:r w:rsidR="00682C4A">
        <w:t>how it compares</w:t>
      </w:r>
      <w:r w:rsidRPr="00C325AB">
        <w:t xml:space="preserve"> to historical outcomes, outcomes for </w:t>
      </w:r>
      <w:r w:rsidR="003A7518">
        <w:t xml:space="preserve">the Major Cities of </w:t>
      </w:r>
      <w:r w:rsidRPr="00C325AB">
        <w:t xml:space="preserve">Australia and </w:t>
      </w:r>
      <w:r w:rsidR="00CB4803">
        <w:t>other useful</w:t>
      </w:r>
      <w:r w:rsidRPr="00C325AB">
        <w:t xml:space="preserve"> benchmarks</w:t>
      </w:r>
    </w:p>
    <w:p w14:paraId="705C9711" w14:textId="4C62ADBF" w:rsidR="00D95E9A" w:rsidRPr="00C325AB" w:rsidRDefault="00D95E9A" w:rsidP="00D16B99">
      <w:pPr>
        <w:pStyle w:val="BodyText"/>
        <w:numPr>
          <w:ilvl w:val="0"/>
          <w:numId w:val="35"/>
        </w:numPr>
      </w:pPr>
      <w:r w:rsidRPr="00C325AB">
        <w:rPr>
          <w:b/>
        </w:rPr>
        <w:t>The direction of trend of the indicator</w:t>
      </w:r>
      <w:r w:rsidRPr="00C325AB">
        <w:t xml:space="preserve">, such as whether the indicator is improving, deteriorating or relatively </w:t>
      </w:r>
      <w:r w:rsidR="008E2AE5">
        <w:t>unchanged</w:t>
      </w:r>
      <w:r w:rsidR="002E449F">
        <w:t>.</w:t>
      </w:r>
    </w:p>
    <w:p w14:paraId="2B1C6DAC" w14:textId="47D6416B" w:rsidR="00D95E9A" w:rsidRDefault="00D95E9A" w:rsidP="00245C2C">
      <w:pPr>
        <w:pStyle w:val="BodyText"/>
      </w:pPr>
      <w:r w:rsidRPr="00C325AB">
        <w:t xml:space="preserve">Once each indicator is curated and assessed, each group of indicators for each vision principle are considered in totality to derive an overall rating or assessment for each vision principle. These ratings are provided under </w:t>
      </w:r>
      <w:r w:rsidR="00285E8D">
        <w:t>3</w:t>
      </w:r>
      <w:r w:rsidRPr="00C325AB">
        <w:t xml:space="preserve"> broad categories</w:t>
      </w:r>
      <w:r w:rsidR="009F4EFD">
        <w:t xml:space="preserve"> (see Table 3, below)</w:t>
      </w:r>
      <w:r w:rsidRPr="00C325AB">
        <w:t>:</w:t>
      </w:r>
    </w:p>
    <w:bookmarkEnd w:id="90"/>
    <w:p w14:paraId="4AA2500B" w14:textId="13425E06" w:rsidR="00293C26" w:rsidRPr="0061442B" w:rsidRDefault="006470FB" w:rsidP="006470FB">
      <w:pPr>
        <w:pStyle w:val="Caption"/>
        <w:rPr>
          <w:rFonts w:cs="Arial"/>
          <w:b w:val="0"/>
        </w:rPr>
      </w:pPr>
      <w:r>
        <w:lastRenderedPageBreak/>
        <w:t xml:space="preserve">Table </w:t>
      </w:r>
      <w:r>
        <w:fldChar w:fldCharType="begin"/>
      </w:r>
      <w:r>
        <w:instrText xml:space="preserve"> SEQ Table \* ARABIC </w:instrText>
      </w:r>
      <w:r>
        <w:fldChar w:fldCharType="separate"/>
      </w:r>
      <w:r w:rsidR="00471863">
        <w:rPr>
          <w:noProof/>
        </w:rPr>
        <w:t>3</w:t>
      </w:r>
      <w:r>
        <w:fldChar w:fldCharType="end"/>
      </w:r>
      <w:r w:rsidR="00293C26">
        <w:rPr>
          <w:rFonts w:cs="Arial"/>
        </w:rPr>
        <w:t xml:space="preserve">: </w:t>
      </w:r>
      <w:r w:rsidR="00293C26" w:rsidRPr="0061442B">
        <w:rPr>
          <w:rFonts w:cs="Arial"/>
        </w:rPr>
        <w:t xml:space="preserve">Categories </w:t>
      </w:r>
      <w:r w:rsidR="00B11BE2">
        <w:rPr>
          <w:rFonts w:cs="Arial"/>
        </w:rPr>
        <w:t>used</w:t>
      </w:r>
      <w:r w:rsidR="00293C26" w:rsidRPr="0061442B">
        <w:rPr>
          <w:rFonts w:cs="Arial"/>
        </w:rPr>
        <w:t xml:space="preserve"> to evaluate and assess various components of the jobs and skills system across Regional Australia</w:t>
      </w:r>
    </w:p>
    <w:tbl>
      <w:tblPr>
        <w:tblStyle w:val="CustomTablebasic"/>
        <w:tblW w:w="0" w:type="auto"/>
        <w:tblLook w:val="04A0" w:firstRow="1" w:lastRow="0" w:firstColumn="1" w:lastColumn="0" w:noHBand="0" w:noVBand="1"/>
      </w:tblPr>
      <w:tblGrid>
        <w:gridCol w:w="4111"/>
        <w:gridCol w:w="4916"/>
      </w:tblGrid>
      <w:tr w:rsidR="00152014" w14:paraId="28CB898D" w14:textId="77777777" w:rsidTr="00451327">
        <w:trPr>
          <w:cnfStyle w:val="100000000000" w:firstRow="1" w:lastRow="0" w:firstColumn="0" w:lastColumn="0" w:oddVBand="0" w:evenVBand="0" w:oddHBand="0" w:evenHBand="0" w:firstRowFirstColumn="0" w:firstRowLastColumn="0" w:lastRowFirstColumn="0" w:lastRowLastColumn="0"/>
        </w:trPr>
        <w:tc>
          <w:tcPr>
            <w:tcW w:w="4111" w:type="dxa"/>
          </w:tcPr>
          <w:p w14:paraId="666A0D55" w14:textId="77777777" w:rsidR="007E0284" w:rsidRPr="00BA67E0" w:rsidRDefault="007E0284" w:rsidP="00F36BA3">
            <w:pPr>
              <w:pStyle w:val="TableHeading1"/>
              <w:keepNext/>
            </w:pPr>
            <w:r>
              <w:t>Rating</w:t>
            </w:r>
          </w:p>
        </w:tc>
        <w:tc>
          <w:tcPr>
            <w:tcW w:w="4916" w:type="dxa"/>
          </w:tcPr>
          <w:p w14:paraId="0D8E57D0" w14:textId="77777777" w:rsidR="007E0284" w:rsidRPr="00BA67E0" w:rsidRDefault="007E0284" w:rsidP="00F36BA3">
            <w:pPr>
              <w:pStyle w:val="TableHeading1"/>
              <w:keepNext/>
            </w:pPr>
            <w:r>
              <w:t>Description</w:t>
            </w:r>
          </w:p>
        </w:tc>
      </w:tr>
      <w:tr w:rsidR="007E0284" w14:paraId="527147C4" w14:textId="77777777" w:rsidTr="00820B93">
        <w:tc>
          <w:tcPr>
            <w:tcW w:w="4111" w:type="dxa"/>
            <w:shd w:val="clear" w:color="auto" w:fill="52BD7F"/>
          </w:tcPr>
          <w:p w14:paraId="2368A889" w14:textId="13915E03" w:rsidR="007E0284" w:rsidRPr="00BA67E0" w:rsidRDefault="00BC4798" w:rsidP="00F36BA3">
            <w:pPr>
              <w:pStyle w:val="TableBodyText"/>
              <w:keepNext/>
            </w:pPr>
            <w:r w:rsidRPr="00830D13">
              <w:t>Green</w:t>
            </w:r>
          </w:p>
        </w:tc>
        <w:tc>
          <w:tcPr>
            <w:tcW w:w="4916" w:type="dxa"/>
          </w:tcPr>
          <w:p w14:paraId="01166019" w14:textId="2C76C017" w:rsidR="007E0284" w:rsidRPr="00BA67E0" w:rsidRDefault="00BC4798" w:rsidP="00F36BA3">
            <w:pPr>
              <w:pStyle w:val="TableBodyText"/>
              <w:keepNext/>
            </w:pPr>
            <w:r w:rsidRPr="00444F67">
              <w:t>On track or performing at an appropriate level</w:t>
            </w:r>
          </w:p>
        </w:tc>
      </w:tr>
      <w:tr w:rsidR="00152014" w14:paraId="618B3F68" w14:textId="77777777" w:rsidTr="00820B93">
        <w:trPr>
          <w:cnfStyle w:val="000000010000" w:firstRow="0" w:lastRow="0" w:firstColumn="0" w:lastColumn="0" w:oddVBand="0" w:evenVBand="0" w:oddHBand="0" w:evenHBand="1" w:firstRowFirstColumn="0" w:firstRowLastColumn="0" w:lastRowFirstColumn="0" w:lastRowLastColumn="0"/>
        </w:trPr>
        <w:tc>
          <w:tcPr>
            <w:tcW w:w="4111" w:type="dxa"/>
            <w:shd w:val="clear" w:color="auto" w:fill="FFAD4C"/>
          </w:tcPr>
          <w:p w14:paraId="5EDB1C3E" w14:textId="77777777" w:rsidR="007E0284" w:rsidRPr="00BA67E0" w:rsidRDefault="007E0284" w:rsidP="00F36BA3">
            <w:pPr>
              <w:pStyle w:val="TableBodyText"/>
              <w:keepNext/>
            </w:pPr>
            <w:r w:rsidRPr="00B453BF">
              <w:t>Orange</w:t>
            </w:r>
          </w:p>
        </w:tc>
        <w:tc>
          <w:tcPr>
            <w:tcW w:w="4916" w:type="dxa"/>
          </w:tcPr>
          <w:p w14:paraId="16D76D5D" w14:textId="77777777" w:rsidR="007E0284" w:rsidRPr="00BA67E0" w:rsidRDefault="007E0284" w:rsidP="00F36BA3">
            <w:pPr>
              <w:pStyle w:val="TableBodyText"/>
              <w:keepNext/>
            </w:pPr>
            <w:r w:rsidRPr="00444F67">
              <w:t>Slow progress, stagnating or moderate gap</w:t>
            </w:r>
          </w:p>
        </w:tc>
      </w:tr>
      <w:tr w:rsidR="007E0284" w14:paraId="5EB7E96C" w14:textId="77777777" w:rsidTr="00820B93">
        <w:tc>
          <w:tcPr>
            <w:tcW w:w="4111" w:type="dxa"/>
            <w:shd w:val="clear" w:color="auto" w:fill="DF5454"/>
          </w:tcPr>
          <w:p w14:paraId="360C6295" w14:textId="3A270FC5" w:rsidR="007E0284" w:rsidRPr="00BA67E0" w:rsidRDefault="00BC4798" w:rsidP="00F36BA3">
            <w:pPr>
              <w:pStyle w:val="TableBodyText"/>
              <w:keepNext/>
            </w:pPr>
            <w:r>
              <w:t>Red</w:t>
            </w:r>
          </w:p>
        </w:tc>
        <w:tc>
          <w:tcPr>
            <w:tcW w:w="4916" w:type="dxa"/>
          </w:tcPr>
          <w:p w14:paraId="142EB3E4" w14:textId="66E93C03" w:rsidR="007E0284" w:rsidRPr="00BA67E0" w:rsidRDefault="00BC4798" w:rsidP="00F36BA3">
            <w:pPr>
              <w:pStyle w:val="TableBodyText"/>
              <w:keepNext/>
            </w:pPr>
            <w:r w:rsidRPr="00444F67">
              <w:t>Deteriorating or significant gap</w:t>
            </w:r>
          </w:p>
        </w:tc>
      </w:tr>
    </w:tbl>
    <w:p w14:paraId="5620C729" w14:textId="056D7B97" w:rsidR="00085C2B" w:rsidRDefault="00085C2B" w:rsidP="009B197D">
      <w:pPr>
        <w:rPr>
          <w:rFonts w:cs="Arial"/>
        </w:rPr>
      </w:pPr>
    </w:p>
    <w:p w14:paraId="13E792D5" w14:textId="516BB335" w:rsidR="00D95E9A" w:rsidRDefault="00D405BA" w:rsidP="00245C2C">
      <w:pPr>
        <w:pStyle w:val="BodyText"/>
      </w:pPr>
      <w:r>
        <w:t xml:space="preserve">Table </w:t>
      </w:r>
      <w:r w:rsidR="006470FB">
        <w:t>4</w:t>
      </w:r>
      <w:r w:rsidR="00D95E9A" w:rsidRPr="00C325AB">
        <w:t xml:space="preserve"> below lists the key indicators that contribute to the evaluative assessment of each vision principle, which are detailed in the following sections of this report</w:t>
      </w:r>
      <w:r w:rsidR="00747C71">
        <w:t>, including a summary of the rationale for inclusion of the indicator.</w:t>
      </w:r>
    </w:p>
    <w:p w14:paraId="2346DF22" w14:textId="076DAE17" w:rsidR="00D95E9A" w:rsidRPr="00293C26" w:rsidRDefault="006470FB" w:rsidP="006470FB">
      <w:pPr>
        <w:pStyle w:val="Caption"/>
        <w:rPr>
          <w:rFonts w:cs="Arial"/>
          <w:b w:val="0"/>
        </w:rPr>
      </w:pPr>
      <w:r>
        <w:t xml:space="preserve">Table </w:t>
      </w:r>
      <w:r>
        <w:fldChar w:fldCharType="begin"/>
      </w:r>
      <w:r>
        <w:instrText xml:space="preserve"> SEQ Table \* ARABIC </w:instrText>
      </w:r>
      <w:r>
        <w:fldChar w:fldCharType="separate"/>
      </w:r>
      <w:r w:rsidR="00471863">
        <w:rPr>
          <w:noProof/>
        </w:rPr>
        <w:t>4</w:t>
      </w:r>
      <w:r>
        <w:fldChar w:fldCharType="end"/>
      </w:r>
      <w:r w:rsidR="00D95E9A" w:rsidRPr="00293C26">
        <w:rPr>
          <w:rFonts w:cs="Arial"/>
        </w:rPr>
        <w:t xml:space="preserve">: List of key indicators </w:t>
      </w:r>
      <w:r w:rsidR="00B11BE2">
        <w:rPr>
          <w:rFonts w:cs="Arial"/>
        </w:rPr>
        <w:t>used</w:t>
      </w:r>
      <w:r w:rsidR="00D95E9A" w:rsidRPr="00293C26">
        <w:rPr>
          <w:rFonts w:cs="Arial"/>
        </w:rPr>
        <w:t xml:space="preserve"> to assess the current state of the jobs and skill system in Regional Australia, as measured in reference to the </w:t>
      </w:r>
      <w:r w:rsidR="002E12E2">
        <w:rPr>
          <w:rFonts w:cs="Arial"/>
        </w:rPr>
        <w:t>v</w:t>
      </w:r>
      <w:r w:rsidR="00D95E9A" w:rsidRPr="00293C26">
        <w:rPr>
          <w:rFonts w:cs="Arial"/>
        </w:rPr>
        <w:t>ision</w:t>
      </w:r>
    </w:p>
    <w:tbl>
      <w:tblPr>
        <w:tblStyle w:val="CustomTablebasic"/>
        <w:tblW w:w="0" w:type="auto"/>
        <w:tblLook w:val="00A0" w:firstRow="1" w:lastRow="0" w:firstColumn="1" w:lastColumn="0" w:noHBand="0" w:noVBand="0"/>
      </w:tblPr>
      <w:tblGrid>
        <w:gridCol w:w="1839"/>
        <w:gridCol w:w="2014"/>
        <w:gridCol w:w="5174"/>
      </w:tblGrid>
      <w:tr w:rsidR="009A5B28" w14:paraId="48603C20" w14:textId="77777777">
        <w:trPr>
          <w:cnfStyle w:val="100000000000" w:firstRow="1" w:lastRow="0" w:firstColumn="0" w:lastColumn="0" w:oddVBand="0" w:evenVBand="0" w:oddHBand="0" w:evenHBand="0" w:firstRowFirstColumn="0" w:firstRowLastColumn="0" w:lastRowFirstColumn="0" w:lastRowLastColumn="0"/>
          <w:tblHeader/>
        </w:trPr>
        <w:tc>
          <w:tcPr>
            <w:tcW w:w="1839" w:type="dxa"/>
          </w:tcPr>
          <w:p w14:paraId="6A279416" w14:textId="77777777" w:rsidR="0042763F" w:rsidRPr="00BA67E0" w:rsidRDefault="0042763F">
            <w:pPr>
              <w:pStyle w:val="TableHeading1"/>
            </w:pPr>
            <w:r w:rsidRPr="00750B9A">
              <w:t>Summary of Vision Principle</w:t>
            </w:r>
          </w:p>
        </w:tc>
        <w:tc>
          <w:tcPr>
            <w:tcW w:w="2014" w:type="dxa"/>
          </w:tcPr>
          <w:p w14:paraId="0B69069B" w14:textId="77777777" w:rsidR="0042763F" w:rsidRPr="00BA67E0" w:rsidRDefault="0042763F">
            <w:pPr>
              <w:pStyle w:val="TableHeading1"/>
            </w:pPr>
            <w:r w:rsidRPr="00750B9A">
              <w:t>Indicators</w:t>
            </w:r>
          </w:p>
        </w:tc>
        <w:tc>
          <w:tcPr>
            <w:tcW w:w="5174" w:type="dxa"/>
          </w:tcPr>
          <w:p w14:paraId="572F3063" w14:textId="77777777" w:rsidR="0042763F" w:rsidRPr="00BA67E0" w:rsidRDefault="0042763F">
            <w:pPr>
              <w:pStyle w:val="TableHeading1"/>
            </w:pPr>
            <w:r w:rsidRPr="00750B9A">
              <w:t>Rationale</w:t>
            </w:r>
          </w:p>
        </w:tc>
      </w:tr>
      <w:tr w:rsidR="0042763F" w14:paraId="5DD8295B" w14:textId="77777777" w:rsidTr="009F4EFD">
        <w:tc>
          <w:tcPr>
            <w:tcW w:w="1839" w:type="dxa"/>
            <w:vMerge w:val="restart"/>
            <w:vAlign w:val="center"/>
          </w:tcPr>
          <w:p w14:paraId="2EEF82A0" w14:textId="77777777" w:rsidR="0042763F" w:rsidRPr="004040F0" w:rsidRDefault="0042763F" w:rsidP="004040F0">
            <w:pPr>
              <w:pStyle w:val="TableListNumber"/>
              <w:ind w:left="-76" w:firstLine="0"/>
              <w:rPr>
                <w:b/>
                <w:bCs w:val="0"/>
              </w:rPr>
            </w:pPr>
            <w:r w:rsidRPr="004040F0">
              <w:rPr>
                <w:b/>
                <w:bCs w:val="0"/>
              </w:rPr>
              <w:t>Addressing Barriers</w:t>
            </w:r>
          </w:p>
        </w:tc>
        <w:tc>
          <w:tcPr>
            <w:tcW w:w="2014" w:type="dxa"/>
            <w:vAlign w:val="center"/>
          </w:tcPr>
          <w:p w14:paraId="3572F64A" w14:textId="77777777" w:rsidR="0042763F" w:rsidRPr="00BA67E0" w:rsidRDefault="0042763F" w:rsidP="003B2DD0">
            <w:pPr>
              <w:pStyle w:val="TableBodyText"/>
            </w:pPr>
            <w:r w:rsidRPr="00BD4C65">
              <w:t>School non-attendance rate</w:t>
            </w:r>
          </w:p>
        </w:tc>
        <w:tc>
          <w:tcPr>
            <w:tcW w:w="5174" w:type="dxa"/>
          </w:tcPr>
          <w:p w14:paraId="165F3746" w14:textId="77777777" w:rsidR="0042763F" w:rsidRPr="00BA67E0" w:rsidRDefault="0042763F">
            <w:pPr>
              <w:pStyle w:val="TableBodyText"/>
            </w:pPr>
            <w:r w:rsidRPr="00BD4C65">
              <w:t>Provides an early indication of barriers to participation in education, as well as an indicator of foundational skills development, which underpins future participation in education and employment.</w:t>
            </w:r>
          </w:p>
        </w:tc>
      </w:tr>
      <w:tr w:rsidR="00405A35" w14:paraId="071DE490" w14:textId="77777777" w:rsidTr="003B2DD0">
        <w:trPr>
          <w:cnfStyle w:val="000000010000" w:firstRow="0" w:lastRow="0" w:firstColumn="0" w:lastColumn="0" w:oddVBand="0" w:evenVBand="0" w:oddHBand="0" w:evenHBand="1" w:firstRowFirstColumn="0" w:firstRowLastColumn="0" w:lastRowFirstColumn="0" w:lastRowLastColumn="0"/>
        </w:trPr>
        <w:tc>
          <w:tcPr>
            <w:tcW w:w="1839" w:type="dxa"/>
            <w:vMerge/>
          </w:tcPr>
          <w:p w14:paraId="48B7795A" w14:textId="77777777" w:rsidR="0042763F" w:rsidRPr="004040F0" w:rsidRDefault="0042763F">
            <w:pPr>
              <w:pStyle w:val="TableListNumber"/>
              <w:rPr>
                <w:b/>
                <w:bCs w:val="0"/>
              </w:rPr>
            </w:pPr>
          </w:p>
        </w:tc>
        <w:tc>
          <w:tcPr>
            <w:tcW w:w="2014" w:type="dxa"/>
            <w:vAlign w:val="center"/>
          </w:tcPr>
          <w:p w14:paraId="41B73DBF" w14:textId="77777777" w:rsidR="0042763F" w:rsidRPr="00BA67E0" w:rsidRDefault="0042763F" w:rsidP="003B2DD0">
            <w:pPr>
              <w:pStyle w:val="TableBodyText"/>
            </w:pPr>
            <w:r w:rsidRPr="00BD4C65">
              <w:t>Youth not in employment, education or training</w:t>
            </w:r>
          </w:p>
        </w:tc>
        <w:tc>
          <w:tcPr>
            <w:tcW w:w="5174" w:type="dxa"/>
          </w:tcPr>
          <w:p w14:paraId="2DC8B03D" w14:textId="77777777" w:rsidR="0042763F" w:rsidRPr="00BA67E0" w:rsidRDefault="0042763F">
            <w:pPr>
              <w:pStyle w:val="TableBodyText"/>
            </w:pPr>
            <w:r w:rsidRPr="00BD4C65">
              <w:t>A key indicator of how well youth transition from school into further education, training or employment – a critical junction or transition for labour market activity.</w:t>
            </w:r>
          </w:p>
        </w:tc>
      </w:tr>
      <w:tr w:rsidR="0042763F" w14:paraId="775B9C34" w14:textId="77777777" w:rsidTr="003B2DD0">
        <w:tc>
          <w:tcPr>
            <w:tcW w:w="1839" w:type="dxa"/>
            <w:vMerge/>
          </w:tcPr>
          <w:p w14:paraId="20D617F8" w14:textId="77777777" w:rsidR="0042763F" w:rsidRPr="004040F0" w:rsidRDefault="0042763F">
            <w:pPr>
              <w:pStyle w:val="TableListNumber"/>
              <w:rPr>
                <w:b/>
                <w:bCs w:val="0"/>
              </w:rPr>
            </w:pPr>
          </w:p>
        </w:tc>
        <w:tc>
          <w:tcPr>
            <w:tcW w:w="2014" w:type="dxa"/>
            <w:vAlign w:val="center"/>
          </w:tcPr>
          <w:p w14:paraId="50624CA6" w14:textId="77777777" w:rsidR="0042763F" w:rsidRPr="00BA67E0" w:rsidRDefault="0042763F" w:rsidP="003B2DD0">
            <w:pPr>
              <w:pStyle w:val="TableBodyText"/>
            </w:pPr>
            <w:r w:rsidRPr="00BD4C65">
              <w:t>Participation rate</w:t>
            </w:r>
          </w:p>
        </w:tc>
        <w:tc>
          <w:tcPr>
            <w:tcW w:w="5174" w:type="dxa"/>
          </w:tcPr>
          <w:p w14:paraId="6623680D" w14:textId="77777777" w:rsidR="0042763F" w:rsidRPr="00BA67E0" w:rsidRDefault="0042763F">
            <w:pPr>
              <w:pStyle w:val="TableBodyText"/>
            </w:pPr>
            <w:r w:rsidRPr="00BD4C65">
              <w:t>Provides an indicator of proportion of people participating in the labour market – a good indicator that barriers have been sufficiently addressed to enable participation in the labour market</w:t>
            </w:r>
          </w:p>
        </w:tc>
      </w:tr>
      <w:tr w:rsidR="00405A35" w14:paraId="68F457E5" w14:textId="77777777" w:rsidTr="003B2DD0">
        <w:trPr>
          <w:cnfStyle w:val="000000010000" w:firstRow="0" w:lastRow="0" w:firstColumn="0" w:lastColumn="0" w:oddVBand="0" w:evenVBand="0" w:oddHBand="0" w:evenHBand="1" w:firstRowFirstColumn="0" w:firstRowLastColumn="0" w:lastRowFirstColumn="0" w:lastRowLastColumn="0"/>
        </w:trPr>
        <w:tc>
          <w:tcPr>
            <w:tcW w:w="1839" w:type="dxa"/>
            <w:vMerge/>
          </w:tcPr>
          <w:p w14:paraId="10845CCC" w14:textId="77777777" w:rsidR="0042763F" w:rsidRPr="004040F0" w:rsidRDefault="0042763F">
            <w:pPr>
              <w:pStyle w:val="TableListNumber"/>
              <w:rPr>
                <w:b/>
                <w:bCs w:val="0"/>
              </w:rPr>
            </w:pPr>
          </w:p>
        </w:tc>
        <w:tc>
          <w:tcPr>
            <w:tcW w:w="2014" w:type="dxa"/>
            <w:vAlign w:val="center"/>
          </w:tcPr>
          <w:p w14:paraId="40E8B2C9" w14:textId="77777777" w:rsidR="0042763F" w:rsidRPr="00BA67E0" w:rsidRDefault="0042763F" w:rsidP="003B2DD0">
            <w:pPr>
              <w:pStyle w:val="TableBodyText"/>
            </w:pPr>
            <w:r w:rsidRPr="00BD4C65">
              <w:t>Unemployment rate</w:t>
            </w:r>
          </w:p>
        </w:tc>
        <w:tc>
          <w:tcPr>
            <w:tcW w:w="5174" w:type="dxa"/>
          </w:tcPr>
          <w:p w14:paraId="3A1F9718" w14:textId="77777777" w:rsidR="0042763F" w:rsidRPr="00BA67E0" w:rsidRDefault="0042763F">
            <w:pPr>
              <w:pStyle w:val="TableBodyText"/>
            </w:pPr>
            <w:r w:rsidRPr="00BD4C65">
              <w:t>Provides an indicator of proportion of people looking for work and available to start, but who are being marginalised or excluded from employment, often due to the prevalence of barriers (such as skills mismatch).</w:t>
            </w:r>
          </w:p>
        </w:tc>
      </w:tr>
      <w:tr w:rsidR="0042763F" w14:paraId="0F104DD5" w14:textId="77777777" w:rsidTr="003B2DD0">
        <w:tc>
          <w:tcPr>
            <w:tcW w:w="1839" w:type="dxa"/>
            <w:vMerge/>
          </w:tcPr>
          <w:p w14:paraId="00DCE6C7" w14:textId="77777777" w:rsidR="0042763F" w:rsidRPr="004040F0" w:rsidRDefault="0042763F">
            <w:pPr>
              <w:pStyle w:val="TableListNumber"/>
              <w:rPr>
                <w:b/>
                <w:bCs w:val="0"/>
              </w:rPr>
            </w:pPr>
          </w:p>
        </w:tc>
        <w:tc>
          <w:tcPr>
            <w:tcW w:w="2014" w:type="dxa"/>
            <w:vAlign w:val="center"/>
          </w:tcPr>
          <w:p w14:paraId="358E1A10" w14:textId="5D0FA3A1" w:rsidR="0042763F" w:rsidRPr="00BA67E0" w:rsidRDefault="0042763F" w:rsidP="003B2DD0">
            <w:pPr>
              <w:pStyle w:val="TableBodyText"/>
            </w:pPr>
            <w:r w:rsidRPr="00BD4C65">
              <w:t>Proportion on income support</w:t>
            </w:r>
            <w:r w:rsidR="00254F39" w:rsidRPr="00254F39">
              <w:rPr>
                <w:rStyle w:val="FootnoteReference"/>
                <w:szCs w:val="20"/>
              </w:rPr>
              <w:footnoteReference w:id="17"/>
            </w:r>
            <w:r w:rsidRPr="00BD4C65">
              <w:t xml:space="preserve"> for </w:t>
            </w:r>
            <w:r w:rsidR="00285E8D">
              <w:t>5</w:t>
            </w:r>
            <w:r w:rsidRPr="00BD4C65">
              <w:t xml:space="preserve"> or more years</w:t>
            </w:r>
          </w:p>
        </w:tc>
        <w:tc>
          <w:tcPr>
            <w:tcW w:w="5174" w:type="dxa"/>
          </w:tcPr>
          <w:p w14:paraId="278AB361" w14:textId="77777777" w:rsidR="0042763F" w:rsidRPr="00BA67E0" w:rsidRDefault="0042763F">
            <w:pPr>
              <w:pStyle w:val="TableBodyText"/>
            </w:pPr>
            <w:r w:rsidRPr="00BD4C65">
              <w:t>Provides an indicator of individuals who are on income support in the very long-term, suggesting that their barriers are not being sufficiently addressed to move towards participation.</w:t>
            </w:r>
          </w:p>
        </w:tc>
      </w:tr>
      <w:tr w:rsidR="00405A35" w14:paraId="710BCAFD" w14:textId="77777777" w:rsidTr="000C74B1">
        <w:trPr>
          <w:cnfStyle w:val="000000010000" w:firstRow="0" w:lastRow="0" w:firstColumn="0" w:lastColumn="0" w:oddVBand="0" w:evenVBand="0" w:oddHBand="0" w:evenHBand="1" w:firstRowFirstColumn="0" w:firstRowLastColumn="0" w:lastRowFirstColumn="0" w:lastRowLastColumn="0"/>
        </w:trPr>
        <w:tc>
          <w:tcPr>
            <w:tcW w:w="1839" w:type="dxa"/>
            <w:vMerge w:val="restart"/>
            <w:vAlign w:val="center"/>
          </w:tcPr>
          <w:p w14:paraId="7F86A3B1" w14:textId="77777777" w:rsidR="0042763F" w:rsidRPr="004040F0" w:rsidRDefault="0042763F" w:rsidP="00D16B99">
            <w:pPr>
              <w:pStyle w:val="TableListNumber"/>
              <w:numPr>
                <w:ilvl w:val="0"/>
                <w:numId w:val="23"/>
              </w:numPr>
              <w:jc w:val="center"/>
              <w:rPr>
                <w:b/>
                <w:bCs w:val="0"/>
              </w:rPr>
            </w:pPr>
            <w:r w:rsidRPr="004040F0">
              <w:rPr>
                <w:b/>
                <w:bCs w:val="0"/>
              </w:rPr>
              <w:t>Developing Skills</w:t>
            </w:r>
          </w:p>
        </w:tc>
        <w:tc>
          <w:tcPr>
            <w:tcW w:w="2014" w:type="dxa"/>
            <w:vAlign w:val="center"/>
          </w:tcPr>
          <w:p w14:paraId="6B42A9CB" w14:textId="77777777" w:rsidR="0042763F" w:rsidRPr="00BA67E0" w:rsidRDefault="0042763F" w:rsidP="003B2DD0">
            <w:pPr>
              <w:pStyle w:val="TableBodyText"/>
            </w:pPr>
            <w:r w:rsidRPr="00BD4C65">
              <w:t xml:space="preserve">Youth tertiary participation rate </w:t>
            </w:r>
          </w:p>
        </w:tc>
        <w:tc>
          <w:tcPr>
            <w:tcW w:w="5174" w:type="dxa"/>
          </w:tcPr>
          <w:p w14:paraId="7778D18B" w14:textId="77777777" w:rsidR="0042763F" w:rsidRPr="00BA67E0" w:rsidRDefault="0042763F">
            <w:pPr>
              <w:pStyle w:val="TableBodyText"/>
            </w:pPr>
            <w:r w:rsidRPr="00BD4C65">
              <w:t>An indicator of the proportion of youth going on to post-school education, either through vocational education and training and/or higher education. A key indicator of skills development.</w:t>
            </w:r>
          </w:p>
        </w:tc>
      </w:tr>
      <w:tr w:rsidR="0042763F" w14:paraId="253A628E" w14:textId="77777777" w:rsidTr="003B2DD0">
        <w:tc>
          <w:tcPr>
            <w:tcW w:w="1839" w:type="dxa"/>
            <w:vMerge/>
          </w:tcPr>
          <w:p w14:paraId="6C7731BC" w14:textId="77777777" w:rsidR="0042763F" w:rsidRPr="004040F0" w:rsidRDefault="0042763F">
            <w:pPr>
              <w:pStyle w:val="TableListNumber"/>
              <w:rPr>
                <w:b/>
                <w:bCs w:val="0"/>
              </w:rPr>
            </w:pPr>
          </w:p>
        </w:tc>
        <w:tc>
          <w:tcPr>
            <w:tcW w:w="2014" w:type="dxa"/>
            <w:vAlign w:val="center"/>
          </w:tcPr>
          <w:p w14:paraId="33BBF3CE" w14:textId="3ECFA323" w:rsidR="0042763F" w:rsidRPr="00BA67E0" w:rsidRDefault="00881EA4" w:rsidP="003B2DD0">
            <w:pPr>
              <w:pStyle w:val="TableBodyText"/>
            </w:pPr>
            <w:r>
              <w:t>C</w:t>
            </w:r>
            <w:r w:rsidR="0042763F" w:rsidRPr="00BD4C65">
              <w:t>ompletion rates</w:t>
            </w:r>
            <w:r>
              <w:t xml:space="preserve"> for apprentices and trainees</w:t>
            </w:r>
          </w:p>
        </w:tc>
        <w:tc>
          <w:tcPr>
            <w:tcW w:w="5174" w:type="dxa"/>
          </w:tcPr>
          <w:p w14:paraId="4C84FF13" w14:textId="77777777" w:rsidR="0042763F" w:rsidRPr="00BA67E0" w:rsidRDefault="0042763F">
            <w:pPr>
              <w:pStyle w:val="TableBodyText"/>
            </w:pPr>
            <w:r w:rsidRPr="00BD4C65">
              <w:t xml:space="preserve">An indicator for skills development processes that typically have a higher level of engagement with employers (such as through work placements or on-the-job learning). </w:t>
            </w:r>
          </w:p>
        </w:tc>
      </w:tr>
      <w:tr w:rsidR="00405A35" w14:paraId="51A39CFD" w14:textId="77777777" w:rsidTr="003B2DD0">
        <w:trPr>
          <w:cnfStyle w:val="000000010000" w:firstRow="0" w:lastRow="0" w:firstColumn="0" w:lastColumn="0" w:oddVBand="0" w:evenVBand="0" w:oddHBand="0" w:evenHBand="1" w:firstRowFirstColumn="0" w:firstRowLastColumn="0" w:lastRowFirstColumn="0" w:lastRowLastColumn="0"/>
        </w:trPr>
        <w:tc>
          <w:tcPr>
            <w:tcW w:w="1839" w:type="dxa"/>
            <w:vMerge/>
          </w:tcPr>
          <w:p w14:paraId="4BE3B595" w14:textId="77777777" w:rsidR="0042763F" w:rsidRPr="004040F0" w:rsidRDefault="0042763F">
            <w:pPr>
              <w:pStyle w:val="TableListNumber"/>
              <w:rPr>
                <w:b/>
                <w:bCs w:val="0"/>
              </w:rPr>
            </w:pPr>
          </w:p>
        </w:tc>
        <w:tc>
          <w:tcPr>
            <w:tcW w:w="2014" w:type="dxa"/>
            <w:vAlign w:val="center"/>
          </w:tcPr>
          <w:p w14:paraId="79B9E05B" w14:textId="77777777" w:rsidR="0042763F" w:rsidRPr="00BA67E0" w:rsidRDefault="0042763F" w:rsidP="003B2DD0">
            <w:pPr>
              <w:pStyle w:val="TableBodyText"/>
            </w:pPr>
            <w:r w:rsidRPr="00BD4C65">
              <w:t>Proportion working in the same field as their highest qualification</w:t>
            </w:r>
          </w:p>
        </w:tc>
        <w:tc>
          <w:tcPr>
            <w:tcW w:w="5174" w:type="dxa"/>
          </w:tcPr>
          <w:p w14:paraId="6AE0EAFB" w14:textId="77777777" w:rsidR="0042763F" w:rsidRPr="00BA67E0" w:rsidRDefault="0042763F">
            <w:pPr>
              <w:pStyle w:val="TableBodyText"/>
            </w:pPr>
            <w:r w:rsidRPr="00BD4C65">
              <w:t>An indicator of how well the skills system is functioning in supporting the development of skills in demand. Skills development works best when skills are quickly utilised after development.</w:t>
            </w:r>
          </w:p>
        </w:tc>
      </w:tr>
      <w:tr w:rsidR="0042763F" w14:paraId="311BA7EB" w14:textId="77777777" w:rsidTr="003B2DD0">
        <w:tc>
          <w:tcPr>
            <w:tcW w:w="1839" w:type="dxa"/>
            <w:vMerge/>
          </w:tcPr>
          <w:p w14:paraId="0CCA6EDA" w14:textId="77777777" w:rsidR="0042763F" w:rsidRPr="004040F0" w:rsidRDefault="0042763F">
            <w:pPr>
              <w:pStyle w:val="TableListNumber"/>
              <w:rPr>
                <w:b/>
                <w:bCs w:val="0"/>
              </w:rPr>
            </w:pPr>
          </w:p>
        </w:tc>
        <w:tc>
          <w:tcPr>
            <w:tcW w:w="2014" w:type="dxa"/>
            <w:vAlign w:val="center"/>
          </w:tcPr>
          <w:p w14:paraId="4D0B6BF9" w14:textId="77777777" w:rsidR="0042763F" w:rsidRPr="00BA67E0" w:rsidRDefault="0042763F" w:rsidP="003B2DD0">
            <w:pPr>
              <w:pStyle w:val="TableBodyText"/>
            </w:pPr>
            <w:r w:rsidRPr="00BD4C65">
              <w:t>Proportion of people working in jobs below their qualification level</w:t>
            </w:r>
          </w:p>
        </w:tc>
        <w:tc>
          <w:tcPr>
            <w:tcW w:w="5174" w:type="dxa"/>
          </w:tcPr>
          <w:p w14:paraId="4A3A13F0" w14:textId="77777777" w:rsidR="0042763F" w:rsidRPr="00BA67E0" w:rsidRDefault="0042763F">
            <w:pPr>
              <w:pStyle w:val="TableBodyText"/>
            </w:pPr>
            <w:r w:rsidRPr="00BD4C65">
              <w:t xml:space="preserve">Complementing the previous indicator, this indicator also relates to how well the skills system is supporting the development of appropriate skills, albeit with a focus on </w:t>
            </w:r>
          </w:p>
        </w:tc>
      </w:tr>
      <w:tr w:rsidR="00405A35" w14:paraId="7A4B7D13" w14:textId="77777777" w:rsidTr="00881EA4">
        <w:trPr>
          <w:cnfStyle w:val="000000010000" w:firstRow="0" w:lastRow="0" w:firstColumn="0" w:lastColumn="0" w:oddVBand="0" w:evenVBand="0" w:oddHBand="0" w:evenHBand="1" w:firstRowFirstColumn="0" w:firstRowLastColumn="0" w:lastRowFirstColumn="0" w:lastRowLastColumn="0"/>
        </w:trPr>
        <w:tc>
          <w:tcPr>
            <w:tcW w:w="1839" w:type="dxa"/>
            <w:vMerge w:val="restart"/>
            <w:shd w:val="clear" w:color="auto" w:fill="FFFFFF" w:themeFill="background1"/>
            <w:vAlign w:val="center"/>
          </w:tcPr>
          <w:p w14:paraId="0D05B206" w14:textId="77777777" w:rsidR="0042763F" w:rsidRPr="004040F0" w:rsidRDefault="0042763F" w:rsidP="004040F0">
            <w:pPr>
              <w:pStyle w:val="TableListNumber"/>
              <w:ind w:left="-76" w:firstLine="0"/>
              <w:rPr>
                <w:b/>
                <w:bCs w:val="0"/>
              </w:rPr>
            </w:pPr>
            <w:r w:rsidRPr="004040F0">
              <w:rPr>
                <w:b/>
                <w:bCs w:val="0"/>
              </w:rPr>
              <w:t>Quality Jobs</w:t>
            </w:r>
          </w:p>
        </w:tc>
        <w:tc>
          <w:tcPr>
            <w:tcW w:w="2014" w:type="dxa"/>
            <w:vAlign w:val="center"/>
          </w:tcPr>
          <w:p w14:paraId="2E8B46E1" w14:textId="77777777" w:rsidR="0042763F" w:rsidRPr="00BA67E0" w:rsidRDefault="0042763F" w:rsidP="003B2DD0">
            <w:pPr>
              <w:pStyle w:val="TableBodyText"/>
            </w:pPr>
            <w:r w:rsidRPr="00BD4C65">
              <w:t>High job satisfaction</w:t>
            </w:r>
          </w:p>
        </w:tc>
        <w:tc>
          <w:tcPr>
            <w:tcW w:w="5174" w:type="dxa"/>
          </w:tcPr>
          <w:p w14:paraId="302AF025" w14:textId="21576242" w:rsidR="0042763F" w:rsidRPr="00BA67E0" w:rsidRDefault="0042763F">
            <w:pPr>
              <w:pStyle w:val="TableBodyText"/>
            </w:pPr>
            <w:r w:rsidRPr="00BD4C65">
              <w:t xml:space="preserve">An indicator of the proportion of employed people indicating that are </w:t>
            </w:r>
            <w:r w:rsidR="00306785">
              <w:t>‘</w:t>
            </w:r>
            <w:r w:rsidRPr="00BD4C65">
              <w:t>totally satisfied</w:t>
            </w:r>
            <w:r w:rsidR="00306785">
              <w:t>’</w:t>
            </w:r>
            <w:r w:rsidRPr="00BD4C65">
              <w:t xml:space="preserve"> with their job – that is, recording a very high level of job satisfaction.</w:t>
            </w:r>
          </w:p>
        </w:tc>
      </w:tr>
      <w:tr w:rsidR="0042763F" w14:paraId="7F6FD42E" w14:textId="77777777" w:rsidTr="00881EA4">
        <w:tc>
          <w:tcPr>
            <w:tcW w:w="1839" w:type="dxa"/>
            <w:vMerge/>
            <w:shd w:val="clear" w:color="auto" w:fill="FFFFFF" w:themeFill="background1"/>
          </w:tcPr>
          <w:p w14:paraId="3D0A469A" w14:textId="77777777" w:rsidR="0042763F" w:rsidRPr="004040F0" w:rsidRDefault="0042763F">
            <w:pPr>
              <w:pStyle w:val="TableListNumber"/>
              <w:rPr>
                <w:b/>
                <w:bCs w:val="0"/>
              </w:rPr>
            </w:pPr>
          </w:p>
        </w:tc>
        <w:tc>
          <w:tcPr>
            <w:tcW w:w="2014" w:type="dxa"/>
            <w:vAlign w:val="center"/>
          </w:tcPr>
          <w:p w14:paraId="4E434FCC" w14:textId="77777777" w:rsidR="0042763F" w:rsidRPr="00BA67E0" w:rsidRDefault="0042763F" w:rsidP="003B2DD0">
            <w:pPr>
              <w:pStyle w:val="TableBodyText"/>
            </w:pPr>
            <w:r w:rsidRPr="00BD4C65">
              <w:t>Underemployment rate</w:t>
            </w:r>
          </w:p>
        </w:tc>
        <w:tc>
          <w:tcPr>
            <w:tcW w:w="5174" w:type="dxa"/>
          </w:tcPr>
          <w:p w14:paraId="07591463" w14:textId="77777777" w:rsidR="0042763F" w:rsidRPr="00BA67E0" w:rsidRDefault="0042763F">
            <w:pPr>
              <w:pStyle w:val="TableBodyText"/>
            </w:pPr>
            <w:r w:rsidRPr="00BD4C65">
              <w:t>An indicator of employed persons who are seeking more hours of work, suggesting that their current employment is not meeting their preferences.</w:t>
            </w:r>
          </w:p>
        </w:tc>
      </w:tr>
      <w:tr w:rsidR="00405A35" w14:paraId="796F448B" w14:textId="77777777" w:rsidTr="00881EA4">
        <w:trPr>
          <w:cnfStyle w:val="000000010000" w:firstRow="0" w:lastRow="0" w:firstColumn="0" w:lastColumn="0" w:oddVBand="0" w:evenVBand="0" w:oddHBand="0" w:evenHBand="1" w:firstRowFirstColumn="0" w:firstRowLastColumn="0" w:lastRowFirstColumn="0" w:lastRowLastColumn="0"/>
        </w:trPr>
        <w:tc>
          <w:tcPr>
            <w:tcW w:w="1839" w:type="dxa"/>
            <w:vMerge/>
            <w:shd w:val="clear" w:color="auto" w:fill="FFFFFF" w:themeFill="background1"/>
          </w:tcPr>
          <w:p w14:paraId="002BEE16" w14:textId="77777777" w:rsidR="0042763F" w:rsidRPr="004040F0" w:rsidRDefault="0042763F">
            <w:pPr>
              <w:pStyle w:val="TableListNumber"/>
              <w:rPr>
                <w:b/>
                <w:bCs w:val="0"/>
              </w:rPr>
            </w:pPr>
          </w:p>
        </w:tc>
        <w:tc>
          <w:tcPr>
            <w:tcW w:w="2014" w:type="dxa"/>
            <w:vAlign w:val="center"/>
          </w:tcPr>
          <w:p w14:paraId="305981C2" w14:textId="77777777" w:rsidR="0042763F" w:rsidRPr="00BA67E0" w:rsidRDefault="0042763F" w:rsidP="003B2DD0">
            <w:pPr>
              <w:pStyle w:val="TableBodyText"/>
            </w:pPr>
            <w:r w:rsidRPr="00BD4C65">
              <w:t>Income inequality ratio</w:t>
            </w:r>
          </w:p>
        </w:tc>
        <w:tc>
          <w:tcPr>
            <w:tcW w:w="5174" w:type="dxa"/>
          </w:tcPr>
          <w:p w14:paraId="74D3B90E" w14:textId="77777777" w:rsidR="0042763F" w:rsidRPr="00BA67E0" w:rsidRDefault="0042763F">
            <w:pPr>
              <w:pStyle w:val="TableBodyText"/>
            </w:pPr>
            <w:r w:rsidRPr="00BD4C65">
              <w:t>An indicator of the difference between higher income earners (80th percentile) and low income earners (20th percentile). Large income differentials are an indication of disparity between jobs.</w:t>
            </w:r>
          </w:p>
        </w:tc>
      </w:tr>
      <w:tr w:rsidR="00550671" w14:paraId="766E4073" w14:textId="77777777" w:rsidTr="00881EA4">
        <w:tc>
          <w:tcPr>
            <w:tcW w:w="1839" w:type="dxa"/>
            <w:vMerge/>
            <w:shd w:val="clear" w:color="auto" w:fill="FFFFFF" w:themeFill="background1"/>
          </w:tcPr>
          <w:p w14:paraId="69BE4424" w14:textId="77777777" w:rsidR="00550671" w:rsidRPr="004040F0" w:rsidRDefault="00550671">
            <w:pPr>
              <w:pStyle w:val="TableListNumber"/>
              <w:rPr>
                <w:b/>
                <w:bCs w:val="0"/>
              </w:rPr>
            </w:pPr>
          </w:p>
        </w:tc>
        <w:tc>
          <w:tcPr>
            <w:tcW w:w="2014" w:type="dxa"/>
            <w:vAlign w:val="center"/>
          </w:tcPr>
          <w:p w14:paraId="43491682" w14:textId="59A1C53D" w:rsidR="00550671" w:rsidRPr="00BD4C65" w:rsidRDefault="00612BC4" w:rsidP="003B2DD0">
            <w:pPr>
              <w:pStyle w:val="TableBodyText"/>
            </w:pPr>
            <w:r w:rsidRPr="00612BC4">
              <w:t>Workers’ compensation</w:t>
            </w:r>
            <w:r w:rsidR="00550671">
              <w:t xml:space="preserve"> incidence rate</w:t>
            </w:r>
          </w:p>
        </w:tc>
        <w:tc>
          <w:tcPr>
            <w:tcW w:w="5174" w:type="dxa"/>
          </w:tcPr>
          <w:p w14:paraId="65F1559C" w14:textId="47102B9E" w:rsidR="00550671" w:rsidRPr="00BD4C65" w:rsidRDefault="007217EB">
            <w:pPr>
              <w:pStyle w:val="TableBodyText"/>
            </w:pPr>
            <w:r>
              <w:t>An indicator of</w:t>
            </w:r>
            <w:r w:rsidR="00705AF9">
              <w:t xml:space="preserve"> accepted</w:t>
            </w:r>
            <w:r>
              <w:t xml:space="preserve"> </w:t>
            </w:r>
            <w:r w:rsidR="00705AF9">
              <w:t>workers compensation claims involving one or more working weeks lost</w:t>
            </w:r>
            <w:r w:rsidR="0023179B">
              <w:t>, expressed as a proxy incidence rate per 1</w:t>
            </w:r>
            <w:r w:rsidR="00416932">
              <w:t>,</w:t>
            </w:r>
            <w:r w:rsidR="0023179B">
              <w:t>00</w:t>
            </w:r>
            <w:r w:rsidR="00017E35">
              <w:t>0 workers</w:t>
            </w:r>
            <w:r w:rsidR="00705AF9">
              <w:t xml:space="preserve">. </w:t>
            </w:r>
            <w:r w:rsidR="00AC26B9">
              <w:t>A safe workplace is a key component of a quality job.</w:t>
            </w:r>
          </w:p>
        </w:tc>
      </w:tr>
      <w:tr w:rsidR="00405A35" w14:paraId="7ED85B3B" w14:textId="77777777" w:rsidTr="000C74B1">
        <w:trPr>
          <w:cnfStyle w:val="000000010000" w:firstRow="0" w:lastRow="0" w:firstColumn="0" w:lastColumn="0" w:oddVBand="0" w:evenVBand="0" w:oddHBand="0" w:evenHBand="1" w:firstRowFirstColumn="0" w:firstRowLastColumn="0" w:lastRowFirstColumn="0" w:lastRowLastColumn="0"/>
        </w:trPr>
        <w:tc>
          <w:tcPr>
            <w:tcW w:w="1839" w:type="dxa"/>
            <w:vMerge w:val="restart"/>
            <w:vAlign w:val="center"/>
          </w:tcPr>
          <w:p w14:paraId="3CA58F71" w14:textId="77777777" w:rsidR="0042763F" w:rsidRPr="004040F0" w:rsidRDefault="0042763F" w:rsidP="00D16B99">
            <w:pPr>
              <w:pStyle w:val="TableListNumber"/>
              <w:numPr>
                <w:ilvl w:val="0"/>
                <w:numId w:val="23"/>
              </w:numPr>
              <w:jc w:val="center"/>
              <w:rPr>
                <w:b/>
                <w:bCs w:val="0"/>
              </w:rPr>
            </w:pPr>
            <w:r w:rsidRPr="004040F0">
              <w:rPr>
                <w:b/>
                <w:bCs w:val="0"/>
              </w:rPr>
              <w:t>Meeting Demand</w:t>
            </w:r>
          </w:p>
        </w:tc>
        <w:tc>
          <w:tcPr>
            <w:tcW w:w="2014" w:type="dxa"/>
            <w:vAlign w:val="center"/>
          </w:tcPr>
          <w:p w14:paraId="367CC123" w14:textId="77777777" w:rsidR="0042763F" w:rsidRPr="00BA67E0" w:rsidRDefault="0042763F" w:rsidP="003B2DD0">
            <w:pPr>
              <w:pStyle w:val="TableBodyText"/>
            </w:pPr>
            <w:r w:rsidRPr="00BD4C65">
              <w:t>Vacancy fill rate</w:t>
            </w:r>
          </w:p>
        </w:tc>
        <w:tc>
          <w:tcPr>
            <w:tcW w:w="5174" w:type="dxa"/>
          </w:tcPr>
          <w:p w14:paraId="6B0A2272" w14:textId="77777777" w:rsidR="0042763F" w:rsidRPr="00BA67E0" w:rsidRDefault="0042763F">
            <w:pPr>
              <w:pStyle w:val="TableBodyText"/>
            </w:pPr>
            <w:r w:rsidRPr="00BD4C65">
              <w:t>Indicates how successful employers are in filling their vacancies, providing a complementary indicator of hiring pressure and the effectiveness of the jobs and skills system in meeting demand.</w:t>
            </w:r>
          </w:p>
        </w:tc>
      </w:tr>
      <w:tr w:rsidR="00F80FD3" w14:paraId="3D5DE66B" w14:textId="77777777" w:rsidTr="003B2DD0">
        <w:tc>
          <w:tcPr>
            <w:tcW w:w="1839" w:type="dxa"/>
            <w:vMerge/>
          </w:tcPr>
          <w:p w14:paraId="4D30F552" w14:textId="77777777" w:rsidR="0042763F" w:rsidRPr="004040F0" w:rsidRDefault="0042763F">
            <w:pPr>
              <w:pStyle w:val="TableListNumber"/>
              <w:rPr>
                <w:b/>
                <w:bCs w:val="0"/>
              </w:rPr>
            </w:pPr>
          </w:p>
        </w:tc>
        <w:tc>
          <w:tcPr>
            <w:tcW w:w="2014" w:type="dxa"/>
            <w:vAlign w:val="center"/>
          </w:tcPr>
          <w:p w14:paraId="6A40339D" w14:textId="2A79E5BD" w:rsidR="0042763F" w:rsidRPr="00BA67E0" w:rsidRDefault="0042763F" w:rsidP="003B2DD0">
            <w:pPr>
              <w:pStyle w:val="TableBodyText"/>
            </w:pPr>
            <w:r w:rsidRPr="00BD4C65">
              <w:t>Essential service</w:t>
            </w:r>
            <w:r w:rsidR="005F3A40">
              <w:t>s</w:t>
            </w:r>
            <w:r w:rsidRPr="00BD4C65">
              <w:t xml:space="preserve"> </w:t>
            </w:r>
            <w:r w:rsidR="008A1324">
              <w:t>vacancy</w:t>
            </w:r>
            <w:r w:rsidRPr="00BD4C65">
              <w:t xml:space="preserve"> rate</w:t>
            </w:r>
          </w:p>
        </w:tc>
        <w:tc>
          <w:tcPr>
            <w:tcW w:w="5174" w:type="dxa"/>
          </w:tcPr>
          <w:p w14:paraId="3C08EC4C" w14:textId="77777777" w:rsidR="0042763F" w:rsidRPr="00BA67E0" w:rsidRDefault="0042763F">
            <w:pPr>
              <w:pStyle w:val="TableBodyText"/>
            </w:pPr>
            <w:r w:rsidRPr="00BD4C65">
              <w:t>Provides an indication of how well a region is servicing essential service occupations. Essential services are critical to a regions overall wellbeing and prosperity and provide basic needs and opportunities for the individuals in those communities.</w:t>
            </w:r>
          </w:p>
        </w:tc>
      </w:tr>
      <w:tr w:rsidR="00405A35" w14:paraId="25B48ADD" w14:textId="77777777" w:rsidTr="003B2DD0">
        <w:trPr>
          <w:cnfStyle w:val="000000010000" w:firstRow="0" w:lastRow="0" w:firstColumn="0" w:lastColumn="0" w:oddVBand="0" w:evenVBand="0" w:oddHBand="0" w:evenHBand="1" w:firstRowFirstColumn="0" w:firstRowLastColumn="0" w:lastRowFirstColumn="0" w:lastRowLastColumn="0"/>
        </w:trPr>
        <w:tc>
          <w:tcPr>
            <w:tcW w:w="1839" w:type="dxa"/>
            <w:vMerge/>
          </w:tcPr>
          <w:p w14:paraId="565D634C" w14:textId="77777777" w:rsidR="0042763F" w:rsidRPr="004040F0" w:rsidRDefault="0042763F">
            <w:pPr>
              <w:pStyle w:val="TableListNumber"/>
              <w:rPr>
                <w:b/>
                <w:bCs w:val="0"/>
              </w:rPr>
            </w:pPr>
          </w:p>
        </w:tc>
        <w:tc>
          <w:tcPr>
            <w:tcW w:w="2014" w:type="dxa"/>
            <w:vAlign w:val="center"/>
          </w:tcPr>
          <w:p w14:paraId="57B73EF0" w14:textId="77777777" w:rsidR="0042763F" w:rsidRPr="00BA67E0" w:rsidRDefault="0042763F" w:rsidP="003B2DD0">
            <w:pPr>
              <w:pStyle w:val="TableBodyText"/>
            </w:pPr>
            <w:r w:rsidRPr="00BD4C65">
              <w:t>Persistent hiring pressure indicator</w:t>
            </w:r>
          </w:p>
        </w:tc>
        <w:tc>
          <w:tcPr>
            <w:tcW w:w="5174" w:type="dxa"/>
          </w:tcPr>
          <w:p w14:paraId="2BF65F58" w14:textId="77777777" w:rsidR="0042763F" w:rsidRPr="00BA67E0" w:rsidRDefault="0042763F">
            <w:pPr>
              <w:pStyle w:val="TableBodyText"/>
            </w:pPr>
            <w:r w:rsidRPr="00BD4C65">
              <w:t xml:space="preserve">Provides an indication of the proportion of occupations that have experienced very high vacancy rates for a prolonged period, suggesting that the jobs and skills system is not functioning effectively to meet demand. </w:t>
            </w:r>
          </w:p>
        </w:tc>
      </w:tr>
      <w:tr w:rsidR="00F80FD3" w14:paraId="4A6CAD1A" w14:textId="77777777" w:rsidTr="003B2DD0">
        <w:tc>
          <w:tcPr>
            <w:tcW w:w="1839" w:type="dxa"/>
            <w:vMerge/>
          </w:tcPr>
          <w:p w14:paraId="1A3FF63C" w14:textId="77777777" w:rsidR="0042763F" w:rsidRPr="004040F0" w:rsidRDefault="0042763F">
            <w:pPr>
              <w:pStyle w:val="TableListNumber"/>
              <w:rPr>
                <w:b/>
                <w:bCs w:val="0"/>
              </w:rPr>
            </w:pPr>
          </w:p>
        </w:tc>
        <w:tc>
          <w:tcPr>
            <w:tcW w:w="2014" w:type="dxa"/>
            <w:vAlign w:val="center"/>
          </w:tcPr>
          <w:p w14:paraId="22D62D3F" w14:textId="755C9674" w:rsidR="0042763F" w:rsidRPr="00BA67E0" w:rsidRDefault="009603D4" w:rsidP="003B2DD0">
            <w:pPr>
              <w:pStyle w:val="TableBodyText"/>
            </w:pPr>
            <w:r>
              <w:t>Business creation</w:t>
            </w:r>
          </w:p>
        </w:tc>
        <w:tc>
          <w:tcPr>
            <w:tcW w:w="5174" w:type="dxa"/>
          </w:tcPr>
          <w:p w14:paraId="0D928E60" w14:textId="6B448EF9" w:rsidR="0042763F" w:rsidRPr="00BA67E0" w:rsidRDefault="0042763F">
            <w:pPr>
              <w:pStyle w:val="TableBodyText"/>
            </w:pPr>
            <w:r w:rsidRPr="00BD4C65">
              <w:t>Provides an indication of how well the system is working to support individuals to start their own business in response to unmet demand in the economy.</w:t>
            </w:r>
          </w:p>
        </w:tc>
      </w:tr>
      <w:tr w:rsidR="00405A35" w14:paraId="06EDA3DE" w14:textId="77777777" w:rsidTr="00881EA4">
        <w:trPr>
          <w:cnfStyle w:val="000000010000" w:firstRow="0" w:lastRow="0" w:firstColumn="0" w:lastColumn="0" w:oddVBand="0" w:evenVBand="0" w:oddHBand="0" w:evenHBand="1" w:firstRowFirstColumn="0" w:firstRowLastColumn="0" w:lastRowFirstColumn="0" w:lastRowLastColumn="0"/>
        </w:trPr>
        <w:tc>
          <w:tcPr>
            <w:tcW w:w="1839" w:type="dxa"/>
            <w:vMerge w:val="restart"/>
            <w:shd w:val="clear" w:color="auto" w:fill="FFFFFF" w:themeFill="background1"/>
            <w:vAlign w:val="center"/>
          </w:tcPr>
          <w:p w14:paraId="46398913" w14:textId="77777777" w:rsidR="0042763F" w:rsidRPr="004040F0" w:rsidRDefault="0042763F" w:rsidP="004040F0">
            <w:pPr>
              <w:pStyle w:val="TableListNumber"/>
              <w:ind w:left="0" w:firstLine="0"/>
              <w:rPr>
                <w:b/>
                <w:bCs w:val="0"/>
              </w:rPr>
            </w:pPr>
            <w:r w:rsidRPr="004040F0">
              <w:rPr>
                <w:b/>
                <w:bCs w:val="0"/>
              </w:rPr>
              <w:t>Efficient matching</w:t>
            </w:r>
          </w:p>
        </w:tc>
        <w:tc>
          <w:tcPr>
            <w:tcW w:w="2014" w:type="dxa"/>
            <w:vAlign w:val="center"/>
          </w:tcPr>
          <w:p w14:paraId="284C7472" w14:textId="77777777" w:rsidR="0042763F" w:rsidRPr="00BA67E0" w:rsidRDefault="0042763F" w:rsidP="003B2DD0">
            <w:pPr>
              <w:pStyle w:val="TableBodyText"/>
            </w:pPr>
            <w:r w:rsidRPr="00BD4C65">
              <w:t>Beveridge Curve</w:t>
            </w:r>
          </w:p>
        </w:tc>
        <w:tc>
          <w:tcPr>
            <w:tcW w:w="5174" w:type="dxa"/>
          </w:tcPr>
          <w:p w14:paraId="181C0B63" w14:textId="77777777" w:rsidR="0042763F" w:rsidRPr="00BA67E0" w:rsidRDefault="0042763F">
            <w:pPr>
              <w:pStyle w:val="TableBodyText"/>
            </w:pPr>
            <w:r w:rsidRPr="00BD4C65">
              <w:t>Provides an indication of the efficiency of the labour market by comparing the unemployment rate and vacancy rate.</w:t>
            </w:r>
          </w:p>
        </w:tc>
      </w:tr>
      <w:tr w:rsidR="00F80FD3" w14:paraId="32BA1301" w14:textId="77777777" w:rsidTr="00881EA4">
        <w:tc>
          <w:tcPr>
            <w:tcW w:w="1839" w:type="dxa"/>
            <w:vMerge/>
            <w:shd w:val="clear" w:color="auto" w:fill="FFFFFF" w:themeFill="background1"/>
          </w:tcPr>
          <w:p w14:paraId="65B43963" w14:textId="77777777" w:rsidR="0042763F" w:rsidRPr="00BA67E0" w:rsidRDefault="0042763F" w:rsidP="00D16B99">
            <w:pPr>
              <w:pStyle w:val="TableListNumber"/>
              <w:numPr>
                <w:ilvl w:val="0"/>
                <w:numId w:val="23"/>
              </w:numPr>
            </w:pPr>
          </w:p>
        </w:tc>
        <w:tc>
          <w:tcPr>
            <w:tcW w:w="2014" w:type="dxa"/>
            <w:vAlign w:val="center"/>
          </w:tcPr>
          <w:p w14:paraId="4E0A7E94" w14:textId="77777777" w:rsidR="0042763F" w:rsidRPr="00BA67E0" w:rsidRDefault="0042763F" w:rsidP="003B2DD0">
            <w:pPr>
              <w:pStyle w:val="TableListNumber"/>
              <w:ind w:left="0" w:firstLine="0"/>
            </w:pPr>
            <w:r w:rsidRPr="00BD4C65">
              <w:t>Labour market matching efficiency</w:t>
            </w:r>
          </w:p>
        </w:tc>
        <w:tc>
          <w:tcPr>
            <w:tcW w:w="5174" w:type="dxa"/>
          </w:tcPr>
          <w:p w14:paraId="03A6D806" w14:textId="77777777" w:rsidR="0042763F" w:rsidRPr="00BA67E0" w:rsidRDefault="0042763F">
            <w:pPr>
              <w:pStyle w:val="TableBodyText"/>
            </w:pPr>
            <w:r w:rsidRPr="00BD4C65">
              <w:t>Provides an estimate of how well the labour market is matching unemployed persons with vacancies, based on the rate of new hiring (or matching) occurring in the labour market.</w:t>
            </w:r>
          </w:p>
        </w:tc>
      </w:tr>
    </w:tbl>
    <w:p w14:paraId="7D7B400D" w14:textId="27B1F31A" w:rsidR="006A330A" w:rsidRDefault="006A330A" w:rsidP="00245C2C">
      <w:pPr>
        <w:pStyle w:val="BodyText"/>
        <w:rPr>
          <w:rFonts w:cs="Arial"/>
        </w:rPr>
      </w:pPr>
      <w:r>
        <w:t xml:space="preserve">Despite some areas of comparative strength and improving outcomes, there remains a strong case and need for enduring change to </w:t>
      </w:r>
      <w:r w:rsidR="00A43EE8">
        <w:t>improve</w:t>
      </w:r>
      <w:r>
        <w:t xml:space="preserve"> the equity, effectiveness and efficiency of the jobs and skills system in Regional Australia. Many indicators of success </w:t>
      </w:r>
      <w:r>
        <w:lastRenderedPageBreak/>
        <w:t>remain well below the comparative figure for the Major Cities.</w:t>
      </w:r>
      <w:r>
        <w:rPr>
          <w:b/>
          <w:bCs/>
        </w:rPr>
        <w:t xml:space="preserve"> </w:t>
      </w:r>
      <w:r w:rsidRPr="006811AC">
        <w:rPr>
          <w:rFonts w:cs="Arial"/>
        </w:rPr>
        <w:t xml:space="preserve">The evaluative metrics provide opportunities to identify areas of strength and areas where new approaches and strategies may be required. </w:t>
      </w:r>
    </w:p>
    <w:p w14:paraId="7C55286F" w14:textId="77777777" w:rsidR="006A330A" w:rsidRDefault="006A330A" w:rsidP="00245C2C">
      <w:pPr>
        <w:pStyle w:val="BodyText"/>
        <w:rPr>
          <w:rFonts w:cs="Arial"/>
        </w:rPr>
      </w:pPr>
      <w:r w:rsidRPr="006811AC">
        <w:rPr>
          <w:rFonts w:cs="Arial"/>
        </w:rPr>
        <w:t>Examining the</w:t>
      </w:r>
      <w:r>
        <w:rPr>
          <w:rFonts w:cs="Arial"/>
        </w:rPr>
        <w:t xml:space="preserve"> outcomes achieved in the</w:t>
      </w:r>
      <w:r w:rsidRPr="006811AC">
        <w:rPr>
          <w:rFonts w:cs="Arial"/>
        </w:rPr>
        <w:t xml:space="preserve"> regional areas of each </w:t>
      </w:r>
      <w:r>
        <w:rPr>
          <w:rFonts w:cs="Arial"/>
        </w:rPr>
        <w:t>s</w:t>
      </w:r>
      <w:r w:rsidRPr="006811AC">
        <w:rPr>
          <w:rFonts w:cs="Arial"/>
        </w:rPr>
        <w:t xml:space="preserve">tate and </w:t>
      </w:r>
      <w:r>
        <w:rPr>
          <w:rFonts w:cs="Arial"/>
        </w:rPr>
        <w:t>t</w:t>
      </w:r>
      <w:r w:rsidRPr="006811AC">
        <w:rPr>
          <w:rFonts w:cs="Arial"/>
        </w:rPr>
        <w:t xml:space="preserve">erritory in a comparative analysis provides a useful framework to identify opportunities for </w:t>
      </w:r>
      <w:r>
        <w:rPr>
          <w:rFonts w:cs="Arial"/>
        </w:rPr>
        <w:t>change</w:t>
      </w:r>
      <w:r w:rsidRPr="006811AC">
        <w:rPr>
          <w:rFonts w:cs="Arial"/>
        </w:rPr>
        <w:t>.</w:t>
      </w:r>
      <w:r>
        <w:rPr>
          <w:rFonts w:cs="Arial"/>
        </w:rPr>
        <w:t xml:space="preserve"> This is particularly the case, as </w:t>
      </w:r>
      <w:r w:rsidRPr="006811AC">
        <w:rPr>
          <w:rFonts w:cs="Arial"/>
        </w:rPr>
        <w:t xml:space="preserve">the variation in outcomes achieved across Regional Australia is </w:t>
      </w:r>
      <w:r>
        <w:rPr>
          <w:rFonts w:cs="Arial"/>
        </w:rPr>
        <w:t>contributed to by differences</w:t>
      </w:r>
      <w:r w:rsidRPr="006811AC">
        <w:rPr>
          <w:rFonts w:cs="Arial"/>
        </w:rPr>
        <w:t xml:space="preserve"> in policies and programs, including areas of best-practice that may be highly effective in one region or jurisdiction, but remain unrealised potential for impact in others. </w:t>
      </w:r>
    </w:p>
    <w:p w14:paraId="69FD11F3" w14:textId="7160B0CD" w:rsidR="006A330A" w:rsidRDefault="006A330A" w:rsidP="00245C2C">
      <w:pPr>
        <w:pStyle w:val="BodyText"/>
        <w:rPr>
          <w:rFonts w:cs="Arial"/>
        </w:rPr>
      </w:pPr>
      <w:r>
        <w:rPr>
          <w:rFonts w:cs="Arial"/>
        </w:rPr>
        <w:t>I</w:t>
      </w:r>
      <w:r w:rsidRPr="006811AC">
        <w:rPr>
          <w:rFonts w:cs="Arial"/>
        </w:rPr>
        <w:t>n many cases there is strong evidence of solutions that work, but further work needs to ensure best-practice approaches are adopted where needed.</w:t>
      </w:r>
      <w:r>
        <w:rPr>
          <w:rFonts w:cs="Arial"/>
        </w:rPr>
        <w:t xml:space="preserve"> The development of underpinning vision principles helps </w:t>
      </w:r>
      <w:r w:rsidR="000C71E1">
        <w:rPr>
          <w:rFonts w:cs="Arial"/>
        </w:rPr>
        <w:t>break down</w:t>
      </w:r>
      <w:r>
        <w:rPr>
          <w:rFonts w:cs="Arial"/>
        </w:rPr>
        <w:t xml:space="preserve"> the vision to support the identification of such opportunities.</w:t>
      </w:r>
    </w:p>
    <w:p w14:paraId="2846700E" w14:textId="77777777" w:rsidR="00611C1C" w:rsidRDefault="00611C1C">
      <w:pPr>
        <w:spacing w:after="160" w:line="259" w:lineRule="auto"/>
        <w:rPr>
          <w:rFonts w:eastAsiaTheme="majorEastAsia" w:cstheme="majorBidi"/>
          <w:b/>
          <w:sz w:val="32"/>
          <w:szCs w:val="26"/>
        </w:rPr>
      </w:pPr>
      <w:r>
        <w:br w:type="page"/>
      </w:r>
    </w:p>
    <w:p w14:paraId="34D0AF57" w14:textId="73693DE2" w:rsidR="00521A0F" w:rsidRPr="00E8554C" w:rsidRDefault="00FB7E2F" w:rsidP="00E8554C">
      <w:pPr>
        <w:pStyle w:val="Heading1unnumbered"/>
      </w:pPr>
      <w:r w:rsidRPr="00FB7E2F">
        <w:rPr>
          <w:noProof/>
        </w:rPr>
        <w:lastRenderedPageBreak/>
        <w:drawing>
          <wp:anchor distT="0" distB="0" distL="114300" distR="114300" simplePos="0" relativeHeight="251950592" behindDoc="1" locked="0" layoutInCell="1" allowOverlap="1" wp14:anchorId="2115EB27" wp14:editId="736BBAAA">
            <wp:simplePos x="0" y="0"/>
            <wp:positionH relativeFrom="page">
              <wp:posOffset>2046</wp:posOffset>
            </wp:positionH>
            <wp:positionV relativeFrom="paragraph">
              <wp:posOffset>-830201</wp:posOffset>
            </wp:positionV>
            <wp:extent cx="7564046" cy="10699602"/>
            <wp:effectExtent l="0" t="0" r="0" b="6985"/>
            <wp:wrapNone/>
            <wp:docPr id="192863836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38365" name="Picture 8">
                      <a:extLst>
                        <a:ext uri="{C183D7F6-B498-43B3-948B-1728B52AA6E4}">
                          <adec:decorative xmlns:adec="http://schemas.microsoft.com/office/drawing/2017/decorative" val="1"/>
                        </a:ext>
                      </a:extLst>
                    </pic:cNvPr>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7565047" cy="107010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969" w:rsidRPr="00E8554C">
        <w:t>Vision Principle 1</w:t>
      </w:r>
      <w:r w:rsidR="00076C41" w:rsidRPr="00E8554C">
        <w:t xml:space="preserve"> </w:t>
      </w:r>
      <w:r w:rsidR="00FC0B5B" w:rsidRPr="00E8554C">
        <w:t>–</w:t>
      </w:r>
      <w:r w:rsidR="00076C41" w:rsidRPr="00E8554C">
        <w:t xml:space="preserve"> </w:t>
      </w:r>
      <w:r w:rsidR="00521A0F" w:rsidRPr="00E8554C">
        <w:t xml:space="preserve">Addressing </w:t>
      </w:r>
      <w:r w:rsidR="004B6EB2" w:rsidRPr="00E8554C">
        <w:t>Barriers</w:t>
      </w:r>
    </w:p>
    <w:p w14:paraId="44E37C24" w14:textId="39A124B3" w:rsidR="00521A0F" w:rsidRPr="0091638F" w:rsidRDefault="00521A0F" w:rsidP="00854BB7">
      <w:pPr>
        <w:rPr>
          <w:b/>
          <w:sz w:val="40"/>
          <w:szCs w:val="40"/>
        </w:rPr>
      </w:pPr>
      <w:r w:rsidRPr="00521A0F">
        <w:rPr>
          <w:sz w:val="40"/>
          <w:szCs w:val="40"/>
        </w:rPr>
        <w:t>People with barriers in Regional Australia receive timely high-quality support to move towards participating in education, training and employment.</w:t>
      </w:r>
    </w:p>
    <w:p w14:paraId="661E3B41" w14:textId="77777777" w:rsidR="00D95E9A" w:rsidRDefault="00D95E9A" w:rsidP="00D95E9A">
      <w:pPr>
        <w:spacing w:after="160" w:line="278" w:lineRule="auto"/>
        <w:rPr>
          <w:rFonts w:eastAsia="Times New Roman" w:cs="Arial"/>
          <w:b/>
          <w:bCs/>
          <w:i/>
          <w:iCs/>
          <w:color w:val="000000" w:themeColor="text1"/>
          <w:sz w:val="24"/>
          <w:szCs w:val="24"/>
          <w:lang w:eastAsia="en-AU"/>
        </w:rPr>
      </w:pPr>
      <w:r>
        <w:rPr>
          <w:rFonts w:eastAsia="Times New Roman" w:cs="Arial"/>
          <w:b/>
          <w:bCs/>
          <w:i/>
          <w:iCs/>
          <w:color w:val="000000" w:themeColor="text1"/>
          <w:sz w:val="24"/>
          <w:szCs w:val="24"/>
          <w:lang w:eastAsia="en-AU"/>
        </w:rPr>
        <w:br w:type="page"/>
      </w:r>
    </w:p>
    <w:p w14:paraId="471E5654" w14:textId="45B2637E" w:rsidR="001276E1" w:rsidRPr="007F4321" w:rsidRDefault="004D6969" w:rsidP="002D307D">
      <w:pPr>
        <w:pStyle w:val="Heading11"/>
      </w:pPr>
      <w:bookmarkStart w:id="95" w:name="_Toc200637145"/>
      <w:bookmarkStart w:id="96" w:name="_Toc201070184"/>
      <w:bookmarkStart w:id="97" w:name="_Toc201919847"/>
      <w:bookmarkStart w:id="98" w:name="_Toc202361875"/>
      <w:r w:rsidRPr="007F4321">
        <w:lastRenderedPageBreak/>
        <w:t>Vision Principle 1</w:t>
      </w:r>
      <w:r w:rsidR="00076C41" w:rsidRPr="007F4321">
        <w:t xml:space="preserve"> </w:t>
      </w:r>
      <w:r w:rsidR="00FC0B5B" w:rsidRPr="007F4321">
        <w:t>–</w:t>
      </w:r>
      <w:r w:rsidR="00076C41" w:rsidRPr="007F4321">
        <w:t xml:space="preserve"> </w:t>
      </w:r>
      <w:r w:rsidR="00521A0F">
        <w:t>Addressing</w:t>
      </w:r>
      <w:r w:rsidR="00FC0B5B" w:rsidRPr="007F4321">
        <w:t xml:space="preserve"> Barriers</w:t>
      </w:r>
      <w:bookmarkEnd w:id="95"/>
      <w:bookmarkEnd w:id="96"/>
      <w:bookmarkEnd w:id="97"/>
      <w:bookmarkEnd w:id="98"/>
    </w:p>
    <w:p w14:paraId="06CA38B9" w14:textId="0D350C1C" w:rsidR="00D95E9A" w:rsidRPr="00993248" w:rsidRDefault="00D95E9A" w:rsidP="0043180F">
      <w:pPr>
        <w:pStyle w:val="Heading3"/>
      </w:pPr>
      <w:r w:rsidRPr="00993248">
        <w:t>Overview of Vision Principle 1</w:t>
      </w:r>
    </w:p>
    <w:p w14:paraId="6BFFD2B8" w14:textId="58EA5A05" w:rsidR="00D72971" w:rsidRPr="00E65349" w:rsidRDefault="00D72971" w:rsidP="00E65349">
      <w:pPr>
        <w:pStyle w:val="Heading4"/>
      </w:pPr>
      <w:r w:rsidRPr="00E65349">
        <w:t xml:space="preserve">People </w:t>
      </w:r>
      <w:r w:rsidR="004D6C22" w:rsidRPr="00E65349">
        <w:t xml:space="preserve">with barriers </w:t>
      </w:r>
      <w:r w:rsidRPr="00E65349">
        <w:t>in Regional Australia receive timely high-quality support to move towards participating in education, training and employment.</w:t>
      </w:r>
    </w:p>
    <w:p w14:paraId="178D4749" w14:textId="7E970C3A" w:rsidR="005D1031" w:rsidRPr="005341D0" w:rsidRDefault="00D95E9A" w:rsidP="00E65349">
      <w:pPr>
        <w:pStyle w:val="BodyText"/>
      </w:pPr>
      <w:r w:rsidRPr="007533E4">
        <w:t>For many individuals, gaining and sustaining employment is challenging due to the prevalence of barriers that hinder their ability to participate in the labour market. Where such barriers exist, individuals should receive timely and effective support to enable them to move towards finding a job or participating in education and training</w:t>
      </w:r>
      <w:r w:rsidR="005D1031">
        <w:t xml:space="preserve"> as a pathway to a job</w:t>
      </w:r>
      <w:r w:rsidRPr="007533E4">
        <w:t xml:space="preserve">, ideally </w:t>
      </w:r>
      <w:r w:rsidRPr="005341D0">
        <w:t xml:space="preserve">within the region that they live. </w:t>
      </w:r>
    </w:p>
    <w:p w14:paraId="63270649" w14:textId="71170E13" w:rsidR="00D95E9A" w:rsidRPr="005341D0" w:rsidRDefault="00D95E9A" w:rsidP="00E65349">
      <w:pPr>
        <w:pStyle w:val="BodyText"/>
      </w:pPr>
      <w:r w:rsidRPr="005341D0">
        <w:t xml:space="preserve">Vision Principle 1 for the jobs and skills system in Regional Australia is about enabling participation in the jobs and skills system by supporting potential workers, helping to remove barriers and prepare individuals </w:t>
      </w:r>
      <w:r w:rsidR="00A56BD1" w:rsidRPr="005341D0">
        <w:t xml:space="preserve">for </w:t>
      </w:r>
      <w:r w:rsidRPr="005341D0">
        <w:t>education and training or participate in employment</w:t>
      </w:r>
      <w:r w:rsidR="00C83741" w:rsidRPr="005341D0">
        <w:t xml:space="preserve"> (measured by participation rate)</w:t>
      </w:r>
      <w:r w:rsidRPr="005341D0">
        <w:t xml:space="preserve">. This principle is about </w:t>
      </w:r>
      <w:r w:rsidR="00E82ECC" w:rsidRPr="005341D0">
        <w:t xml:space="preserve">addressing and </w:t>
      </w:r>
      <w:r w:rsidRPr="005341D0">
        <w:t>removing barriers that prevent participation in the jobs and skills system in the first place.</w:t>
      </w:r>
      <w:r w:rsidR="00A714E6" w:rsidRPr="005341D0">
        <w:t xml:space="preserve"> </w:t>
      </w:r>
    </w:p>
    <w:p w14:paraId="3CC0F6FB" w14:textId="77777777" w:rsidR="00E82ECC" w:rsidRPr="005341D0" w:rsidRDefault="00D95E9A" w:rsidP="00E65349">
      <w:pPr>
        <w:pStyle w:val="BodyText"/>
      </w:pPr>
      <w:r w:rsidRPr="005341D0">
        <w:t xml:space="preserve">The barriers behind reduced participation in employment, education or training (including non-participation) for those that want to work more can vary and are often interconnected. They may include financial barriers, lack of digital connectivity, lack of access to childcare, transport barriers, lack of affordable housing, as well as disability and health issues (among other barriers). </w:t>
      </w:r>
    </w:p>
    <w:p w14:paraId="6B29022C" w14:textId="522E9D98" w:rsidR="00D95E9A" w:rsidRPr="005341D0" w:rsidRDefault="00D95E9A" w:rsidP="00E65349">
      <w:pPr>
        <w:pStyle w:val="BodyText"/>
      </w:pPr>
      <w:r w:rsidRPr="005341D0">
        <w:t xml:space="preserve">Barriers may also include insufficient foundation and employability skills in language, literacy, numeracy and digital skills, all of which are critical to enabling participation in the jobs and skills system. </w:t>
      </w:r>
      <w:r w:rsidR="00ED16CB" w:rsidRPr="005341D0">
        <w:t xml:space="preserve">These </w:t>
      </w:r>
      <w:r w:rsidRPr="005341D0">
        <w:t xml:space="preserve">are typically developed during schooling but can become a substantial barrier when not acquired </w:t>
      </w:r>
      <w:r w:rsidR="00ED16CB" w:rsidRPr="005341D0">
        <w:t xml:space="preserve">sufficiently </w:t>
      </w:r>
      <w:r w:rsidRPr="005341D0">
        <w:t>during the formative ages of childhood and youth</w:t>
      </w:r>
      <w:r w:rsidR="002F1D78" w:rsidRPr="005341D0">
        <w:t xml:space="preserve"> (</w:t>
      </w:r>
      <w:r w:rsidR="00C71B9F" w:rsidRPr="005341D0">
        <w:t xml:space="preserve">measured by </w:t>
      </w:r>
      <w:r w:rsidR="002F1D78" w:rsidRPr="005341D0">
        <w:t>student</w:t>
      </w:r>
      <w:r w:rsidR="00C71B9F" w:rsidRPr="005341D0">
        <w:t xml:space="preserve"> non-</w:t>
      </w:r>
      <w:r w:rsidR="002F1D78" w:rsidRPr="005341D0">
        <w:t>attendance</w:t>
      </w:r>
      <w:r w:rsidR="00C71B9F" w:rsidRPr="005341D0">
        <w:t xml:space="preserve"> rate and </w:t>
      </w:r>
      <w:r w:rsidR="002F1D78" w:rsidRPr="005341D0">
        <w:t>youth not in employment, education and training).</w:t>
      </w:r>
      <w:r w:rsidR="00A714E6" w:rsidRPr="005341D0">
        <w:t xml:space="preserve"> </w:t>
      </w:r>
      <w:r w:rsidRPr="005341D0">
        <w:t xml:space="preserve">In </w:t>
      </w:r>
      <w:r w:rsidR="00ED16CB" w:rsidRPr="005341D0">
        <w:t>an effective</w:t>
      </w:r>
      <w:r w:rsidRPr="005341D0">
        <w:t xml:space="preserve"> jobs and skills system, </w:t>
      </w:r>
      <w:r w:rsidR="00103076" w:rsidRPr="005341D0">
        <w:t>there</w:t>
      </w:r>
      <w:r w:rsidRPr="005341D0">
        <w:t xml:space="preserve"> should be </w:t>
      </w:r>
      <w:r w:rsidR="00103076" w:rsidRPr="005341D0">
        <w:t>a focus on</w:t>
      </w:r>
      <w:r w:rsidRPr="005341D0">
        <w:t xml:space="preserve"> addressing and overcoming barriers that hinder Australians </w:t>
      </w:r>
      <w:r w:rsidR="00103076" w:rsidRPr="005341D0">
        <w:t xml:space="preserve">from </w:t>
      </w:r>
      <w:r w:rsidR="006E53A2" w:rsidRPr="005341D0">
        <w:t>their</w:t>
      </w:r>
      <w:r w:rsidRPr="005341D0">
        <w:t xml:space="preserve"> initial participation in education, training and/or employment and maximising their labour market participation </w:t>
      </w:r>
      <w:r w:rsidR="006E53A2" w:rsidRPr="005341D0">
        <w:t>after that</w:t>
      </w:r>
      <w:r w:rsidRPr="005341D0">
        <w:t>.</w:t>
      </w:r>
    </w:p>
    <w:p w14:paraId="67983ACD" w14:textId="16788B51" w:rsidR="00EA0D72" w:rsidRDefault="00D95E9A" w:rsidP="00E65349">
      <w:pPr>
        <w:pStyle w:val="BodyText"/>
      </w:pPr>
      <w:r w:rsidRPr="005341D0">
        <w:t xml:space="preserve">Individuals should be supported to overcome barriers and find employment in a timely manner. Employment underpins the economic productivity of the nation and is </w:t>
      </w:r>
      <w:r w:rsidR="00A27344" w:rsidRPr="005341D0">
        <w:t>inextricably connected to</w:t>
      </w:r>
      <w:r w:rsidRPr="005341D0">
        <w:t xml:space="preserve"> an individual’s health, happiness and wellbeing. By contrast, unemployment </w:t>
      </w:r>
      <w:r w:rsidR="008634FE" w:rsidRPr="005341D0">
        <w:t xml:space="preserve"> </w:t>
      </w:r>
      <w:r w:rsidRPr="005341D0">
        <w:t>can be costly for the individual, the economy and society more broadly</w:t>
      </w:r>
      <w:r w:rsidR="002F1D78" w:rsidRPr="005341D0">
        <w:t xml:space="preserve"> (measured by unemployment rate)</w:t>
      </w:r>
      <w:r w:rsidRPr="005341D0">
        <w:t>.</w:t>
      </w:r>
      <w:r w:rsidR="00E35748" w:rsidRPr="005341D0">
        <w:t xml:space="preserve"> </w:t>
      </w:r>
      <w:r w:rsidRPr="005341D0">
        <w:t xml:space="preserve">People who have been unemployed for long periods of time may face greater difficulty finding work due to skill atrophy, loss of </w:t>
      </w:r>
      <w:r w:rsidR="00643340" w:rsidRPr="005341D0">
        <w:t xml:space="preserve">confidence and </w:t>
      </w:r>
      <w:r w:rsidRPr="005341D0">
        <w:t xml:space="preserve">motivation </w:t>
      </w:r>
      <w:r w:rsidR="00643340" w:rsidRPr="005341D0">
        <w:t>particularly where</w:t>
      </w:r>
      <w:r w:rsidRPr="005341D0">
        <w:t xml:space="preserve"> employers favour candidates with more recent </w:t>
      </w:r>
      <w:r w:rsidR="00306F43" w:rsidRPr="005341D0">
        <w:t xml:space="preserve">and transferable </w:t>
      </w:r>
      <w:r w:rsidR="000A28D2" w:rsidRPr="005341D0">
        <w:t xml:space="preserve">experience </w:t>
      </w:r>
      <w:r w:rsidR="00D60A9A" w:rsidRPr="005341D0">
        <w:t>(measured by proportion on income support for more than 5 years).</w:t>
      </w:r>
    </w:p>
    <w:p w14:paraId="1F454228" w14:textId="08648824" w:rsidR="00E1369A" w:rsidRDefault="00D95E9A" w:rsidP="00E65349">
      <w:pPr>
        <w:pStyle w:val="BodyText"/>
      </w:pPr>
      <w:r w:rsidRPr="007533E4">
        <w:t xml:space="preserve">Given this, this vision principle is about ensuring that the </w:t>
      </w:r>
      <w:r w:rsidRPr="007533E4">
        <w:rPr>
          <w:i/>
        </w:rPr>
        <w:t>duration</w:t>
      </w:r>
      <w:r w:rsidRPr="007533E4">
        <w:t xml:space="preserve"> of unemployment is minimised, with the ambition of reducing the incidence of people on income support </w:t>
      </w:r>
      <w:r w:rsidR="00E26158">
        <w:t xml:space="preserve">on a </w:t>
      </w:r>
      <w:r w:rsidR="006949DE" w:rsidRPr="007533E4">
        <w:t>long</w:t>
      </w:r>
      <w:r w:rsidR="006949DE">
        <w:t>er</w:t>
      </w:r>
      <w:r w:rsidR="006949DE" w:rsidRPr="007533E4">
        <w:t>-</w:t>
      </w:r>
      <w:r w:rsidRPr="007533E4">
        <w:t xml:space="preserve">term </w:t>
      </w:r>
      <w:r w:rsidR="00E26158">
        <w:t>basis</w:t>
      </w:r>
      <w:r w:rsidR="0038107C">
        <w:t>. Assessments should focus on</w:t>
      </w:r>
      <w:r w:rsidRPr="007533E4">
        <w:t xml:space="preserve"> how well the system is operating in pursuit of this. </w:t>
      </w:r>
    </w:p>
    <w:p w14:paraId="13C78AE6" w14:textId="77777777" w:rsidR="00E1369A" w:rsidRDefault="00E1369A">
      <w:pPr>
        <w:spacing w:after="160" w:line="259" w:lineRule="auto"/>
        <w:rPr>
          <w:rFonts w:cs="Arial"/>
        </w:rPr>
      </w:pPr>
      <w:r>
        <w:rPr>
          <w:rFonts w:cs="Arial"/>
        </w:rPr>
        <w:br w:type="page"/>
      </w:r>
    </w:p>
    <w:p w14:paraId="18A4E150" w14:textId="77777777" w:rsidR="00D95E9A" w:rsidRPr="007533E4" w:rsidRDefault="00D95E9A" w:rsidP="007533E4">
      <w:pPr>
        <w:rPr>
          <w:rFonts w:cs="Arial"/>
        </w:rPr>
      </w:pPr>
    </w:p>
    <w:p w14:paraId="18CC6907" w14:textId="5DA809E5" w:rsidR="00D95E9A" w:rsidRPr="00993248" w:rsidRDefault="00742CF7" w:rsidP="00993248">
      <w:pPr>
        <w:spacing w:before="120" w:after="240"/>
        <w:rPr>
          <w:b/>
          <w:color w:val="4B0885"/>
          <w:sz w:val="26"/>
          <w:szCs w:val="26"/>
        </w:rPr>
      </w:pPr>
      <w:r w:rsidRPr="00993248">
        <w:rPr>
          <w:b/>
          <w:color w:val="4B0885"/>
          <w:sz w:val="26"/>
          <w:szCs w:val="26"/>
        </w:rPr>
        <w:t>Ev</w:t>
      </w:r>
      <w:r w:rsidR="00D95E9A" w:rsidRPr="00993248">
        <w:rPr>
          <w:b/>
          <w:color w:val="4B0885"/>
          <w:sz w:val="26"/>
          <w:szCs w:val="26"/>
        </w:rPr>
        <w:t>aluative indicators and insights</w:t>
      </w:r>
    </w:p>
    <w:p w14:paraId="0E5CF876" w14:textId="628EA441" w:rsidR="00E47796" w:rsidRPr="006D41C9" w:rsidRDefault="006470FB" w:rsidP="006470FB">
      <w:pPr>
        <w:pStyle w:val="Caption"/>
        <w:rPr>
          <w:b w:val="0"/>
        </w:rPr>
      </w:pPr>
      <w:r>
        <w:t xml:space="preserve">Table </w:t>
      </w:r>
      <w:r>
        <w:fldChar w:fldCharType="begin"/>
      </w:r>
      <w:r>
        <w:instrText xml:space="preserve"> SEQ Table \* ARABIC </w:instrText>
      </w:r>
      <w:r>
        <w:fldChar w:fldCharType="separate"/>
      </w:r>
      <w:r w:rsidR="00471863">
        <w:rPr>
          <w:noProof/>
        </w:rPr>
        <w:t>5</w:t>
      </w:r>
      <w:r>
        <w:fldChar w:fldCharType="end"/>
      </w:r>
      <w:r w:rsidR="00E47796" w:rsidRPr="006D41C9">
        <w:rPr>
          <w:rFonts w:cs="Arial"/>
        </w:rPr>
        <w:t xml:space="preserve">: </w:t>
      </w:r>
      <w:r w:rsidR="00E47796" w:rsidRPr="006D41C9">
        <w:t>Metric summary table – Vision Principle 1</w:t>
      </w:r>
    </w:p>
    <w:tbl>
      <w:tblPr>
        <w:tblStyle w:val="GridTable5Dark-Accent1"/>
        <w:tblW w:w="9070" w:type="dxa"/>
        <w:tblLook w:val="04A0" w:firstRow="1" w:lastRow="0" w:firstColumn="1" w:lastColumn="0" w:noHBand="0" w:noVBand="1"/>
      </w:tblPr>
      <w:tblGrid>
        <w:gridCol w:w="6941"/>
        <w:gridCol w:w="2129"/>
      </w:tblGrid>
      <w:tr w:rsidR="00D95E9A" w:rsidRPr="00CB0C7A" w14:paraId="41A9A3D0" w14:textId="77777777" w:rsidTr="00D625C1">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941" w:type="dxa"/>
            <w:tcBorders>
              <w:bottom w:val="single" w:sz="4" w:space="0" w:color="auto"/>
              <w:right w:val="single" w:sz="4" w:space="0" w:color="FFFFFF"/>
            </w:tcBorders>
            <w:shd w:val="clear" w:color="auto" w:fill="370663"/>
            <w:vAlign w:val="center"/>
          </w:tcPr>
          <w:p w14:paraId="368394F7" w14:textId="77777777" w:rsidR="00D95E9A" w:rsidRPr="004B2B8A" w:rsidRDefault="00D95E9A">
            <w:pPr>
              <w:rPr>
                <w:rFonts w:cs="Arial"/>
                <w:color w:val="370663"/>
                <w:sz w:val="24"/>
                <w:szCs w:val="24"/>
              </w:rPr>
            </w:pPr>
            <w:r w:rsidRPr="004B2B8A">
              <w:rPr>
                <w:rFonts w:cs="Arial"/>
                <w:sz w:val="24"/>
                <w:szCs w:val="24"/>
              </w:rPr>
              <w:t>JSA Regional Roadmap - Vision Principle 1</w:t>
            </w:r>
          </w:p>
        </w:tc>
        <w:tc>
          <w:tcPr>
            <w:tcW w:w="2129" w:type="dxa"/>
            <w:tcBorders>
              <w:left w:val="single" w:sz="4" w:space="0" w:color="FFFFFF"/>
              <w:bottom w:val="single" w:sz="4" w:space="0" w:color="auto"/>
              <w:right w:val="single" w:sz="4" w:space="0" w:color="808080"/>
            </w:tcBorders>
            <w:shd w:val="clear" w:color="auto" w:fill="370663"/>
            <w:vAlign w:val="center"/>
          </w:tcPr>
          <w:p w14:paraId="70F6A876" w14:textId="77777777" w:rsidR="00D95E9A" w:rsidRPr="004B2B8A" w:rsidRDefault="00D95E9A">
            <w:pPr>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4B2B8A">
              <w:rPr>
                <w:rFonts w:cs="Arial"/>
                <w:sz w:val="24"/>
                <w:szCs w:val="24"/>
              </w:rPr>
              <w:t>Current rating</w:t>
            </w:r>
          </w:p>
        </w:tc>
      </w:tr>
      <w:tr w:rsidR="00D95E9A" w:rsidRPr="00CB0C7A" w14:paraId="7E4A2E9E" w14:textId="77777777" w:rsidTr="00820B9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808080"/>
              <w:bottom w:val="single" w:sz="4" w:space="0" w:color="808080"/>
              <w:right w:val="single" w:sz="4" w:space="0" w:color="808080"/>
            </w:tcBorders>
            <w:shd w:val="clear" w:color="auto" w:fill="FFFFFF" w:themeFill="background1"/>
            <w:vAlign w:val="center"/>
          </w:tcPr>
          <w:p w14:paraId="23FE4099" w14:textId="21AE83BB" w:rsidR="00D95E9A" w:rsidRPr="00581959" w:rsidRDefault="00D95E9A" w:rsidP="00581959">
            <w:pPr>
              <w:spacing w:before="100"/>
              <w:rPr>
                <w:rFonts w:cs="Arial"/>
                <w:b w:val="0"/>
                <w:color w:val="000000" w:themeColor="text1"/>
                <w:sz w:val="24"/>
                <w:szCs w:val="24"/>
              </w:rPr>
            </w:pPr>
            <w:r w:rsidRPr="00A042AD">
              <w:rPr>
                <w:rFonts w:cs="Arial"/>
                <w:color w:val="000000" w:themeColor="text1"/>
                <w:sz w:val="24"/>
                <w:szCs w:val="24"/>
              </w:rPr>
              <w:t>Overall rating for Vision Principle 1</w:t>
            </w:r>
          </w:p>
        </w:tc>
        <w:tc>
          <w:tcPr>
            <w:tcW w:w="2129" w:type="dxa"/>
            <w:tcBorders>
              <w:top w:val="single" w:sz="4" w:space="0" w:color="auto"/>
              <w:left w:val="single" w:sz="4" w:space="0" w:color="808080"/>
              <w:bottom w:val="single" w:sz="4" w:space="0" w:color="FFFFFF" w:themeColor="background1"/>
              <w:right w:val="single" w:sz="4" w:space="0" w:color="808080"/>
            </w:tcBorders>
            <w:shd w:val="clear" w:color="auto" w:fill="DF5454"/>
            <w:vAlign w:val="center"/>
          </w:tcPr>
          <w:p w14:paraId="6C0105D8" w14:textId="77777777" w:rsidR="00D95E9A" w:rsidRPr="00BC1CD1" w:rsidRDefault="00D95E9A">
            <w:pPr>
              <w:jc w:val="center"/>
              <w:cnfStyle w:val="000000100000" w:firstRow="0" w:lastRow="0" w:firstColumn="0" w:lastColumn="0" w:oddVBand="0" w:evenVBand="0" w:oddHBand="1" w:evenHBand="0" w:firstRowFirstColumn="0" w:firstRowLastColumn="0" w:lastRowFirstColumn="0" w:lastRowLastColumn="0"/>
              <w:rPr>
                <w:rFonts w:cs="Arial"/>
                <w:b/>
              </w:rPr>
            </w:pPr>
            <w:r w:rsidRPr="009028FC">
              <w:rPr>
                <w:rFonts w:cs="Arial"/>
                <w:b/>
              </w:rPr>
              <w:t>Red</w:t>
            </w:r>
          </w:p>
        </w:tc>
      </w:tr>
      <w:tr w:rsidR="00666354" w:rsidRPr="00CB0C7A" w14:paraId="4B568D5A" w14:textId="77777777" w:rsidTr="008C1F50">
        <w:trPr>
          <w:trHeight w:val="113"/>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FFFFFF" w:themeColor="background1"/>
              <w:left w:val="single" w:sz="4" w:space="0" w:color="808080"/>
              <w:bottom w:val="single" w:sz="4" w:space="0" w:color="808080"/>
              <w:right w:val="single" w:sz="4" w:space="0" w:color="370663"/>
            </w:tcBorders>
            <w:shd w:val="clear" w:color="auto" w:fill="370663"/>
            <w:vAlign w:val="center"/>
          </w:tcPr>
          <w:p w14:paraId="01D51093" w14:textId="52F4FB30" w:rsidR="00666354" w:rsidRPr="00581959" w:rsidRDefault="00666354" w:rsidP="00581959">
            <w:pPr>
              <w:spacing w:before="100"/>
              <w:rPr>
                <w:rFonts w:cs="Arial"/>
              </w:rPr>
            </w:pPr>
            <w:bookmarkStart w:id="99" w:name="_Hlk202358559"/>
            <w:r w:rsidRPr="00581959">
              <w:rPr>
                <w:rFonts w:cs="Arial"/>
              </w:rPr>
              <w:t>Contributing indicators</w:t>
            </w:r>
          </w:p>
        </w:tc>
        <w:tc>
          <w:tcPr>
            <w:tcW w:w="2129" w:type="dxa"/>
            <w:tcBorders>
              <w:top w:val="single" w:sz="4" w:space="0" w:color="FFFFFF" w:themeColor="background1"/>
              <w:left w:val="single" w:sz="4" w:space="0" w:color="370663"/>
              <w:bottom w:val="single" w:sz="4" w:space="0" w:color="FFFFFF" w:themeColor="background1"/>
              <w:right w:val="single" w:sz="4" w:space="0" w:color="808080"/>
            </w:tcBorders>
            <w:shd w:val="clear" w:color="auto" w:fill="370663"/>
            <w:vAlign w:val="center"/>
          </w:tcPr>
          <w:p w14:paraId="65E989C1" w14:textId="77777777" w:rsidR="00666354" w:rsidRPr="00BC1CD1" w:rsidRDefault="00666354">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r>
      <w:bookmarkEnd w:id="99"/>
      <w:tr w:rsidR="00D95E9A" w:rsidRPr="002156A7" w14:paraId="58905003" w14:textId="77777777" w:rsidTr="00820B93">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center"/>
          </w:tcPr>
          <w:p w14:paraId="5DBF70F5" w14:textId="50951A0A" w:rsidR="00D95E9A" w:rsidRPr="00635BAA" w:rsidRDefault="00D95E9A" w:rsidP="00027223">
            <w:pPr>
              <w:pStyle w:val="ListParagraph"/>
              <w:numPr>
                <w:ilvl w:val="0"/>
                <w:numId w:val="7"/>
              </w:numPr>
              <w:spacing w:before="40" w:after="40" w:line="240" w:lineRule="auto"/>
              <w:rPr>
                <w:rFonts w:cs="Arial"/>
                <w:b w:val="0"/>
                <w:color w:val="auto"/>
              </w:rPr>
            </w:pPr>
            <w:r w:rsidRPr="00635BAA">
              <w:rPr>
                <w:rFonts w:cs="Arial"/>
                <w:b w:val="0"/>
                <w:color w:val="auto"/>
              </w:rPr>
              <w:t xml:space="preserve">Student </w:t>
            </w:r>
            <w:r w:rsidR="0019798C">
              <w:rPr>
                <w:rFonts w:cs="Arial"/>
                <w:b w:val="0"/>
                <w:color w:val="auto"/>
              </w:rPr>
              <w:t>non-</w:t>
            </w:r>
            <w:r w:rsidRPr="00635BAA">
              <w:rPr>
                <w:rFonts w:cs="Arial"/>
                <w:b w:val="0"/>
                <w:color w:val="auto"/>
              </w:rPr>
              <w:t xml:space="preserve">attendance rate </w:t>
            </w:r>
          </w:p>
        </w:tc>
        <w:tc>
          <w:tcPr>
            <w:tcW w:w="2129" w:type="dxa"/>
            <w:tcBorders>
              <w:top w:val="single" w:sz="4" w:space="0" w:color="FFFFFF" w:themeColor="background1"/>
              <w:left w:val="single" w:sz="4" w:space="0" w:color="808080"/>
              <w:right w:val="single" w:sz="4" w:space="0" w:color="808080"/>
            </w:tcBorders>
            <w:shd w:val="clear" w:color="auto" w:fill="DF5454"/>
            <w:vAlign w:val="center"/>
          </w:tcPr>
          <w:p w14:paraId="145D40EC" w14:textId="77777777" w:rsidR="00D95E9A" w:rsidRPr="009028FC" w:rsidRDefault="00D95E9A">
            <w:pPr>
              <w:jc w:val="center"/>
              <w:cnfStyle w:val="000000100000" w:firstRow="0" w:lastRow="0" w:firstColumn="0" w:lastColumn="0" w:oddVBand="0" w:evenVBand="0" w:oddHBand="1" w:evenHBand="0" w:firstRowFirstColumn="0" w:firstRowLastColumn="0" w:lastRowFirstColumn="0" w:lastRowLastColumn="0"/>
              <w:rPr>
                <w:rFonts w:cs="Arial"/>
                <w:b/>
                <w:highlight w:val="yellow"/>
              </w:rPr>
            </w:pPr>
            <w:r w:rsidRPr="009028FC">
              <w:rPr>
                <w:rFonts w:cs="Arial"/>
                <w:b/>
              </w:rPr>
              <w:t>Red</w:t>
            </w:r>
          </w:p>
        </w:tc>
      </w:tr>
      <w:tr w:rsidR="00D95E9A" w:rsidRPr="002156A7" w14:paraId="132DFE6A" w14:textId="77777777" w:rsidTr="00820B93">
        <w:trPr>
          <w:trHeight w:val="68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335A585C" w14:textId="77777777" w:rsidR="00D95E9A" w:rsidRPr="00635BAA" w:rsidRDefault="00D95E9A" w:rsidP="00027223">
            <w:pPr>
              <w:pStyle w:val="ListParagraph"/>
              <w:numPr>
                <w:ilvl w:val="0"/>
                <w:numId w:val="7"/>
              </w:numPr>
              <w:spacing w:before="40" w:after="40" w:line="240" w:lineRule="auto"/>
              <w:rPr>
                <w:rFonts w:cs="Arial"/>
                <w:b w:val="0"/>
                <w:color w:val="auto"/>
              </w:rPr>
            </w:pPr>
            <w:r w:rsidRPr="00635BAA">
              <w:rPr>
                <w:rFonts w:cs="Arial"/>
                <w:b w:val="0"/>
                <w:color w:val="auto"/>
              </w:rPr>
              <w:t>Youth not in employment, education or training (NEET)</w:t>
            </w:r>
          </w:p>
        </w:tc>
        <w:tc>
          <w:tcPr>
            <w:tcW w:w="2129" w:type="dxa"/>
            <w:tcBorders>
              <w:left w:val="single" w:sz="4" w:space="0" w:color="808080"/>
              <w:right w:val="single" w:sz="4" w:space="0" w:color="808080"/>
            </w:tcBorders>
            <w:shd w:val="clear" w:color="auto" w:fill="DF5454"/>
            <w:vAlign w:val="center"/>
          </w:tcPr>
          <w:p w14:paraId="2BFC9006" w14:textId="77777777" w:rsidR="00D95E9A" w:rsidRPr="009028FC" w:rsidRDefault="00D95E9A">
            <w:pPr>
              <w:jc w:val="center"/>
              <w:cnfStyle w:val="000000000000" w:firstRow="0" w:lastRow="0" w:firstColumn="0" w:lastColumn="0" w:oddVBand="0" w:evenVBand="0" w:oddHBand="0" w:evenHBand="0" w:firstRowFirstColumn="0" w:firstRowLastColumn="0" w:lastRowFirstColumn="0" w:lastRowLastColumn="0"/>
              <w:rPr>
                <w:rFonts w:cs="Arial"/>
                <w:b/>
                <w:highlight w:val="yellow"/>
              </w:rPr>
            </w:pPr>
            <w:r w:rsidRPr="009028FC">
              <w:rPr>
                <w:rFonts w:cs="Arial"/>
                <w:b/>
              </w:rPr>
              <w:t>Red</w:t>
            </w:r>
          </w:p>
        </w:tc>
      </w:tr>
      <w:tr w:rsidR="007F6C7D" w:rsidRPr="002156A7" w14:paraId="78242AF5" w14:textId="77777777" w:rsidTr="00820B93">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center"/>
          </w:tcPr>
          <w:p w14:paraId="3E36EE1D" w14:textId="4B6E89DC" w:rsidR="007F6C7D" w:rsidRPr="00E514CE" w:rsidRDefault="001E4098" w:rsidP="00027223">
            <w:pPr>
              <w:pStyle w:val="ListParagraph"/>
              <w:numPr>
                <w:ilvl w:val="0"/>
                <w:numId w:val="7"/>
              </w:numPr>
              <w:spacing w:before="40" w:after="40" w:line="240" w:lineRule="auto"/>
              <w:rPr>
                <w:rFonts w:cs="Arial"/>
                <w:b w:val="0"/>
              </w:rPr>
            </w:pPr>
            <w:r>
              <w:rPr>
                <w:rFonts w:cs="Arial"/>
                <w:b w:val="0"/>
                <w:color w:val="auto"/>
              </w:rPr>
              <w:t xml:space="preserve">Prime age </w:t>
            </w:r>
            <w:r w:rsidR="00C2033C">
              <w:rPr>
                <w:rFonts w:cs="Arial"/>
                <w:b w:val="0"/>
                <w:color w:val="auto"/>
              </w:rPr>
              <w:t xml:space="preserve">labour force </w:t>
            </w:r>
            <w:r>
              <w:rPr>
                <w:rFonts w:cs="Arial"/>
                <w:b w:val="0"/>
                <w:color w:val="auto"/>
              </w:rPr>
              <w:t>p</w:t>
            </w:r>
            <w:r w:rsidR="007F6C7D" w:rsidRPr="00E514CE">
              <w:rPr>
                <w:rFonts w:cs="Arial"/>
                <w:b w:val="0"/>
                <w:color w:val="auto"/>
              </w:rPr>
              <w:t>articipation rate</w:t>
            </w:r>
          </w:p>
        </w:tc>
        <w:tc>
          <w:tcPr>
            <w:tcW w:w="2129" w:type="dxa"/>
            <w:tcBorders>
              <w:left w:val="single" w:sz="4" w:space="0" w:color="808080"/>
              <w:right w:val="single" w:sz="4" w:space="0" w:color="808080"/>
            </w:tcBorders>
            <w:shd w:val="clear" w:color="auto" w:fill="52BD7F"/>
            <w:vAlign w:val="center"/>
          </w:tcPr>
          <w:p w14:paraId="5C59B290" w14:textId="275343A6" w:rsidR="007F6C7D" w:rsidRPr="009028FC" w:rsidRDefault="007A526B">
            <w:pPr>
              <w:jc w:val="center"/>
              <w:cnfStyle w:val="000000100000" w:firstRow="0" w:lastRow="0" w:firstColumn="0" w:lastColumn="0" w:oddVBand="0" w:evenVBand="0" w:oddHBand="1" w:evenHBand="0" w:firstRowFirstColumn="0" w:firstRowLastColumn="0" w:lastRowFirstColumn="0" w:lastRowLastColumn="0"/>
              <w:rPr>
                <w:rFonts w:cs="Arial"/>
                <w:b/>
              </w:rPr>
            </w:pPr>
            <w:r w:rsidRPr="009028FC">
              <w:rPr>
                <w:rFonts w:cs="Arial"/>
                <w:b/>
              </w:rPr>
              <w:t>Green</w:t>
            </w:r>
          </w:p>
        </w:tc>
      </w:tr>
      <w:tr w:rsidR="00A318C1" w:rsidRPr="002156A7" w14:paraId="3F135872" w14:textId="77777777" w:rsidTr="00820B93">
        <w:trPr>
          <w:trHeight w:val="68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22C9272D" w14:textId="7F798E3F" w:rsidR="00A318C1" w:rsidRPr="00635BAA" w:rsidRDefault="00A318C1" w:rsidP="00027223">
            <w:pPr>
              <w:pStyle w:val="ListParagraph"/>
              <w:numPr>
                <w:ilvl w:val="0"/>
                <w:numId w:val="7"/>
              </w:numPr>
              <w:spacing w:before="40" w:after="40" w:line="240" w:lineRule="auto"/>
              <w:rPr>
                <w:rFonts w:cs="Arial"/>
              </w:rPr>
            </w:pPr>
            <w:r w:rsidRPr="00A318C1">
              <w:rPr>
                <w:rFonts w:cs="Arial"/>
                <w:b w:val="0"/>
                <w:color w:val="auto"/>
              </w:rPr>
              <w:t>Unemployment rate</w:t>
            </w:r>
          </w:p>
        </w:tc>
        <w:tc>
          <w:tcPr>
            <w:tcW w:w="2129" w:type="dxa"/>
            <w:tcBorders>
              <w:left w:val="single" w:sz="4" w:space="0" w:color="808080"/>
              <w:right w:val="single" w:sz="4" w:space="0" w:color="808080"/>
            </w:tcBorders>
            <w:shd w:val="clear" w:color="auto" w:fill="52BD7F"/>
            <w:vAlign w:val="center"/>
          </w:tcPr>
          <w:p w14:paraId="19F09F13" w14:textId="6681500B" w:rsidR="00A318C1" w:rsidRPr="009028FC" w:rsidRDefault="00A318C1">
            <w:pPr>
              <w:jc w:val="center"/>
              <w:cnfStyle w:val="000000000000" w:firstRow="0" w:lastRow="0" w:firstColumn="0" w:lastColumn="0" w:oddVBand="0" w:evenVBand="0" w:oddHBand="0" w:evenHBand="0" w:firstRowFirstColumn="0" w:firstRowLastColumn="0" w:lastRowFirstColumn="0" w:lastRowLastColumn="0"/>
              <w:rPr>
                <w:rFonts w:cs="Arial"/>
                <w:b/>
              </w:rPr>
            </w:pPr>
            <w:r w:rsidRPr="009028FC">
              <w:rPr>
                <w:rFonts w:cs="Arial"/>
                <w:b/>
              </w:rPr>
              <w:t>Green</w:t>
            </w:r>
          </w:p>
        </w:tc>
      </w:tr>
      <w:tr w:rsidR="00D95E9A" w:rsidRPr="002156A7" w14:paraId="1BA8D40D" w14:textId="77777777" w:rsidTr="00820B93">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center"/>
          </w:tcPr>
          <w:p w14:paraId="6685DFE1" w14:textId="122292CB" w:rsidR="00D95E9A" w:rsidRPr="00635BAA" w:rsidRDefault="00D95E9A" w:rsidP="00027223">
            <w:pPr>
              <w:pStyle w:val="ListParagraph"/>
              <w:numPr>
                <w:ilvl w:val="0"/>
                <w:numId w:val="7"/>
              </w:numPr>
              <w:spacing w:before="40" w:after="40" w:line="240" w:lineRule="auto"/>
              <w:rPr>
                <w:rFonts w:cs="Arial"/>
                <w:b w:val="0"/>
                <w:color w:val="auto"/>
              </w:rPr>
            </w:pPr>
            <w:r w:rsidRPr="00635BAA">
              <w:rPr>
                <w:rFonts w:cs="Arial"/>
                <w:b w:val="0"/>
                <w:color w:val="auto"/>
              </w:rPr>
              <w:t xml:space="preserve">Proportion on income support for </w:t>
            </w:r>
            <w:r w:rsidR="005D668E">
              <w:rPr>
                <w:rFonts w:cs="Arial"/>
                <w:b w:val="0"/>
                <w:color w:val="auto"/>
              </w:rPr>
              <w:t>5</w:t>
            </w:r>
            <w:r w:rsidRPr="00635BAA">
              <w:rPr>
                <w:rFonts w:cs="Arial"/>
                <w:b w:val="0"/>
                <w:color w:val="auto"/>
              </w:rPr>
              <w:t xml:space="preserve"> or more years</w:t>
            </w:r>
          </w:p>
        </w:tc>
        <w:tc>
          <w:tcPr>
            <w:tcW w:w="2129" w:type="dxa"/>
            <w:tcBorders>
              <w:left w:val="single" w:sz="4" w:space="0" w:color="808080"/>
              <w:right w:val="single" w:sz="4" w:space="0" w:color="808080"/>
            </w:tcBorders>
            <w:shd w:val="clear" w:color="auto" w:fill="DF5454"/>
            <w:vAlign w:val="center"/>
          </w:tcPr>
          <w:p w14:paraId="38EA9D7F" w14:textId="77777777" w:rsidR="00D95E9A" w:rsidRPr="009028FC" w:rsidRDefault="00D95E9A">
            <w:pPr>
              <w:jc w:val="center"/>
              <w:cnfStyle w:val="000000100000" w:firstRow="0" w:lastRow="0" w:firstColumn="0" w:lastColumn="0" w:oddVBand="0" w:evenVBand="0" w:oddHBand="1" w:evenHBand="0" w:firstRowFirstColumn="0" w:firstRowLastColumn="0" w:lastRowFirstColumn="0" w:lastRowLastColumn="0"/>
              <w:rPr>
                <w:rFonts w:cs="Arial"/>
                <w:b/>
                <w:highlight w:val="yellow"/>
              </w:rPr>
            </w:pPr>
            <w:r w:rsidRPr="009028FC">
              <w:rPr>
                <w:rFonts w:cs="Arial"/>
                <w:b/>
              </w:rPr>
              <w:t>Red</w:t>
            </w:r>
          </w:p>
        </w:tc>
      </w:tr>
    </w:tbl>
    <w:p w14:paraId="2AFD1D15" w14:textId="77777777" w:rsidR="00D95E9A" w:rsidRPr="009C1FD1" w:rsidRDefault="00D95E9A" w:rsidP="004738BB">
      <w:pPr>
        <w:pStyle w:val="Heading4"/>
        <w:rPr>
          <w:color w:val="000000" w:themeColor="text1"/>
          <w:sz w:val="24"/>
        </w:rPr>
      </w:pPr>
      <w:r w:rsidRPr="009C1FD1">
        <w:t>Contributing indicators</w:t>
      </w:r>
    </w:p>
    <w:p w14:paraId="4B516B65" w14:textId="77777777" w:rsidR="00D95E9A" w:rsidRPr="007B049B" w:rsidRDefault="00D95E9A" w:rsidP="007B049B">
      <w:pPr>
        <w:pStyle w:val="Heading5"/>
      </w:pPr>
      <w:r w:rsidRPr="007B049B">
        <w:t>School attendance</w:t>
      </w:r>
    </w:p>
    <w:p w14:paraId="6DDCBA00" w14:textId="3DFF6E65" w:rsidR="00F1087A" w:rsidRPr="00322BE3" w:rsidRDefault="006470FB" w:rsidP="006470FB">
      <w:pPr>
        <w:pStyle w:val="Caption"/>
      </w:pPr>
      <w:r>
        <w:t xml:space="preserve">Table </w:t>
      </w:r>
      <w:r>
        <w:fldChar w:fldCharType="begin"/>
      </w:r>
      <w:r>
        <w:instrText xml:space="preserve"> SEQ Table \* ARABIC </w:instrText>
      </w:r>
      <w:r>
        <w:fldChar w:fldCharType="separate"/>
      </w:r>
      <w:r w:rsidR="00471863">
        <w:rPr>
          <w:noProof/>
        </w:rPr>
        <w:t>6</w:t>
      </w:r>
      <w:r>
        <w:fldChar w:fldCharType="end"/>
      </w:r>
      <w:r w:rsidR="00F1087A" w:rsidRPr="00322BE3">
        <w:rPr>
          <w:rFonts w:cs="Arial"/>
        </w:rPr>
        <w:t>:</w:t>
      </w:r>
      <w:r w:rsidR="005B470E" w:rsidRPr="00322BE3">
        <w:rPr>
          <w:rFonts w:cs="Arial"/>
        </w:rPr>
        <w:t xml:space="preserve"> School </w:t>
      </w:r>
      <w:r w:rsidR="0019798C">
        <w:rPr>
          <w:rFonts w:cs="Arial"/>
        </w:rPr>
        <w:t>non-</w:t>
      </w:r>
      <w:r w:rsidR="005B470E" w:rsidRPr="00322BE3">
        <w:rPr>
          <w:rFonts w:cs="Arial"/>
        </w:rPr>
        <w:t>attendance rate</w:t>
      </w:r>
      <w:r w:rsidR="00F80134" w:rsidRPr="00322BE3">
        <w:rPr>
          <w:rFonts w:cs="Arial"/>
        </w:rPr>
        <w:t>s</w:t>
      </w:r>
      <w:r w:rsidR="005B470E" w:rsidRPr="00322BE3">
        <w:rPr>
          <w:rFonts w:cs="Arial"/>
        </w:rPr>
        <w:t xml:space="preserve"> (Year</w:t>
      </w:r>
      <w:r w:rsidR="00C079BC">
        <w:rPr>
          <w:rFonts w:cs="Arial"/>
        </w:rPr>
        <w:t>s</w:t>
      </w:r>
      <w:r w:rsidR="005B470E" w:rsidRPr="00322BE3">
        <w:rPr>
          <w:rFonts w:cs="Arial"/>
        </w:rPr>
        <w:t xml:space="preserve"> 1 – 10)</w:t>
      </w:r>
      <w:r w:rsidR="0052300C" w:rsidRPr="00322BE3">
        <w:rPr>
          <w:rFonts w:cs="Arial"/>
        </w:rPr>
        <w:t xml:space="preserve"> (%)</w:t>
      </w:r>
    </w:p>
    <w:tbl>
      <w:tblPr>
        <w:tblStyle w:val="GridTable5Dark-Accent1"/>
        <w:tblW w:w="9067" w:type="dxa"/>
        <w:tblLook w:val="04A0" w:firstRow="1" w:lastRow="0" w:firstColumn="1" w:lastColumn="0" w:noHBand="0" w:noVBand="1"/>
      </w:tblPr>
      <w:tblGrid>
        <w:gridCol w:w="2236"/>
        <w:gridCol w:w="1189"/>
        <w:gridCol w:w="1189"/>
        <w:gridCol w:w="1783"/>
        <w:gridCol w:w="1030"/>
        <w:gridCol w:w="1640"/>
      </w:tblGrid>
      <w:tr w:rsidR="00D95E9A" w:rsidRPr="00CB0C7A" w14:paraId="610110E6" w14:textId="77777777" w:rsidTr="0024220E">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133" w:type="dxa"/>
            <w:tcBorders>
              <w:top w:val="single" w:sz="4" w:space="0" w:color="000000" w:themeColor="text1"/>
              <w:left w:val="single" w:sz="8" w:space="0" w:color="auto"/>
              <w:right w:val="single" w:sz="4" w:space="0" w:color="FFFFFF"/>
            </w:tcBorders>
            <w:shd w:val="clear" w:color="auto" w:fill="370663"/>
          </w:tcPr>
          <w:p w14:paraId="0D91E773" w14:textId="272118F5" w:rsidR="00D95E9A" w:rsidRPr="00CB0C7A" w:rsidRDefault="00D95E9A">
            <w:pPr>
              <w:rPr>
                <w:rFonts w:cs="Arial"/>
                <w:sz w:val="24"/>
                <w:szCs w:val="24"/>
              </w:rPr>
            </w:pPr>
          </w:p>
        </w:tc>
        <w:tc>
          <w:tcPr>
            <w:tcW w:w="1134" w:type="dxa"/>
            <w:tcBorders>
              <w:top w:val="single" w:sz="4" w:space="0" w:color="000000" w:themeColor="text1"/>
              <w:left w:val="single" w:sz="4" w:space="0" w:color="FFFFFF"/>
              <w:right w:val="single" w:sz="4" w:space="0" w:color="FFFFFF"/>
            </w:tcBorders>
            <w:shd w:val="clear" w:color="auto" w:fill="370663"/>
            <w:vAlign w:val="center"/>
          </w:tcPr>
          <w:p w14:paraId="3168CD84" w14:textId="77777777" w:rsidR="00D95E9A" w:rsidRPr="00CB0C7A" w:rsidRDefault="00D95E9A">
            <w:pPr>
              <w:jc w:val="center"/>
              <w:cnfStyle w:val="100000000000" w:firstRow="1" w:lastRow="0" w:firstColumn="0" w:lastColumn="0" w:oddVBand="0" w:evenVBand="0" w:oddHBand="0" w:evenHBand="0" w:firstRowFirstColumn="0" w:firstRowLastColumn="0" w:lastRowFirstColumn="0" w:lastRowLastColumn="0"/>
              <w:rPr>
                <w:rFonts w:cs="Arial"/>
                <w:sz w:val="20"/>
              </w:rPr>
            </w:pPr>
            <w:r w:rsidRPr="00C866C1">
              <w:rPr>
                <w:rFonts w:cs="Arial"/>
                <w:sz w:val="20"/>
              </w:rPr>
              <w:t>Current</w:t>
            </w:r>
            <w:r w:rsidRPr="00CB0C7A">
              <w:rPr>
                <w:rFonts w:cs="Arial"/>
                <w:sz w:val="20"/>
              </w:rPr>
              <w:t xml:space="preserve"> Rating</w:t>
            </w:r>
          </w:p>
        </w:tc>
        <w:tc>
          <w:tcPr>
            <w:tcW w:w="1134" w:type="dxa"/>
            <w:tcBorders>
              <w:top w:val="single" w:sz="4" w:space="0" w:color="000000" w:themeColor="text1"/>
              <w:left w:val="single" w:sz="4" w:space="0" w:color="FFFFFF"/>
              <w:right w:val="single" w:sz="4" w:space="0" w:color="FFFFFF"/>
            </w:tcBorders>
            <w:shd w:val="clear" w:color="auto" w:fill="370663"/>
            <w:vAlign w:val="center"/>
          </w:tcPr>
          <w:p w14:paraId="1CA11746" w14:textId="77777777" w:rsidR="00D95E9A" w:rsidRPr="00CB0C7A" w:rsidRDefault="00D95E9A">
            <w:pPr>
              <w:jc w:val="center"/>
              <w:cnfStyle w:val="100000000000" w:firstRow="1" w:lastRow="0" w:firstColumn="0" w:lastColumn="0" w:oddVBand="0" w:evenVBand="0" w:oddHBand="0" w:evenHBand="0" w:firstRowFirstColumn="0" w:firstRowLastColumn="0" w:lastRowFirstColumn="0" w:lastRowLastColumn="0"/>
              <w:rPr>
                <w:rFonts w:cs="Arial"/>
                <w:sz w:val="20"/>
              </w:rPr>
            </w:pPr>
            <w:r w:rsidRPr="00CB0C7A">
              <w:rPr>
                <w:rFonts w:cs="Arial"/>
                <w:sz w:val="20"/>
              </w:rPr>
              <w:t>Current rate in Regional Australia</w:t>
            </w:r>
          </w:p>
        </w:tc>
        <w:tc>
          <w:tcPr>
            <w:tcW w:w="1701" w:type="dxa"/>
            <w:tcBorders>
              <w:top w:val="single" w:sz="4" w:space="0" w:color="000000" w:themeColor="text1"/>
              <w:left w:val="single" w:sz="4" w:space="0" w:color="FFFFFF"/>
              <w:right w:val="single" w:sz="4" w:space="0" w:color="FFFFFF"/>
            </w:tcBorders>
            <w:shd w:val="clear" w:color="auto" w:fill="370663"/>
            <w:vAlign w:val="center"/>
          </w:tcPr>
          <w:p w14:paraId="6B06957E" w14:textId="77777777" w:rsidR="00D95E9A" w:rsidRPr="00CB0C7A" w:rsidRDefault="00D95E9A">
            <w:pPr>
              <w:jc w:val="center"/>
              <w:cnfStyle w:val="100000000000" w:firstRow="1" w:lastRow="0" w:firstColumn="0" w:lastColumn="0" w:oddVBand="0" w:evenVBand="0" w:oddHBand="0" w:evenHBand="0" w:firstRowFirstColumn="0" w:firstRowLastColumn="0" w:lastRowFirstColumn="0" w:lastRowLastColumn="0"/>
              <w:rPr>
                <w:rFonts w:cs="Arial"/>
                <w:sz w:val="20"/>
              </w:rPr>
            </w:pPr>
            <w:r w:rsidRPr="00CB0C7A">
              <w:rPr>
                <w:rFonts w:cs="Arial"/>
                <w:sz w:val="20"/>
              </w:rPr>
              <w:t>Current Trend</w:t>
            </w:r>
          </w:p>
        </w:tc>
        <w:tc>
          <w:tcPr>
            <w:tcW w:w="983" w:type="dxa"/>
            <w:tcBorders>
              <w:top w:val="single" w:sz="4" w:space="0" w:color="000000" w:themeColor="text1"/>
              <w:left w:val="single" w:sz="4" w:space="0" w:color="FFFFFF"/>
              <w:right w:val="single" w:sz="4" w:space="0" w:color="FFFFFF"/>
            </w:tcBorders>
            <w:shd w:val="clear" w:color="auto" w:fill="370663"/>
            <w:vAlign w:val="center"/>
          </w:tcPr>
          <w:p w14:paraId="76A20465" w14:textId="77777777" w:rsidR="00D95E9A" w:rsidRPr="00CB0C7A" w:rsidRDefault="00D95E9A">
            <w:pPr>
              <w:jc w:val="center"/>
              <w:cnfStyle w:val="100000000000" w:firstRow="1" w:lastRow="0" w:firstColumn="0" w:lastColumn="0" w:oddVBand="0" w:evenVBand="0" w:oddHBand="0" w:evenHBand="0" w:firstRowFirstColumn="0" w:firstRowLastColumn="0" w:lastRowFirstColumn="0" w:lastRowLastColumn="0"/>
              <w:rPr>
                <w:rFonts w:cs="Arial"/>
                <w:sz w:val="20"/>
              </w:rPr>
            </w:pPr>
            <w:r w:rsidRPr="00CB0C7A">
              <w:rPr>
                <w:rFonts w:cs="Arial"/>
                <w:sz w:val="20"/>
              </w:rPr>
              <w:t>Best on record</w:t>
            </w:r>
          </w:p>
        </w:tc>
        <w:tc>
          <w:tcPr>
            <w:tcW w:w="1565" w:type="dxa"/>
            <w:tcBorders>
              <w:top w:val="single" w:sz="4" w:space="0" w:color="000000" w:themeColor="text1"/>
              <w:left w:val="single" w:sz="4" w:space="0" w:color="FFFFFF"/>
              <w:right w:val="single" w:sz="4" w:space="0" w:color="000000" w:themeColor="text1"/>
            </w:tcBorders>
            <w:shd w:val="clear" w:color="auto" w:fill="370663"/>
            <w:vAlign w:val="center"/>
          </w:tcPr>
          <w:p w14:paraId="408FA02F" w14:textId="1F5605E7" w:rsidR="00D95E9A" w:rsidRPr="00CB0C7A" w:rsidRDefault="00D95E9A">
            <w:pPr>
              <w:jc w:val="center"/>
              <w:cnfStyle w:val="100000000000" w:firstRow="1" w:lastRow="0" w:firstColumn="0" w:lastColumn="0" w:oddVBand="0" w:evenVBand="0" w:oddHBand="0" w:evenHBand="0" w:firstRowFirstColumn="0" w:firstRowLastColumn="0" w:lastRowFirstColumn="0" w:lastRowLastColumn="0"/>
              <w:rPr>
                <w:rFonts w:cs="Arial"/>
                <w:sz w:val="20"/>
              </w:rPr>
            </w:pPr>
            <w:r w:rsidRPr="00CB0C7A">
              <w:rPr>
                <w:rFonts w:cs="Arial"/>
                <w:sz w:val="20"/>
              </w:rPr>
              <w:t xml:space="preserve">Gap to </w:t>
            </w:r>
            <w:r w:rsidR="003A7518">
              <w:rPr>
                <w:rFonts w:cs="Arial"/>
                <w:sz w:val="20"/>
              </w:rPr>
              <w:t>the Major Cities</w:t>
            </w:r>
          </w:p>
        </w:tc>
      </w:tr>
      <w:tr w:rsidR="009F71D8" w:rsidRPr="00CB0C7A" w14:paraId="70F1CD78" w14:textId="77777777" w:rsidTr="009E0E36">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2133" w:type="dxa"/>
            <w:tcBorders>
              <w:left w:val="single" w:sz="4" w:space="0" w:color="000000" w:themeColor="text1"/>
              <w:bottom w:val="single" w:sz="4" w:space="0" w:color="000000" w:themeColor="text1"/>
            </w:tcBorders>
            <w:shd w:val="clear" w:color="auto" w:fill="E0D1F5"/>
            <w:vAlign w:val="center"/>
          </w:tcPr>
          <w:p w14:paraId="00F241FE" w14:textId="649AC1E1" w:rsidR="00D95E9A" w:rsidRPr="00384E66" w:rsidRDefault="00D95E9A">
            <w:pPr>
              <w:rPr>
                <w:rFonts w:cs="Arial"/>
                <w:b w:val="0"/>
              </w:rPr>
            </w:pPr>
            <w:r w:rsidRPr="00384E66">
              <w:rPr>
                <w:rFonts w:cs="Arial"/>
                <w:b w:val="0"/>
                <w:color w:val="auto"/>
              </w:rPr>
              <w:t xml:space="preserve">School </w:t>
            </w:r>
            <w:r w:rsidR="00F13B42" w:rsidRPr="00384E66">
              <w:rPr>
                <w:rFonts w:cs="Arial"/>
                <w:b w:val="0"/>
                <w:color w:val="auto"/>
              </w:rPr>
              <w:t>non-</w:t>
            </w:r>
            <w:r w:rsidRPr="00384E66">
              <w:rPr>
                <w:rFonts w:cs="Arial"/>
                <w:b w:val="0"/>
                <w:color w:val="auto"/>
              </w:rPr>
              <w:t>attendance rate (%)</w:t>
            </w:r>
          </w:p>
        </w:tc>
        <w:tc>
          <w:tcPr>
            <w:tcW w:w="1134" w:type="dxa"/>
            <w:tcBorders>
              <w:bottom w:val="single" w:sz="4" w:space="0" w:color="370663"/>
            </w:tcBorders>
            <w:shd w:val="clear" w:color="auto" w:fill="DF5454"/>
            <w:vAlign w:val="center"/>
          </w:tcPr>
          <w:p w14:paraId="68DA591B" w14:textId="77777777" w:rsidR="00D95E9A" w:rsidRPr="009028FC" w:rsidRDefault="00D95E9A">
            <w:pPr>
              <w:jc w:val="center"/>
              <w:cnfStyle w:val="000000100000" w:firstRow="0" w:lastRow="0" w:firstColumn="0" w:lastColumn="0" w:oddVBand="0" w:evenVBand="0" w:oddHBand="1" w:evenHBand="0" w:firstRowFirstColumn="0" w:firstRowLastColumn="0" w:lastRowFirstColumn="0" w:lastRowLastColumn="0"/>
              <w:rPr>
                <w:rFonts w:cs="Arial"/>
              </w:rPr>
            </w:pPr>
            <w:r w:rsidRPr="009028FC">
              <w:rPr>
                <w:rFonts w:cs="Arial"/>
              </w:rPr>
              <w:t>Red</w:t>
            </w:r>
          </w:p>
        </w:tc>
        <w:tc>
          <w:tcPr>
            <w:tcW w:w="1134" w:type="dxa"/>
            <w:tcBorders>
              <w:bottom w:val="single" w:sz="4" w:space="0" w:color="000000" w:themeColor="text1"/>
            </w:tcBorders>
            <w:shd w:val="clear" w:color="auto" w:fill="DF5454"/>
            <w:vAlign w:val="center"/>
          </w:tcPr>
          <w:p w14:paraId="1B99449E" w14:textId="291F8D40" w:rsidR="00D95E9A" w:rsidRPr="009028FC" w:rsidRDefault="00847EE1">
            <w:pPr>
              <w:jc w:val="center"/>
              <w:cnfStyle w:val="000000100000" w:firstRow="0" w:lastRow="0" w:firstColumn="0" w:lastColumn="0" w:oddVBand="0" w:evenVBand="0" w:oddHBand="1" w:evenHBand="0" w:firstRowFirstColumn="0" w:firstRowLastColumn="0" w:lastRowFirstColumn="0" w:lastRowLastColumn="0"/>
              <w:rPr>
                <w:rFonts w:cs="Arial"/>
              </w:rPr>
            </w:pPr>
            <w:r w:rsidRPr="009028FC">
              <w:rPr>
                <w:rFonts w:cs="Arial"/>
              </w:rPr>
              <w:t>14</w:t>
            </w:r>
            <w:r w:rsidR="002117F0" w:rsidRPr="009028FC">
              <w:rPr>
                <w:rFonts w:cs="Arial"/>
              </w:rPr>
              <w:t>.6</w:t>
            </w:r>
            <w:r w:rsidR="00D95E9A" w:rsidRPr="009028FC">
              <w:rPr>
                <w:rFonts w:cs="Arial"/>
              </w:rPr>
              <w:t>%</w:t>
            </w:r>
          </w:p>
        </w:tc>
        <w:tc>
          <w:tcPr>
            <w:tcW w:w="1701" w:type="dxa"/>
            <w:tcBorders>
              <w:bottom w:val="single" w:sz="4" w:space="0" w:color="000000" w:themeColor="text1"/>
              <w:right w:val="single" w:sz="4" w:space="0" w:color="A6A6A6"/>
            </w:tcBorders>
            <w:shd w:val="clear" w:color="auto" w:fill="F2F2F2" w:themeFill="background1" w:themeFillShade="F2"/>
            <w:vAlign w:val="center"/>
          </w:tcPr>
          <w:p w14:paraId="61EA1E3D" w14:textId="067D5978" w:rsidR="00D95E9A" w:rsidRPr="009028FC" w:rsidRDefault="0059129E">
            <w:pPr>
              <w:jc w:val="center"/>
              <w:cnfStyle w:val="000000100000" w:firstRow="0" w:lastRow="0" w:firstColumn="0" w:lastColumn="0" w:oddVBand="0" w:evenVBand="0" w:oddHBand="1" w:evenHBand="0" w:firstRowFirstColumn="0" w:firstRowLastColumn="0" w:lastRowFirstColumn="0" w:lastRowLastColumn="0"/>
              <w:rPr>
                <w:rFonts w:cs="Arial"/>
                <w:b/>
                <w:bCs/>
              </w:rPr>
            </w:pPr>
            <w:r w:rsidRPr="009028FC">
              <w:rPr>
                <w:rFonts w:cs="Arial"/>
                <w:b/>
                <w:bCs/>
              </w:rPr>
              <w:t>Weakening</w:t>
            </w:r>
          </w:p>
        </w:tc>
        <w:tc>
          <w:tcPr>
            <w:tcW w:w="983" w:type="dxa"/>
            <w:tcBorders>
              <w:left w:val="single" w:sz="4" w:space="0" w:color="A6A6A6"/>
              <w:bottom w:val="single" w:sz="4" w:space="0" w:color="000000" w:themeColor="text1"/>
              <w:right w:val="single" w:sz="4" w:space="0" w:color="A6A6A6"/>
            </w:tcBorders>
            <w:shd w:val="clear" w:color="auto" w:fill="F2F2F2" w:themeFill="background1" w:themeFillShade="F2"/>
            <w:vAlign w:val="center"/>
          </w:tcPr>
          <w:p w14:paraId="4C83BF36" w14:textId="77777777" w:rsidR="00D95E9A" w:rsidRPr="009028FC" w:rsidRDefault="003D40F9">
            <w:pPr>
              <w:jc w:val="center"/>
              <w:cnfStyle w:val="000000100000" w:firstRow="0" w:lastRow="0" w:firstColumn="0" w:lastColumn="0" w:oddVBand="0" w:evenVBand="0" w:oddHBand="1" w:evenHBand="0" w:firstRowFirstColumn="0" w:firstRowLastColumn="0" w:lastRowFirstColumn="0" w:lastRowLastColumn="0"/>
              <w:rPr>
                <w:rFonts w:cs="Arial"/>
              </w:rPr>
            </w:pPr>
            <w:r w:rsidRPr="009028FC">
              <w:rPr>
                <w:rFonts w:cs="Arial"/>
              </w:rPr>
              <w:t>9</w:t>
            </w:r>
            <w:r w:rsidR="00D95E9A" w:rsidRPr="009028FC">
              <w:rPr>
                <w:rFonts w:cs="Arial"/>
              </w:rPr>
              <w:t>%</w:t>
            </w:r>
          </w:p>
          <w:p w14:paraId="6D96F6E1" w14:textId="7AF31101" w:rsidR="00405FD4" w:rsidRPr="009028FC" w:rsidRDefault="00405FD4">
            <w:pPr>
              <w:jc w:val="center"/>
              <w:cnfStyle w:val="000000100000" w:firstRow="0" w:lastRow="0" w:firstColumn="0" w:lastColumn="0" w:oddVBand="0" w:evenVBand="0" w:oddHBand="1" w:evenHBand="0" w:firstRowFirstColumn="0" w:firstRowLastColumn="0" w:lastRowFirstColumn="0" w:lastRowLastColumn="0"/>
              <w:rPr>
                <w:rFonts w:cs="Arial"/>
              </w:rPr>
            </w:pPr>
            <w:r w:rsidRPr="009028FC">
              <w:rPr>
                <w:rFonts w:cs="Arial"/>
                <w:sz w:val="18"/>
                <w:szCs w:val="18"/>
              </w:rPr>
              <w:t>(</w:t>
            </w:r>
            <w:r w:rsidR="00224D24" w:rsidRPr="009028FC">
              <w:rPr>
                <w:rFonts w:cs="Arial"/>
                <w:sz w:val="18"/>
                <w:szCs w:val="18"/>
              </w:rPr>
              <w:t>2014</w:t>
            </w:r>
            <w:r w:rsidRPr="009028FC">
              <w:rPr>
                <w:rFonts w:cs="Arial"/>
                <w:sz w:val="18"/>
                <w:szCs w:val="18"/>
              </w:rPr>
              <w:t>)</w:t>
            </w:r>
          </w:p>
        </w:tc>
        <w:tc>
          <w:tcPr>
            <w:tcW w:w="1565" w:type="dxa"/>
            <w:tcBorders>
              <w:left w:val="single" w:sz="4" w:space="0" w:color="A6A6A6"/>
              <w:bottom w:val="single" w:sz="4" w:space="0" w:color="370663"/>
              <w:right w:val="single" w:sz="4" w:space="0" w:color="000000" w:themeColor="text1"/>
            </w:tcBorders>
            <w:shd w:val="clear" w:color="auto" w:fill="DF5454"/>
            <w:vAlign w:val="center"/>
          </w:tcPr>
          <w:p w14:paraId="538A0515" w14:textId="704BEBC9" w:rsidR="00D95E9A" w:rsidRPr="009028FC" w:rsidRDefault="003D40F9">
            <w:pPr>
              <w:jc w:val="center"/>
              <w:cnfStyle w:val="000000100000" w:firstRow="0" w:lastRow="0" w:firstColumn="0" w:lastColumn="0" w:oddVBand="0" w:evenVBand="0" w:oddHBand="1" w:evenHBand="0" w:firstRowFirstColumn="0" w:firstRowLastColumn="0" w:lastRowFirstColumn="0" w:lastRowLastColumn="0"/>
              <w:rPr>
                <w:rFonts w:cs="Arial"/>
              </w:rPr>
            </w:pPr>
            <w:r w:rsidRPr="009028FC">
              <w:rPr>
                <w:rFonts w:cs="Arial"/>
              </w:rPr>
              <w:t>+</w:t>
            </w:r>
            <w:r w:rsidR="00EC6CE1" w:rsidRPr="009028FC">
              <w:rPr>
                <w:rFonts w:cs="Arial"/>
              </w:rPr>
              <w:t>4</w:t>
            </w:r>
            <w:r w:rsidR="004029A1" w:rsidRPr="009028FC">
              <w:rPr>
                <w:rFonts w:cs="Arial"/>
              </w:rPr>
              <w:t>.1</w:t>
            </w:r>
            <w:r w:rsidR="00D95E9A" w:rsidRPr="009028FC">
              <w:rPr>
                <w:rFonts w:cs="Arial"/>
              </w:rPr>
              <w:t>% pts</w:t>
            </w:r>
          </w:p>
        </w:tc>
      </w:tr>
    </w:tbl>
    <w:p w14:paraId="07646271" w14:textId="6E1384FE" w:rsidR="00D95E9A" w:rsidRPr="00CC39B8" w:rsidRDefault="00D95E9A" w:rsidP="00D95E9A">
      <w:pPr>
        <w:spacing w:after="240" w:line="259" w:lineRule="auto"/>
        <w:rPr>
          <w:rFonts w:cs="Arial"/>
          <w:sz w:val="18"/>
          <w:szCs w:val="16"/>
        </w:rPr>
      </w:pPr>
      <w:r w:rsidRPr="0024220E">
        <w:rPr>
          <w:rFonts w:cs="Arial"/>
          <w:b/>
          <w:i/>
          <w:sz w:val="18"/>
          <w:szCs w:val="16"/>
        </w:rPr>
        <w:t>Source:</w:t>
      </w:r>
      <w:r w:rsidRPr="00CC39B8">
        <w:rPr>
          <w:rFonts w:cs="Arial"/>
          <w:i/>
          <w:iCs/>
          <w:sz w:val="18"/>
          <w:szCs w:val="16"/>
        </w:rPr>
        <w:t xml:space="preserve"> Australia Curriculum Assessment and Reporting Authority (ACARA), School Attendance, unpublished data.</w:t>
      </w:r>
    </w:p>
    <w:p w14:paraId="3121479E" w14:textId="23B360B9" w:rsidR="00D95E9A" w:rsidRDefault="00D95E9A" w:rsidP="00E65349">
      <w:pPr>
        <w:pStyle w:val="BodyText"/>
      </w:pPr>
      <w:r w:rsidRPr="00CB0C7A">
        <w:t>School attendance</w:t>
      </w:r>
      <w:r w:rsidRPr="00CB0C7A">
        <w:rPr>
          <w:rStyle w:val="FootnoteReference"/>
          <w:rFonts w:eastAsia="Times New Roman" w:cs="Arial"/>
          <w:bCs/>
        </w:rPr>
        <w:footnoteReference w:id="18"/>
      </w:r>
      <w:r w:rsidRPr="00CB0C7A">
        <w:t xml:space="preserve"> has significant and long-lasting social and economic impacts on both future educational and labour market outcomes. Attendance at school </w:t>
      </w:r>
      <w:r w:rsidR="002126FF">
        <w:t>provides</w:t>
      </w:r>
      <w:r w:rsidRPr="00CB0C7A">
        <w:t xml:space="preserve"> children </w:t>
      </w:r>
      <w:r w:rsidR="002126FF">
        <w:t xml:space="preserve">with </w:t>
      </w:r>
      <w:r w:rsidRPr="00CB0C7A">
        <w:t>opportunities to develop basic blocks for learning and educational attainment as well as social and emotional skills such as communication, resilience and teamwork</w:t>
      </w:r>
      <w:r w:rsidR="00892D42">
        <w:rPr>
          <w:rStyle w:val="FootnoteReference"/>
          <w:rFonts w:eastAsia="Times New Roman" w:cs="Arial"/>
          <w:bCs/>
        </w:rPr>
        <w:footnoteReference w:id="19"/>
      </w:r>
      <w:r w:rsidR="00851B9E">
        <w:t>.</w:t>
      </w:r>
      <w:r w:rsidRPr="00CB0C7A">
        <w:t xml:space="preserve"> </w:t>
      </w:r>
      <w:r w:rsidR="00C46825">
        <w:t>Such key foundation skills are critical for future engagement in education and employment</w:t>
      </w:r>
      <w:r w:rsidR="00835D48">
        <w:t xml:space="preserve">, and is thus </w:t>
      </w:r>
      <w:r w:rsidR="00835D48">
        <w:lastRenderedPageBreak/>
        <w:t>a key measure in assessing the likelihood of foundation skills being developed by youth in their early years</w:t>
      </w:r>
      <w:r w:rsidR="00C46825">
        <w:t>.</w:t>
      </w:r>
    </w:p>
    <w:tbl>
      <w:tblPr>
        <w:tblStyle w:val="CustomTablepulloutbox2"/>
        <w:tblW w:w="0" w:type="auto"/>
        <w:tblLook w:val="04A0" w:firstRow="1" w:lastRow="0" w:firstColumn="1" w:lastColumn="0" w:noHBand="0" w:noVBand="1"/>
      </w:tblPr>
      <w:tblGrid>
        <w:gridCol w:w="8997"/>
      </w:tblGrid>
      <w:tr w:rsidR="00785DD0" w14:paraId="2AF1EEC9" w14:textId="77777777">
        <w:tc>
          <w:tcPr>
            <w:tcW w:w="8997" w:type="dxa"/>
          </w:tcPr>
          <w:p w14:paraId="1EE240D5" w14:textId="77777777" w:rsidR="00785DD0" w:rsidRPr="00D376D8" w:rsidRDefault="00785DD0" w:rsidP="00D376D8">
            <w:pPr>
              <w:pStyle w:val="BoxHeading"/>
              <w:jc w:val="center"/>
              <w:rPr>
                <w:sz w:val="24"/>
                <w:szCs w:val="24"/>
              </w:rPr>
            </w:pPr>
            <w:r w:rsidRPr="00D376D8">
              <w:rPr>
                <w:sz w:val="24"/>
                <w:szCs w:val="24"/>
              </w:rPr>
              <w:t>Stakeholder insight</w:t>
            </w:r>
          </w:p>
          <w:p w14:paraId="13E69F02" w14:textId="73D6FB61" w:rsidR="00785DD0" w:rsidRPr="001F263A" w:rsidRDefault="00306785" w:rsidP="00785DD0">
            <w:pPr>
              <w:jc w:val="center"/>
              <w:rPr>
                <w:rFonts w:cs="Arial"/>
                <w:i/>
                <w:iCs/>
              </w:rPr>
            </w:pPr>
            <w:r>
              <w:rPr>
                <w:rFonts w:cs="Arial"/>
                <w:i/>
                <w:iCs/>
              </w:rPr>
              <w:t>‘</w:t>
            </w:r>
            <w:r w:rsidR="00785DD0" w:rsidRPr="00644FC0">
              <w:rPr>
                <w:rFonts w:cs="Arial"/>
                <w:i/>
                <w:iCs/>
              </w:rPr>
              <w:t>Language, literacy and numeracy is a significant barrier in Regional Australia. An intergenerational divide has emerged in Regional Australia leaving some disadvantaged cohorts without the foundational skills required to participate in training, education or employment opportunities. Unless addressed as a key priority, this divide will only worsen.</w:t>
            </w:r>
            <w:r>
              <w:rPr>
                <w:rFonts w:cs="Arial"/>
                <w:i/>
                <w:iCs/>
              </w:rPr>
              <w:t>’</w:t>
            </w:r>
          </w:p>
          <w:p w14:paraId="74BF39A6" w14:textId="76979FBF" w:rsidR="00D376D8" w:rsidRPr="00D376D8" w:rsidRDefault="00DB3473" w:rsidP="00D376D8">
            <w:pPr>
              <w:pStyle w:val="BodyText"/>
              <w:jc w:val="center"/>
              <w:rPr>
                <w:sz w:val="24"/>
                <w:szCs w:val="24"/>
              </w:rPr>
            </w:pPr>
            <w:r w:rsidRPr="00D376D8">
              <w:rPr>
                <w:b/>
                <w:sz w:val="24"/>
                <w:szCs w:val="24"/>
              </w:rPr>
              <w:t>Lynette Ross</w:t>
            </w:r>
          </w:p>
          <w:p w14:paraId="2E08A608" w14:textId="77777777" w:rsidR="00F0669F" w:rsidRDefault="00DB3473" w:rsidP="00D376D8">
            <w:pPr>
              <w:pStyle w:val="BodyText"/>
              <w:jc w:val="center"/>
              <w:rPr>
                <w:lang w:val="en-AU"/>
              </w:rPr>
            </w:pPr>
            <w:r>
              <w:rPr>
                <w:lang w:val="en-AU"/>
              </w:rPr>
              <w:t>Director</w:t>
            </w:r>
            <w:r w:rsidR="00D376D8">
              <w:rPr>
                <w:lang w:val="en-AU"/>
              </w:rPr>
              <w:t xml:space="preserve"> </w:t>
            </w:r>
          </w:p>
          <w:p w14:paraId="254D8B9E" w14:textId="6F2156E5" w:rsidR="00785DD0" w:rsidRPr="00CC191D" w:rsidRDefault="00DB3473" w:rsidP="00D376D8">
            <w:pPr>
              <w:pStyle w:val="BodyText"/>
              <w:jc w:val="center"/>
            </w:pPr>
            <w:r>
              <w:rPr>
                <w:lang w:val="en-AU"/>
              </w:rPr>
              <w:t xml:space="preserve">Central Australia and Regional Development, </w:t>
            </w:r>
            <w:r w:rsidR="00F37418">
              <w:rPr>
                <w:lang w:val="en-AU"/>
              </w:rPr>
              <w:t>Batchelor Institut</w:t>
            </w:r>
            <w:r w:rsidR="00F37418">
              <w:t xml:space="preserve">e and </w:t>
            </w:r>
            <w:r w:rsidR="00D376D8">
              <w:rPr>
                <w:lang w:val="en-AU"/>
              </w:rPr>
              <w:t>Jobs and Skills Australia</w:t>
            </w:r>
            <w:r w:rsidR="00F37418">
              <w:rPr>
                <w:lang w:val="en-AU"/>
              </w:rPr>
              <w:t xml:space="preserve"> </w:t>
            </w:r>
            <w:r w:rsidR="00671DB7">
              <w:rPr>
                <w:lang w:val="en-AU"/>
              </w:rPr>
              <w:t>(JSA)</w:t>
            </w:r>
            <w:r w:rsidR="00F37418">
              <w:rPr>
                <w:lang w:val="en-AU"/>
              </w:rPr>
              <w:t xml:space="preserve"> Regional Advisory Group member</w:t>
            </w:r>
          </w:p>
        </w:tc>
      </w:tr>
    </w:tbl>
    <w:p w14:paraId="064C02F7" w14:textId="77777777" w:rsidR="00785DD0" w:rsidRDefault="00785DD0" w:rsidP="00EC328B">
      <w:pPr>
        <w:rPr>
          <w:sz w:val="20"/>
          <w:szCs w:val="20"/>
        </w:rPr>
      </w:pPr>
    </w:p>
    <w:p w14:paraId="64C54593" w14:textId="6C1CAF0E" w:rsidR="00D95E9A" w:rsidRPr="00CB0C7A" w:rsidRDefault="002126FF" w:rsidP="00E65349">
      <w:pPr>
        <w:pStyle w:val="BodyText"/>
      </w:pPr>
      <w:r>
        <w:t>Schooling</w:t>
      </w:r>
      <w:r w:rsidR="00D95E9A" w:rsidRPr="00CB0C7A">
        <w:t xml:space="preserve"> can help children develop routines</w:t>
      </w:r>
      <w:r w:rsidR="000C71E1">
        <w:t>, understand structures,</w:t>
      </w:r>
      <w:r w:rsidR="00D95E9A" w:rsidRPr="00CB0C7A">
        <w:t xml:space="preserve"> take on responsibilities and reduce feelings of isolation. There are </w:t>
      </w:r>
      <w:r>
        <w:t xml:space="preserve">also </w:t>
      </w:r>
      <w:r w:rsidR="00D95E9A" w:rsidRPr="00CB0C7A">
        <w:t xml:space="preserve">broader impacts on the community from school attendance, with children attending school allowing for parents and caregivers to participate in the labour market. </w:t>
      </w:r>
      <w:r w:rsidR="000C71E1">
        <w:t>Lifting</w:t>
      </w:r>
      <w:r w:rsidR="00D95E9A" w:rsidRPr="00CB0C7A">
        <w:t xml:space="preserve"> school attendance is essential for improving future educational and labour market outcomes.  </w:t>
      </w:r>
    </w:p>
    <w:p w14:paraId="0DB4F6A3" w14:textId="77777777" w:rsidR="00855780" w:rsidRDefault="003D40F9" w:rsidP="00E65349">
      <w:pPr>
        <w:pStyle w:val="BodyText"/>
      </w:pPr>
      <w:r>
        <w:t>Non-</w:t>
      </w:r>
      <w:r w:rsidR="00D95E9A" w:rsidRPr="00CB0C7A">
        <w:t xml:space="preserve">attendance rates in Regional Australia have consistently </w:t>
      </w:r>
      <w:r>
        <w:t>been higher than</w:t>
      </w:r>
      <w:r w:rsidR="00D95E9A" w:rsidRPr="00CB0C7A">
        <w:t xml:space="preserve"> the rates recorded in Major Cities</w:t>
      </w:r>
      <w:r w:rsidR="009C64DE">
        <w:t>. This</w:t>
      </w:r>
      <w:r w:rsidR="00D95E9A" w:rsidRPr="00CB0C7A">
        <w:t xml:space="preserve"> gap has </w:t>
      </w:r>
      <w:r w:rsidR="005E11EB">
        <w:t>widened in recent years</w:t>
      </w:r>
      <w:r w:rsidR="00D95E9A" w:rsidRPr="00CB0C7A">
        <w:t xml:space="preserve"> with Regional Australia falling further behind its Major Cit</w:t>
      </w:r>
      <w:r w:rsidR="006D6811">
        <w:t>ies</w:t>
      </w:r>
      <w:r w:rsidR="00D95E9A" w:rsidRPr="00CB0C7A">
        <w:t xml:space="preserve"> counterpart. </w:t>
      </w:r>
      <w:r w:rsidR="00D95E9A" w:rsidRPr="00D40018">
        <w:t xml:space="preserve">In the years prior to COVID-19, Year 1-10 attendance rates had been declining slightly in both Regional Australia and Major Cities. Between 2019 and 2022, attendance rates across Australia were heavily impacted by COVID-19 and the disruption that </w:t>
      </w:r>
      <w:r w:rsidR="00D550EC">
        <w:t xml:space="preserve">the associated </w:t>
      </w:r>
      <w:r w:rsidR="00D95E9A" w:rsidRPr="00D40018">
        <w:t xml:space="preserve">lockdowns caused to schooling over this period. </w:t>
      </w:r>
    </w:p>
    <w:p w14:paraId="483D7BBA" w14:textId="42F009CE" w:rsidR="00A8028A" w:rsidRDefault="00D95E9A" w:rsidP="00E65349">
      <w:pPr>
        <w:pStyle w:val="BodyText"/>
      </w:pPr>
      <w:r w:rsidRPr="00CB0C7A">
        <w:t xml:space="preserve">While there has been some recovery post COVID, </w:t>
      </w:r>
      <w:r w:rsidR="003D40F9">
        <w:t>non-</w:t>
      </w:r>
      <w:r w:rsidRPr="00CB0C7A">
        <w:t>attendance rates in Regional Australia (</w:t>
      </w:r>
      <w:r w:rsidR="003D40F9">
        <w:t>1</w:t>
      </w:r>
      <w:r w:rsidR="001160C7">
        <w:t>4.6</w:t>
      </w:r>
      <w:r w:rsidRPr="00CB0C7A">
        <w:t xml:space="preserve">% in 2024), remain well </w:t>
      </w:r>
      <w:r w:rsidR="003D40F9">
        <w:t>above</w:t>
      </w:r>
      <w:r w:rsidRPr="00CB0C7A">
        <w:t xml:space="preserve"> their pre-COVID levels (</w:t>
      </w:r>
      <w:r w:rsidR="00CC4894">
        <w:t>1</w:t>
      </w:r>
      <w:r w:rsidR="00173F2F">
        <w:t>0.6</w:t>
      </w:r>
      <w:r w:rsidRPr="00CB0C7A">
        <w:t>% in 2019).</w:t>
      </w:r>
      <w:r w:rsidR="00323B6B">
        <w:t xml:space="preserve"> </w:t>
      </w:r>
      <w:r w:rsidR="00C23105">
        <w:t xml:space="preserve">This may reflect </w:t>
      </w:r>
      <w:r w:rsidR="003C606A">
        <w:t xml:space="preserve">the incidence of key </w:t>
      </w:r>
      <w:r w:rsidR="008245CA">
        <w:t xml:space="preserve">emerging barriers </w:t>
      </w:r>
      <w:r w:rsidR="00302472">
        <w:t xml:space="preserve">due to the </w:t>
      </w:r>
      <w:r w:rsidR="002B64C4">
        <w:t xml:space="preserve">disruptions to schooling caused by COVID (as well as other factors in those years, such as natural disasters in certain regions) </w:t>
      </w:r>
      <w:r w:rsidR="00395836">
        <w:t>that are now hindering participation in school more than in previous years</w:t>
      </w:r>
      <w:r w:rsidR="009F0DC2">
        <w:t xml:space="preserve">, particularly for </w:t>
      </w:r>
      <w:r w:rsidR="009921C8">
        <w:t xml:space="preserve">priority equity groups. </w:t>
      </w:r>
      <w:r w:rsidR="00891FD4">
        <w:t>T</w:t>
      </w:r>
      <w:r w:rsidR="00A8028A">
        <w:t xml:space="preserve">he </w:t>
      </w:r>
      <w:r w:rsidR="00040ED0">
        <w:t>barriers</w:t>
      </w:r>
      <w:r w:rsidR="00A8028A">
        <w:t xml:space="preserve"> for student absence from school are </w:t>
      </w:r>
      <w:r w:rsidR="007C7A44">
        <w:t>often complex, interrelated and often specific to the student, family</w:t>
      </w:r>
      <w:r w:rsidR="00AF3679">
        <w:t>, school and community involved</w:t>
      </w:r>
      <w:r w:rsidR="00891FD4">
        <w:t>.</w:t>
      </w:r>
    </w:p>
    <w:p w14:paraId="6355EE21" w14:textId="77777777" w:rsidR="00A8028A" w:rsidRDefault="00A8028A" w:rsidP="00E65349">
      <w:pPr>
        <w:pStyle w:val="BodyText"/>
      </w:pPr>
    </w:p>
    <w:p w14:paraId="798EF106" w14:textId="7B7D494E" w:rsidR="005B61AC" w:rsidRDefault="00596657" w:rsidP="00596657">
      <w:pPr>
        <w:pStyle w:val="Caption"/>
        <w:rPr>
          <w:rFonts w:eastAsia="Times New Roman" w:cs="Arial"/>
          <w:b w:val="0"/>
        </w:rPr>
      </w:pPr>
      <w:bookmarkStart w:id="100" w:name="_Toc201916579"/>
      <w:r>
        <w:lastRenderedPageBreak/>
        <w:t xml:space="preserve">Figure </w:t>
      </w:r>
      <w:r>
        <w:fldChar w:fldCharType="begin"/>
      </w:r>
      <w:r>
        <w:instrText xml:space="preserve"> SEQ Figure \* ARABIC </w:instrText>
      </w:r>
      <w:r>
        <w:fldChar w:fldCharType="separate"/>
      </w:r>
      <w:r w:rsidR="00471863">
        <w:rPr>
          <w:noProof/>
        </w:rPr>
        <w:t>13</w:t>
      </w:r>
      <w:r>
        <w:fldChar w:fldCharType="end"/>
      </w:r>
      <w:r w:rsidR="00AD3959">
        <w:t>:</w:t>
      </w:r>
      <w:r w:rsidR="00D95E9A">
        <w:t xml:space="preserve"> </w:t>
      </w:r>
      <w:r w:rsidR="00683872">
        <w:t>S</w:t>
      </w:r>
      <w:r w:rsidR="002368C1">
        <w:t>chool s</w:t>
      </w:r>
      <w:r w:rsidR="00683872">
        <w:t>tudent</w:t>
      </w:r>
      <w:r w:rsidR="00F80134" w:rsidRPr="00A46A99">
        <w:t xml:space="preserve"> </w:t>
      </w:r>
      <w:r w:rsidR="007429D4">
        <w:t>non-</w:t>
      </w:r>
      <w:r w:rsidR="00D95E9A" w:rsidRPr="00A46A99">
        <w:t>attendance rate</w:t>
      </w:r>
      <w:r w:rsidR="00F80134" w:rsidRPr="00A46A99">
        <w:t>s</w:t>
      </w:r>
      <w:r w:rsidR="00D95E9A" w:rsidRPr="00A46A99">
        <w:t>, by Regional Australia</w:t>
      </w:r>
      <w:r w:rsidR="0052300C" w:rsidRPr="00A46A99">
        <w:t xml:space="preserve"> and Major City</w:t>
      </w:r>
      <w:bookmarkEnd w:id="100"/>
      <w:r w:rsidR="00AD3959">
        <w:t xml:space="preserve"> </w:t>
      </w:r>
    </w:p>
    <w:p w14:paraId="48E15800" w14:textId="1AC07924" w:rsidR="005B61AC" w:rsidRDefault="00E56667" w:rsidP="00BF2064">
      <w:pPr>
        <w:jc w:val="center"/>
        <w:rPr>
          <w:rFonts w:eastAsia="Times New Roman" w:cs="Arial"/>
        </w:rPr>
      </w:pPr>
      <w:r>
        <w:rPr>
          <w:rFonts w:eastAsia="Times New Roman" w:cs="Arial"/>
          <w:noProof/>
        </w:rPr>
        <w:drawing>
          <wp:inline distT="0" distB="0" distL="0" distR="0" wp14:anchorId="2DA5EF54" wp14:editId="35102AC5">
            <wp:extent cx="5761355" cy="2877820"/>
            <wp:effectExtent l="0" t="0" r="0" b="0"/>
            <wp:docPr id="759214719" name="Picture 22" descr="A line chart showing school student non-attendance rates, by Regional Australia and Major City. The chart shows that non-attendance rates in Regional Australia have consistently been higher than the rates recorded in Major C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14719" name="Picture 22" descr="A line chart showing school student non-attendance rates, by Regional Australia and Major City. The chart shows that non-attendance rates in Regional Australia have consistently been higher than the rates recorded in Major Cities. "/>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5761355" cy="2877820"/>
                    </a:xfrm>
                    <a:prstGeom prst="rect">
                      <a:avLst/>
                    </a:prstGeom>
                    <a:noFill/>
                  </pic:spPr>
                </pic:pic>
              </a:graphicData>
            </a:graphic>
          </wp:inline>
        </w:drawing>
      </w:r>
    </w:p>
    <w:p w14:paraId="6AED85D7" w14:textId="7BC17CE5" w:rsidR="00D95E9A" w:rsidRDefault="00D95E9A" w:rsidP="0052300C">
      <w:pPr>
        <w:spacing w:before="120"/>
        <w:outlineLvl w:val="3"/>
        <w:rPr>
          <w:rFonts w:cs="Arial"/>
          <w:i/>
          <w:iCs/>
          <w:sz w:val="18"/>
          <w:szCs w:val="16"/>
        </w:rPr>
      </w:pPr>
      <w:r w:rsidRPr="00CB0C7A">
        <w:rPr>
          <w:rFonts w:cs="Arial"/>
          <w:i/>
          <w:iCs/>
          <w:sz w:val="18"/>
          <w:szCs w:val="16"/>
        </w:rPr>
        <w:t>Source: Australia Curriculum Assessment and Reporting Authority (ACARA), School Attendance, unpublished data</w:t>
      </w:r>
    </w:p>
    <w:p w14:paraId="793C7BAC" w14:textId="77777777" w:rsidR="00F76788" w:rsidRDefault="00F76788" w:rsidP="0052300C">
      <w:pPr>
        <w:spacing w:before="120"/>
        <w:outlineLvl w:val="3"/>
        <w:rPr>
          <w:rFonts w:eastAsia="Times New Roman" w:cs="Arial"/>
          <w:b/>
          <w:i/>
          <w:iCs/>
          <w:sz w:val="18"/>
          <w:szCs w:val="16"/>
        </w:rPr>
      </w:pPr>
    </w:p>
    <w:tbl>
      <w:tblPr>
        <w:tblStyle w:val="CustomTablepulloutbox2"/>
        <w:tblW w:w="0" w:type="auto"/>
        <w:tblLook w:val="04A0" w:firstRow="1" w:lastRow="0" w:firstColumn="1" w:lastColumn="0" w:noHBand="0" w:noVBand="1"/>
      </w:tblPr>
      <w:tblGrid>
        <w:gridCol w:w="8997"/>
      </w:tblGrid>
      <w:tr w:rsidR="00F76788" w14:paraId="218CEC56" w14:textId="77777777">
        <w:trPr>
          <w:trHeight w:val="1713"/>
        </w:trPr>
        <w:tc>
          <w:tcPr>
            <w:tcW w:w="8997" w:type="dxa"/>
          </w:tcPr>
          <w:p w14:paraId="2D7D7B65" w14:textId="77777777" w:rsidR="00F76788" w:rsidRPr="00DB7554" w:rsidRDefault="00F76788">
            <w:pPr>
              <w:pStyle w:val="BoxHeading"/>
              <w:jc w:val="center"/>
              <w:rPr>
                <w:sz w:val="24"/>
                <w:szCs w:val="24"/>
              </w:rPr>
            </w:pPr>
            <w:r w:rsidRPr="00DB7554">
              <w:rPr>
                <w:sz w:val="24"/>
                <w:szCs w:val="24"/>
              </w:rPr>
              <w:t>Stakeholder insight</w:t>
            </w:r>
          </w:p>
          <w:p w14:paraId="41F3AEE7" w14:textId="5D04D095" w:rsidR="00F76788" w:rsidRDefault="00306785">
            <w:pPr>
              <w:jc w:val="center"/>
              <w:rPr>
                <w:rFonts w:cs="Arial"/>
                <w:i/>
                <w:iCs/>
                <w:sz w:val="22"/>
                <w:szCs w:val="22"/>
              </w:rPr>
            </w:pPr>
            <w:r>
              <w:rPr>
                <w:rFonts w:cs="Arial"/>
                <w:i/>
                <w:iCs/>
                <w:sz w:val="22"/>
                <w:szCs w:val="22"/>
              </w:rPr>
              <w:t>‘</w:t>
            </w:r>
            <w:r w:rsidR="00F76788" w:rsidRPr="00D804EF">
              <w:rPr>
                <w:rFonts w:cs="Arial"/>
                <w:i/>
                <w:iCs/>
                <w:sz w:val="22"/>
                <w:szCs w:val="22"/>
              </w:rPr>
              <w:t>The funding landscape has become extremely competitive and an ongoing cycle. We spend so much time responding to funding opportunities to sustain what we are doing that it distracts from being able to actually deliver high quality services. Better alignment of funding between programs and opportunities would lead to more stability, higher levels of collaboration and better services.</w:t>
            </w:r>
            <w:r>
              <w:rPr>
                <w:rFonts w:cs="Arial"/>
                <w:i/>
                <w:iCs/>
                <w:sz w:val="22"/>
                <w:szCs w:val="22"/>
              </w:rPr>
              <w:t>’</w:t>
            </w:r>
          </w:p>
          <w:p w14:paraId="3C89AC42" w14:textId="77777777" w:rsidR="00F76788" w:rsidRPr="008026D5" w:rsidRDefault="00F76788">
            <w:pPr>
              <w:jc w:val="center"/>
              <w:rPr>
                <w:rFonts w:cs="Arial"/>
                <w:b/>
                <w:bCs/>
                <w:sz w:val="24"/>
                <w:szCs w:val="24"/>
              </w:rPr>
            </w:pPr>
            <w:r w:rsidRPr="008026D5">
              <w:rPr>
                <w:rFonts w:cs="Arial"/>
                <w:b/>
                <w:sz w:val="24"/>
                <w:szCs w:val="24"/>
              </w:rPr>
              <w:t>Peter Renehan</w:t>
            </w:r>
          </w:p>
          <w:p w14:paraId="08A23FBD" w14:textId="77777777" w:rsidR="00F76788" w:rsidRDefault="00F76788">
            <w:pPr>
              <w:jc w:val="center"/>
              <w:rPr>
                <w:rFonts w:cs="Arial"/>
                <w:sz w:val="22"/>
                <w:szCs w:val="22"/>
              </w:rPr>
            </w:pPr>
            <w:r>
              <w:rPr>
                <w:rFonts w:cs="Arial"/>
                <w:sz w:val="22"/>
                <w:szCs w:val="22"/>
              </w:rPr>
              <w:t xml:space="preserve">CEO </w:t>
            </w:r>
          </w:p>
          <w:p w14:paraId="5373EE61" w14:textId="77777777" w:rsidR="00F76788" w:rsidRPr="00F76788" w:rsidRDefault="00F76788">
            <w:pPr>
              <w:jc w:val="center"/>
              <w:rPr>
                <w:rFonts w:cs="Arial"/>
                <w:sz w:val="22"/>
                <w:szCs w:val="22"/>
              </w:rPr>
            </w:pPr>
            <w:r w:rsidRPr="00735BC5">
              <w:rPr>
                <w:rFonts w:cs="Arial"/>
                <w:sz w:val="22"/>
                <w:szCs w:val="22"/>
              </w:rPr>
              <w:t>Centre for Appropriate Technology</w:t>
            </w:r>
          </w:p>
        </w:tc>
      </w:tr>
    </w:tbl>
    <w:p w14:paraId="365364B4" w14:textId="77777777" w:rsidR="00F76788" w:rsidRDefault="00F76788" w:rsidP="00F76788"/>
    <w:p w14:paraId="5503DD3C" w14:textId="77777777" w:rsidR="00F76788" w:rsidRPr="0052300C" w:rsidRDefault="00F76788" w:rsidP="0052300C">
      <w:pPr>
        <w:spacing w:before="120"/>
        <w:outlineLvl w:val="3"/>
        <w:rPr>
          <w:rFonts w:eastAsia="Times New Roman" w:cs="Arial"/>
          <w:b/>
        </w:rPr>
      </w:pPr>
    </w:p>
    <w:tbl>
      <w:tblPr>
        <w:tblStyle w:val="CustomTablepulloutbox"/>
        <w:tblW w:w="0" w:type="auto"/>
        <w:tblLook w:val="04A0" w:firstRow="1" w:lastRow="0" w:firstColumn="1" w:lastColumn="0" w:noHBand="0" w:noVBand="1"/>
      </w:tblPr>
      <w:tblGrid>
        <w:gridCol w:w="8997"/>
      </w:tblGrid>
      <w:tr w:rsidR="00E77BDB" w14:paraId="67DB14B0" w14:textId="77777777">
        <w:tc>
          <w:tcPr>
            <w:tcW w:w="8997" w:type="dxa"/>
          </w:tcPr>
          <w:p w14:paraId="60688600" w14:textId="77777777" w:rsidR="00E77BDB" w:rsidRPr="009351B2" w:rsidRDefault="00E77BDB" w:rsidP="009351B2">
            <w:pPr>
              <w:pStyle w:val="BoxHeading"/>
            </w:pPr>
            <w:r w:rsidRPr="009351B2">
              <w:lastRenderedPageBreak/>
              <w:t>Box: The role of boarding schools in delivering education to students from Regional Australia</w:t>
            </w:r>
          </w:p>
          <w:p w14:paraId="561DBFA9" w14:textId="77777777" w:rsidR="00F5087D" w:rsidRDefault="00E77BDB">
            <w:pPr>
              <w:pStyle w:val="BodyText"/>
              <w:rPr>
                <w:sz w:val="22"/>
                <w:szCs w:val="22"/>
              </w:rPr>
            </w:pPr>
            <w:r w:rsidRPr="00B6042A">
              <w:rPr>
                <w:sz w:val="22"/>
                <w:szCs w:val="22"/>
              </w:rPr>
              <w:t>Boarding schools are a key pillar of Australia’s education system in providing students in Regional Australia with access to the high school education they require to successfully complete schooling and progress to further study and employment. In some parts of Australia, boarding schools can be the only option for students in regional or remote areas without a physical school nearby to complete their school education.</w:t>
            </w:r>
          </w:p>
          <w:p w14:paraId="24E99B06" w14:textId="62E279F6" w:rsidR="00E77BDB" w:rsidRPr="00B6042A" w:rsidRDefault="00E77BDB">
            <w:pPr>
              <w:pStyle w:val="BodyText"/>
              <w:rPr>
                <w:sz w:val="22"/>
                <w:szCs w:val="22"/>
              </w:rPr>
            </w:pPr>
            <w:r w:rsidRPr="00B6042A">
              <w:rPr>
                <w:sz w:val="22"/>
                <w:szCs w:val="22"/>
              </w:rPr>
              <w:t xml:space="preserve">Currently there are more than 200 boarding schools across Australia, and more than two-thirds of Australia’s boarding school students </w:t>
            </w:r>
            <w:r w:rsidR="00F5087D">
              <w:rPr>
                <w:sz w:val="22"/>
                <w:szCs w:val="22"/>
              </w:rPr>
              <w:t>are</w:t>
            </w:r>
            <w:r w:rsidRPr="00B6042A">
              <w:rPr>
                <w:sz w:val="22"/>
                <w:szCs w:val="22"/>
              </w:rPr>
              <w:t xml:space="preserve"> from regional areas. Of key significance is that they are becoming a growing option for education of First Nations young people. </w:t>
            </w:r>
          </w:p>
          <w:p w14:paraId="6648ED6B" w14:textId="77777777" w:rsidR="00E33948" w:rsidRDefault="00E77BDB">
            <w:pPr>
              <w:pStyle w:val="BodyText"/>
              <w:rPr>
                <w:sz w:val="22"/>
                <w:szCs w:val="22"/>
              </w:rPr>
            </w:pPr>
            <w:r w:rsidRPr="00B6042A">
              <w:rPr>
                <w:sz w:val="22"/>
                <w:szCs w:val="22"/>
              </w:rPr>
              <w:t xml:space="preserve">The main difficulty with this model is that attendance at boarding school is expensive. Assisting with the costs of boarding school is the Assistance for Isolated Children (AIC) Basic Boarding Allowance. This was introduced in 1973 to meet half of the average boarding school fees to assist geographically isolated students to access boarding schools, however the rate of payment has not kept up with increases in the cost of boarding school education over time. </w:t>
            </w:r>
          </w:p>
          <w:p w14:paraId="30ECF3AC" w14:textId="16C91F87" w:rsidR="00E77BDB" w:rsidRPr="00B6042A" w:rsidRDefault="00E77BDB">
            <w:pPr>
              <w:pStyle w:val="BodyText"/>
              <w:rPr>
                <w:sz w:val="22"/>
                <w:szCs w:val="22"/>
              </w:rPr>
            </w:pPr>
            <w:r w:rsidRPr="00B6042A">
              <w:rPr>
                <w:sz w:val="22"/>
                <w:szCs w:val="22"/>
              </w:rPr>
              <w:t>In 2024</w:t>
            </w:r>
            <w:r w:rsidR="00E33948">
              <w:rPr>
                <w:sz w:val="22"/>
                <w:szCs w:val="22"/>
              </w:rPr>
              <w:t>,</w:t>
            </w:r>
            <w:r w:rsidRPr="00B6042A">
              <w:rPr>
                <w:sz w:val="22"/>
                <w:szCs w:val="22"/>
              </w:rPr>
              <w:t xml:space="preserve"> the Australian Government launched the </w:t>
            </w:r>
            <w:hyperlink r:id="rId36" w:history="1">
              <w:r w:rsidRPr="00B6042A">
                <w:rPr>
                  <w:rStyle w:val="Hyperlink"/>
                  <w:sz w:val="22"/>
                  <w:szCs w:val="22"/>
                </w:rPr>
                <w:t>Commonwealth Regional Scholarship</w:t>
              </w:r>
            </w:hyperlink>
            <w:r w:rsidRPr="00B6042A">
              <w:rPr>
                <w:sz w:val="22"/>
                <w:szCs w:val="22"/>
              </w:rPr>
              <w:t xml:space="preserve"> a pilot program delivering 100 scholarships worth up to $20,000 a year to contribute towards the cost of boarding school education for low to middle income families of young aspiring students from Regional Australia. </w:t>
            </w:r>
          </w:p>
          <w:p w14:paraId="0D4CD3B2" w14:textId="77777777" w:rsidR="00E77BDB" w:rsidRPr="00B6042A" w:rsidRDefault="00E77BDB">
            <w:pPr>
              <w:pStyle w:val="BodyText"/>
              <w:rPr>
                <w:sz w:val="22"/>
                <w:szCs w:val="22"/>
              </w:rPr>
            </w:pPr>
            <w:r w:rsidRPr="00B6042A">
              <w:rPr>
                <w:sz w:val="22"/>
                <w:szCs w:val="22"/>
              </w:rPr>
              <w:t>Boarding schools remain a key part of the educational pathway for many students from Regional Australia. An improved understanding of the subsequent educational and employment outcomes of such students – including their rate of return to the regions they came from – remains an area of potential future research.</w:t>
            </w:r>
          </w:p>
          <w:p w14:paraId="57620EB5" w14:textId="77777777" w:rsidR="00E77BDB" w:rsidRPr="000D0B49" w:rsidRDefault="00E77BDB">
            <w:pPr>
              <w:pStyle w:val="Source"/>
            </w:pPr>
            <w:r w:rsidRPr="00C20868">
              <w:t xml:space="preserve">Sources: Australian Boarding Schools Association (2024) </w:t>
            </w:r>
            <w:hyperlink r:id="rId37" w:history="1">
              <w:r w:rsidRPr="00166914">
                <w:rPr>
                  <w:rStyle w:val="Hyperlink"/>
                </w:rPr>
                <w:t>Census 2024</w:t>
              </w:r>
            </w:hyperlink>
            <w:r w:rsidRPr="00166914">
              <w:t xml:space="preserve">, May;  The Australian (2023) </w:t>
            </w:r>
            <w:hyperlink r:id="rId38" w:history="1">
              <w:r w:rsidRPr="00166914">
                <w:rPr>
                  <w:rStyle w:val="Hyperlink"/>
                </w:rPr>
                <w:t>Numbers show the ‘home away from home’ is here to stay</w:t>
              </w:r>
            </w:hyperlink>
            <w:r w:rsidRPr="00166914">
              <w:t xml:space="preserve">, 6 September; Cardak et al (2017) </w:t>
            </w:r>
            <w:hyperlink r:id="rId39" w:history="1">
              <w:r w:rsidRPr="00166914">
                <w:rPr>
                  <w:rStyle w:val="Hyperlink"/>
                </w:rPr>
                <w:t>Regional Student Participation and Migration</w:t>
              </w:r>
            </w:hyperlink>
            <w:r w:rsidRPr="00166914">
              <w:t xml:space="preserve">, February; Regional Education Commissioner (2024) </w:t>
            </w:r>
            <w:hyperlink r:id="rId40" w:history="1">
              <w:r w:rsidRPr="00166914">
                <w:rPr>
                  <w:rStyle w:val="Hyperlink"/>
                </w:rPr>
                <w:t>Annual Report 2023</w:t>
              </w:r>
            </w:hyperlink>
            <w:r w:rsidRPr="00166914">
              <w:t xml:space="preserve">, p24, 26 March. </w:t>
            </w:r>
          </w:p>
        </w:tc>
      </w:tr>
    </w:tbl>
    <w:p w14:paraId="37D546BA" w14:textId="77777777" w:rsidR="00D95E9A" w:rsidRDefault="00D95E9A" w:rsidP="00D95E9A">
      <w:pPr>
        <w:rPr>
          <w:rFonts w:cs="Arial"/>
          <w:i/>
          <w:iCs/>
          <w:sz w:val="18"/>
          <w:szCs w:val="16"/>
        </w:rPr>
      </w:pPr>
    </w:p>
    <w:p w14:paraId="596025C6" w14:textId="77777777" w:rsidR="00D95E9A" w:rsidRPr="00CE249D" w:rsidRDefault="00D95E9A" w:rsidP="00CE249D">
      <w:pPr>
        <w:pStyle w:val="Heading5"/>
      </w:pPr>
      <w:r w:rsidRPr="00CE249D">
        <w:t>Youth (18-24) NEET rate</w:t>
      </w:r>
    </w:p>
    <w:p w14:paraId="354C3072" w14:textId="67D08A6E" w:rsidR="000058D7" w:rsidRPr="00EE4020" w:rsidRDefault="006470FB" w:rsidP="006470FB">
      <w:pPr>
        <w:pStyle w:val="Caption"/>
      </w:pPr>
      <w:r>
        <w:t xml:space="preserve">Table </w:t>
      </w:r>
      <w:r>
        <w:fldChar w:fldCharType="begin"/>
      </w:r>
      <w:r>
        <w:instrText xml:space="preserve"> SEQ Table \* ARABIC </w:instrText>
      </w:r>
      <w:r>
        <w:fldChar w:fldCharType="separate"/>
      </w:r>
      <w:r w:rsidR="00471863">
        <w:rPr>
          <w:noProof/>
        </w:rPr>
        <w:t>7</w:t>
      </w:r>
      <w:r>
        <w:fldChar w:fldCharType="end"/>
      </w:r>
      <w:r w:rsidR="00EE4020" w:rsidRPr="00EE4020">
        <w:rPr>
          <w:rFonts w:cs="Arial"/>
        </w:rPr>
        <w:t>:</w:t>
      </w:r>
      <w:r w:rsidR="00F80134" w:rsidRPr="00EE4020">
        <w:rPr>
          <w:rFonts w:cs="Arial"/>
        </w:rPr>
        <w:t xml:space="preserve"> Youth (18-24) NEET rate (%)</w:t>
      </w:r>
    </w:p>
    <w:tbl>
      <w:tblPr>
        <w:tblStyle w:val="GridTable5Dark-Accent1"/>
        <w:tblW w:w="9067" w:type="dxa"/>
        <w:tblLook w:val="04A0" w:firstRow="1" w:lastRow="0" w:firstColumn="1" w:lastColumn="0" w:noHBand="0" w:noVBand="1"/>
      </w:tblPr>
      <w:tblGrid>
        <w:gridCol w:w="2167"/>
        <w:gridCol w:w="1153"/>
        <w:gridCol w:w="1153"/>
        <w:gridCol w:w="1730"/>
        <w:gridCol w:w="998"/>
        <w:gridCol w:w="1866"/>
      </w:tblGrid>
      <w:tr w:rsidR="00D95E9A" w:rsidRPr="00CB0C7A" w14:paraId="34D352D9" w14:textId="77777777" w:rsidTr="00434D48">
        <w:trPr>
          <w:cnfStyle w:val="100000000000" w:firstRow="1" w:lastRow="0" w:firstColumn="0" w:lastColumn="0" w:oddVBand="0" w:evenVBand="0" w:oddHBand="0" w:evenHBand="0" w:firstRowFirstColumn="0" w:firstRowLastColumn="0" w:lastRowFirstColumn="0" w:lastRowLastColumn="0"/>
          <w:trHeight w:val="807"/>
        </w:trPr>
        <w:tc>
          <w:tcPr>
            <w:cnfStyle w:val="001000000000" w:firstRow="0" w:lastRow="0" w:firstColumn="1" w:lastColumn="0" w:oddVBand="0" w:evenVBand="0" w:oddHBand="0" w:evenHBand="0" w:firstRowFirstColumn="0" w:firstRowLastColumn="0" w:lastRowFirstColumn="0" w:lastRowLastColumn="0"/>
            <w:tcW w:w="2129" w:type="dxa"/>
            <w:tcBorders>
              <w:top w:val="single" w:sz="4" w:space="0" w:color="auto"/>
              <w:left w:val="single" w:sz="4" w:space="0" w:color="370663"/>
              <w:right w:val="single" w:sz="4" w:space="0" w:color="FFFFFF"/>
            </w:tcBorders>
            <w:shd w:val="clear" w:color="auto" w:fill="370663"/>
          </w:tcPr>
          <w:p w14:paraId="589606F4" w14:textId="1E5A2614" w:rsidR="00D95E9A" w:rsidRPr="00CB0C7A" w:rsidRDefault="00D95E9A">
            <w:pPr>
              <w:rPr>
                <w:rFonts w:cs="Arial"/>
                <w:sz w:val="24"/>
                <w:szCs w:val="24"/>
              </w:rPr>
            </w:pPr>
          </w:p>
        </w:tc>
        <w:tc>
          <w:tcPr>
            <w:tcW w:w="1134" w:type="dxa"/>
            <w:tcBorders>
              <w:top w:val="single" w:sz="4" w:space="0" w:color="auto"/>
              <w:left w:val="single" w:sz="4" w:space="0" w:color="FFFFFF"/>
              <w:right w:val="single" w:sz="4" w:space="0" w:color="FFFFFF"/>
            </w:tcBorders>
            <w:shd w:val="clear" w:color="auto" w:fill="370663"/>
            <w:vAlign w:val="center"/>
          </w:tcPr>
          <w:p w14:paraId="0E95994F" w14:textId="77777777" w:rsidR="00D95E9A" w:rsidRPr="00CB0C7A" w:rsidRDefault="00D95E9A">
            <w:pPr>
              <w:jc w:val="center"/>
              <w:cnfStyle w:val="100000000000" w:firstRow="1" w:lastRow="0" w:firstColumn="0" w:lastColumn="0" w:oddVBand="0" w:evenVBand="0" w:oddHBand="0" w:evenHBand="0" w:firstRowFirstColumn="0" w:firstRowLastColumn="0" w:lastRowFirstColumn="0" w:lastRowLastColumn="0"/>
              <w:rPr>
                <w:rFonts w:cs="Arial"/>
                <w:sz w:val="20"/>
              </w:rPr>
            </w:pPr>
            <w:r w:rsidRPr="00CB0C7A">
              <w:rPr>
                <w:rFonts w:cs="Arial"/>
                <w:sz w:val="20"/>
              </w:rPr>
              <w:t>Current Rating</w:t>
            </w:r>
          </w:p>
        </w:tc>
        <w:tc>
          <w:tcPr>
            <w:tcW w:w="1134" w:type="dxa"/>
            <w:tcBorders>
              <w:top w:val="single" w:sz="4" w:space="0" w:color="auto"/>
              <w:left w:val="single" w:sz="4" w:space="0" w:color="FFFFFF"/>
              <w:right w:val="single" w:sz="4" w:space="0" w:color="FFFFFF"/>
            </w:tcBorders>
            <w:shd w:val="clear" w:color="auto" w:fill="370663"/>
            <w:vAlign w:val="center"/>
          </w:tcPr>
          <w:p w14:paraId="1C2716EF" w14:textId="77777777" w:rsidR="00D95E9A" w:rsidRPr="00CB0C7A" w:rsidRDefault="00D95E9A">
            <w:pPr>
              <w:jc w:val="center"/>
              <w:cnfStyle w:val="100000000000" w:firstRow="1" w:lastRow="0" w:firstColumn="0" w:lastColumn="0" w:oddVBand="0" w:evenVBand="0" w:oddHBand="0" w:evenHBand="0" w:firstRowFirstColumn="0" w:firstRowLastColumn="0" w:lastRowFirstColumn="0" w:lastRowLastColumn="0"/>
              <w:rPr>
                <w:rFonts w:cs="Arial"/>
                <w:sz w:val="20"/>
              </w:rPr>
            </w:pPr>
            <w:r w:rsidRPr="00CB0C7A">
              <w:rPr>
                <w:rFonts w:cs="Arial"/>
                <w:sz w:val="20"/>
              </w:rPr>
              <w:t>Current rate in Regional Australia</w:t>
            </w:r>
          </w:p>
        </w:tc>
        <w:tc>
          <w:tcPr>
            <w:tcW w:w="1701" w:type="dxa"/>
            <w:tcBorders>
              <w:top w:val="single" w:sz="4" w:space="0" w:color="auto"/>
              <w:left w:val="single" w:sz="4" w:space="0" w:color="FFFFFF"/>
              <w:right w:val="single" w:sz="4" w:space="0" w:color="FFFFFF"/>
            </w:tcBorders>
            <w:shd w:val="clear" w:color="auto" w:fill="370663"/>
            <w:vAlign w:val="center"/>
          </w:tcPr>
          <w:p w14:paraId="22A7A13F" w14:textId="77777777" w:rsidR="00D95E9A" w:rsidRPr="00CB0C7A" w:rsidRDefault="00D95E9A">
            <w:pPr>
              <w:jc w:val="center"/>
              <w:cnfStyle w:val="100000000000" w:firstRow="1" w:lastRow="0" w:firstColumn="0" w:lastColumn="0" w:oddVBand="0" w:evenVBand="0" w:oddHBand="0" w:evenHBand="0" w:firstRowFirstColumn="0" w:firstRowLastColumn="0" w:lastRowFirstColumn="0" w:lastRowLastColumn="0"/>
              <w:rPr>
                <w:rFonts w:cs="Arial"/>
                <w:sz w:val="20"/>
              </w:rPr>
            </w:pPr>
            <w:r w:rsidRPr="00CB0C7A">
              <w:rPr>
                <w:rFonts w:cs="Arial"/>
                <w:sz w:val="20"/>
              </w:rPr>
              <w:t>Current Trend</w:t>
            </w:r>
          </w:p>
        </w:tc>
        <w:tc>
          <w:tcPr>
            <w:tcW w:w="981" w:type="dxa"/>
            <w:tcBorders>
              <w:top w:val="single" w:sz="4" w:space="0" w:color="auto"/>
              <w:left w:val="single" w:sz="4" w:space="0" w:color="FFFFFF"/>
              <w:right w:val="single" w:sz="4" w:space="0" w:color="FFFFFF"/>
            </w:tcBorders>
            <w:shd w:val="clear" w:color="auto" w:fill="370663"/>
            <w:vAlign w:val="center"/>
          </w:tcPr>
          <w:p w14:paraId="13E1C03C" w14:textId="77777777" w:rsidR="00D95E9A" w:rsidRPr="00CB0C7A" w:rsidRDefault="00D95E9A">
            <w:pPr>
              <w:jc w:val="center"/>
              <w:cnfStyle w:val="100000000000" w:firstRow="1" w:lastRow="0" w:firstColumn="0" w:lastColumn="0" w:oddVBand="0" w:evenVBand="0" w:oddHBand="0" w:evenHBand="0" w:firstRowFirstColumn="0" w:firstRowLastColumn="0" w:lastRowFirstColumn="0" w:lastRowLastColumn="0"/>
              <w:rPr>
                <w:rFonts w:cs="Arial"/>
                <w:sz w:val="20"/>
              </w:rPr>
            </w:pPr>
            <w:r w:rsidRPr="00CB0C7A">
              <w:rPr>
                <w:rFonts w:cs="Arial"/>
                <w:sz w:val="20"/>
              </w:rPr>
              <w:t>Best on record</w:t>
            </w:r>
          </w:p>
        </w:tc>
        <w:tc>
          <w:tcPr>
            <w:tcW w:w="1835" w:type="dxa"/>
            <w:tcBorders>
              <w:top w:val="single" w:sz="4" w:space="0" w:color="auto"/>
              <w:left w:val="single" w:sz="4" w:space="0" w:color="FFFFFF"/>
              <w:right w:val="single" w:sz="4" w:space="0" w:color="auto"/>
            </w:tcBorders>
            <w:shd w:val="clear" w:color="auto" w:fill="370663"/>
            <w:vAlign w:val="center"/>
          </w:tcPr>
          <w:p w14:paraId="5698892C" w14:textId="027EC219" w:rsidR="00D95E9A" w:rsidRPr="00CB0C7A" w:rsidRDefault="003A7518">
            <w:pPr>
              <w:jc w:val="center"/>
              <w:cnfStyle w:val="100000000000" w:firstRow="1" w:lastRow="0" w:firstColumn="0" w:lastColumn="0" w:oddVBand="0" w:evenVBand="0" w:oddHBand="0" w:evenHBand="0" w:firstRowFirstColumn="0" w:firstRowLastColumn="0" w:lastRowFirstColumn="0" w:lastRowLastColumn="0"/>
              <w:rPr>
                <w:rFonts w:cs="Arial"/>
                <w:sz w:val="20"/>
              </w:rPr>
            </w:pPr>
            <w:r w:rsidRPr="00CB0C7A">
              <w:rPr>
                <w:rFonts w:cs="Arial"/>
                <w:sz w:val="20"/>
              </w:rPr>
              <w:t xml:space="preserve">Gap to </w:t>
            </w:r>
            <w:r>
              <w:rPr>
                <w:rFonts w:cs="Arial"/>
                <w:sz w:val="20"/>
              </w:rPr>
              <w:t>the Major Cities</w:t>
            </w:r>
          </w:p>
        </w:tc>
      </w:tr>
      <w:tr w:rsidR="00425761" w:rsidRPr="00CB0C7A" w14:paraId="3A956B08" w14:textId="77777777" w:rsidTr="009E0E36">
        <w:trPr>
          <w:cnfStyle w:val="000000100000" w:firstRow="0" w:lastRow="0" w:firstColumn="0" w:lastColumn="0" w:oddVBand="0" w:evenVBand="0" w:oddHBand="1" w:evenHBand="0" w:firstRowFirstColumn="0" w:firstRowLastColumn="0" w:lastRowFirstColumn="0" w:lastRowLastColumn="0"/>
          <w:trHeight w:val="1049"/>
        </w:trPr>
        <w:tc>
          <w:tcPr>
            <w:cnfStyle w:val="001000000000" w:firstRow="0" w:lastRow="0" w:firstColumn="1" w:lastColumn="0" w:oddVBand="0" w:evenVBand="0" w:oddHBand="0" w:evenHBand="0" w:firstRowFirstColumn="0" w:firstRowLastColumn="0" w:lastRowFirstColumn="0" w:lastRowLastColumn="0"/>
            <w:tcW w:w="2129" w:type="dxa"/>
            <w:tcBorders>
              <w:left w:val="single" w:sz="4" w:space="0" w:color="370663"/>
              <w:bottom w:val="single" w:sz="4" w:space="0" w:color="000000" w:themeColor="text1"/>
              <w:right w:val="single" w:sz="4" w:space="0" w:color="FFFFFF"/>
            </w:tcBorders>
            <w:shd w:val="clear" w:color="auto" w:fill="E0D1F5"/>
            <w:vAlign w:val="center"/>
          </w:tcPr>
          <w:p w14:paraId="2A1E1DF5" w14:textId="2B96C76C" w:rsidR="00D95E9A" w:rsidRPr="009E0E36" w:rsidRDefault="00D95E9A">
            <w:pPr>
              <w:rPr>
                <w:rFonts w:cs="Arial"/>
                <w:b w:val="0"/>
                <w:color w:val="auto"/>
              </w:rPr>
            </w:pPr>
            <w:r w:rsidRPr="009E0E36">
              <w:rPr>
                <w:rFonts w:cs="Arial"/>
                <w:b w:val="0"/>
                <w:color w:val="auto"/>
              </w:rPr>
              <w:t>Youth NEET rate (%)</w:t>
            </w:r>
          </w:p>
        </w:tc>
        <w:tc>
          <w:tcPr>
            <w:tcW w:w="1134" w:type="dxa"/>
            <w:tcBorders>
              <w:left w:val="single" w:sz="4" w:space="0" w:color="FFFFFF"/>
              <w:bottom w:val="single" w:sz="4" w:space="0" w:color="000000" w:themeColor="text1"/>
            </w:tcBorders>
            <w:shd w:val="clear" w:color="auto" w:fill="DF5454"/>
            <w:vAlign w:val="center"/>
          </w:tcPr>
          <w:p w14:paraId="607012A6" w14:textId="77777777" w:rsidR="00D95E9A" w:rsidRPr="009E0E36" w:rsidRDefault="00D95E9A">
            <w:pPr>
              <w:jc w:val="center"/>
              <w:cnfStyle w:val="000000100000" w:firstRow="0" w:lastRow="0" w:firstColumn="0" w:lastColumn="0" w:oddVBand="0" w:evenVBand="0" w:oddHBand="1" w:evenHBand="0" w:firstRowFirstColumn="0" w:firstRowLastColumn="0" w:lastRowFirstColumn="0" w:lastRowLastColumn="0"/>
              <w:rPr>
                <w:rFonts w:cs="Arial"/>
              </w:rPr>
            </w:pPr>
            <w:r w:rsidRPr="009E0E36">
              <w:rPr>
                <w:rFonts w:cs="Arial"/>
              </w:rPr>
              <w:t>Red</w:t>
            </w:r>
          </w:p>
        </w:tc>
        <w:tc>
          <w:tcPr>
            <w:tcW w:w="1134" w:type="dxa"/>
            <w:tcBorders>
              <w:bottom w:val="single" w:sz="4" w:space="0" w:color="000000" w:themeColor="text1"/>
            </w:tcBorders>
            <w:shd w:val="clear" w:color="auto" w:fill="DF5454"/>
            <w:vAlign w:val="center"/>
          </w:tcPr>
          <w:p w14:paraId="4688518E" w14:textId="784C8374" w:rsidR="00D95E9A" w:rsidRPr="009E0E36" w:rsidRDefault="00D95E9A">
            <w:pPr>
              <w:jc w:val="center"/>
              <w:cnfStyle w:val="000000100000" w:firstRow="0" w:lastRow="0" w:firstColumn="0" w:lastColumn="0" w:oddVBand="0" w:evenVBand="0" w:oddHBand="1" w:evenHBand="0" w:firstRowFirstColumn="0" w:firstRowLastColumn="0" w:lastRowFirstColumn="0" w:lastRowLastColumn="0"/>
              <w:rPr>
                <w:rFonts w:cs="Arial"/>
              </w:rPr>
            </w:pPr>
            <w:r w:rsidRPr="009E0E36">
              <w:rPr>
                <w:rFonts w:cs="Arial"/>
              </w:rPr>
              <w:t>15.</w:t>
            </w:r>
            <w:r w:rsidR="00A1084A" w:rsidRPr="009E0E36">
              <w:rPr>
                <w:rFonts w:cs="Arial"/>
              </w:rPr>
              <w:t>3</w:t>
            </w:r>
            <w:r w:rsidRPr="009E0E36">
              <w:rPr>
                <w:rFonts w:cs="Arial"/>
              </w:rPr>
              <w:t>%</w:t>
            </w:r>
          </w:p>
        </w:tc>
        <w:tc>
          <w:tcPr>
            <w:tcW w:w="1701" w:type="dxa"/>
            <w:tcBorders>
              <w:bottom w:val="single" w:sz="4" w:space="0" w:color="000000" w:themeColor="text1"/>
              <w:right w:val="single" w:sz="4" w:space="0" w:color="A6A6A6" w:themeColor="background1" w:themeShade="A6"/>
            </w:tcBorders>
            <w:shd w:val="clear" w:color="auto" w:fill="F2F2F2" w:themeFill="background1" w:themeFillShade="F2"/>
            <w:vAlign w:val="center"/>
          </w:tcPr>
          <w:p w14:paraId="76AD99F6" w14:textId="594EEF9C" w:rsidR="00D95E9A" w:rsidRPr="009E0E36" w:rsidRDefault="0059129E">
            <w:pPr>
              <w:jc w:val="center"/>
              <w:cnfStyle w:val="000000100000" w:firstRow="0" w:lastRow="0" w:firstColumn="0" w:lastColumn="0" w:oddVBand="0" w:evenVBand="0" w:oddHBand="1" w:evenHBand="0" w:firstRowFirstColumn="0" w:firstRowLastColumn="0" w:lastRowFirstColumn="0" w:lastRowLastColumn="0"/>
              <w:rPr>
                <w:rFonts w:cs="Arial"/>
                <w:b/>
                <w:bCs/>
              </w:rPr>
            </w:pPr>
            <w:r w:rsidRPr="009E0E36">
              <w:rPr>
                <w:rFonts w:cs="Arial"/>
                <w:b/>
                <w:bCs/>
              </w:rPr>
              <w:t>Weakening</w:t>
            </w:r>
          </w:p>
        </w:tc>
        <w:tc>
          <w:tcPr>
            <w:tcW w:w="981" w:type="dxa"/>
            <w:tcBorders>
              <w:left w:val="single" w:sz="4" w:space="0" w:color="A6A6A6" w:themeColor="background1" w:themeShade="A6"/>
              <w:bottom w:val="single" w:sz="4" w:space="0" w:color="000000" w:themeColor="text1"/>
              <w:right w:val="single" w:sz="4" w:space="0" w:color="A6A6A6" w:themeColor="background1" w:themeShade="A6"/>
            </w:tcBorders>
            <w:shd w:val="clear" w:color="auto" w:fill="F2F2F2" w:themeFill="background1" w:themeFillShade="F2"/>
            <w:vAlign w:val="center"/>
          </w:tcPr>
          <w:p w14:paraId="4A7CD2FC" w14:textId="77777777" w:rsidR="00D95E9A" w:rsidRPr="009E0E36" w:rsidRDefault="00D95E9A">
            <w:pPr>
              <w:jc w:val="center"/>
              <w:cnfStyle w:val="000000100000" w:firstRow="0" w:lastRow="0" w:firstColumn="0" w:lastColumn="0" w:oddVBand="0" w:evenVBand="0" w:oddHBand="1" w:evenHBand="0" w:firstRowFirstColumn="0" w:firstRowLastColumn="0" w:lastRowFirstColumn="0" w:lastRowLastColumn="0"/>
              <w:rPr>
                <w:rFonts w:cs="Arial"/>
              </w:rPr>
            </w:pPr>
            <w:r w:rsidRPr="009E0E36">
              <w:rPr>
                <w:rFonts w:cs="Arial"/>
              </w:rPr>
              <w:t>12.6%</w:t>
            </w:r>
          </w:p>
          <w:p w14:paraId="7CF8695A" w14:textId="49BB758F" w:rsidR="00D95E9A" w:rsidRPr="009E0E36" w:rsidRDefault="003E6B57">
            <w:pPr>
              <w:jc w:val="center"/>
              <w:cnfStyle w:val="000000100000" w:firstRow="0" w:lastRow="0" w:firstColumn="0" w:lastColumn="0" w:oddVBand="0" w:evenVBand="0" w:oddHBand="1" w:evenHBand="0" w:firstRowFirstColumn="0" w:firstRowLastColumn="0" w:lastRowFirstColumn="0" w:lastRowLastColumn="0"/>
              <w:rPr>
                <w:rFonts w:cs="Arial"/>
                <w:b/>
                <w:bCs/>
              </w:rPr>
            </w:pPr>
            <w:r w:rsidRPr="009E0E36">
              <w:rPr>
                <w:rFonts w:cs="Arial"/>
              </w:rPr>
              <w:t>(2023)</w:t>
            </w:r>
          </w:p>
        </w:tc>
        <w:tc>
          <w:tcPr>
            <w:tcW w:w="1565" w:type="dxa"/>
            <w:tcBorders>
              <w:left w:val="single" w:sz="4" w:space="0" w:color="A6A6A6" w:themeColor="background1" w:themeShade="A6"/>
              <w:bottom w:val="single" w:sz="4" w:space="0" w:color="000000" w:themeColor="text1"/>
              <w:right w:val="single" w:sz="4" w:space="0" w:color="auto"/>
            </w:tcBorders>
            <w:shd w:val="clear" w:color="auto" w:fill="DF5454"/>
            <w:vAlign w:val="center"/>
          </w:tcPr>
          <w:p w14:paraId="60EE8C9E" w14:textId="0173416C" w:rsidR="00D95E9A" w:rsidRPr="009E0E36" w:rsidRDefault="00D73079">
            <w:pPr>
              <w:jc w:val="center"/>
              <w:cnfStyle w:val="000000100000" w:firstRow="0" w:lastRow="0" w:firstColumn="0" w:lastColumn="0" w:oddVBand="0" w:evenVBand="0" w:oddHBand="1" w:evenHBand="0" w:firstRowFirstColumn="0" w:firstRowLastColumn="0" w:lastRowFirstColumn="0" w:lastRowLastColumn="0"/>
              <w:rPr>
                <w:rFonts w:cs="Arial"/>
              </w:rPr>
            </w:pPr>
            <w:r w:rsidRPr="009E0E36">
              <w:rPr>
                <w:rFonts w:cs="Arial"/>
              </w:rPr>
              <w:t>+</w:t>
            </w:r>
            <w:r w:rsidR="00636B9A" w:rsidRPr="009E0E36">
              <w:rPr>
                <w:rFonts w:cs="Arial"/>
              </w:rPr>
              <w:t>5.9</w:t>
            </w:r>
            <w:r w:rsidR="00D95E9A" w:rsidRPr="009E0E36">
              <w:rPr>
                <w:rFonts w:cs="Arial"/>
              </w:rPr>
              <w:t>% pts</w:t>
            </w:r>
          </w:p>
        </w:tc>
      </w:tr>
    </w:tbl>
    <w:p w14:paraId="1137DF63" w14:textId="77777777" w:rsidR="00D95E9A" w:rsidRPr="00CB0C7A" w:rsidRDefault="00D95E9A" w:rsidP="00D95E9A">
      <w:pPr>
        <w:rPr>
          <w:rFonts w:cs="Arial"/>
          <w:i/>
          <w:iCs/>
          <w:sz w:val="18"/>
          <w:szCs w:val="16"/>
        </w:rPr>
      </w:pPr>
      <w:r w:rsidRPr="00CB0C7A">
        <w:rPr>
          <w:rFonts w:cs="Arial"/>
          <w:i/>
          <w:iCs/>
          <w:sz w:val="18"/>
          <w:szCs w:val="16"/>
        </w:rPr>
        <w:t>Source: ABS, Survey of Education and Work, 2024</w:t>
      </w:r>
    </w:p>
    <w:p w14:paraId="27818566" w14:textId="0A2AE0B8" w:rsidR="00D95E9A" w:rsidRPr="00CB0C7A" w:rsidRDefault="00D95E9A" w:rsidP="00E65349">
      <w:pPr>
        <w:pStyle w:val="BodyText"/>
        <w:rPr>
          <w:iCs/>
          <w:lang w:eastAsia="en-AU"/>
        </w:rPr>
      </w:pPr>
      <w:r w:rsidRPr="00CB0C7A">
        <w:t xml:space="preserve">Participating in education or starting employment after concluding compulsory education helps individuals to develop abilities and skills and encourages a socially inclusive and </w:t>
      </w:r>
      <w:r w:rsidRPr="00CB0C7A">
        <w:lastRenderedPageBreak/>
        <w:t xml:space="preserve">productive society. </w:t>
      </w:r>
      <w:r w:rsidRPr="00CB0C7A">
        <w:rPr>
          <w:iCs/>
          <w:lang w:eastAsia="en-AU"/>
        </w:rPr>
        <w:t>While most youth are either engaged in some form of work or study, a key concern is the number of young people who are not in employment, education or training (</w:t>
      </w:r>
      <w:r w:rsidR="00EF7B60">
        <w:rPr>
          <w:iCs/>
          <w:lang w:eastAsia="en-AU"/>
        </w:rPr>
        <w:t>often referred to</w:t>
      </w:r>
      <w:r w:rsidRPr="00CB0C7A">
        <w:rPr>
          <w:iCs/>
          <w:lang w:eastAsia="en-AU"/>
        </w:rPr>
        <w:t xml:space="preserve"> as </w:t>
      </w:r>
      <w:r w:rsidR="00EF7B60">
        <w:rPr>
          <w:iCs/>
          <w:lang w:eastAsia="en-AU"/>
        </w:rPr>
        <w:t xml:space="preserve">the </w:t>
      </w:r>
      <w:r w:rsidRPr="00CB0C7A">
        <w:rPr>
          <w:iCs/>
          <w:lang w:eastAsia="en-AU"/>
        </w:rPr>
        <w:t>‘disengaged’</w:t>
      </w:r>
      <w:r w:rsidR="00EF7B60">
        <w:rPr>
          <w:iCs/>
          <w:lang w:eastAsia="en-AU"/>
        </w:rPr>
        <w:t xml:space="preserve"> group</w:t>
      </w:r>
      <w:r w:rsidRPr="00CB0C7A">
        <w:rPr>
          <w:iCs/>
          <w:lang w:eastAsia="en-AU"/>
        </w:rPr>
        <w:t xml:space="preserve">).  </w:t>
      </w:r>
    </w:p>
    <w:p w14:paraId="2EE768E1" w14:textId="0ABA3282" w:rsidR="00D95E9A" w:rsidRDefault="00D95E9A" w:rsidP="00E65349">
      <w:pPr>
        <w:pStyle w:val="BodyText"/>
        <w:rPr>
          <w:iCs/>
          <w:lang w:eastAsia="en-AU"/>
        </w:rPr>
      </w:pPr>
      <w:r w:rsidRPr="00CB0C7A">
        <w:rPr>
          <w:iCs/>
          <w:lang w:eastAsia="en-AU"/>
        </w:rPr>
        <w:t>While a proportion of the disengaged group may, for various reasons, be voluntarily outside the labour market (for instance</w:t>
      </w:r>
      <w:r w:rsidR="00D6653A">
        <w:rPr>
          <w:iCs/>
          <w:lang w:eastAsia="en-AU"/>
        </w:rPr>
        <w:t xml:space="preserve">, </w:t>
      </w:r>
      <w:r w:rsidRPr="00CB0C7A">
        <w:rPr>
          <w:iCs/>
          <w:lang w:eastAsia="en-AU"/>
        </w:rPr>
        <w:t xml:space="preserve">looking after children, which is more likely to be the case for disengaged women), many are at risk of ultimately failing to make a successful transition </w:t>
      </w:r>
      <w:r w:rsidR="0032739C">
        <w:rPr>
          <w:iCs/>
          <w:lang w:eastAsia="en-AU"/>
        </w:rPr>
        <w:t>from schooling</w:t>
      </w:r>
      <w:r w:rsidRPr="00CB0C7A">
        <w:rPr>
          <w:iCs/>
          <w:lang w:eastAsia="en-AU"/>
        </w:rPr>
        <w:t xml:space="preserve"> to employment</w:t>
      </w:r>
      <w:r w:rsidR="00EF7B60">
        <w:rPr>
          <w:iCs/>
          <w:lang w:eastAsia="en-AU"/>
        </w:rPr>
        <w:t xml:space="preserve"> or </w:t>
      </w:r>
      <w:r w:rsidR="0032739C">
        <w:rPr>
          <w:iCs/>
          <w:lang w:eastAsia="en-AU"/>
        </w:rPr>
        <w:t xml:space="preserve">further </w:t>
      </w:r>
      <w:r w:rsidR="00EF7B60">
        <w:rPr>
          <w:iCs/>
          <w:lang w:eastAsia="en-AU"/>
        </w:rPr>
        <w:t>education or training</w:t>
      </w:r>
      <w:r w:rsidRPr="00CB0C7A">
        <w:rPr>
          <w:iCs/>
          <w:lang w:eastAsia="en-AU"/>
        </w:rPr>
        <w:t>.</w:t>
      </w:r>
    </w:p>
    <w:p w14:paraId="0E56951D" w14:textId="3A10265F" w:rsidR="00482348" w:rsidRDefault="00D95E9A" w:rsidP="00E65349">
      <w:pPr>
        <w:pStyle w:val="BodyText"/>
        <w:rPr>
          <w:rFonts w:eastAsia="Times New Roman"/>
          <w:bCs/>
        </w:rPr>
      </w:pPr>
      <w:r w:rsidRPr="00CB0C7A">
        <w:rPr>
          <w:rFonts w:eastAsia="Times New Roman"/>
          <w:bCs/>
        </w:rPr>
        <w:t xml:space="preserve">The proportion of the youth </w:t>
      </w:r>
      <w:r w:rsidR="00FD3EDA">
        <w:rPr>
          <w:rFonts w:eastAsia="Times New Roman"/>
          <w:bCs/>
        </w:rPr>
        <w:t xml:space="preserve">(18-24 years) </w:t>
      </w:r>
      <w:r w:rsidRPr="00CB0C7A">
        <w:rPr>
          <w:rFonts w:eastAsia="Times New Roman"/>
          <w:bCs/>
        </w:rPr>
        <w:t xml:space="preserve">population who are NEET in Regional Australia </w:t>
      </w:r>
      <w:r w:rsidR="00482348">
        <w:rPr>
          <w:rFonts w:eastAsia="Times New Roman"/>
          <w:bCs/>
        </w:rPr>
        <w:t xml:space="preserve">increased </w:t>
      </w:r>
      <w:r w:rsidR="00766F9F">
        <w:rPr>
          <w:rFonts w:eastAsia="Times New Roman"/>
          <w:bCs/>
        </w:rPr>
        <w:t xml:space="preserve">significantly </w:t>
      </w:r>
      <w:r w:rsidR="00482348">
        <w:rPr>
          <w:rFonts w:eastAsia="Times New Roman"/>
          <w:bCs/>
        </w:rPr>
        <w:t xml:space="preserve">over the year, from </w:t>
      </w:r>
      <w:r w:rsidR="009A2329">
        <w:rPr>
          <w:rFonts w:eastAsia="Times New Roman"/>
          <w:bCs/>
        </w:rPr>
        <w:t>12.2% in 2023, to 15.3% in 2024</w:t>
      </w:r>
      <w:r w:rsidR="00766F9F">
        <w:rPr>
          <w:rFonts w:eastAsia="Times New Roman"/>
          <w:bCs/>
        </w:rPr>
        <w:t>.</w:t>
      </w:r>
      <w:r w:rsidR="00EC1399">
        <w:rPr>
          <w:rFonts w:eastAsia="Times New Roman"/>
          <w:bCs/>
        </w:rPr>
        <w:t xml:space="preserve"> </w:t>
      </w:r>
      <w:r w:rsidR="00766F9F">
        <w:rPr>
          <w:rFonts w:eastAsia="Times New Roman"/>
          <w:bCs/>
        </w:rPr>
        <w:t>The increase, of 3.1</w:t>
      </w:r>
      <w:r w:rsidR="005A55B2">
        <w:rPr>
          <w:rFonts w:eastAsia="Times New Roman"/>
          <w:bCs/>
        </w:rPr>
        <w:t xml:space="preserve"> percentage points, was </w:t>
      </w:r>
      <w:r w:rsidR="00A55E1A">
        <w:rPr>
          <w:rFonts w:eastAsia="Times New Roman"/>
          <w:bCs/>
        </w:rPr>
        <w:t>well above the increase in Major Cities, of 0.5 percentage points</w:t>
      </w:r>
      <w:r w:rsidR="00755577">
        <w:rPr>
          <w:rFonts w:eastAsia="Times New Roman"/>
          <w:bCs/>
        </w:rPr>
        <w:t xml:space="preserve">, to 9.4% in 2024. </w:t>
      </w:r>
      <w:r w:rsidR="00372D5E">
        <w:rPr>
          <w:rFonts w:eastAsia="Times New Roman"/>
          <w:bCs/>
        </w:rPr>
        <w:t>The substantial gap</w:t>
      </w:r>
      <w:r w:rsidR="006E57C1">
        <w:rPr>
          <w:rFonts w:eastAsia="Times New Roman"/>
          <w:bCs/>
        </w:rPr>
        <w:t xml:space="preserve"> </w:t>
      </w:r>
      <w:r w:rsidR="007F0502">
        <w:rPr>
          <w:rFonts w:eastAsia="Times New Roman"/>
          <w:bCs/>
        </w:rPr>
        <w:t xml:space="preserve">highlights the additional support that is required for </w:t>
      </w:r>
      <w:r w:rsidR="00433C32">
        <w:rPr>
          <w:rFonts w:eastAsia="Times New Roman"/>
          <w:bCs/>
        </w:rPr>
        <w:t xml:space="preserve">youth in Regional Australia to overcome barriers and move towards participating in education, training and employment. </w:t>
      </w:r>
    </w:p>
    <w:p w14:paraId="702A596A" w14:textId="055A81F2" w:rsidR="00D95E9A" w:rsidRPr="00C9543A" w:rsidRDefault="00596657" w:rsidP="00596657">
      <w:pPr>
        <w:pStyle w:val="Caption"/>
        <w:rPr>
          <w:rFonts w:cs="Arial"/>
          <w:b w:val="0"/>
          <w:lang w:eastAsia="en-AU"/>
        </w:rPr>
      </w:pPr>
      <w:bookmarkStart w:id="101" w:name="_Toc201916580"/>
      <w:r>
        <w:t xml:space="preserve">Figure </w:t>
      </w:r>
      <w:r>
        <w:fldChar w:fldCharType="begin"/>
      </w:r>
      <w:r>
        <w:instrText xml:space="preserve"> SEQ Figure \* ARABIC </w:instrText>
      </w:r>
      <w:r>
        <w:fldChar w:fldCharType="separate"/>
      </w:r>
      <w:r w:rsidR="00471863">
        <w:rPr>
          <w:noProof/>
        </w:rPr>
        <w:t>14</w:t>
      </w:r>
      <w:r>
        <w:fldChar w:fldCharType="end"/>
      </w:r>
      <w:r w:rsidR="00BD1F71">
        <w:t>:</w:t>
      </w:r>
      <w:r w:rsidR="00D95E9A">
        <w:t xml:space="preserve"> </w:t>
      </w:r>
      <w:r w:rsidR="00D95E9A" w:rsidRPr="00165371">
        <w:t xml:space="preserve">Youth </w:t>
      </w:r>
      <w:r w:rsidR="00F80134" w:rsidRPr="00165371">
        <w:t xml:space="preserve">(18-24) </w:t>
      </w:r>
      <w:r w:rsidR="00D95E9A" w:rsidRPr="00165371">
        <w:t>NEET rate (%), by Major City and Regional Australia</w:t>
      </w:r>
      <w:bookmarkEnd w:id="101"/>
      <w:r w:rsidR="00BD1F71">
        <w:t xml:space="preserve"> </w:t>
      </w:r>
    </w:p>
    <w:p w14:paraId="23B52428" w14:textId="53D3C7A9" w:rsidR="00D95E9A" w:rsidRPr="00CB0C7A" w:rsidRDefault="00E56667" w:rsidP="00150467">
      <w:pPr>
        <w:spacing w:before="120" w:after="120"/>
        <w:jc w:val="center"/>
        <w:rPr>
          <w:rFonts w:cs="Arial"/>
          <w:iCs/>
          <w:lang w:eastAsia="en-AU"/>
        </w:rPr>
      </w:pPr>
      <w:r>
        <w:rPr>
          <w:rFonts w:cs="Arial"/>
          <w:iCs/>
          <w:noProof/>
          <w:lang w:eastAsia="en-AU"/>
        </w:rPr>
        <w:drawing>
          <wp:inline distT="0" distB="0" distL="0" distR="0" wp14:anchorId="5658F91D" wp14:editId="21C766A8">
            <wp:extent cx="5730875" cy="2865120"/>
            <wp:effectExtent l="0" t="0" r="3175" b="0"/>
            <wp:docPr id="1508071743" name="Picture 23" descr="A column chart that shows the youth (18-24 years) NEET rate (%) by Major City and Regional Australia. The chart shows that the proportion of the youth population who are NEET in Regional Australia increased significantly over the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71743" name="Picture 23" descr="A column chart that shows the youth (18-24 years) NEET rate (%) by Major City and Regional Australia. The chart shows that the proportion of the youth population who are NEET in Regional Australia increased significantly over the year. "/>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5730875" cy="2865120"/>
                    </a:xfrm>
                    <a:prstGeom prst="rect">
                      <a:avLst/>
                    </a:prstGeom>
                    <a:noFill/>
                  </pic:spPr>
                </pic:pic>
              </a:graphicData>
            </a:graphic>
          </wp:inline>
        </w:drawing>
      </w:r>
    </w:p>
    <w:p w14:paraId="2E4A7C70" w14:textId="26D5972B" w:rsidR="00D95E9A" w:rsidRDefault="00D95E9A" w:rsidP="00D95E9A">
      <w:pPr>
        <w:rPr>
          <w:rFonts w:cs="Arial"/>
          <w:i/>
          <w:iCs/>
          <w:sz w:val="18"/>
          <w:szCs w:val="16"/>
        </w:rPr>
      </w:pPr>
      <w:r w:rsidRPr="00CB0C7A">
        <w:rPr>
          <w:rFonts w:cs="Arial"/>
          <w:i/>
          <w:iCs/>
          <w:sz w:val="18"/>
          <w:szCs w:val="16"/>
        </w:rPr>
        <w:t>Source: ABS, Survey of Education and Work, 2024</w:t>
      </w:r>
    </w:p>
    <w:tbl>
      <w:tblPr>
        <w:tblStyle w:val="CustomTablepulloutbox2"/>
        <w:tblW w:w="0" w:type="auto"/>
        <w:tblLook w:val="04A0" w:firstRow="1" w:lastRow="0" w:firstColumn="1" w:lastColumn="0" w:noHBand="0" w:noVBand="1"/>
      </w:tblPr>
      <w:tblGrid>
        <w:gridCol w:w="8997"/>
      </w:tblGrid>
      <w:tr w:rsidR="00746936" w14:paraId="7E1B7C81" w14:textId="77777777">
        <w:trPr>
          <w:trHeight w:val="1713"/>
        </w:trPr>
        <w:tc>
          <w:tcPr>
            <w:tcW w:w="8997" w:type="dxa"/>
          </w:tcPr>
          <w:p w14:paraId="496D1962" w14:textId="77777777" w:rsidR="00746936" w:rsidRPr="00CC191D" w:rsidRDefault="00746936">
            <w:pPr>
              <w:pStyle w:val="BoxHeading"/>
              <w:jc w:val="center"/>
            </w:pPr>
            <w:r>
              <w:t>Stakeholder insight</w:t>
            </w:r>
          </w:p>
          <w:p w14:paraId="7973A4A8" w14:textId="7331EC98" w:rsidR="00746936" w:rsidRDefault="00306785">
            <w:pPr>
              <w:jc w:val="center"/>
              <w:rPr>
                <w:rFonts w:cs="Arial"/>
                <w:i/>
                <w:iCs/>
                <w:sz w:val="22"/>
                <w:szCs w:val="22"/>
              </w:rPr>
            </w:pPr>
            <w:r>
              <w:rPr>
                <w:rFonts w:cs="Arial"/>
                <w:i/>
                <w:iCs/>
                <w:sz w:val="22"/>
                <w:szCs w:val="22"/>
              </w:rPr>
              <w:t>‘</w:t>
            </w:r>
            <w:r w:rsidR="00746936" w:rsidRPr="00D804EF">
              <w:rPr>
                <w:rFonts w:cs="Arial"/>
                <w:i/>
                <w:iCs/>
                <w:sz w:val="22"/>
                <w:szCs w:val="22"/>
              </w:rPr>
              <w:t>In some regions the social services industry has been fractured and compartmentalised by specialisation, with little collaboration between providers. This makes it difficult for disadvantaged individuals to receive the comprehensive wrap-around support they need. Direct competition in service delivery in Regional Australia often hinders success and should be minimised.</w:t>
            </w:r>
            <w:r>
              <w:rPr>
                <w:rFonts w:cs="Arial"/>
                <w:i/>
                <w:iCs/>
                <w:sz w:val="22"/>
                <w:szCs w:val="22"/>
              </w:rPr>
              <w:t>’</w:t>
            </w:r>
            <w:r w:rsidR="00746936" w:rsidRPr="00D804EF">
              <w:rPr>
                <w:rFonts w:cs="Arial"/>
                <w:i/>
                <w:iCs/>
                <w:sz w:val="22"/>
                <w:szCs w:val="22"/>
              </w:rPr>
              <w:t xml:space="preserve"> </w:t>
            </w:r>
          </w:p>
          <w:p w14:paraId="6480BBFD" w14:textId="77777777" w:rsidR="00746936" w:rsidRPr="00B008EE" w:rsidRDefault="00746936">
            <w:pPr>
              <w:jc w:val="center"/>
              <w:rPr>
                <w:rFonts w:cs="Arial"/>
                <w:b/>
                <w:bCs/>
                <w:sz w:val="22"/>
                <w:szCs w:val="22"/>
              </w:rPr>
            </w:pPr>
            <w:r w:rsidRPr="00B008EE">
              <w:rPr>
                <w:rFonts w:cs="Arial"/>
                <w:b/>
                <w:bCs/>
                <w:sz w:val="22"/>
                <w:szCs w:val="22"/>
              </w:rPr>
              <w:t>Chris Booth</w:t>
            </w:r>
          </w:p>
          <w:p w14:paraId="39B8B599" w14:textId="77777777" w:rsidR="00746936" w:rsidRPr="006F7B00" w:rsidRDefault="00746936">
            <w:pPr>
              <w:jc w:val="center"/>
              <w:rPr>
                <w:rFonts w:cs="Arial"/>
                <w:sz w:val="22"/>
                <w:szCs w:val="22"/>
              </w:rPr>
            </w:pPr>
            <w:r w:rsidRPr="006F7B00">
              <w:rPr>
                <w:rFonts w:cs="Arial"/>
                <w:sz w:val="22"/>
                <w:szCs w:val="22"/>
              </w:rPr>
              <w:t>Local Employment Facilitato</w:t>
            </w:r>
            <w:r>
              <w:rPr>
                <w:rFonts w:cs="Arial"/>
                <w:sz w:val="22"/>
                <w:szCs w:val="22"/>
              </w:rPr>
              <w:t xml:space="preserve">r - </w:t>
            </w:r>
            <w:r w:rsidRPr="006F7B00">
              <w:rPr>
                <w:rFonts w:cs="Arial"/>
                <w:sz w:val="22"/>
                <w:szCs w:val="22"/>
              </w:rPr>
              <w:t>Bendigo</w:t>
            </w:r>
          </w:p>
        </w:tc>
      </w:tr>
    </w:tbl>
    <w:p w14:paraId="7F845D77" w14:textId="77777777" w:rsidR="00746936" w:rsidRDefault="00746936" w:rsidP="00746936"/>
    <w:p w14:paraId="42978243" w14:textId="77777777" w:rsidR="00746936" w:rsidRDefault="00746936" w:rsidP="00D95E9A">
      <w:pPr>
        <w:rPr>
          <w:rFonts w:cs="Arial"/>
          <w:i/>
          <w:sz w:val="18"/>
          <w:szCs w:val="16"/>
        </w:rPr>
      </w:pPr>
    </w:p>
    <w:p w14:paraId="01522BD8" w14:textId="6DC614DC" w:rsidR="00AC73F1" w:rsidRPr="00C9543A" w:rsidRDefault="00596657" w:rsidP="00596657">
      <w:pPr>
        <w:pStyle w:val="Caption"/>
        <w:rPr>
          <w:rFonts w:cs="Arial"/>
          <w:b w:val="0"/>
          <w:lang w:eastAsia="en-AU"/>
        </w:rPr>
      </w:pPr>
      <w:bookmarkStart w:id="102" w:name="_Toc201916581"/>
      <w:r>
        <w:lastRenderedPageBreak/>
        <w:t xml:space="preserve">Figure </w:t>
      </w:r>
      <w:r>
        <w:fldChar w:fldCharType="begin"/>
      </w:r>
      <w:r>
        <w:instrText xml:space="preserve"> SEQ Figure \* ARABIC </w:instrText>
      </w:r>
      <w:r>
        <w:fldChar w:fldCharType="separate"/>
      </w:r>
      <w:r w:rsidR="00471863">
        <w:rPr>
          <w:noProof/>
        </w:rPr>
        <w:t>15</w:t>
      </w:r>
      <w:r>
        <w:fldChar w:fldCharType="end"/>
      </w:r>
      <w:r w:rsidR="003A7886">
        <w:t>:</w:t>
      </w:r>
      <w:r w:rsidR="00AC73F1">
        <w:t xml:space="preserve"> </w:t>
      </w:r>
      <w:r w:rsidR="00AC73F1" w:rsidRPr="00B8196A">
        <w:t xml:space="preserve">Youth (18-24) NEET rate (%), by </w:t>
      </w:r>
      <w:r w:rsidR="00786F67" w:rsidRPr="00B8196A">
        <w:t>gender in</w:t>
      </w:r>
      <w:r w:rsidR="00AC73F1" w:rsidRPr="00B8196A">
        <w:t xml:space="preserve"> Regional Australia</w:t>
      </w:r>
      <w:r w:rsidR="00786F67" w:rsidRPr="00B8196A">
        <w:t>, 2016 and 2021</w:t>
      </w:r>
      <w:bookmarkEnd w:id="102"/>
      <w:r w:rsidR="003A7886">
        <w:t xml:space="preserve"> </w:t>
      </w:r>
    </w:p>
    <w:p w14:paraId="6C8CAA26" w14:textId="24E15C6A" w:rsidR="00AC73F1" w:rsidRDefault="00E56667" w:rsidP="00D95E9A">
      <w:pPr>
        <w:rPr>
          <w:rFonts w:cs="Arial"/>
          <w:i/>
          <w:sz w:val="18"/>
          <w:szCs w:val="16"/>
        </w:rPr>
      </w:pPr>
      <w:r>
        <w:rPr>
          <w:rFonts w:cs="Arial"/>
          <w:i/>
          <w:noProof/>
          <w:sz w:val="18"/>
          <w:szCs w:val="16"/>
        </w:rPr>
        <w:drawing>
          <wp:inline distT="0" distB="0" distL="0" distR="0" wp14:anchorId="5C9CC986" wp14:editId="6D910C6F">
            <wp:extent cx="5761355" cy="2877820"/>
            <wp:effectExtent l="0" t="0" r="0" b="0"/>
            <wp:docPr id="600546906" name="Picture 24" descr="A column chart that shows the youth (18-24 years) NEET rate (%) by gender in Regional Australia from 2016 to 2021. Encouragingly, the chart shows the NEET rate has fallen for both males and females over th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46906" name="Picture 24" descr="A column chart that shows the youth (18-24 years) NEET rate (%) by gender in Regional Australia from 2016 to 2021. Encouragingly, the chart shows the NEET rate has fallen for both males and females over the period. "/>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0" y="0"/>
                      <a:ext cx="5761355" cy="2877820"/>
                    </a:xfrm>
                    <a:prstGeom prst="rect">
                      <a:avLst/>
                    </a:prstGeom>
                    <a:noFill/>
                  </pic:spPr>
                </pic:pic>
              </a:graphicData>
            </a:graphic>
          </wp:inline>
        </w:drawing>
      </w:r>
    </w:p>
    <w:p w14:paraId="185DBFF6" w14:textId="19CBFBAD" w:rsidR="00786F67" w:rsidRDefault="00786F67" w:rsidP="00786F67">
      <w:pPr>
        <w:rPr>
          <w:rFonts w:cs="Arial"/>
          <w:i/>
          <w:iCs/>
          <w:sz w:val="18"/>
          <w:szCs w:val="16"/>
        </w:rPr>
      </w:pPr>
      <w:r w:rsidRPr="00CB0C7A">
        <w:rPr>
          <w:rFonts w:cs="Arial"/>
          <w:i/>
          <w:iCs/>
          <w:sz w:val="18"/>
          <w:szCs w:val="16"/>
        </w:rPr>
        <w:t xml:space="preserve">Source: ABS, </w:t>
      </w:r>
      <w:r>
        <w:rPr>
          <w:rFonts w:cs="Arial"/>
          <w:i/>
          <w:iCs/>
          <w:sz w:val="18"/>
          <w:szCs w:val="16"/>
        </w:rPr>
        <w:t>Census of Population and Housing, 2021 (latest available data)</w:t>
      </w:r>
    </w:p>
    <w:tbl>
      <w:tblPr>
        <w:tblStyle w:val="CustomTablepulloutbox2"/>
        <w:tblW w:w="0" w:type="auto"/>
        <w:tblLook w:val="04A0" w:firstRow="1" w:lastRow="0" w:firstColumn="1" w:lastColumn="0" w:noHBand="0" w:noVBand="1"/>
      </w:tblPr>
      <w:tblGrid>
        <w:gridCol w:w="8997"/>
      </w:tblGrid>
      <w:tr w:rsidR="000816CA" w14:paraId="4F1A47B3" w14:textId="77777777" w:rsidTr="00785DD0">
        <w:tc>
          <w:tcPr>
            <w:tcW w:w="8997" w:type="dxa"/>
          </w:tcPr>
          <w:p w14:paraId="58D34E63" w14:textId="77777777" w:rsidR="000816CA" w:rsidRPr="00B440C7" w:rsidRDefault="000816CA" w:rsidP="00B440C7">
            <w:pPr>
              <w:pStyle w:val="BoxHeading"/>
              <w:jc w:val="center"/>
              <w:rPr>
                <w:sz w:val="24"/>
                <w:szCs w:val="24"/>
              </w:rPr>
            </w:pPr>
            <w:r w:rsidRPr="00B440C7">
              <w:rPr>
                <w:sz w:val="24"/>
                <w:szCs w:val="24"/>
              </w:rPr>
              <w:t>Stakeholder insight</w:t>
            </w:r>
          </w:p>
          <w:p w14:paraId="4ED97ECA" w14:textId="147A2B9E" w:rsidR="000816CA" w:rsidRPr="00CE249D" w:rsidRDefault="00306785" w:rsidP="000816CA">
            <w:pPr>
              <w:jc w:val="center"/>
              <w:rPr>
                <w:rFonts w:cs="Arial"/>
                <w:i/>
                <w:iCs/>
                <w:sz w:val="22"/>
                <w:szCs w:val="22"/>
              </w:rPr>
            </w:pPr>
            <w:r>
              <w:rPr>
                <w:rFonts w:cs="Arial"/>
                <w:i/>
                <w:iCs/>
                <w:sz w:val="22"/>
                <w:szCs w:val="22"/>
              </w:rPr>
              <w:t>‘</w:t>
            </w:r>
            <w:r w:rsidR="000816CA" w:rsidRPr="00CE249D">
              <w:rPr>
                <w:rFonts w:cs="Arial"/>
                <w:i/>
                <w:iCs/>
                <w:sz w:val="22"/>
                <w:szCs w:val="22"/>
              </w:rPr>
              <w:t>Many people in Regional Australia face intergenerational barriers and require a renewed inspiration and activation to encourage higher levels of participation in education and work. Most employers in Regional Australia – including small businesses – are willing and able to help facilitate this.</w:t>
            </w:r>
            <w:r>
              <w:rPr>
                <w:rFonts w:cs="Arial"/>
                <w:i/>
                <w:iCs/>
                <w:sz w:val="22"/>
                <w:szCs w:val="22"/>
              </w:rPr>
              <w:t>’</w:t>
            </w:r>
          </w:p>
          <w:p w14:paraId="773BA6C9" w14:textId="77777777" w:rsidR="00B440C7" w:rsidRPr="00B440C7" w:rsidRDefault="00AB1516" w:rsidP="00B440C7">
            <w:pPr>
              <w:pStyle w:val="BodyText"/>
              <w:jc w:val="center"/>
              <w:rPr>
                <w:b/>
                <w:bCs/>
                <w:sz w:val="22"/>
                <w:szCs w:val="22"/>
              </w:rPr>
            </w:pPr>
            <w:r w:rsidRPr="00B440C7">
              <w:rPr>
                <w:b/>
                <w:sz w:val="22"/>
                <w:szCs w:val="22"/>
              </w:rPr>
              <w:t>Annette Gebhardt</w:t>
            </w:r>
          </w:p>
          <w:p w14:paraId="0CFD18E4" w14:textId="77777777" w:rsidR="00F0669F" w:rsidRDefault="00AB1516" w:rsidP="00B440C7">
            <w:pPr>
              <w:pStyle w:val="BodyText"/>
              <w:jc w:val="center"/>
              <w:rPr>
                <w:sz w:val="22"/>
                <w:szCs w:val="22"/>
                <w:lang w:val="en-AU"/>
              </w:rPr>
            </w:pPr>
            <w:r w:rsidRPr="00CE249D">
              <w:rPr>
                <w:sz w:val="22"/>
                <w:szCs w:val="22"/>
                <w:lang w:val="en-AU"/>
              </w:rPr>
              <w:t>Head of People</w:t>
            </w:r>
          </w:p>
          <w:p w14:paraId="01EBD36A" w14:textId="3E9FA155" w:rsidR="000816CA" w:rsidRPr="00CC191D" w:rsidRDefault="00AB1516" w:rsidP="00B440C7">
            <w:pPr>
              <w:pStyle w:val="BodyText"/>
              <w:jc w:val="center"/>
            </w:pPr>
            <w:r w:rsidRPr="00CE249D">
              <w:rPr>
                <w:sz w:val="22"/>
                <w:szCs w:val="22"/>
                <w:lang w:val="en-AU"/>
              </w:rPr>
              <w:t>3ME Technology</w:t>
            </w:r>
          </w:p>
        </w:tc>
      </w:tr>
    </w:tbl>
    <w:p w14:paraId="31408767" w14:textId="793F17FA" w:rsidR="00AF09EF" w:rsidRPr="00CE249D" w:rsidRDefault="00AF09EF" w:rsidP="00CE249D">
      <w:pPr>
        <w:pStyle w:val="Heading5"/>
      </w:pPr>
      <w:r w:rsidRPr="00CE249D">
        <w:t xml:space="preserve">Prime age </w:t>
      </w:r>
      <w:r w:rsidR="00C2033C" w:rsidRPr="00CE249D">
        <w:t xml:space="preserve">labour force </w:t>
      </w:r>
      <w:r w:rsidRPr="00CE249D">
        <w:t xml:space="preserve">participation rate </w:t>
      </w:r>
    </w:p>
    <w:p w14:paraId="13974A4B" w14:textId="104139A5" w:rsidR="00AF09EF" w:rsidRPr="00F32E54" w:rsidRDefault="006470FB" w:rsidP="006470FB">
      <w:pPr>
        <w:pStyle w:val="Caption"/>
      </w:pPr>
      <w:r>
        <w:t xml:space="preserve">Table </w:t>
      </w:r>
      <w:r>
        <w:fldChar w:fldCharType="begin"/>
      </w:r>
      <w:r>
        <w:instrText xml:space="preserve"> SEQ Table \* ARABIC </w:instrText>
      </w:r>
      <w:r>
        <w:fldChar w:fldCharType="separate"/>
      </w:r>
      <w:r w:rsidR="00471863">
        <w:rPr>
          <w:noProof/>
        </w:rPr>
        <w:t>8</w:t>
      </w:r>
      <w:r>
        <w:fldChar w:fldCharType="end"/>
      </w:r>
      <w:r w:rsidR="00AF09EF" w:rsidRPr="00F32E54">
        <w:rPr>
          <w:rFonts w:cs="Arial"/>
        </w:rPr>
        <w:t xml:space="preserve">: </w:t>
      </w:r>
      <w:r w:rsidR="00AF09EF">
        <w:rPr>
          <w:rFonts w:cs="Arial"/>
        </w:rPr>
        <w:t xml:space="preserve">Prime age participation rate (25-54 years) </w:t>
      </w:r>
      <w:r w:rsidR="00AF09EF" w:rsidRPr="00F32E54">
        <w:rPr>
          <w:rFonts w:cs="Arial"/>
        </w:rPr>
        <w:t>(%)</w:t>
      </w:r>
    </w:p>
    <w:tbl>
      <w:tblPr>
        <w:tblStyle w:val="GridTable5Dark-Accent1"/>
        <w:tblW w:w="9096" w:type="dxa"/>
        <w:tblLook w:val="04A0" w:firstRow="1" w:lastRow="0" w:firstColumn="1" w:lastColumn="0" w:noHBand="0" w:noVBand="1"/>
      </w:tblPr>
      <w:tblGrid>
        <w:gridCol w:w="2301"/>
        <w:gridCol w:w="1168"/>
        <w:gridCol w:w="1168"/>
        <w:gridCol w:w="1752"/>
        <w:gridCol w:w="1010"/>
        <w:gridCol w:w="1697"/>
      </w:tblGrid>
      <w:tr w:rsidR="00AF09EF" w:rsidRPr="00CB0C7A" w14:paraId="5C359E0C" w14:textId="77777777">
        <w:trPr>
          <w:cnfStyle w:val="100000000000" w:firstRow="1" w:lastRow="0" w:firstColumn="0" w:lastColumn="0" w:oddVBand="0" w:evenVBand="0" w:oddHBand="0"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301" w:type="dxa"/>
            <w:tcBorders>
              <w:top w:val="single" w:sz="4" w:space="0" w:color="000000"/>
              <w:left w:val="single" w:sz="4" w:space="0" w:color="000000"/>
              <w:right w:val="single" w:sz="4" w:space="0" w:color="FFFFFF" w:themeColor="background1"/>
            </w:tcBorders>
            <w:shd w:val="clear" w:color="auto" w:fill="370663"/>
          </w:tcPr>
          <w:p w14:paraId="2E09EADA" w14:textId="52DDEFCC" w:rsidR="00AF09EF" w:rsidRPr="00CB0C7A" w:rsidRDefault="00AF09EF">
            <w:pPr>
              <w:rPr>
                <w:rFonts w:cs="Arial"/>
                <w:sz w:val="24"/>
                <w:szCs w:val="24"/>
              </w:rPr>
            </w:pPr>
          </w:p>
        </w:tc>
        <w:tc>
          <w:tcPr>
            <w:tcW w:w="1168" w:type="dxa"/>
            <w:tcBorders>
              <w:top w:val="single" w:sz="4" w:space="0" w:color="000000"/>
              <w:left w:val="single" w:sz="4" w:space="0" w:color="FFFFFF" w:themeColor="background1"/>
              <w:right w:val="single" w:sz="4" w:space="0" w:color="FFFFFF" w:themeColor="background1"/>
            </w:tcBorders>
            <w:shd w:val="clear" w:color="auto" w:fill="370663"/>
            <w:vAlign w:val="center"/>
          </w:tcPr>
          <w:p w14:paraId="4D836B3C" w14:textId="77777777" w:rsidR="00AF09EF" w:rsidRPr="00CB0C7A" w:rsidRDefault="00AF09EF">
            <w:pPr>
              <w:jc w:val="center"/>
              <w:cnfStyle w:val="100000000000" w:firstRow="1" w:lastRow="0" w:firstColumn="0" w:lastColumn="0" w:oddVBand="0" w:evenVBand="0" w:oddHBand="0" w:evenHBand="0" w:firstRowFirstColumn="0" w:firstRowLastColumn="0" w:lastRowFirstColumn="0" w:lastRowLastColumn="0"/>
              <w:rPr>
                <w:rFonts w:cs="Arial"/>
                <w:sz w:val="20"/>
              </w:rPr>
            </w:pPr>
            <w:r w:rsidRPr="00CB0C7A">
              <w:rPr>
                <w:rFonts w:cs="Arial"/>
                <w:sz w:val="20"/>
              </w:rPr>
              <w:t>Current Rating</w:t>
            </w:r>
          </w:p>
        </w:tc>
        <w:tc>
          <w:tcPr>
            <w:tcW w:w="1168" w:type="dxa"/>
            <w:tcBorders>
              <w:top w:val="single" w:sz="4" w:space="0" w:color="000000"/>
              <w:left w:val="single" w:sz="4" w:space="0" w:color="FFFFFF" w:themeColor="background1"/>
              <w:right w:val="single" w:sz="4" w:space="0" w:color="FFFFFF" w:themeColor="background1"/>
            </w:tcBorders>
            <w:shd w:val="clear" w:color="auto" w:fill="370663"/>
            <w:vAlign w:val="center"/>
          </w:tcPr>
          <w:p w14:paraId="45B5C5EC" w14:textId="77777777" w:rsidR="00AF09EF" w:rsidRPr="00CB0C7A" w:rsidRDefault="00AF09EF">
            <w:pPr>
              <w:jc w:val="center"/>
              <w:cnfStyle w:val="100000000000" w:firstRow="1" w:lastRow="0" w:firstColumn="0" w:lastColumn="0" w:oddVBand="0" w:evenVBand="0" w:oddHBand="0" w:evenHBand="0" w:firstRowFirstColumn="0" w:firstRowLastColumn="0" w:lastRowFirstColumn="0" w:lastRowLastColumn="0"/>
              <w:rPr>
                <w:rFonts w:cs="Arial"/>
                <w:sz w:val="20"/>
              </w:rPr>
            </w:pPr>
            <w:r w:rsidRPr="00CB0C7A">
              <w:rPr>
                <w:rFonts w:cs="Arial"/>
                <w:sz w:val="20"/>
              </w:rPr>
              <w:t>Current rate in Regional Australia</w:t>
            </w:r>
          </w:p>
        </w:tc>
        <w:tc>
          <w:tcPr>
            <w:tcW w:w="1752" w:type="dxa"/>
            <w:tcBorders>
              <w:top w:val="single" w:sz="4" w:space="0" w:color="000000"/>
              <w:left w:val="single" w:sz="4" w:space="0" w:color="FFFFFF" w:themeColor="background1"/>
              <w:right w:val="single" w:sz="4" w:space="0" w:color="FFFFFF" w:themeColor="background1"/>
            </w:tcBorders>
            <w:shd w:val="clear" w:color="auto" w:fill="370663"/>
            <w:vAlign w:val="center"/>
          </w:tcPr>
          <w:p w14:paraId="6976C281" w14:textId="77777777" w:rsidR="00AF09EF" w:rsidRPr="00CB0C7A" w:rsidRDefault="00AF09EF">
            <w:pPr>
              <w:jc w:val="center"/>
              <w:cnfStyle w:val="100000000000" w:firstRow="1" w:lastRow="0" w:firstColumn="0" w:lastColumn="0" w:oddVBand="0" w:evenVBand="0" w:oddHBand="0" w:evenHBand="0" w:firstRowFirstColumn="0" w:firstRowLastColumn="0" w:lastRowFirstColumn="0" w:lastRowLastColumn="0"/>
              <w:rPr>
                <w:rFonts w:cs="Arial"/>
                <w:sz w:val="20"/>
              </w:rPr>
            </w:pPr>
            <w:r w:rsidRPr="00CB0C7A">
              <w:rPr>
                <w:rFonts w:cs="Arial"/>
                <w:sz w:val="20"/>
              </w:rPr>
              <w:t>Current Trend</w:t>
            </w:r>
          </w:p>
        </w:tc>
        <w:tc>
          <w:tcPr>
            <w:tcW w:w="1010" w:type="dxa"/>
            <w:tcBorders>
              <w:top w:val="single" w:sz="4" w:space="0" w:color="000000"/>
              <w:left w:val="single" w:sz="4" w:space="0" w:color="FFFFFF" w:themeColor="background1"/>
              <w:right w:val="single" w:sz="4" w:space="0" w:color="FFFFFF" w:themeColor="background1"/>
            </w:tcBorders>
            <w:shd w:val="clear" w:color="auto" w:fill="370663"/>
            <w:vAlign w:val="center"/>
          </w:tcPr>
          <w:p w14:paraId="0C10AB8E" w14:textId="77777777" w:rsidR="00AF09EF" w:rsidRPr="00CB0C7A" w:rsidRDefault="00AF09EF">
            <w:pPr>
              <w:jc w:val="center"/>
              <w:cnfStyle w:val="100000000000" w:firstRow="1" w:lastRow="0" w:firstColumn="0" w:lastColumn="0" w:oddVBand="0" w:evenVBand="0" w:oddHBand="0" w:evenHBand="0" w:firstRowFirstColumn="0" w:firstRowLastColumn="0" w:lastRowFirstColumn="0" w:lastRowLastColumn="0"/>
              <w:rPr>
                <w:rFonts w:cs="Arial"/>
                <w:sz w:val="20"/>
              </w:rPr>
            </w:pPr>
            <w:r w:rsidRPr="00CB0C7A">
              <w:rPr>
                <w:rFonts w:cs="Arial"/>
                <w:sz w:val="20"/>
              </w:rPr>
              <w:t>Best on record</w:t>
            </w:r>
          </w:p>
        </w:tc>
        <w:tc>
          <w:tcPr>
            <w:tcW w:w="1697" w:type="dxa"/>
            <w:tcBorders>
              <w:top w:val="single" w:sz="4" w:space="0" w:color="000000"/>
              <w:left w:val="single" w:sz="4" w:space="0" w:color="FFFFFF" w:themeColor="background1"/>
              <w:right w:val="single" w:sz="4" w:space="0" w:color="000000"/>
            </w:tcBorders>
            <w:shd w:val="clear" w:color="auto" w:fill="370663"/>
            <w:vAlign w:val="center"/>
          </w:tcPr>
          <w:p w14:paraId="76920E25" w14:textId="29B99C46" w:rsidR="00AF09EF" w:rsidRPr="00CB0C7A" w:rsidRDefault="003A7518">
            <w:pPr>
              <w:jc w:val="center"/>
              <w:cnfStyle w:val="100000000000" w:firstRow="1" w:lastRow="0" w:firstColumn="0" w:lastColumn="0" w:oddVBand="0" w:evenVBand="0" w:oddHBand="0" w:evenHBand="0" w:firstRowFirstColumn="0" w:firstRowLastColumn="0" w:lastRowFirstColumn="0" w:lastRowLastColumn="0"/>
              <w:rPr>
                <w:rFonts w:cs="Arial"/>
                <w:sz w:val="20"/>
              </w:rPr>
            </w:pPr>
            <w:r w:rsidRPr="00CB0C7A">
              <w:rPr>
                <w:rFonts w:cs="Arial"/>
                <w:sz w:val="20"/>
              </w:rPr>
              <w:t xml:space="preserve">Gap to </w:t>
            </w:r>
            <w:r>
              <w:rPr>
                <w:rFonts w:cs="Arial"/>
                <w:sz w:val="20"/>
              </w:rPr>
              <w:t>the Major Cities</w:t>
            </w:r>
          </w:p>
        </w:tc>
      </w:tr>
      <w:tr w:rsidR="00425761" w:rsidRPr="00CB0C7A" w14:paraId="2228FEFE" w14:textId="77777777" w:rsidTr="00135B19">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2301" w:type="dxa"/>
            <w:tcBorders>
              <w:left w:val="single" w:sz="4" w:space="0" w:color="000000"/>
              <w:bottom w:val="single" w:sz="4" w:space="0" w:color="000000"/>
            </w:tcBorders>
            <w:shd w:val="clear" w:color="auto" w:fill="E0D1F5"/>
            <w:vAlign w:val="center"/>
          </w:tcPr>
          <w:p w14:paraId="0FFD0EE6" w14:textId="7073BEAF" w:rsidR="00AF09EF" w:rsidRPr="00701B92" w:rsidRDefault="00AF09EF">
            <w:pPr>
              <w:rPr>
                <w:rFonts w:cs="Arial"/>
                <w:b w:val="0"/>
                <w:lang w:eastAsia="en-AU"/>
              </w:rPr>
            </w:pPr>
            <w:r w:rsidRPr="00384E66">
              <w:rPr>
                <w:rFonts w:cs="Arial"/>
                <w:b w:val="0"/>
                <w:color w:val="auto"/>
              </w:rPr>
              <w:t xml:space="preserve">Prime age </w:t>
            </w:r>
            <w:r w:rsidR="00C2033C">
              <w:rPr>
                <w:rFonts w:cs="Arial"/>
                <w:b w:val="0"/>
                <w:color w:val="auto"/>
              </w:rPr>
              <w:t xml:space="preserve">labour force </w:t>
            </w:r>
            <w:r w:rsidRPr="00384E66">
              <w:rPr>
                <w:rFonts w:cs="Arial"/>
                <w:b w:val="0"/>
                <w:color w:val="auto"/>
              </w:rPr>
              <w:t>participation rate (%)</w:t>
            </w:r>
          </w:p>
        </w:tc>
        <w:tc>
          <w:tcPr>
            <w:tcW w:w="1168" w:type="dxa"/>
            <w:tcBorders>
              <w:bottom w:val="single" w:sz="4" w:space="0" w:color="000000"/>
            </w:tcBorders>
            <w:shd w:val="clear" w:color="auto" w:fill="52BD7F"/>
            <w:vAlign w:val="center"/>
          </w:tcPr>
          <w:p w14:paraId="7A314D8A" w14:textId="6C45F2FA" w:rsidR="00AF09EF" w:rsidRPr="009E0E36" w:rsidRDefault="00191B8E">
            <w:pPr>
              <w:jc w:val="center"/>
              <w:cnfStyle w:val="000000100000" w:firstRow="0" w:lastRow="0" w:firstColumn="0" w:lastColumn="0" w:oddVBand="0" w:evenVBand="0" w:oddHBand="1" w:evenHBand="0" w:firstRowFirstColumn="0" w:firstRowLastColumn="0" w:lastRowFirstColumn="0" w:lastRowLastColumn="0"/>
              <w:rPr>
                <w:rFonts w:cs="Arial"/>
              </w:rPr>
            </w:pPr>
            <w:r w:rsidRPr="009E0E36">
              <w:rPr>
                <w:rFonts w:cs="Arial"/>
              </w:rPr>
              <w:t>Green</w:t>
            </w:r>
          </w:p>
        </w:tc>
        <w:tc>
          <w:tcPr>
            <w:tcW w:w="1168" w:type="dxa"/>
            <w:tcBorders>
              <w:bottom w:val="single" w:sz="4" w:space="0" w:color="000000"/>
            </w:tcBorders>
            <w:shd w:val="clear" w:color="auto" w:fill="52BD7F"/>
            <w:vAlign w:val="center"/>
          </w:tcPr>
          <w:p w14:paraId="5078ABFB" w14:textId="049220DF" w:rsidR="00AF09EF" w:rsidRPr="009E0E36" w:rsidRDefault="00A80835">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9E0E36">
              <w:rPr>
                <w:rFonts w:cs="Arial"/>
              </w:rPr>
              <w:t>85.4%</w:t>
            </w:r>
          </w:p>
        </w:tc>
        <w:tc>
          <w:tcPr>
            <w:tcW w:w="1752" w:type="dxa"/>
            <w:tcBorders>
              <w:bottom w:val="single" w:sz="4" w:space="0" w:color="000000"/>
              <w:right w:val="single" w:sz="4" w:space="0" w:color="A6A6A6"/>
            </w:tcBorders>
            <w:shd w:val="clear" w:color="auto" w:fill="F2F2F2" w:themeFill="background1" w:themeFillShade="F2"/>
            <w:vAlign w:val="center"/>
          </w:tcPr>
          <w:p w14:paraId="406A97F9" w14:textId="03F4304B" w:rsidR="00AF09EF" w:rsidRPr="009E0E36" w:rsidRDefault="00A80835">
            <w:pPr>
              <w:spacing w:after="160"/>
              <w:jc w:val="center"/>
              <w:cnfStyle w:val="000000100000" w:firstRow="0" w:lastRow="0" w:firstColumn="0" w:lastColumn="0" w:oddVBand="0" w:evenVBand="0" w:oddHBand="1" w:evenHBand="0" w:firstRowFirstColumn="0" w:firstRowLastColumn="0" w:lastRowFirstColumn="0" w:lastRowLastColumn="0"/>
              <w:rPr>
                <w:rFonts w:cs="Arial"/>
                <w:b/>
                <w:bCs/>
              </w:rPr>
            </w:pPr>
            <w:r w:rsidRPr="009E0E36">
              <w:rPr>
                <w:rFonts w:cs="Arial"/>
                <w:b/>
                <w:bCs/>
              </w:rPr>
              <w:t>Improving</w:t>
            </w:r>
          </w:p>
        </w:tc>
        <w:tc>
          <w:tcPr>
            <w:tcW w:w="1010" w:type="dxa"/>
            <w:tcBorders>
              <w:left w:val="single" w:sz="4" w:space="0" w:color="A6A6A6"/>
              <w:bottom w:val="single" w:sz="4" w:space="0" w:color="000000"/>
              <w:right w:val="single" w:sz="4" w:space="0" w:color="A6A6A6"/>
            </w:tcBorders>
            <w:shd w:val="clear" w:color="auto" w:fill="F2F2F2" w:themeFill="background1" w:themeFillShade="F2"/>
            <w:vAlign w:val="center"/>
          </w:tcPr>
          <w:p w14:paraId="1C6E95E4" w14:textId="77777777" w:rsidR="00AF09EF" w:rsidRPr="009E0E36" w:rsidRDefault="00A80835">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9E0E36">
              <w:rPr>
                <w:rFonts w:cs="Arial"/>
              </w:rPr>
              <w:t>85.4%</w:t>
            </w:r>
          </w:p>
          <w:p w14:paraId="5454F27D" w14:textId="01EF275E" w:rsidR="00A80835" w:rsidRPr="009E0E36" w:rsidRDefault="00A80835">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9E0E36">
              <w:rPr>
                <w:rFonts w:cs="Arial"/>
                <w:sz w:val="20"/>
                <w:szCs w:val="20"/>
              </w:rPr>
              <w:t>(</w:t>
            </w:r>
            <w:r w:rsidR="00012840" w:rsidRPr="009E0E36">
              <w:rPr>
                <w:rFonts w:cs="Arial"/>
                <w:sz w:val="20"/>
                <w:szCs w:val="20"/>
              </w:rPr>
              <w:t>current</w:t>
            </w:r>
            <w:r w:rsidRPr="009E0E36">
              <w:rPr>
                <w:rFonts w:cs="Arial"/>
                <w:sz w:val="20"/>
                <w:szCs w:val="20"/>
              </w:rPr>
              <w:t>)</w:t>
            </w:r>
          </w:p>
        </w:tc>
        <w:tc>
          <w:tcPr>
            <w:tcW w:w="1697" w:type="dxa"/>
            <w:tcBorders>
              <w:left w:val="single" w:sz="4" w:space="0" w:color="A6A6A6"/>
              <w:bottom w:val="single" w:sz="4" w:space="0" w:color="000000"/>
              <w:right w:val="single" w:sz="4" w:space="0" w:color="000000"/>
            </w:tcBorders>
            <w:shd w:val="clear" w:color="auto" w:fill="DF5454"/>
            <w:vAlign w:val="center"/>
          </w:tcPr>
          <w:p w14:paraId="59E786BE" w14:textId="7FF7CA67" w:rsidR="00AF09EF" w:rsidRPr="009E0E36" w:rsidRDefault="00191B8E">
            <w:pPr>
              <w:spacing w:after="160"/>
              <w:jc w:val="center"/>
              <w:cnfStyle w:val="000000100000" w:firstRow="0" w:lastRow="0" w:firstColumn="0" w:lastColumn="0" w:oddVBand="0" w:evenVBand="0" w:oddHBand="1" w:evenHBand="0" w:firstRowFirstColumn="0" w:firstRowLastColumn="0" w:lastRowFirstColumn="0" w:lastRowLastColumn="0"/>
              <w:rPr>
                <w:rFonts w:cs="Arial"/>
                <w:bCs/>
              </w:rPr>
            </w:pPr>
            <w:r w:rsidRPr="009E0E36">
              <w:rPr>
                <w:rFonts w:cs="Arial"/>
                <w:bCs/>
              </w:rPr>
              <w:t>-1.</w:t>
            </w:r>
            <w:r w:rsidR="0072793F" w:rsidRPr="009E0E36">
              <w:rPr>
                <w:rFonts w:cs="Arial"/>
                <w:bCs/>
              </w:rPr>
              <w:t>9</w:t>
            </w:r>
            <w:r w:rsidRPr="009E0E36">
              <w:rPr>
                <w:rFonts w:cs="Arial"/>
                <w:bCs/>
              </w:rPr>
              <w:t>% pts</w:t>
            </w:r>
          </w:p>
        </w:tc>
      </w:tr>
    </w:tbl>
    <w:p w14:paraId="19CB1331" w14:textId="162E8497" w:rsidR="00AF09EF" w:rsidRPr="000775BB" w:rsidRDefault="00AF09EF" w:rsidP="00AF09EF">
      <w:pPr>
        <w:rPr>
          <w:sz w:val="18"/>
          <w:szCs w:val="18"/>
        </w:rPr>
      </w:pPr>
      <w:r w:rsidRPr="000775BB">
        <w:rPr>
          <w:sz w:val="18"/>
          <w:szCs w:val="18"/>
        </w:rPr>
        <w:t xml:space="preserve">Source: ABS, </w:t>
      </w:r>
      <w:r w:rsidRPr="000775BB">
        <w:rPr>
          <w:i/>
          <w:iCs/>
          <w:sz w:val="18"/>
          <w:szCs w:val="18"/>
        </w:rPr>
        <w:t>Labour Force, Detailed,</w:t>
      </w:r>
      <w:r w:rsidR="00A5004E">
        <w:rPr>
          <w:i/>
          <w:iCs/>
          <w:sz w:val="18"/>
          <w:szCs w:val="18"/>
        </w:rPr>
        <w:t xml:space="preserve"> </w:t>
      </w:r>
      <w:r w:rsidR="004071C4">
        <w:rPr>
          <w:sz w:val="18"/>
          <w:szCs w:val="18"/>
        </w:rPr>
        <w:t xml:space="preserve">April </w:t>
      </w:r>
      <w:r w:rsidR="00A5004E" w:rsidRPr="004071C4">
        <w:rPr>
          <w:sz w:val="18"/>
          <w:szCs w:val="18"/>
        </w:rPr>
        <w:t>2025</w:t>
      </w:r>
      <w:r w:rsidR="0050793F">
        <w:rPr>
          <w:i/>
          <w:iCs/>
          <w:sz w:val="18"/>
          <w:szCs w:val="18"/>
        </w:rPr>
        <w:t>,</w:t>
      </w:r>
      <w:r w:rsidRPr="000775BB">
        <w:rPr>
          <w:sz w:val="18"/>
          <w:szCs w:val="18"/>
        </w:rPr>
        <w:t xml:space="preserve"> </w:t>
      </w:r>
      <w:r w:rsidR="005D52A3">
        <w:rPr>
          <w:sz w:val="18"/>
          <w:szCs w:val="18"/>
        </w:rPr>
        <w:t>12</w:t>
      </w:r>
      <w:r w:rsidR="00D56358">
        <w:rPr>
          <w:sz w:val="18"/>
          <w:szCs w:val="18"/>
        </w:rPr>
        <w:t>-</w:t>
      </w:r>
      <w:r w:rsidR="005D52A3">
        <w:rPr>
          <w:sz w:val="18"/>
          <w:szCs w:val="18"/>
        </w:rPr>
        <w:t>month averages of original estimates</w:t>
      </w:r>
    </w:p>
    <w:p w14:paraId="16B7B093" w14:textId="6E89DD34" w:rsidR="00050C1D" w:rsidRPr="00CE249D" w:rsidRDefault="00C51511" w:rsidP="00CE249D">
      <w:pPr>
        <w:pStyle w:val="BodyText"/>
      </w:pPr>
      <w:r w:rsidRPr="00CE249D">
        <w:t xml:space="preserve">The participation rate is an important indicator of the supply of labour. It measures the share of the </w:t>
      </w:r>
      <w:r w:rsidR="003F6939" w:rsidRPr="00CE249D">
        <w:t xml:space="preserve">prime age </w:t>
      </w:r>
      <w:r w:rsidRPr="00CE249D">
        <w:t>population either working or looking for work</w:t>
      </w:r>
      <w:r w:rsidR="00954152" w:rsidRPr="00CE249D">
        <w:t xml:space="preserve">. </w:t>
      </w:r>
      <w:r w:rsidR="004B62FA" w:rsidRPr="004B62FA">
        <w:t>Increasing labour force participation promotes social inclusion and boosts economic potentia</w:t>
      </w:r>
      <w:r w:rsidR="004B62FA">
        <w:t xml:space="preserve">l. </w:t>
      </w:r>
      <w:r w:rsidR="00954152" w:rsidRPr="00CE249D">
        <w:t xml:space="preserve">Over the longer term, the increase in the participation rate has been driven by structural </w:t>
      </w:r>
      <w:r w:rsidR="00C052F9" w:rsidRPr="00CE249D">
        <w:t xml:space="preserve">factors including the rise in participation amongst women and older people. </w:t>
      </w:r>
      <w:r w:rsidR="00AE3ED8" w:rsidRPr="00CE249D">
        <w:t xml:space="preserve">The more recent increases seen in the participation rate is likely a combination of strong population growth, the continued </w:t>
      </w:r>
      <w:r w:rsidR="00AE3ED8" w:rsidRPr="00CE249D">
        <w:lastRenderedPageBreak/>
        <w:t>availability of jobs, greater flexibility in working arrangements</w:t>
      </w:r>
      <w:r w:rsidR="00BF02CA" w:rsidRPr="00CE249D">
        <w:t xml:space="preserve"> and </w:t>
      </w:r>
      <w:r w:rsidR="00AE3ED8" w:rsidRPr="00CE249D">
        <w:t>ongoing cost of living pressures</w:t>
      </w:r>
      <w:r w:rsidR="00BF02CA" w:rsidRPr="00CE249D">
        <w:t>.</w:t>
      </w:r>
      <w:r w:rsidRPr="00CE249D">
        <w:t xml:space="preserve"> </w:t>
      </w:r>
    </w:p>
    <w:p w14:paraId="371168C5" w14:textId="37B000E4" w:rsidR="006A47CB" w:rsidRPr="006A47CB" w:rsidRDefault="00A5004E" w:rsidP="00E65349">
      <w:pPr>
        <w:pStyle w:val="BodyText"/>
        <w:rPr>
          <w:lang w:eastAsia="en-AU"/>
        </w:rPr>
      </w:pPr>
      <w:r>
        <w:rPr>
          <w:lang w:eastAsia="en-AU"/>
        </w:rPr>
        <w:t>The</w:t>
      </w:r>
      <w:r w:rsidR="00EA25B0">
        <w:rPr>
          <w:lang w:eastAsia="en-AU"/>
        </w:rPr>
        <w:t xml:space="preserve"> prime age participation rate in Regional Australia has generally lagged behind that </w:t>
      </w:r>
      <w:r w:rsidR="00F967AE">
        <w:rPr>
          <w:lang w:eastAsia="en-AU"/>
        </w:rPr>
        <w:t>recorded in the</w:t>
      </w:r>
      <w:r w:rsidR="00EA25B0">
        <w:rPr>
          <w:lang w:eastAsia="en-AU"/>
        </w:rPr>
        <w:t xml:space="preserve"> Major </w:t>
      </w:r>
      <w:r w:rsidR="00F967AE">
        <w:rPr>
          <w:lang w:eastAsia="en-AU"/>
        </w:rPr>
        <w:t>Cities</w:t>
      </w:r>
      <w:r w:rsidR="00EA25B0">
        <w:rPr>
          <w:lang w:eastAsia="en-AU"/>
        </w:rPr>
        <w:t xml:space="preserve">, </w:t>
      </w:r>
      <w:r>
        <w:rPr>
          <w:lang w:eastAsia="en-AU"/>
        </w:rPr>
        <w:t xml:space="preserve">although </w:t>
      </w:r>
      <w:r w:rsidR="00EA25B0">
        <w:rPr>
          <w:lang w:eastAsia="en-AU"/>
        </w:rPr>
        <w:t xml:space="preserve">it has </w:t>
      </w:r>
      <w:r w:rsidR="00EA582F">
        <w:rPr>
          <w:lang w:eastAsia="en-AU"/>
        </w:rPr>
        <w:t xml:space="preserve">been </w:t>
      </w:r>
      <w:r w:rsidR="000C5114">
        <w:rPr>
          <w:lang w:eastAsia="en-AU"/>
        </w:rPr>
        <w:t xml:space="preserve">steadily increasing over the last 15 years and </w:t>
      </w:r>
      <w:r w:rsidR="004F1A69">
        <w:rPr>
          <w:lang w:eastAsia="en-AU"/>
        </w:rPr>
        <w:t>is currently</w:t>
      </w:r>
      <w:r w:rsidR="000C5114">
        <w:rPr>
          <w:lang w:eastAsia="en-AU"/>
        </w:rPr>
        <w:t xml:space="preserve"> at </w:t>
      </w:r>
      <w:r w:rsidR="004F1A69">
        <w:rPr>
          <w:lang w:eastAsia="en-AU"/>
        </w:rPr>
        <w:t xml:space="preserve">a </w:t>
      </w:r>
      <w:r w:rsidR="000C5114">
        <w:rPr>
          <w:lang w:eastAsia="en-AU"/>
        </w:rPr>
        <w:t xml:space="preserve">record high, of </w:t>
      </w:r>
      <w:r w:rsidR="00C03251">
        <w:rPr>
          <w:lang w:eastAsia="en-AU"/>
        </w:rPr>
        <w:t>85.4%.</w:t>
      </w:r>
      <w:r w:rsidR="00543C93">
        <w:rPr>
          <w:lang w:eastAsia="en-AU"/>
        </w:rPr>
        <w:t xml:space="preserve"> </w:t>
      </w:r>
    </w:p>
    <w:p w14:paraId="758C1F76" w14:textId="44628D6C" w:rsidR="00BC149A" w:rsidRPr="00BB1161" w:rsidRDefault="00596657" w:rsidP="00596657">
      <w:pPr>
        <w:pStyle w:val="Caption"/>
        <w:rPr>
          <w:rFonts w:cs="Arial"/>
          <w:b w:val="0"/>
        </w:rPr>
      </w:pPr>
      <w:bookmarkStart w:id="103" w:name="_Toc201916582"/>
      <w:r>
        <w:t xml:space="preserve">Figure </w:t>
      </w:r>
      <w:r>
        <w:fldChar w:fldCharType="begin"/>
      </w:r>
      <w:r>
        <w:instrText xml:space="preserve"> SEQ Figure \* ARABIC </w:instrText>
      </w:r>
      <w:r>
        <w:fldChar w:fldCharType="separate"/>
      </w:r>
      <w:r w:rsidR="00471863">
        <w:rPr>
          <w:noProof/>
        </w:rPr>
        <w:t>16</w:t>
      </w:r>
      <w:r>
        <w:fldChar w:fldCharType="end"/>
      </w:r>
      <w:r w:rsidR="00BC149A">
        <w:t>: Prime age (25-54) participation rate (%)</w:t>
      </w:r>
      <w:r w:rsidR="00BC149A" w:rsidRPr="00D9466E">
        <w:t>, by Major City and Regional Australia</w:t>
      </w:r>
      <w:bookmarkEnd w:id="103"/>
    </w:p>
    <w:p w14:paraId="1EE30775" w14:textId="1E775F5E" w:rsidR="00BC149A" w:rsidRDefault="00E56667" w:rsidP="00437043">
      <w:pPr>
        <w:jc w:val="center"/>
        <w:rPr>
          <w:lang w:eastAsia="en-AU"/>
        </w:rPr>
      </w:pPr>
      <w:r>
        <w:rPr>
          <w:noProof/>
          <w:lang w:eastAsia="en-AU"/>
        </w:rPr>
        <w:drawing>
          <wp:inline distT="0" distB="0" distL="0" distR="0" wp14:anchorId="3F3E3780" wp14:editId="03B07100">
            <wp:extent cx="5730875" cy="2865120"/>
            <wp:effectExtent l="0" t="0" r="3175" b="0"/>
            <wp:docPr id="1340791850" name="Picture 25" descr="A line chart showing the prime age (25-54 years) participation rate (%) by Major City and Regional Australia. The chart shows that the prime age participation rate in Regional Australia has generally lagged behind that recorded in the Major Cities, although it has been steadily increasing over the last 15 years and is currently at a record hi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791850" name="Picture 25" descr="A line chart showing the prime age (25-54 years) participation rate (%) by Major City and Regional Australia. The chart shows that the prime age participation rate in Regional Australia has generally lagged behind that recorded in the Major Cities, although it has been steadily increasing over the last 15 years and is currently at a record high. "/>
                    <pic:cNvPicPr>
                      <a:picLocks noChangeAspect="1" noChangeArrowheads="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0" y="0"/>
                      <a:ext cx="5730875" cy="2865120"/>
                    </a:xfrm>
                    <a:prstGeom prst="rect">
                      <a:avLst/>
                    </a:prstGeom>
                    <a:noFill/>
                  </pic:spPr>
                </pic:pic>
              </a:graphicData>
            </a:graphic>
          </wp:inline>
        </w:drawing>
      </w:r>
    </w:p>
    <w:p w14:paraId="0EC90C0D" w14:textId="47061C46" w:rsidR="005D52A3" w:rsidRDefault="005D52A3" w:rsidP="005D52A3">
      <w:pPr>
        <w:rPr>
          <w:sz w:val="18"/>
          <w:szCs w:val="18"/>
        </w:rPr>
      </w:pPr>
      <w:r w:rsidRPr="000775BB">
        <w:rPr>
          <w:sz w:val="18"/>
          <w:szCs w:val="18"/>
        </w:rPr>
        <w:t xml:space="preserve">Source: ABS, </w:t>
      </w:r>
      <w:r w:rsidRPr="000775BB">
        <w:rPr>
          <w:i/>
          <w:iCs/>
          <w:sz w:val="18"/>
          <w:szCs w:val="18"/>
        </w:rPr>
        <w:t>Labour Force, Detailed,</w:t>
      </w:r>
      <w:r w:rsidRPr="000775BB">
        <w:rPr>
          <w:sz w:val="18"/>
          <w:szCs w:val="18"/>
        </w:rPr>
        <w:t xml:space="preserve"> </w:t>
      </w:r>
      <w:r w:rsidR="00437043">
        <w:rPr>
          <w:sz w:val="18"/>
          <w:szCs w:val="18"/>
        </w:rPr>
        <w:t xml:space="preserve">April </w:t>
      </w:r>
      <w:r w:rsidR="00A5004E">
        <w:rPr>
          <w:sz w:val="18"/>
          <w:szCs w:val="18"/>
        </w:rPr>
        <w:t xml:space="preserve">2025, </w:t>
      </w:r>
      <w:r>
        <w:rPr>
          <w:sz w:val="18"/>
          <w:szCs w:val="18"/>
        </w:rPr>
        <w:t>12</w:t>
      </w:r>
      <w:r w:rsidR="00437043">
        <w:rPr>
          <w:sz w:val="18"/>
          <w:szCs w:val="18"/>
        </w:rPr>
        <w:t>-</w:t>
      </w:r>
      <w:r>
        <w:rPr>
          <w:sz w:val="18"/>
          <w:szCs w:val="18"/>
        </w:rPr>
        <w:t>month averages of original estimates</w:t>
      </w:r>
    </w:p>
    <w:p w14:paraId="654E8058" w14:textId="5C3B6E2A" w:rsidR="00050C1D" w:rsidRDefault="00050C1D" w:rsidP="00193201">
      <w:pPr>
        <w:pStyle w:val="BodyText"/>
      </w:pPr>
      <w:r>
        <w:t xml:space="preserve">But not all Australians are </w:t>
      </w:r>
      <w:r w:rsidR="002A4E82">
        <w:t>experiencing the same increases in employment.</w:t>
      </w:r>
      <w:r w:rsidR="0032786E">
        <w:t xml:space="preserve"> Indeed, </w:t>
      </w:r>
      <w:r w:rsidR="001A4B21">
        <w:t xml:space="preserve">complex personal circumstances </w:t>
      </w:r>
      <w:r w:rsidR="00A40729">
        <w:t xml:space="preserve">can make it difficult for an individual to </w:t>
      </w:r>
      <w:r w:rsidR="00550F90">
        <w:t xml:space="preserve">participate in the labour market. </w:t>
      </w:r>
      <w:r w:rsidR="004A766D">
        <w:t>F</w:t>
      </w:r>
      <w:r w:rsidR="000E31F2">
        <w:t xml:space="preserve">amily </w:t>
      </w:r>
      <w:r w:rsidR="00F55112">
        <w:t xml:space="preserve">and </w:t>
      </w:r>
      <w:r w:rsidR="000E31F2">
        <w:t>cultural background</w:t>
      </w:r>
      <w:r w:rsidR="004A766D">
        <w:t xml:space="preserve"> </w:t>
      </w:r>
      <w:r w:rsidR="00F55112">
        <w:t xml:space="preserve">and long-term </w:t>
      </w:r>
      <w:r w:rsidR="000E31F2">
        <w:t>health</w:t>
      </w:r>
      <w:r w:rsidR="00F55112">
        <w:t xml:space="preserve"> conditions</w:t>
      </w:r>
      <w:r w:rsidR="00592AA4">
        <w:t xml:space="preserve"> </w:t>
      </w:r>
      <w:r w:rsidR="00F55112">
        <w:t xml:space="preserve">can all </w:t>
      </w:r>
      <w:r w:rsidR="00932F74">
        <w:t>affect a person’s ability to participate in employment. As can be seen in the chart below,</w:t>
      </w:r>
      <w:r w:rsidR="00F55112">
        <w:t xml:space="preserve"> people</w:t>
      </w:r>
      <w:r w:rsidR="00987C03">
        <w:t xml:space="preserve"> in Regional Australia</w:t>
      </w:r>
      <w:r w:rsidR="00F55112">
        <w:t xml:space="preserve"> with a long-term </w:t>
      </w:r>
      <w:r w:rsidR="00DC0A31">
        <w:t>health condition</w:t>
      </w:r>
      <w:r w:rsidR="002C0E01">
        <w:t xml:space="preserve"> (76.1%)</w:t>
      </w:r>
      <w:r w:rsidR="00DC0A31">
        <w:t>,</w:t>
      </w:r>
      <w:r w:rsidR="00987C03">
        <w:t xml:space="preserve"> or</w:t>
      </w:r>
      <w:r w:rsidR="00DC0A31">
        <w:t xml:space="preserve"> those who identify as </w:t>
      </w:r>
      <w:r w:rsidR="00304C01">
        <w:t>Aboriginal and Torres Strait Islander</w:t>
      </w:r>
      <w:r w:rsidR="002C0E01">
        <w:t xml:space="preserve"> (62.3%)</w:t>
      </w:r>
      <w:r w:rsidR="00DC0A31">
        <w:t xml:space="preserve"> and lone parents</w:t>
      </w:r>
      <w:r w:rsidR="002C0E01">
        <w:t xml:space="preserve"> (73.0%)</w:t>
      </w:r>
      <w:r w:rsidR="00DC0A31">
        <w:t xml:space="preserve"> have participation rates well below </w:t>
      </w:r>
      <w:r w:rsidR="007D610E">
        <w:t xml:space="preserve">the overall participation rate </w:t>
      </w:r>
      <w:r w:rsidR="00987C03">
        <w:t xml:space="preserve">in Regional Australia (85.4%) </w:t>
      </w:r>
      <w:r w:rsidR="007D610E">
        <w:t xml:space="preserve">highlighting the difficulties </w:t>
      </w:r>
      <w:r w:rsidR="002C0E01">
        <w:t>some cohorts with multiple barriers can face.</w:t>
      </w:r>
      <w:r w:rsidR="007D610E">
        <w:t xml:space="preserve"> </w:t>
      </w:r>
    </w:p>
    <w:p w14:paraId="546BE710" w14:textId="1BEE6917" w:rsidR="00A40729" w:rsidRPr="000775BB" w:rsidRDefault="00A40729" w:rsidP="00193201">
      <w:pPr>
        <w:pStyle w:val="BodyText"/>
      </w:pPr>
      <w:r w:rsidRPr="00A40729">
        <w:t>Reducing disadvantage improves Australia’s economic security and resilience by supporting greater economic activity, which also eases pressure on government spending, and bolsters revenue in the face of significant forces including ageing</w:t>
      </w:r>
      <w:r w:rsidR="00E056F1">
        <w:t>.</w:t>
      </w:r>
      <w:r w:rsidR="00CC29D4">
        <w:rPr>
          <w:rStyle w:val="FootnoteReference"/>
        </w:rPr>
        <w:footnoteReference w:id="20"/>
      </w:r>
    </w:p>
    <w:p w14:paraId="6512A476" w14:textId="02DEA3EF" w:rsidR="00DD0EDC" w:rsidRDefault="00596657" w:rsidP="00596657">
      <w:pPr>
        <w:pStyle w:val="Caption"/>
      </w:pPr>
      <w:bookmarkStart w:id="104" w:name="_Toc201916583"/>
      <w:r>
        <w:lastRenderedPageBreak/>
        <w:t xml:space="preserve">Figure </w:t>
      </w:r>
      <w:r>
        <w:fldChar w:fldCharType="begin"/>
      </w:r>
      <w:r>
        <w:instrText xml:space="preserve"> SEQ Figure \* ARABIC </w:instrText>
      </w:r>
      <w:r>
        <w:fldChar w:fldCharType="separate"/>
      </w:r>
      <w:r w:rsidR="00471863">
        <w:rPr>
          <w:noProof/>
        </w:rPr>
        <w:t>17</w:t>
      </w:r>
      <w:r>
        <w:fldChar w:fldCharType="end"/>
      </w:r>
      <w:r w:rsidR="00DD0EDC">
        <w:t>: Prime age (25-54) participation rate (%)</w:t>
      </w:r>
      <w:r w:rsidR="00DD0EDC" w:rsidRPr="00D9466E">
        <w:t xml:space="preserve">, </w:t>
      </w:r>
      <w:r w:rsidR="00DD0EDC">
        <w:t xml:space="preserve">selected cohorts, </w:t>
      </w:r>
      <w:r w:rsidR="00DD0EDC" w:rsidRPr="00D9466E">
        <w:t>Regional Australia</w:t>
      </w:r>
      <w:r w:rsidR="0004525B">
        <w:t xml:space="preserve"> and Major City</w:t>
      </w:r>
      <w:bookmarkEnd w:id="104"/>
    </w:p>
    <w:p w14:paraId="52036870" w14:textId="07DFAA68" w:rsidR="00DD0EDC" w:rsidRPr="00DD0EDC" w:rsidRDefault="00E56667" w:rsidP="00DD0EDC">
      <w:r>
        <w:rPr>
          <w:noProof/>
        </w:rPr>
        <w:drawing>
          <wp:inline distT="0" distB="0" distL="0" distR="0" wp14:anchorId="2935A039" wp14:editId="15BE9F11">
            <wp:extent cx="5730875" cy="2865120"/>
            <wp:effectExtent l="0" t="0" r="3175" b="0"/>
            <wp:docPr id="1265365529" name="Picture 28" descr="A column chart that shows the prime age (25-54 years) participation rate (%) by selected cohorts for Regional Australia and Major Cities. The chart shows that people in Regional Australia with a long-term health conditions, or those who identify as Aboriginal and Torres Strait Islander and lone parents have participation rates well below the overall participation rate in Regional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365529" name="Picture 28" descr="A column chart that shows the prime age (25-54 years) participation rate (%) by selected cohorts for Regional Australia and Major Cities. The chart shows that people in Regional Australia with a long-term health conditions, or those who identify as Aboriginal and Torres Strait Islander and lone parents have participation rates well below the overall participation rate in Regional Australia. "/>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0" y="0"/>
                      <a:ext cx="5730875" cy="2865120"/>
                    </a:xfrm>
                    <a:prstGeom prst="rect">
                      <a:avLst/>
                    </a:prstGeom>
                    <a:noFill/>
                  </pic:spPr>
                </pic:pic>
              </a:graphicData>
            </a:graphic>
          </wp:inline>
        </w:drawing>
      </w:r>
    </w:p>
    <w:p w14:paraId="64C8C6BC" w14:textId="247EA3A3" w:rsidR="00AF191D" w:rsidRDefault="00AF191D" w:rsidP="00AF191D">
      <w:pPr>
        <w:rPr>
          <w:i/>
          <w:sz w:val="18"/>
          <w:szCs w:val="18"/>
        </w:rPr>
      </w:pPr>
      <w:r w:rsidRPr="000775BB">
        <w:rPr>
          <w:sz w:val="18"/>
          <w:szCs w:val="18"/>
        </w:rPr>
        <w:t xml:space="preserve">Source: ABS, </w:t>
      </w:r>
      <w:r>
        <w:rPr>
          <w:i/>
          <w:iCs/>
          <w:sz w:val="18"/>
          <w:szCs w:val="18"/>
        </w:rPr>
        <w:t>Census of Population and Housing, 2021</w:t>
      </w:r>
    </w:p>
    <w:p w14:paraId="45E06969" w14:textId="2549FE25" w:rsidR="0004525B" w:rsidRPr="000775BB" w:rsidRDefault="0004525B" w:rsidP="00AF191D">
      <w:pPr>
        <w:rPr>
          <w:sz w:val="18"/>
          <w:szCs w:val="18"/>
        </w:rPr>
      </w:pPr>
      <w:r>
        <w:rPr>
          <w:i/>
          <w:iCs/>
          <w:sz w:val="18"/>
          <w:szCs w:val="18"/>
        </w:rPr>
        <w:t>*</w:t>
      </w:r>
      <w:r w:rsidRPr="0004525B">
        <w:rPr>
          <w:sz w:val="18"/>
          <w:szCs w:val="18"/>
        </w:rPr>
        <w:t>Prime age participation rate is</w:t>
      </w:r>
      <w:r>
        <w:rPr>
          <w:sz w:val="18"/>
          <w:szCs w:val="18"/>
        </w:rPr>
        <w:t xml:space="preserve"> for April 2025 and is</w:t>
      </w:r>
      <w:r w:rsidRPr="0004525B">
        <w:rPr>
          <w:sz w:val="18"/>
          <w:szCs w:val="18"/>
        </w:rPr>
        <w:t xml:space="preserve"> sourced from</w:t>
      </w:r>
      <w:r>
        <w:rPr>
          <w:i/>
          <w:iCs/>
          <w:sz w:val="18"/>
          <w:szCs w:val="18"/>
        </w:rPr>
        <w:t xml:space="preserve"> ABS, Labour Force, Detailed, </w:t>
      </w:r>
      <w:r>
        <w:rPr>
          <w:sz w:val="18"/>
          <w:szCs w:val="18"/>
        </w:rPr>
        <w:t>12-month averages of original estimates</w:t>
      </w:r>
    </w:p>
    <w:p w14:paraId="14DB23A2" w14:textId="35B6CCD8" w:rsidR="00062E7B" w:rsidRPr="00CE249D" w:rsidRDefault="00062E7B" w:rsidP="00CE249D">
      <w:pPr>
        <w:pStyle w:val="Heading5"/>
      </w:pPr>
      <w:r w:rsidRPr="00CE249D">
        <w:t xml:space="preserve">Unemployment rate </w:t>
      </w:r>
    </w:p>
    <w:p w14:paraId="3EFA12D0" w14:textId="592731AA" w:rsidR="00062E7B" w:rsidRPr="00F32E54" w:rsidRDefault="006470FB" w:rsidP="006470FB">
      <w:pPr>
        <w:pStyle w:val="Caption"/>
      </w:pPr>
      <w:r>
        <w:t xml:space="preserve">Table </w:t>
      </w:r>
      <w:r>
        <w:fldChar w:fldCharType="begin"/>
      </w:r>
      <w:r>
        <w:instrText xml:space="preserve"> SEQ Table \* ARABIC </w:instrText>
      </w:r>
      <w:r>
        <w:fldChar w:fldCharType="separate"/>
      </w:r>
      <w:r w:rsidR="00471863">
        <w:rPr>
          <w:noProof/>
        </w:rPr>
        <w:t>9</w:t>
      </w:r>
      <w:r>
        <w:fldChar w:fldCharType="end"/>
      </w:r>
      <w:r w:rsidR="00062E7B" w:rsidRPr="00F32E54">
        <w:rPr>
          <w:rFonts w:cs="Arial"/>
          <w:b w:val="0"/>
          <w:bCs w:val="0"/>
        </w:rPr>
        <w:t>:</w:t>
      </w:r>
      <w:r w:rsidR="00062E7B" w:rsidRPr="00F32E54">
        <w:rPr>
          <w:rFonts w:cs="Arial"/>
          <w:b w:val="0"/>
        </w:rPr>
        <w:t xml:space="preserve"> </w:t>
      </w:r>
      <w:r w:rsidR="007159AA">
        <w:rPr>
          <w:rFonts w:cs="Arial"/>
          <w:b w:val="0"/>
        </w:rPr>
        <w:t>Unemployment rate</w:t>
      </w:r>
      <w:r w:rsidR="00062E7B" w:rsidRPr="00F32E54">
        <w:rPr>
          <w:rFonts w:cs="Arial"/>
          <w:b w:val="0"/>
        </w:rPr>
        <w:t xml:space="preserve"> (%)</w:t>
      </w:r>
    </w:p>
    <w:tbl>
      <w:tblPr>
        <w:tblStyle w:val="GridTable5Dark-Accent1"/>
        <w:tblW w:w="9096" w:type="dxa"/>
        <w:tblLook w:val="04A0" w:firstRow="1" w:lastRow="0" w:firstColumn="1" w:lastColumn="0" w:noHBand="0" w:noVBand="1"/>
      </w:tblPr>
      <w:tblGrid>
        <w:gridCol w:w="2301"/>
        <w:gridCol w:w="1168"/>
        <w:gridCol w:w="1168"/>
        <w:gridCol w:w="1752"/>
        <w:gridCol w:w="1010"/>
        <w:gridCol w:w="1697"/>
      </w:tblGrid>
      <w:tr w:rsidR="00062E7B" w:rsidRPr="00CB0C7A" w14:paraId="7804FAE9" w14:textId="77777777">
        <w:trPr>
          <w:cnfStyle w:val="100000000000" w:firstRow="1" w:lastRow="0" w:firstColumn="0" w:lastColumn="0" w:oddVBand="0" w:evenVBand="0" w:oddHBand="0"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301" w:type="dxa"/>
            <w:tcBorders>
              <w:top w:val="single" w:sz="4" w:space="0" w:color="000000"/>
              <w:left w:val="single" w:sz="4" w:space="0" w:color="000000"/>
              <w:right w:val="single" w:sz="4" w:space="0" w:color="FFFFFF" w:themeColor="background1"/>
            </w:tcBorders>
            <w:shd w:val="clear" w:color="auto" w:fill="370663"/>
          </w:tcPr>
          <w:p w14:paraId="1A07D998" w14:textId="10E6B714" w:rsidR="00062E7B" w:rsidRPr="002C649E" w:rsidRDefault="00062E7B" w:rsidP="00D56358">
            <w:pPr>
              <w:keepNext/>
              <w:spacing w:after="0"/>
              <w:rPr>
                <w:rFonts w:cs="Arial"/>
                <w:b w:val="0"/>
                <w:bCs w:val="0"/>
                <w:sz w:val="24"/>
                <w:szCs w:val="24"/>
              </w:rPr>
            </w:pPr>
          </w:p>
        </w:tc>
        <w:tc>
          <w:tcPr>
            <w:tcW w:w="1168" w:type="dxa"/>
            <w:tcBorders>
              <w:top w:val="single" w:sz="4" w:space="0" w:color="000000"/>
              <w:left w:val="single" w:sz="4" w:space="0" w:color="FFFFFF" w:themeColor="background1"/>
              <w:right w:val="single" w:sz="4" w:space="0" w:color="FFFFFF" w:themeColor="background1"/>
            </w:tcBorders>
            <w:shd w:val="clear" w:color="auto" w:fill="370663"/>
            <w:vAlign w:val="center"/>
          </w:tcPr>
          <w:p w14:paraId="3A334940" w14:textId="77777777" w:rsidR="00062E7B" w:rsidRPr="00CB0C7A" w:rsidRDefault="00062E7B" w:rsidP="00D56358">
            <w:pPr>
              <w:keepNext/>
              <w:jc w:val="center"/>
              <w:cnfStyle w:val="100000000000" w:firstRow="1" w:lastRow="0" w:firstColumn="0" w:lastColumn="0" w:oddVBand="0" w:evenVBand="0" w:oddHBand="0" w:evenHBand="0" w:firstRowFirstColumn="0" w:firstRowLastColumn="0" w:lastRowFirstColumn="0" w:lastRowLastColumn="0"/>
              <w:rPr>
                <w:rFonts w:cs="Arial"/>
                <w:sz w:val="20"/>
              </w:rPr>
            </w:pPr>
            <w:r w:rsidRPr="00CB0C7A">
              <w:rPr>
                <w:rFonts w:cs="Arial"/>
                <w:sz w:val="20"/>
              </w:rPr>
              <w:t>Current Rating</w:t>
            </w:r>
          </w:p>
        </w:tc>
        <w:tc>
          <w:tcPr>
            <w:tcW w:w="1168" w:type="dxa"/>
            <w:tcBorders>
              <w:top w:val="single" w:sz="4" w:space="0" w:color="000000"/>
              <w:left w:val="single" w:sz="4" w:space="0" w:color="FFFFFF" w:themeColor="background1"/>
              <w:right w:val="single" w:sz="4" w:space="0" w:color="FFFFFF" w:themeColor="background1"/>
            </w:tcBorders>
            <w:shd w:val="clear" w:color="auto" w:fill="370663"/>
            <w:vAlign w:val="center"/>
          </w:tcPr>
          <w:p w14:paraId="5C8DFC75" w14:textId="77777777" w:rsidR="00062E7B" w:rsidRPr="00CB0C7A" w:rsidRDefault="00062E7B" w:rsidP="00D56358">
            <w:pPr>
              <w:keepNext/>
              <w:jc w:val="center"/>
              <w:cnfStyle w:val="100000000000" w:firstRow="1" w:lastRow="0" w:firstColumn="0" w:lastColumn="0" w:oddVBand="0" w:evenVBand="0" w:oddHBand="0" w:evenHBand="0" w:firstRowFirstColumn="0" w:firstRowLastColumn="0" w:lastRowFirstColumn="0" w:lastRowLastColumn="0"/>
              <w:rPr>
                <w:rFonts w:cs="Arial"/>
                <w:sz w:val="20"/>
              </w:rPr>
            </w:pPr>
            <w:r w:rsidRPr="00CB0C7A">
              <w:rPr>
                <w:rFonts w:cs="Arial"/>
                <w:sz w:val="20"/>
              </w:rPr>
              <w:t>Current rate in Regional Australia</w:t>
            </w:r>
          </w:p>
        </w:tc>
        <w:tc>
          <w:tcPr>
            <w:tcW w:w="1752" w:type="dxa"/>
            <w:tcBorders>
              <w:top w:val="single" w:sz="4" w:space="0" w:color="000000"/>
              <w:left w:val="single" w:sz="4" w:space="0" w:color="FFFFFF" w:themeColor="background1"/>
              <w:right w:val="single" w:sz="4" w:space="0" w:color="FFFFFF" w:themeColor="background1"/>
            </w:tcBorders>
            <w:shd w:val="clear" w:color="auto" w:fill="370663"/>
            <w:vAlign w:val="center"/>
          </w:tcPr>
          <w:p w14:paraId="4E1AF709" w14:textId="77777777" w:rsidR="00062E7B" w:rsidRPr="00CB0C7A" w:rsidRDefault="00062E7B" w:rsidP="00D56358">
            <w:pPr>
              <w:keepNext/>
              <w:jc w:val="center"/>
              <w:cnfStyle w:val="100000000000" w:firstRow="1" w:lastRow="0" w:firstColumn="0" w:lastColumn="0" w:oddVBand="0" w:evenVBand="0" w:oddHBand="0" w:evenHBand="0" w:firstRowFirstColumn="0" w:firstRowLastColumn="0" w:lastRowFirstColumn="0" w:lastRowLastColumn="0"/>
              <w:rPr>
                <w:rFonts w:cs="Arial"/>
                <w:sz w:val="20"/>
              </w:rPr>
            </w:pPr>
            <w:r w:rsidRPr="00CB0C7A">
              <w:rPr>
                <w:rFonts w:cs="Arial"/>
                <w:sz w:val="20"/>
              </w:rPr>
              <w:t>Current Trend</w:t>
            </w:r>
          </w:p>
        </w:tc>
        <w:tc>
          <w:tcPr>
            <w:tcW w:w="1010" w:type="dxa"/>
            <w:tcBorders>
              <w:top w:val="single" w:sz="4" w:space="0" w:color="000000"/>
              <w:left w:val="single" w:sz="4" w:space="0" w:color="FFFFFF" w:themeColor="background1"/>
              <w:right w:val="single" w:sz="4" w:space="0" w:color="FFFFFF" w:themeColor="background1"/>
            </w:tcBorders>
            <w:shd w:val="clear" w:color="auto" w:fill="370663"/>
            <w:vAlign w:val="center"/>
          </w:tcPr>
          <w:p w14:paraId="7B83E8A3" w14:textId="77777777" w:rsidR="00062E7B" w:rsidRPr="00CB0C7A" w:rsidRDefault="00062E7B" w:rsidP="00D56358">
            <w:pPr>
              <w:keepNext/>
              <w:jc w:val="center"/>
              <w:cnfStyle w:val="100000000000" w:firstRow="1" w:lastRow="0" w:firstColumn="0" w:lastColumn="0" w:oddVBand="0" w:evenVBand="0" w:oddHBand="0" w:evenHBand="0" w:firstRowFirstColumn="0" w:firstRowLastColumn="0" w:lastRowFirstColumn="0" w:lastRowLastColumn="0"/>
              <w:rPr>
                <w:rFonts w:cs="Arial"/>
                <w:sz w:val="20"/>
              </w:rPr>
            </w:pPr>
            <w:r w:rsidRPr="00CB0C7A">
              <w:rPr>
                <w:rFonts w:cs="Arial"/>
                <w:sz w:val="20"/>
              </w:rPr>
              <w:t>Best on record</w:t>
            </w:r>
          </w:p>
        </w:tc>
        <w:tc>
          <w:tcPr>
            <w:tcW w:w="1697" w:type="dxa"/>
            <w:tcBorders>
              <w:top w:val="single" w:sz="4" w:space="0" w:color="000000"/>
              <w:left w:val="single" w:sz="4" w:space="0" w:color="FFFFFF" w:themeColor="background1"/>
              <w:right w:val="single" w:sz="4" w:space="0" w:color="000000"/>
            </w:tcBorders>
            <w:shd w:val="clear" w:color="auto" w:fill="370663"/>
            <w:vAlign w:val="center"/>
          </w:tcPr>
          <w:p w14:paraId="0E80A34A" w14:textId="135B79AE" w:rsidR="00062E7B" w:rsidRPr="00CB0C7A" w:rsidRDefault="003A7518" w:rsidP="00D56358">
            <w:pPr>
              <w:keepNext/>
              <w:jc w:val="center"/>
              <w:cnfStyle w:val="100000000000" w:firstRow="1" w:lastRow="0" w:firstColumn="0" w:lastColumn="0" w:oddVBand="0" w:evenVBand="0" w:oddHBand="0" w:evenHBand="0" w:firstRowFirstColumn="0" w:firstRowLastColumn="0" w:lastRowFirstColumn="0" w:lastRowLastColumn="0"/>
              <w:rPr>
                <w:rFonts w:cs="Arial"/>
                <w:sz w:val="20"/>
              </w:rPr>
            </w:pPr>
            <w:r w:rsidRPr="00CB0C7A">
              <w:rPr>
                <w:rFonts w:cs="Arial"/>
                <w:sz w:val="20"/>
              </w:rPr>
              <w:t xml:space="preserve">Gap to </w:t>
            </w:r>
            <w:r>
              <w:rPr>
                <w:rFonts w:cs="Arial"/>
                <w:sz w:val="20"/>
              </w:rPr>
              <w:t>the Major Cities</w:t>
            </w:r>
          </w:p>
        </w:tc>
      </w:tr>
      <w:tr w:rsidR="00062E7B" w:rsidRPr="00CB0C7A" w14:paraId="77216DEF" w14:textId="77777777" w:rsidTr="00135B19">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2301" w:type="dxa"/>
            <w:tcBorders>
              <w:left w:val="single" w:sz="4" w:space="0" w:color="000000"/>
              <w:bottom w:val="single" w:sz="4" w:space="0" w:color="000000"/>
            </w:tcBorders>
            <w:shd w:val="clear" w:color="auto" w:fill="E0D1F5"/>
            <w:vAlign w:val="center"/>
          </w:tcPr>
          <w:p w14:paraId="721AC337" w14:textId="5964590D" w:rsidR="00062E7B" w:rsidRPr="00D56358" w:rsidRDefault="00062E7B" w:rsidP="00D56358">
            <w:pPr>
              <w:keepNext/>
              <w:rPr>
                <w:rFonts w:cs="Arial"/>
                <w:b w:val="0"/>
                <w:lang w:eastAsia="en-AU"/>
              </w:rPr>
            </w:pPr>
            <w:r w:rsidRPr="00384E66">
              <w:rPr>
                <w:rFonts w:cs="Arial"/>
                <w:b w:val="0"/>
                <w:color w:val="auto"/>
              </w:rPr>
              <w:t>Unemployment rate (%)</w:t>
            </w:r>
          </w:p>
        </w:tc>
        <w:tc>
          <w:tcPr>
            <w:tcW w:w="1168" w:type="dxa"/>
            <w:tcBorders>
              <w:bottom w:val="single" w:sz="4" w:space="0" w:color="000000"/>
            </w:tcBorders>
            <w:shd w:val="clear" w:color="auto" w:fill="52BD7F"/>
            <w:vAlign w:val="center"/>
          </w:tcPr>
          <w:p w14:paraId="07BFF784" w14:textId="550D5408" w:rsidR="00062E7B" w:rsidRPr="00135B19" w:rsidRDefault="00062E7B" w:rsidP="00D56358">
            <w:pPr>
              <w:keepNext/>
              <w:jc w:val="center"/>
              <w:cnfStyle w:val="000000100000" w:firstRow="0" w:lastRow="0" w:firstColumn="0" w:lastColumn="0" w:oddVBand="0" w:evenVBand="0" w:oddHBand="1" w:evenHBand="0" w:firstRowFirstColumn="0" w:firstRowLastColumn="0" w:lastRowFirstColumn="0" w:lastRowLastColumn="0"/>
              <w:rPr>
                <w:rFonts w:cs="Arial"/>
              </w:rPr>
            </w:pPr>
            <w:r w:rsidRPr="00135B19">
              <w:rPr>
                <w:rFonts w:cs="Arial"/>
              </w:rPr>
              <w:t>Green</w:t>
            </w:r>
          </w:p>
        </w:tc>
        <w:tc>
          <w:tcPr>
            <w:tcW w:w="1168" w:type="dxa"/>
            <w:tcBorders>
              <w:bottom w:val="single" w:sz="4" w:space="0" w:color="000000"/>
            </w:tcBorders>
            <w:shd w:val="clear" w:color="auto" w:fill="52BD7F"/>
            <w:vAlign w:val="center"/>
          </w:tcPr>
          <w:p w14:paraId="6A873108" w14:textId="0F0095D2" w:rsidR="00062E7B" w:rsidRPr="00135B19" w:rsidRDefault="00DA6E3B" w:rsidP="00D56358">
            <w:pPr>
              <w:keepNext/>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135B19">
              <w:rPr>
                <w:rFonts w:cs="Arial"/>
              </w:rPr>
              <w:t>4.0</w:t>
            </w:r>
            <w:r w:rsidR="00062E7B" w:rsidRPr="00135B19">
              <w:rPr>
                <w:rFonts w:cs="Arial"/>
              </w:rPr>
              <w:t>%</w:t>
            </w:r>
          </w:p>
        </w:tc>
        <w:tc>
          <w:tcPr>
            <w:tcW w:w="1752" w:type="dxa"/>
            <w:tcBorders>
              <w:bottom w:val="single" w:sz="4" w:space="0" w:color="000000"/>
              <w:right w:val="single" w:sz="4" w:space="0" w:color="A6A6A6"/>
            </w:tcBorders>
            <w:shd w:val="clear" w:color="auto" w:fill="F2F2F2" w:themeFill="background1" w:themeFillShade="F2"/>
            <w:vAlign w:val="center"/>
          </w:tcPr>
          <w:p w14:paraId="5F70F4F1" w14:textId="7D26EFD3" w:rsidR="00062E7B" w:rsidRPr="00135B19" w:rsidRDefault="00D419D3" w:rsidP="00D56358">
            <w:pPr>
              <w:keepNext/>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135B19">
              <w:rPr>
                <w:rFonts w:cs="Arial"/>
                <w:b/>
                <w:bCs/>
              </w:rPr>
              <w:t>Stable</w:t>
            </w:r>
          </w:p>
        </w:tc>
        <w:tc>
          <w:tcPr>
            <w:tcW w:w="1010" w:type="dxa"/>
            <w:tcBorders>
              <w:left w:val="single" w:sz="4" w:space="0" w:color="A6A6A6"/>
              <w:bottom w:val="single" w:sz="4" w:space="0" w:color="000000"/>
              <w:right w:val="single" w:sz="4" w:space="0" w:color="A6A6A6"/>
            </w:tcBorders>
            <w:shd w:val="clear" w:color="auto" w:fill="F2F2F2" w:themeFill="background1" w:themeFillShade="F2"/>
            <w:vAlign w:val="center"/>
          </w:tcPr>
          <w:p w14:paraId="75BE8D3C" w14:textId="77777777" w:rsidR="00062E7B" w:rsidRPr="00135B19" w:rsidRDefault="00562E3B" w:rsidP="00D56358">
            <w:pPr>
              <w:keepNext/>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135B19">
              <w:rPr>
                <w:rFonts w:cs="Arial"/>
              </w:rPr>
              <w:t>3</w:t>
            </w:r>
            <w:r w:rsidR="00D419D3" w:rsidRPr="00135B19">
              <w:rPr>
                <w:rFonts w:cs="Arial"/>
              </w:rPr>
              <w:t>.</w:t>
            </w:r>
            <w:r w:rsidR="00DE461C" w:rsidRPr="00135B19">
              <w:rPr>
                <w:rFonts w:cs="Arial"/>
              </w:rPr>
              <w:t>2</w:t>
            </w:r>
            <w:r w:rsidRPr="00135B19">
              <w:rPr>
                <w:rFonts w:cs="Arial"/>
              </w:rPr>
              <w:t>%</w:t>
            </w:r>
          </w:p>
          <w:p w14:paraId="0B71B71E" w14:textId="3D903528" w:rsidR="00062E7B" w:rsidRPr="00135B19" w:rsidRDefault="00561172" w:rsidP="00D56358">
            <w:pPr>
              <w:keepNext/>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135B19">
              <w:rPr>
                <w:rFonts w:cs="Arial"/>
              </w:rPr>
              <w:t>(</w:t>
            </w:r>
            <w:r w:rsidR="00D56358" w:rsidRPr="00135B19">
              <w:rPr>
                <w:rFonts w:cs="Arial"/>
              </w:rPr>
              <w:t>2022</w:t>
            </w:r>
            <w:r w:rsidRPr="00135B19">
              <w:rPr>
                <w:rFonts w:cs="Arial"/>
              </w:rPr>
              <w:t>)</w:t>
            </w:r>
          </w:p>
        </w:tc>
        <w:tc>
          <w:tcPr>
            <w:tcW w:w="1697" w:type="dxa"/>
            <w:tcBorders>
              <w:left w:val="single" w:sz="4" w:space="0" w:color="A6A6A6"/>
              <w:bottom w:val="single" w:sz="4" w:space="0" w:color="000000"/>
              <w:right w:val="single" w:sz="4" w:space="0" w:color="000000"/>
            </w:tcBorders>
            <w:shd w:val="clear" w:color="auto" w:fill="52BD7F"/>
            <w:vAlign w:val="center"/>
          </w:tcPr>
          <w:p w14:paraId="248AAD27" w14:textId="38E85293" w:rsidR="00062E7B" w:rsidRPr="00135B19" w:rsidRDefault="00981F56" w:rsidP="00D56358">
            <w:pPr>
              <w:keepNext/>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135B19">
              <w:rPr>
                <w:rFonts w:cs="Arial"/>
              </w:rPr>
              <w:t>-0.</w:t>
            </w:r>
            <w:r w:rsidR="00DA6E3B" w:rsidRPr="00135B19">
              <w:rPr>
                <w:rFonts w:cs="Arial"/>
              </w:rPr>
              <w:t>4</w:t>
            </w:r>
            <w:r w:rsidR="00062E7B" w:rsidRPr="00135B19">
              <w:rPr>
                <w:rFonts w:cs="Arial"/>
              </w:rPr>
              <w:t>% pts</w:t>
            </w:r>
          </w:p>
        </w:tc>
      </w:tr>
    </w:tbl>
    <w:p w14:paraId="6414E35A" w14:textId="7F38003F" w:rsidR="00062E7B" w:rsidRPr="000775BB" w:rsidRDefault="00246A23" w:rsidP="00D56358">
      <w:pPr>
        <w:keepNext/>
        <w:rPr>
          <w:sz w:val="18"/>
          <w:szCs w:val="18"/>
        </w:rPr>
      </w:pPr>
      <w:r w:rsidRPr="000775BB">
        <w:rPr>
          <w:sz w:val="18"/>
          <w:szCs w:val="18"/>
        </w:rPr>
        <w:t xml:space="preserve">Source: ABS, </w:t>
      </w:r>
      <w:r w:rsidRPr="000775BB">
        <w:rPr>
          <w:i/>
          <w:iCs/>
          <w:sz w:val="18"/>
          <w:szCs w:val="18"/>
        </w:rPr>
        <w:t>Labour Force, Detailed</w:t>
      </w:r>
      <w:r w:rsidR="000775BB" w:rsidRPr="000775BB">
        <w:rPr>
          <w:i/>
          <w:iCs/>
          <w:sz w:val="18"/>
          <w:szCs w:val="18"/>
        </w:rPr>
        <w:t>,</w:t>
      </w:r>
      <w:r w:rsidR="000775BB" w:rsidRPr="000775BB">
        <w:rPr>
          <w:sz w:val="18"/>
          <w:szCs w:val="18"/>
        </w:rPr>
        <w:t xml:space="preserve"> </w:t>
      </w:r>
      <w:r w:rsidR="00F033D6">
        <w:rPr>
          <w:sz w:val="18"/>
          <w:szCs w:val="18"/>
        </w:rPr>
        <w:t xml:space="preserve">April </w:t>
      </w:r>
      <w:r w:rsidR="00A5004E">
        <w:rPr>
          <w:sz w:val="18"/>
          <w:szCs w:val="18"/>
        </w:rPr>
        <w:t xml:space="preserve">2025, </w:t>
      </w:r>
      <w:r w:rsidR="000775BB" w:rsidRPr="000775BB">
        <w:rPr>
          <w:sz w:val="18"/>
          <w:szCs w:val="18"/>
        </w:rPr>
        <w:t>modelled estimates</w:t>
      </w:r>
      <w:r w:rsidR="00F033D6">
        <w:rPr>
          <w:sz w:val="18"/>
          <w:szCs w:val="18"/>
        </w:rPr>
        <w:t>, 3-month average of original estimates</w:t>
      </w:r>
    </w:p>
    <w:p w14:paraId="5819F6D1" w14:textId="77777777" w:rsidR="00121ED6" w:rsidRDefault="00246A23" w:rsidP="00E65349">
      <w:pPr>
        <w:pStyle w:val="BodyText"/>
        <w:rPr>
          <w:lang w:eastAsia="en-AU"/>
        </w:rPr>
      </w:pPr>
      <w:r w:rsidRPr="00246A23">
        <w:rPr>
          <w:lang w:eastAsia="en-AU"/>
        </w:rPr>
        <w:t xml:space="preserve">Employment underpins the economic productivity of the nation and enables individuals to support their families and communities. It is fundamentally interwoven with an individual’s health, happiness and wellbeing. By contrast, unemployment can be costly for the individual, the economy and society more broadly. </w:t>
      </w:r>
    </w:p>
    <w:p w14:paraId="018A661F" w14:textId="22094147" w:rsidR="00246A23" w:rsidRPr="00246A23" w:rsidRDefault="00246A23" w:rsidP="00E65349">
      <w:pPr>
        <w:pStyle w:val="BodyText"/>
        <w:rPr>
          <w:lang w:eastAsia="en-AU"/>
        </w:rPr>
      </w:pPr>
      <w:r w:rsidRPr="00246A23">
        <w:rPr>
          <w:lang w:eastAsia="en-AU"/>
        </w:rPr>
        <w:t xml:space="preserve">Ensuring that unemployment is minimised is critical to ensuring that everyone in Regional Australia who is willing to work can obtain a job in a timely manner. </w:t>
      </w:r>
      <w:r w:rsidR="00BC5CC8">
        <w:rPr>
          <w:lang w:eastAsia="en-AU"/>
        </w:rPr>
        <w:t xml:space="preserve">While a level of unemployment will always be prevalent due to what’s termed ‘frictional unemployment’ (as people move between jobs), </w:t>
      </w:r>
      <w:r w:rsidR="00150D42">
        <w:rPr>
          <w:lang w:eastAsia="en-AU"/>
        </w:rPr>
        <w:t>the unemployment rate nonetheless provides an indicator of the incidence of people being marginalised in the labour market, typically due to the barriers they are facing (including skills mismatch).</w:t>
      </w:r>
    </w:p>
    <w:p w14:paraId="357C5F3F" w14:textId="6BE081BD" w:rsidR="00246A23" w:rsidRPr="00246A23" w:rsidRDefault="00246A23" w:rsidP="00E65349">
      <w:pPr>
        <w:pStyle w:val="BodyText"/>
        <w:rPr>
          <w:b/>
          <w:sz w:val="20"/>
        </w:rPr>
      </w:pPr>
      <w:r w:rsidRPr="00246A23">
        <w:rPr>
          <w:lang w:eastAsia="en-AU"/>
        </w:rPr>
        <w:t xml:space="preserve">Since COVID and against the backdrop of strong and sustained labour market conditions, Regional Australia has </w:t>
      </w:r>
      <w:r w:rsidR="002A59D4">
        <w:rPr>
          <w:lang w:eastAsia="en-AU"/>
        </w:rPr>
        <w:t>experienced</w:t>
      </w:r>
      <w:r w:rsidRPr="00246A23">
        <w:rPr>
          <w:lang w:eastAsia="en-AU"/>
        </w:rPr>
        <w:t xml:space="preserve"> historically low levels of unemployment, with the unemployment rate reaching 3.</w:t>
      </w:r>
      <w:r w:rsidR="00C91771">
        <w:rPr>
          <w:lang w:eastAsia="en-AU"/>
        </w:rPr>
        <w:t>2</w:t>
      </w:r>
      <w:r w:rsidRPr="00246A23">
        <w:rPr>
          <w:lang w:eastAsia="en-AU"/>
        </w:rPr>
        <w:t>% in late 2022. While there has been some increase since this time</w:t>
      </w:r>
      <w:r w:rsidR="00D61705">
        <w:rPr>
          <w:lang w:eastAsia="en-AU"/>
        </w:rPr>
        <w:t xml:space="preserve">, </w:t>
      </w:r>
      <w:r w:rsidRPr="00246A23">
        <w:rPr>
          <w:lang w:eastAsia="en-AU"/>
        </w:rPr>
        <w:t xml:space="preserve">Regional Australia’s unemployment rate has </w:t>
      </w:r>
      <w:r w:rsidR="0056102F">
        <w:rPr>
          <w:lang w:eastAsia="en-AU"/>
        </w:rPr>
        <w:t>tended to be</w:t>
      </w:r>
      <w:r w:rsidRPr="00246A23">
        <w:rPr>
          <w:lang w:eastAsia="en-AU"/>
        </w:rPr>
        <w:t xml:space="preserve"> lower than </w:t>
      </w:r>
      <w:r w:rsidR="002B095A">
        <w:rPr>
          <w:lang w:eastAsia="en-AU"/>
        </w:rPr>
        <w:t>for</w:t>
      </w:r>
      <w:r w:rsidRPr="00246A23">
        <w:rPr>
          <w:lang w:eastAsia="en-AU"/>
        </w:rPr>
        <w:t xml:space="preserve"> </w:t>
      </w:r>
      <w:r w:rsidR="008E438C">
        <w:rPr>
          <w:lang w:eastAsia="en-AU"/>
        </w:rPr>
        <w:t>M</w:t>
      </w:r>
      <w:r w:rsidRPr="00246A23">
        <w:rPr>
          <w:lang w:eastAsia="en-AU"/>
        </w:rPr>
        <w:t xml:space="preserve">ajor </w:t>
      </w:r>
      <w:r w:rsidR="002B095A">
        <w:rPr>
          <w:lang w:eastAsia="en-AU"/>
        </w:rPr>
        <w:t>Cities</w:t>
      </w:r>
      <w:r>
        <w:rPr>
          <w:lang w:eastAsia="en-AU"/>
        </w:rPr>
        <w:t>.</w:t>
      </w:r>
      <w:r w:rsidR="00213C38">
        <w:rPr>
          <w:lang w:eastAsia="en-AU"/>
        </w:rPr>
        <w:t xml:space="preserve"> </w:t>
      </w:r>
    </w:p>
    <w:p w14:paraId="4B4EADE6" w14:textId="39569815" w:rsidR="000775BB" w:rsidRPr="00BB1161" w:rsidRDefault="00596657" w:rsidP="00596657">
      <w:pPr>
        <w:pStyle w:val="Caption"/>
        <w:rPr>
          <w:rFonts w:cs="Arial"/>
          <w:b w:val="0"/>
        </w:rPr>
      </w:pPr>
      <w:bookmarkStart w:id="105" w:name="_Toc201916584"/>
      <w:r>
        <w:lastRenderedPageBreak/>
        <w:t xml:space="preserve">Figure </w:t>
      </w:r>
      <w:r>
        <w:fldChar w:fldCharType="begin"/>
      </w:r>
      <w:r>
        <w:instrText xml:space="preserve"> SEQ Figure \* ARABIC </w:instrText>
      </w:r>
      <w:r>
        <w:fldChar w:fldCharType="separate"/>
      </w:r>
      <w:r w:rsidR="00471863">
        <w:rPr>
          <w:noProof/>
        </w:rPr>
        <w:t>18</w:t>
      </w:r>
      <w:r>
        <w:fldChar w:fldCharType="end"/>
      </w:r>
      <w:r w:rsidR="000775BB">
        <w:t>: Unemployment rate</w:t>
      </w:r>
      <w:r w:rsidR="00376172">
        <w:t xml:space="preserve"> (%)</w:t>
      </w:r>
      <w:r w:rsidR="000775BB" w:rsidRPr="00D9466E">
        <w:t>, by Major City and Regional Australia</w:t>
      </w:r>
      <w:bookmarkEnd w:id="105"/>
    </w:p>
    <w:p w14:paraId="5FBEE10C" w14:textId="7547CEB6" w:rsidR="00062E7B" w:rsidRDefault="009D0526" w:rsidP="008A609D">
      <w:r>
        <w:rPr>
          <w:noProof/>
        </w:rPr>
        <w:drawing>
          <wp:inline distT="0" distB="0" distL="0" distR="0" wp14:anchorId="1A60C7C8" wp14:editId="4576B128">
            <wp:extent cx="5730875" cy="2865120"/>
            <wp:effectExtent l="0" t="0" r="3175" b="0"/>
            <wp:docPr id="1235130528" name="Picture 29" descr="A line chart that shows the unemployment rate by Major City and Regional Australia. The chart shows that that since COVID and against the backdrop of strong and sustained labour market conditions, Regional Australia has experienced historically low levels of unemploy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30528" name="Picture 29" descr="A line chart that shows the unemployment rate by Major City and Regional Australia. The chart shows that that since COVID and against the backdrop of strong and sustained labour market conditions, Regional Australia has experienced historically low levels of unemployment. "/>
                    <pic:cNvPicPr>
                      <a:picLocks noChangeAspect="1" noChangeArrowheads="1"/>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0" y="0"/>
                      <a:ext cx="5730875" cy="2865120"/>
                    </a:xfrm>
                    <a:prstGeom prst="rect">
                      <a:avLst/>
                    </a:prstGeom>
                    <a:noFill/>
                  </pic:spPr>
                </pic:pic>
              </a:graphicData>
            </a:graphic>
          </wp:inline>
        </w:drawing>
      </w:r>
    </w:p>
    <w:p w14:paraId="5978654D" w14:textId="58CB0507" w:rsidR="00FA6F11" w:rsidRPr="000775BB" w:rsidRDefault="00FA6F11" w:rsidP="00FA6F11">
      <w:pPr>
        <w:rPr>
          <w:sz w:val="18"/>
          <w:szCs w:val="18"/>
        </w:rPr>
      </w:pPr>
      <w:r w:rsidRPr="000775BB">
        <w:rPr>
          <w:sz w:val="18"/>
          <w:szCs w:val="18"/>
        </w:rPr>
        <w:t xml:space="preserve">Source: ABS, </w:t>
      </w:r>
      <w:r w:rsidRPr="000775BB">
        <w:rPr>
          <w:i/>
          <w:iCs/>
          <w:sz w:val="18"/>
          <w:szCs w:val="18"/>
        </w:rPr>
        <w:t>Labour Force, Detailed,</w:t>
      </w:r>
      <w:r w:rsidRPr="000775BB">
        <w:rPr>
          <w:sz w:val="18"/>
          <w:szCs w:val="18"/>
        </w:rPr>
        <w:t xml:space="preserve"> </w:t>
      </w:r>
      <w:r w:rsidR="00F91803">
        <w:rPr>
          <w:sz w:val="18"/>
          <w:szCs w:val="18"/>
        </w:rPr>
        <w:t xml:space="preserve">April, 2025, </w:t>
      </w:r>
      <w:r w:rsidRPr="000775BB">
        <w:rPr>
          <w:sz w:val="18"/>
          <w:szCs w:val="18"/>
        </w:rPr>
        <w:t>modelled estimates</w:t>
      </w:r>
      <w:r w:rsidR="00F2260F">
        <w:rPr>
          <w:sz w:val="18"/>
          <w:szCs w:val="18"/>
        </w:rPr>
        <w:t>, 3</w:t>
      </w:r>
      <w:r w:rsidR="00175005">
        <w:rPr>
          <w:sz w:val="18"/>
          <w:szCs w:val="18"/>
        </w:rPr>
        <w:t>-</w:t>
      </w:r>
      <w:r w:rsidR="00F2260F">
        <w:rPr>
          <w:sz w:val="18"/>
          <w:szCs w:val="18"/>
        </w:rPr>
        <w:t>month average</w:t>
      </w:r>
      <w:r w:rsidR="00095F04">
        <w:rPr>
          <w:sz w:val="18"/>
          <w:szCs w:val="18"/>
        </w:rPr>
        <w:t xml:space="preserve"> of original estimates</w:t>
      </w:r>
    </w:p>
    <w:p w14:paraId="01CF4C3D" w14:textId="57235028" w:rsidR="00D95E9A" w:rsidRPr="00CE249D" w:rsidRDefault="00D95E9A" w:rsidP="00CE249D">
      <w:pPr>
        <w:pStyle w:val="Heading5"/>
      </w:pPr>
      <w:r w:rsidRPr="00CE249D">
        <w:t xml:space="preserve">Proportion of the </w:t>
      </w:r>
      <w:r w:rsidR="00782AEF" w:rsidRPr="00CE249D">
        <w:t xml:space="preserve">working age </w:t>
      </w:r>
      <w:r w:rsidRPr="00CE249D">
        <w:t>population on income support</w:t>
      </w:r>
      <w:r w:rsidR="00314D7F" w:rsidRPr="00254F39">
        <w:rPr>
          <w:rStyle w:val="FootnoteReference"/>
          <w:b w:val="0"/>
          <w:sz w:val="20"/>
          <w:szCs w:val="20"/>
        </w:rPr>
        <w:footnoteReference w:id="21"/>
      </w:r>
      <w:r w:rsidR="00314D7F" w:rsidRPr="00BD4C65">
        <w:t xml:space="preserve"> </w:t>
      </w:r>
      <w:r w:rsidRPr="00CE249D">
        <w:t xml:space="preserve">for more than </w:t>
      </w:r>
      <w:r w:rsidR="005D668E">
        <w:t>5</w:t>
      </w:r>
      <w:r w:rsidRPr="00CE249D">
        <w:t xml:space="preserve"> years</w:t>
      </w:r>
    </w:p>
    <w:p w14:paraId="0262A447" w14:textId="15E6E679" w:rsidR="00434D48" w:rsidRPr="00F32E54" w:rsidRDefault="006470FB" w:rsidP="006470FB">
      <w:pPr>
        <w:pStyle w:val="Caption"/>
      </w:pPr>
      <w:r>
        <w:t xml:space="preserve">Table </w:t>
      </w:r>
      <w:r>
        <w:fldChar w:fldCharType="begin"/>
      </w:r>
      <w:r>
        <w:instrText xml:space="preserve"> SEQ Table \* ARABIC </w:instrText>
      </w:r>
      <w:r>
        <w:fldChar w:fldCharType="separate"/>
      </w:r>
      <w:r w:rsidR="00471863">
        <w:rPr>
          <w:noProof/>
        </w:rPr>
        <w:t>10</w:t>
      </w:r>
      <w:r>
        <w:fldChar w:fldCharType="end"/>
      </w:r>
      <w:r w:rsidR="00434D48" w:rsidRPr="00F32E54">
        <w:rPr>
          <w:rFonts w:cs="Arial"/>
        </w:rPr>
        <w:t>:</w:t>
      </w:r>
      <w:r w:rsidR="00F80134" w:rsidRPr="00F32E54">
        <w:rPr>
          <w:rFonts w:cs="Arial"/>
        </w:rPr>
        <w:t xml:space="preserve"> Proportion of the </w:t>
      </w:r>
      <w:r w:rsidR="003A105F" w:rsidRPr="00F32E54">
        <w:rPr>
          <w:rFonts w:cs="Arial"/>
        </w:rPr>
        <w:t xml:space="preserve">population (15-64) on income support for more than </w:t>
      </w:r>
      <w:r w:rsidR="005D668E">
        <w:rPr>
          <w:rFonts w:cs="Arial"/>
        </w:rPr>
        <w:t>5</w:t>
      </w:r>
      <w:r w:rsidR="003A105F" w:rsidRPr="00F32E54">
        <w:rPr>
          <w:rFonts w:cs="Arial"/>
        </w:rPr>
        <w:t xml:space="preserve"> years (%)</w:t>
      </w:r>
    </w:p>
    <w:tbl>
      <w:tblPr>
        <w:tblStyle w:val="GridTable5Dark-Accent1"/>
        <w:tblW w:w="9096" w:type="dxa"/>
        <w:tblLook w:val="04A0" w:firstRow="1" w:lastRow="0" w:firstColumn="1" w:lastColumn="0" w:noHBand="0" w:noVBand="1"/>
      </w:tblPr>
      <w:tblGrid>
        <w:gridCol w:w="2301"/>
        <w:gridCol w:w="1168"/>
        <w:gridCol w:w="1168"/>
        <w:gridCol w:w="1752"/>
        <w:gridCol w:w="1010"/>
        <w:gridCol w:w="1697"/>
      </w:tblGrid>
      <w:tr w:rsidR="00D95E9A" w:rsidRPr="00CB0C7A" w14:paraId="50523793" w14:textId="77777777" w:rsidTr="00434D48">
        <w:trPr>
          <w:cnfStyle w:val="100000000000" w:firstRow="1" w:lastRow="0" w:firstColumn="0" w:lastColumn="0" w:oddVBand="0" w:evenVBand="0" w:oddHBand="0"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301" w:type="dxa"/>
            <w:tcBorders>
              <w:top w:val="single" w:sz="4" w:space="0" w:color="000000"/>
              <w:left w:val="single" w:sz="4" w:space="0" w:color="000000"/>
              <w:right w:val="single" w:sz="4" w:space="0" w:color="FFFFFF" w:themeColor="background1"/>
            </w:tcBorders>
            <w:shd w:val="clear" w:color="auto" w:fill="370663"/>
          </w:tcPr>
          <w:p w14:paraId="08AC8493" w14:textId="7AFB30A9" w:rsidR="00D95E9A" w:rsidRPr="00CB0C7A" w:rsidRDefault="00D95E9A">
            <w:pPr>
              <w:rPr>
                <w:rFonts w:cs="Arial"/>
                <w:sz w:val="24"/>
                <w:szCs w:val="24"/>
              </w:rPr>
            </w:pPr>
          </w:p>
        </w:tc>
        <w:tc>
          <w:tcPr>
            <w:tcW w:w="1168" w:type="dxa"/>
            <w:tcBorders>
              <w:top w:val="single" w:sz="4" w:space="0" w:color="000000"/>
              <w:left w:val="single" w:sz="4" w:space="0" w:color="FFFFFF" w:themeColor="background1"/>
              <w:right w:val="single" w:sz="4" w:space="0" w:color="FFFFFF" w:themeColor="background1"/>
            </w:tcBorders>
            <w:shd w:val="clear" w:color="auto" w:fill="370663"/>
            <w:vAlign w:val="center"/>
          </w:tcPr>
          <w:p w14:paraId="5D66BFA8" w14:textId="77777777" w:rsidR="00D95E9A" w:rsidRPr="00CB0C7A" w:rsidRDefault="00D95E9A">
            <w:pPr>
              <w:jc w:val="center"/>
              <w:cnfStyle w:val="100000000000" w:firstRow="1" w:lastRow="0" w:firstColumn="0" w:lastColumn="0" w:oddVBand="0" w:evenVBand="0" w:oddHBand="0" w:evenHBand="0" w:firstRowFirstColumn="0" w:firstRowLastColumn="0" w:lastRowFirstColumn="0" w:lastRowLastColumn="0"/>
              <w:rPr>
                <w:rFonts w:cs="Arial"/>
                <w:sz w:val="20"/>
              </w:rPr>
            </w:pPr>
            <w:r w:rsidRPr="00CB0C7A">
              <w:rPr>
                <w:rFonts w:cs="Arial"/>
                <w:sz w:val="20"/>
              </w:rPr>
              <w:t>Current Rating</w:t>
            </w:r>
          </w:p>
        </w:tc>
        <w:tc>
          <w:tcPr>
            <w:tcW w:w="1168" w:type="dxa"/>
            <w:tcBorders>
              <w:top w:val="single" w:sz="4" w:space="0" w:color="000000"/>
              <w:left w:val="single" w:sz="4" w:space="0" w:color="FFFFFF" w:themeColor="background1"/>
              <w:right w:val="single" w:sz="4" w:space="0" w:color="FFFFFF" w:themeColor="background1"/>
            </w:tcBorders>
            <w:shd w:val="clear" w:color="auto" w:fill="370663"/>
            <w:vAlign w:val="center"/>
          </w:tcPr>
          <w:p w14:paraId="49D37474" w14:textId="77777777" w:rsidR="00D95E9A" w:rsidRPr="00CB0C7A" w:rsidRDefault="00D95E9A">
            <w:pPr>
              <w:jc w:val="center"/>
              <w:cnfStyle w:val="100000000000" w:firstRow="1" w:lastRow="0" w:firstColumn="0" w:lastColumn="0" w:oddVBand="0" w:evenVBand="0" w:oddHBand="0" w:evenHBand="0" w:firstRowFirstColumn="0" w:firstRowLastColumn="0" w:lastRowFirstColumn="0" w:lastRowLastColumn="0"/>
              <w:rPr>
                <w:rFonts w:cs="Arial"/>
                <w:sz w:val="20"/>
              </w:rPr>
            </w:pPr>
            <w:r w:rsidRPr="00CB0C7A">
              <w:rPr>
                <w:rFonts w:cs="Arial"/>
                <w:sz w:val="20"/>
              </w:rPr>
              <w:t>Current rate in Regional Australia</w:t>
            </w:r>
          </w:p>
        </w:tc>
        <w:tc>
          <w:tcPr>
            <w:tcW w:w="1752" w:type="dxa"/>
            <w:tcBorders>
              <w:top w:val="single" w:sz="4" w:space="0" w:color="000000"/>
              <w:left w:val="single" w:sz="4" w:space="0" w:color="FFFFFF" w:themeColor="background1"/>
              <w:right w:val="single" w:sz="4" w:space="0" w:color="FFFFFF" w:themeColor="background1"/>
            </w:tcBorders>
            <w:shd w:val="clear" w:color="auto" w:fill="370663"/>
            <w:vAlign w:val="center"/>
          </w:tcPr>
          <w:p w14:paraId="50276766" w14:textId="77777777" w:rsidR="00D95E9A" w:rsidRPr="00CB0C7A" w:rsidRDefault="00D95E9A">
            <w:pPr>
              <w:jc w:val="center"/>
              <w:cnfStyle w:val="100000000000" w:firstRow="1" w:lastRow="0" w:firstColumn="0" w:lastColumn="0" w:oddVBand="0" w:evenVBand="0" w:oddHBand="0" w:evenHBand="0" w:firstRowFirstColumn="0" w:firstRowLastColumn="0" w:lastRowFirstColumn="0" w:lastRowLastColumn="0"/>
              <w:rPr>
                <w:rFonts w:cs="Arial"/>
                <w:sz w:val="20"/>
              </w:rPr>
            </w:pPr>
            <w:r w:rsidRPr="00CB0C7A">
              <w:rPr>
                <w:rFonts w:cs="Arial"/>
                <w:sz w:val="20"/>
              </w:rPr>
              <w:t>Current Trend</w:t>
            </w:r>
          </w:p>
        </w:tc>
        <w:tc>
          <w:tcPr>
            <w:tcW w:w="1010" w:type="dxa"/>
            <w:tcBorders>
              <w:top w:val="single" w:sz="4" w:space="0" w:color="000000"/>
              <w:left w:val="single" w:sz="4" w:space="0" w:color="FFFFFF" w:themeColor="background1"/>
              <w:right w:val="single" w:sz="4" w:space="0" w:color="FFFFFF" w:themeColor="background1"/>
            </w:tcBorders>
            <w:shd w:val="clear" w:color="auto" w:fill="370663"/>
            <w:vAlign w:val="center"/>
          </w:tcPr>
          <w:p w14:paraId="12B6850E" w14:textId="77777777" w:rsidR="00D95E9A" w:rsidRPr="00CB0C7A" w:rsidRDefault="00D95E9A">
            <w:pPr>
              <w:jc w:val="center"/>
              <w:cnfStyle w:val="100000000000" w:firstRow="1" w:lastRow="0" w:firstColumn="0" w:lastColumn="0" w:oddVBand="0" w:evenVBand="0" w:oddHBand="0" w:evenHBand="0" w:firstRowFirstColumn="0" w:firstRowLastColumn="0" w:lastRowFirstColumn="0" w:lastRowLastColumn="0"/>
              <w:rPr>
                <w:rFonts w:cs="Arial"/>
                <w:sz w:val="20"/>
              </w:rPr>
            </w:pPr>
            <w:r w:rsidRPr="00CB0C7A">
              <w:rPr>
                <w:rFonts w:cs="Arial"/>
                <w:sz w:val="20"/>
              </w:rPr>
              <w:t>Best on record</w:t>
            </w:r>
          </w:p>
        </w:tc>
        <w:tc>
          <w:tcPr>
            <w:tcW w:w="1697" w:type="dxa"/>
            <w:tcBorders>
              <w:top w:val="single" w:sz="4" w:space="0" w:color="000000"/>
              <w:left w:val="single" w:sz="4" w:space="0" w:color="FFFFFF" w:themeColor="background1"/>
              <w:right w:val="single" w:sz="4" w:space="0" w:color="000000"/>
            </w:tcBorders>
            <w:shd w:val="clear" w:color="auto" w:fill="370663"/>
            <w:vAlign w:val="center"/>
          </w:tcPr>
          <w:p w14:paraId="7F1B2B1F" w14:textId="3C6ED91C" w:rsidR="00D95E9A" w:rsidRPr="00CB0C7A" w:rsidRDefault="003A7518">
            <w:pPr>
              <w:jc w:val="center"/>
              <w:cnfStyle w:val="100000000000" w:firstRow="1" w:lastRow="0" w:firstColumn="0" w:lastColumn="0" w:oddVBand="0" w:evenVBand="0" w:oddHBand="0" w:evenHBand="0" w:firstRowFirstColumn="0" w:firstRowLastColumn="0" w:lastRowFirstColumn="0" w:lastRowLastColumn="0"/>
              <w:rPr>
                <w:rFonts w:cs="Arial"/>
                <w:sz w:val="20"/>
              </w:rPr>
            </w:pPr>
            <w:r w:rsidRPr="00CB0C7A">
              <w:rPr>
                <w:rFonts w:cs="Arial"/>
                <w:sz w:val="20"/>
              </w:rPr>
              <w:t xml:space="preserve">Gap to </w:t>
            </w:r>
            <w:r>
              <w:rPr>
                <w:rFonts w:cs="Arial"/>
                <w:sz w:val="20"/>
              </w:rPr>
              <w:t>the Major Cities</w:t>
            </w:r>
          </w:p>
        </w:tc>
      </w:tr>
      <w:tr w:rsidR="00425761" w:rsidRPr="00CB0C7A" w14:paraId="15FDE025" w14:textId="77777777" w:rsidTr="00135B19">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2301" w:type="dxa"/>
            <w:tcBorders>
              <w:left w:val="single" w:sz="4" w:space="0" w:color="000000"/>
              <w:bottom w:val="single" w:sz="4" w:space="0" w:color="000000"/>
            </w:tcBorders>
            <w:shd w:val="clear" w:color="auto" w:fill="E0D1F5"/>
            <w:vAlign w:val="center"/>
          </w:tcPr>
          <w:p w14:paraId="7374E3FB" w14:textId="0463F012" w:rsidR="00D95E9A" w:rsidRPr="00135B19" w:rsidRDefault="00D95E9A">
            <w:pPr>
              <w:rPr>
                <w:rFonts w:cs="Arial"/>
                <w:b w:val="0"/>
                <w:color w:val="auto"/>
                <w:lang w:eastAsia="en-AU"/>
              </w:rPr>
            </w:pPr>
            <w:r w:rsidRPr="00135B19">
              <w:rPr>
                <w:rFonts w:cs="Arial"/>
                <w:b w:val="0"/>
                <w:color w:val="auto"/>
              </w:rPr>
              <w:t>Prop</w:t>
            </w:r>
            <w:r w:rsidR="00782AEF" w:rsidRPr="00135B19">
              <w:rPr>
                <w:rFonts w:cs="Arial"/>
                <w:b w:val="0"/>
                <w:color w:val="auto"/>
              </w:rPr>
              <w:t xml:space="preserve">ortion </w:t>
            </w:r>
            <w:r w:rsidRPr="00135B19">
              <w:rPr>
                <w:rFonts w:cs="Arial"/>
                <w:b w:val="0"/>
                <w:color w:val="auto"/>
              </w:rPr>
              <w:t xml:space="preserve">on income support for more than </w:t>
            </w:r>
            <w:r w:rsidR="0061704F" w:rsidRPr="00135B19">
              <w:rPr>
                <w:rFonts w:cs="Arial"/>
                <w:b w:val="0"/>
                <w:color w:val="auto"/>
              </w:rPr>
              <w:t>5</w:t>
            </w:r>
            <w:r w:rsidRPr="00135B19">
              <w:rPr>
                <w:rFonts w:cs="Arial"/>
                <w:b w:val="0"/>
                <w:color w:val="auto"/>
              </w:rPr>
              <w:t xml:space="preserve"> years</w:t>
            </w:r>
            <w:r w:rsidR="00434D10" w:rsidRPr="00135B19">
              <w:rPr>
                <w:rFonts w:cs="Arial"/>
                <w:b w:val="0"/>
                <w:color w:val="auto"/>
              </w:rPr>
              <w:t xml:space="preserve"> </w:t>
            </w:r>
            <w:r w:rsidRPr="00135B19">
              <w:rPr>
                <w:rFonts w:cs="Arial"/>
                <w:b w:val="0"/>
                <w:color w:val="auto"/>
              </w:rPr>
              <w:t>(%)</w:t>
            </w:r>
          </w:p>
        </w:tc>
        <w:tc>
          <w:tcPr>
            <w:tcW w:w="1168" w:type="dxa"/>
            <w:tcBorders>
              <w:bottom w:val="single" w:sz="4" w:space="0" w:color="000000"/>
            </w:tcBorders>
            <w:shd w:val="clear" w:color="auto" w:fill="DF5454"/>
            <w:vAlign w:val="center"/>
          </w:tcPr>
          <w:p w14:paraId="665B1116" w14:textId="77777777" w:rsidR="00D95E9A" w:rsidRPr="00135B19" w:rsidRDefault="00D95E9A">
            <w:pPr>
              <w:jc w:val="center"/>
              <w:cnfStyle w:val="000000100000" w:firstRow="0" w:lastRow="0" w:firstColumn="0" w:lastColumn="0" w:oddVBand="0" w:evenVBand="0" w:oddHBand="1" w:evenHBand="0" w:firstRowFirstColumn="0" w:firstRowLastColumn="0" w:lastRowFirstColumn="0" w:lastRowLastColumn="0"/>
              <w:rPr>
                <w:rFonts w:cs="Arial"/>
              </w:rPr>
            </w:pPr>
            <w:r w:rsidRPr="00135B19">
              <w:rPr>
                <w:rFonts w:cs="Arial"/>
              </w:rPr>
              <w:t>Red</w:t>
            </w:r>
          </w:p>
        </w:tc>
        <w:tc>
          <w:tcPr>
            <w:tcW w:w="1168" w:type="dxa"/>
            <w:tcBorders>
              <w:bottom w:val="single" w:sz="4" w:space="0" w:color="000000"/>
            </w:tcBorders>
            <w:shd w:val="clear" w:color="auto" w:fill="DF5454"/>
            <w:vAlign w:val="center"/>
          </w:tcPr>
          <w:p w14:paraId="4EAB7167" w14:textId="205BF7FC" w:rsidR="00D95E9A" w:rsidRPr="00135B19" w:rsidRDefault="00D95E9A" w:rsidP="00434D10">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135B19">
              <w:rPr>
                <w:rFonts w:cs="Arial"/>
              </w:rPr>
              <w:t>2.</w:t>
            </w:r>
            <w:r w:rsidR="0094080F" w:rsidRPr="00135B19">
              <w:rPr>
                <w:rFonts w:cs="Arial"/>
              </w:rPr>
              <w:t>4</w:t>
            </w:r>
            <w:r w:rsidRPr="00135B19">
              <w:rPr>
                <w:rFonts w:cs="Arial"/>
              </w:rPr>
              <w:t>%</w:t>
            </w:r>
          </w:p>
        </w:tc>
        <w:tc>
          <w:tcPr>
            <w:tcW w:w="1752" w:type="dxa"/>
            <w:tcBorders>
              <w:bottom w:val="single" w:sz="4" w:space="0" w:color="000000"/>
              <w:right w:val="single" w:sz="4" w:space="0" w:color="A6A6A6"/>
            </w:tcBorders>
            <w:shd w:val="clear" w:color="auto" w:fill="F2F2F2" w:themeFill="background1" w:themeFillShade="F2"/>
            <w:vAlign w:val="center"/>
          </w:tcPr>
          <w:p w14:paraId="222A524A" w14:textId="1D5B236F" w:rsidR="00D95E9A" w:rsidRPr="00135B19" w:rsidRDefault="00333DDB" w:rsidP="00434D10">
            <w:pPr>
              <w:spacing w:after="160"/>
              <w:jc w:val="center"/>
              <w:cnfStyle w:val="000000100000" w:firstRow="0" w:lastRow="0" w:firstColumn="0" w:lastColumn="0" w:oddVBand="0" w:evenVBand="0" w:oddHBand="1" w:evenHBand="0" w:firstRowFirstColumn="0" w:firstRowLastColumn="0" w:lastRowFirstColumn="0" w:lastRowLastColumn="0"/>
              <w:rPr>
                <w:rFonts w:cs="Arial"/>
                <w:b/>
              </w:rPr>
            </w:pPr>
            <w:r w:rsidRPr="00135B19">
              <w:rPr>
                <w:rFonts w:cs="Arial"/>
                <w:b/>
                <w:bCs/>
              </w:rPr>
              <w:t>Stable</w:t>
            </w:r>
          </w:p>
        </w:tc>
        <w:tc>
          <w:tcPr>
            <w:tcW w:w="1010" w:type="dxa"/>
            <w:tcBorders>
              <w:left w:val="single" w:sz="4" w:space="0" w:color="A6A6A6"/>
              <w:bottom w:val="single" w:sz="4" w:space="0" w:color="000000"/>
              <w:right w:val="single" w:sz="4" w:space="0" w:color="A6A6A6"/>
            </w:tcBorders>
            <w:shd w:val="clear" w:color="auto" w:fill="F2F2F2" w:themeFill="background1" w:themeFillShade="F2"/>
            <w:vAlign w:val="center"/>
          </w:tcPr>
          <w:p w14:paraId="5A928C2D" w14:textId="79AA5BA0" w:rsidR="00D95E9A" w:rsidRPr="00135B19" w:rsidRDefault="007B314A" w:rsidP="00434D10">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135B19">
              <w:rPr>
                <w:rFonts w:cs="Arial"/>
              </w:rPr>
              <w:t>2.0</w:t>
            </w:r>
            <w:r w:rsidR="00D95E9A" w:rsidRPr="00135B19">
              <w:rPr>
                <w:rFonts w:cs="Arial"/>
              </w:rPr>
              <w:t>%</w:t>
            </w:r>
          </w:p>
          <w:p w14:paraId="4CA39A81" w14:textId="610B227B" w:rsidR="00D95E9A" w:rsidRPr="00135B19" w:rsidRDefault="001C05E7" w:rsidP="00434D10">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135B19">
              <w:rPr>
                <w:rFonts w:cs="Arial"/>
              </w:rPr>
              <w:t>(</w:t>
            </w:r>
            <w:r w:rsidR="007B314A" w:rsidRPr="00135B19">
              <w:rPr>
                <w:rFonts w:cs="Arial"/>
              </w:rPr>
              <w:t>20</w:t>
            </w:r>
            <w:r w:rsidR="00A169FE" w:rsidRPr="00135B19">
              <w:rPr>
                <w:rFonts w:cs="Arial"/>
              </w:rPr>
              <w:t>15</w:t>
            </w:r>
            <w:r w:rsidRPr="00135B19">
              <w:rPr>
                <w:rFonts w:cs="Arial"/>
              </w:rPr>
              <w:t>)</w:t>
            </w:r>
          </w:p>
        </w:tc>
        <w:tc>
          <w:tcPr>
            <w:tcW w:w="1697" w:type="dxa"/>
            <w:tcBorders>
              <w:left w:val="single" w:sz="4" w:space="0" w:color="A6A6A6"/>
              <w:bottom w:val="single" w:sz="4" w:space="0" w:color="000000"/>
              <w:right w:val="single" w:sz="4" w:space="0" w:color="000000"/>
            </w:tcBorders>
            <w:shd w:val="clear" w:color="auto" w:fill="DF5454"/>
            <w:vAlign w:val="center"/>
          </w:tcPr>
          <w:p w14:paraId="3B6B147D" w14:textId="11B0D570" w:rsidR="00D95E9A" w:rsidRPr="00135B19" w:rsidRDefault="00D95E9A" w:rsidP="00434D10">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135B19">
              <w:rPr>
                <w:rFonts w:cs="Arial"/>
              </w:rPr>
              <w:t>+</w:t>
            </w:r>
            <w:r w:rsidR="00A169FE" w:rsidRPr="00135B19">
              <w:rPr>
                <w:rFonts w:cs="Arial"/>
              </w:rPr>
              <w:t>1.</w:t>
            </w:r>
            <w:r w:rsidR="0094080F" w:rsidRPr="00135B19">
              <w:rPr>
                <w:rFonts w:cs="Arial"/>
              </w:rPr>
              <w:t>1</w:t>
            </w:r>
            <w:r w:rsidRPr="00135B19">
              <w:rPr>
                <w:rFonts w:cs="Arial"/>
              </w:rPr>
              <w:t>% pts</w:t>
            </w:r>
          </w:p>
        </w:tc>
      </w:tr>
    </w:tbl>
    <w:p w14:paraId="478CB206" w14:textId="2EDEA3D1" w:rsidR="00D95E9A" w:rsidRDefault="00D95E9A" w:rsidP="00D95E9A">
      <w:pPr>
        <w:rPr>
          <w:rFonts w:cs="Arial"/>
          <w:i/>
          <w:iCs/>
          <w:sz w:val="18"/>
          <w:szCs w:val="16"/>
        </w:rPr>
      </w:pPr>
      <w:r w:rsidRPr="00CB0C7A">
        <w:rPr>
          <w:rFonts w:cs="Arial"/>
          <w:i/>
          <w:iCs/>
          <w:sz w:val="18"/>
          <w:szCs w:val="16"/>
        </w:rPr>
        <w:t xml:space="preserve">Source: </w:t>
      </w:r>
      <w:r>
        <w:rPr>
          <w:rFonts w:cs="Arial"/>
          <w:i/>
          <w:iCs/>
          <w:sz w:val="18"/>
          <w:szCs w:val="16"/>
        </w:rPr>
        <w:t>DSS, JobSeeker Payment and Youth Allowance (other) Recipients by Duration on Income Support</w:t>
      </w:r>
      <w:r w:rsidR="00A5004E">
        <w:rPr>
          <w:rFonts w:cs="Arial"/>
          <w:i/>
          <w:iCs/>
          <w:sz w:val="18"/>
          <w:szCs w:val="16"/>
        </w:rPr>
        <w:t xml:space="preserve"> and ABS, Labour Force, Detailed, </w:t>
      </w:r>
      <w:r w:rsidR="005078B2">
        <w:rPr>
          <w:rFonts w:cs="Arial"/>
          <w:sz w:val="18"/>
          <w:szCs w:val="16"/>
        </w:rPr>
        <w:t xml:space="preserve">March </w:t>
      </w:r>
      <w:r w:rsidR="00A5004E">
        <w:rPr>
          <w:rFonts w:cs="Arial"/>
          <w:sz w:val="18"/>
          <w:szCs w:val="16"/>
        </w:rPr>
        <w:t>2025</w:t>
      </w:r>
    </w:p>
    <w:p w14:paraId="7B966E10" w14:textId="723A0E5C" w:rsidR="00D95E9A" w:rsidRDefault="00213C38" w:rsidP="00E65349">
      <w:pPr>
        <w:pStyle w:val="BodyText"/>
        <w:rPr>
          <w:iCs/>
          <w:lang w:eastAsia="en-AU"/>
        </w:rPr>
      </w:pPr>
      <w:r>
        <w:rPr>
          <w:iCs/>
          <w:lang w:eastAsia="en-AU"/>
        </w:rPr>
        <w:t>Longer s</w:t>
      </w:r>
      <w:r w:rsidR="00D95E9A" w:rsidRPr="00CB0C7A">
        <w:rPr>
          <w:iCs/>
          <w:lang w:eastAsia="en-AU"/>
        </w:rPr>
        <w:t xml:space="preserve">pells of unemployment are particularly costly, </w:t>
      </w:r>
      <w:r w:rsidR="00D95E9A" w:rsidRPr="00CB0C7A">
        <w:t xml:space="preserve">as people who have been unemployed for long periods of time may face greater difficulty finding employment due to loss of skills, a decline in </w:t>
      </w:r>
      <w:r w:rsidR="009D28EE">
        <w:t xml:space="preserve">confidence and </w:t>
      </w:r>
      <w:r w:rsidR="00D95E9A" w:rsidRPr="00CB0C7A">
        <w:t xml:space="preserve">motivation and the prospect of competing with more highly qualified short-term job seekers. </w:t>
      </w:r>
    </w:p>
    <w:p w14:paraId="25FACE80" w14:textId="02920416" w:rsidR="003A1FD2" w:rsidRDefault="00D95E9A" w:rsidP="00E65349">
      <w:pPr>
        <w:pStyle w:val="BodyText"/>
        <w:rPr>
          <w:rFonts w:eastAsia="Times New Roman"/>
          <w:bCs/>
        </w:rPr>
      </w:pPr>
      <w:r w:rsidRPr="00CB0C7A">
        <w:rPr>
          <w:rFonts w:eastAsia="Times New Roman"/>
          <w:bCs/>
        </w:rPr>
        <w:t xml:space="preserve">While a number of characteristics can influence a person’s likelihood of </w:t>
      </w:r>
      <w:r w:rsidR="00873B78">
        <w:rPr>
          <w:rFonts w:eastAsia="Times New Roman"/>
          <w:bCs/>
        </w:rPr>
        <w:t>becoming part</w:t>
      </w:r>
      <w:r w:rsidRPr="00CB0C7A">
        <w:rPr>
          <w:rFonts w:eastAsia="Times New Roman"/>
          <w:bCs/>
        </w:rPr>
        <w:t xml:space="preserve"> of the </w:t>
      </w:r>
      <w:r w:rsidR="00873B78">
        <w:rPr>
          <w:rFonts w:eastAsia="Times New Roman"/>
          <w:bCs/>
        </w:rPr>
        <w:t>long-term unemployed population</w:t>
      </w:r>
      <w:r w:rsidRPr="00CB0C7A">
        <w:rPr>
          <w:rFonts w:eastAsia="Times New Roman"/>
          <w:bCs/>
        </w:rPr>
        <w:t xml:space="preserve">, </w:t>
      </w:r>
      <w:r w:rsidR="00961B83">
        <w:rPr>
          <w:rFonts w:eastAsia="Times New Roman"/>
          <w:bCs/>
        </w:rPr>
        <w:t>this likelihood</w:t>
      </w:r>
      <w:r w:rsidRPr="00CB0C7A">
        <w:rPr>
          <w:rFonts w:eastAsia="Times New Roman"/>
          <w:bCs/>
        </w:rPr>
        <w:t xml:space="preserve"> generally rises during periods of weak economic growth and labour market activity and tends to decline during periods of strong and sustained growth. </w:t>
      </w:r>
    </w:p>
    <w:p w14:paraId="0DABC330" w14:textId="31C8CC95" w:rsidR="00E65349" w:rsidRDefault="00D95E9A" w:rsidP="00E65349">
      <w:pPr>
        <w:pStyle w:val="BodyText"/>
        <w:rPr>
          <w:rFonts w:eastAsia="Times New Roman"/>
          <w:bCs/>
        </w:rPr>
      </w:pPr>
      <w:r w:rsidRPr="00CB0C7A">
        <w:rPr>
          <w:rFonts w:eastAsia="Times New Roman"/>
          <w:bCs/>
        </w:rPr>
        <w:t xml:space="preserve">Against the backdrop of relatively solid employment growth recently, </w:t>
      </w:r>
      <w:r>
        <w:rPr>
          <w:rFonts w:eastAsia="Times New Roman"/>
          <w:bCs/>
        </w:rPr>
        <w:t xml:space="preserve">those who have been on income support for more than 5 years </w:t>
      </w:r>
      <w:r w:rsidRPr="00CB0C7A">
        <w:rPr>
          <w:rFonts w:eastAsia="Times New Roman"/>
          <w:bCs/>
        </w:rPr>
        <w:t xml:space="preserve">in Regional Australia </w:t>
      </w:r>
      <w:r>
        <w:rPr>
          <w:rFonts w:eastAsia="Times New Roman"/>
          <w:bCs/>
        </w:rPr>
        <w:t xml:space="preserve">had been </w:t>
      </w:r>
      <w:r w:rsidR="00272C4B">
        <w:rPr>
          <w:rFonts w:eastAsia="Times New Roman"/>
          <w:bCs/>
        </w:rPr>
        <w:t xml:space="preserve">generally </w:t>
      </w:r>
      <w:r>
        <w:rPr>
          <w:rFonts w:eastAsia="Times New Roman"/>
          <w:bCs/>
        </w:rPr>
        <w:t xml:space="preserve">declining although there has been a recent tick-up in the second half of 2024. </w:t>
      </w:r>
      <w:r w:rsidRPr="00CB0C7A">
        <w:rPr>
          <w:rFonts w:eastAsia="Times New Roman"/>
          <w:bCs/>
        </w:rPr>
        <w:t xml:space="preserve">Despite </w:t>
      </w:r>
      <w:r>
        <w:rPr>
          <w:rFonts w:eastAsia="Times New Roman"/>
          <w:bCs/>
        </w:rPr>
        <w:t>some</w:t>
      </w:r>
      <w:r w:rsidRPr="00CB0C7A">
        <w:rPr>
          <w:rFonts w:eastAsia="Times New Roman"/>
          <w:bCs/>
        </w:rPr>
        <w:t xml:space="preserve"> </w:t>
      </w:r>
      <w:r w:rsidRPr="00CB0C7A">
        <w:rPr>
          <w:rFonts w:eastAsia="Times New Roman"/>
          <w:bCs/>
        </w:rPr>
        <w:lastRenderedPageBreak/>
        <w:t>improvement</w:t>
      </w:r>
      <w:r w:rsidR="004561C4">
        <w:rPr>
          <w:rFonts w:eastAsia="Times New Roman"/>
          <w:bCs/>
        </w:rPr>
        <w:t xml:space="preserve"> in recent years</w:t>
      </w:r>
      <w:r w:rsidRPr="00CB0C7A">
        <w:rPr>
          <w:rFonts w:eastAsia="Times New Roman"/>
          <w:bCs/>
        </w:rPr>
        <w:t xml:space="preserve">, </w:t>
      </w:r>
      <w:r>
        <w:rPr>
          <w:rFonts w:eastAsia="Times New Roman"/>
          <w:bCs/>
        </w:rPr>
        <w:t>the proportion of the</w:t>
      </w:r>
      <w:r w:rsidR="00A169FE">
        <w:rPr>
          <w:rFonts w:eastAsia="Times New Roman"/>
          <w:bCs/>
        </w:rPr>
        <w:t xml:space="preserve"> working age</w:t>
      </w:r>
      <w:r>
        <w:rPr>
          <w:rFonts w:eastAsia="Times New Roman"/>
          <w:bCs/>
        </w:rPr>
        <w:t xml:space="preserve"> population on long-term income support</w:t>
      </w:r>
      <w:r w:rsidRPr="00CB0C7A">
        <w:rPr>
          <w:rFonts w:eastAsia="Times New Roman"/>
          <w:bCs/>
        </w:rPr>
        <w:t xml:space="preserve"> in Regional Australia </w:t>
      </w:r>
      <w:r>
        <w:rPr>
          <w:rFonts w:eastAsia="Times New Roman"/>
          <w:bCs/>
        </w:rPr>
        <w:t xml:space="preserve">remains well above the rate </w:t>
      </w:r>
      <w:r w:rsidR="009C2F4C">
        <w:rPr>
          <w:rFonts w:eastAsia="Times New Roman"/>
          <w:bCs/>
        </w:rPr>
        <w:t>recorded</w:t>
      </w:r>
      <w:r w:rsidRPr="00CB0C7A">
        <w:rPr>
          <w:rFonts w:eastAsia="Times New Roman"/>
          <w:bCs/>
        </w:rPr>
        <w:t xml:space="preserve"> </w:t>
      </w:r>
      <w:r w:rsidR="00F22EE8">
        <w:rPr>
          <w:rFonts w:eastAsia="Times New Roman"/>
          <w:bCs/>
        </w:rPr>
        <w:t>in the</w:t>
      </w:r>
      <w:r w:rsidRPr="00CB0C7A">
        <w:rPr>
          <w:rFonts w:eastAsia="Times New Roman"/>
          <w:bCs/>
        </w:rPr>
        <w:t xml:space="preserve"> </w:t>
      </w:r>
      <w:r w:rsidR="008E438C">
        <w:rPr>
          <w:rFonts w:eastAsia="Times New Roman"/>
          <w:bCs/>
        </w:rPr>
        <w:t>M</w:t>
      </w:r>
      <w:r w:rsidRPr="00CB0C7A">
        <w:rPr>
          <w:rFonts w:eastAsia="Times New Roman"/>
          <w:bCs/>
        </w:rPr>
        <w:t xml:space="preserve">ajor </w:t>
      </w:r>
      <w:r w:rsidR="009C2F4C">
        <w:rPr>
          <w:rFonts w:eastAsia="Times New Roman"/>
          <w:bCs/>
        </w:rPr>
        <w:t>Cities</w:t>
      </w:r>
      <w:r w:rsidRPr="00CB0C7A">
        <w:rPr>
          <w:rFonts w:eastAsia="Times New Roman"/>
          <w:bCs/>
        </w:rPr>
        <w:t xml:space="preserve"> </w:t>
      </w:r>
      <w:r>
        <w:rPr>
          <w:rFonts w:eastAsia="Times New Roman"/>
          <w:bCs/>
        </w:rPr>
        <w:t>(2.</w:t>
      </w:r>
      <w:r w:rsidR="0094080F">
        <w:rPr>
          <w:rFonts w:eastAsia="Times New Roman"/>
          <w:bCs/>
        </w:rPr>
        <w:t>4</w:t>
      </w:r>
      <w:r>
        <w:rPr>
          <w:rFonts w:eastAsia="Times New Roman"/>
          <w:bCs/>
        </w:rPr>
        <w:t>% compared with 1.3%)</w:t>
      </w:r>
      <w:r w:rsidR="002534DE">
        <w:rPr>
          <w:rFonts w:eastAsia="Times New Roman"/>
          <w:bCs/>
        </w:rPr>
        <w:t xml:space="preserve">, with around 1 in 45 people </w:t>
      </w:r>
      <w:r w:rsidR="00B833BB">
        <w:rPr>
          <w:rFonts w:eastAsia="Times New Roman"/>
          <w:bCs/>
        </w:rPr>
        <w:t xml:space="preserve">(aged 15-64 years) </w:t>
      </w:r>
      <w:r w:rsidR="002534DE">
        <w:rPr>
          <w:rFonts w:eastAsia="Times New Roman"/>
          <w:bCs/>
        </w:rPr>
        <w:t xml:space="preserve">in Regional Australia having been on income support </w:t>
      </w:r>
      <w:r w:rsidR="0094198C">
        <w:rPr>
          <w:rFonts w:eastAsia="Times New Roman"/>
          <w:bCs/>
        </w:rPr>
        <w:t xml:space="preserve">for </w:t>
      </w:r>
      <w:r w:rsidR="002534DE">
        <w:rPr>
          <w:rFonts w:eastAsia="Times New Roman"/>
          <w:bCs/>
        </w:rPr>
        <w:t xml:space="preserve">more than </w:t>
      </w:r>
      <w:r w:rsidR="00285E8D">
        <w:rPr>
          <w:rFonts w:eastAsia="Times New Roman"/>
          <w:bCs/>
        </w:rPr>
        <w:t>5</w:t>
      </w:r>
      <w:r w:rsidR="002534DE">
        <w:rPr>
          <w:rFonts w:eastAsia="Times New Roman"/>
          <w:bCs/>
        </w:rPr>
        <w:t xml:space="preserve"> years.</w:t>
      </w:r>
      <w:r w:rsidR="009D1142">
        <w:rPr>
          <w:rFonts w:eastAsia="Times New Roman"/>
          <w:bCs/>
        </w:rPr>
        <w:t xml:space="preserve"> </w:t>
      </w:r>
    </w:p>
    <w:p w14:paraId="132920A6" w14:textId="478D2AB2" w:rsidR="00D95E9A" w:rsidRPr="00CB0C7A" w:rsidRDefault="009D1142" w:rsidP="00E65349">
      <w:pPr>
        <w:pStyle w:val="BodyText"/>
        <w:rPr>
          <w:rFonts w:eastAsia="Times New Roman"/>
          <w:bCs/>
        </w:rPr>
      </w:pPr>
      <w:r>
        <w:rPr>
          <w:rFonts w:eastAsia="Times New Roman"/>
          <w:bCs/>
        </w:rPr>
        <w:t xml:space="preserve">Notably, this figure also variers </w:t>
      </w:r>
      <w:r w:rsidR="00561741">
        <w:rPr>
          <w:rFonts w:eastAsia="Times New Roman"/>
          <w:bCs/>
        </w:rPr>
        <w:t>markedly</w:t>
      </w:r>
      <w:r>
        <w:rPr>
          <w:rFonts w:eastAsia="Times New Roman"/>
          <w:bCs/>
        </w:rPr>
        <w:t xml:space="preserve"> across Regional Australia, with </w:t>
      </w:r>
      <w:r w:rsidR="003F5D81">
        <w:rPr>
          <w:rFonts w:eastAsia="Times New Roman"/>
          <w:bCs/>
        </w:rPr>
        <w:t xml:space="preserve">5.0% </w:t>
      </w:r>
      <w:r w:rsidR="00441494">
        <w:rPr>
          <w:rFonts w:eastAsia="Times New Roman"/>
          <w:bCs/>
        </w:rPr>
        <w:t xml:space="preserve">(or 1 in 20 persons) </w:t>
      </w:r>
      <w:r w:rsidR="003F5D81">
        <w:rPr>
          <w:rFonts w:eastAsia="Times New Roman"/>
          <w:bCs/>
        </w:rPr>
        <w:t>of the working age pop</w:t>
      </w:r>
      <w:r w:rsidR="00377988">
        <w:rPr>
          <w:rFonts w:eastAsia="Times New Roman"/>
          <w:bCs/>
        </w:rPr>
        <w:t xml:space="preserve">ulation in the Northern Territory having been on income support for more than 5 years </w:t>
      </w:r>
      <w:r w:rsidR="00441494">
        <w:rPr>
          <w:rFonts w:eastAsia="Times New Roman"/>
          <w:bCs/>
        </w:rPr>
        <w:t>in March 2024.</w:t>
      </w:r>
      <w:r w:rsidR="00C55440">
        <w:rPr>
          <w:rFonts w:eastAsia="Times New Roman"/>
          <w:bCs/>
        </w:rPr>
        <w:t xml:space="preserve"> This is an indication that some people are becoming stuck on income support for the very </w:t>
      </w:r>
      <w:r w:rsidR="00AE7624">
        <w:rPr>
          <w:rFonts w:eastAsia="Times New Roman"/>
          <w:bCs/>
        </w:rPr>
        <w:t>long-term and</w:t>
      </w:r>
      <w:r w:rsidR="00C55440">
        <w:rPr>
          <w:rFonts w:eastAsia="Times New Roman"/>
          <w:bCs/>
        </w:rPr>
        <w:t xml:space="preserve"> are thus not receiving adequate support to move towards education or employment.</w:t>
      </w:r>
    </w:p>
    <w:p w14:paraId="2BD64DB5" w14:textId="2ED8C5FC" w:rsidR="00D95E9A" w:rsidRPr="00BB1161" w:rsidRDefault="00596657" w:rsidP="00596657">
      <w:pPr>
        <w:pStyle w:val="Caption"/>
        <w:rPr>
          <w:rFonts w:cs="Arial"/>
          <w:b w:val="0"/>
        </w:rPr>
      </w:pPr>
      <w:bookmarkStart w:id="106" w:name="_Toc201916585"/>
      <w:r>
        <w:t xml:space="preserve">Figure </w:t>
      </w:r>
      <w:r>
        <w:fldChar w:fldCharType="begin"/>
      </w:r>
      <w:r>
        <w:instrText xml:space="preserve"> SEQ Figure \* ARABIC </w:instrText>
      </w:r>
      <w:r>
        <w:fldChar w:fldCharType="separate"/>
      </w:r>
      <w:r w:rsidR="00471863">
        <w:rPr>
          <w:noProof/>
        </w:rPr>
        <w:t>19</w:t>
      </w:r>
      <w:r>
        <w:fldChar w:fldCharType="end"/>
      </w:r>
      <w:r w:rsidR="001E37DF">
        <w:t>:</w:t>
      </w:r>
      <w:r w:rsidR="00D95E9A">
        <w:t xml:space="preserve"> </w:t>
      </w:r>
      <w:r w:rsidR="00D95E9A" w:rsidRPr="00D9466E">
        <w:t>Proportion of population (15-64) on income support for more than 5 years (%), by Major City and Regional Australia</w:t>
      </w:r>
      <w:bookmarkEnd w:id="106"/>
      <w:r w:rsidR="001E37DF">
        <w:t xml:space="preserve"> </w:t>
      </w:r>
    </w:p>
    <w:p w14:paraId="576FE495" w14:textId="664A97E2" w:rsidR="00D95E9A" w:rsidRPr="00CB0C7A" w:rsidRDefault="009D0526" w:rsidP="00D95E9A">
      <w:pPr>
        <w:rPr>
          <w:rFonts w:cs="Arial"/>
          <w:u w:val="single"/>
        </w:rPr>
      </w:pPr>
      <w:r>
        <w:rPr>
          <w:rFonts w:cs="Arial"/>
          <w:noProof/>
          <w:u w:val="single"/>
        </w:rPr>
        <w:drawing>
          <wp:anchor distT="0" distB="0" distL="114300" distR="114300" simplePos="0" relativeHeight="251937280" behindDoc="0" locked="0" layoutInCell="1" allowOverlap="1" wp14:anchorId="79E4B3EA" wp14:editId="428CB542">
            <wp:simplePos x="0" y="0"/>
            <wp:positionH relativeFrom="column">
              <wp:posOffset>0</wp:posOffset>
            </wp:positionH>
            <wp:positionV relativeFrom="paragraph">
              <wp:posOffset>5036</wp:posOffset>
            </wp:positionV>
            <wp:extent cx="5730875" cy="2865120"/>
            <wp:effectExtent l="0" t="0" r="3175" b="0"/>
            <wp:wrapSquare wrapText="bothSides"/>
            <wp:docPr id="79611576" name="Picture 32" descr="A line chart that shows the proportion of population (aged 15-64 years) on income support for more than 5 years (%) by Major City and Regional Australia. The chart shows that despite some improvement in recent years, the proportion of the working age population on long-term income support in Regional Australia remains well above the rate recorded in the Major C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1576" name="Picture 32" descr="A line chart that shows the proportion of population (aged 15-64 years) on income support for more than 5 years (%) by Major City and Regional Australia. The chart shows that despite some improvement in recent years, the proportion of the working age population on long-term income support in Regional Australia remains well above the rate recorded in the Major Cities. "/>
                    <pic:cNvPicPr>
                      <a:picLocks noChangeAspect="1" noChangeArrowheads="1"/>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0" y="0"/>
                      <a:ext cx="5730875" cy="2865120"/>
                    </a:xfrm>
                    <a:prstGeom prst="rect">
                      <a:avLst/>
                    </a:prstGeom>
                    <a:noFill/>
                  </pic:spPr>
                </pic:pic>
              </a:graphicData>
            </a:graphic>
          </wp:anchor>
        </w:drawing>
      </w:r>
    </w:p>
    <w:p w14:paraId="0D134AD8" w14:textId="77777777" w:rsidR="005078B2" w:rsidRDefault="005078B2" w:rsidP="005078B2">
      <w:pPr>
        <w:rPr>
          <w:rFonts w:cs="Arial"/>
          <w:sz w:val="18"/>
          <w:szCs w:val="16"/>
        </w:rPr>
      </w:pPr>
      <w:r w:rsidRPr="00CB0C7A">
        <w:rPr>
          <w:rFonts w:cs="Arial"/>
          <w:i/>
          <w:iCs/>
          <w:sz w:val="18"/>
          <w:szCs w:val="16"/>
        </w:rPr>
        <w:t xml:space="preserve">Source: </w:t>
      </w:r>
      <w:r>
        <w:rPr>
          <w:rFonts w:cs="Arial"/>
          <w:i/>
          <w:iCs/>
          <w:sz w:val="18"/>
          <w:szCs w:val="16"/>
        </w:rPr>
        <w:t xml:space="preserve">DSS, JobSeeker Payment and Youth Allowance (other) Recipients by Duration on Income Support and ABS, Labour Force, Detailed, </w:t>
      </w:r>
      <w:r>
        <w:rPr>
          <w:rFonts w:cs="Arial"/>
          <w:sz w:val="18"/>
          <w:szCs w:val="16"/>
        </w:rPr>
        <w:t>March 2025</w:t>
      </w:r>
    </w:p>
    <w:p w14:paraId="4A95A8D3" w14:textId="77777777" w:rsidR="007E186B" w:rsidRDefault="007E186B" w:rsidP="005078B2">
      <w:pPr>
        <w:rPr>
          <w:rFonts w:cs="Arial"/>
          <w:i/>
          <w:iCs/>
          <w:sz w:val="18"/>
          <w:szCs w:val="16"/>
        </w:rPr>
      </w:pPr>
    </w:p>
    <w:tbl>
      <w:tblPr>
        <w:tblStyle w:val="CustomTablepulloutbox2"/>
        <w:tblW w:w="0" w:type="auto"/>
        <w:tblLook w:val="04A0" w:firstRow="1" w:lastRow="0" w:firstColumn="1" w:lastColumn="0" w:noHBand="0" w:noVBand="1"/>
      </w:tblPr>
      <w:tblGrid>
        <w:gridCol w:w="8997"/>
      </w:tblGrid>
      <w:tr w:rsidR="005B5234" w14:paraId="749DE466" w14:textId="77777777">
        <w:trPr>
          <w:trHeight w:val="1713"/>
        </w:trPr>
        <w:tc>
          <w:tcPr>
            <w:tcW w:w="8997" w:type="dxa"/>
          </w:tcPr>
          <w:p w14:paraId="17885A75" w14:textId="77777777" w:rsidR="005B5234" w:rsidRPr="00CC191D" w:rsidRDefault="005B5234" w:rsidP="007E186B">
            <w:pPr>
              <w:pStyle w:val="BoxHeading"/>
              <w:keepNext w:val="0"/>
              <w:jc w:val="center"/>
            </w:pPr>
            <w:r>
              <w:t>Stakeholder insight</w:t>
            </w:r>
          </w:p>
          <w:p w14:paraId="19D4A078" w14:textId="1008D5BA" w:rsidR="00DB20E8" w:rsidRPr="00E65349" w:rsidRDefault="00306785" w:rsidP="007E186B">
            <w:pPr>
              <w:jc w:val="center"/>
              <w:rPr>
                <w:rFonts w:cs="Arial"/>
                <w:i/>
                <w:iCs/>
                <w:sz w:val="22"/>
                <w:szCs w:val="22"/>
                <w:lang w:val="en-AU"/>
              </w:rPr>
            </w:pPr>
            <w:r>
              <w:rPr>
                <w:rFonts w:cs="Arial"/>
                <w:i/>
                <w:iCs/>
                <w:sz w:val="22"/>
                <w:szCs w:val="22"/>
              </w:rPr>
              <w:t>‘</w:t>
            </w:r>
            <w:r w:rsidR="00DB20E8" w:rsidRPr="00E65349">
              <w:rPr>
                <w:rFonts w:cs="Arial"/>
                <w:i/>
                <w:iCs/>
                <w:sz w:val="22"/>
                <w:szCs w:val="22"/>
                <w:lang w:val="en-AU"/>
              </w:rPr>
              <w:t>Many people in Regional/Remote Australia, who are or would be assessed JSCI Stream C participants, face multiple and complex barriers to successful participation in education, training and employment.   These people would benefit from a wrap-around support program that incorporates practical hands-on work components, with delivery methods that align with their traditional ways of learning prior to the current approach of utilising work readiness programs that have a social support component.</w:t>
            </w:r>
            <w:r>
              <w:rPr>
                <w:rFonts w:cs="Arial"/>
                <w:i/>
                <w:iCs/>
                <w:sz w:val="22"/>
                <w:szCs w:val="22"/>
                <w:lang w:val="en-AU"/>
              </w:rPr>
              <w:t>’</w:t>
            </w:r>
          </w:p>
          <w:p w14:paraId="1F367B08" w14:textId="77777777" w:rsidR="00EA4B88" w:rsidRPr="00EA4B88" w:rsidRDefault="00347CAC" w:rsidP="007E186B">
            <w:pPr>
              <w:jc w:val="center"/>
              <w:rPr>
                <w:rFonts w:cs="Arial"/>
                <w:b/>
                <w:bCs/>
                <w:sz w:val="22"/>
                <w:szCs w:val="22"/>
                <w:lang w:val="en-AU"/>
              </w:rPr>
            </w:pPr>
            <w:r w:rsidRPr="00EA4B88">
              <w:rPr>
                <w:rFonts w:cs="Arial"/>
                <w:b/>
                <w:sz w:val="22"/>
                <w:szCs w:val="22"/>
                <w:lang w:val="en-AU"/>
              </w:rPr>
              <w:t>Nathan Aucote</w:t>
            </w:r>
          </w:p>
          <w:p w14:paraId="6A3A7C60" w14:textId="77777777" w:rsidR="00F0669F" w:rsidRDefault="00347CAC" w:rsidP="007E186B">
            <w:pPr>
              <w:jc w:val="center"/>
              <w:rPr>
                <w:rFonts w:cs="Arial"/>
                <w:sz w:val="22"/>
                <w:szCs w:val="22"/>
                <w:lang w:val="en-AU"/>
              </w:rPr>
            </w:pPr>
            <w:r w:rsidRPr="00E65349">
              <w:rPr>
                <w:rFonts w:cs="Arial"/>
                <w:sz w:val="22"/>
                <w:szCs w:val="22"/>
                <w:lang w:val="en-AU"/>
              </w:rPr>
              <w:t xml:space="preserve">Manager </w:t>
            </w:r>
            <w:r w:rsidR="00A90D8A">
              <w:rPr>
                <w:rFonts w:cs="Arial"/>
                <w:sz w:val="22"/>
                <w:szCs w:val="22"/>
                <w:lang w:val="en-AU"/>
              </w:rPr>
              <w:t xml:space="preserve">- </w:t>
            </w:r>
            <w:r w:rsidR="00D62A3A" w:rsidRPr="00E65349">
              <w:rPr>
                <w:rFonts w:cs="Arial"/>
                <w:sz w:val="22"/>
                <w:szCs w:val="22"/>
                <w:lang w:val="en-AU"/>
              </w:rPr>
              <w:t>Industr</w:t>
            </w:r>
            <w:r w:rsidR="00D62A3A" w:rsidRPr="00E65349">
              <w:rPr>
                <w:rFonts w:cs="Arial"/>
                <w:sz w:val="22"/>
                <w:szCs w:val="22"/>
              </w:rPr>
              <w:t>y</w:t>
            </w:r>
            <w:r w:rsidRPr="00E65349">
              <w:rPr>
                <w:rFonts w:cs="Arial"/>
                <w:sz w:val="22"/>
                <w:szCs w:val="22"/>
                <w:lang w:val="en-AU"/>
              </w:rPr>
              <w:t xml:space="preserve"> Engagement</w:t>
            </w:r>
          </w:p>
          <w:p w14:paraId="40B4D6B6" w14:textId="12BFFC30" w:rsidR="005B5234" w:rsidRPr="00033320" w:rsidRDefault="00D62A3A" w:rsidP="007E186B">
            <w:pPr>
              <w:jc w:val="center"/>
              <w:rPr>
                <w:rFonts w:cs="Arial"/>
                <w:lang w:val="en-AU"/>
              </w:rPr>
            </w:pPr>
            <w:r w:rsidRPr="00E65349">
              <w:rPr>
                <w:rFonts w:cs="Arial"/>
                <w:sz w:val="22"/>
                <w:szCs w:val="22"/>
                <w:lang w:val="en-AU"/>
              </w:rPr>
              <w:t>Kimberley Region, North Regional TAFE WA</w:t>
            </w:r>
          </w:p>
        </w:tc>
      </w:tr>
    </w:tbl>
    <w:p w14:paraId="6D189E12" w14:textId="77777777" w:rsidR="00553951" w:rsidRPr="00993248" w:rsidRDefault="00553951" w:rsidP="00CE249D">
      <w:pPr>
        <w:pStyle w:val="Heading3"/>
      </w:pPr>
      <w:r w:rsidRPr="00993248">
        <w:lastRenderedPageBreak/>
        <w:t>Summary</w:t>
      </w:r>
    </w:p>
    <w:p w14:paraId="4A3D225B" w14:textId="77777777" w:rsidR="00EA0E1A" w:rsidRDefault="00EA0E1A" w:rsidP="00E65349">
      <w:pPr>
        <w:pStyle w:val="BodyText"/>
      </w:pPr>
      <w:r w:rsidRPr="007533E4">
        <w:t>For many individuals, gaining and sustaining employment is challenging due to the prevalence of barriers that hinder their ability to participate in the labour market. Where such barriers exist, individuals should receive timely and effective support to enable them to move towards finding a job or participating in education and training</w:t>
      </w:r>
      <w:r>
        <w:t xml:space="preserve"> as a pathway to a job</w:t>
      </w:r>
      <w:r w:rsidRPr="007533E4">
        <w:t xml:space="preserve">, ideally within the region that they live. In </w:t>
      </w:r>
      <w:r>
        <w:t>an effective</w:t>
      </w:r>
      <w:r w:rsidRPr="007533E4">
        <w:t xml:space="preserve"> jobs and skills system, </w:t>
      </w:r>
      <w:r>
        <w:t>there</w:t>
      </w:r>
      <w:r w:rsidRPr="007533E4">
        <w:t xml:space="preserve"> should be </w:t>
      </w:r>
      <w:r>
        <w:t>a focus on</w:t>
      </w:r>
      <w:r w:rsidRPr="007533E4">
        <w:t xml:space="preserve"> addressing and overcoming barriers that hinder Australians </w:t>
      </w:r>
      <w:r>
        <w:t>from their</w:t>
      </w:r>
      <w:r w:rsidRPr="007533E4">
        <w:t xml:space="preserve"> initial participation in education, training and/or employment and maximising their labour market participation </w:t>
      </w:r>
      <w:r>
        <w:t>after that.</w:t>
      </w:r>
    </w:p>
    <w:p w14:paraId="265BC78A" w14:textId="77777777" w:rsidR="00EA0E1A" w:rsidRPr="00C94386" w:rsidRDefault="00EA0E1A" w:rsidP="00D16B99">
      <w:pPr>
        <w:pStyle w:val="BodyText"/>
        <w:numPr>
          <w:ilvl w:val="0"/>
          <w:numId w:val="36"/>
        </w:numPr>
        <w:rPr>
          <w:rFonts w:asciiTheme="minorHAnsi" w:hAnsiTheme="minorHAnsi" w:cstheme="minorHAnsi"/>
          <w:b/>
          <w:iCs/>
        </w:rPr>
      </w:pPr>
      <w:r w:rsidRPr="00C94386">
        <w:rPr>
          <w:rFonts w:asciiTheme="minorHAnsi" w:hAnsiTheme="minorHAnsi" w:cstheme="minorHAnsi"/>
          <w:iCs/>
        </w:rPr>
        <w:t xml:space="preserve">School attendance rates (Years 1 to 10) in Regional Australia have consistently lagged the rates recorded in Major Cities. Between 2019 and 2022, attendance rates across Australia were heavily impacted by COVID-19. While there has been some recovery post COVID, </w:t>
      </w:r>
      <w:r>
        <w:rPr>
          <w:rFonts w:asciiTheme="minorHAnsi" w:hAnsiTheme="minorHAnsi" w:cstheme="minorHAnsi"/>
          <w:iCs/>
        </w:rPr>
        <w:t>non-</w:t>
      </w:r>
      <w:r w:rsidRPr="00C94386">
        <w:rPr>
          <w:rFonts w:asciiTheme="minorHAnsi" w:hAnsiTheme="minorHAnsi" w:cstheme="minorHAnsi"/>
          <w:iCs/>
        </w:rPr>
        <w:t>attendance rates in Regional Australia (</w:t>
      </w:r>
      <w:r>
        <w:rPr>
          <w:rFonts w:asciiTheme="minorHAnsi" w:hAnsiTheme="minorHAnsi" w:cstheme="minorHAnsi"/>
          <w:iCs/>
        </w:rPr>
        <w:t>14.6</w:t>
      </w:r>
      <w:r w:rsidRPr="00C94386">
        <w:rPr>
          <w:rFonts w:asciiTheme="minorHAnsi" w:hAnsiTheme="minorHAnsi" w:cstheme="minorHAnsi"/>
          <w:iCs/>
        </w:rPr>
        <w:t xml:space="preserve">% in 2024), remain well </w:t>
      </w:r>
      <w:r>
        <w:rPr>
          <w:rFonts w:asciiTheme="minorHAnsi" w:hAnsiTheme="minorHAnsi" w:cstheme="minorHAnsi"/>
          <w:iCs/>
        </w:rPr>
        <w:t>above</w:t>
      </w:r>
      <w:r w:rsidRPr="00C94386">
        <w:rPr>
          <w:rFonts w:asciiTheme="minorHAnsi" w:hAnsiTheme="minorHAnsi" w:cstheme="minorHAnsi"/>
          <w:iCs/>
        </w:rPr>
        <w:t xml:space="preserve"> their pre-COVID levels (</w:t>
      </w:r>
      <w:r>
        <w:rPr>
          <w:rFonts w:asciiTheme="minorHAnsi" w:hAnsiTheme="minorHAnsi" w:cstheme="minorHAnsi"/>
          <w:iCs/>
        </w:rPr>
        <w:t>11.4</w:t>
      </w:r>
      <w:r w:rsidRPr="00C94386">
        <w:rPr>
          <w:rFonts w:asciiTheme="minorHAnsi" w:hAnsiTheme="minorHAnsi" w:cstheme="minorHAnsi"/>
          <w:iCs/>
        </w:rPr>
        <w:t xml:space="preserve">% in 2019) and the </w:t>
      </w:r>
      <w:r>
        <w:rPr>
          <w:rFonts w:asciiTheme="minorHAnsi" w:hAnsiTheme="minorHAnsi" w:cstheme="minorHAnsi"/>
          <w:iCs/>
        </w:rPr>
        <w:t>rate</w:t>
      </w:r>
      <w:r w:rsidRPr="00C94386">
        <w:rPr>
          <w:rFonts w:asciiTheme="minorHAnsi" w:hAnsiTheme="minorHAnsi" w:cstheme="minorHAnsi"/>
          <w:iCs/>
        </w:rPr>
        <w:t xml:space="preserve"> recorded in Major Cities (</w:t>
      </w:r>
      <w:r>
        <w:rPr>
          <w:rFonts w:asciiTheme="minorHAnsi" w:hAnsiTheme="minorHAnsi" w:cstheme="minorHAnsi"/>
          <w:iCs/>
        </w:rPr>
        <w:t>11.0</w:t>
      </w:r>
      <w:r w:rsidRPr="00C94386">
        <w:rPr>
          <w:rFonts w:asciiTheme="minorHAnsi" w:hAnsiTheme="minorHAnsi" w:cstheme="minorHAnsi"/>
          <w:iCs/>
        </w:rPr>
        <w:t>% in 2024).</w:t>
      </w:r>
    </w:p>
    <w:p w14:paraId="2A02C1BD" w14:textId="77777777" w:rsidR="00EA0E1A" w:rsidRPr="00D50CA6" w:rsidRDefault="00EA0E1A" w:rsidP="00D16B99">
      <w:pPr>
        <w:pStyle w:val="BodyText"/>
        <w:numPr>
          <w:ilvl w:val="0"/>
          <w:numId w:val="36"/>
        </w:numPr>
        <w:rPr>
          <w:rFonts w:asciiTheme="minorHAnsi" w:hAnsiTheme="minorHAnsi" w:cstheme="minorHAnsi"/>
          <w:iCs/>
        </w:rPr>
      </w:pPr>
      <w:r w:rsidRPr="00C94386">
        <w:rPr>
          <w:rFonts w:asciiTheme="minorHAnsi" w:hAnsiTheme="minorHAnsi" w:cstheme="minorHAnsi"/>
          <w:iCs/>
        </w:rPr>
        <w:t>A key concern is the number of young people (aged 18-24 years) who are not in employment, education or training. The proportion of the youth population who are NEET in Regional Australia stood at 15.</w:t>
      </w:r>
      <w:r>
        <w:rPr>
          <w:rFonts w:asciiTheme="minorHAnsi" w:hAnsiTheme="minorHAnsi" w:cstheme="minorHAnsi"/>
          <w:iCs/>
        </w:rPr>
        <w:t>3</w:t>
      </w:r>
      <w:r w:rsidRPr="00C94386">
        <w:rPr>
          <w:rFonts w:asciiTheme="minorHAnsi" w:hAnsiTheme="minorHAnsi" w:cstheme="minorHAnsi"/>
          <w:iCs/>
        </w:rPr>
        <w:t>% in 2024, well above the 12.</w:t>
      </w:r>
      <w:r>
        <w:rPr>
          <w:rFonts w:asciiTheme="minorHAnsi" w:hAnsiTheme="minorHAnsi" w:cstheme="minorHAnsi"/>
          <w:iCs/>
        </w:rPr>
        <w:t>2</w:t>
      </w:r>
      <w:r w:rsidRPr="00C94386">
        <w:rPr>
          <w:rFonts w:asciiTheme="minorHAnsi" w:hAnsiTheme="minorHAnsi" w:cstheme="minorHAnsi"/>
          <w:iCs/>
        </w:rPr>
        <w:t>% recorded a year earlier and the 9.</w:t>
      </w:r>
      <w:r>
        <w:rPr>
          <w:rFonts w:asciiTheme="minorHAnsi" w:hAnsiTheme="minorHAnsi" w:cstheme="minorHAnsi"/>
          <w:iCs/>
        </w:rPr>
        <w:t>4</w:t>
      </w:r>
      <w:r w:rsidRPr="00C94386">
        <w:rPr>
          <w:rFonts w:asciiTheme="minorHAnsi" w:hAnsiTheme="minorHAnsi" w:cstheme="minorHAnsi"/>
          <w:iCs/>
        </w:rPr>
        <w:t>% recorded in the Major Cities.</w:t>
      </w:r>
    </w:p>
    <w:p w14:paraId="46CF49E0" w14:textId="2EB63532" w:rsidR="00EA0E1A" w:rsidRPr="00A5004E" w:rsidRDefault="00EA0E1A" w:rsidP="00D16B99">
      <w:pPr>
        <w:pStyle w:val="BodyText"/>
        <w:numPr>
          <w:ilvl w:val="0"/>
          <w:numId w:val="36"/>
        </w:numPr>
        <w:rPr>
          <w:rFonts w:asciiTheme="minorHAnsi" w:hAnsiTheme="minorHAnsi" w:cstheme="minorHAnsi"/>
          <w:iCs/>
        </w:rPr>
      </w:pPr>
      <w:r w:rsidRPr="00A5004E">
        <w:rPr>
          <w:rFonts w:asciiTheme="minorHAnsi" w:hAnsiTheme="minorHAnsi" w:cstheme="minorHAnsi"/>
          <w:iCs/>
        </w:rPr>
        <w:t xml:space="preserve">The prime age participation rate in Regional Australia has generally lagged behind that of </w:t>
      </w:r>
      <w:r w:rsidR="00EE30DD">
        <w:rPr>
          <w:rFonts w:asciiTheme="minorHAnsi" w:hAnsiTheme="minorHAnsi" w:cstheme="minorHAnsi"/>
          <w:iCs/>
        </w:rPr>
        <w:t>the</w:t>
      </w:r>
      <w:r w:rsidRPr="00A5004E">
        <w:rPr>
          <w:rFonts w:asciiTheme="minorHAnsi" w:hAnsiTheme="minorHAnsi" w:cstheme="minorHAnsi"/>
          <w:iCs/>
        </w:rPr>
        <w:t xml:space="preserve"> Major </w:t>
      </w:r>
      <w:r w:rsidR="00EE30DD">
        <w:rPr>
          <w:rFonts w:asciiTheme="minorHAnsi" w:hAnsiTheme="minorHAnsi" w:cstheme="minorHAnsi"/>
          <w:iCs/>
        </w:rPr>
        <w:t>Cities</w:t>
      </w:r>
      <w:r w:rsidRPr="00A5004E">
        <w:rPr>
          <w:rFonts w:asciiTheme="minorHAnsi" w:hAnsiTheme="minorHAnsi" w:cstheme="minorHAnsi"/>
          <w:iCs/>
        </w:rPr>
        <w:t xml:space="preserve">, although it has been steadily increasing over the last 15 years and is currently at a record high, of 85.4%. </w:t>
      </w:r>
    </w:p>
    <w:p w14:paraId="1951E487" w14:textId="14F1C170" w:rsidR="00EA0E1A" w:rsidRPr="00D50CA6" w:rsidRDefault="00EA0E1A" w:rsidP="00D16B99">
      <w:pPr>
        <w:pStyle w:val="BodyText"/>
        <w:numPr>
          <w:ilvl w:val="0"/>
          <w:numId w:val="36"/>
        </w:numPr>
        <w:rPr>
          <w:rFonts w:asciiTheme="minorHAnsi" w:hAnsiTheme="minorHAnsi" w:cstheme="minorHAnsi"/>
          <w:iCs/>
        </w:rPr>
      </w:pPr>
      <w:r w:rsidRPr="00C94386">
        <w:rPr>
          <w:rFonts w:asciiTheme="minorHAnsi" w:hAnsiTheme="minorHAnsi" w:cstheme="minorHAnsi"/>
          <w:iCs/>
        </w:rPr>
        <w:t>Since COVID and against the backdrop of strong and sustained labour market conditions, Regional Australia has been experiencing historically low levels of unemployment, with the unemployment rate reaching 3.</w:t>
      </w:r>
      <w:r>
        <w:rPr>
          <w:rFonts w:asciiTheme="minorHAnsi" w:hAnsiTheme="minorHAnsi" w:cstheme="minorHAnsi"/>
          <w:iCs/>
        </w:rPr>
        <w:t>2</w:t>
      </w:r>
      <w:r w:rsidRPr="00C94386">
        <w:rPr>
          <w:rFonts w:asciiTheme="minorHAnsi" w:hAnsiTheme="minorHAnsi" w:cstheme="minorHAnsi"/>
          <w:iCs/>
        </w:rPr>
        <w:t xml:space="preserve">% in late 2022. While there has been some increase since this time, Regional Australia’s unemployment rate has generally been lower than </w:t>
      </w:r>
      <w:r w:rsidR="00EE30DD">
        <w:rPr>
          <w:rFonts w:asciiTheme="minorHAnsi" w:hAnsiTheme="minorHAnsi" w:cstheme="minorHAnsi"/>
          <w:iCs/>
        </w:rPr>
        <w:t>the</w:t>
      </w:r>
      <w:r w:rsidRPr="00C94386">
        <w:rPr>
          <w:rFonts w:asciiTheme="minorHAnsi" w:hAnsiTheme="minorHAnsi" w:cstheme="minorHAnsi"/>
          <w:iCs/>
        </w:rPr>
        <w:t xml:space="preserve"> Major </w:t>
      </w:r>
      <w:r w:rsidR="00EE30DD">
        <w:rPr>
          <w:rFonts w:asciiTheme="minorHAnsi" w:hAnsiTheme="minorHAnsi" w:cstheme="minorHAnsi"/>
          <w:iCs/>
        </w:rPr>
        <w:t>Cities</w:t>
      </w:r>
      <w:r w:rsidRPr="00C94386">
        <w:rPr>
          <w:rFonts w:asciiTheme="minorHAnsi" w:hAnsiTheme="minorHAnsi" w:cstheme="minorHAnsi"/>
          <w:iCs/>
        </w:rPr>
        <w:t>.</w:t>
      </w:r>
    </w:p>
    <w:p w14:paraId="66473A64" w14:textId="34A731E9" w:rsidR="00954614" w:rsidRPr="000A1554" w:rsidRDefault="00EA0E1A" w:rsidP="00D16B99">
      <w:pPr>
        <w:pStyle w:val="BodyText"/>
        <w:numPr>
          <w:ilvl w:val="0"/>
          <w:numId w:val="36"/>
        </w:numPr>
        <w:rPr>
          <w:rFonts w:asciiTheme="minorHAnsi" w:hAnsiTheme="minorHAnsi" w:cstheme="minorHAnsi"/>
        </w:rPr>
      </w:pPr>
      <w:r w:rsidRPr="00C94386">
        <w:rPr>
          <w:rFonts w:asciiTheme="minorHAnsi" w:hAnsiTheme="minorHAnsi" w:cstheme="minorHAnsi"/>
          <w:iCs/>
        </w:rPr>
        <w:t xml:space="preserve">The proportion of the working age population on long-term income support in Regional Australia remains well above the rate seen </w:t>
      </w:r>
      <w:r w:rsidR="009716E6">
        <w:rPr>
          <w:rFonts w:asciiTheme="minorHAnsi" w:hAnsiTheme="minorHAnsi" w:cstheme="minorHAnsi"/>
          <w:iCs/>
        </w:rPr>
        <w:t>in the</w:t>
      </w:r>
      <w:r w:rsidRPr="00C94386">
        <w:rPr>
          <w:rFonts w:asciiTheme="minorHAnsi" w:hAnsiTheme="minorHAnsi" w:cstheme="minorHAnsi"/>
          <w:iCs/>
        </w:rPr>
        <w:t xml:space="preserve"> Major </w:t>
      </w:r>
      <w:r w:rsidR="009716E6">
        <w:rPr>
          <w:rFonts w:asciiTheme="minorHAnsi" w:hAnsiTheme="minorHAnsi" w:cstheme="minorHAnsi"/>
          <w:iCs/>
        </w:rPr>
        <w:t>Cities</w:t>
      </w:r>
      <w:r w:rsidRPr="00C94386">
        <w:rPr>
          <w:rFonts w:asciiTheme="minorHAnsi" w:hAnsiTheme="minorHAnsi" w:cstheme="minorHAnsi"/>
          <w:iCs/>
        </w:rPr>
        <w:t xml:space="preserve"> (2.</w:t>
      </w:r>
      <w:r>
        <w:rPr>
          <w:rFonts w:asciiTheme="minorHAnsi" w:hAnsiTheme="minorHAnsi" w:cstheme="minorHAnsi"/>
          <w:iCs/>
        </w:rPr>
        <w:t>4</w:t>
      </w:r>
      <w:r w:rsidRPr="00C94386">
        <w:rPr>
          <w:rFonts w:asciiTheme="minorHAnsi" w:hAnsiTheme="minorHAnsi" w:cstheme="minorHAnsi"/>
          <w:iCs/>
        </w:rPr>
        <w:t xml:space="preserve">% compared with 1.3%), with around 1 in 45 people in Regional Australia having been on income support more than </w:t>
      </w:r>
      <w:r w:rsidR="00285E8D">
        <w:rPr>
          <w:rFonts w:asciiTheme="minorHAnsi" w:hAnsiTheme="minorHAnsi" w:cstheme="minorHAnsi"/>
          <w:iCs/>
        </w:rPr>
        <w:t>5</w:t>
      </w:r>
      <w:r w:rsidRPr="00C94386">
        <w:rPr>
          <w:rFonts w:asciiTheme="minorHAnsi" w:hAnsiTheme="minorHAnsi" w:cstheme="minorHAnsi"/>
          <w:iCs/>
        </w:rPr>
        <w:t xml:space="preserve"> years.</w:t>
      </w:r>
      <w:r w:rsidR="00954614">
        <w:rPr>
          <w:sz w:val="92"/>
          <w:szCs w:val="92"/>
        </w:rPr>
        <w:br w:type="page"/>
      </w:r>
    </w:p>
    <w:p w14:paraId="2B802CC2" w14:textId="59E2555A" w:rsidR="00D95E9A" w:rsidRPr="0091638F" w:rsidRDefault="00FB7E2F" w:rsidP="00E8554C">
      <w:pPr>
        <w:pStyle w:val="Heading1unnumbered"/>
      </w:pPr>
      <w:r w:rsidRPr="00FB7E2F">
        <w:rPr>
          <w:noProof/>
        </w:rPr>
        <w:lastRenderedPageBreak/>
        <w:drawing>
          <wp:anchor distT="0" distB="0" distL="114300" distR="114300" simplePos="0" relativeHeight="251952640" behindDoc="1" locked="0" layoutInCell="1" allowOverlap="1" wp14:anchorId="5455B622" wp14:editId="06E50CF0">
            <wp:simplePos x="0" y="0"/>
            <wp:positionH relativeFrom="page">
              <wp:align>left</wp:align>
            </wp:positionH>
            <wp:positionV relativeFrom="paragraph">
              <wp:posOffset>-808157</wp:posOffset>
            </wp:positionV>
            <wp:extent cx="7564046" cy="10699602"/>
            <wp:effectExtent l="0" t="0" r="0" b="6985"/>
            <wp:wrapNone/>
            <wp:docPr id="2879219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2194" name="Picture 8">
                      <a:extLst>
                        <a:ext uri="{C183D7F6-B498-43B3-948B-1728B52AA6E4}">
                          <adec:decorative xmlns:adec="http://schemas.microsoft.com/office/drawing/2017/decorative" val="1"/>
                        </a:ext>
                      </a:extLst>
                    </pic:cNvPr>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7564046" cy="106996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E9A" w:rsidRPr="005F6D84">
        <w:t>Vision Principle 2</w:t>
      </w:r>
      <w:r w:rsidR="007F4321" w:rsidRPr="005F6D84">
        <w:t xml:space="preserve"> – Developing Skills</w:t>
      </w:r>
    </w:p>
    <w:p w14:paraId="6F41D941" w14:textId="4B3449E4" w:rsidR="00D95E9A" w:rsidRPr="0091638F" w:rsidRDefault="00322B23" w:rsidP="007F4321">
      <w:pPr>
        <w:pStyle w:val="TOCHeading"/>
        <w:rPr>
          <w:rFonts w:eastAsiaTheme="minorHAnsi" w:cstheme="minorBidi"/>
          <w:b w:val="0"/>
          <w:color w:val="auto"/>
          <w:sz w:val="40"/>
          <w:szCs w:val="40"/>
          <w:lang w:val="en-AU"/>
        </w:rPr>
      </w:pPr>
      <w:r w:rsidRPr="0091638F">
        <w:rPr>
          <w:rFonts w:eastAsiaTheme="minorHAnsi" w:cstheme="minorBidi"/>
          <w:b w:val="0"/>
          <w:color w:val="auto"/>
          <w:sz w:val="40"/>
          <w:szCs w:val="40"/>
          <w:lang w:val="en-AU"/>
        </w:rPr>
        <w:t xml:space="preserve">Everyone in Regional Australia is supported to </w:t>
      </w:r>
      <w:r w:rsidR="005F6D84">
        <w:rPr>
          <w:rFonts w:eastAsiaTheme="minorHAnsi" w:cstheme="minorBidi"/>
          <w:b w:val="0"/>
          <w:color w:val="auto"/>
          <w:sz w:val="40"/>
          <w:szCs w:val="40"/>
          <w:lang w:val="en-AU"/>
        </w:rPr>
        <w:t xml:space="preserve">efficiently </w:t>
      </w:r>
      <w:r w:rsidRPr="0091638F">
        <w:rPr>
          <w:rFonts w:eastAsiaTheme="minorHAnsi" w:cstheme="minorBidi"/>
          <w:b w:val="0"/>
          <w:color w:val="auto"/>
          <w:sz w:val="40"/>
          <w:szCs w:val="40"/>
          <w:lang w:val="en-AU"/>
        </w:rPr>
        <w:t xml:space="preserve">develop skills </w:t>
      </w:r>
      <w:r w:rsidR="00186153" w:rsidRPr="0091638F">
        <w:rPr>
          <w:rFonts w:eastAsiaTheme="minorHAnsi" w:cstheme="minorBidi"/>
          <w:b w:val="0"/>
          <w:color w:val="auto"/>
          <w:sz w:val="40"/>
          <w:szCs w:val="40"/>
          <w:lang w:val="en-AU"/>
        </w:rPr>
        <w:t>that enable them to meaningfully contribute to community, economy and culture</w:t>
      </w:r>
      <w:r w:rsidRPr="0091638F">
        <w:rPr>
          <w:rFonts w:eastAsiaTheme="minorHAnsi" w:cstheme="minorBidi"/>
          <w:b w:val="0"/>
          <w:color w:val="auto"/>
          <w:sz w:val="40"/>
          <w:szCs w:val="40"/>
          <w:lang w:val="en-AU"/>
        </w:rPr>
        <w:t>.</w:t>
      </w:r>
      <w:r w:rsidR="00D95E9A" w:rsidRPr="0091638F">
        <w:rPr>
          <w:rFonts w:eastAsiaTheme="minorHAnsi" w:cstheme="minorBidi"/>
          <w:b w:val="0"/>
          <w:color w:val="auto"/>
          <w:sz w:val="40"/>
          <w:szCs w:val="40"/>
          <w:lang w:val="en-AU"/>
        </w:rPr>
        <w:t xml:space="preserve"> </w:t>
      </w:r>
    </w:p>
    <w:p w14:paraId="4C387717" w14:textId="77777777" w:rsidR="00D95E9A" w:rsidRDefault="00D95E9A" w:rsidP="00D95E9A">
      <w:pPr>
        <w:spacing w:after="160" w:line="278" w:lineRule="auto"/>
        <w:rPr>
          <w:rFonts w:eastAsia="Times New Roman" w:cs="Arial"/>
          <w:b/>
          <w:bCs/>
          <w:i/>
          <w:iCs/>
          <w:color w:val="000000" w:themeColor="text1"/>
          <w:sz w:val="24"/>
          <w:szCs w:val="24"/>
          <w:lang w:eastAsia="en-AU"/>
        </w:rPr>
      </w:pPr>
      <w:r>
        <w:rPr>
          <w:rFonts w:eastAsia="Times New Roman" w:cs="Arial"/>
          <w:b/>
          <w:bCs/>
          <w:i/>
          <w:iCs/>
          <w:color w:val="000000" w:themeColor="text1"/>
          <w:sz w:val="24"/>
          <w:szCs w:val="24"/>
          <w:lang w:eastAsia="en-AU"/>
        </w:rPr>
        <w:br w:type="page"/>
      </w:r>
    </w:p>
    <w:p w14:paraId="7D4E53BD" w14:textId="198A87FA" w:rsidR="001E48A2" w:rsidRPr="00027223" w:rsidRDefault="001E48A2" w:rsidP="00027223">
      <w:pPr>
        <w:pStyle w:val="Heading2"/>
      </w:pPr>
      <w:bookmarkStart w:id="107" w:name="_Toc200637146"/>
      <w:bookmarkStart w:id="108" w:name="_Toc201070185"/>
      <w:bookmarkStart w:id="109" w:name="_Toc201919848"/>
      <w:bookmarkStart w:id="110" w:name="_Toc202361876"/>
      <w:r w:rsidRPr="00027223">
        <w:lastRenderedPageBreak/>
        <w:t xml:space="preserve">Vision </w:t>
      </w:r>
      <w:r w:rsidR="00081D67" w:rsidRPr="00027223">
        <w:t>P</w:t>
      </w:r>
      <w:r w:rsidRPr="00027223">
        <w:t>rincip</w:t>
      </w:r>
      <w:r w:rsidR="009201F8" w:rsidRPr="00027223">
        <w:t>le</w:t>
      </w:r>
      <w:r w:rsidRPr="00027223">
        <w:t xml:space="preserve"> </w:t>
      </w:r>
      <w:r w:rsidR="00081D67" w:rsidRPr="00027223">
        <w:t>2</w:t>
      </w:r>
      <w:r w:rsidR="00D8085D" w:rsidRPr="00027223">
        <w:t xml:space="preserve"> </w:t>
      </w:r>
      <w:r w:rsidR="00546F66" w:rsidRPr="00027223">
        <w:t>–</w:t>
      </w:r>
      <w:r w:rsidR="00D8085D" w:rsidRPr="00027223">
        <w:t xml:space="preserve"> </w:t>
      </w:r>
      <w:r w:rsidR="008D7DF8" w:rsidRPr="00027223">
        <w:t>Dev</w:t>
      </w:r>
      <w:r w:rsidR="00546F66" w:rsidRPr="00027223">
        <w:t>eloping Skills</w:t>
      </w:r>
      <w:bookmarkEnd w:id="107"/>
      <w:bookmarkEnd w:id="108"/>
      <w:bookmarkEnd w:id="109"/>
      <w:bookmarkEnd w:id="110"/>
    </w:p>
    <w:p w14:paraId="2D3D9D86" w14:textId="55D8E822" w:rsidR="00D95E9A" w:rsidRPr="00993248" w:rsidRDefault="00D95E9A" w:rsidP="003E4DDC">
      <w:pPr>
        <w:pStyle w:val="Heading3"/>
      </w:pPr>
      <w:r w:rsidRPr="00993248">
        <w:t>Overview of Vision Principle 2</w:t>
      </w:r>
    </w:p>
    <w:p w14:paraId="7E38E08C" w14:textId="4E90A13F" w:rsidR="00D95E9A" w:rsidRPr="00027223" w:rsidRDefault="00322B23" w:rsidP="00027223">
      <w:pPr>
        <w:pStyle w:val="Heading4"/>
      </w:pPr>
      <w:r w:rsidRPr="00027223">
        <w:t xml:space="preserve">Everyone in Regional Australia is supported to </w:t>
      </w:r>
      <w:r w:rsidR="0093694F" w:rsidRPr="00027223">
        <w:t xml:space="preserve">efficiently </w:t>
      </w:r>
      <w:r w:rsidRPr="00027223">
        <w:t xml:space="preserve">develop skills that </w:t>
      </w:r>
      <w:r w:rsidR="00186153" w:rsidRPr="00027223">
        <w:t>enable them to meaningfully contribute to community, economy and culture</w:t>
      </w:r>
      <w:r w:rsidRPr="00027223">
        <w:t>.</w:t>
      </w:r>
    </w:p>
    <w:p w14:paraId="0AF1515A" w14:textId="06C9F504" w:rsidR="00024D82" w:rsidRDefault="00D95E9A" w:rsidP="00027223">
      <w:pPr>
        <w:pStyle w:val="BodyText"/>
      </w:pPr>
      <w:r w:rsidRPr="0071717E">
        <w:t xml:space="preserve">Skills and knowledge acquisition underpins the capability of the workforce. How people respond to opportunities in the labour market </w:t>
      </w:r>
      <w:r w:rsidR="00A3297E">
        <w:t>relies</w:t>
      </w:r>
      <w:r w:rsidRPr="0071717E">
        <w:t xml:space="preserve"> on investment in skills and knowledge, </w:t>
      </w:r>
      <w:r w:rsidR="00B040D0">
        <w:t>as well as</w:t>
      </w:r>
      <w:r w:rsidRPr="0071717E">
        <w:t xml:space="preserve"> the core transferable skills needed to be resilient and adaptable </w:t>
      </w:r>
      <w:r w:rsidR="00024D82">
        <w:t>to</w:t>
      </w:r>
      <w:r w:rsidRPr="0071717E">
        <w:t xml:space="preserve"> changes in the labour market. </w:t>
      </w:r>
    </w:p>
    <w:p w14:paraId="7C43C093" w14:textId="374B85E9" w:rsidR="001A59BE" w:rsidRDefault="00D95E9A" w:rsidP="00027223">
      <w:pPr>
        <w:pStyle w:val="BodyText"/>
      </w:pPr>
      <w:r w:rsidRPr="0071717E">
        <w:t xml:space="preserve">As such, the second principle </w:t>
      </w:r>
      <w:r w:rsidR="00024D82">
        <w:t>underpinning the vision for</w:t>
      </w:r>
      <w:r w:rsidRPr="0071717E">
        <w:t xml:space="preserve"> the jobs and skills system in Regional Australia is about supporting the acquisition of the necessary skills to best position them to take advantage of opportunities in the labour market</w:t>
      </w:r>
      <w:r w:rsidR="009B20AF">
        <w:t xml:space="preserve"> and </w:t>
      </w:r>
      <w:r w:rsidR="005E653E">
        <w:t>contribute</w:t>
      </w:r>
      <w:r w:rsidR="009B20AF">
        <w:t xml:space="preserve"> to their local community and culture</w:t>
      </w:r>
      <w:r w:rsidRPr="0071717E">
        <w:t xml:space="preserve">, both now and into the future. </w:t>
      </w:r>
    </w:p>
    <w:p w14:paraId="01352756" w14:textId="77777777" w:rsidR="001A59BE" w:rsidRDefault="00D95E9A" w:rsidP="00027223">
      <w:pPr>
        <w:pStyle w:val="BodyText"/>
      </w:pPr>
      <w:r w:rsidRPr="0071717E">
        <w:t xml:space="preserve">All participants within the jobs and skills system, including education and training and employment service providers, employers, unions and all levels of government, play an important role in building the capability of individuals in Regional Australia to reach their skills potential.  </w:t>
      </w:r>
    </w:p>
    <w:p w14:paraId="0930222B" w14:textId="1044D7EA" w:rsidR="001A59BE" w:rsidRDefault="00D95E9A" w:rsidP="00027223">
      <w:pPr>
        <w:pStyle w:val="BodyText"/>
      </w:pPr>
      <w:r w:rsidRPr="0071717E">
        <w:t xml:space="preserve">When it comes to the jobs and skills system in Regional Australia, geographic location should not hinder the ability of individuals to access education and training and develop their skills. This </w:t>
      </w:r>
      <w:r w:rsidR="00FA09FE">
        <w:t>means</w:t>
      </w:r>
      <w:r w:rsidRPr="0071717E">
        <w:t xml:space="preserve"> fostering a skills system that enables school students to continue their education and training in the tertiary education system – either through vocational education and training (including through access to apprenticeship </w:t>
      </w:r>
      <w:r w:rsidR="000218C6">
        <w:t xml:space="preserve">and traineeship </w:t>
      </w:r>
      <w:r w:rsidRPr="0071717E">
        <w:t xml:space="preserve">opportunities), higher education, or a combination of both. </w:t>
      </w:r>
    </w:p>
    <w:p w14:paraId="7ABBA4E8" w14:textId="734D4FB0" w:rsidR="00D05432" w:rsidRPr="007632D7" w:rsidRDefault="00472DDB" w:rsidP="00027223">
      <w:pPr>
        <w:pStyle w:val="BodyText"/>
      </w:pPr>
      <w:r>
        <w:t>Employers</w:t>
      </w:r>
      <w:r w:rsidR="00D95E9A" w:rsidRPr="007632D7">
        <w:t xml:space="preserve">, </w:t>
      </w:r>
      <w:r w:rsidR="00C5780A" w:rsidRPr="007632D7">
        <w:t xml:space="preserve">play an important role in </w:t>
      </w:r>
      <w:r w:rsidR="00D95E9A" w:rsidRPr="007632D7">
        <w:t>support</w:t>
      </w:r>
      <w:r w:rsidR="00C5780A" w:rsidRPr="007632D7">
        <w:t xml:space="preserve">ing </w:t>
      </w:r>
      <w:r w:rsidR="00D95E9A" w:rsidRPr="007632D7">
        <w:t xml:space="preserve">the acquisition of skills, either through </w:t>
      </w:r>
      <w:r w:rsidR="001736E2" w:rsidRPr="007632D7">
        <w:t>accredited or non-accredited</w:t>
      </w:r>
      <w:r w:rsidR="00D95E9A" w:rsidRPr="007632D7">
        <w:t xml:space="preserve"> training</w:t>
      </w:r>
      <w:r w:rsidR="009B20AF" w:rsidRPr="007632D7">
        <w:t>,</w:t>
      </w:r>
      <w:r w:rsidR="00D95E9A" w:rsidRPr="007632D7">
        <w:t xml:space="preserve"> </w:t>
      </w:r>
      <w:r w:rsidR="000C71E1">
        <w:t>including</w:t>
      </w:r>
      <w:r w:rsidR="00D95E9A" w:rsidRPr="007632D7">
        <w:t xml:space="preserve"> on</w:t>
      </w:r>
      <w:r w:rsidR="009B20AF" w:rsidRPr="007632D7">
        <w:t>-</w:t>
      </w:r>
      <w:r w:rsidR="00D95E9A" w:rsidRPr="007632D7">
        <w:t>the</w:t>
      </w:r>
      <w:r w:rsidR="009B20AF" w:rsidRPr="007632D7">
        <w:t>-</w:t>
      </w:r>
      <w:r w:rsidR="00D95E9A" w:rsidRPr="007632D7">
        <w:t>job training</w:t>
      </w:r>
      <w:r w:rsidR="00F66A53" w:rsidRPr="007632D7">
        <w:t>.</w:t>
      </w:r>
      <w:r w:rsidR="009B20AF" w:rsidRPr="007632D7">
        <w:t xml:space="preserve"> </w:t>
      </w:r>
      <w:r w:rsidR="00D95E9A" w:rsidRPr="007632D7">
        <w:t xml:space="preserve">It also involves supporting lifelong learning, which may occur to facilitate career changes or as people progress through their career and seek access to </w:t>
      </w:r>
      <w:r w:rsidR="000C71E1">
        <w:t xml:space="preserve">further and </w:t>
      </w:r>
      <w:r w:rsidR="00D95E9A" w:rsidRPr="007632D7">
        <w:t>higher levels of education (</w:t>
      </w:r>
      <w:r w:rsidR="000C684C" w:rsidRPr="007632D7">
        <w:t xml:space="preserve">measured by youth </w:t>
      </w:r>
      <w:r w:rsidR="004D0DA5" w:rsidRPr="007632D7">
        <w:t xml:space="preserve">tertiary </w:t>
      </w:r>
      <w:r w:rsidR="000C684C" w:rsidRPr="007632D7">
        <w:t xml:space="preserve">participation rate </w:t>
      </w:r>
      <w:r w:rsidR="004D0DA5" w:rsidRPr="007632D7">
        <w:t>and apprenticeship</w:t>
      </w:r>
      <w:r w:rsidR="000C684C" w:rsidRPr="007632D7">
        <w:t xml:space="preserve"> and </w:t>
      </w:r>
      <w:r w:rsidR="00676391" w:rsidRPr="007632D7">
        <w:t>trainees’</w:t>
      </w:r>
      <w:r w:rsidR="000C684C" w:rsidRPr="007632D7">
        <w:t xml:space="preserve"> completion rate</w:t>
      </w:r>
      <w:r w:rsidR="00D95E9A" w:rsidRPr="007632D7">
        <w:t xml:space="preserve">). </w:t>
      </w:r>
    </w:p>
    <w:p w14:paraId="670B4C00" w14:textId="283FAC12" w:rsidR="00D95E9A" w:rsidRPr="007632D7" w:rsidRDefault="00D95E9A" w:rsidP="00027223">
      <w:pPr>
        <w:pStyle w:val="BodyText"/>
      </w:pPr>
      <w:r w:rsidRPr="007632D7">
        <w:t xml:space="preserve">Regardless of which path individuals in Regional Australia take, this vision principle </w:t>
      </w:r>
      <w:r w:rsidR="00472DDB">
        <w:t xml:space="preserve">is </w:t>
      </w:r>
      <w:r w:rsidRPr="007632D7">
        <w:t xml:space="preserve">about ensuring </w:t>
      </w:r>
      <w:r w:rsidR="00472DDB">
        <w:t>people</w:t>
      </w:r>
      <w:r w:rsidRPr="007632D7">
        <w:t xml:space="preserve"> have the access and support they need to reach their skills development potential.</w:t>
      </w:r>
    </w:p>
    <w:p w14:paraId="43A2ABA0" w14:textId="43456013" w:rsidR="00991C39" w:rsidRPr="007632D7" w:rsidRDefault="00177309" w:rsidP="00027223">
      <w:pPr>
        <w:pStyle w:val="BodyText"/>
      </w:pPr>
      <w:r w:rsidRPr="007632D7">
        <w:t>Vision Principle 2</w:t>
      </w:r>
      <w:r w:rsidR="00D95E9A" w:rsidRPr="007632D7">
        <w:t xml:space="preserve"> also </w:t>
      </w:r>
      <w:r w:rsidRPr="007632D7">
        <w:t>acknowledges</w:t>
      </w:r>
      <w:r w:rsidR="00D95E9A" w:rsidRPr="007632D7">
        <w:t xml:space="preserve"> the </w:t>
      </w:r>
      <w:r w:rsidR="007811CE" w:rsidRPr="007632D7">
        <w:t xml:space="preserve">importance of </w:t>
      </w:r>
      <w:r w:rsidR="00D95E9A" w:rsidRPr="007632D7">
        <w:t xml:space="preserve">skills </w:t>
      </w:r>
      <w:r w:rsidR="007811CE" w:rsidRPr="007632D7">
        <w:t>being utilised.</w:t>
      </w:r>
      <w:r w:rsidR="00D95E9A" w:rsidRPr="007632D7">
        <w:t xml:space="preserve"> It provides the ambition for workers in Regional Australia to be employed in a role that optimally leverages their knowledge, skills and experience in accordance </w:t>
      </w:r>
      <w:r w:rsidR="009B20AF" w:rsidRPr="007632D7">
        <w:t>the needs of the economy, community and culture of their region</w:t>
      </w:r>
      <w:r w:rsidR="004D0DA5" w:rsidRPr="007632D7">
        <w:t xml:space="preserve"> (</w:t>
      </w:r>
      <w:r w:rsidR="000C684C" w:rsidRPr="007632D7">
        <w:t xml:space="preserve">measured by </w:t>
      </w:r>
      <w:r w:rsidR="004D0DA5" w:rsidRPr="007632D7">
        <w:t xml:space="preserve">skills relevance and </w:t>
      </w:r>
      <w:r w:rsidR="009C55DB" w:rsidRPr="007632D7">
        <w:t>working at lower skill level)</w:t>
      </w:r>
      <w:r w:rsidR="009B20AF" w:rsidRPr="007632D7">
        <w:t>.</w:t>
      </w:r>
      <w:r w:rsidR="00D95E9A" w:rsidRPr="007632D7">
        <w:t xml:space="preserve"> </w:t>
      </w:r>
    </w:p>
    <w:p w14:paraId="287D20E4" w14:textId="58FD07FC" w:rsidR="00597A09" w:rsidRDefault="00D95E9A" w:rsidP="00027223">
      <w:pPr>
        <w:pStyle w:val="BodyText"/>
      </w:pPr>
      <w:r w:rsidRPr="007632D7">
        <w:t>Measuring productivity by region is challenging, however, central to the vision for Regional Australia is to have high labour productivity through the development and utilisation of skills, good matching between workers and f</w:t>
      </w:r>
      <w:r w:rsidR="000C71E1">
        <w:t>i</w:t>
      </w:r>
      <w:r w:rsidRPr="007632D7">
        <w:t>rms and efficient labour market mobility. Improving the skills utilisation of workers aids in increasing productivity and economic growth. This will in turn deliver more stable employment and higher wages while enhancing job satisfaction and improving economic and social outcomes at the local level.</w:t>
      </w:r>
      <w:r w:rsidRPr="0071717E">
        <w:t xml:space="preserve"> </w:t>
      </w:r>
    </w:p>
    <w:p w14:paraId="4E4C9626" w14:textId="37566A07" w:rsidR="00011AC4" w:rsidRDefault="00D95E9A" w:rsidP="00027223">
      <w:pPr>
        <w:pStyle w:val="BodyText"/>
      </w:pPr>
      <w:r w:rsidRPr="0071717E">
        <w:lastRenderedPageBreak/>
        <w:t xml:space="preserve">Achieving this vision principle would see skills utilisation occur quickly after the completion of education and/or training </w:t>
      </w:r>
      <w:r w:rsidR="00F879C6">
        <w:t xml:space="preserve">(accredited and non-accredited) </w:t>
      </w:r>
      <w:r w:rsidRPr="0071717E">
        <w:t xml:space="preserve">and remain activated for as long as possible. This would constitute a maximisation in the benefits of training and education. </w:t>
      </w:r>
    </w:p>
    <w:p w14:paraId="05E85079" w14:textId="5A82B4BE" w:rsidR="00CF4E2A" w:rsidRDefault="00D95E9A" w:rsidP="00027223">
      <w:pPr>
        <w:pStyle w:val="BodyText"/>
      </w:pPr>
      <w:r w:rsidRPr="0071717E">
        <w:t xml:space="preserve">Beyond just </w:t>
      </w:r>
      <w:r w:rsidR="00597A09">
        <w:t xml:space="preserve">focusing on immediate </w:t>
      </w:r>
      <w:r w:rsidR="000C71E1">
        <w:t>education</w:t>
      </w:r>
      <w:r w:rsidRPr="0071717E">
        <w:t xml:space="preserve"> and training outcomes, this vision principle gets to the heart of pursuing an efficient labour market system</w:t>
      </w:r>
      <w:r w:rsidR="00597A09">
        <w:t>, which</w:t>
      </w:r>
      <w:r w:rsidR="00CF4E2A">
        <w:t xml:space="preserve"> aligns</w:t>
      </w:r>
      <w:r w:rsidRPr="0071717E">
        <w:t xml:space="preserve"> the skills of all existing workers with the skills demanded by employers</w:t>
      </w:r>
      <w:r w:rsidR="00CA2AC4">
        <w:t>, including those required by small businesses</w:t>
      </w:r>
      <w:r w:rsidRPr="0071717E">
        <w:t xml:space="preserve">. Achieving this vision principle would reflect that the jobs and skills system is working effectively to provide the skills and knowledge </w:t>
      </w:r>
      <w:r w:rsidR="000C71E1">
        <w:t xml:space="preserve">required </w:t>
      </w:r>
      <w:r w:rsidRPr="0071717E">
        <w:t xml:space="preserve">by the economy of Regional Australia. </w:t>
      </w:r>
    </w:p>
    <w:tbl>
      <w:tblPr>
        <w:tblStyle w:val="CustomTablepulloutbox"/>
        <w:tblW w:w="0" w:type="auto"/>
        <w:tblLook w:val="0400" w:firstRow="0" w:lastRow="0" w:firstColumn="0" w:lastColumn="0" w:noHBand="0" w:noVBand="1"/>
      </w:tblPr>
      <w:tblGrid>
        <w:gridCol w:w="8997"/>
      </w:tblGrid>
      <w:tr w:rsidR="00C209DE" w14:paraId="282CEB24" w14:textId="77777777">
        <w:tc>
          <w:tcPr>
            <w:tcW w:w="8997" w:type="dxa"/>
          </w:tcPr>
          <w:p w14:paraId="785D7FAC" w14:textId="77777777" w:rsidR="00C209DE" w:rsidRPr="003C38C6" w:rsidRDefault="00C209DE">
            <w:pPr>
              <w:pStyle w:val="BoxHeading"/>
            </w:pPr>
            <w:r w:rsidRPr="0051589E">
              <w:t>Box: Harmonisation of the Tertiary Education sector</w:t>
            </w:r>
          </w:p>
          <w:p w14:paraId="35F7E75D" w14:textId="43C8C1D3" w:rsidR="00C209DE" w:rsidRPr="00C209DE" w:rsidRDefault="00C209DE">
            <w:pPr>
              <w:pStyle w:val="BodyText"/>
              <w:rPr>
                <w:sz w:val="22"/>
                <w:szCs w:val="22"/>
              </w:rPr>
            </w:pPr>
            <w:r w:rsidRPr="00C209DE">
              <w:rPr>
                <w:sz w:val="22"/>
                <w:szCs w:val="22"/>
              </w:rPr>
              <w:t>Vision Principle 2 is about ensuring individuals in Regional Australia have the access and support they need to reach their skills development potential and in turn can withstand the challenges and take advantage of opportunities in an evolving labour market. Tertiary harmonisation, as detailed in JSA’s recently release</w:t>
            </w:r>
            <w:r w:rsidR="007807BC">
              <w:rPr>
                <w:sz w:val="22"/>
                <w:szCs w:val="22"/>
              </w:rPr>
              <w:t>d</w:t>
            </w:r>
            <w:r w:rsidRPr="00C209DE">
              <w:rPr>
                <w:sz w:val="22"/>
                <w:szCs w:val="22"/>
              </w:rPr>
              <w:t xml:space="preserve"> report, </w:t>
            </w:r>
            <w:r w:rsidRPr="005811E8">
              <w:rPr>
                <w:i/>
                <w:sz w:val="22"/>
                <w:szCs w:val="22"/>
              </w:rPr>
              <w:t>Opportunity and Productivity</w:t>
            </w:r>
            <w:r w:rsidR="005811E8">
              <w:rPr>
                <w:sz w:val="22"/>
                <w:szCs w:val="22"/>
              </w:rPr>
              <w:t xml:space="preserve">: </w:t>
            </w:r>
            <w:r w:rsidR="005811E8" w:rsidRPr="005811E8">
              <w:rPr>
                <w:i/>
                <w:iCs/>
                <w:sz w:val="22"/>
                <w:szCs w:val="22"/>
              </w:rPr>
              <w:t>Towards a Tertiary Harmonisation Roadmap</w:t>
            </w:r>
            <w:r w:rsidRPr="00C209DE">
              <w:rPr>
                <w:sz w:val="22"/>
                <w:szCs w:val="22"/>
              </w:rPr>
              <w:t>, will be instrumental in helping to meet this vision principle.</w:t>
            </w:r>
          </w:p>
          <w:p w14:paraId="0273BA9F" w14:textId="77777777" w:rsidR="00C209DE" w:rsidRPr="00C209DE" w:rsidRDefault="00C209DE">
            <w:pPr>
              <w:pStyle w:val="BodyText"/>
              <w:rPr>
                <w:sz w:val="22"/>
                <w:szCs w:val="22"/>
              </w:rPr>
            </w:pPr>
            <w:r w:rsidRPr="00C209DE">
              <w:rPr>
                <w:sz w:val="22"/>
                <w:szCs w:val="22"/>
              </w:rPr>
              <w:t>Tertiary harmonisation is the strategic alignment of the Higher Education and Vocational Education and Training (VET) sectors. It involves the effective coordination and cooperation of key system actors, to enable learners to obtain the combination of knowledge, skills and their application that they need to be successful in a changing labour market. In some regions of Australia, dual-sector tertiary education institutions already exist, such as Charles Darwin University-TAFE and the Batchelor Institute of Indigenous Tertiary Education. In others, tertiary harmonisation will mean building stronger alliances and partnerships between existing institutions within the distinct sectors of Higher Education and VET.</w:t>
            </w:r>
          </w:p>
          <w:p w14:paraId="2CCB2574" w14:textId="77777777" w:rsidR="00C209DE" w:rsidRPr="00C209DE" w:rsidRDefault="00C209DE">
            <w:pPr>
              <w:pStyle w:val="BodyText"/>
              <w:rPr>
                <w:sz w:val="22"/>
                <w:szCs w:val="22"/>
              </w:rPr>
            </w:pPr>
            <w:r w:rsidRPr="00C209DE">
              <w:rPr>
                <w:sz w:val="22"/>
                <w:szCs w:val="22"/>
              </w:rPr>
              <w:t xml:space="preserve">The case for tertiary harmonisation has been building in recent years with growing recognition that a lack of cohesion between VET and Higher Education is hindering students' ability to choose, and move between, programs of study that best suit them and their career objectives. Although large numbers of students already move from VET to Higher Education and vice versa, those pathways are not always easy to navigate and appropriate credit for pre-existing knowledge and skills is often difficult to obtain. Research by JSA shows that jobs of the future in emerging industries such as clean energy where Regional Australia plays a vital role, will need workers trained through both VET and Higher Education. </w:t>
            </w:r>
          </w:p>
          <w:p w14:paraId="086895C2" w14:textId="77777777" w:rsidR="00C209DE" w:rsidRPr="00C209DE" w:rsidRDefault="00C209DE">
            <w:pPr>
              <w:pStyle w:val="BodyText"/>
              <w:rPr>
                <w:sz w:val="22"/>
                <w:szCs w:val="22"/>
              </w:rPr>
            </w:pPr>
            <w:r w:rsidRPr="00C209DE">
              <w:rPr>
                <w:sz w:val="22"/>
                <w:szCs w:val="22"/>
              </w:rPr>
              <w:t>JSA’s report on Tertiary Harmonisation outlines the range of benefits that can be expected to result from a harmonised system and presents a roadmap to achieving through the collaboration of all tertiary system actors. If tertiary harmonisation is implemented effectively, with a focus on building an adaptable and resilient tertiary education system able to respond to the changing needs of industry, labour markets and citizens, it will address barriers to pathways between sectors, improve access and reduce inequality – including in Regional Australia.</w:t>
            </w:r>
          </w:p>
          <w:p w14:paraId="2F45E9F3" w14:textId="77777777" w:rsidR="00C209DE" w:rsidRPr="003C38C6" w:rsidRDefault="00C209DE">
            <w:pPr>
              <w:pStyle w:val="BodyText"/>
            </w:pPr>
            <w:r w:rsidRPr="00084C3A">
              <w:t xml:space="preserve">More information: Jobs and Skills Australia (2025) </w:t>
            </w:r>
            <w:hyperlink r:id="rId47" w:history="1">
              <w:r w:rsidRPr="001B658A">
                <w:rPr>
                  <w:rStyle w:val="Hyperlink"/>
                  <w:i/>
                </w:rPr>
                <w:t>Opportunity and Productivity: Towards a Tertiary Harmonisation Roadmap</w:t>
              </w:r>
            </w:hyperlink>
            <w:r w:rsidRPr="00084C3A">
              <w:t>, 22 February 2025.</w:t>
            </w:r>
          </w:p>
        </w:tc>
      </w:tr>
    </w:tbl>
    <w:p w14:paraId="73DA1995" w14:textId="6A09EDBA" w:rsidR="00C90C97" w:rsidRDefault="00C90C97" w:rsidP="0071717E">
      <w:pPr>
        <w:rPr>
          <w:rFonts w:cs="Arial"/>
        </w:rPr>
      </w:pPr>
    </w:p>
    <w:p w14:paraId="2865C816" w14:textId="77777777" w:rsidR="009D7E70" w:rsidRDefault="009D7E70" w:rsidP="00993248">
      <w:pPr>
        <w:spacing w:before="120" w:after="240"/>
        <w:rPr>
          <w:b/>
          <w:color w:val="4B0885"/>
          <w:sz w:val="26"/>
          <w:szCs w:val="26"/>
        </w:rPr>
      </w:pPr>
    </w:p>
    <w:p w14:paraId="0D528000" w14:textId="63B9AEBC" w:rsidR="00D95E9A" w:rsidRPr="00993248" w:rsidRDefault="00D95E9A" w:rsidP="00993248">
      <w:pPr>
        <w:spacing w:before="120" w:after="240"/>
        <w:rPr>
          <w:b/>
          <w:color w:val="4B0885"/>
          <w:sz w:val="26"/>
          <w:szCs w:val="26"/>
        </w:rPr>
      </w:pPr>
      <w:r w:rsidRPr="00993248">
        <w:rPr>
          <w:b/>
          <w:color w:val="4B0885"/>
          <w:sz w:val="26"/>
          <w:szCs w:val="26"/>
        </w:rPr>
        <w:t>Evaluative indicators and insights</w:t>
      </w:r>
    </w:p>
    <w:p w14:paraId="51908F49" w14:textId="3DF39E66" w:rsidR="00E47796" w:rsidRPr="002556AC" w:rsidRDefault="006470FB" w:rsidP="006470FB">
      <w:pPr>
        <w:pStyle w:val="Caption"/>
        <w:rPr>
          <w:b w:val="0"/>
        </w:rPr>
      </w:pPr>
      <w:r>
        <w:t xml:space="preserve">Table </w:t>
      </w:r>
      <w:r>
        <w:fldChar w:fldCharType="begin"/>
      </w:r>
      <w:r>
        <w:instrText xml:space="preserve"> SEQ Table \* ARABIC </w:instrText>
      </w:r>
      <w:r>
        <w:fldChar w:fldCharType="separate"/>
      </w:r>
      <w:r w:rsidR="00471863">
        <w:rPr>
          <w:noProof/>
        </w:rPr>
        <w:t>11</w:t>
      </w:r>
      <w:r>
        <w:fldChar w:fldCharType="end"/>
      </w:r>
      <w:r w:rsidR="00145D3A" w:rsidRPr="002556AC">
        <w:rPr>
          <w:rFonts w:cs="Arial"/>
        </w:rPr>
        <w:t>:</w:t>
      </w:r>
      <w:r w:rsidR="00A10D8A" w:rsidRPr="002556AC">
        <w:rPr>
          <w:rFonts w:cs="Arial"/>
        </w:rPr>
        <w:t xml:space="preserve"> </w:t>
      </w:r>
      <w:r w:rsidR="00E47796" w:rsidRPr="002556AC">
        <w:t>Metric summary table – Vision Principle 2</w:t>
      </w:r>
    </w:p>
    <w:tbl>
      <w:tblPr>
        <w:tblStyle w:val="GridTable5Dark-Accent1"/>
        <w:tblW w:w="9070" w:type="dxa"/>
        <w:tblLook w:val="04A0" w:firstRow="1" w:lastRow="0" w:firstColumn="1" w:lastColumn="0" w:noHBand="0" w:noVBand="1"/>
      </w:tblPr>
      <w:tblGrid>
        <w:gridCol w:w="6941"/>
        <w:gridCol w:w="2129"/>
      </w:tblGrid>
      <w:tr w:rsidR="00D95E9A" w:rsidRPr="00CB0C7A" w14:paraId="227CAE42" w14:textId="77777777" w:rsidTr="00BC1252">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808080"/>
              <w:left w:val="single" w:sz="4" w:space="0" w:color="808080"/>
              <w:bottom w:val="single" w:sz="4" w:space="0" w:color="808080"/>
              <w:right w:val="single" w:sz="4" w:space="0" w:color="FFFFFF" w:themeColor="background1"/>
            </w:tcBorders>
            <w:shd w:val="clear" w:color="auto" w:fill="370663"/>
            <w:vAlign w:val="center"/>
          </w:tcPr>
          <w:p w14:paraId="324F2191" w14:textId="77777777" w:rsidR="00D95E9A" w:rsidRPr="00FC3C9E" w:rsidRDefault="00D95E9A">
            <w:pPr>
              <w:rPr>
                <w:rFonts w:cs="Arial"/>
                <w:sz w:val="24"/>
                <w:szCs w:val="24"/>
              </w:rPr>
            </w:pPr>
            <w:r w:rsidRPr="00FC3C9E">
              <w:rPr>
                <w:rFonts w:cs="Arial"/>
                <w:sz w:val="24"/>
                <w:szCs w:val="24"/>
              </w:rPr>
              <w:t>JSA Regional Roadmap - Vision Principle 2</w:t>
            </w:r>
          </w:p>
        </w:tc>
        <w:tc>
          <w:tcPr>
            <w:tcW w:w="2129" w:type="dxa"/>
            <w:tcBorders>
              <w:top w:val="single" w:sz="4" w:space="0" w:color="808080"/>
              <w:left w:val="single" w:sz="4" w:space="0" w:color="FFFFFF" w:themeColor="background1"/>
              <w:bottom w:val="single" w:sz="4" w:space="0" w:color="FFFFFF" w:themeColor="background1"/>
              <w:right w:val="single" w:sz="4" w:space="0" w:color="808080"/>
            </w:tcBorders>
            <w:shd w:val="clear" w:color="auto" w:fill="370663"/>
            <w:vAlign w:val="center"/>
          </w:tcPr>
          <w:p w14:paraId="20C78D19" w14:textId="77777777" w:rsidR="00D95E9A" w:rsidRPr="00FC3C9E" w:rsidRDefault="00D95E9A">
            <w:pPr>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FC3C9E">
              <w:rPr>
                <w:rFonts w:cs="Arial"/>
                <w:sz w:val="24"/>
                <w:szCs w:val="24"/>
              </w:rPr>
              <w:t>Current rating</w:t>
            </w:r>
          </w:p>
        </w:tc>
      </w:tr>
      <w:tr w:rsidR="00D95E9A" w:rsidRPr="00CB0C7A" w14:paraId="7A3C94B1" w14:textId="77777777" w:rsidTr="00820B9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2435D9F8" w14:textId="77777777" w:rsidR="00D95E9A" w:rsidRPr="00FC3C9E" w:rsidRDefault="00D95E9A">
            <w:pPr>
              <w:rPr>
                <w:rFonts w:cs="Arial"/>
                <w:sz w:val="24"/>
                <w:szCs w:val="24"/>
              </w:rPr>
            </w:pPr>
            <w:r w:rsidRPr="00FC3C9E">
              <w:rPr>
                <w:rFonts w:cs="Arial"/>
                <w:color w:val="000000" w:themeColor="text1"/>
                <w:sz w:val="24"/>
                <w:szCs w:val="24"/>
              </w:rPr>
              <w:t>Overall rating for Vision Principle 2</w:t>
            </w:r>
          </w:p>
        </w:tc>
        <w:tc>
          <w:tcPr>
            <w:tcW w:w="2129" w:type="dxa"/>
            <w:tcBorders>
              <w:top w:val="single" w:sz="4" w:space="0" w:color="FFFFFF" w:themeColor="background1"/>
              <w:left w:val="single" w:sz="4" w:space="0" w:color="808080"/>
              <w:bottom w:val="single" w:sz="4" w:space="0" w:color="FFFFFF" w:themeColor="background1"/>
              <w:right w:val="single" w:sz="4" w:space="0" w:color="808080"/>
            </w:tcBorders>
            <w:shd w:val="clear" w:color="auto" w:fill="FFAD4C"/>
            <w:vAlign w:val="center"/>
          </w:tcPr>
          <w:p w14:paraId="40F7B737" w14:textId="34F7D358" w:rsidR="00D95E9A" w:rsidRPr="003002BC" w:rsidRDefault="001F0E5E">
            <w:pPr>
              <w:jc w:val="center"/>
              <w:cnfStyle w:val="000000100000" w:firstRow="0" w:lastRow="0" w:firstColumn="0" w:lastColumn="0" w:oddVBand="0" w:evenVBand="0" w:oddHBand="1" w:evenHBand="0" w:firstRowFirstColumn="0" w:firstRowLastColumn="0" w:lastRowFirstColumn="0" w:lastRowLastColumn="0"/>
              <w:rPr>
                <w:rFonts w:cs="Arial"/>
                <w:b/>
              </w:rPr>
            </w:pPr>
            <w:r w:rsidRPr="003002BC">
              <w:rPr>
                <w:rFonts w:cs="Arial"/>
                <w:b/>
              </w:rPr>
              <w:t>Orange</w:t>
            </w:r>
            <w:r w:rsidR="00D95E9A" w:rsidRPr="003002BC">
              <w:rPr>
                <w:rFonts w:cs="Arial"/>
                <w:b/>
              </w:rPr>
              <w:t xml:space="preserve"> </w:t>
            </w:r>
          </w:p>
        </w:tc>
      </w:tr>
      <w:tr w:rsidR="00135B19" w:rsidRPr="00CB0C7A" w14:paraId="1289DF3F" w14:textId="77777777" w:rsidTr="003002BC">
        <w:trPr>
          <w:trHeight w:val="227"/>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FFFFFF" w:themeColor="background1"/>
              <w:left w:val="single" w:sz="4" w:space="0" w:color="808080"/>
              <w:bottom w:val="single" w:sz="4" w:space="0" w:color="808080"/>
              <w:right w:val="single" w:sz="4" w:space="0" w:color="370663"/>
            </w:tcBorders>
            <w:shd w:val="clear" w:color="auto" w:fill="370663"/>
            <w:vAlign w:val="center"/>
          </w:tcPr>
          <w:p w14:paraId="08E6709F" w14:textId="729CD80E" w:rsidR="00135B19" w:rsidRPr="00135B19" w:rsidRDefault="00135B19" w:rsidP="003002BC">
            <w:pPr>
              <w:spacing w:before="100"/>
              <w:rPr>
                <w:rFonts w:cs="Arial"/>
              </w:rPr>
            </w:pPr>
            <w:r w:rsidRPr="00581959">
              <w:rPr>
                <w:rFonts w:cs="Arial"/>
              </w:rPr>
              <w:t>Contributing indicators</w:t>
            </w:r>
          </w:p>
        </w:tc>
        <w:tc>
          <w:tcPr>
            <w:tcW w:w="2129" w:type="dxa"/>
            <w:tcBorders>
              <w:top w:val="single" w:sz="4" w:space="0" w:color="FFFFFF" w:themeColor="background1"/>
              <w:left w:val="single" w:sz="4" w:space="0" w:color="370663"/>
              <w:bottom w:val="single" w:sz="4" w:space="0" w:color="FFFFFF" w:themeColor="background1"/>
              <w:right w:val="single" w:sz="4" w:space="0" w:color="808080"/>
            </w:tcBorders>
            <w:shd w:val="clear" w:color="auto" w:fill="370663"/>
            <w:vAlign w:val="center"/>
          </w:tcPr>
          <w:p w14:paraId="0B7B416E" w14:textId="77777777" w:rsidR="00135B19" w:rsidRPr="003002BC" w:rsidRDefault="00135B19" w:rsidP="003002BC">
            <w:pPr>
              <w:spacing w:before="100"/>
              <w:jc w:val="center"/>
              <w:cnfStyle w:val="000000000000" w:firstRow="0" w:lastRow="0" w:firstColumn="0" w:lastColumn="0" w:oddVBand="0" w:evenVBand="0" w:oddHBand="0" w:evenHBand="0" w:firstRowFirstColumn="0" w:firstRowLastColumn="0" w:lastRowFirstColumn="0" w:lastRowLastColumn="0"/>
              <w:rPr>
                <w:rFonts w:cs="Arial"/>
                <w:b/>
                <w:bCs/>
              </w:rPr>
            </w:pPr>
          </w:p>
        </w:tc>
      </w:tr>
      <w:tr w:rsidR="00D95E9A" w:rsidRPr="00CB0C7A" w14:paraId="37019E5E" w14:textId="77777777" w:rsidTr="00820B93">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FFFFFF" w:themeColor="background1"/>
              <w:left w:val="single" w:sz="4" w:space="0" w:color="808080"/>
              <w:bottom w:val="single" w:sz="4" w:space="0" w:color="808080"/>
              <w:right w:val="single" w:sz="4" w:space="0" w:color="808080"/>
            </w:tcBorders>
            <w:shd w:val="clear" w:color="auto" w:fill="F2F2F2" w:themeFill="background1" w:themeFillShade="F2"/>
            <w:vAlign w:val="center"/>
          </w:tcPr>
          <w:p w14:paraId="399CDEA5" w14:textId="2CE88AFB" w:rsidR="00D95E9A" w:rsidRPr="00F26DF2" w:rsidRDefault="00846EE6" w:rsidP="0025479A">
            <w:pPr>
              <w:pStyle w:val="ListParagraph"/>
              <w:numPr>
                <w:ilvl w:val="0"/>
                <w:numId w:val="9"/>
              </w:numPr>
              <w:spacing w:before="40" w:after="40" w:line="240" w:lineRule="auto"/>
              <w:rPr>
                <w:rFonts w:cs="Arial"/>
                <w:b w:val="0"/>
                <w:color w:val="auto"/>
              </w:rPr>
            </w:pPr>
            <w:r w:rsidRPr="000708E6">
              <w:rPr>
                <w:rFonts w:cs="Arial"/>
                <w:b w:val="0"/>
                <w:color w:val="auto"/>
              </w:rPr>
              <w:t xml:space="preserve">Youth </w:t>
            </w:r>
            <w:r w:rsidR="00606E1C" w:rsidRPr="000708E6">
              <w:rPr>
                <w:rFonts w:cs="Arial"/>
                <w:b w:val="0"/>
                <w:color w:val="auto"/>
              </w:rPr>
              <w:t>tertiary participation rate</w:t>
            </w:r>
          </w:p>
        </w:tc>
        <w:tc>
          <w:tcPr>
            <w:tcW w:w="2129" w:type="dxa"/>
            <w:tcBorders>
              <w:top w:val="single" w:sz="4" w:space="0" w:color="FFFFFF" w:themeColor="background1"/>
              <w:left w:val="single" w:sz="4" w:space="0" w:color="808080"/>
              <w:right w:val="single" w:sz="4" w:space="0" w:color="808080"/>
            </w:tcBorders>
            <w:shd w:val="clear" w:color="auto" w:fill="DF5454"/>
            <w:vAlign w:val="center"/>
          </w:tcPr>
          <w:p w14:paraId="521627CC" w14:textId="36104986" w:rsidR="00D95E9A" w:rsidRPr="003002BC" w:rsidRDefault="001F0E5E">
            <w:pPr>
              <w:jc w:val="center"/>
              <w:cnfStyle w:val="000000100000" w:firstRow="0" w:lastRow="0" w:firstColumn="0" w:lastColumn="0" w:oddVBand="0" w:evenVBand="0" w:oddHBand="1" w:evenHBand="0" w:firstRowFirstColumn="0" w:firstRowLastColumn="0" w:lastRowFirstColumn="0" w:lastRowLastColumn="0"/>
              <w:rPr>
                <w:rFonts w:cs="Arial"/>
                <w:b/>
              </w:rPr>
            </w:pPr>
            <w:r w:rsidRPr="003002BC">
              <w:rPr>
                <w:rFonts w:cs="Arial"/>
                <w:b/>
              </w:rPr>
              <w:t>Red</w:t>
            </w:r>
          </w:p>
        </w:tc>
      </w:tr>
      <w:tr w:rsidR="00D95E9A" w:rsidRPr="00CB0C7A" w14:paraId="3BEF0A6C" w14:textId="77777777" w:rsidTr="00820B93">
        <w:trPr>
          <w:trHeight w:val="68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808080"/>
              <w:left w:val="single" w:sz="4" w:space="0" w:color="808080"/>
              <w:bottom w:val="single" w:sz="4" w:space="0" w:color="808080"/>
              <w:right w:val="single" w:sz="4" w:space="0" w:color="808080"/>
            </w:tcBorders>
            <w:shd w:val="clear" w:color="auto" w:fill="auto"/>
            <w:vAlign w:val="center"/>
          </w:tcPr>
          <w:p w14:paraId="54254D25" w14:textId="7A02C44B" w:rsidR="00D95E9A" w:rsidRPr="00F26DF2" w:rsidRDefault="00332B0C" w:rsidP="0025479A">
            <w:pPr>
              <w:pStyle w:val="ListParagraph"/>
              <w:numPr>
                <w:ilvl w:val="0"/>
                <w:numId w:val="9"/>
              </w:numPr>
              <w:spacing w:before="40" w:after="40" w:line="240" w:lineRule="auto"/>
              <w:rPr>
                <w:rFonts w:cs="Arial"/>
                <w:b w:val="0"/>
                <w:color w:val="auto"/>
              </w:rPr>
            </w:pPr>
            <w:r w:rsidRPr="00AB3DC8">
              <w:rPr>
                <w:rFonts w:cs="Arial"/>
                <w:b w:val="0"/>
                <w:color w:val="auto"/>
              </w:rPr>
              <w:t xml:space="preserve">Apprenticeship </w:t>
            </w:r>
            <w:r w:rsidR="009B20AF" w:rsidRPr="00AB3DC8">
              <w:rPr>
                <w:rFonts w:cs="Arial"/>
                <w:b w:val="0"/>
                <w:color w:val="auto"/>
              </w:rPr>
              <w:t xml:space="preserve">and traineeship </w:t>
            </w:r>
            <w:r w:rsidRPr="00AB3DC8">
              <w:rPr>
                <w:rFonts w:cs="Arial"/>
                <w:b w:val="0"/>
                <w:color w:val="auto"/>
              </w:rPr>
              <w:t>completion rate</w:t>
            </w:r>
          </w:p>
        </w:tc>
        <w:tc>
          <w:tcPr>
            <w:tcW w:w="2129" w:type="dxa"/>
            <w:tcBorders>
              <w:left w:val="single" w:sz="4" w:space="0" w:color="808080"/>
              <w:right w:val="single" w:sz="4" w:space="0" w:color="808080"/>
            </w:tcBorders>
            <w:shd w:val="clear" w:color="auto" w:fill="FFAD4C"/>
            <w:vAlign w:val="center"/>
          </w:tcPr>
          <w:p w14:paraId="360D6BD8" w14:textId="4ACA45D1" w:rsidR="00D95E9A" w:rsidRPr="003002BC" w:rsidRDefault="00EE7987">
            <w:pPr>
              <w:jc w:val="center"/>
              <w:cnfStyle w:val="000000000000" w:firstRow="0" w:lastRow="0" w:firstColumn="0" w:lastColumn="0" w:oddVBand="0" w:evenVBand="0" w:oddHBand="0" w:evenHBand="0" w:firstRowFirstColumn="0" w:firstRowLastColumn="0" w:lastRowFirstColumn="0" w:lastRowLastColumn="0"/>
              <w:rPr>
                <w:rFonts w:cs="Arial"/>
                <w:b/>
              </w:rPr>
            </w:pPr>
            <w:r w:rsidRPr="003002BC">
              <w:rPr>
                <w:rFonts w:cs="Arial"/>
                <w:b/>
              </w:rPr>
              <w:t>Orange</w:t>
            </w:r>
          </w:p>
        </w:tc>
      </w:tr>
      <w:tr w:rsidR="00D95E9A" w:rsidRPr="00CB0C7A" w14:paraId="27394444" w14:textId="77777777" w:rsidTr="00820B93">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6A6A6"/>
              <w:left w:val="single" w:sz="4" w:space="0" w:color="808080"/>
              <w:bottom w:val="single" w:sz="4" w:space="0" w:color="A6A6A6"/>
              <w:right w:val="single" w:sz="4" w:space="0" w:color="808080"/>
            </w:tcBorders>
            <w:shd w:val="clear" w:color="auto" w:fill="FFFFFF" w:themeFill="background1"/>
            <w:vAlign w:val="center"/>
          </w:tcPr>
          <w:p w14:paraId="46366BBA" w14:textId="5FFA0321" w:rsidR="00D95E9A" w:rsidRPr="00F26DF2" w:rsidRDefault="00D95E9A" w:rsidP="0025479A">
            <w:pPr>
              <w:pStyle w:val="ListParagraph"/>
              <w:numPr>
                <w:ilvl w:val="0"/>
                <w:numId w:val="9"/>
              </w:numPr>
              <w:spacing w:before="40" w:after="40" w:line="240" w:lineRule="auto"/>
              <w:rPr>
                <w:rFonts w:cs="Arial"/>
                <w:b w:val="0"/>
                <w:color w:val="auto"/>
              </w:rPr>
            </w:pPr>
            <w:r w:rsidRPr="00F26DF2">
              <w:rPr>
                <w:rFonts w:cs="Arial"/>
                <w:b w:val="0"/>
                <w:color w:val="auto"/>
              </w:rPr>
              <w:t xml:space="preserve">Proportion </w:t>
            </w:r>
            <w:r w:rsidR="00F0419F">
              <w:rPr>
                <w:rFonts w:cs="Arial"/>
                <w:b w:val="0"/>
                <w:color w:val="auto"/>
              </w:rPr>
              <w:t>working at lower skill level than qualification level</w:t>
            </w:r>
          </w:p>
        </w:tc>
        <w:tc>
          <w:tcPr>
            <w:tcW w:w="2129" w:type="dxa"/>
            <w:tcBorders>
              <w:left w:val="single" w:sz="4" w:space="0" w:color="808080"/>
              <w:right w:val="single" w:sz="4" w:space="0" w:color="808080"/>
            </w:tcBorders>
            <w:shd w:val="clear" w:color="auto" w:fill="FFAD4C"/>
            <w:vAlign w:val="center"/>
          </w:tcPr>
          <w:p w14:paraId="30CF994F" w14:textId="77777777" w:rsidR="00D95E9A" w:rsidRPr="003002BC" w:rsidRDefault="00D95E9A">
            <w:pPr>
              <w:jc w:val="center"/>
              <w:cnfStyle w:val="000000100000" w:firstRow="0" w:lastRow="0" w:firstColumn="0" w:lastColumn="0" w:oddVBand="0" w:evenVBand="0" w:oddHBand="1" w:evenHBand="0" w:firstRowFirstColumn="0" w:firstRowLastColumn="0" w:lastRowFirstColumn="0" w:lastRowLastColumn="0"/>
              <w:rPr>
                <w:rFonts w:cs="Arial"/>
                <w:b/>
              </w:rPr>
            </w:pPr>
            <w:r w:rsidRPr="003002BC">
              <w:rPr>
                <w:rFonts w:cs="Arial"/>
                <w:b/>
              </w:rPr>
              <w:t>Orange</w:t>
            </w:r>
          </w:p>
        </w:tc>
      </w:tr>
      <w:tr w:rsidR="00D95E9A" w:rsidRPr="00CC39B8" w14:paraId="694C13D9" w14:textId="77777777" w:rsidTr="00820B93">
        <w:trPr>
          <w:trHeight w:val="68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6A6A6"/>
              <w:left w:val="single" w:sz="4" w:space="0" w:color="808080"/>
              <w:bottom w:val="single" w:sz="4" w:space="0" w:color="808080"/>
              <w:right w:val="single" w:sz="4" w:space="0" w:color="808080"/>
            </w:tcBorders>
            <w:shd w:val="clear" w:color="auto" w:fill="F2F2F2" w:themeFill="background1" w:themeFillShade="F2"/>
            <w:vAlign w:val="center"/>
          </w:tcPr>
          <w:p w14:paraId="5AFCB300" w14:textId="3135DA5F" w:rsidR="00D95E9A" w:rsidRPr="00F26DF2" w:rsidRDefault="00D95E9A" w:rsidP="0025479A">
            <w:pPr>
              <w:pStyle w:val="ListParagraph"/>
              <w:numPr>
                <w:ilvl w:val="0"/>
                <w:numId w:val="9"/>
              </w:numPr>
              <w:spacing w:before="40" w:after="40" w:line="240" w:lineRule="auto"/>
              <w:rPr>
                <w:rFonts w:cs="Arial"/>
                <w:b w:val="0"/>
                <w:color w:val="auto"/>
              </w:rPr>
            </w:pPr>
            <w:r w:rsidRPr="00F26DF2">
              <w:rPr>
                <w:rFonts w:cs="Arial"/>
                <w:b w:val="0"/>
                <w:color w:val="auto"/>
              </w:rPr>
              <w:t xml:space="preserve">Proportion of population </w:t>
            </w:r>
            <w:r w:rsidR="00F0419F">
              <w:rPr>
                <w:rFonts w:cs="Arial"/>
                <w:b w:val="0"/>
                <w:color w:val="auto"/>
              </w:rPr>
              <w:t>(25</w:t>
            </w:r>
            <w:r w:rsidRPr="00F26DF2">
              <w:rPr>
                <w:rFonts w:cs="Arial"/>
                <w:b w:val="0"/>
                <w:color w:val="auto"/>
              </w:rPr>
              <w:t>-</w:t>
            </w:r>
            <w:r w:rsidR="004134E4">
              <w:rPr>
                <w:rFonts w:cs="Arial"/>
                <w:b w:val="0"/>
                <w:color w:val="auto"/>
              </w:rPr>
              <w:t>44</w:t>
            </w:r>
            <w:r w:rsidR="00F0419F">
              <w:rPr>
                <w:rFonts w:cs="Arial"/>
                <w:b w:val="0"/>
                <w:color w:val="auto"/>
              </w:rPr>
              <w:t>)</w:t>
            </w:r>
            <w:r w:rsidRPr="00F26DF2">
              <w:rPr>
                <w:rFonts w:cs="Arial"/>
                <w:b w:val="0"/>
                <w:color w:val="auto"/>
              </w:rPr>
              <w:t xml:space="preserve"> working in the same field as their </w:t>
            </w:r>
            <w:r w:rsidR="00911BBB">
              <w:rPr>
                <w:rFonts w:cs="Arial"/>
                <w:b w:val="0"/>
                <w:color w:val="auto"/>
              </w:rPr>
              <w:t>most relevant</w:t>
            </w:r>
            <w:r w:rsidRPr="00F26DF2">
              <w:rPr>
                <w:rFonts w:cs="Arial"/>
                <w:b w:val="0"/>
                <w:color w:val="auto"/>
              </w:rPr>
              <w:t xml:space="preserve"> qualification</w:t>
            </w:r>
          </w:p>
        </w:tc>
        <w:tc>
          <w:tcPr>
            <w:tcW w:w="2129" w:type="dxa"/>
            <w:tcBorders>
              <w:left w:val="single" w:sz="4" w:space="0" w:color="808080"/>
              <w:bottom w:val="single" w:sz="4" w:space="0" w:color="808080"/>
              <w:right w:val="single" w:sz="4" w:space="0" w:color="808080"/>
            </w:tcBorders>
            <w:shd w:val="clear" w:color="auto" w:fill="FFAD4C"/>
            <w:vAlign w:val="center"/>
          </w:tcPr>
          <w:p w14:paraId="2B6C0016" w14:textId="6FB85862" w:rsidR="00D95E9A" w:rsidRPr="003002BC" w:rsidRDefault="004C5DF8">
            <w:pPr>
              <w:jc w:val="center"/>
              <w:cnfStyle w:val="000000000000" w:firstRow="0" w:lastRow="0" w:firstColumn="0" w:lastColumn="0" w:oddVBand="0" w:evenVBand="0" w:oddHBand="0" w:evenHBand="0" w:firstRowFirstColumn="0" w:firstRowLastColumn="0" w:lastRowFirstColumn="0" w:lastRowLastColumn="0"/>
              <w:rPr>
                <w:rFonts w:cs="Arial"/>
                <w:b/>
              </w:rPr>
            </w:pPr>
            <w:r w:rsidRPr="003002BC">
              <w:rPr>
                <w:rFonts w:cs="Arial"/>
                <w:b/>
              </w:rPr>
              <w:t>Orange</w:t>
            </w:r>
          </w:p>
        </w:tc>
      </w:tr>
    </w:tbl>
    <w:p w14:paraId="051C281C" w14:textId="77777777" w:rsidR="00D95E9A" w:rsidRPr="00027223" w:rsidRDefault="00D95E9A" w:rsidP="00027223">
      <w:pPr>
        <w:pStyle w:val="Heading4"/>
      </w:pPr>
      <w:r w:rsidRPr="00027223">
        <w:t>Contributing indicators</w:t>
      </w:r>
    </w:p>
    <w:p w14:paraId="243B6AF4" w14:textId="76CF3EB5" w:rsidR="00D95E9A" w:rsidRPr="00027223" w:rsidRDefault="00846EE6" w:rsidP="00027223">
      <w:pPr>
        <w:pStyle w:val="Heading5"/>
      </w:pPr>
      <w:r w:rsidRPr="00027223">
        <w:t xml:space="preserve">Youth </w:t>
      </w:r>
      <w:r w:rsidR="00284E54" w:rsidRPr="00027223">
        <w:t xml:space="preserve">tertiary participation rate </w:t>
      </w:r>
    </w:p>
    <w:p w14:paraId="025E78CF" w14:textId="7DA3E5E0" w:rsidR="00145D3A" w:rsidRPr="00BC2F93" w:rsidRDefault="006470FB" w:rsidP="006470FB">
      <w:pPr>
        <w:pStyle w:val="Caption"/>
      </w:pPr>
      <w:r>
        <w:t xml:space="preserve">Table </w:t>
      </w:r>
      <w:r>
        <w:fldChar w:fldCharType="begin"/>
      </w:r>
      <w:r>
        <w:instrText xml:space="preserve"> SEQ Table \* ARABIC </w:instrText>
      </w:r>
      <w:r>
        <w:fldChar w:fldCharType="separate"/>
      </w:r>
      <w:r w:rsidR="00471863">
        <w:rPr>
          <w:noProof/>
        </w:rPr>
        <w:t>12</w:t>
      </w:r>
      <w:r>
        <w:fldChar w:fldCharType="end"/>
      </w:r>
      <w:r w:rsidR="00145D3A" w:rsidRPr="00BC2F93">
        <w:rPr>
          <w:rFonts w:cs="Arial"/>
        </w:rPr>
        <w:t>:</w:t>
      </w:r>
      <w:r w:rsidR="00A10D8A" w:rsidRPr="00BC2F93">
        <w:rPr>
          <w:rFonts w:cs="Arial"/>
        </w:rPr>
        <w:t xml:space="preserve"> </w:t>
      </w:r>
      <w:r w:rsidR="00284E54" w:rsidRPr="00BC2F93">
        <w:rPr>
          <w:rFonts w:cs="Arial"/>
        </w:rPr>
        <w:t>Youth (15-24 years)</w:t>
      </w:r>
      <w:r w:rsidR="00A10D8A" w:rsidRPr="00BC2F93">
        <w:rPr>
          <w:rFonts w:cs="Arial"/>
        </w:rPr>
        <w:t xml:space="preserve"> participation rate </w:t>
      </w:r>
      <w:r w:rsidR="007E39D4" w:rsidRPr="00BC2F93">
        <w:rPr>
          <w:rFonts w:cs="Arial"/>
        </w:rPr>
        <w:t>(%)</w:t>
      </w:r>
    </w:p>
    <w:tbl>
      <w:tblPr>
        <w:tblStyle w:val="GridTable5Dark-Accent12"/>
        <w:tblW w:w="8634" w:type="dxa"/>
        <w:tblLook w:val="04A0" w:firstRow="1" w:lastRow="0" w:firstColumn="1" w:lastColumn="0" w:noHBand="0" w:noVBand="1"/>
      </w:tblPr>
      <w:tblGrid>
        <w:gridCol w:w="2127"/>
        <w:gridCol w:w="1132"/>
        <w:gridCol w:w="1133"/>
        <w:gridCol w:w="1698"/>
        <w:gridCol w:w="980"/>
        <w:gridCol w:w="1564"/>
      </w:tblGrid>
      <w:tr w:rsidR="006D6F9E" w:rsidRPr="00207C36" w14:paraId="047214CC" w14:textId="77777777" w:rsidTr="00145D3A">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single" w:sz="4" w:space="0" w:color="auto"/>
              <w:right w:val="single" w:sz="4" w:space="0" w:color="FFFFFF"/>
            </w:tcBorders>
            <w:shd w:val="clear" w:color="auto" w:fill="370663"/>
          </w:tcPr>
          <w:p w14:paraId="1682CFA3" w14:textId="55E20E4C" w:rsidR="00D95E9A" w:rsidRPr="009B20AF" w:rsidRDefault="00D95E9A">
            <w:pPr>
              <w:rPr>
                <w:rFonts w:eastAsia="Aptos" w:cs="Arial"/>
                <w:b w:val="0"/>
                <w:bCs w:val="0"/>
                <w:sz w:val="24"/>
                <w:szCs w:val="24"/>
              </w:rPr>
            </w:pPr>
          </w:p>
        </w:tc>
        <w:tc>
          <w:tcPr>
            <w:tcW w:w="1132" w:type="dxa"/>
            <w:tcBorders>
              <w:top w:val="single" w:sz="4" w:space="0" w:color="auto"/>
              <w:left w:val="single" w:sz="4" w:space="0" w:color="FFFFFF"/>
              <w:right w:val="single" w:sz="4" w:space="0" w:color="FFFFFF"/>
            </w:tcBorders>
            <w:shd w:val="clear" w:color="auto" w:fill="370663"/>
            <w:vAlign w:val="center"/>
          </w:tcPr>
          <w:p w14:paraId="33644E26" w14:textId="77777777" w:rsidR="00D95E9A" w:rsidRPr="002272EC" w:rsidRDefault="00D95E9A">
            <w:pPr>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2272EC">
              <w:rPr>
                <w:rFonts w:cs="Arial"/>
                <w:sz w:val="20"/>
                <w:szCs w:val="20"/>
              </w:rPr>
              <w:t>Current Rating</w:t>
            </w:r>
          </w:p>
        </w:tc>
        <w:tc>
          <w:tcPr>
            <w:tcW w:w="1133" w:type="dxa"/>
            <w:tcBorders>
              <w:top w:val="single" w:sz="4" w:space="0" w:color="auto"/>
              <w:left w:val="single" w:sz="4" w:space="0" w:color="FFFFFF"/>
              <w:right w:val="single" w:sz="4" w:space="0" w:color="FFFFFF"/>
            </w:tcBorders>
            <w:shd w:val="clear" w:color="auto" w:fill="370663"/>
            <w:vAlign w:val="center"/>
          </w:tcPr>
          <w:p w14:paraId="2A16C88B" w14:textId="77777777" w:rsidR="00D95E9A" w:rsidRPr="002272EC" w:rsidRDefault="00D95E9A">
            <w:pPr>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2272EC">
              <w:rPr>
                <w:rFonts w:cs="Arial"/>
                <w:sz w:val="20"/>
                <w:szCs w:val="20"/>
              </w:rPr>
              <w:t>Current rate in Regional Australia</w:t>
            </w:r>
          </w:p>
        </w:tc>
        <w:tc>
          <w:tcPr>
            <w:tcW w:w="1698" w:type="dxa"/>
            <w:tcBorders>
              <w:top w:val="single" w:sz="4" w:space="0" w:color="auto"/>
              <w:left w:val="single" w:sz="4" w:space="0" w:color="FFFFFF"/>
              <w:right w:val="single" w:sz="4" w:space="0" w:color="FFFFFF"/>
            </w:tcBorders>
            <w:shd w:val="clear" w:color="auto" w:fill="370663"/>
            <w:vAlign w:val="center"/>
          </w:tcPr>
          <w:p w14:paraId="471853F0" w14:textId="77777777" w:rsidR="00D95E9A" w:rsidRPr="002272EC" w:rsidRDefault="00D95E9A">
            <w:pPr>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2272EC">
              <w:rPr>
                <w:rFonts w:cs="Arial"/>
                <w:sz w:val="20"/>
                <w:szCs w:val="20"/>
              </w:rPr>
              <w:t>Current Trend</w:t>
            </w:r>
          </w:p>
        </w:tc>
        <w:tc>
          <w:tcPr>
            <w:tcW w:w="980" w:type="dxa"/>
            <w:tcBorders>
              <w:top w:val="single" w:sz="4" w:space="0" w:color="auto"/>
              <w:left w:val="single" w:sz="4" w:space="0" w:color="FFFFFF"/>
              <w:right w:val="single" w:sz="4" w:space="0" w:color="FFFFFF"/>
            </w:tcBorders>
            <w:shd w:val="clear" w:color="auto" w:fill="370663"/>
            <w:vAlign w:val="center"/>
          </w:tcPr>
          <w:p w14:paraId="0B58F70E" w14:textId="77777777" w:rsidR="00D95E9A" w:rsidRPr="002272EC" w:rsidRDefault="00D95E9A">
            <w:pPr>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2272EC">
              <w:rPr>
                <w:rFonts w:cs="Arial"/>
                <w:sz w:val="20"/>
                <w:szCs w:val="20"/>
              </w:rPr>
              <w:t>Best on record</w:t>
            </w:r>
          </w:p>
        </w:tc>
        <w:tc>
          <w:tcPr>
            <w:tcW w:w="1564" w:type="dxa"/>
            <w:tcBorders>
              <w:top w:val="single" w:sz="4" w:space="0" w:color="auto"/>
              <w:left w:val="single" w:sz="4" w:space="0" w:color="FFFFFF"/>
              <w:right w:val="single" w:sz="4" w:space="0" w:color="auto"/>
            </w:tcBorders>
            <w:shd w:val="clear" w:color="auto" w:fill="370663"/>
            <w:vAlign w:val="center"/>
          </w:tcPr>
          <w:p w14:paraId="6F0A97E5" w14:textId="26DF91CD" w:rsidR="00D95E9A" w:rsidRPr="002272EC" w:rsidRDefault="003A7518">
            <w:pPr>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CB0C7A">
              <w:rPr>
                <w:rFonts w:cs="Arial"/>
                <w:sz w:val="20"/>
              </w:rPr>
              <w:t xml:space="preserve">Gap to </w:t>
            </w:r>
            <w:r>
              <w:rPr>
                <w:rFonts w:cs="Arial"/>
                <w:sz w:val="20"/>
              </w:rPr>
              <w:t>the Major Cities</w:t>
            </w:r>
          </w:p>
        </w:tc>
      </w:tr>
      <w:tr w:rsidR="00946993" w:rsidRPr="00207C36" w14:paraId="763735E9" w14:textId="77777777" w:rsidTr="003002BC">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2127" w:type="dxa"/>
            <w:tcBorders>
              <w:left w:val="single" w:sz="4" w:space="0" w:color="auto"/>
              <w:bottom w:val="single" w:sz="4" w:space="0" w:color="auto"/>
            </w:tcBorders>
            <w:shd w:val="clear" w:color="auto" w:fill="E0D1F5" w:themeFill="accent1" w:themeFillTint="33"/>
            <w:vAlign w:val="center"/>
          </w:tcPr>
          <w:p w14:paraId="2794791A" w14:textId="3D8E8DEB" w:rsidR="00D95E9A" w:rsidRPr="003002BC" w:rsidRDefault="00846EE6">
            <w:pPr>
              <w:rPr>
                <w:rFonts w:eastAsia="Aptos" w:cs="Arial"/>
                <w:b w:val="0"/>
                <w:color w:val="auto"/>
              </w:rPr>
            </w:pPr>
            <w:r w:rsidRPr="003002BC">
              <w:rPr>
                <w:rFonts w:eastAsia="Aptos" w:cs="Arial"/>
                <w:b w:val="0"/>
                <w:color w:val="auto"/>
              </w:rPr>
              <w:t xml:space="preserve">Youth </w:t>
            </w:r>
            <w:r w:rsidR="00284E54" w:rsidRPr="003002BC">
              <w:rPr>
                <w:rFonts w:eastAsia="Aptos" w:cs="Arial"/>
                <w:b w:val="0"/>
                <w:color w:val="auto"/>
              </w:rPr>
              <w:t xml:space="preserve">tertiary </w:t>
            </w:r>
            <w:r w:rsidR="00D95E9A" w:rsidRPr="003002BC">
              <w:rPr>
                <w:rFonts w:eastAsia="Aptos" w:cs="Arial"/>
                <w:b w:val="0"/>
                <w:color w:val="auto"/>
              </w:rPr>
              <w:t>participation rate (%)</w:t>
            </w:r>
          </w:p>
        </w:tc>
        <w:tc>
          <w:tcPr>
            <w:tcW w:w="1132" w:type="dxa"/>
            <w:tcBorders>
              <w:bottom w:val="single" w:sz="4" w:space="0" w:color="auto"/>
            </w:tcBorders>
            <w:shd w:val="clear" w:color="auto" w:fill="DF5454"/>
            <w:vAlign w:val="center"/>
          </w:tcPr>
          <w:p w14:paraId="05F6AD9F" w14:textId="1F777387" w:rsidR="00D95E9A" w:rsidRPr="003002BC" w:rsidRDefault="00F43EF5">
            <w:pPr>
              <w:jc w:val="center"/>
              <w:cnfStyle w:val="000000100000" w:firstRow="0" w:lastRow="0" w:firstColumn="0" w:lastColumn="0" w:oddVBand="0" w:evenVBand="0" w:oddHBand="1" w:evenHBand="0" w:firstRowFirstColumn="0" w:firstRowLastColumn="0" w:lastRowFirstColumn="0" w:lastRowLastColumn="0"/>
              <w:rPr>
                <w:rFonts w:eastAsia="Aptos" w:cs="Arial"/>
                <w:b/>
                <w:bCs/>
              </w:rPr>
            </w:pPr>
            <w:r w:rsidRPr="003002BC">
              <w:rPr>
                <w:rFonts w:eastAsia="Aptos" w:cs="Arial"/>
                <w:b/>
                <w:bCs/>
              </w:rPr>
              <w:t>Red</w:t>
            </w:r>
          </w:p>
        </w:tc>
        <w:tc>
          <w:tcPr>
            <w:tcW w:w="1133" w:type="dxa"/>
            <w:tcBorders>
              <w:bottom w:val="single" w:sz="4" w:space="0" w:color="auto"/>
            </w:tcBorders>
            <w:shd w:val="clear" w:color="auto" w:fill="DF5454"/>
            <w:vAlign w:val="center"/>
          </w:tcPr>
          <w:p w14:paraId="636F51B3" w14:textId="7BF7449E" w:rsidR="00D95E9A" w:rsidRPr="003002BC" w:rsidRDefault="009F71A9">
            <w:pPr>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3002BC">
              <w:rPr>
                <w:rFonts w:eastAsia="Aptos" w:cs="Arial"/>
              </w:rPr>
              <w:t>2</w:t>
            </w:r>
            <w:r w:rsidR="00FF6BC7" w:rsidRPr="003002BC">
              <w:rPr>
                <w:rFonts w:eastAsia="Aptos" w:cs="Arial"/>
              </w:rPr>
              <w:t>2</w:t>
            </w:r>
            <w:r w:rsidR="00C056B7" w:rsidRPr="003002BC">
              <w:rPr>
                <w:rFonts w:eastAsia="Aptos" w:cs="Arial"/>
              </w:rPr>
              <w:t>.</w:t>
            </w:r>
            <w:r w:rsidR="00FF6BC7" w:rsidRPr="003002BC">
              <w:rPr>
                <w:rFonts w:eastAsia="Aptos" w:cs="Arial"/>
              </w:rPr>
              <w:t>2</w:t>
            </w:r>
            <w:r w:rsidR="00D95E9A" w:rsidRPr="003002BC">
              <w:rPr>
                <w:rFonts w:eastAsia="Aptos" w:cs="Arial"/>
              </w:rPr>
              <w:t>%</w:t>
            </w:r>
          </w:p>
        </w:tc>
        <w:tc>
          <w:tcPr>
            <w:tcW w:w="1698" w:type="dxa"/>
            <w:tcBorders>
              <w:bottom w:val="single" w:sz="4" w:space="0" w:color="auto"/>
              <w:right w:val="single" w:sz="4" w:space="0" w:color="A6A6A6"/>
            </w:tcBorders>
            <w:shd w:val="clear" w:color="auto" w:fill="F2F2F2" w:themeFill="background1" w:themeFillShade="F2"/>
            <w:vAlign w:val="center"/>
          </w:tcPr>
          <w:p w14:paraId="409E2EEC" w14:textId="0CE6762D" w:rsidR="00D95E9A" w:rsidRPr="003002BC" w:rsidRDefault="004B4AFA">
            <w:pPr>
              <w:jc w:val="center"/>
              <w:cnfStyle w:val="000000100000" w:firstRow="0" w:lastRow="0" w:firstColumn="0" w:lastColumn="0" w:oddVBand="0" w:evenVBand="0" w:oddHBand="1" w:evenHBand="0" w:firstRowFirstColumn="0" w:firstRowLastColumn="0" w:lastRowFirstColumn="0" w:lastRowLastColumn="0"/>
              <w:rPr>
                <w:rFonts w:eastAsia="Aptos" w:cs="Arial"/>
                <w:b/>
              </w:rPr>
            </w:pPr>
            <w:r w:rsidRPr="003002BC">
              <w:rPr>
                <w:rFonts w:eastAsia="Aptos" w:cs="Arial"/>
                <w:b/>
              </w:rPr>
              <w:t>Stable</w:t>
            </w:r>
          </w:p>
        </w:tc>
        <w:tc>
          <w:tcPr>
            <w:tcW w:w="980" w:type="dxa"/>
            <w:tcBorders>
              <w:left w:val="single" w:sz="4" w:space="0" w:color="A6A6A6"/>
              <w:bottom w:val="single" w:sz="4" w:space="0" w:color="auto"/>
              <w:right w:val="single" w:sz="4" w:space="0" w:color="A6A6A6"/>
            </w:tcBorders>
            <w:shd w:val="clear" w:color="auto" w:fill="F2F2F2" w:themeFill="background1" w:themeFillShade="F2"/>
            <w:vAlign w:val="center"/>
          </w:tcPr>
          <w:p w14:paraId="63FC396E" w14:textId="6577AD21" w:rsidR="00D95E9A" w:rsidRPr="003002BC" w:rsidRDefault="00871FC5">
            <w:pPr>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3002BC">
              <w:rPr>
                <w:rFonts w:eastAsia="Aptos" w:cs="Arial"/>
              </w:rPr>
              <w:t>2</w:t>
            </w:r>
            <w:r w:rsidR="002B4598" w:rsidRPr="003002BC">
              <w:rPr>
                <w:rFonts w:eastAsia="Aptos" w:cs="Arial"/>
              </w:rPr>
              <w:t>5</w:t>
            </w:r>
            <w:r w:rsidR="00F25DBB" w:rsidRPr="003002BC">
              <w:rPr>
                <w:rFonts w:eastAsia="Aptos" w:cs="Arial"/>
              </w:rPr>
              <w:t>.</w:t>
            </w:r>
            <w:r w:rsidR="002B4598" w:rsidRPr="003002BC">
              <w:rPr>
                <w:rFonts w:eastAsia="Aptos" w:cs="Arial"/>
              </w:rPr>
              <w:t>1</w:t>
            </w:r>
            <w:r w:rsidR="00D95E9A" w:rsidRPr="003002BC">
              <w:rPr>
                <w:rFonts w:eastAsia="Aptos" w:cs="Arial"/>
              </w:rPr>
              <w:t>%</w:t>
            </w:r>
          </w:p>
          <w:p w14:paraId="0F7AE6FC" w14:textId="467E7AA7" w:rsidR="00D95E9A" w:rsidRPr="003002BC" w:rsidRDefault="00896076">
            <w:pPr>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3002BC">
              <w:rPr>
                <w:rFonts w:eastAsia="Aptos" w:cs="Arial"/>
              </w:rPr>
              <w:t>(20</w:t>
            </w:r>
            <w:r w:rsidR="002B4598" w:rsidRPr="003002BC">
              <w:rPr>
                <w:rFonts w:eastAsia="Aptos" w:cs="Arial"/>
              </w:rPr>
              <w:t>19</w:t>
            </w:r>
            <w:r w:rsidRPr="003002BC">
              <w:rPr>
                <w:rFonts w:eastAsia="Aptos" w:cs="Arial"/>
              </w:rPr>
              <w:t>)</w:t>
            </w:r>
          </w:p>
        </w:tc>
        <w:tc>
          <w:tcPr>
            <w:tcW w:w="1564" w:type="dxa"/>
            <w:tcBorders>
              <w:left w:val="single" w:sz="4" w:space="0" w:color="A6A6A6"/>
              <w:bottom w:val="single" w:sz="4" w:space="0" w:color="auto"/>
              <w:right w:val="single" w:sz="4" w:space="0" w:color="auto"/>
            </w:tcBorders>
            <w:shd w:val="clear" w:color="auto" w:fill="DF5454"/>
            <w:vAlign w:val="center"/>
          </w:tcPr>
          <w:p w14:paraId="78FBFD74" w14:textId="36C1AD15" w:rsidR="00D95E9A" w:rsidRPr="003002BC" w:rsidRDefault="009F71A9">
            <w:pPr>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3002BC">
              <w:rPr>
                <w:rFonts w:eastAsia="Aptos" w:cs="Arial"/>
              </w:rPr>
              <w:t>-15</w:t>
            </w:r>
            <w:r w:rsidR="003D6E8B" w:rsidRPr="003002BC">
              <w:rPr>
                <w:rFonts w:eastAsia="Aptos" w:cs="Arial"/>
              </w:rPr>
              <w:t>.</w:t>
            </w:r>
            <w:r w:rsidR="002B50BA" w:rsidRPr="003002BC">
              <w:rPr>
                <w:rFonts w:eastAsia="Aptos" w:cs="Arial"/>
              </w:rPr>
              <w:t>2</w:t>
            </w:r>
            <w:r w:rsidR="00D95E9A" w:rsidRPr="003002BC">
              <w:rPr>
                <w:rFonts w:eastAsia="Aptos" w:cs="Arial"/>
              </w:rPr>
              <w:t xml:space="preserve">% </w:t>
            </w:r>
          </w:p>
        </w:tc>
      </w:tr>
    </w:tbl>
    <w:p w14:paraId="0885288A" w14:textId="1665B2A4" w:rsidR="007E39D4" w:rsidRPr="007E39D4" w:rsidRDefault="00D95E9A" w:rsidP="00D95E9A">
      <w:pPr>
        <w:rPr>
          <w:rFonts w:cs="Arial"/>
          <w:i/>
          <w:sz w:val="18"/>
          <w:szCs w:val="18"/>
        </w:rPr>
      </w:pPr>
      <w:r w:rsidRPr="00B3082A">
        <w:rPr>
          <w:rFonts w:cs="Arial"/>
          <w:i/>
          <w:sz w:val="18"/>
          <w:szCs w:val="18"/>
        </w:rPr>
        <w:t xml:space="preserve">Source: </w:t>
      </w:r>
      <w:r w:rsidR="00A5004E">
        <w:rPr>
          <w:rFonts w:cs="Arial"/>
          <w:i/>
          <w:sz w:val="18"/>
          <w:szCs w:val="18"/>
        </w:rPr>
        <w:t>ABS, Survey of Education and Work, 2024</w:t>
      </w:r>
    </w:p>
    <w:p w14:paraId="4EDCB539" w14:textId="41877906" w:rsidR="00986A8A" w:rsidRPr="00986A8A" w:rsidRDefault="00B41559" w:rsidP="00027223">
      <w:pPr>
        <w:pStyle w:val="BodyText"/>
      </w:pPr>
      <w:r>
        <w:t>T</w:t>
      </w:r>
      <w:r w:rsidR="00986A8A" w:rsidRPr="00986A8A">
        <w:t xml:space="preserve">eritary education provides a </w:t>
      </w:r>
      <w:r w:rsidR="00FB5A96">
        <w:t>range</w:t>
      </w:r>
      <w:r w:rsidR="00986A8A" w:rsidRPr="00986A8A">
        <w:t xml:space="preserve"> of benefits for both the individual and community. For instance, tertiary education can improve an individual’s employability, financial capability and social wellbeing as well as contributing to regional development. </w:t>
      </w:r>
      <w:r w:rsidRPr="00986A8A">
        <w:t>Tertiary education is a key pillar of the skills system and will play an increasingly important role in building Australia’s future workforce</w:t>
      </w:r>
      <w:r>
        <w:t xml:space="preserve">, </w:t>
      </w:r>
      <w:r w:rsidR="00986A8A" w:rsidRPr="00986A8A">
        <w:t xml:space="preserve">a key outcome of </w:t>
      </w:r>
      <w:r w:rsidR="009D7E70">
        <w:t>V</w:t>
      </w:r>
      <w:r w:rsidR="00986A8A" w:rsidRPr="00986A8A">
        <w:t xml:space="preserve">ision </w:t>
      </w:r>
      <w:r w:rsidR="009D7E70">
        <w:t>P</w:t>
      </w:r>
      <w:r w:rsidR="00986A8A" w:rsidRPr="00986A8A">
        <w:t>rinciple 2.</w:t>
      </w:r>
    </w:p>
    <w:p w14:paraId="2C92C95D" w14:textId="433DEAC8" w:rsidR="00212952" w:rsidRPr="00986A8A" w:rsidRDefault="00AF32A2" w:rsidP="00027223">
      <w:pPr>
        <w:pStyle w:val="BodyText"/>
      </w:pPr>
      <w:r>
        <w:t xml:space="preserve">The mix of skills required in the labour market is changing as </w:t>
      </w:r>
      <w:r w:rsidR="00F42CA6">
        <w:t xml:space="preserve">Australia’s (including Regional Australia) economy evolves. </w:t>
      </w:r>
      <w:r w:rsidR="00E30BE0" w:rsidRPr="00E30BE0">
        <w:t>Projections produced by Victoria University for</w:t>
      </w:r>
      <w:r w:rsidR="00E30BE0">
        <w:t xml:space="preserve"> JSA</w:t>
      </w:r>
      <w:r w:rsidR="00E30BE0" w:rsidRPr="00E30BE0">
        <w:t xml:space="preserve"> show that over the next </w:t>
      </w:r>
      <w:r w:rsidR="00E30BE0">
        <w:t xml:space="preserve">10 </w:t>
      </w:r>
      <w:r w:rsidR="00E30BE0" w:rsidRPr="00E30BE0">
        <w:t xml:space="preserve">years, more than </w:t>
      </w:r>
      <w:r w:rsidR="00E30BE0">
        <w:t>9</w:t>
      </w:r>
      <w:r w:rsidR="00E30BE0" w:rsidRPr="00E30BE0">
        <w:t xml:space="preserve"> out of </w:t>
      </w:r>
      <w:r w:rsidR="00E30BE0">
        <w:t>10</w:t>
      </w:r>
      <w:r w:rsidR="00E30BE0" w:rsidRPr="00E30BE0">
        <w:t xml:space="preserve"> new jobs expected to be created will require post-secondary qualifications.</w:t>
      </w:r>
      <w:r w:rsidR="00E30BE0" w:rsidRPr="0046514E">
        <w:rPr>
          <w:rStyle w:val="FootnoteReference"/>
        </w:rPr>
        <w:t xml:space="preserve"> </w:t>
      </w:r>
      <w:r w:rsidR="0046514E">
        <w:rPr>
          <w:rStyle w:val="FootnoteReference"/>
        </w:rPr>
        <w:footnoteReference w:id="22"/>
      </w:r>
      <w:r w:rsidR="00E30BE0" w:rsidRPr="00E30BE0">
        <w:t xml:space="preserve"> Around 44</w:t>
      </w:r>
      <w:r w:rsidR="00E30BE0">
        <w:t>%</w:t>
      </w:r>
      <w:r w:rsidR="00E30BE0" w:rsidRPr="00E30BE0">
        <w:t xml:space="preserve"> of jobs will require a vocational education and training (VET) qualification, and around half (48</w:t>
      </w:r>
      <w:r w:rsidR="00E30BE0">
        <w:t>%</w:t>
      </w:r>
      <w:r w:rsidR="00E30BE0" w:rsidRPr="00E30BE0">
        <w:t xml:space="preserve">) will require a bachelor’s degree or higher </w:t>
      </w:r>
      <w:r w:rsidR="00E30BE0" w:rsidRPr="00E30BE0">
        <w:lastRenderedPageBreak/>
        <w:t>qualification. In the current labour market, around 5</w:t>
      </w:r>
      <w:r w:rsidR="006C534F">
        <w:t>1%</w:t>
      </w:r>
      <w:r w:rsidR="00E30BE0" w:rsidRPr="00E30BE0">
        <w:t xml:space="preserve"> per cent of jobs require a VET qualification, while </w:t>
      </w:r>
      <w:r w:rsidR="006C534F">
        <w:t xml:space="preserve">around </w:t>
      </w:r>
      <w:r w:rsidR="00E30BE0" w:rsidRPr="00E30BE0">
        <w:t>35</w:t>
      </w:r>
      <w:r w:rsidR="006C534F">
        <w:t xml:space="preserve">% </w:t>
      </w:r>
      <w:r w:rsidR="00E30BE0" w:rsidRPr="00E30BE0">
        <w:t>require a bachelor’s degree or higher.  The future labour market will demand ongoing rebalancing of the types of skills delivered across the tertiary sector.</w:t>
      </w:r>
    </w:p>
    <w:p w14:paraId="5EC67021" w14:textId="77777777" w:rsidR="004D2ADE" w:rsidRDefault="00986A8A" w:rsidP="00027223">
      <w:pPr>
        <w:pStyle w:val="BodyText"/>
      </w:pPr>
      <w:r w:rsidRPr="00986A8A">
        <w:t>To meet Australia’s future skills needs, both the VET and higher education sectors will play an important role in delivering quality education and training that meets the needs of students</w:t>
      </w:r>
      <w:r w:rsidR="0059454E">
        <w:t xml:space="preserve"> </w:t>
      </w:r>
      <w:r w:rsidRPr="00986A8A">
        <w:t>but also develop the skills needed by industry in the regions.</w:t>
      </w:r>
      <w:r w:rsidR="00B96A21">
        <w:t xml:space="preserve"> </w:t>
      </w:r>
      <w:r w:rsidR="00A5705E">
        <w:t xml:space="preserve">Ensuring the right balance between higher education and VET </w:t>
      </w:r>
      <w:r w:rsidR="00C73FA5" w:rsidRPr="00C73FA5">
        <w:t>involves aligning education with workforce needs, promoting diverse pathways, and fostering a culture that values both types of learning</w:t>
      </w:r>
      <w:r w:rsidR="00C73FA5">
        <w:t>.</w:t>
      </w:r>
      <w:r w:rsidR="00974017">
        <w:t xml:space="preserve"> </w:t>
      </w:r>
    </w:p>
    <w:p w14:paraId="04211E35" w14:textId="546FC431" w:rsidR="00986A8A" w:rsidRPr="00986A8A" w:rsidRDefault="00D35988" w:rsidP="00027223">
      <w:pPr>
        <w:pStyle w:val="BodyText"/>
      </w:pPr>
      <w:r>
        <w:t xml:space="preserve">At a regional level, </w:t>
      </w:r>
      <w:r w:rsidR="002B3131">
        <w:t xml:space="preserve">the right balance between higher education and VET also involves </w:t>
      </w:r>
      <w:r w:rsidR="00B97D86">
        <w:t xml:space="preserve">ensuring </w:t>
      </w:r>
      <w:r w:rsidR="002B3131">
        <w:t xml:space="preserve">considering the </w:t>
      </w:r>
      <w:r w:rsidR="006726F6">
        <w:t xml:space="preserve">skills needs of </w:t>
      </w:r>
      <w:r w:rsidR="002B3131">
        <w:t xml:space="preserve">industries and occupations </w:t>
      </w:r>
      <w:r w:rsidR="0059454E">
        <w:t>in the region</w:t>
      </w:r>
      <w:r w:rsidR="00676002">
        <w:t>, as well as the needs of local community and culture</w:t>
      </w:r>
      <w:r w:rsidR="0059454E">
        <w:t>.</w:t>
      </w:r>
      <w:r w:rsidR="000E24FC">
        <w:t xml:space="preserve"> </w:t>
      </w:r>
      <w:r w:rsidR="00754651">
        <w:t>JSA’s</w:t>
      </w:r>
      <w:r w:rsidR="002245E3">
        <w:t xml:space="preserve"> report</w:t>
      </w:r>
      <w:r w:rsidR="00754651">
        <w:t xml:space="preserve"> </w:t>
      </w:r>
      <w:r w:rsidR="002245E3">
        <w:t>‘</w:t>
      </w:r>
      <w:r w:rsidR="002245E3" w:rsidRPr="002245E3">
        <w:rPr>
          <w:i/>
          <w:iCs/>
        </w:rPr>
        <w:t>Opportunity and Productivity: Towards a Tertiary Harmonisation Roadmap’</w:t>
      </w:r>
      <w:r w:rsidR="00AD5B2F" w:rsidRPr="002245E3">
        <w:rPr>
          <w:i/>
          <w:iCs/>
        </w:rPr>
        <w:t xml:space="preserve"> </w:t>
      </w:r>
      <w:r w:rsidR="00CA55E1">
        <w:t xml:space="preserve">notes ‘improving coordination and cooperation </w:t>
      </w:r>
      <w:r w:rsidR="00032FE5">
        <w:t xml:space="preserve">of the tertiary sectors will help increase productivity, address skill shortages </w:t>
      </w:r>
      <w:r w:rsidR="00906878">
        <w:t>and allow for better matching of skill supply with skill demand.</w:t>
      </w:r>
    </w:p>
    <w:p w14:paraId="1512DA83" w14:textId="482F34DC" w:rsidR="00986A8A" w:rsidRPr="00E34959" w:rsidRDefault="00986A8A" w:rsidP="00027223">
      <w:pPr>
        <w:pStyle w:val="BodyText"/>
      </w:pPr>
      <w:r w:rsidRPr="00986A8A">
        <w:t xml:space="preserve">As employment in Regional Australia continues to shift towards jobs that require occupations where VET or higher education is the primary pathway, ensuring that participation in tertiary education in Regional Australia continues to grow is critical. </w:t>
      </w:r>
      <w:r w:rsidRPr="006523F1">
        <w:t xml:space="preserve">Unlike capital cities, where there has been the largest shift in the share of employment towards </w:t>
      </w:r>
      <w:r w:rsidR="00373EEC">
        <w:t>S</w:t>
      </w:r>
      <w:r w:rsidRPr="006523F1">
        <w:t xml:space="preserve">kill </w:t>
      </w:r>
      <w:r w:rsidR="00373EEC">
        <w:t>L</w:t>
      </w:r>
      <w:r w:rsidRPr="006523F1">
        <w:t xml:space="preserve">evel 1 occupations (where higher education is the primary pathway), regional and remote areas have experienced a shift in the share of employment towards occupations where VET is the primary pathway, in addition to an increase in </w:t>
      </w:r>
      <w:r w:rsidR="00373EEC">
        <w:t>S</w:t>
      </w:r>
      <w:r w:rsidRPr="006523F1">
        <w:t xml:space="preserve">kill </w:t>
      </w:r>
      <w:r w:rsidR="00373EEC">
        <w:t>L</w:t>
      </w:r>
      <w:r w:rsidRPr="006523F1">
        <w:t>evel 1 occupations.</w:t>
      </w:r>
    </w:p>
    <w:p w14:paraId="70C62B5D" w14:textId="1E9D887D" w:rsidR="00496F8E" w:rsidRDefault="00676002" w:rsidP="00027223">
      <w:pPr>
        <w:pStyle w:val="BodyText"/>
      </w:pPr>
      <w:r>
        <w:t>Against this backdrop, the</w:t>
      </w:r>
      <w:r w:rsidR="00D40AD3" w:rsidRPr="002A793B">
        <w:t xml:space="preserve"> </w:t>
      </w:r>
      <w:r w:rsidR="004D47EF" w:rsidRPr="002A793B">
        <w:t xml:space="preserve">youth tertiary participation rate in Regional Australia has been </w:t>
      </w:r>
      <w:r w:rsidR="00E34959">
        <w:t>relatively</w:t>
      </w:r>
      <w:r w:rsidR="004D47EF" w:rsidRPr="002A793B">
        <w:t xml:space="preserve"> stable over recent years at around 22%</w:t>
      </w:r>
      <w:r w:rsidR="002A793B">
        <w:t>, although is well below the rate recorded in Major Cities.</w:t>
      </w:r>
      <w:r w:rsidR="00A827F6">
        <w:t xml:space="preserve"> </w:t>
      </w:r>
      <w:r w:rsidR="009736B6">
        <w:t xml:space="preserve">Lower rates of tertiary study in Regional Australia could be due to a range of factors including </w:t>
      </w:r>
      <w:r w:rsidR="007D67B3">
        <w:t>access issues</w:t>
      </w:r>
      <w:r w:rsidR="00EB12F6">
        <w:t xml:space="preserve">, financial barriers, </w:t>
      </w:r>
      <w:r w:rsidR="007D67B3">
        <w:t>family and community expectations.</w:t>
      </w:r>
      <w:r w:rsidR="004B1E0F" w:rsidRPr="004B1E0F">
        <w:rPr>
          <w:sz w:val="24"/>
          <w:szCs w:val="24"/>
        </w:rPr>
        <w:t xml:space="preserve"> </w:t>
      </w:r>
      <w:r w:rsidR="004B1E0F" w:rsidRPr="004B1E0F">
        <w:t>Ensuring that students in Regional Australia have the same access</w:t>
      </w:r>
      <w:r w:rsidR="00FD3E8C">
        <w:t xml:space="preserve"> </w:t>
      </w:r>
      <w:r w:rsidR="004B1E0F" w:rsidRPr="004B1E0F">
        <w:t xml:space="preserve">to </w:t>
      </w:r>
      <w:r w:rsidR="00FD3E8C">
        <w:t xml:space="preserve">tertiary </w:t>
      </w:r>
      <w:r w:rsidR="004B1E0F" w:rsidRPr="004B1E0F">
        <w:t xml:space="preserve">education opportunities as </w:t>
      </w:r>
      <w:r w:rsidR="00144551">
        <w:t xml:space="preserve">those in the </w:t>
      </w:r>
      <w:r w:rsidR="008E438C">
        <w:t>M</w:t>
      </w:r>
      <w:r w:rsidR="004B1E0F" w:rsidRPr="004B1E0F">
        <w:t xml:space="preserve">ajor </w:t>
      </w:r>
      <w:r w:rsidR="00144551">
        <w:t>Cities</w:t>
      </w:r>
      <w:r w:rsidR="004B1E0F" w:rsidRPr="004B1E0F">
        <w:t xml:space="preserve"> is</w:t>
      </w:r>
      <w:r w:rsidR="00FD3E8C">
        <w:t xml:space="preserve"> </w:t>
      </w:r>
      <w:r w:rsidR="00E93A96">
        <w:t>critical</w:t>
      </w:r>
      <w:r w:rsidR="00082498">
        <w:t>, including by ensuring suitable students receive the support they need to meet associated entry requirements for Higher Education</w:t>
      </w:r>
      <w:r w:rsidR="00E93A96">
        <w:t>.</w:t>
      </w:r>
      <w:r w:rsidR="009310C3">
        <w:t xml:space="preserve"> Without this, Australia will face difficulties in developing the skills required for the future.</w:t>
      </w:r>
    </w:p>
    <w:p w14:paraId="48B156AD" w14:textId="087C3F3E" w:rsidR="00D95E9A" w:rsidRPr="00EF25C8" w:rsidRDefault="00596657" w:rsidP="00596657">
      <w:pPr>
        <w:pStyle w:val="Caption"/>
      </w:pPr>
      <w:bookmarkStart w:id="111" w:name="_Toc201916586"/>
      <w:r>
        <w:lastRenderedPageBreak/>
        <w:t xml:space="preserve">Figure </w:t>
      </w:r>
      <w:r>
        <w:fldChar w:fldCharType="begin"/>
      </w:r>
      <w:r>
        <w:instrText xml:space="preserve"> SEQ Figure \* ARABIC </w:instrText>
      </w:r>
      <w:r>
        <w:fldChar w:fldCharType="separate"/>
      </w:r>
      <w:r w:rsidR="00471863">
        <w:rPr>
          <w:noProof/>
        </w:rPr>
        <w:t>20</w:t>
      </w:r>
      <w:r>
        <w:fldChar w:fldCharType="end"/>
      </w:r>
      <w:r w:rsidR="00C60383">
        <w:t>:</w:t>
      </w:r>
      <w:r w:rsidR="00D95E9A">
        <w:t xml:space="preserve"> </w:t>
      </w:r>
      <w:r w:rsidR="00370887" w:rsidRPr="00837861">
        <w:t>Youth (15-24 years) tertiary</w:t>
      </w:r>
      <w:r w:rsidR="00D95E9A" w:rsidRPr="00837861">
        <w:t xml:space="preserve"> participation rates (%) by Major City and Regional Australia</w:t>
      </w:r>
      <w:bookmarkEnd w:id="111"/>
      <w:r w:rsidR="00C60383">
        <w:t xml:space="preserve"> </w:t>
      </w:r>
    </w:p>
    <w:p w14:paraId="565719AA" w14:textId="73703A06" w:rsidR="00D95E9A" w:rsidRPr="00207C36" w:rsidRDefault="006722A9" w:rsidP="00D95E9A">
      <w:pPr>
        <w:spacing w:after="0"/>
        <w:rPr>
          <w:rFonts w:cs="Arial"/>
          <w:sz w:val="24"/>
          <w:szCs w:val="24"/>
        </w:rPr>
      </w:pPr>
      <w:r>
        <w:rPr>
          <w:rFonts w:cs="Arial"/>
          <w:noProof/>
          <w:sz w:val="24"/>
          <w:szCs w:val="24"/>
        </w:rPr>
        <w:drawing>
          <wp:inline distT="0" distB="0" distL="0" distR="0" wp14:anchorId="04CB357F" wp14:editId="6C1DE370">
            <wp:extent cx="5730875" cy="2865120"/>
            <wp:effectExtent l="0" t="0" r="3175" b="0"/>
            <wp:docPr id="1110649207" name="Picture 33" descr="A line chart that shows the youth (15-24 years) tertiary participation rates (%) by Major City and Regional Australia. The chart shows the youth tertiary participation rate in Regional Australia has been relatively stable over recent years, although it is well below the recorded in Major C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49207" name="Picture 33" descr="A line chart that shows the youth (15-24 years) tertiary participation rates (%) by Major City and Regional Australia. The chart shows the youth tertiary participation rate in Regional Australia has been relatively stable over recent years, although it is well below the recorded in Major Cities. "/>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5730875" cy="2865120"/>
                    </a:xfrm>
                    <a:prstGeom prst="rect">
                      <a:avLst/>
                    </a:prstGeom>
                    <a:noFill/>
                  </pic:spPr>
                </pic:pic>
              </a:graphicData>
            </a:graphic>
          </wp:inline>
        </w:drawing>
      </w:r>
    </w:p>
    <w:p w14:paraId="2FCD7972" w14:textId="618F6399" w:rsidR="00D95E9A" w:rsidRDefault="00D95E9A" w:rsidP="00D95E9A">
      <w:pPr>
        <w:spacing w:after="0"/>
        <w:rPr>
          <w:rFonts w:cs="Arial"/>
          <w:i/>
          <w:sz w:val="18"/>
          <w:szCs w:val="18"/>
        </w:rPr>
      </w:pPr>
      <w:r w:rsidRPr="00AC3B4D">
        <w:rPr>
          <w:rFonts w:cs="Arial"/>
          <w:i/>
          <w:sz w:val="18"/>
          <w:szCs w:val="18"/>
        </w:rPr>
        <w:t xml:space="preserve">Source: </w:t>
      </w:r>
      <w:r w:rsidR="00594409">
        <w:rPr>
          <w:rFonts w:cs="Arial"/>
          <w:i/>
          <w:sz w:val="18"/>
          <w:szCs w:val="18"/>
        </w:rPr>
        <w:t xml:space="preserve">ABS, </w:t>
      </w:r>
      <w:r w:rsidR="009C7C43">
        <w:rPr>
          <w:rFonts w:cs="Arial"/>
          <w:i/>
          <w:sz w:val="18"/>
          <w:szCs w:val="18"/>
        </w:rPr>
        <w:t>Survey of Education and Work</w:t>
      </w:r>
      <w:r w:rsidR="00A5004E">
        <w:rPr>
          <w:rFonts w:cs="Arial"/>
          <w:i/>
          <w:sz w:val="18"/>
          <w:szCs w:val="18"/>
        </w:rPr>
        <w:t>, 2024</w:t>
      </w:r>
    </w:p>
    <w:p w14:paraId="35A11300" w14:textId="77777777" w:rsidR="009310C3" w:rsidRDefault="009310C3" w:rsidP="00D95E9A">
      <w:pPr>
        <w:spacing w:after="0"/>
        <w:rPr>
          <w:rFonts w:cs="Arial"/>
          <w:i/>
          <w:sz w:val="18"/>
          <w:szCs w:val="18"/>
        </w:rPr>
      </w:pPr>
    </w:p>
    <w:p w14:paraId="7FBABB05" w14:textId="77777777" w:rsidR="002A65BF" w:rsidRDefault="009310C3" w:rsidP="00027223">
      <w:pPr>
        <w:pStyle w:val="BodyText"/>
      </w:pPr>
      <w:r>
        <w:t xml:space="preserve">In line with the lower rates of tertiary education participation recorded in Regional Australia, the share of higher education </w:t>
      </w:r>
      <w:r w:rsidR="00CF7B1A">
        <w:t>participation is particularly low in Regional Australia. For instance, although around 3</w:t>
      </w:r>
      <w:r w:rsidR="00AE6454">
        <w:t>0</w:t>
      </w:r>
      <w:r w:rsidR="003E1CCE">
        <w:t xml:space="preserve">% </w:t>
      </w:r>
      <w:r w:rsidR="00CF7B1A">
        <w:t xml:space="preserve">of the youth population resides in Regional Australia, youth </w:t>
      </w:r>
      <w:r w:rsidR="00A1417B">
        <w:t xml:space="preserve">living </w:t>
      </w:r>
      <w:r w:rsidR="00CF7B1A">
        <w:t>in Regional Australia only make up around 14</w:t>
      </w:r>
      <w:r w:rsidR="003E1CCE">
        <w:t>%</w:t>
      </w:r>
      <w:r w:rsidR="00CF7B1A">
        <w:t xml:space="preserve"> of </w:t>
      </w:r>
      <w:r w:rsidR="006178C5">
        <w:t>h</w:t>
      </w:r>
      <w:r w:rsidR="00CF7B1A">
        <w:t xml:space="preserve">igher </w:t>
      </w:r>
      <w:r w:rsidR="006178C5">
        <w:t>e</w:t>
      </w:r>
      <w:r w:rsidR="00CF7B1A">
        <w:t xml:space="preserve">ducation students. </w:t>
      </w:r>
    </w:p>
    <w:p w14:paraId="62C7D66E" w14:textId="2DED3298" w:rsidR="009310C3" w:rsidRDefault="006178C5" w:rsidP="00027223">
      <w:pPr>
        <w:pStyle w:val="BodyText"/>
        <w:rPr>
          <w:i/>
          <w:sz w:val="18"/>
          <w:szCs w:val="18"/>
        </w:rPr>
      </w:pPr>
      <w:r>
        <w:t xml:space="preserve">While some youth would move to take up higher education opportunities, broadening access to higher education among students in Regional Australia is critical to ensuring everyone in Regional Australia can develop </w:t>
      </w:r>
      <w:r w:rsidRPr="00322B23">
        <w:rPr>
          <w:rFonts w:eastAsia="Times New Roman"/>
          <w:lang w:eastAsia="en-AU"/>
        </w:rPr>
        <w:t xml:space="preserve">skills that </w:t>
      </w:r>
      <w:r>
        <w:rPr>
          <w:rFonts w:eastAsia="Times New Roman"/>
          <w:lang w:eastAsia="en-AU"/>
        </w:rPr>
        <w:t>enable them to access employment that meaningfully contribute to community, economy and culture</w:t>
      </w:r>
      <w:r w:rsidRPr="00322B23">
        <w:rPr>
          <w:rFonts w:eastAsia="Times New Roman"/>
          <w:lang w:eastAsia="en-AU"/>
        </w:rPr>
        <w:t>.</w:t>
      </w:r>
    </w:p>
    <w:p w14:paraId="34FC1983" w14:textId="2507804F" w:rsidR="00EF25C8" w:rsidRDefault="00596657" w:rsidP="00596657">
      <w:pPr>
        <w:pStyle w:val="Caption"/>
      </w:pPr>
      <w:bookmarkStart w:id="112" w:name="_Toc201916587"/>
      <w:r>
        <w:t xml:space="preserve">Figure </w:t>
      </w:r>
      <w:r>
        <w:fldChar w:fldCharType="begin"/>
      </w:r>
      <w:r>
        <w:instrText xml:space="preserve"> SEQ Figure \* ARABIC </w:instrText>
      </w:r>
      <w:r>
        <w:fldChar w:fldCharType="separate"/>
      </w:r>
      <w:r w:rsidR="00471863">
        <w:rPr>
          <w:noProof/>
        </w:rPr>
        <w:t>21</w:t>
      </w:r>
      <w:r>
        <w:fldChar w:fldCharType="end"/>
      </w:r>
      <w:r w:rsidR="00EF25C8">
        <w:t xml:space="preserve">: </w:t>
      </w:r>
      <w:r w:rsidR="00262110">
        <w:t>Youth share of higher education</w:t>
      </w:r>
      <w:r w:rsidR="00023780">
        <w:t xml:space="preserve">, </w:t>
      </w:r>
      <w:r w:rsidR="00262110">
        <w:t xml:space="preserve">VET </w:t>
      </w:r>
      <w:r w:rsidR="00023780">
        <w:t xml:space="preserve">and population </w:t>
      </w:r>
      <w:r w:rsidR="00BE095A">
        <w:t xml:space="preserve">(%) </w:t>
      </w:r>
      <w:r w:rsidR="00262110">
        <w:t xml:space="preserve">by </w:t>
      </w:r>
      <w:r w:rsidR="00EF25C8" w:rsidRPr="00837861">
        <w:t>Major City and Regional Australia</w:t>
      </w:r>
      <w:bookmarkEnd w:id="112"/>
      <w:r w:rsidR="00EF25C8">
        <w:t xml:space="preserve"> </w:t>
      </w:r>
    </w:p>
    <w:p w14:paraId="7F383FA6" w14:textId="4EC66E9F" w:rsidR="00023780" w:rsidRDefault="006722A9" w:rsidP="00023780">
      <w:r>
        <w:rPr>
          <w:noProof/>
        </w:rPr>
        <w:drawing>
          <wp:inline distT="0" distB="0" distL="0" distR="0" wp14:anchorId="03B62CA1" wp14:editId="183DCC6D">
            <wp:extent cx="5730875" cy="2865120"/>
            <wp:effectExtent l="0" t="0" r="3175" b="0"/>
            <wp:docPr id="1584400677" name="Picture 34" descr="A stacked column chart that shows the youth share of higher education, VET and population (%) by Major City and Regional Australia. The chart shows that while 30% of the youth population resides in Regional Australia, youth living in Regional Australia only make up around 14% of higher education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00677" name="Picture 34" descr="A stacked column chart that shows the youth share of higher education, VET and population (%) by Major City and Regional Australia. The chart shows that while 30% of the youth population resides in Regional Australia, youth living in Regional Australia only make up around 14% of higher education students. "/>
                    <pic:cNvPicPr>
                      <a:picLocks noChangeAspect="1" noChangeArrowheads="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0" y="0"/>
                      <a:ext cx="5730875" cy="2865120"/>
                    </a:xfrm>
                    <a:prstGeom prst="rect">
                      <a:avLst/>
                    </a:prstGeom>
                    <a:noFill/>
                  </pic:spPr>
                </pic:pic>
              </a:graphicData>
            </a:graphic>
          </wp:inline>
        </w:drawing>
      </w:r>
    </w:p>
    <w:p w14:paraId="0D43AEEB" w14:textId="7C706BCE" w:rsidR="006178C5" w:rsidRDefault="00C12857" w:rsidP="00704ACE">
      <w:pPr>
        <w:spacing w:after="0"/>
        <w:rPr>
          <w:rFonts w:cs="Arial"/>
          <w:i/>
          <w:sz w:val="18"/>
          <w:szCs w:val="18"/>
        </w:rPr>
      </w:pPr>
      <w:r w:rsidRPr="00AC3B4D">
        <w:rPr>
          <w:rFonts w:cs="Arial"/>
          <w:i/>
          <w:sz w:val="18"/>
          <w:szCs w:val="18"/>
        </w:rPr>
        <w:t xml:space="preserve">Source: </w:t>
      </w:r>
      <w:r>
        <w:rPr>
          <w:rFonts w:cs="Arial"/>
          <w:i/>
          <w:sz w:val="18"/>
          <w:szCs w:val="18"/>
        </w:rPr>
        <w:t>ABS, Survey of Education and Work</w:t>
      </w:r>
      <w:r w:rsidR="00A5004E">
        <w:rPr>
          <w:rFonts w:cs="Arial"/>
          <w:i/>
          <w:sz w:val="18"/>
          <w:szCs w:val="18"/>
        </w:rPr>
        <w:t>, 2024</w:t>
      </w:r>
    </w:p>
    <w:p w14:paraId="035E6541" w14:textId="7775007B" w:rsidR="00B046A1" w:rsidRDefault="00B046A1" w:rsidP="00704ACE">
      <w:pPr>
        <w:spacing w:after="0"/>
        <w:rPr>
          <w:rFonts w:cs="Arial"/>
          <w:i/>
          <w:sz w:val="18"/>
          <w:szCs w:val="18"/>
        </w:rPr>
      </w:pPr>
    </w:p>
    <w:p w14:paraId="4BF5EA59" w14:textId="77777777" w:rsidR="00B046A1" w:rsidRDefault="00B046A1" w:rsidP="00704ACE">
      <w:pPr>
        <w:spacing w:after="0"/>
        <w:rPr>
          <w:rFonts w:cs="Arial"/>
          <w:i/>
          <w:sz w:val="18"/>
          <w:szCs w:val="18"/>
        </w:rPr>
      </w:pPr>
    </w:p>
    <w:tbl>
      <w:tblPr>
        <w:tblStyle w:val="CustomTablepulloutbox2"/>
        <w:tblW w:w="0" w:type="auto"/>
        <w:tblLook w:val="04A0" w:firstRow="1" w:lastRow="0" w:firstColumn="1" w:lastColumn="0" w:noHBand="0" w:noVBand="1"/>
      </w:tblPr>
      <w:tblGrid>
        <w:gridCol w:w="8997"/>
      </w:tblGrid>
      <w:tr w:rsidR="00B046A1" w14:paraId="58278992" w14:textId="77777777">
        <w:trPr>
          <w:trHeight w:val="1713"/>
        </w:trPr>
        <w:tc>
          <w:tcPr>
            <w:tcW w:w="8997" w:type="dxa"/>
          </w:tcPr>
          <w:p w14:paraId="16FD6C18" w14:textId="77777777" w:rsidR="00B046A1" w:rsidRPr="00CC191D" w:rsidRDefault="00B046A1">
            <w:pPr>
              <w:pStyle w:val="BoxHeading"/>
              <w:jc w:val="center"/>
            </w:pPr>
            <w:r>
              <w:lastRenderedPageBreak/>
              <w:t>Stakeholder insight</w:t>
            </w:r>
          </w:p>
          <w:p w14:paraId="488C6C7E" w14:textId="102D17B5" w:rsidR="00B046A1" w:rsidRPr="00027223" w:rsidRDefault="00306785" w:rsidP="00B046A1">
            <w:pPr>
              <w:spacing w:before="120" w:after="120"/>
              <w:jc w:val="center"/>
              <w:rPr>
                <w:rFonts w:cs="Arial"/>
                <w:i/>
                <w:iCs/>
                <w:sz w:val="22"/>
                <w:szCs w:val="22"/>
              </w:rPr>
            </w:pPr>
            <w:r>
              <w:rPr>
                <w:rFonts w:cs="Arial"/>
                <w:i/>
                <w:iCs/>
                <w:sz w:val="22"/>
                <w:szCs w:val="22"/>
              </w:rPr>
              <w:t>‘</w:t>
            </w:r>
            <w:r w:rsidR="00B046A1" w:rsidRPr="00027223">
              <w:rPr>
                <w:rFonts w:cs="Arial"/>
                <w:i/>
                <w:iCs/>
                <w:sz w:val="22"/>
                <w:szCs w:val="22"/>
              </w:rPr>
              <w:t>Ensuring prospective students in Regional Australia have the opportunity to access education and training is key to developing the workforce Regional Australia needs both now and into the future.</w:t>
            </w:r>
            <w:r>
              <w:rPr>
                <w:rFonts w:cs="Arial"/>
                <w:i/>
                <w:iCs/>
                <w:sz w:val="22"/>
                <w:szCs w:val="22"/>
              </w:rPr>
              <w:t>’</w:t>
            </w:r>
          </w:p>
          <w:p w14:paraId="160ECB8E" w14:textId="025F359B" w:rsidR="00B046A1" w:rsidRPr="00B008EE" w:rsidRDefault="00B046A1" w:rsidP="00B046A1">
            <w:pPr>
              <w:jc w:val="center"/>
              <w:rPr>
                <w:rFonts w:cs="Arial"/>
                <w:b/>
                <w:bCs/>
                <w:sz w:val="22"/>
                <w:szCs w:val="22"/>
              </w:rPr>
            </w:pPr>
            <w:r>
              <w:rPr>
                <w:rFonts w:cs="Arial"/>
                <w:b/>
                <w:bCs/>
                <w:sz w:val="22"/>
                <w:szCs w:val="22"/>
              </w:rPr>
              <w:t>Alec Webb</w:t>
            </w:r>
          </w:p>
          <w:p w14:paraId="50A3B1BE" w14:textId="1F995D04" w:rsidR="00B046A1" w:rsidRDefault="00B046A1">
            <w:pPr>
              <w:jc w:val="center"/>
              <w:rPr>
                <w:rFonts w:cs="Arial"/>
                <w:sz w:val="22"/>
                <w:szCs w:val="22"/>
              </w:rPr>
            </w:pPr>
            <w:r>
              <w:rPr>
                <w:rFonts w:cs="Arial"/>
                <w:sz w:val="22"/>
                <w:szCs w:val="22"/>
              </w:rPr>
              <w:t>CEO</w:t>
            </w:r>
          </w:p>
          <w:p w14:paraId="32E6B7D7" w14:textId="65A32FFC" w:rsidR="00B046A1" w:rsidRPr="008767E8" w:rsidRDefault="00B046A1">
            <w:pPr>
              <w:jc w:val="center"/>
              <w:rPr>
                <w:rFonts w:cs="Arial"/>
                <w:sz w:val="22"/>
                <w:szCs w:val="22"/>
              </w:rPr>
            </w:pPr>
            <w:r>
              <w:rPr>
                <w:rFonts w:cs="Arial"/>
                <w:sz w:val="22"/>
                <w:szCs w:val="22"/>
              </w:rPr>
              <w:t xml:space="preserve">Regional Universities Network </w:t>
            </w:r>
          </w:p>
        </w:tc>
      </w:tr>
    </w:tbl>
    <w:p w14:paraId="48CE8A42" w14:textId="77777777" w:rsidR="00B046A1" w:rsidRDefault="00B046A1" w:rsidP="00704ACE">
      <w:pPr>
        <w:spacing w:after="0"/>
        <w:rPr>
          <w:rFonts w:cs="Arial"/>
          <w:i/>
          <w:sz w:val="18"/>
          <w:szCs w:val="18"/>
        </w:rPr>
      </w:pPr>
    </w:p>
    <w:tbl>
      <w:tblPr>
        <w:tblStyle w:val="CustomTablepulloutbox"/>
        <w:tblW w:w="0" w:type="auto"/>
        <w:tblLook w:val="04A0" w:firstRow="1" w:lastRow="0" w:firstColumn="1" w:lastColumn="0" w:noHBand="0" w:noVBand="1"/>
      </w:tblPr>
      <w:tblGrid>
        <w:gridCol w:w="8997"/>
      </w:tblGrid>
      <w:tr w:rsidR="00EB3F19" w14:paraId="04BDC6F9" w14:textId="77777777" w:rsidTr="00EB3F19">
        <w:tc>
          <w:tcPr>
            <w:tcW w:w="8997" w:type="dxa"/>
          </w:tcPr>
          <w:p w14:paraId="38E4991D" w14:textId="77777777" w:rsidR="00EB3F19" w:rsidRPr="00F8775F" w:rsidRDefault="00EB3F19">
            <w:pPr>
              <w:pStyle w:val="BoxHeading"/>
            </w:pPr>
            <w:r w:rsidRPr="00D50F27">
              <w:lastRenderedPageBreak/>
              <w:t>Box: The role of the 2024 Universities Accord in uplifting Regional Australia</w:t>
            </w:r>
          </w:p>
          <w:p w14:paraId="34D2B6D1" w14:textId="5A11C252" w:rsidR="00EB3F19" w:rsidRPr="00EB3F19" w:rsidRDefault="00EB3F19">
            <w:pPr>
              <w:pStyle w:val="BodyText"/>
              <w:rPr>
                <w:sz w:val="22"/>
                <w:szCs w:val="22"/>
              </w:rPr>
            </w:pPr>
            <w:r w:rsidRPr="00EB3F19">
              <w:rPr>
                <w:sz w:val="22"/>
                <w:szCs w:val="22"/>
              </w:rPr>
              <w:t xml:space="preserve">Higher education participation and attainment rates are low in Regional Australia compared with </w:t>
            </w:r>
            <w:r w:rsidR="00A27FC9">
              <w:rPr>
                <w:sz w:val="22"/>
                <w:szCs w:val="22"/>
              </w:rPr>
              <w:t>m</w:t>
            </w:r>
            <w:r w:rsidRPr="00EB3F19">
              <w:rPr>
                <w:sz w:val="22"/>
                <w:szCs w:val="22"/>
              </w:rPr>
              <w:t>etropolitan Australia. The 2018 Independent Review into Regional Rural and Remote Education (Halsey Review) found that the proportion of young Australians with bachelor or higher degrees declines as geographical remoteness increases. The 2019 National Regional and Rural Remote Education Strategy (Napthine Review) identified that Australians in regional, rural and remote areas were 40</w:t>
            </w:r>
            <w:r>
              <w:rPr>
                <w:sz w:val="22"/>
                <w:szCs w:val="22"/>
              </w:rPr>
              <w:t xml:space="preserve">% </w:t>
            </w:r>
            <w:r w:rsidRPr="00EB3F19">
              <w:rPr>
                <w:sz w:val="22"/>
                <w:szCs w:val="22"/>
              </w:rPr>
              <w:t>less likely than their metropolitan peers to gain a higher-level tertiary education qualification and only half as likely to gain a bachelor level qualification by age 35.</w:t>
            </w:r>
          </w:p>
          <w:p w14:paraId="12BC3C22" w14:textId="57C2A668" w:rsidR="00EB3F19" w:rsidRPr="00EB3F19" w:rsidRDefault="00EB3F19">
            <w:pPr>
              <w:pStyle w:val="BodyText"/>
              <w:rPr>
                <w:sz w:val="22"/>
                <w:szCs w:val="22"/>
              </w:rPr>
            </w:pPr>
            <w:r w:rsidRPr="00EB3F19">
              <w:rPr>
                <w:sz w:val="22"/>
                <w:szCs w:val="22"/>
              </w:rPr>
              <w:t>The 2024 Universities Accord Final Report concluded that these disparities are ‘long-term and stubborn.’ The Review argued that ‘considerations of equity, social cohesion, productivity and future economic prosperity compel Australia to take strong action to improve access to regional, rural and remote students’</w:t>
            </w:r>
            <w:r>
              <w:rPr>
                <w:sz w:val="22"/>
                <w:szCs w:val="22"/>
              </w:rPr>
              <w:t>.</w:t>
            </w:r>
          </w:p>
          <w:p w14:paraId="5A5B8D69" w14:textId="7576B2F3" w:rsidR="00EB3F19" w:rsidRPr="00EB3F19" w:rsidRDefault="00EB3F19">
            <w:pPr>
              <w:pStyle w:val="BodyText"/>
              <w:rPr>
                <w:sz w:val="22"/>
                <w:szCs w:val="22"/>
              </w:rPr>
            </w:pPr>
            <w:r w:rsidRPr="00EB3F19">
              <w:rPr>
                <w:sz w:val="22"/>
                <w:szCs w:val="22"/>
              </w:rPr>
              <w:t xml:space="preserve">Further </w:t>
            </w:r>
            <w:r w:rsidR="00514125">
              <w:rPr>
                <w:sz w:val="22"/>
                <w:szCs w:val="22"/>
              </w:rPr>
              <w:t>it noted that</w:t>
            </w:r>
            <w:r w:rsidRPr="00EB3F19">
              <w:rPr>
                <w:sz w:val="22"/>
                <w:szCs w:val="22"/>
              </w:rPr>
              <w:t xml:space="preserve"> ‘</w:t>
            </w:r>
            <w:r w:rsidR="00514125">
              <w:rPr>
                <w:sz w:val="22"/>
                <w:szCs w:val="22"/>
              </w:rPr>
              <w:t>i</w:t>
            </w:r>
            <w:r w:rsidRPr="00EB3F19">
              <w:rPr>
                <w:sz w:val="22"/>
                <w:szCs w:val="22"/>
              </w:rPr>
              <w:t>f Australia is to achieve the necessary attainment of higher education to meet its future economic and social needs, regional higher education attainment rates must increase’. The Accord Final Report recommended that the Australian Government adopt a regional, rural and remote higher education student participation target of 24% by 2035.</w:t>
            </w:r>
          </w:p>
          <w:p w14:paraId="054CE3AB" w14:textId="77777777" w:rsidR="00EB3F19" w:rsidRPr="00EB3F19" w:rsidRDefault="00EB3F19">
            <w:pPr>
              <w:pStyle w:val="BodyText"/>
              <w:rPr>
                <w:sz w:val="22"/>
                <w:szCs w:val="22"/>
              </w:rPr>
            </w:pPr>
            <w:r w:rsidRPr="00EB3F19">
              <w:rPr>
                <w:sz w:val="22"/>
                <w:szCs w:val="22"/>
              </w:rPr>
              <w:t xml:space="preserve">The Accord Review noted the value of regional higher education students studying in regional settings, which increases the probability that they would stay in the region and contribute to the regional skills needs. It emphasised the chronic shortages of rural doctors and allied health workers. The review argues that improved access to healthcare in the regions requires an overall increase and better distribution of Australia’s health workforce. This would involve getting more graduates from the cities to come to regional areas, as well as supporting regional universities to grow their own workforce. </w:t>
            </w:r>
          </w:p>
          <w:p w14:paraId="71C6C786" w14:textId="556DC1CC" w:rsidR="00EB3F19" w:rsidRPr="00EB3F19" w:rsidRDefault="00B5154B">
            <w:pPr>
              <w:pStyle w:val="BodyText"/>
              <w:rPr>
                <w:sz w:val="22"/>
                <w:szCs w:val="22"/>
              </w:rPr>
            </w:pPr>
            <w:r>
              <w:rPr>
                <w:sz w:val="22"/>
                <w:szCs w:val="22"/>
              </w:rPr>
              <w:t>‘</w:t>
            </w:r>
            <w:r w:rsidR="00EB3F19" w:rsidRPr="00EB3F19">
              <w:rPr>
                <w:sz w:val="22"/>
                <w:szCs w:val="22"/>
              </w:rPr>
              <w:t>Studies have shown that health student from regional areas and those who undertake extensive training in a rural setting are more likely to practice in the regions. Further, students from rural backgrounds are more likely than metropolitan origin graduates to remain in rural practice</w:t>
            </w:r>
            <w:r>
              <w:rPr>
                <w:sz w:val="22"/>
                <w:szCs w:val="22"/>
              </w:rPr>
              <w:t>’</w:t>
            </w:r>
            <w:r w:rsidR="00EB3F19" w:rsidRPr="00EB3F19">
              <w:rPr>
                <w:sz w:val="22"/>
                <w:szCs w:val="22"/>
              </w:rPr>
              <w:t xml:space="preserve">. </w:t>
            </w:r>
          </w:p>
          <w:p w14:paraId="71E1468E" w14:textId="58DBFF90" w:rsidR="00EB3F19" w:rsidRPr="00EB3F19" w:rsidRDefault="00EB3F19">
            <w:pPr>
              <w:pStyle w:val="BodyText"/>
              <w:rPr>
                <w:sz w:val="22"/>
                <w:szCs w:val="22"/>
              </w:rPr>
            </w:pPr>
            <w:r w:rsidRPr="00EB3F19">
              <w:rPr>
                <w:sz w:val="22"/>
                <w:szCs w:val="22"/>
              </w:rPr>
              <w:t xml:space="preserve">It also emphasised the considerable financial hurdles that regional universities face compared with </w:t>
            </w:r>
            <w:r w:rsidR="005E617F">
              <w:rPr>
                <w:sz w:val="22"/>
                <w:szCs w:val="22"/>
              </w:rPr>
              <w:t>universities in the Major Cities</w:t>
            </w:r>
            <w:r w:rsidRPr="00EB3F19">
              <w:rPr>
                <w:sz w:val="22"/>
                <w:szCs w:val="22"/>
              </w:rPr>
              <w:t>. There were many factors that contribute to this problem including for example:</w:t>
            </w:r>
          </w:p>
          <w:p w14:paraId="6A5C9E8F" w14:textId="77777777" w:rsidR="00EB3F19" w:rsidRPr="00EB3F19" w:rsidRDefault="00EB3F19" w:rsidP="00EB3F19">
            <w:pPr>
              <w:pStyle w:val="ListBullet"/>
              <w:numPr>
                <w:ilvl w:val="0"/>
                <w:numId w:val="4"/>
              </w:numPr>
              <w:spacing w:before="120" w:line="276" w:lineRule="auto"/>
              <w:ind w:left="360"/>
              <w:rPr>
                <w:sz w:val="22"/>
                <w:szCs w:val="22"/>
              </w:rPr>
            </w:pPr>
            <w:r w:rsidRPr="00EB3F19">
              <w:rPr>
                <w:sz w:val="22"/>
                <w:szCs w:val="22"/>
              </w:rPr>
              <w:t>Lacking high value investments, valuable infrastructure, established and diverse revenue profiles and philanthropic support.</w:t>
            </w:r>
          </w:p>
          <w:p w14:paraId="7E3BC038" w14:textId="77777777" w:rsidR="00EB3F19" w:rsidRPr="00EB3F19" w:rsidRDefault="00EB3F19" w:rsidP="00EB3F19">
            <w:pPr>
              <w:pStyle w:val="ListBullet"/>
              <w:numPr>
                <w:ilvl w:val="0"/>
                <w:numId w:val="4"/>
              </w:numPr>
              <w:spacing w:before="120" w:line="276" w:lineRule="auto"/>
              <w:ind w:left="360"/>
              <w:rPr>
                <w:sz w:val="22"/>
                <w:szCs w:val="22"/>
              </w:rPr>
            </w:pPr>
            <w:r w:rsidRPr="00EB3F19">
              <w:rPr>
                <w:sz w:val="22"/>
                <w:szCs w:val="22"/>
              </w:rPr>
              <w:t>Maintaining campuses and courses with lower student density.</w:t>
            </w:r>
          </w:p>
          <w:p w14:paraId="554A103D" w14:textId="77777777" w:rsidR="00EB3F19" w:rsidRPr="00EB3F19" w:rsidRDefault="00EB3F19" w:rsidP="00EB3F19">
            <w:pPr>
              <w:pStyle w:val="ListBullet"/>
              <w:numPr>
                <w:ilvl w:val="0"/>
                <w:numId w:val="4"/>
              </w:numPr>
              <w:spacing w:before="120" w:line="276" w:lineRule="auto"/>
              <w:ind w:left="360"/>
              <w:rPr>
                <w:sz w:val="22"/>
                <w:szCs w:val="22"/>
              </w:rPr>
            </w:pPr>
            <w:r w:rsidRPr="00EB3F19">
              <w:rPr>
                <w:sz w:val="22"/>
                <w:szCs w:val="22"/>
              </w:rPr>
              <w:t>Operating in thinner student markets and have higher proportions of part-time, First Nations and low SES students.</w:t>
            </w:r>
          </w:p>
          <w:p w14:paraId="155DE395" w14:textId="61478D72" w:rsidR="00EB3F19" w:rsidRPr="00EB3F19" w:rsidRDefault="00EB3F19" w:rsidP="00EB3F19">
            <w:pPr>
              <w:pStyle w:val="ListBullet"/>
              <w:numPr>
                <w:ilvl w:val="0"/>
                <w:numId w:val="4"/>
              </w:numPr>
              <w:spacing w:before="120" w:line="276" w:lineRule="auto"/>
              <w:ind w:left="360"/>
              <w:rPr>
                <w:sz w:val="22"/>
                <w:szCs w:val="22"/>
              </w:rPr>
            </w:pPr>
            <w:r w:rsidRPr="00EB3F19">
              <w:rPr>
                <w:sz w:val="22"/>
                <w:szCs w:val="22"/>
              </w:rPr>
              <w:t xml:space="preserve">Cost of regulatory compliance more difficult to absorb than their </w:t>
            </w:r>
            <w:r w:rsidR="00BB6371">
              <w:rPr>
                <w:sz w:val="22"/>
                <w:szCs w:val="22"/>
              </w:rPr>
              <w:t>Major C</w:t>
            </w:r>
            <w:r w:rsidRPr="00EB3F19">
              <w:rPr>
                <w:sz w:val="22"/>
                <w:szCs w:val="22"/>
              </w:rPr>
              <w:t>ity counterparts.</w:t>
            </w:r>
          </w:p>
          <w:p w14:paraId="4DF0826D" w14:textId="77777777" w:rsidR="00EB3F19" w:rsidRPr="00EB3F19" w:rsidRDefault="00EB3F19">
            <w:pPr>
              <w:pStyle w:val="BodyText"/>
              <w:rPr>
                <w:sz w:val="22"/>
                <w:szCs w:val="22"/>
              </w:rPr>
            </w:pPr>
            <w:r w:rsidRPr="00EB3F19">
              <w:rPr>
                <w:sz w:val="22"/>
                <w:szCs w:val="22"/>
              </w:rPr>
              <w:t xml:space="preserve">The review argued that ‘the full cost of educational delivery in regional Australia needed to be addressed as a matter of urgency.’ This would require increased investment in </w:t>
            </w:r>
            <w:r w:rsidRPr="00EB3F19">
              <w:rPr>
                <w:sz w:val="22"/>
                <w:szCs w:val="22"/>
              </w:rPr>
              <w:lastRenderedPageBreak/>
              <w:t>infrastructure and a needs-based student funding model that reflected the higher cost of delivery in Regional Australia.</w:t>
            </w:r>
          </w:p>
          <w:p w14:paraId="1EC86B63" w14:textId="77777777" w:rsidR="00EB3F19" w:rsidRPr="00EB3F19" w:rsidRDefault="00EB3F19">
            <w:pPr>
              <w:pStyle w:val="BodyText"/>
              <w:rPr>
                <w:sz w:val="22"/>
                <w:szCs w:val="22"/>
              </w:rPr>
            </w:pPr>
            <w:r w:rsidRPr="00EB3F19">
              <w:rPr>
                <w:sz w:val="22"/>
                <w:szCs w:val="22"/>
              </w:rPr>
              <w:t xml:space="preserve">The Review suggested that ‘lifting tertiary education participation rates amongst regional and remote Australians requires a shift towards more flexible delivery in regional communities. It recommended an increase in investment in Regional Study Hubs in its interim report, which led to more study hubs. </w:t>
            </w:r>
          </w:p>
          <w:p w14:paraId="09CC7C00" w14:textId="77777777" w:rsidR="00EB3F19" w:rsidRPr="00F8775F" w:rsidRDefault="00EB3F19">
            <w:pPr>
              <w:pStyle w:val="BodyText"/>
            </w:pPr>
            <w:r w:rsidRPr="00EB3F19">
              <w:rPr>
                <w:sz w:val="22"/>
                <w:szCs w:val="22"/>
              </w:rPr>
              <w:t>Recommendation 29 of the Accord Final Report, has more detail on how the Australian Government can recognise the benefits of access and challenges to delivery of higher education.</w:t>
            </w:r>
          </w:p>
        </w:tc>
      </w:tr>
    </w:tbl>
    <w:p w14:paraId="0D366005" w14:textId="77777777" w:rsidR="00B613B6" w:rsidRDefault="00B613B6" w:rsidP="00B613B6"/>
    <w:p w14:paraId="1420A07C" w14:textId="0C9B61FE" w:rsidR="00D95E9A" w:rsidRPr="00027223" w:rsidRDefault="009F0012" w:rsidP="00027223">
      <w:pPr>
        <w:pStyle w:val="Heading5"/>
      </w:pPr>
      <w:r>
        <w:t>C</w:t>
      </w:r>
      <w:r w:rsidR="00D62CB6" w:rsidRPr="00027223">
        <w:t>ompletion rates</w:t>
      </w:r>
      <w:r>
        <w:t xml:space="preserve"> for apprentices and trainees</w:t>
      </w:r>
    </w:p>
    <w:p w14:paraId="3BF0D9DB" w14:textId="395B6B2A" w:rsidR="000337DC" w:rsidRPr="00573D17" w:rsidRDefault="006470FB" w:rsidP="006470FB">
      <w:pPr>
        <w:pStyle w:val="Caption"/>
      </w:pPr>
      <w:r>
        <w:t xml:space="preserve">Table </w:t>
      </w:r>
      <w:r>
        <w:fldChar w:fldCharType="begin"/>
      </w:r>
      <w:r>
        <w:instrText xml:space="preserve"> SEQ Table \* ARABIC </w:instrText>
      </w:r>
      <w:r>
        <w:fldChar w:fldCharType="separate"/>
      </w:r>
      <w:r w:rsidR="00471863">
        <w:rPr>
          <w:noProof/>
        </w:rPr>
        <w:t>13</w:t>
      </w:r>
      <w:r>
        <w:fldChar w:fldCharType="end"/>
      </w:r>
      <w:r w:rsidR="000337DC" w:rsidRPr="00573D17">
        <w:rPr>
          <w:rFonts w:cs="Arial"/>
        </w:rPr>
        <w:t>:</w:t>
      </w:r>
      <w:r w:rsidR="007E39D4" w:rsidRPr="00573D17">
        <w:rPr>
          <w:rFonts w:cs="Arial"/>
        </w:rPr>
        <w:t xml:space="preserve"> </w:t>
      </w:r>
      <w:r w:rsidR="009F0012">
        <w:rPr>
          <w:rFonts w:cs="Arial"/>
        </w:rPr>
        <w:t>C</w:t>
      </w:r>
      <w:r w:rsidR="00D62CB6">
        <w:rPr>
          <w:rFonts w:cs="Arial"/>
        </w:rPr>
        <w:t>ompletion rates</w:t>
      </w:r>
      <w:r w:rsidR="009F0012">
        <w:rPr>
          <w:rFonts w:cs="Arial"/>
        </w:rPr>
        <w:t xml:space="preserve"> for apprentices and trainees</w:t>
      </w:r>
      <w:r w:rsidR="005864D7">
        <w:rPr>
          <w:rFonts w:cs="Arial"/>
        </w:rPr>
        <w:t xml:space="preserve"> </w:t>
      </w:r>
      <w:r w:rsidR="005864D7" w:rsidRPr="005864D7">
        <w:t>(commencing year 2019)</w:t>
      </w:r>
      <w:r w:rsidR="00F77129">
        <w:t xml:space="preserve"> – all occupations</w:t>
      </w:r>
      <w:r w:rsidR="005864D7">
        <w:t xml:space="preserve"> </w:t>
      </w:r>
      <w:r w:rsidR="00DD167C" w:rsidRPr="00573D17">
        <w:rPr>
          <w:rFonts w:cs="Arial"/>
        </w:rPr>
        <w:t>(%)</w:t>
      </w:r>
    </w:p>
    <w:tbl>
      <w:tblPr>
        <w:tblStyle w:val="GridTable5Dark-Accent12"/>
        <w:tblW w:w="8634" w:type="dxa"/>
        <w:tblLook w:val="04A0" w:firstRow="1" w:lastRow="0" w:firstColumn="1" w:lastColumn="0" w:noHBand="0" w:noVBand="1"/>
      </w:tblPr>
      <w:tblGrid>
        <w:gridCol w:w="2129"/>
        <w:gridCol w:w="1132"/>
        <w:gridCol w:w="1134"/>
        <w:gridCol w:w="1695"/>
        <w:gridCol w:w="980"/>
        <w:gridCol w:w="1564"/>
      </w:tblGrid>
      <w:tr w:rsidR="002A1F75" w:rsidRPr="00207C36" w14:paraId="1B570FBE" w14:textId="77777777" w:rsidTr="000337DC">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129" w:type="dxa"/>
            <w:tcBorders>
              <w:top w:val="single" w:sz="4" w:space="0" w:color="000000"/>
              <w:left w:val="single" w:sz="4" w:space="0" w:color="000000"/>
              <w:right w:val="single" w:sz="4" w:space="0" w:color="FFFFFF" w:themeColor="background1"/>
            </w:tcBorders>
            <w:shd w:val="clear" w:color="auto" w:fill="370663"/>
          </w:tcPr>
          <w:p w14:paraId="42B961EE" w14:textId="7DB34871" w:rsidR="00D95E9A" w:rsidRPr="00207C36" w:rsidRDefault="00D95E9A">
            <w:pPr>
              <w:rPr>
                <w:rFonts w:eastAsia="Aptos" w:cs="Arial"/>
                <w:sz w:val="24"/>
                <w:szCs w:val="24"/>
              </w:rPr>
            </w:pPr>
          </w:p>
        </w:tc>
        <w:tc>
          <w:tcPr>
            <w:tcW w:w="1132" w:type="dxa"/>
            <w:tcBorders>
              <w:top w:val="single" w:sz="4" w:space="0" w:color="000000"/>
              <w:left w:val="single" w:sz="4" w:space="0" w:color="FFFFFF" w:themeColor="background1"/>
              <w:right w:val="single" w:sz="4" w:space="0" w:color="FFFFFF" w:themeColor="background1"/>
            </w:tcBorders>
            <w:shd w:val="clear" w:color="auto" w:fill="370663"/>
            <w:vAlign w:val="center"/>
          </w:tcPr>
          <w:p w14:paraId="5CEEB9BB" w14:textId="77777777" w:rsidR="00D95E9A" w:rsidRPr="00EC7776" w:rsidRDefault="00D95E9A">
            <w:pPr>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EC7776">
              <w:rPr>
                <w:rFonts w:cs="Arial"/>
                <w:sz w:val="20"/>
                <w:szCs w:val="20"/>
              </w:rPr>
              <w:t>Current Rating</w:t>
            </w:r>
          </w:p>
        </w:tc>
        <w:tc>
          <w:tcPr>
            <w:tcW w:w="1134" w:type="dxa"/>
            <w:tcBorders>
              <w:top w:val="single" w:sz="4" w:space="0" w:color="000000"/>
              <w:left w:val="single" w:sz="4" w:space="0" w:color="FFFFFF" w:themeColor="background1"/>
              <w:right w:val="single" w:sz="4" w:space="0" w:color="FFFFFF" w:themeColor="background1"/>
            </w:tcBorders>
            <w:shd w:val="clear" w:color="auto" w:fill="370663"/>
            <w:vAlign w:val="center"/>
          </w:tcPr>
          <w:p w14:paraId="4D5825B5" w14:textId="77777777" w:rsidR="00D95E9A" w:rsidRPr="00EC7776" w:rsidRDefault="00D95E9A">
            <w:pPr>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EC7776">
              <w:rPr>
                <w:rFonts w:cs="Arial"/>
                <w:sz w:val="20"/>
                <w:szCs w:val="20"/>
              </w:rPr>
              <w:t>Current rate in Regional Australia</w:t>
            </w:r>
          </w:p>
        </w:tc>
        <w:tc>
          <w:tcPr>
            <w:tcW w:w="1695" w:type="dxa"/>
            <w:tcBorders>
              <w:top w:val="single" w:sz="4" w:space="0" w:color="000000"/>
              <w:left w:val="single" w:sz="4" w:space="0" w:color="FFFFFF" w:themeColor="background1"/>
              <w:right w:val="single" w:sz="4" w:space="0" w:color="FFFFFF" w:themeColor="background1"/>
            </w:tcBorders>
            <w:shd w:val="clear" w:color="auto" w:fill="370663"/>
            <w:vAlign w:val="center"/>
          </w:tcPr>
          <w:p w14:paraId="49AB6460" w14:textId="77777777" w:rsidR="00D95E9A" w:rsidRPr="00EC7776" w:rsidRDefault="00D95E9A">
            <w:pPr>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EC7776">
              <w:rPr>
                <w:rFonts w:cs="Arial"/>
                <w:sz w:val="20"/>
                <w:szCs w:val="20"/>
              </w:rPr>
              <w:t>Current Trend</w:t>
            </w:r>
          </w:p>
        </w:tc>
        <w:tc>
          <w:tcPr>
            <w:tcW w:w="980" w:type="dxa"/>
            <w:tcBorders>
              <w:top w:val="single" w:sz="4" w:space="0" w:color="000000"/>
              <w:left w:val="single" w:sz="4" w:space="0" w:color="FFFFFF" w:themeColor="background1"/>
              <w:right w:val="single" w:sz="4" w:space="0" w:color="FFFFFF" w:themeColor="background1"/>
            </w:tcBorders>
            <w:shd w:val="clear" w:color="auto" w:fill="370663"/>
            <w:vAlign w:val="center"/>
          </w:tcPr>
          <w:p w14:paraId="4F3685A0" w14:textId="77777777" w:rsidR="00D95E9A" w:rsidRPr="00EC7776" w:rsidRDefault="00D95E9A">
            <w:pPr>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EC7776">
              <w:rPr>
                <w:rFonts w:cs="Arial"/>
                <w:sz w:val="20"/>
                <w:szCs w:val="20"/>
              </w:rPr>
              <w:t>Best on record</w:t>
            </w:r>
          </w:p>
        </w:tc>
        <w:tc>
          <w:tcPr>
            <w:tcW w:w="1564" w:type="dxa"/>
            <w:tcBorders>
              <w:top w:val="single" w:sz="4" w:space="0" w:color="000000"/>
              <w:left w:val="single" w:sz="4" w:space="0" w:color="FFFFFF" w:themeColor="background1"/>
              <w:right w:val="single" w:sz="4" w:space="0" w:color="000000"/>
            </w:tcBorders>
            <w:shd w:val="clear" w:color="auto" w:fill="370663"/>
            <w:vAlign w:val="center"/>
          </w:tcPr>
          <w:p w14:paraId="79B1214A" w14:textId="30351F84" w:rsidR="00D95E9A" w:rsidRPr="00EC7776" w:rsidRDefault="003A7518">
            <w:pPr>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CB0C7A">
              <w:rPr>
                <w:rFonts w:cs="Arial"/>
                <w:sz w:val="20"/>
              </w:rPr>
              <w:t xml:space="preserve">Gap to </w:t>
            </w:r>
            <w:r>
              <w:rPr>
                <w:rFonts w:cs="Arial"/>
                <w:sz w:val="20"/>
              </w:rPr>
              <w:t>the Major Cities</w:t>
            </w:r>
          </w:p>
        </w:tc>
      </w:tr>
      <w:tr w:rsidR="00946993" w:rsidRPr="00207C36" w14:paraId="01CF2FD4" w14:textId="77777777" w:rsidTr="003002BC">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2129" w:type="dxa"/>
            <w:tcBorders>
              <w:left w:val="single" w:sz="4" w:space="0" w:color="000000"/>
              <w:bottom w:val="single" w:sz="4" w:space="0" w:color="000000"/>
            </w:tcBorders>
            <w:shd w:val="clear" w:color="auto" w:fill="E0D1F5" w:themeFill="accent1" w:themeFillTint="33"/>
            <w:vAlign w:val="center"/>
          </w:tcPr>
          <w:p w14:paraId="7603A93D" w14:textId="41AC6B86" w:rsidR="00D95E9A" w:rsidRPr="00384E66" w:rsidRDefault="009F0012">
            <w:pPr>
              <w:rPr>
                <w:rFonts w:eastAsia="Aptos" w:cs="Arial"/>
                <w:b w:val="0"/>
              </w:rPr>
            </w:pPr>
            <w:r>
              <w:rPr>
                <w:rFonts w:eastAsia="Aptos" w:cs="Arial"/>
                <w:b w:val="0"/>
                <w:color w:val="000000" w:themeColor="text1"/>
              </w:rPr>
              <w:t>Completion</w:t>
            </w:r>
            <w:r w:rsidR="00052263" w:rsidRPr="00384E66">
              <w:rPr>
                <w:rFonts w:eastAsia="Aptos" w:cs="Arial"/>
                <w:b w:val="0"/>
                <w:color w:val="000000" w:themeColor="text1"/>
              </w:rPr>
              <w:t xml:space="preserve"> </w:t>
            </w:r>
            <w:r w:rsidR="00544B8C" w:rsidRPr="00384E66">
              <w:rPr>
                <w:rFonts w:eastAsia="Aptos" w:cs="Arial"/>
                <w:b w:val="0"/>
                <w:color w:val="000000" w:themeColor="text1"/>
              </w:rPr>
              <w:t>rate</w:t>
            </w:r>
            <w:r w:rsidR="00052263" w:rsidRPr="00384E66">
              <w:rPr>
                <w:rFonts w:eastAsia="Aptos" w:cs="Arial"/>
                <w:b w:val="0"/>
                <w:color w:val="000000" w:themeColor="text1"/>
              </w:rPr>
              <w:t>s</w:t>
            </w:r>
            <w:r w:rsidR="00D95E9A" w:rsidRPr="00384E66">
              <w:rPr>
                <w:rFonts w:eastAsia="Aptos" w:cs="Arial"/>
                <w:b w:val="0"/>
                <w:color w:val="000000" w:themeColor="text1"/>
              </w:rPr>
              <w:t xml:space="preserve"> </w:t>
            </w:r>
            <w:r>
              <w:rPr>
                <w:rFonts w:eastAsia="Aptos" w:cs="Arial"/>
                <w:b w:val="0"/>
                <w:color w:val="000000" w:themeColor="text1"/>
              </w:rPr>
              <w:t xml:space="preserve">for apprentices and trainees </w:t>
            </w:r>
            <w:r w:rsidR="00D95E9A" w:rsidRPr="00384E66">
              <w:rPr>
                <w:rFonts w:eastAsia="Aptos" w:cs="Arial"/>
                <w:b w:val="0"/>
                <w:color w:val="000000" w:themeColor="text1"/>
              </w:rPr>
              <w:t>(%)</w:t>
            </w:r>
          </w:p>
        </w:tc>
        <w:tc>
          <w:tcPr>
            <w:tcW w:w="1132" w:type="dxa"/>
            <w:tcBorders>
              <w:bottom w:val="single" w:sz="4" w:space="0" w:color="000000"/>
            </w:tcBorders>
            <w:shd w:val="clear" w:color="auto" w:fill="FFAD4C"/>
            <w:vAlign w:val="center"/>
          </w:tcPr>
          <w:p w14:paraId="0580725D" w14:textId="270888F3" w:rsidR="00D95E9A" w:rsidRPr="003002BC" w:rsidRDefault="00EE7987">
            <w:pPr>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3002BC">
              <w:rPr>
                <w:rFonts w:eastAsia="Aptos" w:cs="Arial"/>
                <w:bCs/>
              </w:rPr>
              <w:t>Orange</w:t>
            </w:r>
          </w:p>
        </w:tc>
        <w:tc>
          <w:tcPr>
            <w:tcW w:w="1134" w:type="dxa"/>
            <w:tcBorders>
              <w:bottom w:val="single" w:sz="4" w:space="0" w:color="000000"/>
            </w:tcBorders>
            <w:shd w:val="clear" w:color="auto" w:fill="FFAD4C"/>
            <w:vAlign w:val="center"/>
          </w:tcPr>
          <w:p w14:paraId="2BB00E29" w14:textId="5F53EA07" w:rsidR="00D95E9A" w:rsidRPr="003002BC" w:rsidRDefault="009E3764">
            <w:pPr>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3002BC">
              <w:rPr>
                <w:rFonts w:eastAsia="Aptos" w:cs="Arial"/>
                <w:bCs/>
              </w:rPr>
              <w:t>56.7</w:t>
            </w:r>
            <w:r w:rsidR="00D95E9A" w:rsidRPr="003002BC">
              <w:rPr>
                <w:rFonts w:eastAsia="Aptos" w:cs="Arial"/>
                <w:bCs/>
              </w:rPr>
              <w:t>%</w:t>
            </w:r>
          </w:p>
        </w:tc>
        <w:tc>
          <w:tcPr>
            <w:tcW w:w="1695" w:type="dxa"/>
            <w:tcBorders>
              <w:bottom w:val="single" w:sz="4" w:space="0" w:color="000000"/>
              <w:right w:val="single" w:sz="4" w:space="0" w:color="A6A6A6"/>
            </w:tcBorders>
            <w:shd w:val="clear" w:color="auto" w:fill="F2F2F2" w:themeFill="background1" w:themeFillShade="F2"/>
            <w:vAlign w:val="center"/>
          </w:tcPr>
          <w:p w14:paraId="1C1C1376" w14:textId="5F99AAF1" w:rsidR="00D95E9A" w:rsidRPr="003002BC" w:rsidRDefault="009E3764">
            <w:pPr>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3002BC">
              <w:rPr>
                <w:rFonts w:eastAsia="Aptos" w:cs="Arial"/>
                <w:bCs/>
              </w:rPr>
              <w:t>n/a</w:t>
            </w:r>
          </w:p>
        </w:tc>
        <w:tc>
          <w:tcPr>
            <w:tcW w:w="980" w:type="dxa"/>
            <w:tcBorders>
              <w:left w:val="single" w:sz="4" w:space="0" w:color="A6A6A6"/>
              <w:bottom w:val="single" w:sz="4" w:space="0" w:color="000000"/>
              <w:right w:val="single" w:sz="4" w:space="0" w:color="A6A6A6"/>
            </w:tcBorders>
            <w:shd w:val="clear" w:color="auto" w:fill="F2F2F2" w:themeFill="background1" w:themeFillShade="F2"/>
            <w:vAlign w:val="center"/>
          </w:tcPr>
          <w:p w14:paraId="7C23642A" w14:textId="4B88D8E3" w:rsidR="00D95E9A" w:rsidRPr="003002BC" w:rsidRDefault="0040281C">
            <w:pPr>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3002BC">
              <w:rPr>
                <w:rFonts w:eastAsia="Aptos" w:cs="Arial"/>
                <w:bCs/>
              </w:rPr>
              <w:t>n/a</w:t>
            </w:r>
          </w:p>
        </w:tc>
        <w:tc>
          <w:tcPr>
            <w:tcW w:w="1564" w:type="dxa"/>
            <w:tcBorders>
              <w:left w:val="single" w:sz="4" w:space="0" w:color="A6A6A6"/>
              <w:bottom w:val="single" w:sz="4" w:space="0" w:color="000000"/>
              <w:right w:val="single" w:sz="4" w:space="0" w:color="000000"/>
            </w:tcBorders>
            <w:shd w:val="clear" w:color="auto" w:fill="52BD7F"/>
            <w:vAlign w:val="center"/>
          </w:tcPr>
          <w:p w14:paraId="74C69857" w14:textId="00DCA6EB" w:rsidR="00D95E9A" w:rsidRPr="003002BC" w:rsidRDefault="00B42E9D">
            <w:pPr>
              <w:jc w:val="center"/>
              <w:cnfStyle w:val="000000100000" w:firstRow="0" w:lastRow="0" w:firstColumn="0" w:lastColumn="0" w:oddVBand="0" w:evenVBand="0" w:oddHBand="1" w:evenHBand="0" w:firstRowFirstColumn="0" w:firstRowLastColumn="0" w:lastRowFirstColumn="0" w:lastRowLastColumn="0"/>
              <w:rPr>
                <w:rFonts w:eastAsia="Aptos" w:cs="Arial"/>
                <w:b/>
              </w:rPr>
            </w:pPr>
            <w:r w:rsidRPr="003002BC">
              <w:rPr>
                <w:rFonts w:eastAsia="Aptos" w:cs="Arial"/>
              </w:rPr>
              <w:t>+3.9</w:t>
            </w:r>
            <w:r w:rsidR="00F3415A" w:rsidRPr="003002BC">
              <w:rPr>
                <w:rFonts w:eastAsia="Aptos" w:cs="Arial"/>
              </w:rPr>
              <w:t>%</w:t>
            </w:r>
            <w:r w:rsidR="00D95E9A" w:rsidRPr="003002BC">
              <w:rPr>
                <w:rFonts w:eastAsia="Aptos" w:cs="Arial"/>
                <w:b/>
              </w:rPr>
              <w:t xml:space="preserve"> </w:t>
            </w:r>
          </w:p>
        </w:tc>
      </w:tr>
    </w:tbl>
    <w:p w14:paraId="40F486C0" w14:textId="77777777" w:rsidR="005864D7" w:rsidRDefault="005864D7" w:rsidP="005864D7">
      <w:pPr>
        <w:spacing w:after="0"/>
        <w:rPr>
          <w:rFonts w:cs="Arial"/>
          <w:i/>
          <w:sz w:val="18"/>
          <w:szCs w:val="18"/>
        </w:rPr>
      </w:pPr>
      <w:r w:rsidRPr="005864D7">
        <w:rPr>
          <w:rFonts w:cs="Arial"/>
          <w:i/>
          <w:sz w:val="18"/>
          <w:szCs w:val="18"/>
        </w:rPr>
        <w:t>Source: NCVER 2024, Apprentices and trainees 2024 - March quarter estimates</w:t>
      </w:r>
    </w:p>
    <w:p w14:paraId="79E1C6D5" w14:textId="7A8923CB" w:rsidR="00BB73E8" w:rsidRDefault="00D95E9A" w:rsidP="00027223">
      <w:pPr>
        <w:pStyle w:val="BodyText"/>
      </w:pPr>
      <w:r w:rsidRPr="00ED301E">
        <w:t xml:space="preserve">Apprenticeships </w:t>
      </w:r>
      <w:r w:rsidR="007A39B3">
        <w:t>and traineeships</w:t>
      </w:r>
      <w:r w:rsidRPr="00ED301E">
        <w:t xml:space="preserve"> play an important role in Australia’s skill system and are central components of the vocational education and training system. They provide a pathway toward a nationally recognised qualification, combining on- and off-the-job training to enable individuals to develop industry-specific skills and knowledge while participating in the workforce and earning an income.</w:t>
      </w:r>
    </w:p>
    <w:p w14:paraId="5D251EC9" w14:textId="64BB196E" w:rsidR="001F4141" w:rsidRDefault="00D95E9A" w:rsidP="00027223">
      <w:pPr>
        <w:pStyle w:val="BodyText"/>
      </w:pPr>
      <w:r w:rsidRPr="00ED301E">
        <w:t>Ensuring that Regional Australia is providing a skills and training system that is supporting high levels of apprenticeship</w:t>
      </w:r>
      <w:r w:rsidR="000C71E1">
        <w:t xml:space="preserve"> and traineeship</w:t>
      </w:r>
      <w:r w:rsidRPr="00ED301E">
        <w:t xml:space="preserve"> completion is critical as it helps to provide a qualified workforce to meet current and future workforce needs.</w:t>
      </w:r>
      <w:r w:rsidR="00914C23">
        <w:t xml:space="preserve"> This includes the provision of good </w:t>
      </w:r>
      <w:r w:rsidR="008E6E3D">
        <w:t>supervision and mentoring</w:t>
      </w:r>
      <w:r w:rsidR="000C71E1">
        <w:t xml:space="preserve"> in workplaces</w:t>
      </w:r>
      <w:r w:rsidR="003B7375">
        <w:t xml:space="preserve"> </w:t>
      </w:r>
      <w:r w:rsidR="00A4712B">
        <w:t>but also supporting employers to successfully support the apprentices and trainees</w:t>
      </w:r>
      <w:r w:rsidR="00F2234B">
        <w:t>. This will help increase completion rates for apprentices and trainees.</w:t>
      </w:r>
      <w:r w:rsidR="00B64AF6">
        <w:t xml:space="preserve"> </w:t>
      </w:r>
    </w:p>
    <w:p w14:paraId="7F98AB31" w14:textId="46A7B8A1" w:rsidR="00311B4E" w:rsidRDefault="00B64AF6" w:rsidP="00027223">
      <w:pPr>
        <w:pStyle w:val="BodyText"/>
      </w:pPr>
      <w:bookmarkStart w:id="113" w:name="_Hlk201656019"/>
      <w:r>
        <w:t xml:space="preserve">The Government’s </w:t>
      </w:r>
      <w:r w:rsidRPr="0007112A">
        <w:rPr>
          <w:i/>
        </w:rPr>
        <w:t>Strategic Review of the Australian Apprenticeship Incentive System</w:t>
      </w:r>
      <w:r w:rsidR="0007112A">
        <w:rPr>
          <w:rStyle w:val="FootnoteReference"/>
          <w:i/>
          <w:iCs/>
        </w:rPr>
        <w:footnoteReference w:id="23"/>
      </w:r>
      <w:r>
        <w:t xml:space="preserve"> </w:t>
      </w:r>
      <w:r w:rsidR="005853AB" w:rsidRPr="005853AB">
        <w:t xml:space="preserve">made 34 recommendations to support high-quality apprenticeships and ensure the Incentives System is effective and responsive to the needs of the labour market, apprentices and government. As part of its initial response, the Government has increased the </w:t>
      </w:r>
      <w:r w:rsidR="005853AB" w:rsidRPr="005853AB">
        <w:rPr>
          <w:i/>
          <w:iCs/>
        </w:rPr>
        <w:t>Living Away From Home Allowance</w:t>
      </w:r>
      <w:r w:rsidR="005853AB" w:rsidRPr="005853AB">
        <w:t xml:space="preserve"> to support apprentices in remote and regional areas. JSA will work closely with the Department of Employment and Workplace Relations (DEWR) on opportunities for longer-term reforms</w:t>
      </w:r>
      <w:r w:rsidR="005853AB">
        <w:t>.</w:t>
      </w:r>
    </w:p>
    <w:bookmarkEnd w:id="113"/>
    <w:p w14:paraId="57A5DB07" w14:textId="604D515F" w:rsidR="00AB7DD4" w:rsidRPr="00ED301E" w:rsidRDefault="00AB7DD4" w:rsidP="00027223">
      <w:pPr>
        <w:pStyle w:val="BodyText"/>
      </w:pPr>
      <w:r>
        <w:lastRenderedPageBreak/>
        <w:t xml:space="preserve">Completion rates for apprentices </w:t>
      </w:r>
      <w:r w:rsidR="00A04324">
        <w:t xml:space="preserve">and trainees </w:t>
      </w:r>
      <w:r w:rsidR="00C2340A">
        <w:t>(</w:t>
      </w:r>
      <w:r w:rsidR="007C768E">
        <w:t xml:space="preserve">for those </w:t>
      </w:r>
      <w:r w:rsidR="00C2340A">
        <w:t xml:space="preserve">commencing year 2019) for all </w:t>
      </w:r>
      <w:r w:rsidR="007D24E0">
        <w:t xml:space="preserve">occupations </w:t>
      </w:r>
      <w:r w:rsidR="00D97765">
        <w:t xml:space="preserve">in Regional Australia </w:t>
      </w:r>
      <w:r w:rsidR="007D24E0">
        <w:t>stood at 56.7%</w:t>
      </w:r>
      <w:r w:rsidR="00D97765">
        <w:t xml:space="preserve">, above the rate recorded </w:t>
      </w:r>
      <w:r w:rsidR="007F7861">
        <w:t>in the</w:t>
      </w:r>
      <w:r w:rsidR="00D97765">
        <w:t xml:space="preserve"> Major </w:t>
      </w:r>
      <w:r w:rsidR="007F7861">
        <w:t>Cities</w:t>
      </w:r>
      <w:r w:rsidR="00D97765">
        <w:t xml:space="preserve"> of </w:t>
      </w:r>
      <w:r w:rsidR="00B90C3C">
        <w:t>52.8%.</w:t>
      </w:r>
      <w:r w:rsidR="00EE7987">
        <w:t xml:space="preserve"> </w:t>
      </w:r>
    </w:p>
    <w:p w14:paraId="5FAC32AB" w14:textId="6CD7CD10" w:rsidR="00D95E9A" w:rsidRDefault="00596657" w:rsidP="00596657">
      <w:pPr>
        <w:pStyle w:val="Caption"/>
      </w:pPr>
      <w:bookmarkStart w:id="114" w:name="_Toc201916588"/>
      <w:r>
        <w:t xml:space="preserve">Figure </w:t>
      </w:r>
      <w:r>
        <w:fldChar w:fldCharType="begin"/>
      </w:r>
      <w:r>
        <w:instrText xml:space="preserve"> SEQ Figure \* ARABIC </w:instrText>
      </w:r>
      <w:r>
        <w:fldChar w:fldCharType="separate"/>
      </w:r>
      <w:r w:rsidR="00471863">
        <w:rPr>
          <w:noProof/>
        </w:rPr>
        <w:t>22</w:t>
      </w:r>
      <w:r>
        <w:fldChar w:fldCharType="end"/>
      </w:r>
      <w:r w:rsidR="001846B8" w:rsidRPr="005864D7">
        <w:t>:</w:t>
      </w:r>
      <w:r w:rsidR="005122DF" w:rsidRPr="005864D7">
        <w:t xml:space="preserve"> </w:t>
      </w:r>
      <w:r w:rsidR="009F0012" w:rsidRPr="005864D7">
        <w:t>C</w:t>
      </w:r>
      <w:r w:rsidR="00EF25C8" w:rsidRPr="005864D7">
        <w:t>ompletion rates</w:t>
      </w:r>
      <w:r w:rsidR="005122DF" w:rsidRPr="005864D7">
        <w:t xml:space="preserve"> </w:t>
      </w:r>
      <w:r w:rsidR="009F0012" w:rsidRPr="005864D7">
        <w:t xml:space="preserve">for apprentices and trainees </w:t>
      </w:r>
      <w:r w:rsidR="00E30B7B" w:rsidRPr="005864D7">
        <w:t>(</w:t>
      </w:r>
      <w:r w:rsidR="001A5355" w:rsidRPr="005864D7">
        <w:t>commencing year 2019</w:t>
      </w:r>
      <w:r w:rsidR="00E30B7B" w:rsidRPr="005864D7">
        <w:t>)</w:t>
      </w:r>
      <w:r w:rsidR="005864D7">
        <w:t xml:space="preserve"> </w:t>
      </w:r>
      <w:r w:rsidR="00F77129">
        <w:t>– all occupations</w:t>
      </w:r>
      <w:r w:rsidR="008353C3">
        <w:t xml:space="preserve">, by Regional Australia and Major City </w:t>
      </w:r>
      <w:r w:rsidR="00D95E9A" w:rsidRPr="005864D7">
        <w:t>(%)</w:t>
      </w:r>
      <w:bookmarkEnd w:id="114"/>
      <w:r w:rsidR="001846B8" w:rsidRPr="005864D7">
        <w:t xml:space="preserve"> </w:t>
      </w:r>
    </w:p>
    <w:p w14:paraId="5351715C" w14:textId="1F807F1D" w:rsidR="004C3AC5" w:rsidRPr="004C3AC5" w:rsidRDefault="00F0129B" w:rsidP="004C3AC5">
      <w:r>
        <w:rPr>
          <w:noProof/>
        </w:rPr>
        <w:drawing>
          <wp:inline distT="0" distB="0" distL="0" distR="0" wp14:anchorId="60A843FF" wp14:editId="5A485C28">
            <wp:extent cx="5517515" cy="3011805"/>
            <wp:effectExtent l="0" t="0" r="6985" b="0"/>
            <wp:docPr id="1302082641" name="Picture 35" descr="A column chart that shows the completion rates for apprentices and trainees (commencing year 2019) for all occupations by Regional Australia and Major City. The chart shows completion rates for apprentices and trainees in Regional Australia was above the rate recorded in the Major C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082641" name="Picture 35" descr="A column chart that shows the completion rates for apprentices and trainees (commencing year 2019) for all occupations by Regional Australia and Major City. The chart shows completion rates for apprentices and trainees in Regional Australia was above the rate recorded in the Major Cities. "/>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5517515" cy="3011805"/>
                    </a:xfrm>
                    <a:prstGeom prst="rect">
                      <a:avLst/>
                    </a:prstGeom>
                    <a:noFill/>
                  </pic:spPr>
                </pic:pic>
              </a:graphicData>
            </a:graphic>
          </wp:inline>
        </w:drawing>
      </w:r>
    </w:p>
    <w:p w14:paraId="6937D0CF" w14:textId="0ECF346A" w:rsidR="00C97ECE" w:rsidRDefault="00C97ECE" w:rsidP="00C97ECE">
      <w:pPr>
        <w:spacing w:after="0"/>
        <w:rPr>
          <w:rFonts w:cs="Arial"/>
          <w:i/>
          <w:sz w:val="18"/>
          <w:szCs w:val="18"/>
        </w:rPr>
      </w:pPr>
      <w:r w:rsidRPr="005864D7">
        <w:rPr>
          <w:rFonts w:cs="Arial"/>
          <w:i/>
          <w:sz w:val="18"/>
          <w:szCs w:val="18"/>
        </w:rPr>
        <w:t xml:space="preserve">Source: </w:t>
      </w:r>
      <w:r w:rsidR="005864D7" w:rsidRPr="005864D7">
        <w:rPr>
          <w:rFonts w:cs="Arial"/>
          <w:i/>
          <w:sz w:val="18"/>
          <w:szCs w:val="18"/>
        </w:rPr>
        <w:t>NCVER 2024, Apprentices and trainees 2024 - March quarter estimates</w:t>
      </w:r>
    </w:p>
    <w:p w14:paraId="6EA4E74D" w14:textId="77777777" w:rsidR="00B11A4F" w:rsidRDefault="00B11A4F" w:rsidP="00C97ECE">
      <w:pPr>
        <w:spacing w:after="0"/>
        <w:rPr>
          <w:rFonts w:cs="Arial"/>
          <w:i/>
          <w:sz w:val="18"/>
          <w:szCs w:val="18"/>
        </w:rPr>
      </w:pPr>
    </w:p>
    <w:p w14:paraId="214872E4" w14:textId="5182C20E" w:rsidR="00B11A4F" w:rsidRPr="00B11A4F" w:rsidRDefault="008447AE" w:rsidP="00027223">
      <w:pPr>
        <w:pStyle w:val="BodyText"/>
      </w:pPr>
      <w:r>
        <w:t xml:space="preserve">Seeking greater gender-balance in trades is critical to upholding the equity of the jobs and skills system. </w:t>
      </w:r>
      <w:r w:rsidR="00AB7DD4">
        <w:t xml:space="preserve">Encouragingly, </w:t>
      </w:r>
      <w:r w:rsidR="00B613B6">
        <w:t>the</w:t>
      </w:r>
      <w:r w:rsidR="00B11A4F" w:rsidRPr="00B11A4F">
        <w:t xml:space="preserve"> female share of trade apprenticeship commen</w:t>
      </w:r>
      <w:r w:rsidR="00BA0CB1">
        <w:t>cements</w:t>
      </w:r>
      <w:r w:rsidR="00B11A4F" w:rsidRPr="00B11A4F">
        <w:t xml:space="preserve"> in Regional Australia is higher than that of </w:t>
      </w:r>
      <w:r w:rsidR="00F447AA">
        <w:t>M</w:t>
      </w:r>
      <w:r w:rsidR="00B11A4F" w:rsidRPr="00B11A4F">
        <w:t xml:space="preserve">ajor </w:t>
      </w:r>
      <w:r w:rsidR="00F447AA">
        <w:t>C</w:t>
      </w:r>
      <w:r w:rsidR="00B11A4F" w:rsidRPr="00B11A4F">
        <w:t>ities and has increase</w:t>
      </w:r>
      <w:r w:rsidR="00B11A4F">
        <w:t>d</w:t>
      </w:r>
      <w:r w:rsidR="00B11A4F" w:rsidRPr="00B11A4F">
        <w:t xml:space="preserve"> in recent years. </w:t>
      </w:r>
      <w:r w:rsidR="00B11A4F">
        <w:t>This is a positive trend for Regional Australia, particularly as JSA research had previously shown that gendered-skewed occupations are more likely to be in shortage, highlighting the need for a more balanced labour market.</w:t>
      </w:r>
      <w:r w:rsidR="000D3C99">
        <w:rPr>
          <w:rStyle w:val="FootnoteReference"/>
          <w:b/>
          <w:sz w:val="20"/>
        </w:rPr>
        <w:footnoteReference w:id="24"/>
      </w:r>
      <w:r w:rsidR="00B11A4F">
        <w:t xml:space="preserve"> </w:t>
      </w:r>
      <w:r w:rsidR="00B11A4F" w:rsidRPr="00B11A4F">
        <w:t>Among 15-29 year olds, females made up 14.7</w:t>
      </w:r>
      <w:r w:rsidR="00AC28D8">
        <w:t xml:space="preserve">% </w:t>
      </w:r>
      <w:r w:rsidR="00B11A4F" w:rsidRPr="00B11A4F">
        <w:t>of trade apprenticeship commencements in Regional Australia in 2024 (up from 13.9</w:t>
      </w:r>
      <w:r w:rsidR="00AC28D8">
        <w:t xml:space="preserve">% </w:t>
      </w:r>
      <w:r w:rsidR="00B11A4F" w:rsidRPr="00B11A4F">
        <w:t>in 2023) compared with 12.4</w:t>
      </w:r>
      <w:r w:rsidR="00AC28D8">
        <w:t>%</w:t>
      </w:r>
      <w:r w:rsidR="00B11A4F" w:rsidRPr="00B11A4F">
        <w:t xml:space="preserve"> in Major Cities.</w:t>
      </w:r>
      <w:r w:rsidR="00C210AF">
        <w:t xml:space="preserve"> </w:t>
      </w:r>
    </w:p>
    <w:p w14:paraId="4206D96F" w14:textId="7CE20FD3" w:rsidR="005122DF" w:rsidRPr="00ED301E" w:rsidRDefault="00596657" w:rsidP="00596657">
      <w:pPr>
        <w:pStyle w:val="Caption"/>
        <w:rPr>
          <w:rFonts w:cs="Arial"/>
          <w:b w:val="0"/>
        </w:rPr>
      </w:pPr>
      <w:bookmarkStart w:id="115" w:name="_Toc201916589"/>
      <w:r>
        <w:lastRenderedPageBreak/>
        <w:t xml:space="preserve">Figure </w:t>
      </w:r>
      <w:r>
        <w:fldChar w:fldCharType="begin"/>
      </w:r>
      <w:r>
        <w:instrText xml:space="preserve"> SEQ Figure \* ARABIC </w:instrText>
      </w:r>
      <w:r>
        <w:fldChar w:fldCharType="separate"/>
      </w:r>
      <w:r w:rsidR="00471863">
        <w:rPr>
          <w:noProof/>
        </w:rPr>
        <w:t>23</w:t>
      </w:r>
      <w:r>
        <w:fldChar w:fldCharType="end"/>
      </w:r>
      <w:r w:rsidR="00926474">
        <w:t>:</w:t>
      </w:r>
      <w:r w:rsidR="005122DF">
        <w:t xml:space="preserve"> </w:t>
      </w:r>
      <w:r w:rsidR="005122DF" w:rsidRPr="0034129E">
        <w:t>Share of trade apprenticeship commencements that are female (15-29 years) (%)</w:t>
      </w:r>
      <w:bookmarkEnd w:id="115"/>
      <w:r w:rsidR="00926474">
        <w:t xml:space="preserve"> </w:t>
      </w:r>
    </w:p>
    <w:p w14:paraId="0B965EDB" w14:textId="6F4CF37D" w:rsidR="00C97ECE" w:rsidRDefault="00F0129B" w:rsidP="00D95E9A">
      <w:pPr>
        <w:keepNext/>
        <w:spacing w:before="120" w:after="120"/>
        <w:rPr>
          <w:rFonts w:cs="Arial"/>
          <w:sz w:val="24"/>
          <w:szCs w:val="24"/>
        </w:rPr>
      </w:pPr>
      <w:r>
        <w:rPr>
          <w:rFonts w:cs="Arial"/>
          <w:noProof/>
          <w:sz w:val="24"/>
          <w:szCs w:val="24"/>
        </w:rPr>
        <w:drawing>
          <wp:inline distT="0" distB="0" distL="0" distR="0" wp14:anchorId="14BD1CB2" wp14:editId="6DF533F6">
            <wp:extent cx="5608955" cy="3133725"/>
            <wp:effectExtent l="0" t="0" r="0" b="9525"/>
            <wp:docPr id="653774984" name="Picture 36" descr="A line chart that shows the share of trade apprenticeship commencements that are female (15-29 years) (%). Encouragingly, the chart shows that among 15-29 year olds, females made up a higher share of apprenticeship commencements in Regional Australia than in the Major C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74984" name="Picture 36" descr="A line chart that shows the share of trade apprenticeship commencements that are female (15-29 years) (%). Encouragingly, the chart shows that among 15-29 year olds, females made up a higher share of apprenticeship commencements in Regional Australia than in the Major Cities. "/>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5608955" cy="3133725"/>
                    </a:xfrm>
                    <a:prstGeom prst="rect">
                      <a:avLst/>
                    </a:prstGeom>
                    <a:noFill/>
                  </pic:spPr>
                </pic:pic>
              </a:graphicData>
            </a:graphic>
          </wp:inline>
        </w:drawing>
      </w:r>
    </w:p>
    <w:p w14:paraId="5EB03EC0" w14:textId="43AAA83D" w:rsidR="001A72E4" w:rsidRDefault="001A72E4" w:rsidP="001A72E4">
      <w:pPr>
        <w:spacing w:after="0"/>
        <w:rPr>
          <w:rFonts w:cs="Arial"/>
          <w:i/>
          <w:sz w:val="18"/>
          <w:szCs w:val="18"/>
        </w:rPr>
      </w:pPr>
      <w:r w:rsidRPr="00AC3B4D">
        <w:rPr>
          <w:rFonts w:cs="Arial"/>
          <w:i/>
          <w:sz w:val="18"/>
          <w:szCs w:val="18"/>
        </w:rPr>
        <w:t>Source: NVCER</w:t>
      </w:r>
      <w:r>
        <w:rPr>
          <w:rFonts w:cs="Arial"/>
          <w:i/>
          <w:sz w:val="18"/>
          <w:szCs w:val="18"/>
        </w:rPr>
        <w:t xml:space="preserve"> 2025, Apprentices and trainees 2024, </w:t>
      </w:r>
      <w:r w:rsidR="0086145F">
        <w:rPr>
          <w:rFonts w:cs="Arial"/>
          <w:i/>
          <w:sz w:val="18"/>
          <w:szCs w:val="18"/>
        </w:rPr>
        <w:t>12-month</w:t>
      </w:r>
      <w:r>
        <w:rPr>
          <w:rFonts w:cs="Arial"/>
          <w:i/>
          <w:sz w:val="18"/>
          <w:szCs w:val="18"/>
        </w:rPr>
        <w:t xml:space="preserve"> series</w:t>
      </w:r>
    </w:p>
    <w:p w14:paraId="47C40B5C" w14:textId="77777777" w:rsidR="00423AF6" w:rsidRDefault="00423AF6" w:rsidP="00423AF6">
      <w:pPr>
        <w:rPr>
          <w:rFonts w:cs="Arial"/>
          <w:b/>
          <w:bCs/>
        </w:rPr>
      </w:pPr>
    </w:p>
    <w:p w14:paraId="2DB8DB49" w14:textId="3D58150D" w:rsidR="00D95E9A" w:rsidRPr="00027223" w:rsidRDefault="00D95E9A" w:rsidP="00027223">
      <w:pPr>
        <w:pStyle w:val="Heading5"/>
      </w:pPr>
      <w:r w:rsidRPr="00027223">
        <w:t xml:space="preserve">Proportion </w:t>
      </w:r>
      <w:r w:rsidR="00F0419F" w:rsidRPr="00027223">
        <w:t xml:space="preserve">working at lower skill level than qualification level </w:t>
      </w:r>
      <w:r w:rsidRPr="00027223">
        <w:t>(%)</w:t>
      </w:r>
    </w:p>
    <w:p w14:paraId="0BB69EC7" w14:textId="27DBC936" w:rsidR="00402A7B" w:rsidRPr="00813323" w:rsidRDefault="006470FB" w:rsidP="006470FB">
      <w:pPr>
        <w:pStyle w:val="Caption"/>
      </w:pPr>
      <w:r>
        <w:t xml:space="preserve">Table </w:t>
      </w:r>
      <w:r>
        <w:fldChar w:fldCharType="begin"/>
      </w:r>
      <w:r>
        <w:instrText xml:space="preserve"> SEQ Table \* ARABIC </w:instrText>
      </w:r>
      <w:r>
        <w:fldChar w:fldCharType="separate"/>
      </w:r>
      <w:r w:rsidR="00471863">
        <w:rPr>
          <w:noProof/>
        </w:rPr>
        <w:t>14</w:t>
      </w:r>
      <w:r>
        <w:fldChar w:fldCharType="end"/>
      </w:r>
      <w:r w:rsidR="00402A7B" w:rsidRPr="00813323">
        <w:rPr>
          <w:rFonts w:cs="Arial"/>
        </w:rPr>
        <w:t>:</w:t>
      </w:r>
      <w:r w:rsidR="0086145F" w:rsidRPr="00813323">
        <w:rPr>
          <w:rFonts w:cs="Arial"/>
        </w:rPr>
        <w:t xml:space="preserve"> </w:t>
      </w:r>
      <w:r w:rsidR="00F0419F" w:rsidRPr="00813323">
        <w:rPr>
          <w:rFonts w:cs="Arial"/>
        </w:rPr>
        <w:t>Proportion</w:t>
      </w:r>
      <w:r w:rsidR="005312CB">
        <w:rPr>
          <w:rFonts w:cs="Arial"/>
        </w:rPr>
        <w:t xml:space="preserve"> of persons (aged 15 years and over)</w:t>
      </w:r>
      <w:r w:rsidR="00F0419F" w:rsidRPr="00813323">
        <w:rPr>
          <w:rFonts w:cs="Arial"/>
        </w:rPr>
        <w:t xml:space="preserve"> working at lower skill level than qualification level (%)</w:t>
      </w:r>
    </w:p>
    <w:tbl>
      <w:tblPr>
        <w:tblStyle w:val="GridTable5Dark-Accent12"/>
        <w:tblW w:w="8634" w:type="dxa"/>
        <w:tblLook w:val="04A0" w:firstRow="1" w:lastRow="0" w:firstColumn="1" w:lastColumn="0" w:noHBand="0" w:noVBand="1"/>
      </w:tblPr>
      <w:tblGrid>
        <w:gridCol w:w="2127"/>
        <w:gridCol w:w="1133"/>
        <w:gridCol w:w="1134"/>
        <w:gridCol w:w="1696"/>
        <w:gridCol w:w="980"/>
        <w:gridCol w:w="1564"/>
      </w:tblGrid>
      <w:tr w:rsidR="00693577" w:rsidRPr="00207C36" w14:paraId="71C1BDBF" w14:textId="77777777" w:rsidTr="00402A7B">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single" w:sz="4" w:space="0" w:color="auto"/>
              <w:right w:val="single" w:sz="4" w:space="0" w:color="FFFFFF" w:themeColor="background1"/>
            </w:tcBorders>
            <w:shd w:val="clear" w:color="auto" w:fill="370663"/>
          </w:tcPr>
          <w:p w14:paraId="27C15730" w14:textId="61EF232A" w:rsidR="00D95E9A" w:rsidRPr="00207C36" w:rsidRDefault="00D95E9A">
            <w:pPr>
              <w:keepNext/>
              <w:rPr>
                <w:rFonts w:eastAsia="Aptos" w:cs="Arial"/>
                <w:sz w:val="24"/>
                <w:szCs w:val="24"/>
              </w:rPr>
            </w:pPr>
          </w:p>
        </w:tc>
        <w:tc>
          <w:tcPr>
            <w:tcW w:w="1133" w:type="dxa"/>
            <w:tcBorders>
              <w:top w:val="single" w:sz="4" w:space="0" w:color="auto"/>
              <w:left w:val="single" w:sz="4" w:space="0" w:color="FFFFFF" w:themeColor="background1"/>
              <w:right w:val="single" w:sz="4" w:space="0" w:color="FFFFFF" w:themeColor="background1"/>
            </w:tcBorders>
            <w:shd w:val="clear" w:color="auto" w:fill="370663"/>
            <w:vAlign w:val="center"/>
          </w:tcPr>
          <w:p w14:paraId="3F3A93D8" w14:textId="77777777" w:rsidR="00D95E9A" w:rsidRPr="000E4CCF" w:rsidRDefault="00D95E9A">
            <w:pPr>
              <w:keepNext/>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0E4CCF">
              <w:rPr>
                <w:rFonts w:cs="Arial"/>
                <w:sz w:val="20"/>
                <w:szCs w:val="20"/>
              </w:rPr>
              <w:t>Current Rating</w:t>
            </w:r>
          </w:p>
        </w:tc>
        <w:tc>
          <w:tcPr>
            <w:tcW w:w="1134" w:type="dxa"/>
            <w:tcBorders>
              <w:top w:val="single" w:sz="4" w:space="0" w:color="auto"/>
              <w:left w:val="single" w:sz="4" w:space="0" w:color="FFFFFF" w:themeColor="background1"/>
              <w:right w:val="single" w:sz="4" w:space="0" w:color="FFFFFF" w:themeColor="background1"/>
            </w:tcBorders>
            <w:shd w:val="clear" w:color="auto" w:fill="370663"/>
            <w:vAlign w:val="center"/>
          </w:tcPr>
          <w:p w14:paraId="4546A347" w14:textId="77777777" w:rsidR="00D95E9A" w:rsidRPr="000E4CCF" w:rsidRDefault="00D95E9A">
            <w:pPr>
              <w:keepNext/>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0E4CCF">
              <w:rPr>
                <w:rFonts w:cs="Arial"/>
                <w:sz w:val="20"/>
                <w:szCs w:val="20"/>
              </w:rPr>
              <w:t>Current rate in Regional Australia</w:t>
            </w:r>
          </w:p>
        </w:tc>
        <w:tc>
          <w:tcPr>
            <w:tcW w:w="1696" w:type="dxa"/>
            <w:tcBorders>
              <w:top w:val="single" w:sz="4" w:space="0" w:color="auto"/>
              <w:left w:val="single" w:sz="4" w:space="0" w:color="FFFFFF" w:themeColor="background1"/>
              <w:right w:val="single" w:sz="4" w:space="0" w:color="FFFFFF" w:themeColor="background1"/>
            </w:tcBorders>
            <w:shd w:val="clear" w:color="auto" w:fill="370663"/>
            <w:vAlign w:val="center"/>
          </w:tcPr>
          <w:p w14:paraId="41F2C484" w14:textId="77777777" w:rsidR="00D95E9A" w:rsidRPr="000E4CCF" w:rsidRDefault="00D95E9A">
            <w:pPr>
              <w:keepNext/>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0E4CCF">
              <w:rPr>
                <w:rFonts w:cs="Arial"/>
                <w:sz w:val="20"/>
                <w:szCs w:val="20"/>
              </w:rPr>
              <w:t>Current Trend</w:t>
            </w:r>
          </w:p>
        </w:tc>
        <w:tc>
          <w:tcPr>
            <w:tcW w:w="980" w:type="dxa"/>
            <w:tcBorders>
              <w:top w:val="single" w:sz="4" w:space="0" w:color="auto"/>
              <w:left w:val="single" w:sz="4" w:space="0" w:color="FFFFFF" w:themeColor="background1"/>
              <w:right w:val="single" w:sz="4" w:space="0" w:color="FFFFFF" w:themeColor="background1"/>
            </w:tcBorders>
            <w:shd w:val="clear" w:color="auto" w:fill="370663"/>
            <w:vAlign w:val="center"/>
          </w:tcPr>
          <w:p w14:paraId="1969E11C" w14:textId="77777777" w:rsidR="00D95E9A" w:rsidRPr="000E4CCF" w:rsidRDefault="00D95E9A">
            <w:pPr>
              <w:keepNext/>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0E4CCF">
              <w:rPr>
                <w:rFonts w:cs="Arial"/>
                <w:sz w:val="20"/>
                <w:szCs w:val="20"/>
              </w:rPr>
              <w:t>Best on record</w:t>
            </w:r>
          </w:p>
        </w:tc>
        <w:tc>
          <w:tcPr>
            <w:tcW w:w="1564" w:type="dxa"/>
            <w:tcBorders>
              <w:top w:val="single" w:sz="4" w:space="0" w:color="auto"/>
              <w:left w:val="single" w:sz="4" w:space="0" w:color="FFFFFF" w:themeColor="background1"/>
              <w:right w:val="single" w:sz="4" w:space="0" w:color="auto"/>
            </w:tcBorders>
            <w:shd w:val="clear" w:color="auto" w:fill="370663"/>
            <w:vAlign w:val="center"/>
          </w:tcPr>
          <w:p w14:paraId="0DEDAAE5" w14:textId="009B1063" w:rsidR="00D95E9A" w:rsidRPr="000E4CCF" w:rsidRDefault="003A7518">
            <w:pPr>
              <w:keepNext/>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CB0C7A">
              <w:rPr>
                <w:rFonts w:cs="Arial"/>
                <w:sz w:val="20"/>
              </w:rPr>
              <w:t xml:space="preserve">Gap to </w:t>
            </w:r>
            <w:r>
              <w:rPr>
                <w:rFonts w:cs="Arial"/>
                <w:sz w:val="20"/>
              </w:rPr>
              <w:t>the Major Cities</w:t>
            </w:r>
          </w:p>
        </w:tc>
      </w:tr>
      <w:tr w:rsidR="00693577" w:rsidRPr="00207C36" w14:paraId="17C1367F" w14:textId="77777777" w:rsidTr="003002BC">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2127" w:type="dxa"/>
            <w:tcBorders>
              <w:left w:val="single" w:sz="4" w:space="0" w:color="auto"/>
              <w:bottom w:val="single" w:sz="4" w:space="0" w:color="auto"/>
            </w:tcBorders>
            <w:shd w:val="clear" w:color="auto" w:fill="E0D1F5" w:themeFill="accent1" w:themeFillTint="33"/>
            <w:vAlign w:val="center"/>
          </w:tcPr>
          <w:p w14:paraId="30994F2F" w14:textId="7D46678E" w:rsidR="00D95E9A" w:rsidRPr="00384E66" w:rsidRDefault="00D95E9A" w:rsidP="006843A6">
            <w:pPr>
              <w:keepNext/>
              <w:rPr>
                <w:rFonts w:eastAsia="Aptos" w:cs="Arial"/>
                <w:b w:val="0"/>
              </w:rPr>
            </w:pPr>
            <w:r w:rsidRPr="00384E66">
              <w:rPr>
                <w:rFonts w:eastAsia="Aptos" w:cs="Arial"/>
                <w:b w:val="0"/>
                <w:bCs w:val="0"/>
                <w:color w:val="000000" w:themeColor="text1"/>
              </w:rPr>
              <w:t>Prop</w:t>
            </w:r>
            <w:r w:rsidR="00B64E3B">
              <w:rPr>
                <w:rFonts w:eastAsia="Aptos" w:cs="Arial"/>
                <w:b w:val="0"/>
                <w:bCs w:val="0"/>
                <w:color w:val="000000" w:themeColor="text1"/>
              </w:rPr>
              <w:t>.</w:t>
            </w:r>
            <w:r w:rsidRPr="00384E66">
              <w:rPr>
                <w:rFonts w:eastAsia="Aptos" w:cs="Arial"/>
                <w:b w:val="0"/>
                <w:color w:val="000000" w:themeColor="text1"/>
              </w:rPr>
              <w:t xml:space="preserve"> working </w:t>
            </w:r>
            <w:r w:rsidR="000747E1" w:rsidRPr="00384E66">
              <w:rPr>
                <w:rFonts w:eastAsia="Aptos" w:cs="Arial"/>
                <w:b w:val="0"/>
                <w:color w:val="000000" w:themeColor="text1"/>
              </w:rPr>
              <w:t>at</w:t>
            </w:r>
            <w:r w:rsidRPr="00384E66">
              <w:rPr>
                <w:rFonts w:eastAsia="Aptos" w:cs="Arial"/>
                <w:b w:val="0"/>
                <w:color w:val="000000" w:themeColor="text1"/>
              </w:rPr>
              <w:t xml:space="preserve"> lower </w:t>
            </w:r>
            <w:r w:rsidR="000747E1" w:rsidRPr="00384E66">
              <w:rPr>
                <w:rFonts w:eastAsia="Aptos" w:cs="Arial"/>
                <w:b w:val="0"/>
                <w:color w:val="000000" w:themeColor="text1"/>
              </w:rPr>
              <w:t>skill level than qualification level</w:t>
            </w:r>
            <w:r w:rsidRPr="00384E66">
              <w:rPr>
                <w:rFonts w:eastAsia="Aptos" w:cs="Arial"/>
                <w:b w:val="0"/>
                <w:color w:val="000000" w:themeColor="text1"/>
              </w:rPr>
              <w:t xml:space="preserve"> (%)</w:t>
            </w:r>
          </w:p>
        </w:tc>
        <w:tc>
          <w:tcPr>
            <w:tcW w:w="1133" w:type="dxa"/>
            <w:tcBorders>
              <w:bottom w:val="single" w:sz="4" w:space="0" w:color="auto"/>
            </w:tcBorders>
            <w:shd w:val="clear" w:color="auto" w:fill="FFAD4C"/>
            <w:vAlign w:val="center"/>
          </w:tcPr>
          <w:p w14:paraId="047F8F3A" w14:textId="77777777" w:rsidR="00D95E9A" w:rsidRPr="003002BC" w:rsidRDefault="00D95E9A" w:rsidP="006843A6">
            <w:pPr>
              <w:keepNext/>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3002BC">
              <w:rPr>
                <w:rFonts w:eastAsia="Aptos" w:cs="Arial"/>
              </w:rPr>
              <w:t>Orange</w:t>
            </w:r>
          </w:p>
        </w:tc>
        <w:tc>
          <w:tcPr>
            <w:tcW w:w="1134" w:type="dxa"/>
            <w:tcBorders>
              <w:bottom w:val="single" w:sz="4" w:space="0" w:color="auto"/>
            </w:tcBorders>
            <w:shd w:val="clear" w:color="auto" w:fill="FFAD4C"/>
            <w:vAlign w:val="center"/>
          </w:tcPr>
          <w:p w14:paraId="2CA64CAF" w14:textId="26379869" w:rsidR="00D95E9A" w:rsidRPr="003002BC" w:rsidRDefault="008A6597" w:rsidP="006843A6">
            <w:pPr>
              <w:keepNext/>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3002BC">
              <w:rPr>
                <w:rFonts w:eastAsia="Aptos" w:cs="Arial"/>
              </w:rPr>
              <w:t>2</w:t>
            </w:r>
            <w:r w:rsidR="008E7D16" w:rsidRPr="003002BC">
              <w:rPr>
                <w:rFonts w:eastAsia="Aptos" w:cs="Arial"/>
              </w:rPr>
              <w:t>5.7</w:t>
            </w:r>
            <w:r w:rsidR="00D95E9A" w:rsidRPr="003002BC">
              <w:rPr>
                <w:rFonts w:eastAsia="Aptos" w:cs="Arial"/>
              </w:rPr>
              <w:t>%</w:t>
            </w:r>
          </w:p>
        </w:tc>
        <w:tc>
          <w:tcPr>
            <w:tcW w:w="1696" w:type="dxa"/>
            <w:tcBorders>
              <w:bottom w:val="single" w:sz="4" w:space="0" w:color="auto"/>
              <w:right w:val="single" w:sz="4" w:space="0" w:color="A6A6A6"/>
            </w:tcBorders>
            <w:shd w:val="clear" w:color="auto" w:fill="F2F2F2" w:themeFill="background1" w:themeFillShade="F2"/>
            <w:vAlign w:val="center"/>
          </w:tcPr>
          <w:p w14:paraId="02D89A4A" w14:textId="77777777" w:rsidR="00D95E9A" w:rsidRPr="003002BC" w:rsidRDefault="00D95E9A" w:rsidP="006843A6">
            <w:pPr>
              <w:keepNext/>
              <w:jc w:val="center"/>
              <w:cnfStyle w:val="000000100000" w:firstRow="0" w:lastRow="0" w:firstColumn="0" w:lastColumn="0" w:oddVBand="0" w:evenVBand="0" w:oddHBand="1" w:evenHBand="0" w:firstRowFirstColumn="0" w:firstRowLastColumn="0" w:lastRowFirstColumn="0" w:lastRowLastColumn="0"/>
              <w:rPr>
                <w:rFonts w:eastAsia="Aptos" w:cs="Arial"/>
                <w:b/>
              </w:rPr>
            </w:pPr>
            <w:r w:rsidRPr="003002BC">
              <w:rPr>
                <w:rFonts w:eastAsia="Aptos" w:cs="Arial"/>
                <w:b/>
              </w:rPr>
              <w:t>Stable</w:t>
            </w:r>
          </w:p>
        </w:tc>
        <w:tc>
          <w:tcPr>
            <w:tcW w:w="980" w:type="dxa"/>
            <w:tcBorders>
              <w:left w:val="single" w:sz="4" w:space="0" w:color="A6A6A6"/>
              <w:bottom w:val="single" w:sz="4" w:space="0" w:color="auto"/>
              <w:right w:val="single" w:sz="4" w:space="0" w:color="A6A6A6"/>
            </w:tcBorders>
            <w:shd w:val="clear" w:color="auto" w:fill="F2F2F2" w:themeFill="background1" w:themeFillShade="F2"/>
            <w:vAlign w:val="center"/>
          </w:tcPr>
          <w:p w14:paraId="1A39330D" w14:textId="55A0233B" w:rsidR="00D95E9A" w:rsidRPr="003002BC" w:rsidRDefault="00D95E9A" w:rsidP="006843A6">
            <w:pPr>
              <w:keepNext/>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3002BC">
              <w:rPr>
                <w:rFonts w:eastAsia="Aptos" w:cs="Arial"/>
              </w:rPr>
              <w:t>2</w:t>
            </w:r>
            <w:r w:rsidR="00FB0B9B" w:rsidRPr="003002BC">
              <w:rPr>
                <w:rFonts w:eastAsia="Aptos" w:cs="Arial"/>
              </w:rPr>
              <w:t>3</w:t>
            </w:r>
            <w:r w:rsidR="00962076" w:rsidRPr="003002BC">
              <w:rPr>
                <w:rFonts w:eastAsia="Aptos" w:cs="Arial"/>
              </w:rPr>
              <w:t>.3</w:t>
            </w:r>
            <w:r w:rsidRPr="003002BC">
              <w:rPr>
                <w:rFonts w:eastAsia="Aptos" w:cs="Arial"/>
              </w:rPr>
              <w:t>%</w:t>
            </w:r>
          </w:p>
          <w:p w14:paraId="4AA3ABA6" w14:textId="0A8E7A8E" w:rsidR="00D95E9A" w:rsidRPr="003002BC" w:rsidRDefault="007B0149" w:rsidP="006843A6">
            <w:pPr>
              <w:keepNext/>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3002BC">
              <w:rPr>
                <w:rFonts w:eastAsia="Aptos" w:cs="Arial"/>
              </w:rPr>
              <w:t>(2020)</w:t>
            </w:r>
          </w:p>
        </w:tc>
        <w:tc>
          <w:tcPr>
            <w:tcW w:w="1564" w:type="dxa"/>
            <w:tcBorders>
              <w:left w:val="single" w:sz="4" w:space="0" w:color="A6A6A6"/>
              <w:bottom w:val="single" w:sz="4" w:space="0" w:color="auto"/>
              <w:right w:val="single" w:sz="4" w:space="0" w:color="auto"/>
            </w:tcBorders>
            <w:shd w:val="clear" w:color="auto" w:fill="52BD7F"/>
            <w:vAlign w:val="center"/>
          </w:tcPr>
          <w:p w14:paraId="03FCE3F1" w14:textId="21822A94" w:rsidR="00D95E9A" w:rsidRPr="003002BC" w:rsidRDefault="00AB7CF7" w:rsidP="006843A6">
            <w:pPr>
              <w:keepNext/>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3002BC">
              <w:rPr>
                <w:rFonts w:eastAsia="Aptos" w:cs="Arial"/>
              </w:rPr>
              <w:t>-5</w:t>
            </w:r>
            <w:r w:rsidR="00B52E3E" w:rsidRPr="003002BC">
              <w:rPr>
                <w:rFonts w:eastAsia="Aptos" w:cs="Arial"/>
              </w:rPr>
              <w:t>.2</w:t>
            </w:r>
            <w:r w:rsidR="00D95E9A" w:rsidRPr="003002BC">
              <w:rPr>
                <w:rFonts w:eastAsia="Aptos" w:cs="Arial"/>
              </w:rPr>
              <w:t>% pts</w:t>
            </w:r>
          </w:p>
        </w:tc>
      </w:tr>
    </w:tbl>
    <w:p w14:paraId="7831D91A" w14:textId="308718AA" w:rsidR="00D95E9A" w:rsidRPr="005331D2" w:rsidRDefault="00D95E9A" w:rsidP="006843A6">
      <w:pPr>
        <w:keepNext/>
        <w:rPr>
          <w:rFonts w:cs="Arial"/>
          <w:i/>
          <w:sz w:val="18"/>
          <w:szCs w:val="18"/>
        </w:rPr>
      </w:pPr>
      <w:r w:rsidRPr="004D4780">
        <w:rPr>
          <w:rFonts w:cs="Arial"/>
          <w:i/>
          <w:sz w:val="18"/>
          <w:szCs w:val="18"/>
        </w:rPr>
        <w:t>Source: ABS, Survey of Education and Work</w:t>
      </w:r>
      <w:r w:rsidR="009A1408">
        <w:rPr>
          <w:rFonts w:cs="Arial"/>
          <w:i/>
          <w:sz w:val="18"/>
          <w:szCs w:val="18"/>
        </w:rPr>
        <w:t>, 202</w:t>
      </w:r>
      <w:r w:rsidR="009420DA">
        <w:rPr>
          <w:rFonts w:cs="Arial"/>
          <w:i/>
          <w:sz w:val="18"/>
          <w:szCs w:val="18"/>
        </w:rPr>
        <w:t>4</w:t>
      </w:r>
    </w:p>
    <w:p w14:paraId="6429F304" w14:textId="15B97E66" w:rsidR="00600D68" w:rsidRDefault="00D95E9A" w:rsidP="00027223">
      <w:pPr>
        <w:pStyle w:val="BodyText"/>
      </w:pPr>
      <w:r w:rsidRPr="005331D2">
        <w:t xml:space="preserve">The importance of skills in increasing productivity and economic growth is well known. While traditionally the focus has been on boosting skills supply through vocational and higher education qualifications, it is </w:t>
      </w:r>
      <w:r w:rsidR="00600D68">
        <w:t xml:space="preserve">also </w:t>
      </w:r>
      <w:r w:rsidRPr="005331D2">
        <w:t xml:space="preserve">important that these skills are being used effectively in the labour market (skill utilisation). </w:t>
      </w:r>
      <w:r w:rsidR="00737AE0">
        <w:t>This goes to the central aspect of Vision Principle 2 around seeking for skills to be utilised in meaningful employment that contributes to economy, culture and community.</w:t>
      </w:r>
      <w:r w:rsidR="00BD6CFE">
        <w:t xml:space="preserve"> Although </w:t>
      </w:r>
      <w:r w:rsidR="00DF563B">
        <w:t xml:space="preserve">someone may work below their </w:t>
      </w:r>
      <w:r w:rsidR="00BD6CFE">
        <w:t xml:space="preserve">level of education or in a different field </w:t>
      </w:r>
      <w:r w:rsidR="00DF563B">
        <w:t xml:space="preserve">for a time, ideally this period would be limited and would contribute to a </w:t>
      </w:r>
      <w:r w:rsidR="0090117E">
        <w:t>person’s</w:t>
      </w:r>
      <w:r w:rsidR="00DF563B">
        <w:t xml:space="preserve"> career development.</w:t>
      </w:r>
      <w:r w:rsidR="00BD6CFE">
        <w:t xml:space="preserve"> </w:t>
      </w:r>
    </w:p>
    <w:p w14:paraId="3DDD2B97" w14:textId="77777777" w:rsidR="00221885" w:rsidRDefault="00D95E9A" w:rsidP="00027223">
      <w:pPr>
        <w:pStyle w:val="BodyText"/>
      </w:pPr>
      <w:r w:rsidRPr="005331D2">
        <w:t xml:space="preserve">Where skills are being underutilised in the workplace it can result in significant costs to the individual, business and the economy. </w:t>
      </w:r>
      <w:r w:rsidR="00600D68">
        <w:t>In contrast, improvements in skill utilisation supports</w:t>
      </w:r>
      <w:r w:rsidRPr="005331D2">
        <w:t xml:space="preserve"> increased productivity, reduced skills gaps, enhanced innovation, improved earnings and job satisfaction and increased returns on investment in education and training. </w:t>
      </w:r>
    </w:p>
    <w:p w14:paraId="20C13228" w14:textId="2B2E117E" w:rsidR="00340344" w:rsidRDefault="00D95E9A" w:rsidP="00027223">
      <w:pPr>
        <w:pStyle w:val="BodyText"/>
      </w:pPr>
      <w:r w:rsidRPr="005331D2">
        <w:lastRenderedPageBreak/>
        <w:t xml:space="preserve">In Regional Australia, around </w:t>
      </w:r>
      <w:r w:rsidR="00762B94">
        <w:t>2</w:t>
      </w:r>
      <w:r w:rsidR="00B74902">
        <w:t>6</w:t>
      </w:r>
      <w:r w:rsidRPr="005331D2">
        <w:t xml:space="preserve">% of people with a </w:t>
      </w:r>
      <w:r w:rsidR="006B0CAA">
        <w:t>post school</w:t>
      </w:r>
      <w:r w:rsidRPr="005331D2">
        <w:t xml:space="preserve"> </w:t>
      </w:r>
      <w:r w:rsidR="00213012">
        <w:t>qualification (</w:t>
      </w:r>
      <w:r w:rsidR="00EE1593">
        <w:t>S</w:t>
      </w:r>
      <w:r w:rsidR="006B0CAA">
        <w:t xml:space="preserve">kill </w:t>
      </w:r>
      <w:r w:rsidR="00EE1593">
        <w:t>L</w:t>
      </w:r>
      <w:r w:rsidR="006B0CAA">
        <w:t>evel 1-4</w:t>
      </w:r>
      <w:r w:rsidR="00213012">
        <w:t xml:space="preserve">) </w:t>
      </w:r>
      <w:r w:rsidRPr="005331D2">
        <w:t xml:space="preserve">are working in </w:t>
      </w:r>
      <w:r w:rsidR="00680A48">
        <w:t xml:space="preserve">a job with </w:t>
      </w:r>
      <w:r w:rsidRPr="005331D2">
        <w:t>a skill level that is lower than their qualification</w:t>
      </w:r>
      <w:r w:rsidR="00680A48">
        <w:t xml:space="preserve">. While </w:t>
      </w:r>
      <w:r w:rsidR="0040160D" w:rsidRPr="0040160D">
        <w:t xml:space="preserve">this is better than in the </w:t>
      </w:r>
      <w:r w:rsidR="00755914">
        <w:t>M</w:t>
      </w:r>
      <w:r w:rsidR="0040160D" w:rsidRPr="0040160D">
        <w:t xml:space="preserve">ajor </w:t>
      </w:r>
      <w:r w:rsidR="00755914">
        <w:t>C</w:t>
      </w:r>
      <w:r w:rsidR="0040160D" w:rsidRPr="0040160D">
        <w:t xml:space="preserve">ities, </w:t>
      </w:r>
      <w:r w:rsidR="00340344">
        <w:t>th</w:t>
      </w:r>
      <w:r w:rsidR="007A73E2">
        <w:t>is suggests that the</w:t>
      </w:r>
      <w:r w:rsidR="00340344">
        <w:t xml:space="preserve"> skills of </w:t>
      </w:r>
      <w:r w:rsidR="00A714EF">
        <w:t xml:space="preserve">around a quarter </w:t>
      </w:r>
      <w:r w:rsidR="008F4DE9">
        <w:t>of</w:t>
      </w:r>
      <w:r w:rsidR="00A714EF">
        <w:t xml:space="preserve"> </w:t>
      </w:r>
      <w:r w:rsidR="00340344">
        <w:t xml:space="preserve">persons with post school qualifications </w:t>
      </w:r>
      <w:r w:rsidR="007A73E2">
        <w:t xml:space="preserve">in Regional Australia </w:t>
      </w:r>
      <w:r w:rsidR="00340344">
        <w:t>are being underutilised</w:t>
      </w:r>
      <w:r w:rsidR="00B7541B">
        <w:t>.</w:t>
      </w:r>
    </w:p>
    <w:p w14:paraId="2F87FFDD" w14:textId="0079480E" w:rsidR="00F557C2" w:rsidRDefault="00596657" w:rsidP="00596657">
      <w:pPr>
        <w:pStyle w:val="Caption"/>
      </w:pPr>
      <w:bookmarkStart w:id="116" w:name="_Toc201916590"/>
      <w:r>
        <w:t xml:space="preserve">Figure </w:t>
      </w:r>
      <w:r>
        <w:fldChar w:fldCharType="begin"/>
      </w:r>
      <w:r>
        <w:instrText xml:space="preserve"> SEQ Figure \* ARABIC </w:instrText>
      </w:r>
      <w:r>
        <w:fldChar w:fldCharType="separate"/>
      </w:r>
      <w:r w:rsidR="00471863">
        <w:rPr>
          <w:noProof/>
        </w:rPr>
        <w:t>24</w:t>
      </w:r>
      <w:r>
        <w:fldChar w:fldCharType="end"/>
      </w:r>
      <w:r w:rsidR="00F557C2">
        <w:t>:</w:t>
      </w:r>
      <w:r w:rsidR="00F557C2" w:rsidRPr="00F557C2">
        <w:t xml:space="preserve"> </w:t>
      </w:r>
      <w:r w:rsidR="00F557C2" w:rsidRPr="00A83FF9">
        <w:t>Proportion working at lower skilled level than qualification (%), by Major City and Regional Australia</w:t>
      </w:r>
      <w:bookmarkEnd w:id="116"/>
      <w:r w:rsidR="00F557C2">
        <w:t xml:space="preserve"> </w:t>
      </w:r>
    </w:p>
    <w:p w14:paraId="14A63B3B" w14:textId="64BAF095" w:rsidR="004B792B" w:rsidRDefault="00540A9E" w:rsidP="007C60C2">
      <w:pPr>
        <w:jc w:val="center"/>
        <w:rPr>
          <w:rFonts w:cs="Arial"/>
        </w:rPr>
      </w:pPr>
      <w:r>
        <w:rPr>
          <w:rFonts w:cs="Arial"/>
          <w:noProof/>
        </w:rPr>
        <w:drawing>
          <wp:inline distT="0" distB="0" distL="0" distR="0" wp14:anchorId="48737988" wp14:editId="13509D4B">
            <wp:extent cx="5444490" cy="3169920"/>
            <wp:effectExtent l="0" t="0" r="3810" b="0"/>
            <wp:docPr id="1980457850" name="Picture 37" descr="A column chart showing the proportion working at lower skilled level than qualification (%), by Major City and Regional Australia. The chart shows that around a quarter of persons with post-school qualifications in Regional Australia are being underutil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57850" name="Picture 37" descr="A column chart showing the proportion working at lower skilled level than qualification (%), by Major City and Regional Australia. The chart shows that around a quarter of persons with post-school qualifications in Regional Australia are being underutilised. "/>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5444490" cy="3169920"/>
                    </a:xfrm>
                    <a:prstGeom prst="rect">
                      <a:avLst/>
                    </a:prstGeom>
                    <a:noFill/>
                  </pic:spPr>
                </pic:pic>
              </a:graphicData>
            </a:graphic>
          </wp:inline>
        </w:drawing>
      </w:r>
    </w:p>
    <w:p w14:paraId="4AF68409" w14:textId="659C303A" w:rsidR="007C60C2" w:rsidRPr="00D6344F" w:rsidRDefault="007C60C2" w:rsidP="007C60C2">
      <w:pPr>
        <w:spacing w:after="0"/>
        <w:rPr>
          <w:rFonts w:cs="Arial"/>
          <w:i/>
          <w:sz w:val="18"/>
          <w:szCs w:val="18"/>
        </w:rPr>
      </w:pPr>
      <w:r w:rsidRPr="00D6344F">
        <w:rPr>
          <w:rFonts w:cs="Arial"/>
          <w:i/>
          <w:sz w:val="18"/>
          <w:szCs w:val="18"/>
        </w:rPr>
        <w:t>Source: ABS, Survey of Education and Work</w:t>
      </w:r>
      <w:r w:rsidR="009420DA">
        <w:rPr>
          <w:rFonts w:cs="Arial"/>
          <w:i/>
          <w:sz w:val="18"/>
          <w:szCs w:val="18"/>
        </w:rPr>
        <w:t>, 2024</w:t>
      </w:r>
    </w:p>
    <w:p w14:paraId="5E38FAB3" w14:textId="77777777" w:rsidR="007C60C2" w:rsidRDefault="007C60C2" w:rsidP="007C60C2">
      <w:pPr>
        <w:jc w:val="center"/>
        <w:rPr>
          <w:rFonts w:cs="Arial"/>
        </w:rPr>
      </w:pPr>
    </w:p>
    <w:p w14:paraId="1A086142" w14:textId="59DCF85B" w:rsidR="0040160D" w:rsidRDefault="00E00702" w:rsidP="00027223">
      <w:pPr>
        <w:pStyle w:val="BodyText"/>
      </w:pPr>
      <w:r>
        <w:t xml:space="preserve">Skill underutilisation </w:t>
      </w:r>
      <w:r w:rsidR="00BC6409">
        <w:t xml:space="preserve">is highest </w:t>
      </w:r>
      <w:r w:rsidR="00753B68">
        <w:t>in Regional Australia</w:t>
      </w:r>
      <w:r w:rsidR="00BC6409">
        <w:t xml:space="preserve"> for persons with a </w:t>
      </w:r>
      <w:r w:rsidR="004E1440">
        <w:t>B</w:t>
      </w:r>
      <w:r w:rsidR="006E4C7B">
        <w:t xml:space="preserve">achelor </w:t>
      </w:r>
      <w:r w:rsidR="002F474B">
        <w:t>D</w:t>
      </w:r>
      <w:r w:rsidR="006E4C7B">
        <w:t>egree</w:t>
      </w:r>
      <w:r w:rsidR="00BC6409">
        <w:t xml:space="preserve"> or </w:t>
      </w:r>
      <w:r w:rsidR="002F474B">
        <w:t>above</w:t>
      </w:r>
      <w:r w:rsidR="00BC6409">
        <w:t xml:space="preserve"> (</w:t>
      </w:r>
      <w:r w:rsidR="00EE1593">
        <w:t>S</w:t>
      </w:r>
      <w:r w:rsidR="00BC6409">
        <w:t xml:space="preserve">kill </w:t>
      </w:r>
      <w:r w:rsidR="00EE1593">
        <w:t>L</w:t>
      </w:r>
      <w:r w:rsidR="00BC6409">
        <w:t>evel 1)</w:t>
      </w:r>
      <w:r w:rsidR="009F5D03">
        <w:t xml:space="preserve">, with </w:t>
      </w:r>
      <w:r w:rsidR="004E3609">
        <w:t>31%</w:t>
      </w:r>
      <w:r w:rsidR="009F5D03">
        <w:t xml:space="preserve"> </w:t>
      </w:r>
      <w:r w:rsidR="00A82FAE">
        <w:t>working in an occupation that is lower than their qualification</w:t>
      </w:r>
      <w:r w:rsidR="00B04882">
        <w:t>, representing a considerable opportunity for increased skills utilisation. By comparison,</w:t>
      </w:r>
      <w:r w:rsidR="00595385">
        <w:t xml:space="preserve"> </w:t>
      </w:r>
      <w:r w:rsidR="00FD3CFF">
        <w:t xml:space="preserve">around </w:t>
      </w:r>
      <w:r w:rsidR="00311A1E">
        <w:t>21% of</w:t>
      </w:r>
      <w:r w:rsidR="00B04882">
        <w:t xml:space="preserve"> </w:t>
      </w:r>
      <w:r w:rsidR="00F45B6C">
        <w:t>persons in Regional Australia</w:t>
      </w:r>
      <w:r w:rsidR="00B04882">
        <w:t xml:space="preserve"> </w:t>
      </w:r>
      <w:r w:rsidR="003963FF">
        <w:t>with a qualification where VET is the primary pathway (</w:t>
      </w:r>
      <w:r w:rsidR="00EE1593">
        <w:t>S</w:t>
      </w:r>
      <w:r w:rsidR="003963FF">
        <w:t xml:space="preserve">kill </w:t>
      </w:r>
      <w:r w:rsidR="00EE1593">
        <w:t>L</w:t>
      </w:r>
      <w:r w:rsidR="003963FF">
        <w:t xml:space="preserve">evel 2-4) </w:t>
      </w:r>
      <w:r w:rsidR="00811D33">
        <w:t>are working in an occupation below their skill level.</w:t>
      </w:r>
      <w:r w:rsidR="002E1444">
        <w:t xml:space="preserve"> Put together, these figures </w:t>
      </w:r>
      <w:r w:rsidR="004B792B">
        <w:t>represent</w:t>
      </w:r>
      <w:r w:rsidR="0040160D" w:rsidRPr="0040160D">
        <w:t xml:space="preserve"> a considerable opportunity for increased skills utilisation</w:t>
      </w:r>
      <w:r w:rsidR="004B792B">
        <w:t xml:space="preserve"> in Regional Australia.</w:t>
      </w:r>
    </w:p>
    <w:p w14:paraId="5A799F74" w14:textId="6C1B3874" w:rsidR="00D95E9A" w:rsidRPr="005331D2" w:rsidRDefault="00596657" w:rsidP="00596657">
      <w:pPr>
        <w:pStyle w:val="Caption"/>
        <w:rPr>
          <w:rFonts w:cs="Arial"/>
          <w:b w:val="0"/>
        </w:rPr>
      </w:pPr>
      <w:bookmarkStart w:id="117" w:name="_Toc201916591"/>
      <w:r>
        <w:lastRenderedPageBreak/>
        <w:t xml:space="preserve">Figure </w:t>
      </w:r>
      <w:r>
        <w:fldChar w:fldCharType="begin"/>
      </w:r>
      <w:r>
        <w:instrText xml:space="preserve"> SEQ Figure \* ARABIC </w:instrText>
      </w:r>
      <w:r>
        <w:fldChar w:fldCharType="separate"/>
      </w:r>
      <w:r w:rsidR="00471863">
        <w:rPr>
          <w:noProof/>
        </w:rPr>
        <w:t>25</w:t>
      </w:r>
      <w:r>
        <w:fldChar w:fldCharType="end"/>
      </w:r>
      <w:r w:rsidR="00755B69">
        <w:t>:</w:t>
      </w:r>
      <w:r w:rsidR="00D95E9A">
        <w:t xml:space="preserve"> </w:t>
      </w:r>
      <w:r w:rsidR="00D95E9A" w:rsidRPr="00A83FF9">
        <w:t xml:space="preserve">Proportion working at lower skilled </w:t>
      </w:r>
      <w:r w:rsidR="00F0419F" w:rsidRPr="00A83FF9">
        <w:t>level than qualification</w:t>
      </w:r>
      <w:r w:rsidR="00D95E9A" w:rsidRPr="00A83FF9">
        <w:t xml:space="preserve"> (%), by Major City and Regional Australia</w:t>
      </w:r>
      <w:bookmarkEnd w:id="117"/>
      <w:r w:rsidR="00755B69">
        <w:t xml:space="preserve"> </w:t>
      </w:r>
    </w:p>
    <w:p w14:paraId="4CFBDC2C" w14:textId="3F97F05C" w:rsidR="00540A9E" w:rsidRDefault="00540A9E" w:rsidP="00D95E9A">
      <w:pPr>
        <w:spacing w:after="0"/>
        <w:rPr>
          <w:rFonts w:cs="Arial"/>
          <w:i/>
          <w:sz w:val="18"/>
          <w:szCs w:val="18"/>
        </w:rPr>
      </w:pPr>
      <w:r>
        <w:rPr>
          <w:rFonts w:cs="Arial"/>
          <w:i/>
          <w:noProof/>
          <w:sz w:val="18"/>
          <w:szCs w:val="18"/>
        </w:rPr>
        <w:drawing>
          <wp:inline distT="0" distB="0" distL="0" distR="0" wp14:anchorId="5BFD3003" wp14:editId="55A44E61">
            <wp:extent cx="5444490" cy="3176270"/>
            <wp:effectExtent l="0" t="0" r="3810" b="5080"/>
            <wp:docPr id="1353183131" name="Picture 38" descr="A column chart showing the proportion working at lower skilled level than qualification (%), by Major City and Regional Australia. The chart shows that skill underutilisation is higher in Regional Australia for persons with a Bachelor Degree or above (Skill Level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83131" name="Picture 38" descr="A column chart showing the proportion working at lower skilled level than qualification (%), by Major City and Regional Australia. The chart shows that skill underutilisation is higher in Regional Australia for persons with a Bachelor Degree or above (Skill Level 1). "/>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5444490" cy="3176270"/>
                    </a:xfrm>
                    <a:prstGeom prst="rect">
                      <a:avLst/>
                    </a:prstGeom>
                    <a:noFill/>
                  </pic:spPr>
                </pic:pic>
              </a:graphicData>
            </a:graphic>
          </wp:inline>
        </w:drawing>
      </w:r>
    </w:p>
    <w:p w14:paraId="667798DD" w14:textId="73F30460" w:rsidR="00D95E9A" w:rsidRPr="00D6344F" w:rsidRDefault="00D95E9A" w:rsidP="00D95E9A">
      <w:pPr>
        <w:spacing w:after="0"/>
        <w:rPr>
          <w:rFonts w:cs="Arial"/>
          <w:i/>
          <w:sz w:val="18"/>
          <w:szCs w:val="18"/>
        </w:rPr>
      </w:pPr>
      <w:r w:rsidRPr="00D6344F">
        <w:rPr>
          <w:rFonts w:cs="Arial"/>
          <w:i/>
          <w:sz w:val="18"/>
          <w:szCs w:val="18"/>
        </w:rPr>
        <w:t>Source: ABS, Survey of Education and Work</w:t>
      </w:r>
      <w:r w:rsidR="009420DA">
        <w:rPr>
          <w:rFonts w:cs="Arial"/>
          <w:i/>
          <w:sz w:val="18"/>
          <w:szCs w:val="18"/>
        </w:rPr>
        <w:t>, 2024</w:t>
      </w:r>
    </w:p>
    <w:p w14:paraId="29AE3D47" w14:textId="2FBCC065" w:rsidR="00D95E9A" w:rsidRPr="00027223" w:rsidRDefault="00D95E9A" w:rsidP="00027223">
      <w:pPr>
        <w:pStyle w:val="Heading5"/>
      </w:pPr>
      <w:r w:rsidRPr="00027223">
        <w:t>Proportion of population</w:t>
      </w:r>
      <w:r w:rsidR="003149D4" w:rsidRPr="00027223">
        <w:t xml:space="preserve"> (25-</w:t>
      </w:r>
      <w:r w:rsidR="00F16932" w:rsidRPr="00027223">
        <w:t>44</w:t>
      </w:r>
      <w:r w:rsidR="003149D4" w:rsidRPr="00027223">
        <w:t>)</w:t>
      </w:r>
      <w:r w:rsidRPr="00027223">
        <w:t xml:space="preserve"> working in same field as most </w:t>
      </w:r>
      <w:r w:rsidR="00911BBB" w:rsidRPr="00027223">
        <w:t>relevant</w:t>
      </w:r>
      <w:r w:rsidRPr="00027223">
        <w:t xml:space="preserve"> qualification</w:t>
      </w:r>
    </w:p>
    <w:p w14:paraId="4741CA69" w14:textId="17E4885D" w:rsidR="00402A7B" w:rsidRPr="007C7EA7" w:rsidRDefault="006470FB" w:rsidP="006470FB">
      <w:pPr>
        <w:pStyle w:val="Caption"/>
      </w:pPr>
      <w:r>
        <w:t xml:space="preserve">Table </w:t>
      </w:r>
      <w:r>
        <w:fldChar w:fldCharType="begin"/>
      </w:r>
      <w:r>
        <w:instrText xml:space="preserve"> SEQ Table \* ARABIC </w:instrText>
      </w:r>
      <w:r>
        <w:fldChar w:fldCharType="separate"/>
      </w:r>
      <w:r w:rsidR="00471863">
        <w:rPr>
          <w:noProof/>
        </w:rPr>
        <w:t>15</w:t>
      </w:r>
      <w:r>
        <w:fldChar w:fldCharType="end"/>
      </w:r>
      <w:r w:rsidR="00402A7B" w:rsidRPr="007C7EA7">
        <w:rPr>
          <w:rFonts w:cs="Arial"/>
        </w:rPr>
        <w:t>:</w:t>
      </w:r>
      <w:r w:rsidR="00591731" w:rsidRPr="007C7EA7">
        <w:rPr>
          <w:rFonts w:cs="Arial"/>
        </w:rPr>
        <w:t xml:space="preserve"> Proportion of population</w:t>
      </w:r>
      <w:r w:rsidR="00EC286A">
        <w:rPr>
          <w:rFonts w:cs="Arial"/>
        </w:rPr>
        <w:t xml:space="preserve"> (25</w:t>
      </w:r>
      <w:r w:rsidR="00F16932">
        <w:rPr>
          <w:rFonts w:cs="Arial"/>
        </w:rPr>
        <w:t>-44</w:t>
      </w:r>
      <w:r w:rsidR="00EC286A">
        <w:rPr>
          <w:rFonts w:cs="Arial"/>
        </w:rPr>
        <w:t>)</w:t>
      </w:r>
      <w:r w:rsidR="00591731" w:rsidRPr="007C7EA7">
        <w:rPr>
          <w:rFonts w:cs="Arial"/>
        </w:rPr>
        <w:t xml:space="preserve"> working in same field as most recent qualification</w:t>
      </w:r>
    </w:p>
    <w:tbl>
      <w:tblPr>
        <w:tblStyle w:val="GridTable5Dark-Accent12"/>
        <w:tblW w:w="8634" w:type="dxa"/>
        <w:tblLook w:val="04A0" w:firstRow="1" w:lastRow="0" w:firstColumn="1" w:lastColumn="0" w:noHBand="0" w:noVBand="1"/>
      </w:tblPr>
      <w:tblGrid>
        <w:gridCol w:w="2127"/>
        <w:gridCol w:w="1132"/>
        <w:gridCol w:w="1133"/>
        <w:gridCol w:w="1698"/>
        <w:gridCol w:w="980"/>
        <w:gridCol w:w="1564"/>
      </w:tblGrid>
      <w:tr w:rsidR="00B332DF" w:rsidRPr="00207C36" w14:paraId="33CCD3B4" w14:textId="77777777" w:rsidTr="00EC7BC3">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000000"/>
              <w:left w:val="single" w:sz="4" w:space="0" w:color="000000"/>
              <w:right w:val="single" w:sz="4" w:space="0" w:color="FFFFFF" w:themeColor="background1"/>
            </w:tcBorders>
            <w:shd w:val="clear" w:color="auto" w:fill="370663"/>
          </w:tcPr>
          <w:p w14:paraId="1C7199F9" w14:textId="2E24F5E0" w:rsidR="00D95E9A" w:rsidRPr="00F247FB" w:rsidRDefault="00D95E9A">
            <w:pPr>
              <w:rPr>
                <w:rFonts w:eastAsia="Aptos" w:cs="Arial"/>
                <w:sz w:val="20"/>
                <w:szCs w:val="20"/>
              </w:rPr>
            </w:pPr>
          </w:p>
        </w:tc>
        <w:tc>
          <w:tcPr>
            <w:tcW w:w="1132" w:type="dxa"/>
            <w:tcBorders>
              <w:top w:val="single" w:sz="4" w:space="0" w:color="000000"/>
              <w:left w:val="single" w:sz="4" w:space="0" w:color="FFFFFF" w:themeColor="background1"/>
              <w:right w:val="single" w:sz="4" w:space="0" w:color="FFFFFF" w:themeColor="background1"/>
            </w:tcBorders>
            <w:shd w:val="clear" w:color="auto" w:fill="370663"/>
            <w:vAlign w:val="center"/>
          </w:tcPr>
          <w:p w14:paraId="4D2C9C61" w14:textId="77777777" w:rsidR="00D95E9A" w:rsidRPr="00F247FB" w:rsidRDefault="00D95E9A">
            <w:pPr>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F247FB">
              <w:rPr>
                <w:rFonts w:cs="Arial"/>
                <w:sz w:val="20"/>
                <w:szCs w:val="20"/>
              </w:rPr>
              <w:t>Current Rating</w:t>
            </w:r>
          </w:p>
        </w:tc>
        <w:tc>
          <w:tcPr>
            <w:tcW w:w="1133" w:type="dxa"/>
            <w:tcBorders>
              <w:top w:val="single" w:sz="4" w:space="0" w:color="000000"/>
              <w:left w:val="single" w:sz="4" w:space="0" w:color="FFFFFF" w:themeColor="background1"/>
              <w:right w:val="single" w:sz="4" w:space="0" w:color="FFFFFF" w:themeColor="background1"/>
            </w:tcBorders>
            <w:shd w:val="clear" w:color="auto" w:fill="370663"/>
            <w:vAlign w:val="center"/>
          </w:tcPr>
          <w:p w14:paraId="4378148C" w14:textId="77777777" w:rsidR="00D95E9A" w:rsidRPr="00F247FB" w:rsidRDefault="00D95E9A">
            <w:pPr>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F247FB">
              <w:rPr>
                <w:rFonts w:cs="Arial"/>
                <w:sz w:val="20"/>
                <w:szCs w:val="20"/>
              </w:rPr>
              <w:t>Current rate in Regional Australia</w:t>
            </w:r>
          </w:p>
        </w:tc>
        <w:tc>
          <w:tcPr>
            <w:tcW w:w="1698" w:type="dxa"/>
            <w:tcBorders>
              <w:top w:val="single" w:sz="4" w:space="0" w:color="000000"/>
              <w:left w:val="single" w:sz="4" w:space="0" w:color="FFFFFF" w:themeColor="background1"/>
              <w:right w:val="single" w:sz="4" w:space="0" w:color="FFFFFF" w:themeColor="background1"/>
            </w:tcBorders>
            <w:shd w:val="clear" w:color="auto" w:fill="370663"/>
            <w:vAlign w:val="center"/>
          </w:tcPr>
          <w:p w14:paraId="70B91A7E" w14:textId="77777777" w:rsidR="00D95E9A" w:rsidRPr="00F247FB" w:rsidRDefault="00D95E9A">
            <w:pPr>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F247FB">
              <w:rPr>
                <w:rFonts w:cs="Arial"/>
                <w:sz w:val="20"/>
                <w:szCs w:val="20"/>
              </w:rPr>
              <w:t>Current Trend</w:t>
            </w:r>
          </w:p>
        </w:tc>
        <w:tc>
          <w:tcPr>
            <w:tcW w:w="980" w:type="dxa"/>
            <w:tcBorders>
              <w:top w:val="single" w:sz="4" w:space="0" w:color="000000"/>
              <w:left w:val="single" w:sz="4" w:space="0" w:color="FFFFFF" w:themeColor="background1"/>
              <w:right w:val="single" w:sz="4" w:space="0" w:color="FFFFFF" w:themeColor="background1"/>
            </w:tcBorders>
            <w:shd w:val="clear" w:color="auto" w:fill="370663"/>
            <w:vAlign w:val="center"/>
          </w:tcPr>
          <w:p w14:paraId="083A5999" w14:textId="77777777" w:rsidR="00D95E9A" w:rsidRPr="00F247FB" w:rsidRDefault="00D95E9A">
            <w:pPr>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F247FB">
              <w:rPr>
                <w:rFonts w:cs="Arial"/>
                <w:sz w:val="20"/>
                <w:szCs w:val="20"/>
              </w:rPr>
              <w:t>Best on record</w:t>
            </w:r>
          </w:p>
        </w:tc>
        <w:tc>
          <w:tcPr>
            <w:tcW w:w="1564" w:type="dxa"/>
            <w:tcBorders>
              <w:top w:val="single" w:sz="4" w:space="0" w:color="000000"/>
              <w:left w:val="single" w:sz="4" w:space="0" w:color="FFFFFF" w:themeColor="background1"/>
              <w:right w:val="single" w:sz="4" w:space="0" w:color="000000"/>
            </w:tcBorders>
            <w:shd w:val="clear" w:color="auto" w:fill="370663"/>
            <w:vAlign w:val="center"/>
          </w:tcPr>
          <w:p w14:paraId="418C05F1" w14:textId="6FC1D8AF" w:rsidR="00D95E9A" w:rsidRPr="00F247FB" w:rsidRDefault="003A7518">
            <w:pPr>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CB0C7A">
              <w:rPr>
                <w:rFonts w:cs="Arial"/>
                <w:sz w:val="20"/>
              </w:rPr>
              <w:t xml:space="preserve">Gap to </w:t>
            </w:r>
            <w:r>
              <w:rPr>
                <w:rFonts w:cs="Arial"/>
                <w:sz w:val="20"/>
              </w:rPr>
              <w:t>the Major Cities</w:t>
            </w:r>
          </w:p>
        </w:tc>
      </w:tr>
      <w:tr w:rsidR="006639AA" w:rsidRPr="00207C36" w14:paraId="47D27900" w14:textId="77777777" w:rsidTr="003002BC">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2127" w:type="dxa"/>
            <w:tcBorders>
              <w:left w:val="single" w:sz="4" w:space="0" w:color="000000"/>
              <w:bottom w:val="single" w:sz="4" w:space="0" w:color="000000"/>
            </w:tcBorders>
            <w:shd w:val="clear" w:color="auto" w:fill="E0D1F5" w:themeFill="accent1" w:themeFillTint="33"/>
            <w:vAlign w:val="center"/>
          </w:tcPr>
          <w:p w14:paraId="53E28279" w14:textId="5E739BDC" w:rsidR="00D95E9A" w:rsidRPr="00EB5DA1" w:rsidRDefault="00D95E9A">
            <w:pPr>
              <w:rPr>
                <w:rFonts w:eastAsia="Aptos" w:cs="Arial"/>
                <w:b w:val="0"/>
              </w:rPr>
            </w:pPr>
            <w:r w:rsidRPr="00EB5DA1">
              <w:rPr>
                <w:rFonts w:eastAsia="Aptos" w:cs="Arial"/>
                <w:b w:val="0"/>
                <w:bCs w:val="0"/>
                <w:color w:val="auto"/>
              </w:rPr>
              <w:t>Prop</w:t>
            </w:r>
            <w:r w:rsidR="00B64E3B">
              <w:rPr>
                <w:rFonts w:eastAsia="Aptos" w:cs="Arial"/>
                <w:b w:val="0"/>
                <w:bCs w:val="0"/>
                <w:color w:val="auto"/>
              </w:rPr>
              <w:t>.</w:t>
            </w:r>
            <w:r w:rsidRPr="00EB5DA1">
              <w:rPr>
                <w:rFonts w:eastAsia="Aptos" w:cs="Arial"/>
                <w:b w:val="0"/>
                <w:color w:val="auto"/>
              </w:rPr>
              <w:t xml:space="preserve"> working in same field as most relevant qualification (%)</w:t>
            </w:r>
          </w:p>
        </w:tc>
        <w:tc>
          <w:tcPr>
            <w:tcW w:w="1132" w:type="dxa"/>
            <w:tcBorders>
              <w:bottom w:val="single" w:sz="4" w:space="0" w:color="000000"/>
            </w:tcBorders>
            <w:shd w:val="clear" w:color="auto" w:fill="FFAD4C"/>
            <w:vAlign w:val="center"/>
          </w:tcPr>
          <w:p w14:paraId="33B42CE1" w14:textId="5A8C6F18" w:rsidR="00D95E9A" w:rsidRPr="003002BC" w:rsidRDefault="00E853E5">
            <w:pPr>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3002BC">
              <w:rPr>
                <w:rFonts w:eastAsia="Aptos" w:cs="Arial"/>
                <w:bCs/>
              </w:rPr>
              <w:t>Orange</w:t>
            </w:r>
          </w:p>
        </w:tc>
        <w:tc>
          <w:tcPr>
            <w:tcW w:w="1133" w:type="dxa"/>
            <w:tcBorders>
              <w:bottom w:val="single" w:sz="4" w:space="0" w:color="000000"/>
            </w:tcBorders>
            <w:shd w:val="clear" w:color="auto" w:fill="FFAD4C"/>
            <w:vAlign w:val="center"/>
          </w:tcPr>
          <w:p w14:paraId="222A942C" w14:textId="554E5E2F" w:rsidR="00D95E9A" w:rsidRPr="003002BC" w:rsidRDefault="00F22235">
            <w:pPr>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3002BC">
              <w:rPr>
                <w:rFonts w:eastAsia="Aptos" w:cs="Arial"/>
              </w:rPr>
              <w:t>7</w:t>
            </w:r>
            <w:r w:rsidR="00A2307F" w:rsidRPr="003002BC">
              <w:rPr>
                <w:rFonts w:eastAsia="Aptos" w:cs="Arial"/>
              </w:rPr>
              <w:t>2.7</w:t>
            </w:r>
            <w:r w:rsidR="00D95E9A" w:rsidRPr="003002BC">
              <w:rPr>
                <w:rFonts w:eastAsia="Aptos" w:cs="Arial"/>
              </w:rPr>
              <w:t>%</w:t>
            </w:r>
          </w:p>
        </w:tc>
        <w:tc>
          <w:tcPr>
            <w:tcW w:w="1698" w:type="dxa"/>
            <w:tcBorders>
              <w:bottom w:val="single" w:sz="4" w:space="0" w:color="000000"/>
              <w:right w:val="single" w:sz="4" w:space="0" w:color="A6A6A6"/>
            </w:tcBorders>
            <w:shd w:val="clear" w:color="auto" w:fill="F2F2F2" w:themeFill="background1" w:themeFillShade="F2"/>
            <w:vAlign w:val="center"/>
          </w:tcPr>
          <w:p w14:paraId="56832D0E" w14:textId="71E1DF7E" w:rsidR="00D95E9A" w:rsidRPr="003002BC" w:rsidRDefault="005E1E33">
            <w:pPr>
              <w:jc w:val="center"/>
              <w:cnfStyle w:val="000000100000" w:firstRow="0" w:lastRow="0" w:firstColumn="0" w:lastColumn="0" w:oddVBand="0" w:evenVBand="0" w:oddHBand="1" w:evenHBand="0" w:firstRowFirstColumn="0" w:firstRowLastColumn="0" w:lastRowFirstColumn="0" w:lastRowLastColumn="0"/>
              <w:rPr>
                <w:rFonts w:eastAsia="Aptos" w:cs="Arial"/>
                <w:b/>
              </w:rPr>
            </w:pPr>
            <w:r w:rsidRPr="003002BC">
              <w:rPr>
                <w:rFonts w:eastAsia="Aptos" w:cs="Arial"/>
                <w:b/>
              </w:rPr>
              <w:t>Worsening</w:t>
            </w:r>
          </w:p>
        </w:tc>
        <w:tc>
          <w:tcPr>
            <w:tcW w:w="980" w:type="dxa"/>
            <w:tcBorders>
              <w:left w:val="single" w:sz="4" w:space="0" w:color="A6A6A6"/>
              <w:bottom w:val="single" w:sz="4" w:space="0" w:color="000000"/>
              <w:right w:val="single" w:sz="4" w:space="0" w:color="A6A6A6"/>
            </w:tcBorders>
            <w:shd w:val="clear" w:color="auto" w:fill="F2F2F2" w:themeFill="background1" w:themeFillShade="F2"/>
            <w:vAlign w:val="center"/>
          </w:tcPr>
          <w:p w14:paraId="01646076" w14:textId="003E1126" w:rsidR="00D95E9A" w:rsidRPr="003002BC" w:rsidRDefault="003A3CFC">
            <w:pPr>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3002BC">
              <w:rPr>
                <w:rFonts w:eastAsia="Aptos" w:cs="Arial"/>
              </w:rPr>
              <w:t>7</w:t>
            </w:r>
            <w:r w:rsidR="005F258C" w:rsidRPr="003002BC">
              <w:rPr>
                <w:rFonts w:eastAsia="Aptos" w:cs="Arial"/>
              </w:rPr>
              <w:t>9</w:t>
            </w:r>
            <w:r w:rsidR="005E1E33" w:rsidRPr="003002BC">
              <w:rPr>
                <w:rFonts w:eastAsia="Aptos" w:cs="Arial"/>
                <w:bCs/>
              </w:rPr>
              <w:t>.3</w:t>
            </w:r>
            <w:r w:rsidR="00D95E9A" w:rsidRPr="003002BC">
              <w:rPr>
                <w:rFonts w:eastAsia="Aptos" w:cs="Arial"/>
              </w:rPr>
              <w:t>%</w:t>
            </w:r>
            <w:r w:rsidRPr="003002BC">
              <w:rPr>
                <w:rFonts w:eastAsia="Aptos" w:cs="Arial"/>
              </w:rPr>
              <w:t xml:space="preserve"> (2019)</w:t>
            </w:r>
          </w:p>
        </w:tc>
        <w:tc>
          <w:tcPr>
            <w:tcW w:w="1564" w:type="dxa"/>
            <w:tcBorders>
              <w:left w:val="single" w:sz="4" w:space="0" w:color="A6A6A6"/>
              <w:bottom w:val="single" w:sz="4" w:space="0" w:color="000000"/>
              <w:right w:val="single" w:sz="4" w:space="0" w:color="000000"/>
            </w:tcBorders>
            <w:shd w:val="clear" w:color="auto" w:fill="52BD7F"/>
            <w:vAlign w:val="center"/>
          </w:tcPr>
          <w:p w14:paraId="02D53157" w14:textId="2A649C0C" w:rsidR="00D95E9A" w:rsidRPr="003002BC" w:rsidRDefault="00027DAF">
            <w:pPr>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3002BC">
              <w:rPr>
                <w:rFonts w:eastAsia="Aptos" w:cs="Arial"/>
                <w:bCs/>
              </w:rPr>
              <w:t>+</w:t>
            </w:r>
            <w:r w:rsidR="0021536B" w:rsidRPr="003002BC">
              <w:rPr>
                <w:rFonts w:eastAsia="Aptos" w:cs="Arial"/>
                <w:bCs/>
              </w:rPr>
              <w:t>1.7</w:t>
            </w:r>
            <w:r w:rsidR="00D95E9A" w:rsidRPr="003002BC">
              <w:rPr>
                <w:rFonts w:eastAsia="Aptos" w:cs="Arial"/>
                <w:bCs/>
              </w:rPr>
              <w:t>% pt</w:t>
            </w:r>
            <w:r w:rsidR="009A47BC" w:rsidRPr="003002BC">
              <w:rPr>
                <w:rFonts w:eastAsia="Aptos" w:cs="Arial"/>
                <w:bCs/>
              </w:rPr>
              <w:t>s</w:t>
            </w:r>
          </w:p>
        </w:tc>
      </w:tr>
    </w:tbl>
    <w:p w14:paraId="7078C249" w14:textId="6E9D15A6" w:rsidR="00D95E9A" w:rsidRPr="001675C8" w:rsidRDefault="00D95E9A" w:rsidP="00D95E9A">
      <w:pPr>
        <w:rPr>
          <w:rFonts w:cs="Arial"/>
          <w:i/>
          <w:sz w:val="18"/>
          <w:szCs w:val="18"/>
        </w:rPr>
      </w:pPr>
      <w:r w:rsidRPr="001675C8">
        <w:rPr>
          <w:rFonts w:cs="Arial"/>
          <w:i/>
          <w:sz w:val="18"/>
          <w:szCs w:val="18"/>
        </w:rPr>
        <w:t xml:space="preserve">Source: ABS, </w:t>
      </w:r>
      <w:r w:rsidR="00A053E5">
        <w:rPr>
          <w:rFonts w:cs="Arial"/>
          <w:i/>
          <w:sz w:val="18"/>
          <w:szCs w:val="18"/>
        </w:rPr>
        <w:t>Qualifications</w:t>
      </w:r>
      <w:r w:rsidRPr="001675C8">
        <w:rPr>
          <w:rFonts w:cs="Arial"/>
          <w:i/>
          <w:sz w:val="18"/>
          <w:szCs w:val="18"/>
        </w:rPr>
        <w:t xml:space="preserve"> and Work</w:t>
      </w:r>
      <w:r w:rsidR="009A1408">
        <w:rPr>
          <w:rFonts w:cs="Arial"/>
          <w:i/>
          <w:sz w:val="18"/>
          <w:szCs w:val="18"/>
        </w:rPr>
        <w:t>, 2023</w:t>
      </w:r>
    </w:p>
    <w:p w14:paraId="4C137163" w14:textId="6B1AED7D" w:rsidR="00191F1E" w:rsidRDefault="00125277" w:rsidP="00027223">
      <w:pPr>
        <w:pStyle w:val="BodyText"/>
      </w:pPr>
      <w:r>
        <w:t>Beyond level of skill, another</w:t>
      </w:r>
      <w:r w:rsidR="00913196" w:rsidRPr="001675C8">
        <w:t xml:space="preserve"> key question </w:t>
      </w:r>
      <w:r w:rsidR="00185B1C">
        <w:t>in assessing</w:t>
      </w:r>
      <w:r w:rsidR="00913196" w:rsidRPr="001675C8">
        <w:t xml:space="preserve"> the </w:t>
      </w:r>
      <w:r w:rsidR="00185B1C">
        <w:t>effectiveness</w:t>
      </w:r>
      <w:r w:rsidR="00913196" w:rsidRPr="001675C8">
        <w:t xml:space="preserve"> of the </w:t>
      </w:r>
      <w:r w:rsidR="00185B1C">
        <w:t xml:space="preserve">jobs and </w:t>
      </w:r>
      <w:r w:rsidR="00913196" w:rsidRPr="001675C8">
        <w:t>skills system</w:t>
      </w:r>
      <w:r w:rsidR="005C4E96" w:rsidRPr="001675C8">
        <w:t xml:space="preserve"> is the </w:t>
      </w:r>
      <w:r w:rsidR="00185B1C">
        <w:t xml:space="preserve">utilisation of specific </w:t>
      </w:r>
      <w:r w:rsidR="001E4EC7">
        <w:t xml:space="preserve">field of their </w:t>
      </w:r>
      <w:r w:rsidR="00185B1C">
        <w:t xml:space="preserve">skills </w:t>
      </w:r>
      <w:r w:rsidR="005C4E96" w:rsidRPr="001675C8">
        <w:t>in the labour market</w:t>
      </w:r>
      <w:r w:rsidR="00185B1C">
        <w:t xml:space="preserve"> </w:t>
      </w:r>
      <w:r w:rsidR="00146953">
        <w:t xml:space="preserve">and whether </w:t>
      </w:r>
      <w:r w:rsidR="005C4E96" w:rsidRPr="001675C8">
        <w:t xml:space="preserve">workers are being utilised in the labour market. </w:t>
      </w:r>
      <w:r w:rsidR="007A022B">
        <w:t xml:space="preserve">It is useful to consider the </w:t>
      </w:r>
      <w:r w:rsidR="007935DF">
        <w:t xml:space="preserve">alignment of </w:t>
      </w:r>
      <w:r w:rsidR="00442C1E" w:rsidRPr="001675C8">
        <w:t xml:space="preserve">skills </w:t>
      </w:r>
      <w:r w:rsidR="007935DF">
        <w:t>using</w:t>
      </w:r>
      <w:r w:rsidR="00753D9E" w:rsidRPr="001675C8">
        <w:t xml:space="preserve"> an </w:t>
      </w:r>
      <w:r w:rsidR="00442C1E" w:rsidRPr="001675C8">
        <w:t xml:space="preserve">indicator of the </w:t>
      </w:r>
      <w:r w:rsidR="00753D9E" w:rsidRPr="001675C8">
        <w:t xml:space="preserve">proportion of </w:t>
      </w:r>
      <w:r w:rsidR="007935DF">
        <w:t>people</w:t>
      </w:r>
      <w:r w:rsidR="00753D9E" w:rsidRPr="001675C8">
        <w:t xml:space="preserve"> aged 25-</w:t>
      </w:r>
      <w:r w:rsidR="003D6621">
        <w:t>4</w:t>
      </w:r>
      <w:r w:rsidR="00753D9E" w:rsidRPr="001675C8">
        <w:t>4 who are working in the same field as their most recent qualification</w:t>
      </w:r>
      <w:r w:rsidR="006F31BD" w:rsidRPr="001675C8">
        <w:t xml:space="preserve"> is utilised. </w:t>
      </w:r>
      <w:r w:rsidR="001E4EC7">
        <w:t>This is a sign that the jobs and skills system is helping to develop skills that support people to meaningfully contribute to economy, culture and community.</w:t>
      </w:r>
    </w:p>
    <w:p w14:paraId="244F531C" w14:textId="1FAEC00B" w:rsidR="00913196" w:rsidRPr="001675C8" w:rsidRDefault="006F31BD" w:rsidP="00027223">
      <w:pPr>
        <w:pStyle w:val="BodyText"/>
      </w:pPr>
      <w:r w:rsidRPr="001675C8">
        <w:t xml:space="preserve">The focus </w:t>
      </w:r>
      <w:r w:rsidR="00191F1E">
        <w:t xml:space="preserve">of this indicator </w:t>
      </w:r>
      <w:r w:rsidRPr="001675C8">
        <w:t xml:space="preserve">on a younger cohort seeks to capture </w:t>
      </w:r>
      <w:r w:rsidR="00191F1E">
        <w:t>people</w:t>
      </w:r>
      <w:r w:rsidRPr="001675C8">
        <w:t xml:space="preserve"> who are more likely to be recent education completers. As illustrated in the chart below, historically Regional Australia has </w:t>
      </w:r>
      <w:r w:rsidR="00811BD3" w:rsidRPr="001675C8">
        <w:t xml:space="preserve">seen a higher proportion of people working in </w:t>
      </w:r>
      <w:r w:rsidR="002C76FD">
        <w:t xml:space="preserve">a relevant </w:t>
      </w:r>
      <w:r w:rsidR="00811BD3" w:rsidRPr="001675C8">
        <w:t>field</w:t>
      </w:r>
      <w:r w:rsidR="0000307B" w:rsidRPr="001675C8">
        <w:t xml:space="preserve"> </w:t>
      </w:r>
      <w:r w:rsidR="002C76FD">
        <w:t>of their qualification (currently 7</w:t>
      </w:r>
      <w:r w:rsidR="008E4E23">
        <w:t>2.7</w:t>
      </w:r>
      <w:r w:rsidR="002C76FD">
        <w:t xml:space="preserve">%) </w:t>
      </w:r>
      <w:r w:rsidR="0000307B" w:rsidRPr="001675C8">
        <w:t xml:space="preserve">than </w:t>
      </w:r>
      <w:r w:rsidR="008E438C">
        <w:t>M</w:t>
      </w:r>
      <w:r w:rsidR="0000307B" w:rsidRPr="001675C8">
        <w:t xml:space="preserve">ajor </w:t>
      </w:r>
      <w:r w:rsidR="008E438C">
        <w:t>C</w:t>
      </w:r>
      <w:r w:rsidR="0000307B" w:rsidRPr="001675C8">
        <w:t>ities</w:t>
      </w:r>
      <w:r w:rsidR="002C76FD">
        <w:t>,</w:t>
      </w:r>
      <w:r w:rsidR="00191F1E">
        <w:t xml:space="preserve"> though th</w:t>
      </w:r>
      <w:r w:rsidR="002C76FD">
        <w:t>is gap has narrowed</w:t>
      </w:r>
      <w:r w:rsidR="00191F1E">
        <w:t xml:space="preserve"> in </w:t>
      </w:r>
      <w:r w:rsidR="002C76FD">
        <w:t>recent years</w:t>
      </w:r>
      <w:r w:rsidR="0000307B" w:rsidRPr="001675C8">
        <w:t xml:space="preserve">. </w:t>
      </w:r>
    </w:p>
    <w:p w14:paraId="40740450" w14:textId="41F8EAB1" w:rsidR="00D6344F" w:rsidRDefault="00596657" w:rsidP="00596657">
      <w:pPr>
        <w:pStyle w:val="Caption"/>
      </w:pPr>
      <w:bookmarkStart w:id="118" w:name="_Toc201916592"/>
      <w:r>
        <w:lastRenderedPageBreak/>
        <w:t xml:space="preserve">Figure </w:t>
      </w:r>
      <w:r>
        <w:fldChar w:fldCharType="begin"/>
      </w:r>
      <w:r>
        <w:instrText xml:space="preserve"> SEQ Figure \* ARABIC </w:instrText>
      </w:r>
      <w:r>
        <w:fldChar w:fldCharType="separate"/>
      </w:r>
      <w:r w:rsidR="00471863">
        <w:rPr>
          <w:noProof/>
        </w:rPr>
        <w:t>26</w:t>
      </w:r>
      <w:r>
        <w:fldChar w:fldCharType="end"/>
      </w:r>
      <w:r w:rsidR="00D6344F">
        <w:t>:</w:t>
      </w:r>
      <w:r w:rsidR="00D95E9A">
        <w:t xml:space="preserve"> </w:t>
      </w:r>
      <w:r w:rsidR="00D95E9A" w:rsidRPr="005E4522">
        <w:t>Proportion of population (25-</w:t>
      </w:r>
      <w:r w:rsidR="00F16932">
        <w:t>44</w:t>
      </w:r>
      <w:r w:rsidR="00D95E9A" w:rsidRPr="005E4522">
        <w:t xml:space="preserve"> years) working in the same field as most relevant qualifications (%), by Major City and Regional</w:t>
      </w:r>
      <w:r w:rsidR="00D95E9A">
        <w:t xml:space="preserve"> Australia</w:t>
      </w:r>
      <w:bookmarkEnd w:id="118"/>
    </w:p>
    <w:p w14:paraId="4FFF908D" w14:textId="4532D060" w:rsidR="00D95E9A" w:rsidRPr="001675C8" w:rsidRDefault="00D6344F" w:rsidP="00EC4900">
      <w:pPr>
        <w:pStyle w:val="Caption"/>
        <w:rPr>
          <w:rFonts w:cs="Arial"/>
          <w:b w:val="0"/>
        </w:rPr>
      </w:pPr>
      <w:r w:rsidRPr="005E4522">
        <w:t xml:space="preserve"> </w:t>
      </w:r>
      <w:r w:rsidR="00540A9E">
        <w:rPr>
          <w:noProof/>
        </w:rPr>
        <w:drawing>
          <wp:inline distT="0" distB="0" distL="0" distR="0" wp14:anchorId="39B6D38B" wp14:editId="54958890">
            <wp:extent cx="5444490" cy="3169920"/>
            <wp:effectExtent l="0" t="0" r="3810" b="0"/>
            <wp:docPr id="807359944" name="Picture 39" descr="A line chart that shows the proportion of population (25-44 years) working in the same field as most relevant qualifications (%), by Major City and Regional Australia. The chart shows that, historically, Regional Australia has seen a higher proportion of people working in a relevant field of their qualification than Major Cities, though this gap has narrowed in recent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59944" name="Picture 39" descr="A line chart that shows the proportion of population (25-44 years) working in the same field as most relevant qualifications (%), by Major City and Regional Australia. The chart shows that, historically, Regional Australia has seen a higher proportion of people working in a relevant field of their qualification than Major Cities, though this gap has narrowed in recent years.  "/>
                    <pic:cNvPicPr>
                      <a:picLocks noChangeAspect="1" noChangeArrowheads="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a:off x="0" y="0"/>
                      <a:ext cx="5444490" cy="3169920"/>
                    </a:xfrm>
                    <a:prstGeom prst="rect">
                      <a:avLst/>
                    </a:prstGeom>
                    <a:noFill/>
                  </pic:spPr>
                </pic:pic>
              </a:graphicData>
            </a:graphic>
          </wp:inline>
        </w:drawing>
      </w:r>
    </w:p>
    <w:p w14:paraId="701FC548" w14:textId="4D1473CB" w:rsidR="00D95E9A" w:rsidRDefault="00D95E9A" w:rsidP="00EC4900">
      <w:pPr>
        <w:keepNext/>
        <w:spacing w:after="0"/>
        <w:rPr>
          <w:rFonts w:asciiTheme="minorHAnsi" w:hAnsiTheme="minorHAnsi" w:cstheme="minorHAnsi"/>
          <w:i/>
          <w:sz w:val="18"/>
          <w:szCs w:val="18"/>
        </w:rPr>
      </w:pPr>
      <w:r w:rsidRPr="00152174">
        <w:rPr>
          <w:rFonts w:asciiTheme="minorHAnsi" w:hAnsiTheme="minorHAnsi" w:cstheme="minorHAnsi"/>
          <w:i/>
          <w:sz w:val="18"/>
          <w:szCs w:val="18"/>
        </w:rPr>
        <w:t xml:space="preserve">Source: ABS, </w:t>
      </w:r>
      <w:r w:rsidR="00EC4900">
        <w:rPr>
          <w:rFonts w:asciiTheme="minorHAnsi" w:hAnsiTheme="minorHAnsi" w:cstheme="minorHAnsi"/>
          <w:i/>
          <w:sz w:val="18"/>
          <w:szCs w:val="18"/>
        </w:rPr>
        <w:t>Qualifications</w:t>
      </w:r>
      <w:r w:rsidRPr="00152174">
        <w:rPr>
          <w:rFonts w:asciiTheme="minorHAnsi" w:hAnsiTheme="minorHAnsi" w:cstheme="minorHAnsi"/>
          <w:i/>
          <w:sz w:val="18"/>
          <w:szCs w:val="18"/>
        </w:rPr>
        <w:t xml:space="preserve"> and Work</w:t>
      </w:r>
      <w:r w:rsidR="009420DA">
        <w:rPr>
          <w:rFonts w:asciiTheme="minorHAnsi" w:hAnsiTheme="minorHAnsi" w:cstheme="minorHAnsi"/>
          <w:i/>
          <w:sz w:val="18"/>
          <w:szCs w:val="18"/>
        </w:rPr>
        <w:t>, 2023</w:t>
      </w:r>
    </w:p>
    <w:p w14:paraId="030FDF9C" w14:textId="77777777" w:rsidR="007110C6" w:rsidRDefault="007110C6">
      <w:pPr>
        <w:spacing w:after="160" w:line="259" w:lineRule="auto"/>
        <w:rPr>
          <w:rFonts w:asciiTheme="minorHAnsi" w:hAnsiTheme="minorHAnsi" w:cstheme="minorHAnsi"/>
          <w:i/>
          <w:sz w:val="18"/>
          <w:szCs w:val="18"/>
        </w:rPr>
      </w:pPr>
    </w:p>
    <w:p w14:paraId="1B2F6C18" w14:textId="77777777" w:rsidR="00E213C5" w:rsidRDefault="00E213C5">
      <w:pPr>
        <w:spacing w:after="160" w:line="259" w:lineRule="auto"/>
        <w:rPr>
          <w:rFonts w:asciiTheme="minorHAnsi" w:hAnsiTheme="minorHAnsi" w:cstheme="minorHAnsi"/>
          <w:i/>
          <w:sz w:val="18"/>
          <w:szCs w:val="18"/>
        </w:rPr>
      </w:pPr>
      <w:r>
        <w:rPr>
          <w:rFonts w:asciiTheme="minorHAnsi" w:hAnsiTheme="minorHAnsi" w:cstheme="minorHAnsi"/>
          <w:i/>
          <w:sz w:val="18"/>
          <w:szCs w:val="18"/>
        </w:rPr>
        <w:br w:type="page"/>
      </w:r>
    </w:p>
    <w:tbl>
      <w:tblPr>
        <w:tblStyle w:val="CustomTablepulloutbox"/>
        <w:tblW w:w="0" w:type="auto"/>
        <w:tblLook w:val="04A0" w:firstRow="1" w:lastRow="0" w:firstColumn="1" w:lastColumn="0" w:noHBand="0" w:noVBand="1"/>
      </w:tblPr>
      <w:tblGrid>
        <w:gridCol w:w="8997"/>
      </w:tblGrid>
      <w:tr w:rsidR="00FE13FA" w14:paraId="40038110" w14:textId="77777777" w:rsidTr="00FE13FA">
        <w:tc>
          <w:tcPr>
            <w:tcW w:w="9017" w:type="dxa"/>
          </w:tcPr>
          <w:p w14:paraId="0963A45C" w14:textId="6E182712" w:rsidR="00E01B75" w:rsidRDefault="00E01B75" w:rsidP="00E01B75">
            <w:pPr>
              <w:pStyle w:val="Heading3"/>
            </w:pPr>
            <w:r>
              <w:lastRenderedPageBreak/>
              <w:t>Box: Where do students from Regional Australia end up?</w:t>
            </w:r>
          </w:p>
          <w:p w14:paraId="3F0C1656" w14:textId="10438575" w:rsidR="00454BB6" w:rsidRPr="00E01B75" w:rsidRDefault="00454BB6" w:rsidP="00E01B75">
            <w:pPr>
              <w:pStyle w:val="BodyText"/>
              <w:rPr>
                <w:sz w:val="22"/>
                <w:lang w:val="en-AU"/>
              </w:rPr>
            </w:pPr>
            <w:r w:rsidRPr="00E01B75">
              <w:rPr>
                <w:sz w:val="22"/>
                <w:lang w:val="en-AU"/>
              </w:rPr>
              <w:t xml:space="preserve">Developing labour supply within a region plays an important role in meeting local demand for goods and services. Young regional people are an important direct resource for employers (particularly small businesses) to fill vacancies and to build their future workforces around. Ensuring that young people are receiving the right skills and training to equip them with the needs of Regional Australia is critical. </w:t>
            </w:r>
          </w:p>
          <w:p w14:paraId="34E3C4D5" w14:textId="77777777" w:rsidR="00FA0B14" w:rsidRDefault="00454BB6" w:rsidP="00E01B75">
            <w:pPr>
              <w:pStyle w:val="BodyText"/>
              <w:rPr>
                <w:sz w:val="22"/>
                <w:lang w:val="en-AU"/>
              </w:rPr>
            </w:pPr>
            <w:r w:rsidRPr="00E01B75">
              <w:rPr>
                <w:sz w:val="22"/>
                <w:lang w:val="en-AU"/>
              </w:rPr>
              <w:t xml:space="preserve">Overwhelmingly, the results suggest that students who attend a regional school who go on to attend university are more likely to stay in the region that they attend university in – whether it be a city or a regional area. This is an expected outcome. </w:t>
            </w:r>
          </w:p>
          <w:p w14:paraId="4DC1B66F" w14:textId="7E1A8808" w:rsidR="00454BB6" w:rsidRPr="00E01B75" w:rsidRDefault="0054687E" w:rsidP="00E01B75">
            <w:pPr>
              <w:pStyle w:val="BodyText"/>
              <w:rPr>
                <w:sz w:val="22"/>
                <w:lang w:val="en-AU"/>
              </w:rPr>
            </w:pPr>
            <w:r>
              <w:rPr>
                <w:sz w:val="22"/>
                <w:lang w:val="en-AU"/>
              </w:rPr>
              <w:t>In comparison</w:t>
            </w:r>
            <w:r w:rsidR="00454BB6" w:rsidRPr="00E01B75">
              <w:rPr>
                <w:sz w:val="22"/>
                <w:lang w:val="en-AU"/>
              </w:rPr>
              <w:t>, 76.9% of regional school students who moved to a major city to study at university were living in a major city</w:t>
            </w:r>
            <w:r w:rsidR="00285E8D">
              <w:rPr>
                <w:sz w:val="22"/>
                <w:lang w:val="en-AU"/>
              </w:rPr>
              <w:t xml:space="preserve"> 5</w:t>
            </w:r>
            <w:r w:rsidR="00454BB6" w:rsidRPr="00E01B75">
              <w:rPr>
                <w:sz w:val="22"/>
                <w:lang w:val="en-AU"/>
              </w:rPr>
              <w:t xml:space="preserve"> years later (see Figure </w:t>
            </w:r>
            <w:r w:rsidR="003C6054">
              <w:rPr>
                <w:sz w:val="22"/>
                <w:lang w:val="en-AU"/>
              </w:rPr>
              <w:t>27</w:t>
            </w:r>
            <w:r w:rsidR="00454BB6" w:rsidRPr="00E01B75">
              <w:rPr>
                <w:sz w:val="22"/>
                <w:lang w:val="en-AU"/>
              </w:rPr>
              <w:t xml:space="preserve">, below). Similarly, 70.0% of regional school students who attended a university in regional Australia were living in a regional area </w:t>
            </w:r>
            <w:r w:rsidR="00285E8D">
              <w:rPr>
                <w:sz w:val="22"/>
                <w:lang w:val="en-AU"/>
              </w:rPr>
              <w:t>5</w:t>
            </w:r>
            <w:r w:rsidR="00454BB6" w:rsidRPr="00E01B75">
              <w:rPr>
                <w:sz w:val="22"/>
                <w:lang w:val="en-AU"/>
              </w:rPr>
              <w:t xml:space="preserve"> years later. This </w:t>
            </w:r>
            <w:r w:rsidR="00230D20">
              <w:rPr>
                <w:sz w:val="22"/>
                <w:lang w:val="en-AU"/>
              </w:rPr>
              <w:t>highlights</w:t>
            </w:r>
            <w:r w:rsidR="00454BB6" w:rsidRPr="00E01B75">
              <w:rPr>
                <w:sz w:val="22"/>
                <w:lang w:val="en-AU"/>
              </w:rPr>
              <w:t xml:space="preserve"> that providing access to higher education in the regions is critical to supporting the development of skilled labour into the future.</w:t>
            </w:r>
          </w:p>
          <w:p w14:paraId="30DA9A01" w14:textId="61A5A4DE" w:rsidR="00FA0B14" w:rsidRDefault="00454BB6" w:rsidP="00E01B75">
            <w:pPr>
              <w:pStyle w:val="BodyText"/>
              <w:rPr>
                <w:sz w:val="22"/>
                <w:lang w:val="en-AU"/>
              </w:rPr>
            </w:pPr>
            <w:r w:rsidRPr="00E01B75">
              <w:rPr>
                <w:sz w:val="22"/>
                <w:lang w:val="en-AU"/>
              </w:rPr>
              <w:t xml:space="preserve">Between the 2016 and 2021 Census periods this trend softened slightly, with the proportion of students who attended a regional school who stayed in the region that they attended university in fell slightly. For instance, the number of students who attended a regional secondary school who attended university in a major city and subsequently were living in a regional area </w:t>
            </w:r>
            <w:r w:rsidR="00285E8D">
              <w:rPr>
                <w:sz w:val="22"/>
                <w:lang w:val="en-AU"/>
              </w:rPr>
              <w:t>5</w:t>
            </w:r>
            <w:r w:rsidRPr="00E01B75">
              <w:rPr>
                <w:sz w:val="22"/>
                <w:lang w:val="en-AU"/>
              </w:rPr>
              <w:t xml:space="preserve"> years later increased from 18.5% in 2016 to 23.1% in 2021. </w:t>
            </w:r>
          </w:p>
          <w:p w14:paraId="648ED059" w14:textId="614F14D4" w:rsidR="00FA0B14" w:rsidRDefault="00454BB6" w:rsidP="00E01B75">
            <w:pPr>
              <w:pStyle w:val="BodyText"/>
              <w:rPr>
                <w:sz w:val="22"/>
                <w:lang w:val="en-AU"/>
              </w:rPr>
            </w:pPr>
            <w:r w:rsidRPr="00E01B75">
              <w:rPr>
                <w:sz w:val="22"/>
                <w:lang w:val="en-AU"/>
              </w:rPr>
              <w:t xml:space="preserve">In addition, the number of students who attended a regional secondary school who attended university in a regional area and subsequently lived in a major city </w:t>
            </w:r>
            <w:r w:rsidR="00285E8D">
              <w:rPr>
                <w:sz w:val="22"/>
                <w:lang w:val="en-AU"/>
              </w:rPr>
              <w:t>5</w:t>
            </w:r>
            <w:r w:rsidRPr="00E01B75">
              <w:rPr>
                <w:sz w:val="22"/>
                <w:lang w:val="en-AU"/>
              </w:rPr>
              <w:t xml:space="preserve"> years later rose from 26.3% in 2016 to 30.0% in 2021. </w:t>
            </w:r>
          </w:p>
          <w:p w14:paraId="1D5AC4C1" w14:textId="77777777" w:rsidR="00FA0B14" w:rsidRDefault="00454BB6" w:rsidP="00D16B99">
            <w:pPr>
              <w:pStyle w:val="BodyText"/>
              <w:numPr>
                <w:ilvl w:val="0"/>
                <w:numId w:val="46"/>
              </w:numPr>
              <w:rPr>
                <w:sz w:val="22"/>
                <w:lang w:val="en-AU"/>
              </w:rPr>
            </w:pPr>
            <w:r w:rsidRPr="00E01B75">
              <w:rPr>
                <w:sz w:val="22"/>
                <w:lang w:val="en-AU"/>
              </w:rPr>
              <w:t xml:space="preserve">Caution should be exercised with the latest available data, due to the fact the 2021 Census was conducted during the COVID-19 pandemic when many parts of Australia were in lockdown and movements within, into and out of Australia were tightly controlled. </w:t>
            </w:r>
          </w:p>
          <w:p w14:paraId="1B80AE52" w14:textId="1E361F48" w:rsidR="00454BB6" w:rsidRPr="00E01B75" w:rsidRDefault="00454BB6" w:rsidP="00FA0B14">
            <w:pPr>
              <w:pStyle w:val="BodyText"/>
              <w:rPr>
                <w:sz w:val="22"/>
                <w:lang w:val="en-AU"/>
              </w:rPr>
            </w:pPr>
            <w:r w:rsidRPr="00E01B75">
              <w:rPr>
                <w:sz w:val="22"/>
                <w:lang w:val="en-AU"/>
              </w:rPr>
              <w:t>However, this nonetheless suggests that there may be a growing trend for students who attend a regional secondary school who move to the city for higher education to return to the regions post-study.</w:t>
            </w:r>
          </w:p>
          <w:p w14:paraId="36A5E79F" w14:textId="77777777" w:rsidR="00975DFB" w:rsidRDefault="00975DFB" w:rsidP="00975DFB">
            <w:pPr>
              <w:pStyle w:val="Caption"/>
            </w:pPr>
          </w:p>
          <w:p w14:paraId="274DEDF8" w14:textId="77777777" w:rsidR="00975DFB" w:rsidRDefault="00975DFB" w:rsidP="00975DFB">
            <w:pPr>
              <w:pStyle w:val="Caption"/>
            </w:pPr>
          </w:p>
          <w:p w14:paraId="1FE76F25" w14:textId="77777777" w:rsidR="00975DFB" w:rsidRDefault="00975DFB" w:rsidP="00975DFB">
            <w:pPr>
              <w:pStyle w:val="Caption"/>
            </w:pPr>
          </w:p>
          <w:p w14:paraId="63B5D320" w14:textId="77777777" w:rsidR="00975DFB" w:rsidRDefault="00975DFB" w:rsidP="00975DFB">
            <w:pPr>
              <w:pStyle w:val="Caption"/>
            </w:pPr>
          </w:p>
          <w:p w14:paraId="027843F1" w14:textId="77777777" w:rsidR="00975DFB" w:rsidRDefault="00975DFB" w:rsidP="00975DFB">
            <w:pPr>
              <w:pStyle w:val="Caption"/>
            </w:pPr>
          </w:p>
          <w:p w14:paraId="70D3304D" w14:textId="77777777" w:rsidR="00975DFB" w:rsidRDefault="00975DFB" w:rsidP="00975DFB">
            <w:pPr>
              <w:pStyle w:val="Caption"/>
            </w:pPr>
          </w:p>
          <w:p w14:paraId="32AC4C24" w14:textId="2CFD9238" w:rsidR="00454BB6" w:rsidRPr="007D1860" w:rsidRDefault="00454BB6" w:rsidP="00454BB6">
            <w:pPr>
              <w:pStyle w:val="Caption"/>
              <w:rPr>
                <w:rFonts w:eastAsia="Aptos" w:cs="Arial"/>
                <w:b w:val="0"/>
              </w:rPr>
            </w:pPr>
            <w:bookmarkStart w:id="119" w:name="_Toc201916593"/>
            <w:r>
              <w:lastRenderedPageBreak/>
              <w:t xml:space="preserve">Figure </w:t>
            </w:r>
            <w:r>
              <w:fldChar w:fldCharType="begin"/>
            </w:r>
            <w:r>
              <w:instrText xml:space="preserve"> SEQ Figure \* ARABIC </w:instrText>
            </w:r>
            <w:r>
              <w:fldChar w:fldCharType="separate"/>
            </w:r>
            <w:r w:rsidR="00471863">
              <w:rPr>
                <w:noProof/>
              </w:rPr>
              <w:t>27</w:t>
            </w:r>
            <w:r>
              <w:fldChar w:fldCharType="end"/>
            </w:r>
            <w:r>
              <w:t>: Students who have attended a regional</w:t>
            </w:r>
            <w:r w:rsidRPr="00B24C09">
              <w:t xml:space="preserve"> school who return to </w:t>
            </w:r>
            <w:r>
              <w:t xml:space="preserve">live in </w:t>
            </w:r>
            <w:r w:rsidRPr="00B24C09">
              <w:t>Regional Australia after studying at university in a Major City (%)</w:t>
            </w:r>
            <w:bookmarkEnd w:id="119"/>
            <w:r>
              <w:t xml:space="preserve"> </w:t>
            </w:r>
          </w:p>
          <w:p w14:paraId="16F1DE71" w14:textId="10256214" w:rsidR="00454BB6" w:rsidRPr="00CB0C7A" w:rsidRDefault="0054377E" w:rsidP="00975DFB">
            <w:pPr>
              <w:keepNext/>
              <w:spacing w:before="120" w:after="120" w:line="259" w:lineRule="auto"/>
              <w:rPr>
                <w:rFonts w:eastAsia="Aptos" w:cs="Arial"/>
              </w:rPr>
            </w:pPr>
            <w:r>
              <w:rPr>
                <w:rFonts w:eastAsia="Aptos" w:cs="Arial"/>
                <w:noProof/>
              </w:rPr>
              <w:drawing>
                <wp:inline distT="0" distB="0" distL="0" distR="0" wp14:anchorId="6D3093D1" wp14:editId="21978047">
                  <wp:extent cx="5730875" cy="2865120"/>
                  <wp:effectExtent l="0" t="0" r="3175" b="0"/>
                  <wp:docPr id="2067348559" name="Picture 42" descr="A column chart that shows students who have attended a regional school who return to live in Regional Australia after studying at university in a Major City (%). The chart shows that students who attend a regional school who go on to attend university are more likely to stay in the region that they attend university in – whether it be a city or a regiona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48559" name="Picture 42" descr="A column chart that shows students who have attended a regional school who return to live in Regional Australia after studying at university in a Major City (%). The chart shows that students who attend a regional school who go on to attend university are more likely to stay in the region that they attend university in – whether it be a city or a regional area."/>
                          <pic:cNvPicPr>
                            <a:picLocks noChangeAspect="1" noChangeArrowheads="1"/>
                          </pic:cNvPicPr>
                        </pic:nvPicPr>
                        <pic:blipFill>
                          <a:blip r:embed="rId55" cstate="email">
                            <a:extLst>
                              <a:ext uri="{28A0092B-C50C-407E-A947-70E740481C1C}">
                                <a14:useLocalDpi xmlns:a14="http://schemas.microsoft.com/office/drawing/2010/main" val="0"/>
                              </a:ext>
                            </a:extLst>
                          </a:blip>
                          <a:srcRect/>
                          <a:stretch>
                            <a:fillRect/>
                          </a:stretch>
                        </pic:blipFill>
                        <pic:spPr bwMode="auto">
                          <a:xfrm>
                            <a:off x="0" y="0"/>
                            <a:ext cx="5730875" cy="2865120"/>
                          </a:xfrm>
                          <a:prstGeom prst="rect">
                            <a:avLst/>
                          </a:prstGeom>
                          <a:noFill/>
                        </pic:spPr>
                      </pic:pic>
                    </a:graphicData>
                  </a:graphic>
                </wp:inline>
              </w:drawing>
            </w:r>
          </w:p>
          <w:p w14:paraId="0BBBD5BE" w14:textId="50033192" w:rsidR="00FE13FA" w:rsidRPr="00E01B75" w:rsidRDefault="00454BB6" w:rsidP="00975DFB">
            <w:pPr>
              <w:keepNext/>
              <w:spacing w:after="240" w:line="259" w:lineRule="auto"/>
              <w:rPr>
                <w:rFonts w:cs="Arial"/>
                <w:i/>
                <w:sz w:val="18"/>
                <w:szCs w:val="18"/>
              </w:rPr>
            </w:pPr>
            <w:r w:rsidRPr="007D1860">
              <w:rPr>
                <w:rFonts w:cs="Arial"/>
                <w:i/>
                <w:sz w:val="18"/>
                <w:szCs w:val="18"/>
              </w:rPr>
              <w:t xml:space="preserve">Source: ABS Australian Census Longitudinal Dataset, 2006-2011-2016-2021. Measured as proportion of students from </w:t>
            </w:r>
            <w:r>
              <w:rPr>
                <w:rFonts w:cs="Arial"/>
                <w:i/>
                <w:sz w:val="18"/>
                <w:szCs w:val="18"/>
              </w:rPr>
              <w:t>R</w:t>
            </w:r>
            <w:r w:rsidRPr="007D1860">
              <w:rPr>
                <w:rFonts w:cs="Arial"/>
                <w:i/>
                <w:sz w:val="18"/>
                <w:szCs w:val="18"/>
              </w:rPr>
              <w:t xml:space="preserve">egional Australia studying in </w:t>
            </w:r>
            <w:r>
              <w:rPr>
                <w:rFonts w:cs="Arial"/>
                <w:i/>
                <w:sz w:val="18"/>
                <w:szCs w:val="18"/>
              </w:rPr>
              <w:t>a Major City</w:t>
            </w:r>
            <w:r w:rsidRPr="007D1860">
              <w:rPr>
                <w:rFonts w:cs="Arial"/>
                <w:i/>
                <w:sz w:val="18"/>
                <w:szCs w:val="18"/>
              </w:rPr>
              <w:t xml:space="preserve">, returning to </w:t>
            </w:r>
            <w:r>
              <w:rPr>
                <w:rFonts w:cs="Arial"/>
                <w:i/>
                <w:sz w:val="18"/>
                <w:szCs w:val="18"/>
              </w:rPr>
              <w:t>R</w:t>
            </w:r>
            <w:r w:rsidRPr="007D1860">
              <w:rPr>
                <w:rFonts w:cs="Arial"/>
                <w:i/>
                <w:sz w:val="18"/>
                <w:szCs w:val="18"/>
              </w:rPr>
              <w:t xml:space="preserve">egional Australia. </w:t>
            </w:r>
          </w:p>
        </w:tc>
      </w:tr>
    </w:tbl>
    <w:p w14:paraId="61CACC99" w14:textId="77777777" w:rsidR="00D50CA6" w:rsidRPr="00993248" w:rsidRDefault="00D50CA6" w:rsidP="00D5747B">
      <w:pPr>
        <w:pStyle w:val="Heading3"/>
      </w:pPr>
      <w:r w:rsidRPr="00993248">
        <w:lastRenderedPageBreak/>
        <w:t>Summary</w:t>
      </w:r>
    </w:p>
    <w:p w14:paraId="4547718F" w14:textId="5BB8A3A5" w:rsidR="008043F6" w:rsidRDefault="00075A4B" w:rsidP="00027223">
      <w:pPr>
        <w:pStyle w:val="BodyText"/>
      </w:pPr>
      <w:r w:rsidRPr="00BD1ECC">
        <w:t xml:space="preserve">Skills and knowledge acquisition underpins the capability of the workforce. </w:t>
      </w:r>
      <w:r w:rsidR="00500107">
        <w:t>The mix of skills required in the labour market is changing</w:t>
      </w:r>
      <w:r w:rsidR="00AC7ADF">
        <w:t xml:space="preserve"> as the economy evolves. </w:t>
      </w:r>
      <w:r w:rsidR="00D1411F">
        <w:t>Over the next 10 yea</w:t>
      </w:r>
      <w:r w:rsidR="007A1DC3">
        <w:t>rs more than 9 out of 10 new jobs expected to be created will require post-secondary qualifications</w:t>
      </w:r>
      <w:r w:rsidR="00F64F4B">
        <w:t xml:space="preserve">, a significant uplift from current levels. </w:t>
      </w:r>
      <w:r w:rsidR="00975DFB">
        <w:t>An</w:t>
      </w:r>
      <w:r w:rsidRPr="00BD1ECC">
        <w:t xml:space="preserve"> effective jobs and skills system in Regional Australia should </w:t>
      </w:r>
      <w:r w:rsidR="00975DFB">
        <w:t xml:space="preserve">therefore </w:t>
      </w:r>
      <w:r w:rsidRPr="00BD1ECC">
        <w:t xml:space="preserve">support the acquisition of the necessary skills to best position individuals to take advantage of opportunities in the labour market and contribute to their local community and culture, both now and into the future. </w:t>
      </w:r>
    </w:p>
    <w:p w14:paraId="2450E471" w14:textId="3DC83935" w:rsidR="00075A4B" w:rsidRPr="00BD1ECC" w:rsidRDefault="00075A4B" w:rsidP="00027223">
      <w:pPr>
        <w:pStyle w:val="BodyText"/>
      </w:pPr>
      <w:r w:rsidRPr="00BD1ECC">
        <w:t xml:space="preserve">Beyond level of skill, another key question in assessing the effectiveness of the jobs and skills system is the utilisation of specific field of their skills in the labour market and whether workers are being utilised in the labour market. Where skills are being underutilised in the workplace it can result in significant costs to the individual, business and the economy. In contrast, improvements in skill utilisation supports increased productivity, reduced skills gaps, enhanced innovation, improved earnings and job satisfaction and increased returns on investment in education and training. </w:t>
      </w:r>
    </w:p>
    <w:p w14:paraId="4E588C7B" w14:textId="77777777" w:rsidR="00075A4B" w:rsidRPr="008259A3" w:rsidRDefault="00075A4B" w:rsidP="00D16B99">
      <w:pPr>
        <w:pStyle w:val="BodyText"/>
        <w:numPr>
          <w:ilvl w:val="0"/>
          <w:numId w:val="37"/>
        </w:numPr>
        <w:rPr>
          <w:rFonts w:asciiTheme="minorHAnsi" w:hAnsiTheme="minorHAnsi" w:cstheme="minorHAnsi"/>
          <w:b/>
          <w:iCs/>
        </w:rPr>
      </w:pPr>
      <w:r>
        <w:t>The</w:t>
      </w:r>
      <w:r w:rsidRPr="002A793B">
        <w:t xml:space="preserve"> youth tertiary participation rate in Regional Australia has been </w:t>
      </w:r>
      <w:r>
        <w:t>relatively</w:t>
      </w:r>
      <w:r w:rsidRPr="002A793B">
        <w:t xml:space="preserve"> stable over recent years at around 22%</w:t>
      </w:r>
      <w:r>
        <w:t>, although it is well below the rate recorded in Major Cities. Lower rates of tertiary study in Regional Australia could be due to a range of factors including access issues, financial barriers, family and community expectations.</w:t>
      </w:r>
      <w:r w:rsidRPr="004B1E0F">
        <w:rPr>
          <w:sz w:val="24"/>
          <w:szCs w:val="24"/>
        </w:rPr>
        <w:t xml:space="preserve"> </w:t>
      </w:r>
    </w:p>
    <w:p w14:paraId="7563190E" w14:textId="7934B3D5" w:rsidR="008259A3" w:rsidRPr="008259A3" w:rsidRDefault="008259A3" w:rsidP="00D16B99">
      <w:pPr>
        <w:pStyle w:val="BodyText"/>
        <w:numPr>
          <w:ilvl w:val="0"/>
          <w:numId w:val="37"/>
        </w:numPr>
      </w:pPr>
      <w:r>
        <w:t xml:space="preserve">Completion rates for apprentices and trainees (commencing year 2019) for all occupations in Regional Australia stood at 56.7%, above the rate recorded by </w:t>
      </w:r>
      <w:r w:rsidR="007F7861">
        <w:t>in the Major Cities</w:t>
      </w:r>
      <w:r>
        <w:t xml:space="preserve"> of 52.8%. Completion rates for both males and females are higher in Regional Australia compared with Major Cities.</w:t>
      </w:r>
    </w:p>
    <w:p w14:paraId="361224D3" w14:textId="77777777" w:rsidR="00075A4B" w:rsidRPr="00BD1ECC" w:rsidRDefault="00075A4B" w:rsidP="00D16B99">
      <w:pPr>
        <w:pStyle w:val="BodyText"/>
        <w:numPr>
          <w:ilvl w:val="0"/>
          <w:numId w:val="37"/>
        </w:numPr>
        <w:rPr>
          <w:rFonts w:asciiTheme="minorHAnsi" w:hAnsiTheme="minorHAnsi" w:cstheme="minorHAnsi"/>
          <w:b/>
          <w:iCs/>
        </w:rPr>
      </w:pPr>
      <w:r w:rsidRPr="00BD1ECC">
        <w:rPr>
          <w:rFonts w:asciiTheme="minorHAnsi" w:hAnsiTheme="minorHAnsi" w:cstheme="minorHAnsi"/>
          <w:iCs/>
        </w:rPr>
        <w:lastRenderedPageBreak/>
        <w:t>The female share of trade apprenticeship commencements in Regional Australia is higher than that of Major Cities and has increased in recent years. Among 15–29</w:t>
      </w:r>
      <w:r>
        <w:rPr>
          <w:rFonts w:asciiTheme="minorHAnsi" w:hAnsiTheme="minorHAnsi" w:cstheme="minorHAnsi"/>
          <w:iCs/>
        </w:rPr>
        <w:t xml:space="preserve"> </w:t>
      </w:r>
      <w:r w:rsidRPr="00BD1ECC">
        <w:rPr>
          <w:rFonts w:asciiTheme="minorHAnsi" w:hAnsiTheme="minorHAnsi" w:cstheme="minorHAnsi"/>
          <w:iCs/>
        </w:rPr>
        <w:t>year</w:t>
      </w:r>
      <w:r>
        <w:rPr>
          <w:rFonts w:asciiTheme="minorHAnsi" w:hAnsiTheme="minorHAnsi" w:cstheme="minorHAnsi"/>
          <w:iCs/>
        </w:rPr>
        <w:t xml:space="preserve"> </w:t>
      </w:r>
      <w:r w:rsidRPr="00BD1ECC">
        <w:rPr>
          <w:rFonts w:asciiTheme="minorHAnsi" w:hAnsiTheme="minorHAnsi" w:cstheme="minorHAnsi"/>
          <w:iCs/>
        </w:rPr>
        <w:t xml:space="preserve">olds, females made up 14.7% of trade apprenticeship commencements in Regional Australia in 2024 (up from 13.9% in 2023) compared with 12.4% in Major Cities. </w:t>
      </w:r>
    </w:p>
    <w:p w14:paraId="14A8615A" w14:textId="21F861DD" w:rsidR="00E213C5" w:rsidRPr="00D35618" w:rsidRDefault="00075A4B" w:rsidP="00D16B99">
      <w:pPr>
        <w:pStyle w:val="BodyText"/>
        <w:numPr>
          <w:ilvl w:val="0"/>
          <w:numId w:val="37"/>
        </w:numPr>
        <w:rPr>
          <w:rFonts w:asciiTheme="minorHAnsi" w:hAnsiTheme="minorHAnsi" w:cstheme="minorHAnsi"/>
          <w:iCs/>
        </w:rPr>
      </w:pPr>
      <w:r w:rsidRPr="00BD1ECC">
        <w:rPr>
          <w:rFonts w:asciiTheme="minorHAnsi" w:hAnsiTheme="minorHAnsi" w:cstheme="minorHAnsi"/>
          <w:iCs/>
        </w:rPr>
        <w:t xml:space="preserve">In Regional Australia, around 31% of people with a Skill </w:t>
      </w:r>
      <w:r w:rsidR="00A24377">
        <w:rPr>
          <w:rFonts w:asciiTheme="minorHAnsi" w:hAnsiTheme="minorHAnsi" w:cstheme="minorHAnsi"/>
          <w:iCs/>
        </w:rPr>
        <w:t>L</w:t>
      </w:r>
      <w:r w:rsidRPr="00BD1ECC">
        <w:rPr>
          <w:rFonts w:asciiTheme="minorHAnsi" w:hAnsiTheme="minorHAnsi" w:cstheme="minorHAnsi"/>
          <w:iCs/>
        </w:rPr>
        <w:t xml:space="preserve">evel 1 qualification (higher education) are working at a skill level that is lower than their qualification, while for Skill </w:t>
      </w:r>
      <w:r w:rsidR="00827722">
        <w:rPr>
          <w:rFonts w:asciiTheme="minorHAnsi" w:hAnsiTheme="minorHAnsi" w:cstheme="minorHAnsi"/>
          <w:iCs/>
        </w:rPr>
        <w:t>L</w:t>
      </w:r>
      <w:r w:rsidRPr="00BD1ECC">
        <w:rPr>
          <w:rFonts w:asciiTheme="minorHAnsi" w:hAnsiTheme="minorHAnsi" w:cstheme="minorHAnsi"/>
          <w:iCs/>
        </w:rPr>
        <w:t xml:space="preserve">evel 2-4 (VET pathway) around 21% are working at a lower skill level. Notably, both figures are below the comparable result for Major Cities. This </w:t>
      </w:r>
      <w:r>
        <w:rPr>
          <w:rFonts w:asciiTheme="minorHAnsi" w:hAnsiTheme="minorHAnsi" w:cstheme="minorHAnsi"/>
          <w:iCs/>
        </w:rPr>
        <w:t xml:space="preserve">may indicate </w:t>
      </w:r>
      <w:r w:rsidRPr="00BD1ECC">
        <w:rPr>
          <w:rFonts w:asciiTheme="minorHAnsi" w:hAnsiTheme="minorHAnsi" w:cstheme="minorHAnsi"/>
          <w:iCs/>
        </w:rPr>
        <w:t>that an investment in tertiary education in Regional Australia is more likely to lead to a job at the associated skill level, making a strong case for greater support for tertiary education in Regional Australia.</w:t>
      </w:r>
    </w:p>
    <w:p w14:paraId="46680D4D" w14:textId="607241E6" w:rsidR="00591731" w:rsidRPr="00152174" w:rsidRDefault="00B8526E">
      <w:pPr>
        <w:spacing w:after="160" w:line="259" w:lineRule="auto"/>
        <w:rPr>
          <w:rFonts w:asciiTheme="minorHAnsi" w:hAnsiTheme="minorHAnsi" w:cstheme="minorHAnsi"/>
          <w:i/>
          <w:sz w:val="18"/>
          <w:szCs w:val="18"/>
        </w:rPr>
      </w:pPr>
      <w:r>
        <w:rPr>
          <w:rFonts w:asciiTheme="minorHAnsi" w:hAnsiTheme="minorHAnsi" w:cstheme="minorHAnsi"/>
          <w:i/>
          <w:sz w:val="18"/>
          <w:szCs w:val="18"/>
        </w:rPr>
        <w:br w:type="page"/>
      </w:r>
    </w:p>
    <w:p w14:paraId="3C73E60E" w14:textId="720F386B" w:rsidR="00D95E9A" w:rsidRPr="00AD6426" w:rsidRDefault="00FB7E2F" w:rsidP="00AD6426">
      <w:pPr>
        <w:pStyle w:val="Heading1unnumbered"/>
      </w:pPr>
      <w:r w:rsidRPr="00AD6426">
        <w:lastRenderedPageBreak/>
        <w:drawing>
          <wp:anchor distT="0" distB="0" distL="114300" distR="114300" simplePos="0" relativeHeight="251954688" behindDoc="1" locked="0" layoutInCell="1" allowOverlap="1" wp14:anchorId="4CF4449A" wp14:editId="1C2E0C5C">
            <wp:simplePos x="0" y="0"/>
            <wp:positionH relativeFrom="page">
              <wp:align>left</wp:align>
            </wp:positionH>
            <wp:positionV relativeFrom="paragraph">
              <wp:posOffset>-808157</wp:posOffset>
            </wp:positionV>
            <wp:extent cx="7564046" cy="10699602"/>
            <wp:effectExtent l="0" t="0" r="0" b="6985"/>
            <wp:wrapNone/>
            <wp:docPr id="41512169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21690" name="Picture 8">
                      <a:extLst>
                        <a:ext uri="{C183D7F6-B498-43B3-948B-1728B52AA6E4}">
                          <adec:decorative xmlns:adec="http://schemas.microsoft.com/office/drawing/2017/decorative" val="1"/>
                        </a:ext>
                      </a:extLst>
                    </pic:cNvPr>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7564046" cy="106996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E9A" w:rsidRPr="00AD6426">
        <w:t>Vision Principle 3</w:t>
      </w:r>
      <w:r w:rsidR="007F4321" w:rsidRPr="00AD6426">
        <w:t xml:space="preserve"> – </w:t>
      </w:r>
      <w:r w:rsidR="00747C71" w:rsidRPr="00AD6426">
        <w:t>Quality Jobs</w:t>
      </w:r>
    </w:p>
    <w:p w14:paraId="454D83EC" w14:textId="23179E02" w:rsidR="00D95E9A" w:rsidRPr="003059A3" w:rsidRDefault="00D95E9A" w:rsidP="007F4321">
      <w:pPr>
        <w:pStyle w:val="TOCHeading"/>
        <w:rPr>
          <w:rFonts w:eastAsiaTheme="minorHAnsi" w:cstheme="minorBidi"/>
          <w:b w:val="0"/>
          <w:color w:val="auto"/>
          <w:sz w:val="40"/>
          <w:szCs w:val="40"/>
          <w:lang w:val="en-AU"/>
        </w:rPr>
      </w:pPr>
      <w:r w:rsidRPr="003059A3">
        <w:rPr>
          <w:rFonts w:eastAsiaTheme="minorHAnsi" w:cstheme="minorBidi"/>
          <w:b w:val="0"/>
          <w:color w:val="auto"/>
          <w:sz w:val="40"/>
          <w:szCs w:val="40"/>
          <w:lang w:val="en-AU"/>
        </w:rPr>
        <w:t xml:space="preserve">Everyone employed in Regional Australia can work in a quality job that is </w:t>
      </w:r>
      <w:r w:rsidR="00AD3863" w:rsidRPr="003059A3">
        <w:rPr>
          <w:rFonts w:eastAsiaTheme="minorHAnsi" w:cstheme="minorBidi"/>
          <w:b w:val="0"/>
          <w:color w:val="auto"/>
          <w:sz w:val="40"/>
          <w:szCs w:val="40"/>
          <w:lang w:val="en-AU"/>
        </w:rPr>
        <w:t xml:space="preserve">safe, </w:t>
      </w:r>
      <w:r w:rsidR="00186153" w:rsidRPr="003059A3">
        <w:rPr>
          <w:rFonts w:eastAsiaTheme="minorHAnsi" w:cstheme="minorBidi"/>
          <w:b w:val="0"/>
          <w:color w:val="auto"/>
          <w:sz w:val="40"/>
          <w:szCs w:val="40"/>
          <w:lang w:val="en-AU"/>
        </w:rPr>
        <w:t xml:space="preserve">fair, </w:t>
      </w:r>
      <w:r w:rsidR="00AD3863" w:rsidRPr="003059A3">
        <w:rPr>
          <w:rFonts w:eastAsiaTheme="minorHAnsi" w:cstheme="minorBidi"/>
          <w:b w:val="0"/>
          <w:color w:val="auto"/>
          <w:sz w:val="40"/>
          <w:szCs w:val="40"/>
          <w:lang w:val="en-AU"/>
        </w:rPr>
        <w:t>rewarding</w:t>
      </w:r>
      <w:r w:rsidRPr="003059A3">
        <w:rPr>
          <w:rFonts w:eastAsiaTheme="minorHAnsi" w:cstheme="minorBidi"/>
          <w:b w:val="0"/>
          <w:color w:val="auto"/>
          <w:sz w:val="40"/>
          <w:szCs w:val="40"/>
          <w:lang w:val="en-AU"/>
        </w:rPr>
        <w:t xml:space="preserve"> and satisfying.</w:t>
      </w:r>
    </w:p>
    <w:p w14:paraId="646702B6" w14:textId="77777777" w:rsidR="00E46DE7" w:rsidRDefault="00E46DE7">
      <w:pPr>
        <w:spacing w:after="160" w:line="259" w:lineRule="auto"/>
        <w:rPr>
          <w:rFonts w:eastAsiaTheme="majorEastAsia" w:cs="Arial"/>
          <w:color w:val="FFFFFF" w:themeColor="background1"/>
          <w:sz w:val="40"/>
          <w:szCs w:val="40"/>
          <w:lang w:val="en-US"/>
        </w:rPr>
      </w:pPr>
      <w:r>
        <w:rPr>
          <w:rFonts w:cs="Arial"/>
          <w:b/>
          <w:color w:val="FFFFFF" w:themeColor="background1"/>
          <w:sz w:val="40"/>
          <w:szCs w:val="40"/>
        </w:rPr>
        <w:br w:type="page"/>
      </w:r>
    </w:p>
    <w:p w14:paraId="511F054B" w14:textId="6F496C30" w:rsidR="00BE67EC" w:rsidRPr="007F4321" w:rsidRDefault="00BE67EC" w:rsidP="00037301">
      <w:pPr>
        <w:pStyle w:val="Heading2"/>
      </w:pPr>
      <w:bookmarkStart w:id="120" w:name="_Toc200637147"/>
      <w:bookmarkStart w:id="121" w:name="_Toc201070186"/>
      <w:bookmarkStart w:id="122" w:name="_Toc201919849"/>
      <w:bookmarkStart w:id="123" w:name="_Toc202361877"/>
      <w:r w:rsidRPr="007F4321">
        <w:lastRenderedPageBreak/>
        <w:t xml:space="preserve">Vision </w:t>
      </w:r>
      <w:r w:rsidR="00AD10BC" w:rsidRPr="007F4321">
        <w:t>P</w:t>
      </w:r>
      <w:r w:rsidRPr="007F4321">
        <w:t>rin</w:t>
      </w:r>
      <w:r w:rsidR="00BF3565" w:rsidRPr="007F4321">
        <w:t>ciple 3</w:t>
      </w:r>
      <w:r w:rsidR="009A7BA1" w:rsidRPr="007F4321">
        <w:t xml:space="preserve"> – </w:t>
      </w:r>
      <w:r w:rsidR="00747C71">
        <w:t>Quality Jobs</w:t>
      </w:r>
      <w:bookmarkEnd w:id="120"/>
      <w:bookmarkEnd w:id="121"/>
      <w:bookmarkEnd w:id="122"/>
      <w:bookmarkEnd w:id="123"/>
    </w:p>
    <w:p w14:paraId="04B14B96" w14:textId="77777777" w:rsidR="00D95E9A" w:rsidRPr="00993248" w:rsidRDefault="00D95E9A" w:rsidP="00037301">
      <w:pPr>
        <w:pStyle w:val="Heading3"/>
      </w:pPr>
      <w:r w:rsidRPr="00993248">
        <w:t>Overview of Vision Principle 3</w:t>
      </w:r>
    </w:p>
    <w:p w14:paraId="5D11F0A8" w14:textId="3A7B084F" w:rsidR="00AD3863" w:rsidRPr="00037301" w:rsidRDefault="00AD3863" w:rsidP="00037301">
      <w:pPr>
        <w:pStyle w:val="Heading4"/>
      </w:pPr>
      <w:r w:rsidRPr="00037301">
        <w:t>Everyone employed in Regional Australia can work in a quality job that is safe,</w:t>
      </w:r>
      <w:r w:rsidR="00186153" w:rsidRPr="00037301">
        <w:t xml:space="preserve"> fair, </w:t>
      </w:r>
      <w:r w:rsidRPr="00037301">
        <w:t>rewarding and satisfying.</w:t>
      </w:r>
    </w:p>
    <w:p w14:paraId="435DD758" w14:textId="4B93E6FB" w:rsidR="00EC778B" w:rsidRDefault="00D95E9A" w:rsidP="00037301">
      <w:pPr>
        <w:pStyle w:val="BodyText"/>
      </w:pPr>
      <w:r w:rsidRPr="00DD678A">
        <w:t xml:space="preserve">The </w:t>
      </w:r>
      <w:r w:rsidR="00EC778B">
        <w:t>third</w:t>
      </w:r>
      <w:r w:rsidRPr="00DD678A">
        <w:t xml:space="preserve"> </w:t>
      </w:r>
      <w:r w:rsidR="00975DFB">
        <w:t>v</w:t>
      </w:r>
      <w:r w:rsidRPr="00DD678A">
        <w:t xml:space="preserve">ision </w:t>
      </w:r>
      <w:r w:rsidR="00975DFB">
        <w:t>p</w:t>
      </w:r>
      <w:r w:rsidRPr="00DD678A">
        <w:t xml:space="preserve">rinciple for the jobs and skills system in Regional Australia is that everyone employed in Regional Australia can work in a quality job that </w:t>
      </w:r>
      <w:r w:rsidR="001C6C66">
        <w:t>is safe, fair</w:t>
      </w:r>
      <w:r w:rsidR="00BE0435">
        <w:t>,</w:t>
      </w:r>
      <w:r w:rsidR="001C6C66">
        <w:t xml:space="preserve"> rewarding</w:t>
      </w:r>
      <w:r w:rsidR="00BE0435">
        <w:t xml:space="preserve"> and satisfying</w:t>
      </w:r>
      <w:r w:rsidRPr="00DD678A">
        <w:t xml:space="preserve">. </w:t>
      </w:r>
    </w:p>
    <w:p w14:paraId="38BB91F2" w14:textId="3D8D9381" w:rsidR="00D95E9A" w:rsidRPr="007632D7" w:rsidRDefault="00D95E9A" w:rsidP="00037301">
      <w:pPr>
        <w:pStyle w:val="BodyText"/>
      </w:pPr>
      <w:r w:rsidRPr="00DD678A">
        <w:t xml:space="preserve">For workers in Regional Australia, </w:t>
      </w:r>
      <w:r w:rsidRPr="007632D7">
        <w:t xml:space="preserve">this means being able to work the number of hours sought, rather than </w:t>
      </w:r>
      <w:r w:rsidR="00EC778B" w:rsidRPr="007632D7">
        <w:t>being</w:t>
      </w:r>
      <w:r w:rsidRPr="007632D7">
        <w:t xml:space="preserve"> underemployed</w:t>
      </w:r>
      <w:r w:rsidR="007F0134" w:rsidRPr="007632D7">
        <w:t xml:space="preserve"> (measured by </w:t>
      </w:r>
      <w:r w:rsidR="004C7E3F">
        <w:t xml:space="preserve">the </w:t>
      </w:r>
      <w:r w:rsidR="007F0134" w:rsidRPr="007632D7">
        <w:t>underemployment rate)</w:t>
      </w:r>
      <w:r w:rsidRPr="007632D7">
        <w:t xml:space="preserve">. It means being fairly and equitably compensated </w:t>
      </w:r>
      <w:r w:rsidR="009A7732" w:rsidRPr="007632D7">
        <w:t xml:space="preserve">(measured by income inequality ratio) </w:t>
      </w:r>
      <w:r w:rsidRPr="007632D7">
        <w:t xml:space="preserve">and having safe work conditions. It means being able to work one primary job that provides for a person’s needs, rather than having to work multiple jobs or continuing to rely on income support. </w:t>
      </w:r>
      <w:r w:rsidR="00EC778B" w:rsidRPr="007632D7">
        <w:t>Vision Principle 3</w:t>
      </w:r>
      <w:r w:rsidR="00187BDF">
        <w:t>,</w:t>
      </w:r>
      <w:r w:rsidRPr="007632D7">
        <w:t xml:space="preserve"> </w:t>
      </w:r>
      <w:r w:rsidR="00EC778B" w:rsidRPr="007632D7">
        <w:t>therefore</w:t>
      </w:r>
      <w:r w:rsidR="00643472" w:rsidRPr="007632D7">
        <w:t>,</w:t>
      </w:r>
      <w:r w:rsidRPr="007632D7">
        <w:t xml:space="preserve"> goes beyond job creation to </w:t>
      </w:r>
      <w:r w:rsidR="005371CE" w:rsidRPr="007632D7">
        <w:t xml:space="preserve">consider </w:t>
      </w:r>
      <w:r w:rsidRPr="007632D7">
        <w:t xml:space="preserve">the </w:t>
      </w:r>
      <w:r w:rsidRPr="007632D7">
        <w:rPr>
          <w:i/>
        </w:rPr>
        <w:t>types</w:t>
      </w:r>
      <w:r w:rsidRPr="007632D7">
        <w:t xml:space="preserve"> of jobs in Regional Australia, with a focus on the quality of </w:t>
      </w:r>
      <w:r w:rsidR="005371CE" w:rsidRPr="007632D7">
        <w:t>the job</w:t>
      </w:r>
      <w:r w:rsidRPr="007632D7">
        <w:t xml:space="preserve">. </w:t>
      </w:r>
    </w:p>
    <w:p w14:paraId="4DF9BA72" w14:textId="73D24A4A" w:rsidR="008B54FA" w:rsidRDefault="00D95E9A" w:rsidP="00037301">
      <w:pPr>
        <w:pStyle w:val="BodyText"/>
      </w:pPr>
      <w:r w:rsidRPr="007632D7">
        <w:t>A quality job enhances an individual’s health and wellbeing</w:t>
      </w:r>
      <w:r w:rsidR="003C276A" w:rsidRPr="007632D7">
        <w:t xml:space="preserve"> (measured by job satisfaction)</w:t>
      </w:r>
      <w:r w:rsidRPr="007632D7">
        <w:t xml:space="preserve">. </w:t>
      </w:r>
      <w:r w:rsidR="008B54FA" w:rsidRPr="007632D7">
        <w:t>Providing</w:t>
      </w:r>
      <w:r w:rsidRPr="007632D7">
        <w:t xml:space="preserve"> quality employment opportunities also leads to a range of benefits for employers</w:t>
      </w:r>
      <w:r w:rsidRPr="00DD678A">
        <w:t xml:space="preserve"> including higher productivity and innovation and reduced staff turnover and associated hiring costs. Unions, as employee representatives, play an important role in helping to ensure the right balance between supporting </w:t>
      </w:r>
      <w:r w:rsidR="00BF530F">
        <w:t>productive and</w:t>
      </w:r>
      <w:r w:rsidRPr="00DD678A">
        <w:t xml:space="preserve"> fulfilling careers and ensuring employees have access to safe, secure and </w:t>
      </w:r>
      <w:r w:rsidR="0086145F" w:rsidRPr="00DD678A">
        <w:t>fairly renumerated</w:t>
      </w:r>
      <w:r w:rsidRPr="00DD678A">
        <w:t xml:space="preserve"> work. </w:t>
      </w:r>
    </w:p>
    <w:p w14:paraId="0EDAD0AD" w14:textId="63379EBA" w:rsidR="00D95E9A" w:rsidRPr="00DD678A" w:rsidRDefault="00D95E9A" w:rsidP="00037301">
      <w:pPr>
        <w:pStyle w:val="BodyText"/>
      </w:pPr>
      <w:r w:rsidRPr="00DD678A">
        <w:t xml:space="preserve">Casual employment offers flexibility often required by workers and employers alike. For example, casual employment can provide opportunities for people to gain work experience, connect with employers and access further employment opportunities. </w:t>
      </w:r>
      <w:r w:rsidR="007F5245">
        <w:t xml:space="preserve">For businesses that are new, growing or have a seasonal </w:t>
      </w:r>
      <w:r w:rsidR="00411EF5">
        <w:t>business</w:t>
      </w:r>
      <w:r w:rsidR="007F5245">
        <w:t xml:space="preserve">, casual employment also </w:t>
      </w:r>
      <w:r w:rsidR="00411EF5">
        <w:t>provides appropriate flexibility, particularly for small businesses.</w:t>
      </w:r>
      <w:r w:rsidR="007F5245">
        <w:t xml:space="preserve"> </w:t>
      </w:r>
      <w:r w:rsidRPr="00DD678A">
        <w:t xml:space="preserve">However, for </w:t>
      </w:r>
      <w:r w:rsidR="008B54FA">
        <w:t xml:space="preserve">Vision </w:t>
      </w:r>
      <w:r w:rsidR="00CC2826">
        <w:t>Principle</w:t>
      </w:r>
      <w:r w:rsidR="008B54FA">
        <w:t xml:space="preserve"> </w:t>
      </w:r>
      <w:r w:rsidR="00CC2826">
        <w:t>3</w:t>
      </w:r>
      <w:r w:rsidRPr="00DD678A">
        <w:t xml:space="preserve"> to be satisfied, </w:t>
      </w:r>
      <w:r w:rsidR="00CC2826">
        <w:t xml:space="preserve">it is important that </w:t>
      </w:r>
      <w:r w:rsidR="00AE24AC">
        <w:t>flexibility</w:t>
      </w:r>
      <w:r w:rsidR="00CC2826">
        <w:t xml:space="preserve"> does not become </w:t>
      </w:r>
      <w:r w:rsidR="00AE24AC">
        <w:t>precarious</w:t>
      </w:r>
      <w:r w:rsidR="00CC2826">
        <w:t xml:space="preserve">, with </w:t>
      </w:r>
      <w:r w:rsidRPr="00DD678A">
        <w:t xml:space="preserve">people </w:t>
      </w:r>
      <w:r w:rsidR="00CC2826">
        <w:t>remaining</w:t>
      </w:r>
      <w:r w:rsidRPr="00DD678A">
        <w:t xml:space="preserve"> in a cycle of insecure employment over the long-term. Instead, all workers should </w:t>
      </w:r>
      <w:r w:rsidR="00AE24AC">
        <w:t xml:space="preserve">be able to </w:t>
      </w:r>
      <w:r w:rsidR="00791BD0">
        <w:t>a</w:t>
      </w:r>
      <w:r w:rsidR="00AE24AC">
        <w:t xml:space="preserve">spire to </w:t>
      </w:r>
      <w:r w:rsidRPr="00DD678A">
        <w:t>have meaningful and satisfying employment that is underpinned by safe and fair workplace</w:t>
      </w:r>
      <w:r w:rsidR="00AE24AC">
        <w:t>s</w:t>
      </w:r>
      <w:r w:rsidRPr="00DD678A">
        <w:t>.</w:t>
      </w:r>
    </w:p>
    <w:p w14:paraId="7B843591" w14:textId="77777777" w:rsidR="00D95E9A" w:rsidRPr="00993248" w:rsidRDefault="00D95E9A" w:rsidP="00037301">
      <w:pPr>
        <w:pStyle w:val="Heading3"/>
      </w:pPr>
      <w:r w:rsidRPr="00993248">
        <w:lastRenderedPageBreak/>
        <w:t>Evaluative indicators and insights</w:t>
      </w:r>
    </w:p>
    <w:p w14:paraId="2B2B67DA" w14:textId="68C5607C" w:rsidR="00E47796" w:rsidRPr="000C2FBD" w:rsidRDefault="006470FB" w:rsidP="006470FB">
      <w:pPr>
        <w:pStyle w:val="Caption"/>
        <w:rPr>
          <w:b w:val="0"/>
        </w:rPr>
      </w:pPr>
      <w:r>
        <w:t xml:space="preserve">Table </w:t>
      </w:r>
      <w:r>
        <w:fldChar w:fldCharType="begin"/>
      </w:r>
      <w:r>
        <w:instrText xml:space="preserve"> SEQ Table \* ARABIC </w:instrText>
      </w:r>
      <w:r>
        <w:fldChar w:fldCharType="separate"/>
      </w:r>
      <w:r w:rsidR="00471863">
        <w:rPr>
          <w:noProof/>
        </w:rPr>
        <w:t>16</w:t>
      </w:r>
      <w:r>
        <w:fldChar w:fldCharType="end"/>
      </w:r>
      <w:r w:rsidR="001345DC" w:rsidRPr="000C2FBD">
        <w:t>:</w:t>
      </w:r>
      <w:r w:rsidR="00F068D4" w:rsidRPr="000C2FBD">
        <w:t xml:space="preserve"> </w:t>
      </w:r>
      <w:r w:rsidR="00E47796" w:rsidRPr="000C2FBD">
        <w:t>Metric summary table – Vision Principle 3</w:t>
      </w:r>
    </w:p>
    <w:tbl>
      <w:tblPr>
        <w:tblStyle w:val="GridTable5Dark-Accent1"/>
        <w:tblW w:w="9070" w:type="dxa"/>
        <w:tblLook w:val="04A0" w:firstRow="1" w:lastRow="0" w:firstColumn="1" w:lastColumn="0" w:noHBand="0" w:noVBand="1"/>
      </w:tblPr>
      <w:tblGrid>
        <w:gridCol w:w="6941"/>
        <w:gridCol w:w="2129"/>
      </w:tblGrid>
      <w:tr w:rsidR="00D95E9A" w:rsidRPr="00CB0C7A" w14:paraId="728C0B49" w14:textId="77777777" w:rsidTr="009447A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941" w:type="dxa"/>
            <w:tcBorders>
              <w:top w:val="single" w:sz="8" w:space="0" w:color="A6A6A6"/>
              <w:left w:val="single" w:sz="8" w:space="0" w:color="808080" w:themeColor="background1" w:themeShade="80"/>
              <w:bottom w:val="single" w:sz="4" w:space="0" w:color="auto"/>
              <w:right w:val="single" w:sz="4" w:space="0" w:color="FFFFFF" w:themeColor="background1"/>
            </w:tcBorders>
            <w:shd w:val="clear" w:color="auto" w:fill="370663"/>
            <w:vAlign w:val="center"/>
          </w:tcPr>
          <w:p w14:paraId="3C79B964" w14:textId="77777777" w:rsidR="00D95E9A" w:rsidRPr="00816DBF" w:rsidRDefault="00D95E9A" w:rsidP="008C1F50">
            <w:pPr>
              <w:keepNext/>
              <w:spacing w:before="100"/>
              <w:rPr>
                <w:rFonts w:cs="Arial"/>
                <w:sz w:val="24"/>
                <w:szCs w:val="24"/>
              </w:rPr>
            </w:pPr>
            <w:r w:rsidRPr="00816DBF">
              <w:rPr>
                <w:rFonts w:cs="Arial"/>
                <w:sz w:val="24"/>
                <w:szCs w:val="24"/>
              </w:rPr>
              <w:t>JSA Regional Roadmap - Vision Principle 3</w:t>
            </w:r>
          </w:p>
        </w:tc>
        <w:tc>
          <w:tcPr>
            <w:tcW w:w="2129" w:type="dxa"/>
            <w:tcBorders>
              <w:top w:val="single" w:sz="8" w:space="0" w:color="A6A6A6" w:themeColor="background1" w:themeShade="A6"/>
              <w:left w:val="single" w:sz="4" w:space="0" w:color="FFFFFF" w:themeColor="background1"/>
              <w:bottom w:val="single" w:sz="4" w:space="0" w:color="auto"/>
              <w:right w:val="single" w:sz="8" w:space="0" w:color="A6A6A6" w:themeColor="background1" w:themeShade="A6"/>
            </w:tcBorders>
            <w:shd w:val="clear" w:color="auto" w:fill="370663"/>
            <w:vAlign w:val="center"/>
          </w:tcPr>
          <w:p w14:paraId="24C9F36B" w14:textId="77777777" w:rsidR="00D95E9A" w:rsidRPr="00816DBF" w:rsidRDefault="00D95E9A" w:rsidP="00BD0ECD">
            <w:pPr>
              <w:keepNext/>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816DBF">
              <w:rPr>
                <w:rFonts w:cs="Arial"/>
                <w:sz w:val="24"/>
                <w:szCs w:val="24"/>
              </w:rPr>
              <w:t>Current rating</w:t>
            </w:r>
          </w:p>
        </w:tc>
      </w:tr>
      <w:tr w:rsidR="00D95E9A" w:rsidRPr="00CB0C7A" w14:paraId="417B09D5" w14:textId="77777777" w:rsidTr="00820B9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8" w:space="0" w:color="A6A6A6" w:themeColor="background1" w:themeShade="A6"/>
              <w:bottom w:val="single" w:sz="8" w:space="0" w:color="A6A6A6" w:themeColor="background1" w:themeShade="A6"/>
              <w:right w:val="single" w:sz="8" w:space="0" w:color="BFBFBF" w:themeColor="background1" w:themeShade="BF"/>
            </w:tcBorders>
            <w:shd w:val="clear" w:color="auto" w:fill="FFFFFF" w:themeFill="background1"/>
            <w:vAlign w:val="center"/>
          </w:tcPr>
          <w:p w14:paraId="0199F14D" w14:textId="77777777" w:rsidR="00D95E9A" w:rsidRPr="001D401F" w:rsidRDefault="00D95E9A" w:rsidP="00BD0ECD">
            <w:pPr>
              <w:keepNext/>
              <w:rPr>
                <w:rFonts w:cs="Arial"/>
              </w:rPr>
            </w:pPr>
            <w:r w:rsidRPr="005167CD">
              <w:rPr>
                <w:rFonts w:cs="Arial"/>
                <w:color w:val="000000" w:themeColor="text1"/>
              </w:rPr>
              <w:t>Overall rating for Vision Principle 3</w:t>
            </w:r>
          </w:p>
        </w:tc>
        <w:tc>
          <w:tcPr>
            <w:tcW w:w="2129" w:type="dxa"/>
            <w:tcBorders>
              <w:top w:val="single" w:sz="4" w:space="0" w:color="auto"/>
              <w:left w:val="single" w:sz="8" w:space="0" w:color="BFBFBF" w:themeColor="background1" w:themeShade="BF"/>
              <w:bottom w:val="single" w:sz="8" w:space="0" w:color="A6A6A6" w:themeColor="background1" w:themeShade="A6"/>
              <w:right w:val="single" w:sz="8" w:space="0" w:color="A6A6A6" w:themeColor="background1" w:themeShade="A6"/>
            </w:tcBorders>
            <w:shd w:val="clear" w:color="auto" w:fill="52BD7F"/>
            <w:vAlign w:val="center"/>
          </w:tcPr>
          <w:p w14:paraId="09CABB2B" w14:textId="77777777" w:rsidR="00D95E9A" w:rsidRPr="00E444E3" w:rsidRDefault="00D95E9A" w:rsidP="00BD0ECD">
            <w:pPr>
              <w:keepNext/>
              <w:jc w:val="center"/>
              <w:cnfStyle w:val="000000100000" w:firstRow="0" w:lastRow="0" w:firstColumn="0" w:lastColumn="0" w:oddVBand="0" w:evenVBand="0" w:oddHBand="1" w:evenHBand="0" w:firstRowFirstColumn="0" w:firstRowLastColumn="0" w:lastRowFirstColumn="0" w:lastRowLastColumn="0"/>
              <w:rPr>
                <w:rFonts w:cs="Arial"/>
                <w:b/>
              </w:rPr>
            </w:pPr>
            <w:r w:rsidRPr="00E444E3">
              <w:rPr>
                <w:rFonts w:cs="Arial"/>
                <w:b/>
              </w:rPr>
              <w:t>Green</w:t>
            </w:r>
          </w:p>
        </w:tc>
      </w:tr>
      <w:tr w:rsidR="00E444E3" w:rsidRPr="00CB0C7A" w14:paraId="084E6E72" w14:textId="77777777" w:rsidTr="00E444E3">
        <w:trPr>
          <w:trHeight w:val="227"/>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FFFFFF" w:themeColor="background1"/>
              <w:left w:val="single" w:sz="4" w:space="0" w:color="808080"/>
              <w:bottom w:val="single" w:sz="4" w:space="0" w:color="808080"/>
              <w:right w:val="single" w:sz="4" w:space="0" w:color="370663"/>
            </w:tcBorders>
            <w:shd w:val="clear" w:color="auto" w:fill="370663"/>
            <w:vAlign w:val="center"/>
          </w:tcPr>
          <w:p w14:paraId="694764E8" w14:textId="42C41B2B" w:rsidR="00E444E3" w:rsidRPr="00E444E3" w:rsidRDefault="00E444E3" w:rsidP="00E444E3">
            <w:pPr>
              <w:keepNext/>
              <w:spacing w:before="100"/>
              <w:rPr>
                <w:rFonts w:cs="Arial"/>
              </w:rPr>
            </w:pPr>
            <w:r w:rsidRPr="00581959">
              <w:rPr>
                <w:rFonts w:cs="Arial"/>
              </w:rPr>
              <w:t>Contributing indicators</w:t>
            </w:r>
          </w:p>
        </w:tc>
        <w:tc>
          <w:tcPr>
            <w:tcW w:w="2129" w:type="dxa"/>
            <w:tcBorders>
              <w:top w:val="single" w:sz="4" w:space="0" w:color="FFFFFF" w:themeColor="background1"/>
              <w:left w:val="single" w:sz="4" w:space="0" w:color="370663"/>
              <w:bottom w:val="single" w:sz="4" w:space="0" w:color="FFFFFF" w:themeColor="background1"/>
              <w:right w:val="single" w:sz="4" w:space="0" w:color="808080"/>
            </w:tcBorders>
            <w:shd w:val="clear" w:color="auto" w:fill="370663"/>
            <w:vAlign w:val="center"/>
          </w:tcPr>
          <w:p w14:paraId="72F6FCD5" w14:textId="77777777" w:rsidR="00E444E3" w:rsidRPr="00E444E3" w:rsidRDefault="00E444E3" w:rsidP="00E444E3">
            <w:pPr>
              <w:keepNext/>
              <w:spacing w:before="100"/>
              <w:jc w:val="center"/>
              <w:cnfStyle w:val="000000000000" w:firstRow="0" w:lastRow="0" w:firstColumn="0" w:lastColumn="0" w:oddVBand="0" w:evenVBand="0" w:oddHBand="0" w:evenHBand="0" w:firstRowFirstColumn="0" w:firstRowLastColumn="0" w:lastRowFirstColumn="0" w:lastRowLastColumn="0"/>
              <w:rPr>
                <w:rFonts w:cs="Arial"/>
                <w:b/>
                <w:bCs/>
              </w:rPr>
            </w:pPr>
          </w:p>
        </w:tc>
      </w:tr>
      <w:tr w:rsidR="009F71D8" w:rsidRPr="00CB0C7A" w14:paraId="767DE842" w14:textId="77777777" w:rsidTr="00820B93">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941" w:type="dxa"/>
            <w:tcBorders>
              <w:top w:val="single" w:sz="8" w:space="0" w:color="A6A6A6" w:themeColor="background1" w:themeShade="A6"/>
              <w:left w:val="single" w:sz="8" w:space="0" w:color="A6A6A6" w:themeColor="background1" w:themeShade="A6"/>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5A12E1C" w14:textId="24044483" w:rsidR="009F71D8" w:rsidRPr="005167CD" w:rsidRDefault="009F71D8" w:rsidP="00027223">
            <w:pPr>
              <w:pStyle w:val="ListParagraph"/>
              <w:keepNext/>
              <w:numPr>
                <w:ilvl w:val="0"/>
                <w:numId w:val="8"/>
              </w:numPr>
              <w:spacing w:before="40" w:after="40" w:line="240" w:lineRule="auto"/>
              <w:rPr>
                <w:rFonts w:cs="Arial"/>
              </w:rPr>
            </w:pPr>
            <w:r>
              <w:rPr>
                <w:rFonts w:cs="Arial"/>
                <w:b w:val="0"/>
                <w:color w:val="auto"/>
              </w:rPr>
              <w:t>‘Totally</w:t>
            </w:r>
            <w:r w:rsidRPr="00315389">
              <w:rPr>
                <w:rFonts w:cs="Arial"/>
                <w:b w:val="0"/>
                <w:color w:val="auto"/>
              </w:rPr>
              <w:t xml:space="preserve"> satisfied’ </w:t>
            </w:r>
            <w:r>
              <w:rPr>
                <w:rFonts w:cs="Arial"/>
                <w:b w:val="0"/>
                <w:color w:val="auto"/>
              </w:rPr>
              <w:t>j</w:t>
            </w:r>
            <w:r w:rsidRPr="005167CD">
              <w:rPr>
                <w:rFonts w:cs="Arial"/>
                <w:b w:val="0"/>
                <w:color w:val="auto"/>
              </w:rPr>
              <w:t xml:space="preserve">ob satisfaction </w:t>
            </w:r>
          </w:p>
        </w:tc>
        <w:tc>
          <w:tcPr>
            <w:tcW w:w="2129" w:type="dxa"/>
            <w:tcBorders>
              <w:top w:val="single" w:sz="8" w:space="0" w:color="A6A6A6" w:themeColor="background1" w:themeShade="A6"/>
              <w:left w:val="single" w:sz="8" w:space="0" w:color="BFBFBF" w:themeColor="background1" w:themeShade="BF"/>
              <w:right w:val="single" w:sz="8" w:space="0" w:color="A6A6A6" w:themeColor="background1" w:themeShade="A6"/>
            </w:tcBorders>
            <w:shd w:val="clear" w:color="auto" w:fill="52BD7F"/>
            <w:vAlign w:val="center"/>
          </w:tcPr>
          <w:p w14:paraId="5372CF0C" w14:textId="52C52DEE" w:rsidR="009F71D8" w:rsidRPr="00E444E3" w:rsidRDefault="009F71D8" w:rsidP="009F71D8">
            <w:pPr>
              <w:keepNext/>
              <w:jc w:val="center"/>
              <w:cnfStyle w:val="000000100000" w:firstRow="0" w:lastRow="0" w:firstColumn="0" w:lastColumn="0" w:oddVBand="0" w:evenVBand="0" w:oddHBand="1" w:evenHBand="0" w:firstRowFirstColumn="0" w:firstRowLastColumn="0" w:lastRowFirstColumn="0" w:lastRowLastColumn="0"/>
              <w:rPr>
                <w:rFonts w:cs="Arial"/>
                <w:b/>
              </w:rPr>
            </w:pPr>
            <w:r w:rsidRPr="00E444E3">
              <w:rPr>
                <w:rFonts w:cs="Arial"/>
                <w:b/>
              </w:rPr>
              <w:t>Green</w:t>
            </w:r>
          </w:p>
        </w:tc>
      </w:tr>
      <w:tr w:rsidR="009F71D8" w:rsidRPr="00CB0C7A" w14:paraId="6ED215B1" w14:textId="77777777" w:rsidTr="00820B93">
        <w:trPr>
          <w:trHeight w:val="680"/>
        </w:trPr>
        <w:tc>
          <w:tcPr>
            <w:cnfStyle w:val="001000000000" w:firstRow="0" w:lastRow="0" w:firstColumn="1" w:lastColumn="0" w:oddVBand="0" w:evenVBand="0" w:oddHBand="0" w:evenHBand="0" w:firstRowFirstColumn="0" w:firstRowLastColumn="0" w:lastRowFirstColumn="0" w:lastRowLastColumn="0"/>
            <w:tcW w:w="6941" w:type="dxa"/>
            <w:tcBorders>
              <w:top w:val="single" w:sz="8" w:space="0" w:color="BFBFBF" w:themeColor="background1" w:themeShade="BF"/>
              <w:left w:val="single" w:sz="8" w:space="0" w:color="A6A6A6" w:themeColor="background1" w:themeShade="A6"/>
              <w:bottom w:val="single" w:sz="8" w:space="0" w:color="BFBFBF" w:themeColor="background1" w:themeShade="BF"/>
              <w:right w:val="single" w:sz="8" w:space="0" w:color="BFBFBF" w:themeColor="background1" w:themeShade="BF"/>
            </w:tcBorders>
            <w:shd w:val="clear" w:color="auto" w:fill="FFFFFF" w:themeFill="background1"/>
            <w:vAlign w:val="center"/>
          </w:tcPr>
          <w:p w14:paraId="7CB00359" w14:textId="569AB5AC" w:rsidR="009F71D8" w:rsidRPr="005167CD" w:rsidRDefault="009F71D8" w:rsidP="00027223">
            <w:pPr>
              <w:pStyle w:val="ListParagraph"/>
              <w:keepNext/>
              <w:numPr>
                <w:ilvl w:val="0"/>
                <w:numId w:val="8"/>
              </w:numPr>
              <w:spacing w:before="40" w:after="40" w:line="240" w:lineRule="auto"/>
              <w:rPr>
                <w:rFonts w:cs="Arial"/>
                <w:b w:val="0"/>
                <w:color w:val="auto"/>
              </w:rPr>
            </w:pPr>
            <w:r w:rsidRPr="005167CD">
              <w:rPr>
                <w:rFonts w:cs="Arial"/>
                <w:b w:val="0"/>
                <w:color w:val="auto"/>
              </w:rPr>
              <w:t>Underemployment</w:t>
            </w:r>
          </w:p>
        </w:tc>
        <w:tc>
          <w:tcPr>
            <w:tcW w:w="2129" w:type="dxa"/>
            <w:tcBorders>
              <w:left w:val="single" w:sz="8" w:space="0" w:color="BFBFBF" w:themeColor="background1" w:themeShade="BF"/>
              <w:right w:val="single" w:sz="8" w:space="0" w:color="A6A6A6" w:themeColor="background1" w:themeShade="A6"/>
            </w:tcBorders>
            <w:shd w:val="clear" w:color="auto" w:fill="52BD7F"/>
            <w:vAlign w:val="center"/>
          </w:tcPr>
          <w:p w14:paraId="077D5928" w14:textId="77777777" w:rsidR="009F71D8" w:rsidRPr="00E444E3" w:rsidRDefault="009F71D8" w:rsidP="00651C31">
            <w:pPr>
              <w:keepNext/>
              <w:jc w:val="center"/>
              <w:cnfStyle w:val="000000000000" w:firstRow="0" w:lastRow="0" w:firstColumn="0" w:lastColumn="0" w:oddVBand="0" w:evenVBand="0" w:oddHBand="0" w:evenHBand="0" w:firstRowFirstColumn="0" w:firstRowLastColumn="0" w:lastRowFirstColumn="0" w:lastRowLastColumn="0"/>
              <w:rPr>
                <w:rFonts w:cs="Arial"/>
                <w:highlight w:val="yellow"/>
              </w:rPr>
            </w:pPr>
            <w:r w:rsidRPr="00E444E3">
              <w:rPr>
                <w:rFonts w:cs="Arial"/>
                <w:b/>
              </w:rPr>
              <w:t>Green</w:t>
            </w:r>
          </w:p>
        </w:tc>
      </w:tr>
      <w:tr w:rsidR="009F71D8" w:rsidRPr="00CB0C7A" w14:paraId="7ADA161F" w14:textId="77777777" w:rsidTr="00820B93">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941" w:type="dxa"/>
            <w:tcBorders>
              <w:top w:val="single" w:sz="8" w:space="0" w:color="BFBFBF" w:themeColor="background1" w:themeShade="BF"/>
              <w:left w:val="single" w:sz="8" w:space="0" w:color="A6A6A6" w:themeColor="background1" w:themeShade="A6"/>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C97100E" w14:textId="7E58DBF5" w:rsidR="009F71D8" w:rsidRPr="005167CD" w:rsidRDefault="009F71D8" w:rsidP="00027223">
            <w:pPr>
              <w:pStyle w:val="ListParagraph"/>
              <w:numPr>
                <w:ilvl w:val="0"/>
                <w:numId w:val="8"/>
              </w:numPr>
              <w:spacing w:before="40" w:after="40" w:line="240" w:lineRule="auto"/>
              <w:rPr>
                <w:rFonts w:cs="Arial"/>
                <w:b w:val="0"/>
                <w:color w:val="auto"/>
              </w:rPr>
            </w:pPr>
            <w:r w:rsidRPr="005167CD">
              <w:rPr>
                <w:rFonts w:cs="Arial"/>
                <w:b w:val="0"/>
                <w:color w:val="auto"/>
              </w:rPr>
              <w:t xml:space="preserve">Income </w:t>
            </w:r>
            <w:r>
              <w:rPr>
                <w:rFonts w:cs="Arial"/>
                <w:b w:val="0"/>
                <w:color w:val="auto"/>
              </w:rPr>
              <w:t>inequality ratio</w:t>
            </w:r>
          </w:p>
        </w:tc>
        <w:tc>
          <w:tcPr>
            <w:tcW w:w="2129" w:type="dxa"/>
            <w:tcBorders>
              <w:left w:val="single" w:sz="8" w:space="0" w:color="BFBFBF" w:themeColor="background1" w:themeShade="BF"/>
              <w:right w:val="single" w:sz="8" w:space="0" w:color="A6A6A6" w:themeColor="background1" w:themeShade="A6"/>
            </w:tcBorders>
            <w:shd w:val="clear" w:color="auto" w:fill="FFAD4C"/>
            <w:vAlign w:val="center"/>
          </w:tcPr>
          <w:p w14:paraId="1A4F9A2B" w14:textId="0D008EEB" w:rsidR="009F71D8" w:rsidRPr="00E444E3" w:rsidRDefault="009F71D8" w:rsidP="009F71D8">
            <w:pPr>
              <w:jc w:val="center"/>
              <w:cnfStyle w:val="000000100000" w:firstRow="0" w:lastRow="0" w:firstColumn="0" w:lastColumn="0" w:oddVBand="0" w:evenVBand="0" w:oddHBand="1" w:evenHBand="0" w:firstRowFirstColumn="0" w:firstRowLastColumn="0" w:lastRowFirstColumn="0" w:lastRowLastColumn="0"/>
              <w:rPr>
                <w:rFonts w:cs="Arial"/>
                <w:b/>
                <w:highlight w:val="yellow"/>
              </w:rPr>
            </w:pPr>
            <w:r w:rsidRPr="00E444E3">
              <w:rPr>
                <w:rFonts w:cs="Arial"/>
                <w:b/>
                <w:bCs/>
              </w:rPr>
              <w:t>Orange</w:t>
            </w:r>
          </w:p>
        </w:tc>
      </w:tr>
      <w:tr w:rsidR="002B4A73" w:rsidRPr="00CB0C7A" w14:paraId="6E6F44E0" w14:textId="77777777" w:rsidTr="00820B93">
        <w:trPr>
          <w:trHeight w:val="680"/>
        </w:trPr>
        <w:tc>
          <w:tcPr>
            <w:cnfStyle w:val="001000000000" w:firstRow="0" w:lastRow="0" w:firstColumn="1" w:lastColumn="0" w:oddVBand="0" w:evenVBand="0" w:oddHBand="0" w:evenHBand="0" w:firstRowFirstColumn="0" w:firstRowLastColumn="0" w:lastRowFirstColumn="0" w:lastRowLastColumn="0"/>
            <w:tcW w:w="6941" w:type="dxa"/>
            <w:tcBorders>
              <w:top w:val="single" w:sz="8" w:space="0" w:color="BFBFBF" w:themeColor="background1" w:themeShade="BF"/>
              <w:left w:val="single" w:sz="8" w:space="0" w:color="A6A6A6" w:themeColor="background1" w:themeShade="A6"/>
              <w:bottom w:val="single" w:sz="8" w:space="0" w:color="A6A6A6" w:themeColor="background1" w:themeShade="A6"/>
              <w:right w:val="single" w:sz="8" w:space="0" w:color="BFBFBF" w:themeColor="background1" w:themeShade="BF"/>
            </w:tcBorders>
            <w:shd w:val="clear" w:color="auto" w:fill="FFFFFF" w:themeFill="background1"/>
            <w:vAlign w:val="center"/>
          </w:tcPr>
          <w:p w14:paraId="3FEA212A" w14:textId="089AA632" w:rsidR="002B4A73" w:rsidRPr="002B4A73" w:rsidRDefault="00612BC4" w:rsidP="00027223">
            <w:pPr>
              <w:pStyle w:val="ListParagraph"/>
              <w:numPr>
                <w:ilvl w:val="0"/>
                <w:numId w:val="8"/>
              </w:numPr>
              <w:spacing w:before="40" w:after="40" w:line="240" w:lineRule="auto"/>
              <w:rPr>
                <w:rFonts w:cs="Arial"/>
                <w:b w:val="0"/>
                <w:bCs w:val="0"/>
              </w:rPr>
            </w:pPr>
            <w:r w:rsidRPr="00E014A3">
              <w:rPr>
                <w:rFonts w:cs="Arial"/>
                <w:b w:val="0"/>
                <w:color w:val="auto"/>
              </w:rPr>
              <w:t>Workers</w:t>
            </w:r>
            <w:r w:rsidRPr="00E014A3">
              <w:rPr>
                <w:rFonts w:cs="Arial"/>
                <w:b w:val="0"/>
                <w:color w:val="auto"/>
                <w:lang w:val="en-US"/>
              </w:rPr>
              <w:t>’</w:t>
            </w:r>
            <w:r w:rsidRPr="00E014A3">
              <w:rPr>
                <w:rFonts w:cs="Arial"/>
                <w:b w:val="0"/>
                <w:color w:val="auto"/>
              </w:rPr>
              <w:t xml:space="preserve"> compensation</w:t>
            </w:r>
            <w:r w:rsidR="002B4A73" w:rsidRPr="00E014A3">
              <w:rPr>
                <w:rFonts w:cs="Arial"/>
                <w:b w:val="0"/>
                <w:color w:val="auto"/>
              </w:rPr>
              <w:t xml:space="preserve"> incidence rate</w:t>
            </w:r>
          </w:p>
        </w:tc>
        <w:tc>
          <w:tcPr>
            <w:tcW w:w="2129" w:type="dxa"/>
            <w:tcBorders>
              <w:left w:val="single" w:sz="8" w:space="0" w:color="BFBFBF" w:themeColor="background1" w:themeShade="BF"/>
              <w:bottom w:val="single" w:sz="8" w:space="0" w:color="A6A6A6" w:themeColor="background1" w:themeShade="A6"/>
              <w:right w:val="single" w:sz="8" w:space="0" w:color="A6A6A6" w:themeColor="background1" w:themeShade="A6"/>
            </w:tcBorders>
            <w:shd w:val="clear" w:color="auto" w:fill="FFAD4C"/>
            <w:vAlign w:val="center"/>
          </w:tcPr>
          <w:p w14:paraId="140712F7" w14:textId="3F1BA089" w:rsidR="002B4A73" w:rsidRPr="00E444E3" w:rsidRDefault="00022551" w:rsidP="009F71D8">
            <w:pPr>
              <w:jc w:val="center"/>
              <w:cnfStyle w:val="000000000000" w:firstRow="0" w:lastRow="0" w:firstColumn="0" w:lastColumn="0" w:oddVBand="0" w:evenVBand="0" w:oddHBand="0" w:evenHBand="0" w:firstRowFirstColumn="0" w:firstRowLastColumn="0" w:lastRowFirstColumn="0" w:lastRowLastColumn="0"/>
              <w:rPr>
                <w:rFonts w:cs="Arial"/>
                <w:b/>
                <w:bCs/>
              </w:rPr>
            </w:pPr>
            <w:r w:rsidRPr="00E444E3">
              <w:rPr>
                <w:rFonts w:cs="Arial"/>
                <w:b/>
                <w:bCs/>
              </w:rPr>
              <w:t>Orange</w:t>
            </w:r>
          </w:p>
        </w:tc>
      </w:tr>
    </w:tbl>
    <w:p w14:paraId="6D31C3FF" w14:textId="5DFC0BEB" w:rsidR="00D95E9A" w:rsidRPr="00037301" w:rsidRDefault="00D95E9A" w:rsidP="00037301">
      <w:pPr>
        <w:pStyle w:val="Heading4"/>
      </w:pPr>
      <w:r w:rsidRPr="00037301">
        <w:t>Contributing indicators</w:t>
      </w:r>
    </w:p>
    <w:p w14:paraId="595D1CF8" w14:textId="77777777" w:rsidR="00EC7FB6" w:rsidRPr="00037301" w:rsidRDefault="00EC7FB6" w:rsidP="00037301">
      <w:pPr>
        <w:pStyle w:val="Heading5"/>
      </w:pPr>
      <w:r w:rsidRPr="00037301">
        <w:t>Job Satisfaction</w:t>
      </w:r>
    </w:p>
    <w:p w14:paraId="642D3699" w14:textId="102886EC" w:rsidR="00EC7FB6" w:rsidRPr="00352719" w:rsidRDefault="006470FB" w:rsidP="006470FB">
      <w:pPr>
        <w:pStyle w:val="Caption"/>
        <w:rPr>
          <w:b w:val="0"/>
        </w:rPr>
      </w:pPr>
      <w:r>
        <w:t xml:space="preserve">Table </w:t>
      </w:r>
      <w:r>
        <w:fldChar w:fldCharType="begin"/>
      </w:r>
      <w:r>
        <w:instrText xml:space="preserve"> SEQ Table \* ARABIC </w:instrText>
      </w:r>
      <w:r>
        <w:fldChar w:fldCharType="separate"/>
      </w:r>
      <w:r w:rsidR="00471863">
        <w:rPr>
          <w:noProof/>
        </w:rPr>
        <w:t>17</w:t>
      </w:r>
      <w:r>
        <w:fldChar w:fldCharType="end"/>
      </w:r>
      <w:r w:rsidR="00EC7FB6" w:rsidRPr="00352719">
        <w:t>: Proportion of employed who self-report ‘totally satisfied’ with their job (%)</w:t>
      </w:r>
    </w:p>
    <w:tbl>
      <w:tblPr>
        <w:tblStyle w:val="GridTable5Dark-Accent12"/>
        <w:tblW w:w="8634" w:type="dxa"/>
        <w:tblLook w:val="04A0" w:firstRow="1" w:lastRow="0" w:firstColumn="1" w:lastColumn="0" w:noHBand="0" w:noVBand="1"/>
      </w:tblPr>
      <w:tblGrid>
        <w:gridCol w:w="2078"/>
        <w:gridCol w:w="1115"/>
        <w:gridCol w:w="1130"/>
        <w:gridCol w:w="1673"/>
        <w:gridCol w:w="1120"/>
        <w:gridCol w:w="1518"/>
      </w:tblGrid>
      <w:tr w:rsidR="00EC7FB6" w:rsidRPr="00207C36" w14:paraId="5A62FB2B" w14:textId="77777777">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000000"/>
              <w:left w:val="single" w:sz="4" w:space="0" w:color="auto"/>
              <w:right w:val="single" w:sz="4" w:space="0" w:color="FFFFFF" w:themeColor="background1"/>
            </w:tcBorders>
            <w:shd w:val="clear" w:color="auto" w:fill="370663"/>
          </w:tcPr>
          <w:p w14:paraId="359489FD" w14:textId="77777777" w:rsidR="00EC7FB6" w:rsidRPr="00FF4EAE" w:rsidRDefault="00EC7FB6">
            <w:pPr>
              <w:spacing w:after="160"/>
              <w:rPr>
                <w:rFonts w:cs="Arial"/>
                <w:color w:val="auto"/>
                <w:sz w:val="20"/>
                <w:szCs w:val="20"/>
              </w:rPr>
            </w:pPr>
          </w:p>
        </w:tc>
        <w:tc>
          <w:tcPr>
            <w:tcW w:w="1134" w:type="dxa"/>
            <w:tcBorders>
              <w:top w:val="single" w:sz="4" w:space="0" w:color="000000"/>
              <w:left w:val="single" w:sz="4" w:space="0" w:color="FFFFFF" w:themeColor="background1"/>
              <w:right w:val="single" w:sz="4" w:space="0" w:color="FFFFFF" w:themeColor="background1"/>
            </w:tcBorders>
            <w:shd w:val="clear" w:color="auto" w:fill="370663"/>
            <w:vAlign w:val="center"/>
          </w:tcPr>
          <w:p w14:paraId="1E7E72CC" w14:textId="77777777" w:rsidR="00EC7FB6" w:rsidRPr="00FF4EAE" w:rsidRDefault="00EC7FB6">
            <w:pPr>
              <w:spacing w:after="16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FF4EAE">
              <w:rPr>
                <w:rFonts w:eastAsia="Aptos" w:cs="Arial"/>
                <w:sz w:val="20"/>
                <w:szCs w:val="20"/>
              </w:rPr>
              <w:t>Rating</w:t>
            </w:r>
          </w:p>
        </w:tc>
        <w:tc>
          <w:tcPr>
            <w:tcW w:w="1134" w:type="dxa"/>
            <w:tcBorders>
              <w:top w:val="single" w:sz="4" w:space="0" w:color="000000"/>
              <w:left w:val="single" w:sz="4" w:space="0" w:color="FFFFFF" w:themeColor="background1"/>
              <w:right w:val="single" w:sz="4" w:space="0" w:color="FFFFFF" w:themeColor="background1"/>
            </w:tcBorders>
            <w:shd w:val="clear" w:color="auto" w:fill="370663"/>
            <w:vAlign w:val="center"/>
          </w:tcPr>
          <w:p w14:paraId="7406C550" w14:textId="77777777" w:rsidR="00EC7FB6" w:rsidRPr="00FF4EAE" w:rsidRDefault="00EC7FB6">
            <w:pPr>
              <w:spacing w:after="16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FF4EAE">
              <w:rPr>
                <w:rFonts w:eastAsia="Aptos" w:cs="Arial"/>
                <w:sz w:val="20"/>
                <w:szCs w:val="20"/>
              </w:rPr>
              <w:t>Current rate in Regional Australia</w:t>
            </w:r>
          </w:p>
        </w:tc>
        <w:tc>
          <w:tcPr>
            <w:tcW w:w="1450" w:type="dxa"/>
            <w:tcBorders>
              <w:top w:val="single" w:sz="4" w:space="0" w:color="000000"/>
              <w:left w:val="single" w:sz="4" w:space="0" w:color="FFFFFF" w:themeColor="background1"/>
              <w:right w:val="single" w:sz="4" w:space="0" w:color="FFFFFF" w:themeColor="background1"/>
            </w:tcBorders>
            <w:shd w:val="clear" w:color="auto" w:fill="370663"/>
            <w:vAlign w:val="center"/>
          </w:tcPr>
          <w:p w14:paraId="42CC79A9" w14:textId="77777777" w:rsidR="00EC7FB6" w:rsidRPr="00FF4EAE" w:rsidRDefault="00EC7FB6">
            <w:pPr>
              <w:spacing w:after="16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FF4EAE">
              <w:rPr>
                <w:rFonts w:eastAsia="Aptos" w:cs="Arial"/>
                <w:sz w:val="20"/>
                <w:szCs w:val="20"/>
              </w:rPr>
              <w:t>Current Trend</w:t>
            </w:r>
          </w:p>
        </w:tc>
        <w:tc>
          <w:tcPr>
            <w:tcW w:w="1140" w:type="dxa"/>
            <w:tcBorders>
              <w:left w:val="single" w:sz="4" w:space="0" w:color="FFFFFF" w:themeColor="background1"/>
              <w:right w:val="single" w:sz="4" w:space="0" w:color="FFFFFF" w:themeColor="background1"/>
            </w:tcBorders>
            <w:shd w:val="clear" w:color="auto" w:fill="370663"/>
            <w:vAlign w:val="center"/>
          </w:tcPr>
          <w:p w14:paraId="39641BF1" w14:textId="77777777" w:rsidR="00EC7FB6" w:rsidRPr="00FF4EAE" w:rsidRDefault="00EC7FB6">
            <w:pPr>
              <w:spacing w:after="16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FF4EAE">
              <w:rPr>
                <w:rFonts w:eastAsia="Aptos" w:cs="Arial"/>
                <w:sz w:val="20"/>
                <w:szCs w:val="20"/>
              </w:rPr>
              <w:t>Best on record</w:t>
            </w:r>
          </w:p>
        </w:tc>
        <w:tc>
          <w:tcPr>
            <w:tcW w:w="1565" w:type="dxa"/>
            <w:tcBorders>
              <w:top w:val="single" w:sz="4" w:space="0" w:color="auto"/>
              <w:left w:val="single" w:sz="4" w:space="0" w:color="FFFFFF" w:themeColor="background1"/>
              <w:right w:val="single" w:sz="4" w:space="0" w:color="000000"/>
            </w:tcBorders>
            <w:shd w:val="clear" w:color="auto" w:fill="370663"/>
            <w:vAlign w:val="center"/>
          </w:tcPr>
          <w:p w14:paraId="5090B455" w14:textId="4CB6660B" w:rsidR="00EC7FB6" w:rsidRPr="00FF4EAE" w:rsidRDefault="003A7518">
            <w:pPr>
              <w:spacing w:after="16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CB0C7A">
              <w:rPr>
                <w:rFonts w:cs="Arial"/>
                <w:sz w:val="20"/>
              </w:rPr>
              <w:t xml:space="preserve">Gap to </w:t>
            </w:r>
            <w:r>
              <w:rPr>
                <w:rFonts w:cs="Arial"/>
                <w:sz w:val="20"/>
              </w:rPr>
              <w:t>the Major Cities</w:t>
            </w:r>
          </w:p>
        </w:tc>
      </w:tr>
      <w:tr w:rsidR="00EC7FB6" w:rsidRPr="00207C36" w14:paraId="4DFB14EE" w14:textId="77777777" w:rsidTr="00800D1C">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2132" w:type="dxa"/>
            <w:tcBorders>
              <w:left w:val="single" w:sz="4" w:space="0" w:color="auto"/>
              <w:bottom w:val="single" w:sz="4" w:space="0" w:color="auto"/>
            </w:tcBorders>
            <w:shd w:val="clear" w:color="auto" w:fill="E0D1F5" w:themeFill="accent1" w:themeFillTint="33"/>
            <w:vAlign w:val="center"/>
          </w:tcPr>
          <w:p w14:paraId="224A75BE" w14:textId="77777777" w:rsidR="00EC7FB6" w:rsidRPr="00800D1C" w:rsidRDefault="00EC7FB6">
            <w:pPr>
              <w:spacing w:after="160"/>
              <w:rPr>
                <w:rFonts w:cs="Arial"/>
                <w:b w:val="0"/>
                <w:bCs w:val="0"/>
                <w:color w:val="auto"/>
              </w:rPr>
            </w:pPr>
            <w:r w:rsidRPr="00800D1C">
              <w:rPr>
                <w:rFonts w:cs="Arial"/>
                <w:b w:val="0"/>
                <w:bCs w:val="0"/>
                <w:color w:val="auto"/>
              </w:rPr>
              <w:t>Job satisfaction (%)</w:t>
            </w:r>
          </w:p>
        </w:tc>
        <w:tc>
          <w:tcPr>
            <w:tcW w:w="1134" w:type="dxa"/>
            <w:tcBorders>
              <w:bottom w:val="single" w:sz="4" w:space="0" w:color="auto"/>
            </w:tcBorders>
            <w:shd w:val="clear" w:color="auto" w:fill="52BD7F"/>
            <w:vAlign w:val="center"/>
          </w:tcPr>
          <w:p w14:paraId="1D93BAB0" w14:textId="77777777" w:rsidR="00EC7FB6" w:rsidRPr="00800D1C" w:rsidRDefault="00EC7FB6">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800D1C">
              <w:rPr>
                <w:rFonts w:cs="Arial"/>
              </w:rPr>
              <w:t>Green</w:t>
            </w:r>
          </w:p>
        </w:tc>
        <w:tc>
          <w:tcPr>
            <w:tcW w:w="1134" w:type="dxa"/>
            <w:tcBorders>
              <w:bottom w:val="single" w:sz="4" w:space="0" w:color="auto"/>
            </w:tcBorders>
            <w:shd w:val="clear" w:color="auto" w:fill="52BD7F"/>
            <w:vAlign w:val="center"/>
          </w:tcPr>
          <w:p w14:paraId="476DC269" w14:textId="776011D5" w:rsidR="00EC7FB6" w:rsidRPr="00800D1C" w:rsidRDefault="00EC7FB6">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800D1C">
              <w:rPr>
                <w:rFonts w:cs="Arial"/>
              </w:rPr>
              <w:t>3</w:t>
            </w:r>
            <w:r w:rsidR="00534CA3" w:rsidRPr="00800D1C">
              <w:rPr>
                <w:rFonts w:cs="Arial"/>
              </w:rPr>
              <w:t>8.</w:t>
            </w:r>
            <w:r w:rsidR="006D2839" w:rsidRPr="00800D1C">
              <w:rPr>
                <w:rFonts w:cs="Arial"/>
              </w:rPr>
              <w:t>8</w:t>
            </w:r>
            <w:r w:rsidRPr="00800D1C">
              <w:rPr>
                <w:rFonts w:cs="Arial"/>
              </w:rPr>
              <w:t>%</w:t>
            </w:r>
          </w:p>
        </w:tc>
        <w:tc>
          <w:tcPr>
            <w:tcW w:w="1701" w:type="dxa"/>
            <w:tcBorders>
              <w:bottom w:val="single" w:sz="4" w:space="0" w:color="auto"/>
              <w:right w:val="single" w:sz="4" w:space="0" w:color="BFBFBF"/>
            </w:tcBorders>
            <w:shd w:val="clear" w:color="auto" w:fill="F2F2F2" w:themeFill="background1" w:themeFillShade="F2"/>
            <w:vAlign w:val="center"/>
          </w:tcPr>
          <w:p w14:paraId="58C81321" w14:textId="77777777" w:rsidR="00EC7FB6" w:rsidRPr="00800D1C" w:rsidRDefault="00EC7FB6">
            <w:pPr>
              <w:spacing w:after="160"/>
              <w:jc w:val="center"/>
              <w:cnfStyle w:val="000000100000" w:firstRow="0" w:lastRow="0" w:firstColumn="0" w:lastColumn="0" w:oddVBand="0" w:evenVBand="0" w:oddHBand="1" w:evenHBand="0" w:firstRowFirstColumn="0" w:firstRowLastColumn="0" w:lastRowFirstColumn="0" w:lastRowLastColumn="0"/>
              <w:rPr>
                <w:rFonts w:cs="Arial"/>
                <w:b/>
                <w:bCs/>
              </w:rPr>
            </w:pPr>
            <w:r w:rsidRPr="00800D1C">
              <w:rPr>
                <w:rFonts w:cs="Arial"/>
                <w:b/>
                <w:bCs/>
              </w:rPr>
              <w:t>Improving</w:t>
            </w:r>
          </w:p>
        </w:tc>
        <w:tc>
          <w:tcPr>
            <w:tcW w:w="981" w:type="dxa"/>
            <w:tcBorders>
              <w:left w:val="single" w:sz="4" w:space="0" w:color="BFBFBF"/>
              <w:bottom w:val="single" w:sz="4" w:space="0" w:color="auto"/>
              <w:right w:val="single" w:sz="4" w:space="0" w:color="BFBFBF"/>
            </w:tcBorders>
            <w:shd w:val="clear" w:color="auto" w:fill="F2F2F2" w:themeFill="background1" w:themeFillShade="F2"/>
            <w:vAlign w:val="center"/>
          </w:tcPr>
          <w:p w14:paraId="0E92C2CA" w14:textId="7E2D81EE" w:rsidR="00EC7FB6" w:rsidRPr="00800D1C" w:rsidRDefault="00EC7FB6">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800D1C">
              <w:rPr>
                <w:rFonts w:cs="Arial"/>
              </w:rPr>
              <w:t>4</w:t>
            </w:r>
            <w:r w:rsidR="00F46E1E" w:rsidRPr="00800D1C">
              <w:rPr>
                <w:rFonts w:cs="Arial"/>
              </w:rPr>
              <w:t>0.9</w:t>
            </w:r>
            <w:r w:rsidRPr="00800D1C">
              <w:rPr>
                <w:rFonts w:cs="Arial"/>
              </w:rPr>
              <w:t>%</w:t>
            </w:r>
          </w:p>
          <w:p w14:paraId="2F478524" w14:textId="77777777" w:rsidR="00EC7FB6" w:rsidRPr="00800D1C" w:rsidRDefault="00EC7FB6">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800D1C">
              <w:rPr>
                <w:rFonts w:cs="Arial"/>
                <w:sz w:val="20"/>
                <w:szCs w:val="20"/>
              </w:rPr>
              <w:t>(2001)</w:t>
            </w:r>
          </w:p>
        </w:tc>
        <w:tc>
          <w:tcPr>
            <w:tcW w:w="1565" w:type="dxa"/>
            <w:tcBorders>
              <w:left w:val="single" w:sz="4" w:space="0" w:color="BFBFBF"/>
              <w:bottom w:val="single" w:sz="4" w:space="0" w:color="auto"/>
              <w:right w:val="single" w:sz="4" w:space="0" w:color="000000"/>
            </w:tcBorders>
            <w:shd w:val="clear" w:color="auto" w:fill="52BD7F"/>
            <w:vAlign w:val="center"/>
          </w:tcPr>
          <w:p w14:paraId="65CB9409" w14:textId="370B8C40" w:rsidR="00EC7FB6" w:rsidRPr="00800D1C" w:rsidRDefault="00EC7FB6">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800D1C">
              <w:rPr>
                <w:rFonts w:cs="Arial"/>
              </w:rPr>
              <w:t>+</w:t>
            </w:r>
            <w:r w:rsidR="00D56488" w:rsidRPr="00800D1C">
              <w:rPr>
                <w:rFonts w:cs="Arial"/>
              </w:rPr>
              <w:t>5.8</w:t>
            </w:r>
            <w:r w:rsidRPr="00800D1C">
              <w:rPr>
                <w:rFonts w:cs="Arial"/>
              </w:rPr>
              <w:t>% pts</w:t>
            </w:r>
          </w:p>
        </w:tc>
      </w:tr>
    </w:tbl>
    <w:p w14:paraId="345ECB60" w14:textId="77777777" w:rsidR="00EC7FB6" w:rsidRPr="00B02E58" w:rsidRDefault="00EC7FB6" w:rsidP="00EC7FB6">
      <w:pPr>
        <w:rPr>
          <w:rFonts w:cs="Arial"/>
          <w:i/>
          <w:sz w:val="18"/>
          <w:szCs w:val="18"/>
        </w:rPr>
      </w:pPr>
      <w:r w:rsidRPr="00B02E58">
        <w:rPr>
          <w:rFonts w:cs="Arial"/>
          <w:i/>
          <w:sz w:val="18"/>
          <w:szCs w:val="18"/>
        </w:rPr>
        <w:t xml:space="preserve">Source: Melbourne University, </w:t>
      </w:r>
      <w:r w:rsidRPr="00B02E58">
        <w:rPr>
          <w:rFonts w:eastAsia="Aptos" w:cs="Arial"/>
          <w:i/>
          <w:sz w:val="18"/>
          <w:szCs w:val="18"/>
        </w:rPr>
        <w:t xml:space="preserve">Household, Income and Labour Dynamics in Australia (HILDA) Survey. </w:t>
      </w:r>
    </w:p>
    <w:p w14:paraId="33ACDE58" w14:textId="77777777" w:rsidR="00EC7FB6" w:rsidRDefault="00EC7FB6" w:rsidP="00037301">
      <w:pPr>
        <w:pStyle w:val="BodyText"/>
      </w:pPr>
      <w:r w:rsidRPr="00B02E58">
        <w:t>A worker’s job satisfaction is not simply a matter of individual happiness</w:t>
      </w:r>
      <w:r>
        <w:t>,</w:t>
      </w:r>
      <w:r w:rsidRPr="00B02E58">
        <w:t xml:space="preserve"> but is closely linked to their decisions around </w:t>
      </w:r>
      <w:r>
        <w:t>how they work, how much they work, their recent and potential</w:t>
      </w:r>
      <w:r w:rsidRPr="00B02E58">
        <w:t xml:space="preserve"> mobility and </w:t>
      </w:r>
      <w:r>
        <w:t xml:space="preserve">their </w:t>
      </w:r>
      <w:r w:rsidRPr="00B02E58">
        <w:t xml:space="preserve">productivity. Job satisfaction can be influenced by a range of external and personal factors including work environment, financial compensation, job role, values, work-life balance and engagement. This is a key outcome of </w:t>
      </w:r>
      <w:r>
        <w:t>Vision Principle</w:t>
      </w:r>
      <w:r w:rsidRPr="00B02E58">
        <w:t xml:space="preserve"> </w:t>
      </w:r>
      <w:r>
        <w:t>3</w:t>
      </w:r>
      <w:r w:rsidRPr="00B02E58">
        <w:t>.</w:t>
      </w:r>
    </w:p>
    <w:p w14:paraId="09DA9FDA" w14:textId="77777777" w:rsidR="00EC7FB6" w:rsidRPr="00B02E58" w:rsidRDefault="00EC7FB6" w:rsidP="00037301">
      <w:pPr>
        <w:pStyle w:val="BodyText"/>
        <w:rPr>
          <w:rFonts w:eastAsia="Times New Roman"/>
        </w:rPr>
      </w:pPr>
      <w:r w:rsidRPr="00B02E58">
        <w:rPr>
          <w:rFonts w:eastAsia="Times New Roman"/>
        </w:rPr>
        <w:t xml:space="preserve">Research suggests that people living in Regional Australia tend to report higher levels of happiness and wellness compared to </w:t>
      </w:r>
      <w:r>
        <w:rPr>
          <w:rFonts w:eastAsia="Times New Roman"/>
        </w:rPr>
        <w:t>M</w:t>
      </w:r>
      <w:r w:rsidRPr="00B02E58">
        <w:rPr>
          <w:rFonts w:eastAsia="Times New Roman"/>
        </w:rPr>
        <w:t xml:space="preserve">ajor </w:t>
      </w:r>
      <w:r>
        <w:rPr>
          <w:rFonts w:eastAsia="Times New Roman"/>
        </w:rPr>
        <w:t>C</w:t>
      </w:r>
      <w:r w:rsidRPr="00B02E58">
        <w:rPr>
          <w:rFonts w:eastAsia="Times New Roman"/>
        </w:rPr>
        <w:t xml:space="preserve">ities, for a variety of reasons including a stronger sense of community, lower stress levels and lower cost of living. While not directly related these factors </w:t>
      </w:r>
      <w:r>
        <w:rPr>
          <w:rFonts w:eastAsia="Times New Roman"/>
        </w:rPr>
        <w:t>are likely to also</w:t>
      </w:r>
      <w:r w:rsidRPr="00B02E58">
        <w:rPr>
          <w:rFonts w:eastAsia="Times New Roman"/>
        </w:rPr>
        <w:t xml:space="preserve"> influence a person’s level of job satisfaction.   </w:t>
      </w:r>
    </w:p>
    <w:p w14:paraId="2333256B" w14:textId="1930F05E" w:rsidR="00EC7FB6" w:rsidRPr="00B02E58" w:rsidRDefault="00EC7FB6" w:rsidP="00037301">
      <w:pPr>
        <w:pStyle w:val="BodyText"/>
        <w:rPr>
          <w:rFonts w:eastAsia="Times New Roman"/>
        </w:rPr>
      </w:pPr>
      <w:r>
        <w:rPr>
          <w:rFonts w:eastAsia="Times New Roman"/>
        </w:rPr>
        <w:t xml:space="preserve">Those who report as being totally satisfied with their </w:t>
      </w:r>
      <w:r w:rsidRPr="00B02E58">
        <w:rPr>
          <w:rFonts w:eastAsia="Times New Roman"/>
        </w:rPr>
        <w:t xml:space="preserve">job in Regional Australia </w:t>
      </w:r>
      <w:r>
        <w:rPr>
          <w:rFonts w:eastAsia="Times New Roman"/>
        </w:rPr>
        <w:t>has</w:t>
      </w:r>
      <w:r w:rsidRPr="00B02E58">
        <w:rPr>
          <w:rFonts w:eastAsia="Times New Roman"/>
        </w:rPr>
        <w:t xml:space="preserve"> been relatively stable over the last </w:t>
      </w:r>
      <w:r>
        <w:rPr>
          <w:rFonts w:eastAsia="Times New Roman"/>
          <w:bCs/>
        </w:rPr>
        <w:t>couple of</w:t>
      </w:r>
      <w:r w:rsidRPr="00B02E58">
        <w:rPr>
          <w:rFonts w:eastAsia="Times New Roman"/>
        </w:rPr>
        <w:t xml:space="preserve"> decades, </w:t>
      </w:r>
      <w:r>
        <w:rPr>
          <w:rFonts w:eastAsia="Times New Roman"/>
        </w:rPr>
        <w:t xml:space="preserve">although more recently </w:t>
      </w:r>
      <w:r w:rsidRPr="00B02E58">
        <w:rPr>
          <w:rFonts w:eastAsia="Times New Roman"/>
        </w:rPr>
        <w:t xml:space="preserve">there has been considerable improvement </w:t>
      </w:r>
      <w:r>
        <w:rPr>
          <w:rFonts w:eastAsia="Times New Roman"/>
          <w:bCs/>
        </w:rPr>
        <w:t>from the pre</w:t>
      </w:r>
      <w:r w:rsidRPr="00B02E58">
        <w:rPr>
          <w:rFonts w:eastAsia="Times New Roman"/>
        </w:rPr>
        <w:t xml:space="preserve"> COVID-19</w:t>
      </w:r>
      <w:r>
        <w:rPr>
          <w:rFonts w:eastAsia="Times New Roman"/>
          <w:bCs/>
        </w:rPr>
        <w:t xml:space="preserve"> level</w:t>
      </w:r>
      <w:r w:rsidRPr="00B02E58">
        <w:rPr>
          <w:rFonts w:eastAsia="Times New Roman"/>
        </w:rPr>
        <w:t xml:space="preserve">, with </w:t>
      </w:r>
      <w:r>
        <w:rPr>
          <w:rFonts w:eastAsia="Times New Roman"/>
        </w:rPr>
        <w:t>those who report being totally satisfied with their job</w:t>
      </w:r>
      <w:r w:rsidRPr="00B02E58">
        <w:rPr>
          <w:rFonts w:eastAsia="Times New Roman"/>
        </w:rPr>
        <w:t xml:space="preserve"> increasing from around 35% </w:t>
      </w:r>
      <w:r>
        <w:rPr>
          <w:rFonts w:eastAsia="Times New Roman"/>
          <w:bCs/>
        </w:rPr>
        <w:t xml:space="preserve">of workers </w:t>
      </w:r>
      <w:r w:rsidRPr="00B02E58">
        <w:rPr>
          <w:rFonts w:eastAsia="Times New Roman"/>
        </w:rPr>
        <w:t xml:space="preserve">2019 to almost </w:t>
      </w:r>
      <w:r w:rsidR="00582AC6">
        <w:rPr>
          <w:rFonts w:eastAsia="Times New Roman"/>
        </w:rPr>
        <w:t>39</w:t>
      </w:r>
      <w:r w:rsidRPr="00B02E58">
        <w:rPr>
          <w:rFonts w:eastAsia="Times New Roman"/>
        </w:rPr>
        <w:t>% in 2023</w:t>
      </w:r>
      <w:r>
        <w:rPr>
          <w:rFonts w:eastAsia="Times New Roman"/>
        </w:rPr>
        <w:t xml:space="preserve">, well above the 33% recorded in </w:t>
      </w:r>
      <w:r w:rsidR="00844412">
        <w:rPr>
          <w:rFonts w:eastAsia="Times New Roman"/>
        </w:rPr>
        <w:t>Major Cities</w:t>
      </w:r>
      <w:r w:rsidRPr="00B02E58">
        <w:rPr>
          <w:rFonts w:eastAsia="Times New Roman"/>
        </w:rPr>
        <w:t xml:space="preserve">. </w:t>
      </w:r>
    </w:p>
    <w:p w14:paraId="7C2F4EB0" w14:textId="77777777" w:rsidR="00EC7FB6" w:rsidRDefault="00EC7FB6" w:rsidP="00037301">
      <w:pPr>
        <w:pStyle w:val="BodyText"/>
        <w:rPr>
          <w:rFonts w:eastAsia="Times New Roman"/>
          <w:bCs/>
        </w:rPr>
      </w:pPr>
      <w:r w:rsidRPr="00B02E58">
        <w:rPr>
          <w:rFonts w:eastAsia="Times New Roman"/>
        </w:rPr>
        <w:lastRenderedPageBreak/>
        <w:t xml:space="preserve">The recent improvement in </w:t>
      </w:r>
      <w:r>
        <w:rPr>
          <w:rFonts w:eastAsia="Times New Roman"/>
        </w:rPr>
        <w:t xml:space="preserve">those reporting as being totally satisfied with their </w:t>
      </w:r>
      <w:r w:rsidRPr="00B02E58">
        <w:rPr>
          <w:rFonts w:eastAsia="Times New Roman"/>
        </w:rPr>
        <w:t xml:space="preserve">job </w:t>
      </w:r>
      <w:r>
        <w:rPr>
          <w:rFonts w:eastAsia="Times New Roman"/>
        </w:rPr>
        <w:t>R</w:t>
      </w:r>
      <w:r w:rsidRPr="00B02E58">
        <w:rPr>
          <w:rFonts w:eastAsia="Times New Roman"/>
        </w:rPr>
        <w:t>egional Australia may be a reflection of new technologies and remote working allowing people with the choice to work where they want to live rather than having to live where they work</w:t>
      </w:r>
      <w:r>
        <w:rPr>
          <w:rFonts w:eastAsia="Times New Roman"/>
          <w:bCs/>
        </w:rPr>
        <w:t>, with increasing opportunities for work and work-life balances</w:t>
      </w:r>
      <w:r w:rsidRPr="00B02E58">
        <w:rPr>
          <w:rFonts w:eastAsia="Times New Roman"/>
        </w:rPr>
        <w:t xml:space="preserve">. </w:t>
      </w:r>
    </w:p>
    <w:p w14:paraId="3DEAA774" w14:textId="60AB3EEA" w:rsidR="00EC7FB6" w:rsidRPr="00B02E58" w:rsidRDefault="00596657" w:rsidP="00596657">
      <w:pPr>
        <w:pStyle w:val="Caption"/>
        <w:rPr>
          <w:rFonts w:cs="Arial"/>
          <w:b w:val="0"/>
        </w:rPr>
      </w:pPr>
      <w:bookmarkStart w:id="124" w:name="_Toc201916594"/>
      <w:r>
        <w:t xml:space="preserve">Figure </w:t>
      </w:r>
      <w:r>
        <w:fldChar w:fldCharType="begin"/>
      </w:r>
      <w:r>
        <w:instrText xml:space="preserve"> SEQ Figure \* ARABIC </w:instrText>
      </w:r>
      <w:r>
        <w:fldChar w:fldCharType="separate"/>
      </w:r>
      <w:r w:rsidR="00471863">
        <w:rPr>
          <w:noProof/>
        </w:rPr>
        <w:t>28</w:t>
      </w:r>
      <w:r>
        <w:fldChar w:fldCharType="end"/>
      </w:r>
      <w:r w:rsidR="00EC7FB6">
        <w:t xml:space="preserve">: </w:t>
      </w:r>
      <w:r w:rsidR="00EC7FB6" w:rsidRPr="00352719">
        <w:t>Proportion of employed who self-report ‘totally satisfied’ with their job</w:t>
      </w:r>
      <w:r w:rsidR="00EC7FB6" w:rsidRPr="00CF0CD5">
        <w:t>, by Major City and Regional Australia</w:t>
      </w:r>
      <w:bookmarkEnd w:id="124"/>
      <w:r w:rsidR="00EC7FB6">
        <w:t xml:space="preserve"> </w:t>
      </w:r>
    </w:p>
    <w:p w14:paraId="6E26EE2C" w14:textId="2076781F" w:rsidR="00EC7FB6" w:rsidRPr="00CB0C7A" w:rsidRDefault="00656E24" w:rsidP="00EC7FB6">
      <w:pPr>
        <w:rPr>
          <w:rFonts w:cs="Arial"/>
          <w:u w:val="single"/>
        </w:rPr>
      </w:pPr>
      <w:r>
        <w:rPr>
          <w:rFonts w:cs="Arial"/>
          <w:noProof/>
          <w:u w:val="single"/>
        </w:rPr>
        <w:drawing>
          <wp:anchor distT="0" distB="0" distL="114300" distR="114300" simplePos="0" relativeHeight="251938304" behindDoc="0" locked="0" layoutInCell="1" allowOverlap="1" wp14:anchorId="5259F73A" wp14:editId="30DA0BFB">
            <wp:simplePos x="0" y="0"/>
            <wp:positionH relativeFrom="column">
              <wp:posOffset>0</wp:posOffset>
            </wp:positionH>
            <wp:positionV relativeFrom="paragraph">
              <wp:posOffset>-1536</wp:posOffset>
            </wp:positionV>
            <wp:extent cx="5730875" cy="2865120"/>
            <wp:effectExtent l="0" t="0" r="3175" b="0"/>
            <wp:wrapSquare wrapText="bothSides"/>
            <wp:docPr id="617947804" name="Picture 43" descr="A column chart that shows the proportion of employed who self-report ‘totally satisfied’ with their job, by Major City and Regional Australia. The chart shows people living in Regional Australia tend to report higher levels of happiness and wellness compared to Major C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47804" name="Picture 43" descr="A column chart that shows the proportion of employed who self-report ‘totally satisfied’ with their job, by Major City and Regional Australia. The chart shows people living in Regional Australia tend to report higher levels of happiness and wellness compared to Major Cities.  "/>
                    <pic:cNvPicPr>
                      <a:picLocks noChangeAspect="1" noChangeArrowheads="1"/>
                    </pic:cNvPicPr>
                  </pic:nvPicPr>
                  <pic:blipFill>
                    <a:blip r:embed="rId56" cstate="email">
                      <a:extLst>
                        <a:ext uri="{28A0092B-C50C-407E-A947-70E740481C1C}">
                          <a14:useLocalDpi xmlns:a14="http://schemas.microsoft.com/office/drawing/2010/main" val="0"/>
                        </a:ext>
                      </a:extLst>
                    </a:blip>
                    <a:srcRect/>
                    <a:stretch>
                      <a:fillRect/>
                    </a:stretch>
                  </pic:blipFill>
                  <pic:spPr bwMode="auto">
                    <a:xfrm>
                      <a:off x="0" y="0"/>
                      <a:ext cx="5730875" cy="2865120"/>
                    </a:xfrm>
                    <a:prstGeom prst="rect">
                      <a:avLst/>
                    </a:prstGeom>
                    <a:noFill/>
                  </pic:spPr>
                </pic:pic>
              </a:graphicData>
            </a:graphic>
          </wp:anchor>
        </w:drawing>
      </w:r>
    </w:p>
    <w:p w14:paraId="5235146B" w14:textId="52A63E4F" w:rsidR="00EC7FB6" w:rsidRPr="00370968" w:rsidRDefault="00EC7FB6" w:rsidP="00370968">
      <w:pPr>
        <w:rPr>
          <w:rFonts w:cs="Arial"/>
          <w:i/>
          <w:sz w:val="18"/>
          <w:szCs w:val="16"/>
        </w:rPr>
      </w:pPr>
      <w:r w:rsidRPr="00CB0C7A">
        <w:rPr>
          <w:rFonts w:cs="Arial"/>
          <w:i/>
          <w:iCs/>
          <w:sz w:val="18"/>
          <w:szCs w:val="16"/>
        </w:rPr>
        <w:t>Source: Melbourne University, Household, Income and Labour Dynamics in Australia (HILDA) Survey</w:t>
      </w:r>
    </w:p>
    <w:p w14:paraId="29390453" w14:textId="77777777" w:rsidR="00D95E9A" w:rsidRPr="00037301" w:rsidRDefault="00D95E9A" w:rsidP="00037301">
      <w:pPr>
        <w:pStyle w:val="Heading5"/>
      </w:pPr>
      <w:r w:rsidRPr="00037301">
        <w:t>Underemployment rate</w:t>
      </w:r>
    </w:p>
    <w:p w14:paraId="3F37EA61" w14:textId="30C71B55" w:rsidR="00F863C8" w:rsidRPr="00610F53" w:rsidRDefault="006470FB" w:rsidP="006470FB">
      <w:pPr>
        <w:pStyle w:val="Caption"/>
        <w:rPr>
          <w:b w:val="0"/>
        </w:rPr>
      </w:pPr>
      <w:r>
        <w:t xml:space="preserve">Table </w:t>
      </w:r>
      <w:r>
        <w:fldChar w:fldCharType="begin"/>
      </w:r>
      <w:r>
        <w:instrText xml:space="preserve"> SEQ Table \* ARABIC </w:instrText>
      </w:r>
      <w:r>
        <w:fldChar w:fldCharType="separate"/>
      </w:r>
      <w:r w:rsidR="00471863">
        <w:rPr>
          <w:noProof/>
        </w:rPr>
        <w:t>18</w:t>
      </w:r>
      <w:r>
        <w:fldChar w:fldCharType="end"/>
      </w:r>
      <w:r w:rsidR="00F863C8" w:rsidRPr="00610F53">
        <w:t>:</w:t>
      </w:r>
      <w:r w:rsidR="00F068D4" w:rsidRPr="00610F53">
        <w:t xml:space="preserve"> Underemployment rate (%)</w:t>
      </w:r>
    </w:p>
    <w:tbl>
      <w:tblPr>
        <w:tblStyle w:val="GridTable5Dark-Accent12"/>
        <w:tblW w:w="8634" w:type="dxa"/>
        <w:tblLook w:val="04A0" w:firstRow="1" w:lastRow="0" w:firstColumn="1" w:lastColumn="0" w:noHBand="0" w:noVBand="1"/>
      </w:tblPr>
      <w:tblGrid>
        <w:gridCol w:w="2149"/>
        <w:gridCol w:w="1126"/>
        <w:gridCol w:w="1132"/>
        <w:gridCol w:w="1400"/>
        <w:gridCol w:w="1266"/>
        <w:gridCol w:w="1561"/>
      </w:tblGrid>
      <w:tr w:rsidR="00E83E19" w:rsidRPr="00CB0C7A" w14:paraId="749CDFCF" w14:textId="77777777" w:rsidTr="00A12F43">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149" w:type="dxa"/>
            <w:tcBorders>
              <w:top w:val="single" w:sz="4" w:space="0" w:color="auto"/>
              <w:left w:val="single" w:sz="4" w:space="0" w:color="auto"/>
              <w:right w:val="single" w:sz="4" w:space="0" w:color="FFFFFF"/>
            </w:tcBorders>
            <w:shd w:val="clear" w:color="auto" w:fill="370663"/>
          </w:tcPr>
          <w:p w14:paraId="0B67B335" w14:textId="77777777" w:rsidR="00D95E9A" w:rsidRPr="00EE235B" w:rsidRDefault="00D95E9A">
            <w:pPr>
              <w:rPr>
                <w:rFonts w:eastAsia="Aptos" w:cs="Arial"/>
                <w:sz w:val="20"/>
                <w:szCs w:val="20"/>
              </w:rPr>
            </w:pPr>
          </w:p>
        </w:tc>
        <w:tc>
          <w:tcPr>
            <w:tcW w:w="1126" w:type="dxa"/>
            <w:tcBorders>
              <w:top w:val="single" w:sz="4" w:space="0" w:color="000000"/>
              <w:left w:val="single" w:sz="4" w:space="0" w:color="FFFFFF"/>
              <w:right w:val="single" w:sz="4" w:space="0" w:color="FFFFFF"/>
            </w:tcBorders>
            <w:shd w:val="clear" w:color="auto" w:fill="370663"/>
            <w:vAlign w:val="center"/>
          </w:tcPr>
          <w:p w14:paraId="24529D92" w14:textId="77777777" w:rsidR="00D95E9A" w:rsidRPr="00EE235B" w:rsidRDefault="00D95E9A">
            <w:pPr>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EE235B">
              <w:rPr>
                <w:rFonts w:eastAsia="Aptos" w:cs="Arial"/>
                <w:sz w:val="20"/>
                <w:szCs w:val="20"/>
              </w:rPr>
              <w:t>Rating</w:t>
            </w:r>
          </w:p>
        </w:tc>
        <w:tc>
          <w:tcPr>
            <w:tcW w:w="1132" w:type="dxa"/>
            <w:tcBorders>
              <w:top w:val="single" w:sz="4" w:space="0" w:color="000000"/>
              <w:left w:val="single" w:sz="4" w:space="0" w:color="FFFFFF"/>
              <w:right w:val="single" w:sz="4" w:space="0" w:color="FFFFFF" w:themeColor="background1"/>
            </w:tcBorders>
            <w:shd w:val="clear" w:color="auto" w:fill="370663"/>
            <w:vAlign w:val="center"/>
          </w:tcPr>
          <w:p w14:paraId="1073AF0D" w14:textId="77777777" w:rsidR="00D95E9A" w:rsidRPr="00D45D87" w:rsidRDefault="00D95E9A">
            <w:pPr>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D45D87">
              <w:rPr>
                <w:rFonts w:eastAsia="Aptos" w:cs="Arial"/>
                <w:sz w:val="20"/>
                <w:szCs w:val="20"/>
              </w:rPr>
              <w:t>Current rate in Regional Australia</w:t>
            </w:r>
          </w:p>
        </w:tc>
        <w:tc>
          <w:tcPr>
            <w:tcW w:w="1400" w:type="dxa"/>
            <w:tcBorders>
              <w:top w:val="single" w:sz="4" w:space="0" w:color="auto"/>
              <w:left w:val="single" w:sz="4" w:space="0" w:color="FFFFFF" w:themeColor="background1"/>
              <w:right w:val="single" w:sz="4" w:space="0" w:color="FFFFFF"/>
            </w:tcBorders>
            <w:shd w:val="clear" w:color="auto" w:fill="370663"/>
            <w:vAlign w:val="center"/>
          </w:tcPr>
          <w:p w14:paraId="410F445D" w14:textId="77777777" w:rsidR="00D95E9A" w:rsidRPr="00EE235B" w:rsidRDefault="00D95E9A">
            <w:pPr>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EE235B">
              <w:rPr>
                <w:rFonts w:eastAsia="Aptos" w:cs="Arial"/>
                <w:sz w:val="20"/>
                <w:szCs w:val="20"/>
              </w:rPr>
              <w:t>Current Trend</w:t>
            </w:r>
          </w:p>
        </w:tc>
        <w:tc>
          <w:tcPr>
            <w:tcW w:w="1266" w:type="dxa"/>
            <w:tcBorders>
              <w:top w:val="single" w:sz="4" w:space="0" w:color="auto"/>
              <w:left w:val="single" w:sz="4" w:space="0" w:color="FFFFFF"/>
              <w:right w:val="single" w:sz="4" w:space="0" w:color="FFFFFF"/>
            </w:tcBorders>
            <w:shd w:val="clear" w:color="auto" w:fill="370663"/>
            <w:vAlign w:val="center"/>
          </w:tcPr>
          <w:p w14:paraId="01BE77EF" w14:textId="77777777" w:rsidR="00D95E9A" w:rsidRPr="00EE235B" w:rsidRDefault="00D95E9A">
            <w:pPr>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EE235B">
              <w:rPr>
                <w:rFonts w:eastAsia="Aptos" w:cs="Arial"/>
                <w:sz w:val="20"/>
                <w:szCs w:val="20"/>
              </w:rPr>
              <w:t>Best on record</w:t>
            </w:r>
          </w:p>
        </w:tc>
        <w:tc>
          <w:tcPr>
            <w:tcW w:w="1561" w:type="dxa"/>
            <w:tcBorders>
              <w:top w:val="single" w:sz="4" w:space="0" w:color="auto"/>
              <w:left w:val="single" w:sz="4" w:space="0" w:color="FFFFFF"/>
              <w:right w:val="single" w:sz="4" w:space="0" w:color="auto"/>
            </w:tcBorders>
            <w:shd w:val="clear" w:color="auto" w:fill="370663"/>
            <w:vAlign w:val="center"/>
          </w:tcPr>
          <w:p w14:paraId="030BBEA1" w14:textId="17AEFB4F" w:rsidR="00D95E9A" w:rsidRPr="00EE235B" w:rsidRDefault="003A7518">
            <w:pPr>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CB0C7A">
              <w:rPr>
                <w:rFonts w:cs="Arial"/>
                <w:sz w:val="20"/>
              </w:rPr>
              <w:t xml:space="preserve">Gap to </w:t>
            </w:r>
            <w:r>
              <w:rPr>
                <w:rFonts w:cs="Arial"/>
                <w:sz w:val="20"/>
              </w:rPr>
              <w:t>the Major Cities</w:t>
            </w:r>
          </w:p>
        </w:tc>
      </w:tr>
      <w:tr w:rsidR="00946993" w:rsidRPr="00CB0C7A" w14:paraId="785C3183" w14:textId="77777777" w:rsidTr="00800D1C">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2149" w:type="dxa"/>
            <w:tcBorders>
              <w:left w:val="single" w:sz="4" w:space="0" w:color="auto"/>
              <w:bottom w:val="single" w:sz="4" w:space="0" w:color="auto"/>
            </w:tcBorders>
            <w:shd w:val="clear" w:color="auto" w:fill="E0D1F5" w:themeFill="accent1" w:themeFillTint="33"/>
            <w:vAlign w:val="center"/>
          </w:tcPr>
          <w:p w14:paraId="4142F750" w14:textId="77777777" w:rsidR="00D95E9A" w:rsidRPr="00800D1C" w:rsidRDefault="00D95E9A" w:rsidP="00CC17B4">
            <w:pPr>
              <w:spacing w:after="160"/>
              <w:rPr>
                <w:rFonts w:eastAsia="Aptos" w:cs="Arial"/>
                <w:b w:val="0"/>
                <w:bCs w:val="0"/>
                <w:color w:val="auto"/>
              </w:rPr>
            </w:pPr>
            <w:r w:rsidRPr="00800D1C">
              <w:rPr>
                <w:rFonts w:cs="Arial"/>
                <w:b w:val="0"/>
                <w:color w:val="auto"/>
              </w:rPr>
              <w:t>Underemployment rate (%)</w:t>
            </w:r>
          </w:p>
        </w:tc>
        <w:tc>
          <w:tcPr>
            <w:tcW w:w="1126" w:type="dxa"/>
            <w:tcBorders>
              <w:bottom w:val="single" w:sz="4" w:space="0" w:color="auto"/>
            </w:tcBorders>
            <w:shd w:val="clear" w:color="auto" w:fill="52BD7F"/>
            <w:vAlign w:val="center"/>
          </w:tcPr>
          <w:p w14:paraId="411698A5" w14:textId="77777777" w:rsidR="00D95E9A" w:rsidRPr="00800D1C" w:rsidRDefault="00D95E9A">
            <w:pPr>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800D1C">
              <w:rPr>
                <w:rFonts w:cs="Arial"/>
              </w:rPr>
              <w:t>Green</w:t>
            </w:r>
          </w:p>
        </w:tc>
        <w:tc>
          <w:tcPr>
            <w:tcW w:w="1132" w:type="dxa"/>
            <w:tcBorders>
              <w:bottom w:val="single" w:sz="4" w:space="0" w:color="auto"/>
            </w:tcBorders>
            <w:shd w:val="clear" w:color="auto" w:fill="52BD7F"/>
            <w:vAlign w:val="center"/>
          </w:tcPr>
          <w:p w14:paraId="1AEAD0F4" w14:textId="16B07357" w:rsidR="00D95E9A" w:rsidRPr="00800D1C" w:rsidRDefault="00D95E9A">
            <w:pPr>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800D1C">
              <w:rPr>
                <w:rFonts w:eastAsia="Aptos" w:cs="Arial"/>
              </w:rPr>
              <w:t>6.</w:t>
            </w:r>
            <w:r w:rsidR="00A12F43" w:rsidRPr="00800D1C">
              <w:rPr>
                <w:rFonts w:eastAsia="Aptos" w:cs="Arial"/>
              </w:rPr>
              <w:t>1</w:t>
            </w:r>
            <w:r w:rsidRPr="00800D1C">
              <w:rPr>
                <w:rFonts w:eastAsia="Aptos" w:cs="Arial"/>
              </w:rPr>
              <w:t>%</w:t>
            </w:r>
          </w:p>
        </w:tc>
        <w:tc>
          <w:tcPr>
            <w:tcW w:w="1400" w:type="dxa"/>
            <w:tcBorders>
              <w:bottom w:val="single" w:sz="4" w:space="0" w:color="auto"/>
              <w:right w:val="single" w:sz="4" w:space="0" w:color="BFBFBF" w:themeColor="background1" w:themeShade="BF"/>
            </w:tcBorders>
            <w:shd w:val="clear" w:color="auto" w:fill="F2F2F2"/>
            <w:vAlign w:val="center"/>
          </w:tcPr>
          <w:p w14:paraId="3D5EE068" w14:textId="286BD573" w:rsidR="00D95E9A" w:rsidRPr="00800D1C" w:rsidRDefault="00724AF9">
            <w:pPr>
              <w:jc w:val="center"/>
              <w:cnfStyle w:val="000000100000" w:firstRow="0" w:lastRow="0" w:firstColumn="0" w:lastColumn="0" w:oddVBand="0" w:evenVBand="0" w:oddHBand="1" w:evenHBand="0" w:firstRowFirstColumn="0" w:firstRowLastColumn="0" w:lastRowFirstColumn="0" w:lastRowLastColumn="0"/>
              <w:rPr>
                <w:rFonts w:eastAsia="Aptos" w:cs="Arial"/>
                <w:b/>
                <w:bCs/>
              </w:rPr>
            </w:pPr>
            <w:r w:rsidRPr="00800D1C">
              <w:rPr>
                <w:rFonts w:eastAsia="Aptos" w:cs="Arial"/>
                <w:b/>
                <w:bCs/>
              </w:rPr>
              <w:t>Stable</w:t>
            </w:r>
          </w:p>
        </w:tc>
        <w:tc>
          <w:tcPr>
            <w:tcW w:w="1266" w:type="dxa"/>
            <w:tcBorders>
              <w:left w:val="single" w:sz="4" w:space="0" w:color="BFBFBF" w:themeColor="background1" w:themeShade="BF"/>
              <w:bottom w:val="single" w:sz="4" w:space="0" w:color="auto"/>
              <w:right w:val="single" w:sz="4" w:space="0" w:color="BFBFBF" w:themeColor="background1" w:themeShade="BF"/>
            </w:tcBorders>
            <w:shd w:val="clear" w:color="auto" w:fill="F2F2F2"/>
            <w:vAlign w:val="center"/>
          </w:tcPr>
          <w:p w14:paraId="58DD1E0B" w14:textId="77777777" w:rsidR="00D95E9A" w:rsidRPr="00800D1C" w:rsidRDefault="00D95E9A">
            <w:pPr>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800D1C">
              <w:rPr>
                <w:rFonts w:eastAsia="Aptos" w:cs="Arial"/>
              </w:rPr>
              <w:t>6.</w:t>
            </w:r>
            <w:r w:rsidR="00A12F43" w:rsidRPr="00800D1C">
              <w:rPr>
                <w:rFonts w:eastAsia="Aptos" w:cs="Arial"/>
              </w:rPr>
              <w:t>1</w:t>
            </w:r>
            <w:r w:rsidRPr="00800D1C">
              <w:rPr>
                <w:rFonts w:eastAsia="Aptos" w:cs="Arial"/>
              </w:rPr>
              <w:t>%</w:t>
            </w:r>
          </w:p>
          <w:p w14:paraId="7BD3BF5C" w14:textId="58FCC6FA" w:rsidR="00A12F43" w:rsidRPr="00800D1C" w:rsidRDefault="00A12F43">
            <w:pPr>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800D1C">
              <w:rPr>
                <w:rFonts w:eastAsia="Aptos" w:cs="Arial"/>
              </w:rPr>
              <w:t>(</w:t>
            </w:r>
            <w:r w:rsidR="00A16A0C" w:rsidRPr="00800D1C">
              <w:rPr>
                <w:rFonts w:eastAsia="Aptos" w:cs="Arial"/>
              </w:rPr>
              <w:t>Current</w:t>
            </w:r>
            <w:r w:rsidRPr="00800D1C">
              <w:rPr>
                <w:rFonts w:eastAsia="Aptos" w:cs="Arial"/>
              </w:rPr>
              <w:t>)</w:t>
            </w:r>
          </w:p>
        </w:tc>
        <w:tc>
          <w:tcPr>
            <w:tcW w:w="1561" w:type="dxa"/>
            <w:tcBorders>
              <w:left w:val="single" w:sz="4" w:space="0" w:color="BFBFBF" w:themeColor="background1" w:themeShade="BF"/>
              <w:bottom w:val="single" w:sz="4" w:space="0" w:color="auto"/>
              <w:right w:val="single" w:sz="4" w:space="0" w:color="auto"/>
            </w:tcBorders>
            <w:shd w:val="clear" w:color="auto" w:fill="F2F2F2"/>
            <w:vAlign w:val="center"/>
          </w:tcPr>
          <w:p w14:paraId="05611480" w14:textId="7CCEEC1E" w:rsidR="00D95E9A" w:rsidRPr="00800D1C" w:rsidRDefault="00A12F43">
            <w:pPr>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800D1C">
              <w:rPr>
                <w:rFonts w:eastAsia="Aptos" w:cs="Arial"/>
              </w:rPr>
              <w:t>0</w:t>
            </w:r>
            <w:r w:rsidR="00D95E9A" w:rsidRPr="00800D1C">
              <w:rPr>
                <w:rFonts w:eastAsia="Aptos" w:cs="Arial"/>
              </w:rPr>
              <w:t>% pts</w:t>
            </w:r>
          </w:p>
        </w:tc>
      </w:tr>
    </w:tbl>
    <w:p w14:paraId="288F1BCF" w14:textId="36C0A23E" w:rsidR="009A1408" w:rsidRDefault="009A1408" w:rsidP="00B016A4">
      <w:pPr>
        <w:rPr>
          <w:rFonts w:cs="Arial"/>
        </w:rPr>
      </w:pPr>
      <w:r w:rsidRPr="00CB0C7A">
        <w:rPr>
          <w:rFonts w:cs="Arial"/>
          <w:i/>
          <w:iCs/>
          <w:sz w:val="18"/>
          <w:szCs w:val="16"/>
        </w:rPr>
        <w:t>Source: ABS, Labour Force, Detailed, Datalab</w:t>
      </w:r>
      <w:r>
        <w:rPr>
          <w:rFonts w:cs="Arial"/>
          <w:i/>
          <w:iCs/>
          <w:sz w:val="18"/>
          <w:szCs w:val="16"/>
        </w:rPr>
        <w:t>, 12</w:t>
      </w:r>
      <w:r w:rsidR="00AE55D7">
        <w:rPr>
          <w:rFonts w:cs="Arial"/>
          <w:i/>
          <w:iCs/>
          <w:sz w:val="18"/>
          <w:szCs w:val="16"/>
        </w:rPr>
        <w:t>-</w:t>
      </w:r>
      <w:r>
        <w:rPr>
          <w:rFonts w:cs="Arial"/>
          <w:i/>
          <w:iCs/>
          <w:sz w:val="18"/>
          <w:szCs w:val="16"/>
        </w:rPr>
        <w:t>month averages of original estimates</w:t>
      </w:r>
      <w:r w:rsidRPr="00DE6ADA">
        <w:rPr>
          <w:rFonts w:cs="Arial"/>
        </w:rPr>
        <w:t xml:space="preserve"> </w:t>
      </w:r>
    </w:p>
    <w:p w14:paraId="08C6E810" w14:textId="5CEAAF22" w:rsidR="00DE6471" w:rsidRDefault="00D95E9A" w:rsidP="00037301">
      <w:pPr>
        <w:pStyle w:val="BodyText"/>
      </w:pPr>
      <w:r w:rsidRPr="00DE6ADA">
        <w:t xml:space="preserve">The underemployment rate is not only a measure of </w:t>
      </w:r>
      <w:r w:rsidR="00B256D1">
        <w:t xml:space="preserve">spare capacity in </w:t>
      </w:r>
      <w:r w:rsidRPr="00DE6ADA">
        <w:t xml:space="preserve">the labour market </w:t>
      </w:r>
      <w:r w:rsidR="00B256D1">
        <w:t xml:space="preserve">(sometimes referred to by economists as </w:t>
      </w:r>
      <w:r w:rsidRPr="00DE6ADA">
        <w:t>‘slack’</w:t>
      </w:r>
      <w:r w:rsidR="00B256D1">
        <w:t>)</w:t>
      </w:r>
      <w:r w:rsidRPr="00DE6ADA">
        <w:t xml:space="preserve"> but is also a measure of sub-optimal employment outcomes for the individual. The underemployment rate measures the number of people who are currently employed</w:t>
      </w:r>
      <w:r w:rsidR="00F34DDE">
        <w:t>,</w:t>
      </w:r>
      <w:r w:rsidRPr="00DE6ADA">
        <w:t xml:space="preserve"> but are willing and able to work more hours than they currently are, as a proportion of the total labour force. </w:t>
      </w:r>
    </w:p>
    <w:p w14:paraId="6C19A353" w14:textId="1B43880C" w:rsidR="00D95E9A" w:rsidRPr="00DE6ADA" w:rsidRDefault="00D95E9A" w:rsidP="00037301">
      <w:pPr>
        <w:pStyle w:val="BodyText"/>
        <w:rPr>
          <w:rFonts w:eastAsia="Times New Roman"/>
        </w:rPr>
      </w:pPr>
      <w:r w:rsidRPr="00DE6ADA">
        <w:t xml:space="preserve">Underemployment can impact productivity and innovation and can be associated with lower-quality jobs, characterised by lower pay and fewer benefits. Ensuring that workers in Regional Australia can work the number of hours sort is a key outcome for Vision Principle </w:t>
      </w:r>
      <w:r w:rsidR="00B256D1">
        <w:t>3</w:t>
      </w:r>
      <w:r w:rsidRPr="00DE6ADA">
        <w:t>.</w:t>
      </w:r>
    </w:p>
    <w:p w14:paraId="2E9B88B6" w14:textId="493AC54E" w:rsidR="00D95E9A" w:rsidRDefault="00D95E9A" w:rsidP="00037301">
      <w:pPr>
        <w:pStyle w:val="BodyText"/>
        <w:rPr>
          <w:rFonts w:eastAsia="Times New Roman"/>
        </w:rPr>
      </w:pPr>
      <w:r w:rsidRPr="00DE6ADA">
        <w:rPr>
          <w:rFonts w:eastAsia="Times New Roman"/>
        </w:rPr>
        <w:t xml:space="preserve">Against the backdrop of strong labour market conditions in recent years, the underemployment rate in Regional Australia has been declining, with strong demand allowed people to move closer to their preferred working hours, pushing the underemployment rate </w:t>
      </w:r>
      <w:r w:rsidRPr="00DE6ADA">
        <w:rPr>
          <w:rFonts w:eastAsia="Times New Roman"/>
        </w:rPr>
        <w:lastRenderedPageBreak/>
        <w:t>down to 6.</w:t>
      </w:r>
      <w:r w:rsidR="00A12F43">
        <w:rPr>
          <w:rFonts w:eastAsia="Times New Roman"/>
        </w:rPr>
        <w:t>1</w:t>
      </w:r>
      <w:r w:rsidR="0061530A">
        <w:rPr>
          <w:rFonts w:eastAsia="Times New Roman"/>
        </w:rPr>
        <w:t>%</w:t>
      </w:r>
      <w:r w:rsidRPr="00DE6ADA">
        <w:rPr>
          <w:rFonts w:eastAsia="Times New Roman"/>
        </w:rPr>
        <w:t>, well below its long-term average</w:t>
      </w:r>
      <w:r w:rsidR="00F34DDE">
        <w:rPr>
          <w:rFonts w:eastAsia="Times New Roman"/>
        </w:rPr>
        <w:t xml:space="preserve"> and broadly in line with the figure for the Major Cities</w:t>
      </w:r>
      <w:r w:rsidRPr="00DE6ADA">
        <w:rPr>
          <w:rFonts w:eastAsia="Times New Roman"/>
        </w:rPr>
        <w:t>.</w:t>
      </w:r>
      <w:r w:rsidR="00F34DDE">
        <w:rPr>
          <w:rFonts w:eastAsia="Times New Roman"/>
        </w:rPr>
        <w:t xml:space="preserve"> </w:t>
      </w:r>
    </w:p>
    <w:p w14:paraId="1FD874C7" w14:textId="25BA8A0A" w:rsidR="00D95E9A" w:rsidRPr="00DE6ADA" w:rsidRDefault="00596657" w:rsidP="00596657">
      <w:pPr>
        <w:pStyle w:val="Caption"/>
        <w:rPr>
          <w:rFonts w:cs="Arial"/>
          <w:b w:val="0"/>
        </w:rPr>
      </w:pPr>
      <w:bookmarkStart w:id="125" w:name="_Toc201916595"/>
      <w:r>
        <w:t xml:space="preserve">Figure </w:t>
      </w:r>
      <w:r>
        <w:fldChar w:fldCharType="begin"/>
      </w:r>
      <w:r>
        <w:instrText xml:space="preserve"> SEQ Figure \* ARABIC </w:instrText>
      </w:r>
      <w:r>
        <w:fldChar w:fldCharType="separate"/>
      </w:r>
      <w:r w:rsidR="00471863">
        <w:rPr>
          <w:noProof/>
        </w:rPr>
        <w:t>29</w:t>
      </w:r>
      <w:r>
        <w:fldChar w:fldCharType="end"/>
      </w:r>
      <w:r w:rsidR="00B2654F">
        <w:t>:</w:t>
      </w:r>
      <w:r w:rsidR="00D95E9A">
        <w:t xml:space="preserve"> </w:t>
      </w:r>
      <w:r w:rsidR="00D95E9A" w:rsidRPr="006E67FE">
        <w:t>Underemployment rate (%), by Major City and Regional Australia</w:t>
      </w:r>
      <w:bookmarkEnd w:id="125"/>
      <w:r w:rsidR="00B2654F">
        <w:t xml:space="preserve"> </w:t>
      </w:r>
    </w:p>
    <w:p w14:paraId="4E04B4C8" w14:textId="2958DC95" w:rsidR="00D95E9A" w:rsidRPr="00207C36" w:rsidRDefault="00656E24" w:rsidP="00D95E9A">
      <w:pPr>
        <w:rPr>
          <w:rFonts w:cs="Arial"/>
          <w:sz w:val="24"/>
          <w:szCs w:val="24"/>
        </w:rPr>
      </w:pPr>
      <w:r>
        <w:rPr>
          <w:rFonts w:cs="Arial"/>
          <w:noProof/>
          <w:sz w:val="24"/>
          <w:szCs w:val="24"/>
        </w:rPr>
        <w:drawing>
          <wp:inline distT="0" distB="0" distL="0" distR="0" wp14:anchorId="64EBF384" wp14:editId="704966E6">
            <wp:extent cx="5730875" cy="2865120"/>
            <wp:effectExtent l="0" t="0" r="3175" b="0"/>
            <wp:docPr id="423252133" name="Picture 44" descr="A line chart that shows the underemployment rate (%), by Major City and Regional Australia. The chart shows the underemployment rate in Regional Australia has been declining in recent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52133" name="Picture 44" descr="A line chart that shows the underemployment rate (%), by Major City and Regional Australia. The chart shows the underemployment rate in Regional Australia has been declining in recent years. "/>
                    <pic:cNvPicPr>
                      <a:picLocks noChangeAspect="1" noChangeArrowheads="1"/>
                    </pic:cNvPicPr>
                  </pic:nvPicPr>
                  <pic:blipFill>
                    <a:blip r:embed="rId57" cstate="email">
                      <a:extLst>
                        <a:ext uri="{28A0092B-C50C-407E-A947-70E740481C1C}">
                          <a14:useLocalDpi xmlns:a14="http://schemas.microsoft.com/office/drawing/2010/main" val="0"/>
                        </a:ext>
                      </a:extLst>
                    </a:blip>
                    <a:srcRect/>
                    <a:stretch>
                      <a:fillRect/>
                    </a:stretch>
                  </pic:blipFill>
                  <pic:spPr bwMode="auto">
                    <a:xfrm>
                      <a:off x="0" y="0"/>
                      <a:ext cx="5730875" cy="2865120"/>
                    </a:xfrm>
                    <a:prstGeom prst="rect">
                      <a:avLst/>
                    </a:prstGeom>
                    <a:noFill/>
                  </pic:spPr>
                </pic:pic>
              </a:graphicData>
            </a:graphic>
          </wp:inline>
        </w:drawing>
      </w:r>
    </w:p>
    <w:p w14:paraId="2598493B" w14:textId="09C9D45E" w:rsidR="00D95E9A" w:rsidRPr="00CB0C7A" w:rsidRDefault="00D95E9A" w:rsidP="00D95E9A">
      <w:pPr>
        <w:rPr>
          <w:rFonts w:cs="Arial"/>
          <w:i/>
          <w:iCs/>
          <w:sz w:val="18"/>
          <w:szCs w:val="16"/>
        </w:rPr>
      </w:pPr>
      <w:r w:rsidRPr="00CB0C7A">
        <w:rPr>
          <w:rFonts w:cs="Arial"/>
          <w:i/>
          <w:iCs/>
          <w:sz w:val="18"/>
          <w:szCs w:val="16"/>
        </w:rPr>
        <w:t>Source: ABS, Labour Force, Detailed, Datalab</w:t>
      </w:r>
      <w:r w:rsidR="009A1408">
        <w:rPr>
          <w:rFonts w:cs="Arial"/>
          <w:i/>
          <w:iCs/>
          <w:sz w:val="18"/>
          <w:szCs w:val="16"/>
        </w:rPr>
        <w:t>, 12</w:t>
      </w:r>
      <w:r w:rsidR="00086705">
        <w:rPr>
          <w:rFonts w:cs="Arial"/>
          <w:i/>
          <w:iCs/>
          <w:sz w:val="18"/>
          <w:szCs w:val="16"/>
        </w:rPr>
        <w:t>-</w:t>
      </w:r>
      <w:r w:rsidR="009A1408">
        <w:rPr>
          <w:rFonts w:cs="Arial"/>
          <w:i/>
          <w:iCs/>
          <w:sz w:val="18"/>
          <w:szCs w:val="16"/>
        </w:rPr>
        <w:t>month averages of original estimates</w:t>
      </w:r>
      <w:r w:rsidRPr="00CB0C7A">
        <w:rPr>
          <w:rFonts w:cs="Arial"/>
          <w:i/>
          <w:iCs/>
          <w:sz w:val="18"/>
          <w:szCs w:val="16"/>
        </w:rPr>
        <w:t xml:space="preserve"> </w:t>
      </w:r>
    </w:p>
    <w:p w14:paraId="67E54EEA" w14:textId="74AD04B4" w:rsidR="00D95E9A" w:rsidRPr="0000693F" w:rsidRDefault="00D95E9A" w:rsidP="00F34DDE">
      <w:pPr>
        <w:pStyle w:val="Heading5"/>
        <w:keepNext/>
        <w:rPr>
          <w:b w:val="0"/>
          <w:sz w:val="20"/>
          <w:szCs w:val="20"/>
        </w:rPr>
      </w:pPr>
      <w:r w:rsidRPr="009F131F">
        <w:t xml:space="preserve">Income </w:t>
      </w:r>
      <w:r w:rsidR="000A0D31" w:rsidRPr="009F131F">
        <w:t>inequality</w:t>
      </w:r>
      <w:r w:rsidR="006B72E0">
        <w:rPr>
          <w:rStyle w:val="FootnoteReference"/>
          <w:sz w:val="20"/>
          <w:szCs w:val="20"/>
        </w:rPr>
        <w:footnoteReference w:id="25"/>
      </w:r>
    </w:p>
    <w:p w14:paraId="7F7F9DCF" w14:textId="6EA09261" w:rsidR="00A74DC8" w:rsidRPr="00EA4717" w:rsidRDefault="006470FB" w:rsidP="006470FB">
      <w:pPr>
        <w:pStyle w:val="Caption"/>
        <w:rPr>
          <w:b w:val="0"/>
        </w:rPr>
      </w:pPr>
      <w:r>
        <w:t xml:space="preserve">Table </w:t>
      </w:r>
      <w:r>
        <w:fldChar w:fldCharType="begin"/>
      </w:r>
      <w:r>
        <w:instrText xml:space="preserve"> SEQ Table \* ARABIC </w:instrText>
      </w:r>
      <w:r>
        <w:fldChar w:fldCharType="separate"/>
      </w:r>
      <w:r w:rsidR="00471863">
        <w:rPr>
          <w:noProof/>
        </w:rPr>
        <w:t>19</w:t>
      </w:r>
      <w:r>
        <w:fldChar w:fldCharType="end"/>
      </w:r>
      <w:r w:rsidR="00A74DC8" w:rsidRPr="00EA4717">
        <w:t>:</w:t>
      </w:r>
      <w:r w:rsidR="00461E8A">
        <w:t xml:space="preserve"> Income </w:t>
      </w:r>
      <w:r w:rsidR="00D610E4">
        <w:t xml:space="preserve">inequality </w:t>
      </w:r>
      <w:r w:rsidR="00461E8A">
        <w:t>ratio (p80 and p20)</w:t>
      </w:r>
    </w:p>
    <w:tbl>
      <w:tblPr>
        <w:tblStyle w:val="GridTable5Dark-Accent12"/>
        <w:tblW w:w="8634" w:type="dxa"/>
        <w:tblLook w:val="04A0" w:firstRow="1" w:lastRow="0" w:firstColumn="1" w:lastColumn="0" w:noHBand="0" w:noVBand="1"/>
      </w:tblPr>
      <w:tblGrid>
        <w:gridCol w:w="1973"/>
        <w:gridCol w:w="999"/>
        <w:gridCol w:w="1446"/>
        <w:gridCol w:w="1441"/>
        <w:gridCol w:w="1119"/>
        <w:gridCol w:w="1656"/>
      </w:tblGrid>
      <w:tr w:rsidR="00D95E9A" w:rsidRPr="00207C36" w14:paraId="2293DC65" w14:textId="77777777" w:rsidTr="00F55B7E">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1973" w:type="dxa"/>
            <w:tcBorders>
              <w:top w:val="single" w:sz="4" w:space="0" w:color="000000"/>
              <w:left w:val="single" w:sz="4" w:space="0" w:color="000000"/>
              <w:right w:val="single" w:sz="4" w:space="0" w:color="FFFFFF" w:themeColor="background1"/>
            </w:tcBorders>
            <w:shd w:val="clear" w:color="auto" w:fill="370663"/>
          </w:tcPr>
          <w:p w14:paraId="631157A0" w14:textId="77777777" w:rsidR="00D95E9A" w:rsidRPr="00843D74" w:rsidRDefault="00D95E9A" w:rsidP="00BD0ECD">
            <w:pPr>
              <w:keepNext/>
              <w:spacing w:after="160"/>
              <w:rPr>
                <w:rFonts w:cs="Arial"/>
                <w:color w:val="auto"/>
                <w:sz w:val="20"/>
                <w:szCs w:val="20"/>
              </w:rPr>
            </w:pPr>
          </w:p>
        </w:tc>
        <w:tc>
          <w:tcPr>
            <w:tcW w:w="999" w:type="dxa"/>
            <w:tcBorders>
              <w:top w:val="single" w:sz="4" w:space="0" w:color="000000"/>
              <w:left w:val="single" w:sz="4" w:space="0" w:color="FFFFFF" w:themeColor="background1"/>
              <w:right w:val="single" w:sz="4" w:space="0" w:color="FFFFFF" w:themeColor="background1"/>
            </w:tcBorders>
            <w:shd w:val="clear" w:color="auto" w:fill="370663"/>
            <w:vAlign w:val="center"/>
          </w:tcPr>
          <w:p w14:paraId="2B5B6F31" w14:textId="77777777" w:rsidR="00D95E9A" w:rsidRPr="00843D74" w:rsidRDefault="00D95E9A" w:rsidP="00BD0ECD">
            <w:pPr>
              <w:keepNext/>
              <w:spacing w:after="16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843D74">
              <w:rPr>
                <w:rFonts w:eastAsia="Aptos" w:cs="Arial"/>
                <w:sz w:val="20"/>
                <w:szCs w:val="20"/>
              </w:rPr>
              <w:t>Rating</w:t>
            </w:r>
          </w:p>
        </w:tc>
        <w:tc>
          <w:tcPr>
            <w:tcW w:w="1446" w:type="dxa"/>
            <w:tcBorders>
              <w:top w:val="single" w:sz="4" w:space="0" w:color="000000"/>
              <w:left w:val="single" w:sz="4" w:space="0" w:color="FFFFFF" w:themeColor="background1"/>
              <w:right w:val="single" w:sz="4" w:space="0" w:color="FFFFFF" w:themeColor="background1"/>
            </w:tcBorders>
            <w:shd w:val="clear" w:color="auto" w:fill="370663"/>
            <w:vAlign w:val="center"/>
          </w:tcPr>
          <w:p w14:paraId="6DC56B03" w14:textId="11CAC20F" w:rsidR="00D95E9A" w:rsidRPr="00843D74" w:rsidRDefault="00D95E9A" w:rsidP="00BD0ECD">
            <w:pPr>
              <w:keepNext/>
              <w:spacing w:after="16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843D74">
              <w:rPr>
                <w:rFonts w:eastAsia="Aptos" w:cs="Arial"/>
                <w:sz w:val="20"/>
                <w:szCs w:val="20"/>
              </w:rPr>
              <w:t>Current rat</w:t>
            </w:r>
            <w:r w:rsidR="00124363">
              <w:rPr>
                <w:rFonts w:eastAsia="Aptos" w:cs="Arial"/>
                <w:sz w:val="20"/>
                <w:szCs w:val="20"/>
              </w:rPr>
              <w:t>io</w:t>
            </w:r>
            <w:r w:rsidRPr="00843D74">
              <w:rPr>
                <w:rFonts w:eastAsia="Aptos" w:cs="Arial"/>
                <w:sz w:val="20"/>
                <w:szCs w:val="20"/>
              </w:rPr>
              <w:t xml:space="preserve"> in Regional Australia</w:t>
            </w:r>
          </w:p>
        </w:tc>
        <w:tc>
          <w:tcPr>
            <w:tcW w:w="1441" w:type="dxa"/>
            <w:tcBorders>
              <w:top w:val="single" w:sz="4" w:space="0" w:color="000000"/>
              <w:left w:val="single" w:sz="4" w:space="0" w:color="FFFFFF" w:themeColor="background1"/>
              <w:right w:val="single" w:sz="4" w:space="0" w:color="FFFFFF" w:themeColor="background1"/>
            </w:tcBorders>
            <w:shd w:val="clear" w:color="auto" w:fill="370663"/>
            <w:vAlign w:val="center"/>
          </w:tcPr>
          <w:p w14:paraId="49A7457B" w14:textId="77777777" w:rsidR="00D95E9A" w:rsidRPr="00843D74" w:rsidRDefault="00D95E9A" w:rsidP="00BD0ECD">
            <w:pPr>
              <w:keepNext/>
              <w:spacing w:after="16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843D74">
              <w:rPr>
                <w:rFonts w:eastAsia="Aptos" w:cs="Arial"/>
                <w:sz w:val="20"/>
                <w:szCs w:val="20"/>
              </w:rPr>
              <w:t>Current Trend</w:t>
            </w:r>
          </w:p>
        </w:tc>
        <w:tc>
          <w:tcPr>
            <w:tcW w:w="1119" w:type="dxa"/>
            <w:tcBorders>
              <w:top w:val="single" w:sz="4" w:space="0" w:color="000000"/>
              <w:left w:val="single" w:sz="4" w:space="0" w:color="FFFFFF" w:themeColor="background1"/>
              <w:right w:val="single" w:sz="4" w:space="0" w:color="FFFFFF" w:themeColor="background1"/>
            </w:tcBorders>
            <w:shd w:val="clear" w:color="auto" w:fill="370663"/>
            <w:vAlign w:val="center"/>
          </w:tcPr>
          <w:p w14:paraId="31214F09" w14:textId="77777777" w:rsidR="00D95E9A" w:rsidRPr="00843D74" w:rsidRDefault="00D95E9A" w:rsidP="00BD0ECD">
            <w:pPr>
              <w:keepNext/>
              <w:spacing w:after="16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843D74">
              <w:rPr>
                <w:rFonts w:eastAsia="Aptos" w:cs="Arial"/>
                <w:sz w:val="20"/>
                <w:szCs w:val="20"/>
              </w:rPr>
              <w:t>Best on record</w:t>
            </w:r>
          </w:p>
        </w:tc>
        <w:tc>
          <w:tcPr>
            <w:tcW w:w="1656" w:type="dxa"/>
            <w:tcBorders>
              <w:left w:val="single" w:sz="4" w:space="0" w:color="FFFFFF" w:themeColor="background1"/>
              <w:right w:val="single" w:sz="4" w:space="0" w:color="000000"/>
            </w:tcBorders>
            <w:shd w:val="clear" w:color="auto" w:fill="370663"/>
            <w:vAlign w:val="center"/>
          </w:tcPr>
          <w:p w14:paraId="65E1CD75" w14:textId="10D2C048" w:rsidR="00D95E9A" w:rsidRPr="00843D74" w:rsidRDefault="003A7518" w:rsidP="00BD0ECD">
            <w:pPr>
              <w:keepNext/>
              <w:spacing w:after="16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CB0C7A">
              <w:rPr>
                <w:rFonts w:cs="Arial"/>
                <w:sz w:val="20"/>
              </w:rPr>
              <w:t xml:space="preserve">Gap to </w:t>
            </w:r>
            <w:r>
              <w:rPr>
                <w:rFonts w:cs="Arial"/>
                <w:sz w:val="20"/>
              </w:rPr>
              <w:t>the Major Cities</w:t>
            </w:r>
          </w:p>
        </w:tc>
      </w:tr>
      <w:tr w:rsidR="00D86BED" w:rsidRPr="00207C36" w14:paraId="2F9CC88D" w14:textId="77777777" w:rsidTr="00800D1C">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1973" w:type="dxa"/>
            <w:tcBorders>
              <w:left w:val="single" w:sz="4" w:space="0" w:color="000000"/>
              <w:bottom w:val="single" w:sz="4" w:space="0" w:color="000000"/>
            </w:tcBorders>
            <w:shd w:val="clear" w:color="auto" w:fill="E0D1F5" w:themeFill="accent1" w:themeFillTint="33"/>
            <w:vAlign w:val="center"/>
          </w:tcPr>
          <w:p w14:paraId="1D7ACED5" w14:textId="1FA5A229" w:rsidR="00D95E9A" w:rsidRPr="00800D1C" w:rsidRDefault="00687541">
            <w:pPr>
              <w:spacing w:after="160"/>
              <w:rPr>
                <w:rFonts w:cs="Arial"/>
                <w:b w:val="0"/>
                <w:bCs w:val="0"/>
                <w:color w:val="auto"/>
              </w:rPr>
            </w:pPr>
            <w:r w:rsidRPr="00800D1C">
              <w:rPr>
                <w:rFonts w:cs="Arial"/>
                <w:b w:val="0"/>
                <w:bCs w:val="0"/>
                <w:color w:val="auto"/>
              </w:rPr>
              <w:t xml:space="preserve">Income </w:t>
            </w:r>
            <w:r w:rsidR="00D610E4" w:rsidRPr="00800D1C">
              <w:rPr>
                <w:rFonts w:cs="Arial"/>
                <w:b w:val="0"/>
                <w:bCs w:val="0"/>
                <w:color w:val="auto"/>
              </w:rPr>
              <w:t xml:space="preserve">inequality </w:t>
            </w:r>
            <w:r w:rsidR="00262C13" w:rsidRPr="00800D1C">
              <w:rPr>
                <w:rFonts w:cs="Arial"/>
                <w:b w:val="0"/>
                <w:bCs w:val="0"/>
                <w:color w:val="auto"/>
              </w:rPr>
              <w:t>ratio</w:t>
            </w:r>
            <w:r w:rsidR="00D95E9A" w:rsidRPr="00800D1C">
              <w:rPr>
                <w:rFonts w:cs="Arial"/>
                <w:b w:val="0"/>
                <w:bCs w:val="0"/>
                <w:color w:val="auto"/>
              </w:rPr>
              <w:t xml:space="preserve"> (%)</w:t>
            </w:r>
          </w:p>
        </w:tc>
        <w:tc>
          <w:tcPr>
            <w:tcW w:w="999" w:type="dxa"/>
            <w:tcBorders>
              <w:bottom w:val="single" w:sz="4" w:space="0" w:color="000000"/>
            </w:tcBorders>
            <w:shd w:val="clear" w:color="auto" w:fill="FFAD4C"/>
            <w:vAlign w:val="center"/>
          </w:tcPr>
          <w:p w14:paraId="0B5D8771" w14:textId="50DB2227" w:rsidR="00D95E9A" w:rsidRPr="00800D1C" w:rsidRDefault="00F55B7E">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800D1C">
              <w:rPr>
                <w:rFonts w:cs="Arial"/>
              </w:rPr>
              <w:t>Orange</w:t>
            </w:r>
          </w:p>
        </w:tc>
        <w:tc>
          <w:tcPr>
            <w:tcW w:w="1446" w:type="dxa"/>
            <w:tcBorders>
              <w:bottom w:val="single" w:sz="4" w:space="0" w:color="000000"/>
            </w:tcBorders>
            <w:shd w:val="clear" w:color="auto" w:fill="FFAD4C"/>
            <w:vAlign w:val="center"/>
          </w:tcPr>
          <w:p w14:paraId="1E21A729" w14:textId="723D14C5" w:rsidR="00D95E9A" w:rsidRPr="00800D1C" w:rsidRDefault="009332A2">
            <w:pPr>
              <w:spacing w:after="160"/>
              <w:jc w:val="center"/>
              <w:cnfStyle w:val="000000100000" w:firstRow="0" w:lastRow="0" w:firstColumn="0" w:lastColumn="0" w:oddVBand="0" w:evenVBand="0" w:oddHBand="1" w:evenHBand="0" w:firstRowFirstColumn="0" w:firstRowLastColumn="0" w:lastRowFirstColumn="0" w:lastRowLastColumn="0"/>
              <w:rPr>
                <w:rFonts w:cs="Arial"/>
                <w:highlight w:val="yellow"/>
              </w:rPr>
            </w:pPr>
            <w:r w:rsidRPr="00800D1C">
              <w:rPr>
                <w:rFonts w:cs="Arial"/>
              </w:rPr>
              <w:t>3.5</w:t>
            </w:r>
          </w:p>
        </w:tc>
        <w:tc>
          <w:tcPr>
            <w:tcW w:w="1441" w:type="dxa"/>
            <w:tcBorders>
              <w:bottom w:val="single" w:sz="4" w:space="0" w:color="000000"/>
            </w:tcBorders>
            <w:shd w:val="clear" w:color="auto" w:fill="F2F2F2" w:themeFill="background1" w:themeFillShade="F2"/>
            <w:vAlign w:val="center"/>
          </w:tcPr>
          <w:p w14:paraId="0C1690B6" w14:textId="5CCAE3D2" w:rsidR="00D95E9A" w:rsidRPr="00800D1C" w:rsidRDefault="009332A2">
            <w:pPr>
              <w:spacing w:after="160"/>
              <w:jc w:val="center"/>
              <w:cnfStyle w:val="000000100000" w:firstRow="0" w:lastRow="0" w:firstColumn="0" w:lastColumn="0" w:oddVBand="0" w:evenVBand="0" w:oddHBand="1" w:evenHBand="0" w:firstRowFirstColumn="0" w:firstRowLastColumn="0" w:lastRowFirstColumn="0" w:lastRowLastColumn="0"/>
              <w:rPr>
                <w:rFonts w:cs="Arial"/>
                <w:b/>
                <w:bCs/>
                <w:highlight w:val="yellow"/>
              </w:rPr>
            </w:pPr>
            <w:r w:rsidRPr="00800D1C">
              <w:rPr>
                <w:rFonts w:cs="Arial"/>
                <w:b/>
                <w:bCs/>
              </w:rPr>
              <w:t>Stable</w:t>
            </w:r>
          </w:p>
        </w:tc>
        <w:tc>
          <w:tcPr>
            <w:tcW w:w="1119" w:type="dxa"/>
            <w:tcBorders>
              <w:bottom w:val="single" w:sz="4" w:space="0" w:color="000000"/>
            </w:tcBorders>
            <w:shd w:val="clear" w:color="auto" w:fill="F2F2F2" w:themeFill="background1" w:themeFillShade="F2"/>
            <w:vAlign w:val="center"/>
          </w:tcPr>
          <w:p w14:paraId="294386DD" w14:textId="7524ADFF" w:rsidR="005E199B" w:rsidRPr="00800D1C" w:rsidRDefault="00A215CC" w:rsidP="005E199B">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800D1C">
              <w:rPr>
                <w:rFonts w:cs="Arial"/>
              </w:rPr>
              <w:t>3.5</w:t>
            </w:r>
          </w:p>
          <w:p w14:paraId="58BA4E2A" w14:textId="0337FD28" w:rsidR="00D95E9A" w:rsidRPr="00800D1C" w:rsidRDefault="005E199B">
            <w:pPr>
              <w:spacing w:after="160"/>
              <w:jc w:val="center"/>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sidRPr="00800D1C">
              <w:rPr>
                <w:rFonts w:cs="Arial"/>
                <w:sz w:val="18"/>
                <w:szCs w:val="18"/>
              </w:rPr>
              <w:t>(</w:t>
            </w:r>
            <w:r w:rsidR="00A215CC" w:rsidRPr="00800D1C">
              <w:rPr>
                <w:rFonts w:cs="Arial"/>
                <w:sz w:val="18"/>
                <w:szCs w:val="18"/>
              </w:rPr>
              <w:t>2022-23</w:t>
            </w:r>
            <w:r w:rsidRPr="00800D1C">
              <w:rPr>
                <w:rFonts w:cs="Arial"/>
                <w:sz w:val="18"/>
                <w:szCs w:val="18"/>
              </w:rPr>
              <w:t>)</w:t>
            </w:r>
          </w:p>
        </w:tc>
        <w:tc>
          <w:tcPr>
            <w:tcW w:w="1656" w:type="dxa"/>
            <w:tcBorders>
              <w:bottom w:val="single" w:sz="4" w:space="0" w:color="000000"/>
              <w:right w:val="single" w:sz="4" w:space="0" w:color="000000"/>
            </w:tcBorders>
            <w:shd w:val="clear" w:color="auto" w:fill="DF5454"/>
            <w:vAlign w:val="center"/>
          </w:tcPr>
          <w:p w14:paraId="7E557600" w14:textId="59660D12" w:rsidR="00D95E9A" w:rsidRPr="00800D1C" w:rsidRDefault="006932BE">
            <w:pPr>
              <w:spacing w:after="160"/>
              <w:jc w:val="center"/>
              <w:cnfStyle w:val="000000100000" w:firstRow="0" w:lastRow="0" w:firstColumn="0" w:lastColumn="0" w:oddVBand="0" w:evenVBand="0" w:oddHBand="1" w:evenHBand="0" w:firstRowFirstColumn="0" w:firstRowLastColumn="0" w:lastRowFirstColumn="0" w:lastRowLastColumn="0"/>
              <w:rPr>
                <w:rFonts w:cs="Arial"/>
                <w:highlight w:val="yellow"/>
              </w:rPr>
            </w:pPr>
            <w:r w:rsidRPr="00800D1C">
              <w:rPr>
                <w:rFonts w:cs="Arial"/>
              </w:rPr>
              <w:t>+</w:t>
            </w:r>
            <w:r w:rsidR="00C05F4B" w:rsidRPr="00800D1C">
              <w:rPr>
                <w:rFonts w:cs="Arial"/>
              </w:rPr>
              <w:t>0.4</w:t>
            </w:r>
          </w:p>
        </w:tc>
      </w:tr>
    </w:tbl>
    <w:p w14:paraId="2CC68817" w14:textId="5CE22479" w:rsidR="00D95E9A" w:rsidRPr="00401BDB" w:rsidRDefault="00C05F4B" w:rsidP="00D95E9A">
      <w:pPr>
        <w:spacing w:after="160" w:line="278" w:lineRule="auto"/>
        <w:rPr>
          <w:rFonts w:cs="Arial"/>
          <w:i/>
          <w:iCs/>
          <w:sz w:val="18"/>
          <w:szCs w:val="18"/>
        </w:rPr>
      </w:pPr>
      <w:r w:rsidRPr="00401BDB">
        <w:rPr>
          <w:rFonts w:cs="Arial"/>
          <w:i/>
          <w:iCs/>
          <w:sz w:val="18"/>
          <w:szCs w:val="18"/>
        </w:rPr>
        <w:t>Source: ABS, PLIDA</w:t>
      </w:r>
      <w:r w:rsidR="00A215CC" w:rsidRPr="00401BDB">
        <w:rPr>
          <w:rFonts w:cs="Arial"/>
          <w:i/>
          <w:iCs/>
          <w:sz w:val="18"/>
          <w:szCs w:val="18"/>
        </w:rPr>
        <w:t>, 2022-23, latest available data</w:t>
      </w:r>
    </w:p>
    <w:p w14:paraId="3B2D4B95" w14:textId="48BBEA7E" w:rsidR="000A0D31" w:rsidRPr="000E6BF6" w:rsidRDefault="006962E2" w:rsidP="009F131F">
      <w:pPr>
        <w:pStyle w:val="BodyText"/>
      </w:pPr>
      <w:r w:rsidRPr="00610F83">
        <w:rPr>
          <w:rFonts w:cs="Arial"/>
        </w:rPr>
        <w:t>While some</w:t>
      </w:r>
      <w:r w:rsidR="001E0124" w:rsidRPr="000E6BF6">
        <w:t xml:space="preserve"> degree of</w:t>
      </w:r>
      <w:r w:rsidRPr="000E6BF6">
        <w:t xml:space="preserve"> income in</w:t>
      </w:r>
      <w:r w:rsidR="006F6AD2" w:rsidRPr="000E6BF6">
        <w:t xml:space="preserve">equality </w:t>
      </w:r>
      <w:r w:rsidR="008D3F13" w:rsidRPr="000E6BF6">
        <w:t xml:space="preserve">will always occur to some degree due to differences in education, skills and effort, high rates of income inequality can have wide ranging </w:t>
      </w:r>
      <w:r w:rsidR="004A5609" w:rsidRPr="000E6BF6">
        <w:t xml:space="preserve">impacts on social and economic </w:t>
      </w:r>
      <w:r w:rsidR="003D0D9D" w:rsidRPr="000E6BF6">
        <w:t>out</w:t>
      </w:r>
      <w:r w:rsidR="00ED2D9A" w:rsidRPr="000E6BF6">
        <w:t xml:space="preserve">comes by hindering economic growth and increasing social </w:t>
      </w:r>
      <w:r w:rsidR="001F7004" w:rsidRPr="000E6BF6">
        <w:t xml:space="preserve">inequity and </w:t>
      </w:r>
      <w:r w:rsidR="00ED2D9A" w:rsidRPr="000E6BF6">
        <w:t xml:space="preserve">instability. </w:t>
      </w:r>
    </w:p>
    <w:p w14:paraId="0C8E0F60" w14:textId="33BF08AF" w:rsidR="00DD77F3" w:rsidRPr="000E6BF6" w:rsidRDefault="0014575E" w:rsidP="009F131F">
      <w:pPr>
        <w:pStyle w:val="BodyText"/>
      </w:pPr>
      <w:r w:rsidRPr="00610F83">
        <w:rPr>
          <w:rFonts w:cs="Arial"/>
        </w:rPr>
        <w:t>Overall, the income</w:t>
      </w:r>
      <w:r w:rsidR="00C04123" w:rsidRPr="000E6BF6">
        <w:t xml:space="preserve"> inequality</w:t>
      </w:r>
      <w:r w:rsidRPr="000E6BF6">
        <w:t xml:space="preserve"> ratio has been relatively stable over the last decade</w:t>
      </w:r>
      <w:r w:rsidR="00132640">
        <w:t xml:space="preserve"> and</w:t>
      </w:r>
      <w:r w:rsidR="009A1E53" w:rsidRPr="000E6BF6">
        <w:t xml:space="preserve"> </w:t>
      </w:r>
      <w:r w:rsidR="00DD77F3" w:rsidRPr="000E6BF6">
        <w:t xml:space="preserve">has consistently tracked </w:t>
      </w:r>
      <w:r w:rsidR="009A1E53" w:rsidRPr="000E6BF6">
        <w:t>higher in Regional Australia than in Major Cities</w:t>
      </w:r>
      <w:r w:rsidR="002A5C23" w:rsidRPr="000E6BF6">
        <w:t xml:space="preserve">. </w:t>
      </w:r>
    </w:p>
    <w:p w14:paraId="48912707" w14:textId="18ED1DE9" w:rsidR="001E3A2A" w:rsidRPr="000E6BF6" w:rsidRDefault="002A5C23" w:rsidP="009F131F">
      <w:pPr>
        <w:pStyle w:val="BodyText"/>
        <w:rPr>
          <w:rFonts w:eastAsia="Times New Roman" w:cs="Arial"/>
        </w:rPr>
      </w:pPr>
      <w:r w:rsidRPr="00610F83">
        <w:rPr>
          <w:rFonts w:cs="Arial"/>
        </w:rPr>
        <w:t xml:space="preserve">This </w:t>
      </w:r>
      <w:r w:rsidR="005E3325" w:rsidRPr="000E6BF6">
        <w:t xml:space="preserve">likely reflects </w:t>
      </w:r>
      <w:r w:rsidR="00FD661B" w:rsidRPr="000E6BF6">
        <w:t xml:space="preserve">the influence of Mining in Regional Australia, with the industry generally paying </w:t>
      </w:r>
      <w:r w:rsidR="00AE2EAF" w:rsidRPr="000E6BF6">
        <w:t xml:space="preserve">high wages. </w:t>
      </w:r>
      <w:r w:rsidR="009D7ABE" w:rsidRPr="000E6BF6">
        <w:t xml:space="preserve">For example, </w:t>
      </w:r>
      <w:r w:rsidR="009C78C0" w:rsidRPr="000E6BF6">
        <w:t>i</w:t>
      </w:r>
      <w:r w:rsidR="0010466D" w:rsidRPr="000E6BF6">
        <w:t xml:space="preserve">n Western Australia – Outback </w:t>
      </w:r>
      <w:r w:rsidR="009C78C0" w:rsidRPr="000E6BF6">
        <w:t xml:space="preserve">where Mining accounts for </w:t>
      </w:r>
      <w:r w:rsidR="005F1A59">
        <w:t>just over</w:t>
      </w:r>
      <w:r w:rsidR="00556776" w:rsidRPr="000E6BF6">
        <w:t xml:space="preserve"> 20</w:t>
      </w:r>
      <w:r w:rsidR="00A61FF6" w:rsidRPr="000E6BF6">
        <w:t xml:space="preserve">% </w:t>
      </w:r>
      <w:r w:rsidR="00370B6C" w:rsidRPr="000E6BF6">
        <w:t xml:space="preserve">of </w:t>
      </w:r>
      <w:r w:rsidR="00B45FA2" w:rsidRPr="000E6BF6">
        <w:t xml:space="preserve">employment (compared with just </w:t>
      </w:r>
      <w:r w:rsidR="00C5570D" w:rsidRPr="000E6BF6">
        <w:t xml:space="preserve">2% nationally), </w:t>
      </w:r>
      <w:r w:rsidR="009D7ABE" w:rsidRPr="000E6BF6">
        <w:t>the</w:t>
      </w:r>
      <w:r w:rsidR="006B5DB8" w:rsidRPr="000E6BF6">
        <w:t xml:space="preserve"> income ratio </w:t>
      </w:r>
      <w:r w:rsidR="006F4518" w:rsidRPr="000E6BF6">
        <w:t xml:space="preserve">was 4.2 in </w:t>
      </w:r>
      <w:r w:rsidR="00476D39" w:rsidRPr="000E6BF6">
        <w:t>2022-23</w:t>
      </w:r>
      <w:r w:rsidR="00C5570D" w:rsidRPr="000E6BF6">
        <w:t>.</w:t>
      </w:r>
      <w:r w:rsidR="00476D39" w:rsidRPr="000E6BF6">
        <w:t xml:space="preserve"> </w:t>
      </w:r>
      <w:r w:rsidR="00AE2EAF" w:rsidRPr="000E6BF6">
        <w:t>On the other</w:t>
      </w:r>
      <w:r w:rsidR="00C3094F" w:rsidRPr="000E6BF6">
        <w:t xml:space="preserve"> hand</w:t>
      </w:r>
      <w:r w:rsidR="00AE2EAF" w:rsidRPr="000E6BF6">
        <w:t xml:space="preserve">, </w:t>
      </w:r>
      <w:r w:rsidR="009D7ABE" w:rsidRPr="000E6BF6">
        <w:t xml:space="preserve">there is a greater spread of occupations in </w:t>
      </w:r>
      <w:r w:rsidR="00B32365">
        <w:t>the Major Cities</w:t>
      </w:r>
      <w:r w:rsidR="009D7ABE" w:rsidRPr="000E6BF6">
        <w:t xml:space="preserve">, </w:t>
      </w:r>
      <w:r w:rsidR="009D7ABE" w:rsidRPr="000E6BF6">
        <w:lastRenderedPageBreak/>
        <w:t>from lower wage services to high wage professional occupations</w:t>
      </w:r>
      <w:r w:rsidR="006F4518" w:rsidRPr="000E6BF6">
        <w:t>, generally resulting in a lower income ratio for Major Cities.</w:t>
      </w:r>
      <w:r w:rsidR="00AE2EAF" w:rsidRPr="000E6BF6">
        <w:t xml:space="preserve"> </w:t>
      </w:r>
    </w:p>
    <w:p w14:paraId="7A15CAC5" w14:textId="6AC495E2" w:rsidR="00824E29" w:rsidRDefault="00596657" w:rsidP="00596657">
      <w:pPr>
        <w:pStyle w:val="Caption"/>
      </w:pPr>
      <w:bookmarkStart w:id="126" w:name="_Toc201916596"/>
      <w:r>
        <w:t xml:space="preserve">Figure </w:t>
      </w:r>
      <w:r>
        <w:fldChar w:fldCharType="begin"/>
      </w:r>
      <w:r>
        <w:instrText xml:space="preserve"> SEQ Figure \* ARABIC </w:instrText>
      </w:r>
      <w:r>
        <w:fldChar w:fldCharType="separate"/>
      </w:r>
      <w:r w:rsidR="00471863">
        <w:rPr>
          <w:noProof/>
        </w:rPr>
        <w:t>30</w:t>
      </w:r>
      <w:r>
        <w:fldChar w:fldCharType="end"/>
      </w:r>
      <w:r w:rsidR="00824E29">
        <w:t>: Income ratio (</w:t>
      </w:r>
      <w:r w:rsidR="00461E8A">
        <w:t>p80 and p20)</w:t>
      </w:r>
      <w:r w:rsidR="009317FB">
        <w:t>, Regional Australia and Major Cities</w:t>
      </w:r>
      <w:bookmarkEnd w:id="126"/>
    </w:p>
    <w:p w14:paraId="23CDE6E5" w14:textId="74D7D2D0" w:rsidR="00C05F4B" w:rsidRDefault="000F4274" w:rsidP="00C05F4B">
      <w:r>
        <w:rPr>
          <w:noProof/>
        </w:rPr>
        <w:drawing>
          <wp:inline distT="0" distB="0" distL="0" distR="0" wp14:anchorId="57A0F7EA" wp14:editId="44B9FE42">
            <wp:extent cx="5724525" cy="2895600"/>
            <wp:effectExtent l="0" t="0" r="9525" b="0"/>
            <wp:docPr id="726751525" name="Picture 45" descr="A line chart that shows the income ratio (p80 and p20), Regional Australia and Major Cities. The chart shows that, overall, the income inequality ratio has been relatively stable over the past decade and has consistently tracked higher in Regional Australia than in Major C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51525" name="Picture 45" descr="A line chart that shows the income ratio (p80 and p20), Regional Australia and Major Cities. The chart shows that, overall, the income inequality ratio has been relatively stable over the past decade and has consistently tracked higher in Regional Australia than in Major Cities. "/>
                    <pic:cNvPicPr>
                      <a:picLocks noChangeAspect="1" noChangeArrowheads="1"/>
                    </pic:cNvPicPr>
                  </pic:nvPicPr>
                  <pic:blipFill>
                    <a:blip r:embed="rId58" cstate="email">
                      <a:extLst>
                        <a:ext uri="{28A0092B-C50C-407E-A947-70E740481C1C}">
                          <a14:useLocalDpi xmlns:a14="http://schemas.microsoft.com/office/drawing/2010/main" val="0"/>
                        </a:ext>
                      </a:extLst>
                    </a:blip>
                    <a:srcRect/>
                    <a:stretch>
                      <a:fillRect/>
                    </a:stretch>
                  </pic:blipFill>
                  <pic:spPr bwMode="auto">
                    <a:xfrm>
                      <a:off x="0" y="0"/>
                      <a:ext cx="5724525" cy="2895600"/>
                    </a:xfrm>
                    <a:prstGeom prst="rect">
                      <a:avLst/>
                    </a:prstGeom>
                    <a:noFill/>
                  </pic:spPr>
                </pic:pic>
              </a:graphicData>
            </a:graphic>
          </wp:inline>
        </w:drawing>
      </w:r>
    </w:p>
    <w:p w14:paraId="3A1B9A83" w14:textId="235B0161" w:rsidR="009A1408" w:rsidRPr="00401BDB" w:rsidRDefault="009A1408" w:rsidP="009A1408">
      <w:pPr>
        <w:spacing w:after="160" w:line="278" w:lineRule="auto"/>
        <w:rPr>
          <w:rFonts w:cs="Arial"/>
          <w:i/>
          <w:iCs/>
          <w:sz w:val="18"/>
          <w:szCs w:val="18"/>
        </w:rPr>
      </w:pPr>
      <w:r w:rsidRPr="00401BDB">
        <w:rPr>
          <w:rFonts w:cs="Arial"/>
          <w:i/>
          <w:iCs/>
          <w:sz w:val="18"/>
          <w:szCs w:val="18"/>
        </w:rPr>
        <w:t>Source: ABS, PLIDA, 2022-23, latest available data</w:t>
      </w:r>
    </w:p>
    <w:tbl>
      <w:tblPr>
        <w:tblStyle w:val="CustomTablepulloutbox2"/>
        <w:tblW w:w="0" w:type="auto"/>
        <w:tblLook w:val="04A0" w:firstRow="1" w:lastRow="0" w:firstColumn="1" w:lastColumn="0" w:noHBand="0" w:noVBand="1"/>
      </w:tblPr>
      <w:tblGrid>
        <w:gridCol w:w="8997"/>
      </w:tblGrid>
      <w:tr w:rsidR="009F131F" w14:paraId="02AB0CF5" w14:textId="77777777">
        <w:trPr>
          <w:trHeight w:val="1713"/>
        </w:trPr>
        <w:tc>
          <w:tcPr>
            <w:tcW w:w="8997" w:type="dxa"/>
          </w:tcPr>
          <w:p w14:paraId="5A4F41BC" w14:textId="77777777" w:rsidR="009F131F" w:rsidRPr="00992EDD" w:rsidRDefault="009F131F" w:rsidP="00992EDD">
            <w:pPr>
              <w:pStyle w:val="BoxHeading"/>
              <w:jc w:val="center"/>
              <w:rPr>
                <w:sz w:val="24"/>
                <w:szCs w:val="24"/>
              </w:rPr>
            </w:pPr>
            <w:r w:rsidRPr="00992EDD">
              <w:rPr>
                <w:sz w:val="24"/>
                <w:szCs w:val="24"/>
              </w:rPr>
              <w:t>Stakeholder insight</w:t>
            </w:r>
          </w:p>
          <w:p w14:paraId="69F340F3" w14:textId="3DA1848B" w:rsidR="009F131F" w:rsidRDefault="00306785" w:rsidP="00AC6391">
            <w:pPr>
              <w:jc w:val="center"/>
              <w:rPr>
                <w:rFonts w:cs="Arial"/>
                <w:i/>
                <w:iCs/>
                <w:sz w:val="22"/>
                <w:szCs w:val="22"/>
              </w:rPr>
            </w:pPr>
            <w:r>
              <w:rPr>
                <w:rFonts w:cs="Arial"/>
                <w:i/>
                <w:iCs/>
                <w:sz w:val="22"/>
                <w:szCs w:val="22"/>
              </w:rPr>
              <w:t>‘</w:t>
            </w:r>
            <w:r w:rsidR="00017952" w:rsidRPr="00017952">
              <w:rPr>
                <w:rFonts w:cs="Arial"/>
                <w:i/>
                <w:iCs/>
                <w:sz w:val="22"/>
                <w:szCs w:val="22"/>
                <w:lang w:val="en-AU"/>
              </w:rPr>
              <w:t>Significant wage differentials are evident both within and between regions – especially where there are significant differences in the industries and skills needs of across local economies and labour markets</w:t>
            </w:r>
            <w:r w:rsidR="009F131F" w:rsidRPr="009F131F">
              <w:rPr>
                <w:rFonts w:cs="Arial"/>
                <w:i/>
                <w:iCs/>
                <w:sz w:val="22"/>
                <w:szCs w:val="22"/>
              </w:rPr>
              <w:t>.</w:t>
            </w:r>
            <w:r>
              <w:rPr>
                <w:rFonts w:cs="Arial"/>
                <w:i/>
                <w:iCs/>
                <w:sz w:val="22"/>
                <w:szCs w:val="22"/>
              </w:rPr>
              <w:t>’</w:t>
            </w:r>
          </w:p>
          <w:p w14:paraId="1F1E3A34" w14:textId="77777777" w:rsidR="00992EDD" w:rsidRPr="00992EDD" w:rsidRDefault="00017952" w:rsidP="00992EDD">
            <w:pPr>
              <w:jc w:val="center"/>
              <w:rPr>
                <w:rFonts w:cs="Arial"/>
                <w:b/>
                <w:bCs/>
                <w:sz w:val="24"/>
                <w:szCs w:val="24"/>
              </w:rPr>
            </w:pPr>
            <w:r w:rsidRPr="00992EDD">
              <w:rPr>
                <w:rFonts w:cs="Arial"/>
                <w:b/>
                <w:sz w:val="24"/>
                <w:szCs w:val="24"/>
              </w:rPr>
              <w:t>Aaron Wong</w:t>
            </w:r>
          </w:p>
          <w:p w14:paraId="637B68D5" w14:textId="77777777" w:rsidR="00347592" w:rsidRDefault="00473914" w:rsidP="00992EDD">
            <w:pPr>
              <w:jc w:val="center"/>
              <w:rPr>
                <w:rFonts w:cs="Arial"/>
                <w:sz w:val="22"/>
                <w:szCs w:val="22"/>
              </w:rPr>
            </w:pPr>
            <w:r w:rsidRPr="00473914">
              <w:rPr>
                <w:rFonts w:cs="Arial"/>
                <w:sz w:val="22"/>
                <w:szCs w:val="22"/>
              </w:rPr>
              <w:t>Senior Research Economist</w:t>
            </w:r>
            <w:r w:rsidR="00992EDD">
              <w:rPr>
                <w:rFonts w:cs="Arial"/>
                <w:sz w:val="22"/>
                <w:szCs w:val="22"/>
              </w:rPr>
              <w:t xml:space="preserve"> </w:t>
            </w:r>
          </w:p>
          <w:p w14:paraId="7B0B7C43" w14:textId="6D90B4F7" w:rsidR="00017952" w:rsidRPr="00473914" w:rsidRDefault="00473914" w:rsidP="00992EDD">
            <w:pPr>
              <w:jc w:val="center"/>
              <w:rPr>
                <w:rFonts w:cs="Arial"/>
                <w:sz w:val="22"/>
                <w:szCs w:val="22"/>
              </w:rPr>
            </w:pPr>
            <w:r w:rsidRPr="00473914">
              <w:rPr>
                <w:rFonts w:cs="Arial"/>
                <w:sz w:val="22"/>
                <w:szCs w:val="22"/>
              </w:rPr>
              <w:t>e61 Institute</w:t>
            </w:r>
          </w:p>
        </w:tc>
      </w:tr>
    </w:tbl>
    <w:p w14:paraId="25EAFC64" w14:textId="16CB61F2" w:rsidR="0017339F" w:rsidRPr="0000693F" w:rsidRDefault="00612BC4" w:rsidP="0017339F">
      <w:pPr>
        <w:pStyle w:val="Heading5"/>
        <w:keepNext/>
        <w:rPr>
          <w:b w:val="0"/>
          <w:sz w:val="20"/>
          <w:szCs w:val="20"/>
        </w:rPr>
      </w:pPr>
      <w:r>
        <w:rPr>
          <w:sz w:val="21"/>
          <w:szCs w:val="21"/>
        </w:rPr>
        <w:t>Workers</w:t>
      </w:r>
      <w:r>
        <w:rPr>
          <w:sz w:val="21"/>
          <w:szCs w:val="21"/>
          <w:lang w:val="en-US"/>
        </w:rPr>
        <w:t>’</w:t>
      </w:r>
      <w:r>
        <w:rPr>
          <w:sz w:val="21"/>
          <w:szCs w:val="21"/>
        </w:rPr>
        <w:t xml:space="preserve"> compensation</w:t>
      </w:r>
      <w:r w:rsidR="0017339F" w:rsidRPr="00566D4F">
        <w:rPr>
          <w:sz w:val="21"/>
          <w:szCs w:val="21"/>
        </w:rPr>
        <w:t xml:space="preserve"> </w:t>
      </w:r>
      <w:r w:rsidR="004B6864" w:rsidRPr="00566D4F">
        <w:rPr>
          <w:sz w:val="21"/>
          <w:szCs w:val="21"/>
        </w:rPr>
        <w:t>i</w:t>
      </w:r>
      <w:r w:rsidR="0017339F" w:rsidRPr="00566D4F">
        <w:rPr>
          <w:sz w:val="21"/>
          <w:szCs w:val="21"/>
        </w:rPr>
        <w:t>ncidence rate</w:t>
      </w:r>
      <w:r w:rsidR="0017339F">
        <w:rPr>
          <w:rStyle w:val="FootnoteReference"/>
          <w:sz w:val="20"/>
          <w:szCs w:val="20"/>
        </w:rPr>
        <w:footnoteReference w:id="26"/>
      </w:r>
    </w:p>
    <w:p w14:paraId="42E149E4" w14:textId="18804C37" w:rsidR="0017339F" w:rsidRDefault="006470FB" w:rsidP="006470FB">
      <w:pPr>
        <w:pStyle w:val="Caption"/>
      </w:pPr>
      <w:r>
        <w:t xml:space="preserve">Table </w:t>
      </w:r>
      <w:r>
        <w:fldChar w:fldCharType="begin"/>
      </w:r>
      <w:r>
        <w:instrText xml:space="preserve"> SEQ Table \* ARABIC </w:instrText>
      </w:r>
      <w:r>
        <w:fldChar w:fldCharType="separate"/>
      </w:r>
      <w:r w:rsidR="00471863">
        <w:rPr>
          <w:noProof/>
        </w:rPr>
        <w:t>20</w:t>
      </w:r>
      <w:r>
        <w:fldChar w:fldCharType="end"/>
      </w:r>
      <w:r w:rsidR="0017339F" w:rsidRPr="00EA4717">
        <w:t>:</w:t>
      </w:r>
      <w:r w:rsidR="0017339F">
        <w:t xml:space="preserve"> </w:t>
      </w:r>
      <w:r w:rsidR="00D72163" w:rsidRPr="00D72163">
        <w:t>Workers</w:t>
      </w:r>
      <w:r w:rsidR="00D72163" w:rsidRPr="00D72163">
        <w:rPr>
          <w:lang w:val="en-US"/>
        </w:rPr>
        <w:t>’</w:t>
      </w:r>
      <w:r w:rsidR="00D72163" w:rsidRPr="00D72163">
        <w:t xml:space="preserve"> compensation</w:t>
      </w:r>
      <w:r w:rsidR="00963AA4">
        <w:t xml:space="preserve"> incidence rate </w:t>
      </w:r>
      <w:r w:rsidR="00BA2AED">
        <w:t>(per 1</w:t>
      </w:r>
      <w:r w:rsidR="0020375A">
        <w:t>,</w:t>
      </w:r>
      <w:r w:rsidR="00BA2AED">
        <w:t>000 workers)</w:t>
      </w:r>
    </w:p>
    <w:p w14:paraId="59DC2ED1" w14:textId="77777777" w:rsidR="00820B93" w:rsidRDefault="00820B93" w:rsidP="00820B93"/>
    <w:p w14:paraId="789E74A7" w14:textId="77777777" w:rsidR="00820B93" w:rsidRPr="00820B93" w:rsidRDefault="00820B93" w:rsidP="00820B93"/>
    <w:tbl>
      <w:tblPr>
        <w:tblStyle w:val="GridTable5Dark-Accent12"/>
        <w:tblW w:w="8634" w:type="dxa"/>
        <w:tblLook w:val="04A0" w:firstRow="1" w:lastRow="0" w:firstColumn="1" w:lastColumn="0" w:noHBand="0" w:noVBand="1"/>
      </w:tblPr>
      <w:tblGrid>
        <w:gridCol w:w="1973"/>
        <w:gridCol w:w="999"/>
        <w:gridCol w:w="1446"/>
        <w:gridCol w:w="1441"/>
        <w:gridCol w:w="1119"/>
        <w:gridCol w:w="1656"/>
      </w:tblGrid>
      <w:tr w:rsidR="0017339F" w:rsidRPr="00207C36" w14:paraId="4AA80EBD" w14:textId="77777777">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1973" w:type="dxa"/>
            <w:tcBorders>
              <w:top w:val="single" w:sz="4" w:space="0" w:color="000000"/>
              <w:left w:val="single" w:sz="4" w:space="0" w:color="000000"/>
              <w:right w:val="single" w:sz="4" w:space="0" w:color="FFFFFF" w:themeColor="background1"/>
            </w:tcBorders>
            <w:shd w:val="clear" w:color="auto" w:fill="370663"/>
          </w:tcPr>
          <w:p w14:paraId="57DC8732" w14:textId="77777777" w:rsidR="0017339F" w:rsidRPr="00843D74" w:rsidRDefault="0017339F">
            <w:pPr>
              <w:keepNext/>
              <w:spacing w:after="160"/>
              <w:rPr>
                <w:rFonts w:cs="Arial"/>
                <w:color w:val="auto"/>
                <w:sz w:val="20"/>
                <w:szCs w:val="20"/>
              </w:rPr>
            </w:pPr>
          </w:p>
        </w:tc>
        <w:tc>
          <w:tcPr>
            <w:tcW w:w="999" w:type="dxa"/>
            <w:tcBorders>
              <w:top w:val="single" w:sz="4" w:space="0" w:color="000000"/>
              <w:left w:val="single" w:sz="4" w:space="0" w:color="FFFFFF" w:themeColor="background1"/>
              <w:right w:val="single" w:sz="4" w:space="0" w:color="FFFFFF" w:themeColor="background1"/>
            </w:tcBorders>
            <w:shd w:val="clear" w:color="auto" w:fill="370663"/>
            <w:vAlign w:val="center"/>
          </w:tcPr>
          <w:p w14:paraId="423B5B10" w14:textId="77777777" w:rsidR="0017339F" w:rsidRPr="00843D74" w:rsidRDefault="0017339F">
            <w:pPr>
              <w:keepNext/>
              <w:spacing w:after="16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843D74">
              <w:rPr>
                <w:rFonts w:eastAsia="Aptos" w:cs="Arial"/>
                <w:sz w:val="20"/>
                <w:szCs w:val="20"/>
              </w:rPr>
              <w:t>Rating</w:t>
            </w:r>
          </w:p>
        </w:tc>
        <w:tc>
          <w:tcPr>
            <w:tcW w:w="1446" w:type="dxa"/>
            <w:tcBorders>
              <w:top w:val="single" w:sz="4" w:space="0" w:color="000000"/>
              <w:left w:val="single" w:sz="4" w:space="0" w:color="FFFFFF" w:themeColor="background1"/>
              <w:right w:val="single" w:sz="4" w:space="0" w:color="FFFFFF" w:themeColor="background1"/>
            </w:tcBorders>
            <w:shd w:val="clear" w:color="auto" w:fill="370663"/>
            <w:vAlign w:val="center"/>
          </w:tcPr>
          <w:p w14:paraId="7A213CBE" w14:textId="4591A7F1" w:rsidR="0017339F" w:rsidRPr="00843D74" w:rsidRDefault="0017339F">
            <w:pPr>
              <w:keepNext/>
              <w:spacing w:after="16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843D74">
              <w:rPr>
                <w:rFonts w:eastAsia="Aptos" w:cs="Arial"/>
                <w:sz w:val="20"/>
                <w:szCs w:val="20"/>
              </w:rPr>
              <w:t xml:space="preserve">Current </w:t>
            </w:r>
            <w:r w:rsidR="009E0849">
              <w:rPr>
                <w:rFonts w:eastAsia="Aptos" w:cs="Arial"/>
                <w:sz w:val="20"/>
                <w:szCs w:val="20"/>
              </w:rPr>
              <w:t>rate</w:t>
            </w:r>
            <w:r w:rsidRPr="00843D74">
              <w:rPr>
                <w:rFonts w:eastAsia="Aptos" w:cs="Arial"/>
                <w:sz w:val="20"/>
                <w:szCs w:val="20"/>
              </w:rPr>
              <w:t xml:space="preserve"> in Regional Australia</w:t>
            </w:r>
          </w:p>
        </w:tc>
        <w:tc>
          <w:tcPr>
            <w:tcW w:w="1441" w:type="dxa"/>
            <w:tcBorders>
              <w:top w:val="single" w:sz="4" w:space="0" w:color="000000"/>
              <w:left w:val="single" w:sz="4" w:space="0" w:color="FFFFFF" w:themeColor="background1"/>
              <w:right w:val="single" w:sz="4" w:space="0" w:color="FFFFFF" w:themeColor="background1"/>
            </w:tcBorders>
            <w:shd w:val="clear" w:color="auto" w:fill="370663"/>
            <w:vAlign w:val="center"/>
          </w:tcPr>
          <w:p w14:paraId="68242D3F" w14:textId="77777777" w:rsidR="0017339F" w:rsidRPr="00843D74" w:rsidRDefault="0017339F">
            <w:pPr>
              <w:keepNext/>
              <w:spacing w:after="16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843D74">
              <w:rPr>
                <w:rFonts w:eastAsia="Aptos" w:cs="Arial"/>
                <w:sz w:val="20"/>
                <w:szCs w:val="20"/>
              </w:rPr>
              <w:t>Current Trend</w:t>
            </w:r>
          </w:p>
        </w:tc>
        <w:tc>
          <w:tcPr>
            <w:tcW w:w="1119" w:type="dxa"/>
            <w:tcBorders>
              <w:top w:val="single" w:sz="4" w:space="0" w:color="000000"/>
              <w:left w:val="single" w:sz="4" w:space="0" w:color="FFFFFF" w:themeColor="background1"/>
              <w:right w:val="single" w:sz="4" w:space="0" w:color="FFFFFF" w:themeColor="background1"/>
            </w:tcBorders>
            <w:shd w:val="clear" w:color="auto" w:fill="370663"/>
            <w:vAlign w:val="center"/>
          </w:tcPr>
          <w:p w14:paraId="4EE8BD33" w14:textId="77777777" w:rsidR="0017339F" w:rsidRPr="00843D74" w:rsidRDefault="0017339F">
            <w:pPr>
              <w:keepNext/>
              <w:spacing w:after="16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843D74">
              <w:rPr>
                <w:rFonts w:eastAsia="Aptos" w:cs="Arial"/>
                <w:sz w:val="20"/>
                <w:szCs w:val="20"/>
              </w:rPr>
              <w:t>Best on record</w:t>
            </w:r>
          </w:p>
        </w:tc>
        <w:tc>
          <w:tcPr>
            <w:tcW w:w="1656" w:type="dxa"/>
            <w:tcBorders>
              <w:left w:val="single" w:sz="4" w:space="0" w:color="FFFFFF" w:themeColor="background1"/>
              <w:right w:val="single" w:sz="4" w:space="0" w:color="000000"/>
            </w:tcBorders>
            <w:shd w:val="clear" w:color="auto" w:fill="370663"/>
            <w:vAlign w:val="center"/>
          </w:tcPr>
          <w:p w14:paraId="51AF3C45" w14:textId="7E4BAC4F" w:rsidR="0017339F" w:rsidRPr="00843D74" w:rsidRDefault="003A7518">
            <w:pPr>
              <w:keepNext/>
              <w:spacing w:after="16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CB0C7A">
              <w:rPr>
                <w:rFonts w:cs="Arial"/>
                <w:sz w:val="20"/>
              </w:rPr>
              <w:t xml:space="preserve">Gap to </w:t>
            </w:r>
            <w:r>
              <w:rPr>
                <w:rFonts w:cs="Arial"/>
                <w:sz w:val="20"/>
              </w:rPr>
              <w:t>the Major Cities</w:t>
            </w:r>
          </w:p>
        </w:tc>
      </w:tr>
      <w:tr w:rsidR="00D86BED" w:rsidRPr="00207C36" w14:paraId="4D66866B" w14:textId="77777777" w:rsidTr="00800D1C">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1973" w:type="dxa"/>
            <w:tcBorders>
              <w:left w:val="single" w:sz="4" w:space="0" w:color="000000"/>
              <w:bottom w:val="single" w:sz="4" w:space="0" w:color="000000"/>
            </w:tcBorders>
            <w:shd w:val="clear" w:color="auto" w:fill="E0D1F5" w:themeFill="accent1" w:themeFillTint="33"/>
            <w:vAlign w:val="center"/>
          </w:tcPr>
          <w:p w14:paraId="2C4A432D" w14:textId="25C8C9B2" w:rsidR="0017339F" w:rsidRPr="00800D1C" w:rsidRDefault="00D72163">
            <w:pPr>
              <w:spacing w:after="160"/>
              <w:rPr>
                <w:rFonts w:cs="Arial"/>
                <w:b w:val="0"/>
                <w:bCs w:val="0"/>
                <w:color w:val="auto"/>
              </w:rPr>
            </w:pPr>
            <w:r w:rsidRPr="00800D1C">
              <w:rPr>
                <w:rFonts w:cs="Arial"/>
                <w:b w:val="0"/>
                <w:bCs w:val="0"/>
                <w:color w:val="auto"/>
              </w:rPr>
              <w:t>Workers’ compensation</w:t>
            </w:r>
            <w:r w:rsidR="009E0849" w:rsidRPr="00800D1C">
              <w:rPr>
                <w:rFonts w:cs="Arial"/>
                <w:b w:val="0"/>
                <w:bCs w:val="0"/>
                <w:color w:val="auto"/>
              </w:rPr>
              <w:t xml:space="preserve"> incidence rate</w:t>
            </w:r>
            <w:r w:rsidR="0017339F" w:rsidRPr="00800D1C">
              <w:rPr>
                <w:rFonts w:cs="Arial"/>
                <w:b w:val="0"/>
                <w:bCs w:val="0"/>
                <w:color w:val="auto"/>
              </w:rPr>
              <w:t xml:space="preserve"> </w:t>
            </w:r>
            <w:r w:rsidR="00880106" w:rsidRPr="00800D1C">
              <w:rPr>
                <w:rFonts w:cs="Arial"/>
                <w:b w:val="0"/>
                <w:bCs w:val="0"/>
                <w:color w:val="auto"/>
              </w:rPr>
              <w:t>(per 1</w:t>
            </w:r>
            <w:r w:rsidR="0020375A" w:rsidRPr="00800D1C">
              <w:rPr>
                <w:rFonts w:cs="Arial"/>
                <w:b w:val="0"/>
                <w:bCs w:val="0"/>
                <w:color w:val="auto"/>
              </w:rPr>
              <w:t>,</w:t>
            </w:r>
            <w:r w:rsidR="00880106" w:rsidRPr="00800D1C">
              <w:rPr>
                <w:rFonts w:cs="Arial"/>
                <w:b w:val="0"/>
                <w:bCs w:val="0"/>
                <w:color w:val="auto"/>
              </w:rPr>
              <w:t>000 workers)</w:t>
            </w:r>
          </w:p>
        </w:tc>
        <w:tc>
          <w:tcPr>
            <w:tcW w:w="999" w:type="dxa"/>
            <w:tcBorders>
              <w:bottom w:val="single" w:sz="4" w:space="0" w:color="000000"/>
            </w:tcBorders>
            <w:shd w:val="clear" w:color="auto" w:fill="FFAD4C"/>
            <w:vAlign w:val="center"/>
          </w:tcPr>
          <w:p w14:paraId="37FFD902" w14:textId="56BFC931" w:rsidR="0017339F" w:rsidRPr="00800D1C" w:rsidRDefault="00233F3A">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800D1C">
              <w:rPr>
                <w:rFonts w:cs="Arial"/>
              </w:rPr>
              <w:t>Orange</w:t>
            </w:r>
          </w:p>
        </w:tc>
        <w:tc>
          <w:tcPr>
            <w:tcW w:w="1446" w:type="dxa"/>
            <w:tcBorders>
              <w:bottom w:val="single" w:sz="4" w:space="0" w:color="000000"/>
            </w:tcBorders>
            <w:shd w:val="clear" w:color="auto" w:fill="FFAD4C"/>
            <w:vAlign w:val="center"/>
          </w:tcPr>
          <w:p w14:paraId="6D34FC63" w14:textId="5362BE50" w:rsidR="0017339F" w:rsidRPr="00800D1C" w:rsidRDefault="009E0849">
            <w:pPr>
              <w:spacing w:after="160"/>
              <w:jc w:val="center"/>
              <w:cnfStyle w:val="000000100000" w:firstRow="0" w:lastRow="0" w:firstColumn="0" w:lastColumn="0" w:oddVBand="0" w:evenVBand="0" w:oddHBand="1" w:evenHBand="0" w:firstRowFirstColumn="0" w:firstRowLastColumn="0" w:lastRowFirstColumn="0" w:lastRowLastColumn="0"/>
              <w:rPr>
                <w:rFonts w:cs="Arial"/>
                <w:highlight w:val="yellow"/>
              </w:rPr>
            </w:pPr>
            <w:r w:rsidRPr="00800D1C">
              <w:rPr>
                <w:rFonts w:cs="Arial"/>
              </w:rPr>
              <w:t>9.6</w:t>
            </w:r>
          </w:p>
        </w:tc>
        <w:tc>
          <w:tcPr>
            <w:tcW w:w="1441" w:type="dxa"/>
            <w:tcBorders>
              <w:bottom w:val="single" w:sz="4" w:space="0" w:color="000000"/>
            </w:tcBorders>
            <w:shd w:val="clear" w:color="auto" w:fill="F2F2F2" w:themeFill="background1" w:themeFillShade="F2"/>
            <w:vAlign w:val="center"/>
          </w:tcPr>
          <w:p w14:paraId="24C359ED" w14:textId="02DE8104" w:rsidR="0017339F" w:rsidRPr="00800D1C" w:rsidRDefault="00233F3A">
            <w:pPr>
              <w:spacing w:after="160"/>
              <w:jc w:val="center"/>
              <w:cnfStyle w:val="000000100000" w:firstRow="0" w:lastRow="0" w:firstColumn="0" w:lastColumn="0" w:oddVBand="0" w:evenVBand="0" w:oddHBand="1" w:evenHBand="0" w:firstRowFirstColumn="0" w:firstRowLastColumn="0" w:lastRowFirstColumn="0" w:lastRowLastColumn="0"/>
              <w:rPr>
                <w:rFonts w:cs="Arial"/>
                <w:b/>
                <w:bCs/>
                <w:highlight w:val="yellow"/>
              </w:rPr>
            </w:pPr>
            <w:r w:rsidRPr="00800D1C">
              <w:rPr>
                <w:rFonts w:cs="Arial"/>
                <w:b/>
                <w:bCs/>
              </w:rPr>
              <w:t>Increasing</w:t>
            </w:r>
          </w:p>
        </w:tc>
        <w:tc>
          <w:tcPr>
            <w:tcW w:w="1119" w:type="dxa"/>
            <w:tcBorders>
              <w:bottom w:val="single" w:sz="4" w:space="0" w:color="000000"/>
            </w:tcBorders>
            <w:shd w:val="clear" w:color="auto" w:fill="F2F2F2" w:themeFill="background1" w:themeFillShade="F2"/>
            <w:vAlign w:val="center"/>
          </w:tcPr>
          <w:p w14:paraId="755DAB97" w14:textId="694203E4" w:rsidR="0017339F" w:rsidRPr="00800D1C" w:rsidRDefault="00022551">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800D1C">
              <w:rPr>
                <w:rFonts w:cs="Arial"/>
              </w:rPr>
              <w:t>8.</w:t>
            </w:r>
            <w:r w:rsidR="0017339F" w:rsidRPr="00800D1C">
              <w:rPr>
                <w:rFonts w:cs="Arial"/>
              </w:rPr>
              <w:t>3</w:t>
            </w:r>
          </w:p>
          <w:p w14:paraId="258CBF89" w14:textId="52C4A9EB" w:rsidR="0017339F" w:rsidRPr="00800D1C" w:rsidRDefault="0017339F">
            <w:pPr>
              <w:spacing w:after="160"/>
              <w:jc w:val="center"/>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sidRPr="00800D1C">
              <w:rPr>
                <w:rFonts w:cs="Arial"/>
                <w:sz w:val="18"/>
                <w:szCs w:val="18"/>
              </w:rPr>
              <w:t>(</w:t>
            </w:r>
            <w:r w:rsidR="00022551" w:rsidRPr="00800D1C">
              <w:rPr>
                <w:rFonts w:cs="Arial"/>
                <w:sz w:val="18"/>
                <w:szCs w:val="18"/>
              </w:rPr>
              <w:t>2017-18</w:t>
            </w:r>
            <w:r w:rsidRPr="00800D1C">
              <w:rPr>
                <w:rFonts w:cs="Arial"/>
                <w:sz w:val="18"/>
                <w:szCs w:val="18"/>
              </w:rPr>
              <w:t>)</w:t>
            </w:r>
          </w:p>
        </w:tc>
        <w:tc>
          <w:tcPr>
            <w:tcW w:w="1656" w:type="dxa"/>
            <w:tcBorders>
              <w:bottom w:val="single" w:sz="4" w:space="0" w:color="000000"/>
              <w:right w:val="single" w:sz="4" w:space="0" w:color="000000"/>
            </w:tcBorders>
            <w:shd w:val="clear" w:color="auto" w:fill="DF5454"/>
            <w:vAlign w:val="center"/>
          </w:tcPr>
          <w:p w14:paraId="239CB207" w14:textId="43AC7CC1" w:rsidR="0017339F" w:rsidRPr="00800D1C" w:rsidRDefault="0017339F">
            <w:pPr>
              <w:spacing w:after="160"/>
              <w:jc w:val="center"/>
              <w:cnfStyle w:val="000000100000" w:firstRow="0" w:lastRow="0" w:firstColumn="0" w:lastColumn="0" w:oddVBand="0" w:evenVBand="0" w:oddHBand="1" w:evenHBand="0" w:firstRowFirstColumn="0" w:firstRowLastColumn="0" w:lastRowFirstColumn="0" w:lastRowLastColumn="0"/>
              <w:rPr>
                <w:rFonts w:cs="Arial"/>
                <w:highlight w:val="yellow"/>
              </w:rPr>
            </w:pPr>
            <w:r w:rsidRPr="00800D1C">
              <w:rPr>
                <w:rFonts w:cs="Arial"/>
              </w:rPr>
              <w:t>+0.4</w:t>
            </w:r>
          </w:p>
        </w:tc>
      </w:tr>
    </w:tbl>
    <w:p w14:paraId="713F8279" w14:textId="6BAE9B21" w:rsidR="0017339F" w:rsidRPr="003B4ED1" w:rsidRDefault="0017339F" w:rsidP="0017339F">
      <w:pPr>
        <w:spacing w:after="160" w:line="278" w:lineRule="auto"/>
      </w:pPr>
      <w:r w:rsidRPr="00401BDB">
        <w:rPr>
          <w:rFonts w:cs="Arial"/>
          <w:i/>
          <w:iCs/>
          <w:sz w:val="18"/>
          <w:szCs w:val="18"/>
        </w:rPr>
        <w:t xml:space="preserve">Source: </w:t>
      </w:r>
      <w:r w:rsidR="007A6933">
        <w:rPr>
          <w:rFonts w:cs="Arial"/>
          <w:i/>
          <w:iCs/>
          <w:sz w:val="18"/>
          <w:szCs w:val="18"/>
        </w:rPr>
        <w:t xml:space="preserve">Safe Work Australia (SWA), </w:t>
      </w:r>
      <w:r w:rsidR="003B00FD">
        <w:rPr>
          <w:rFonts w:cs="Arial"/>
          <w:i/>
          <w:iCs/>
          <w:sz w:val="18"/>
          <w:szCs w:val="18"/>
        </w:rPr>
        <w:t>National Dataset for Compensation-based Statistics (NDS), 2021-22</w:t>
      </w:r>
      <w:r w:rsidR="003B4ED1">
        <w:rPr>
          <w:rFonts w:cs="Arial"/>
          <w:i/>
          <w:iCs/>
          <w:sz w:val="18"/>
          <w:szCs w:val="18"/>
        </w:rPr>
        <w:t>, and ABS, Labour Force, Detailed, modelled estimates</w:t>
      </w:r>
    </w:p>
    <w:p w14:paraId="38533F0D" w14:textId="77777777" w:rsidR="000850ED" w:rsidRDefault="00F25F55" w:rsidP="009309C4">
      <w:pPr>
        <w:pStyle w:val="BodyText"/>
        <w:rPr>
          <w:rFonts w:cs="Arial"/>
        </w:rPr>
      </w:pPr>
      <w:r>
        <w:rPr>
          <w:rFonts w:cs="Arial"/>
        </w:rPr>
        <w:t xml:space="preserve">The Government’s White Paper on </w:t>
      </w:r>
      <w:r w:rsidR="008E5EFE">
        <w:rPr>
          <w:rFonts w:cs="Arial"/>
        </w:rPr>
        <w:t>Jobs and Opportunities</w:t>
      </w:r>
      <w:r w:rsidR="00F35D4C">
        <w:rPr>
          <w:rStyle w:val="FootnoteReference"/>
          <w:rFonts w:cs="Arial"/>
        </w:rPr>
        <w:footnoteReference w:id="27"/>
      </w:r>
      <w:r w:rsidR="008E5EFE">
        <w:rPr>
          <w:rFonts w:cs="Arial"/>
        </w:rPr>
        <w:t xml:space="preserve"> recognises that a </w:t>
      </w:r>
      <w:r w:rsidR="007A077F" w:rsidRPr="00526854">
        <w:rPr>
          <w:rFonts w:cs="Arial"/>
        </w:rPr>
        <w:t xml:space="preserve">safe workplace is a fundamental component of </w:t>
      </w:r>
      <w:r w:rsidR="007377B6" w:rsidRPr="00526854">
        <w:rPr>
          <w:rFonts w:cs="Arial"/>
        </w:rPr>
        <w:t>job quality.</w:t>
      </w:r>
      <w:r w:rsidR="00BA2BE6">
        <w:rPr>
          <w:rFonts w:cs="Arial"/>
        </w:rPr>
        <w:t xml:space="preserve"> Work is not a </w:t>
      </w:r>
      <w:r w:rsidR="00CA2871">
        <w:rPr>
          <w:rFonts w:cs="Arial"/>
        </w:rPr>
        <w:t xml:space="preserve">risk-free activity and while there have been significant strides towards reducing both the frequency and severity of </w:t>
      </w:r>
      <w:r w:rsidR="00440180">
        <w:rPr>
          <w:rFonts w:cs="Arial"/>
        </w:rPr>
        <w:t>work-related</w:t>
      </w:r>
      <w:r w:rsidR="00CA2871">
        <w:rPr>
          <w:rFonts w:cs="Arial"/>
        </w:rPr>
        <w:t xml:space="preserve"> injuries and illnesses</w:t>
      </w:r>
      <w:r w:rsidR="00FC23EC">
        <w:rPr>
          <w:rFonts w:cs="Arial"/>
        </w:rPr>
        <w:t>, there still exists many opportunities for improvement.</w:t>
      </w:r>
      <w:r w:rsidR="00E46338">
        <w:rPr>
          <w:rStyle w:val="FootnoteReference"/>
          <w:rFonts w:cs="Arial"/>
        </w:rPr>
        <w:footnoteReference w:id="28"/>
      </w:r>
      <w:r w:rsidR="00FC23EC">
        <w:rPr>
          <w:rFonts w:cs="Arial"/>
        </w:rPr>
        <w:t xml:space="preserve"> </w:t>
      </w:r>
    </w:p>
    <w:p w14:paraId="4528CB35" w14:textId="1C41AC6D" w:rsidR="00B65098" w:rsidRDefault="000850ED" w:rsidP="009309C4">
      <w:pPr>
        <w:pStyle w:val="BodyText"/>
        <w:rPr>
          <w:rFonts w:cs="Arial"/>
        </w:rPr>
      </w:pPr>
      <w:r>
        <w:rPr>
          <w:rFonts w:cs="Arial"/>
        </w:rPr>
        <w:t>Employers</w:t>
      </w:r>
      <w:r w:rsidR="00FC23EC">
        <w:rPr>
          <w:rFonts w:cs="Arial"/>
        </w:rPr>
        <w:t>,</w:t>
      </w:r>
      <w:r w:rsidR="00CA2871">
        <w:rPr>
          <w:rFonts w:cs="Arial"/>
        </w:rPr>
        <w:t xml:space="preserve"> </w:t>
      </w:r>
      <w:r w:rsidR="00FC23EC" w:rsidRPr="00DD1E7C">
        <w:rPr>
          <w:rFonts w:cs="Arial"/>
        </w:rPr>
        <w:t>businesses, unions and governments</w:t>
      </w:r>
      <w:r w:rsidR="00FC23EC">
        <w:rPr>
          <w:rFonts w:cs="Arial"/>
        </w:rPr>
        <w:t xml:space="preserve"> all have a role to play in working to improve </w:t>
      </w:r>
      <w:r w:rsidR="00FC23EC" w:rsidRPr="00DD1E7C">
        <w:rPr>
          <w:rFonts w:cs="Arial"/>
        </w:rPr>
        <w:t>workplace safety through regulation, training and technology adaption.</w:t>
      </w:r>
      <w:r w:rsidR="00FE59C9">
        <w:rPr>
          <w:rFonts w:cs="Arial"/>
        </w:rPr>
        <w:t xml:space="preserve"> </w:t>
      </w:r>
      <w:r w:rsidR="00BF195E" w:rsidRPr="00526854">
        <w:rPr>
          <w:rFonts w:cs="Arial"/>
        </w:rPr>
        <w:t xml:space="preserve">Safety at work remains a central concern for </w:t>
      </w:r>
      <w:r w:rsidR="00472B16">
        <w:rPr>
          <w:rFonts w:cs="Arial"/>
        </w:rPr>
        <w:t xml:space="preserve">governments, </w:t>
      </w:r>
      <w:r w:rsidR="00BF195E" w:rsidRPr="00526854">
        <w:rPr>
          <w:rFonts w:cs="Arial"/>
        </w:rPr>
        <w:t xml:space="preserve">workers </w:t>
      </w:r>
      <w:r w:rsidR="00472B16">
        <w:rPr>
          <w:rFonts w:cs="Arial"/>
        </w:rPr>
        <w:t>and employers</w:t>
      </w:r>
      <w:r w:rsidR="00BF195E" w:rsidRPr="00526854">
        <w:rPr>
          <w:rFonts w:cs="Arial"/>
        </w:rPr>
        <w:t xml:space="preserve"> and</w:t>
      </w:r>
      <w:r w:rsidR="00403F80" w:rsidRPr="00526854">
        <w:rPr>
          <w:rFonts w:cs="Arial"/>
        </w:rPr>
        <w:t xml:space="preserve"> unsafe workplaces </w:t>
      </w:r>
      <w:r w:rsidR="008A297E" w:rsidRPr="00526854">
        <w:rPr>
          <w:rFonts w:cs="Arial"/>
        </w:rPr>
        <w:t xml:space="preserve">can </w:t>
      </w:r>
      <w:r w:rsidR="008F53D3" w:rsidRPr="00526854">
        <w:rPr>
          <w:rFonts w:cs="Arial"/>
        </w:rPr>
        <w:t xml:space="preserve">pose a </w:t>
      </w:r>
      <w:r w:rsidR="00674FB4" w:rsidRPr="00526854">
        <w:rPr>
          <w:rFonts w:cs="Arial"/>
        </w:rPr>
        <w:t>significant burden on individual</w:t>
      </w:r>
      <w:r w:rsidR="008829BB">
        <w:rPr>
          <w:rFonts w:cs="Arial"/>
        </w:rPr>
        <w:t>s and their households</w:t>
      </w:r>
      <w:r w:rsidR="00674FB4" w:rsidRPr="00526854">
        <w:rPr>
          <w:rFonts w:cs="Arial"/>
        </w:rPr>
        <w:t>, business</w:t>
      </w:r>
      <w:r w:rsidR="008829BB">
        <w:rPr>
          <w:rFonts w:cs="Arial"/>
        </w:rPr>
        <w:t>es</w:t>
      </w:r>
      <w:r w:rsidR="00674FB4" w:rsidRPr="00526854">
        <w:rPr>
          <w:rFonts w:cs="Arial"/>
        </w:rPr>
        <w:t xml:space="preserve"> and the economy </w:t>
      </w:r>
      <w:r w:rsidR="008829BB">
        <w:rPr>
          <w:rFonts w:cs="Arial"/>
        </w:rPr>
        <w:t>(</w:t>
      </w:r>
      <w:r w:rsidR="00674FB4" w:rsidRPr="00526854">
        <w:rPr>
          <w:rFonts w:cs="Arial"/>
        </w:rPr>
        <w:t xml:space="preserve">through </w:t>
      </w:r>
      <w:r w:rsidR="00526854" w:rsidRPr="00526854">
        <w:rPr>
          <w:rFonts w:cs="Arial"/>
        </w:rPr>
        <w:t>reduced labour force participation and lost productivit</w:t>
      </w:r>
      <w:r w:rsidR="009309C4">
        <w:rPr>
          <w:rFonts w:cs="Arial"/>
        </w:rPr>
        <w:t>y</w:t>
      </w:r>
      <w:r w:rsidR="008829BB">
        <w:rPr>
          <w:rFonts w:cs="Arial"/>
        </w:rPr>
        <w:t>)</w:t>
      </w:r>
      <w:r w:rsidR="009309C4">
        <w:rPr>
          <w:rFonts w:cs="Arial"/>
        </w:rPr>
        <w:t xml:space="preserve">. </w:t>
      </w:r>
    </w:p>
    <w:p w14:paraId="7FA85B38" w14:textId="093EEECB" w:rsidR="003C0F78" w:rsidRDefault="006B7EEC" w:rsidP="009309C4">
      <w:pPr>
        <w:pStyle w:val="BodyText"/>
        <w:rPr>
          <w:rFonts w:cs="Arial"/>
        </w:rPr>
      </w:pPr>
      <w:r>
        <w:rPr>
          <w:rFonts w:cs="Arial"/>
        </w:rPr>
        <w:t xml:space="preserve">The </w:t>
      </w:r>
      <w:r w:rsidR="00C04F67">
        <w:rPr>
          <w:rFonts w:cs="Arial"/>
        </w:rPr>
        <w:t xml:space="preserve">incidence and </w:t>
      </w:r>
      <w:r>
        <w:rPr>
          <w:rFonts w:cs="Arial"/>
        </w:rPr>
        <w:t xml:space="preserve">impacts of </w:t>
      </w:r>
      <w:r w:rsidR="00046164">
        <w:rPr>
          <w:rFonts w:cs="Arial"/>
        </w:rPr>
        <w:t xml:space="preserve">work-related injuries are not spread evenly across </w:t>
      </w:r>
      <w:r w:rsidR="0056301F">
        <w:rPr>
          <w:rFonts w:cs="Arial"/>
        </w:rPr>
        <w:t>Regional Australia</w:t>
      </w:r>
      <w:r w:rsidR="00046164">
        <w:rPr>
          <w:rFonts w:cs="Arial"/>
        </w:rPr>
        <w:t xml:space="preserve"> </w:t>
      </w:r>
      <w:r w:rsidR="00ED5C95">
        <w:rPr>
          <w:rFonts w:cs="Arial"/>
        </w:rPr>
        <w:t>due to a range of factors, including sectoral differences, workers’ eligibility to make a workers compensation claim, ready access to health services, differences in scheme design features</w:t>
      </w:r>
      <w:r w:rsidR="00ED5C95">
        <w:rPr>
          <w:rStyle w:val="FootnoteReference"/>
          <w:rFonts w:cs="Arial"/>
        </w:rPr>
        <w:footnoteReference w:id="29"/>
      </w:r>
      <w:r w:rsidR="00ED5C95">
        <w:rPr>
          <w:rFonts w:cs="Arial"/>
        </w:rPr>
        <w:t xml:space="preserve"> and different workplace populations, to name a few. As such, </w:t>
      </w:r>
      <w:r w:rsidR="00ED5C95" w:rsidRPr="0007300B">
        <w:rPr>
          <w:rFonts w:cs="Arial"/>
        </w:rPr>
        <w:t>any comparative analysis of serious claims data</w:t>
      </w:r>
      <w:r w:rsidR="00ED5C95">
        <w:rPr>
          <w:rFonts w:cs="Arial"/>
        </w:rPr>
        <w:t xml:space="preserve"> (workers’ compensation data) </w:t>
      </w:r>
      <w:r w:rsidR="00ED5C95" w:rsidRPr="0007300B">
        <w:rPr>
          <w:rFonts w:cs="Arial"/>
        </w:rPr>
        <w:t>for different geographic areas should be interpreted with caution</w:t>
      </w:r>
      <w:r w:rsidR="00ED5C95">
        <w:rPr>
          <w:rFonts w:cs="Arial"/>
        </w:rPr>
        <w:t>.</w:t>
      </w:r>
    </w:p>
    <w:p w14:paraId="78114C31" w14:textId="519C7749" w:rsidR="00340F44" w:rsidRDefault="00340F44" w:rsidP="00340F44">
      <w:pPr>
        <w:pStyle w:val="BodyText"/>
        <w:rPr>
          <w:rFonts w:cs="Arial"/>
        </w:rPr>
      </w:pPr>
      <w:r>
        <w:rPr>
          <w:rFonts w:cs="Arial"/>
        </w:rPr>
        <w:t xml:space="preserve">The </w:t>
      </w:r>
      <w:r w:rsidR="00673DCC">
        <w:rPr>
          <w:rFonts w:cs="Arial"/>
        </w:rPr>
        <w:t>workers’ compensation</w:t>
      </w:r>
      <w:r>
        <w:rPr>
          <w:rFonts w:cs="Arial"/>
        </w:rPr>
        <w:t xml:space="preserve"> incidence rate in Regional Australia has generally been relatively stable over the last decade, although this indicator has been trending upwards over the last </w:t>
      </w:r>
      <w:r w:rsidR="000F4274">
        <w:rPr>
          <w:rFonts w:cs="Arial"/>
        </w:rPr>
        <w:t>5</w:t>
      </w:r>
      <w:r>
        <w:rPr>
          <w:rFonts w:cs="Arial"/>
        </w:rPr>
        <w:t xml:space="preserve"> years (from 8.3 serious claims per 1</w:t>
      </w:r>
      <w:r w:rsidR="00E95804">
        <w:rPr>
          <w:rFonts w:cs="Arial"/>
        </w:rPr>
        <w:t>,</w:t>
      </w:r>
      <w:r>
        <w:rPr>
          <w:rFonts w:cs="Arial"/>
        </w:rPr>
        <w:t xml:space="preserve">000 workers in 2016-17 to 9.6 in 2021-22). </w:t>
      </w:r>
    </w:p>
    <w:p w14:paraId="4AA4E910" w14:textId="5DAB725B" w:rsidR="00340F44" w:rsidRDefault="00340F44" w:rsidP="00340F44">
      <w:pPr>
        <w:pStyle w:val="BodyText"/>
        <w:rPr>
          <w:rFonts w:cs="Arial"/>
        </w:rPr>
      </w:pPr>
      <w:r>
        <w:rPr>
          <w:rFonts w:cs="Arial"/>
        </w:rPr>
        <w:t xml:space="preserve">The </w:t>
      </w:r>
      <w:r w:rsidR="00673DCC">
        <w:rPr>
          <w:rFonts w:cs="Arial"/>
        </w:rPr>
        <w:t>workers’ compensation</w:t>
      </w:r>
      <w:r>
        <w:rPr>
          <w:rFonts w:cs="Arial"/>
        </w:rPr>
        <w:t xml:space="preserve"> incidence rate varies from around 5 serious claims per 1</w:t>
      </w:r>
      <w:r w:rsidR="00E95804">
        <w:rPr>
          <w:rFonts w:cs="Arial"/>
        </w:rPr>
        <w:t>,</w:t>
      </w:r>
      <w:r>
        <w:rPr>
          <w:rFonts w:cs="Arial"/>
        </w:rPr>
        <w:t>000 workers in the Northern Territory to almost 15 in Rest of Western Australia. There is also variation within jurisdictions. For example, while the differential between Brisbane and Rest of Queensland was 3.4 claims per 1</w:t>
      </w:r>
      <w:r w:rsidR="00E95804">
        <w:rPr>
          <w:rFonts w:cs="Arial"/>
        </w:rPr>
        <w:t>,</w:t>
      </w:r>
      <w:r>
        <w:rPr>
          <w:rFonts w:cs="Arial"/>
        </w:rPr>
        <w:t>000 workers in 2021-22, it was just 0.2 in New South Wales (see Appendix 1 for state and territory metrics).</w:t>
      </w:r>
    </w:p>
    <w:p w14:paraId="45EC64A8" w14:textId="7652C761" w:rsidR="00022551" w:rsidRDefault="00F46DB1" w:rsidP="00F46DB1">
      <w:pPr>
        <w:pStyle w:val="Caption"/>
      </w:pPr>
      <w:bookmarkStart w:id="127" w:name="_Toc201916597"/>
      <w:r>
        <w:lastRenderedPageBreak/>
        <w:t xml:space="preserve">Figure </w:t>
      </w:r>
      <w:r>
        <w:fldChar w:fldCharType="begin"/>
      </w:r>
      <w:r>
        <w:instrText xml:space="preserve"> SEQ Figure \* ARABIC </w:instrText>
      </w:r>
      <w:r>
        <w:fldChar w:fldCharType="separate"/>
      </w:r>
      <w:r w:rsidR="00471863">
        <w:rPr>
          <w:noProof/>
        </w:rPr>
        <w:t>31</w:t>
      </w:r>
      <w:r>
        <w:fldChar w:fldCharType="end"/>
      </w:r>
      <w:r w:rsidR="00022551">
        <w:t xml:space="preserve">: </w:t>
      </w:r>
      <w:r w:rsidR="00682F47">
        <w:t>Workers’ compensation</w:t>
      </w:r>
      <w:r w:rsidR="00E015FD">
        <w:t xml:space="preserve"> incidence rate</w:t>
      </w:r>
      <w:r w:rsidR="003F3995">
        <w:t xml:space="preserve"> (per 1,000</w:t>
      </w:r>
      <w:r w:rsidR="0020375A">
        <w:t xml:space="preserve"> workers)</w:t>
      </w:r>
      <w:r w:rsidR="00022551">
        <w:t>, Regional Australia</w:t>
      </w:r>
      <w:bookmarkEnd w:id="127"/>
      <w:r w:rsidR="00022551">
        <w:t xml:space="preserve"> </w:t>
      </w:r>
    </w:p>
    <w:p w14:paraId="18DE52A2" w14:textId="45F6AAF9" w:rsidR="00022551" w:rsidRDefault="000F4274" w:rsidP="00022551">
      <w:r>
        <w:rPr>
          <w:noProof/>
        </w:rPr>
        <w:drawing>
          <wp:inline distT="0" distB="0" distL="0" distR="0" wp14:anchorId="65F230CD" wp14:editId="79893381">
            <wp:extent cx="5639435" cy="2877820"/>
            <wp:effectExtent l="0" t="0" r="0" b="0"/>
            <wp:docPr id="73097305" name="Picture 46" descr="A line chart that shows workers' compensation incidence rate (per 1,000 workers) for Regional Australia. The chart shows the workers' compensation rate in Regional Australia has generally been relatively stable over the past decade, although it has been trending upwards over the last 5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7305" name="Picture 46" descr="A line chart that shows workers' compensation incidence rate (per 1,000 workers) for Regional Australia. The chart shows the workers' compensation rate in Regional Australia has generally been relatively stable over the past decade, although it has been trending upwards over the last 5 years. "/>
                    <pic:cNvPicPr>
                      <a:picLocks noChangeAspect="1" noChangeArrowheads="1"/>
                    </pic:cNvPicPr>
                  </pic:nvPicPr>
                  <pic:blipFill>
                    <a:blip r:embed="rId59" cstate="email">
                      <a:extLst>
                        <a:ext uri="{28A0092B-C50C-407E-A947-70E740481C1C}">
                          <a14:useLocalDpi xmlns:a14="http://schemas.microsoft.com/office/drawing/2010/main" val="0"/>
                        </a:ext>
                      </a:extLst>
                    </a:blip>
                    <a:srcRect/>
                    <a:stretch>
                      <a:fillRect/>
                    </a:stretch>
                  </pic:blipFill>
                  <pic:spPr bwMode="auto">
                    <a:xfrm>
                      <a:off x="0" y="0"/>
                      <a:ext cx="5639435" cy="2877820"/>
                    </a:xfrm>
                    <a:prstGeom prst="rect">
                      <a:avLst/>
                    </a:prstGeom>
                    <a:noFill/>
                  </pic:spPr>
                </pic:pic>
              </a:graphicData>
            </a:graphic>
          </wp:inline>
        </w:drawing>
      </w:r>
    </w:p>
    <w:p w14:paraId="73C4CE2D" w14:textId="77777777" w:rsidR="004A6DE6" w:rsidRPr="003B4ED1" w:rsidRDefault="004A6DE6" w:rsidP="004A6DE6">
      <w:pPr>
        <w:spacing w:after="160" w:line="278" w:lineRule="auto"/>
      </w:pPr>
      <w:r w:rsidRPr="00401BDB">
        <w:rPr>
          <w:rFonts w:cs="Arial"/>
          <w:i/>
          <w:iCs/>
          <w:sz w:val="18"/>
          <w:szCs w:val="18"/>
        </w:rPr>
        <w:t xml:space="preserve">Source: </w:t>
      </w:r>
      <w:r>
        <w:rPr>
          <w:rFonts w:cs="Arial"/>
          <w:i/>
          <w:iCs/>
          <w:sz w:val="18"/>
          <w:szCs w:val="18"/>
        </w:rPr>
        <w:t>Safe Work Australia (SWA), National Dataset for Compensation-based Statistics (NDS), 2021-22, and ABS, Labour Force, Detailed, modelled estimates</w:t>
      </w:r>
    </w:p>
    <w:p w14:paraId="02A72174" w14:textId="7420ABB4" w:rsidR="007C3191" w:rsidRDefault="00F46DB1" w:rsidP="00F46DB1">
      <w:pPr>
        <w:pStyle w:val="Caption"/>
      </w:pPr>
      <w:bookmarkStart w:id="128" w:name="_Toc201916598"/>
      <w:r>
        <w:t xml:space="preserve">Figure </w:t>
      </w:r>
      <w:r>
        <w:fldChar w:fldCharType="begin"/>
      </w:r>
      <w:r>
        <w:instrText xml:space="preserve"> SEQ Figure \* ARABIC </w:instrText>
      </w:r>
      <w:r>
        <w:fldChar w:fldCharType="separate"/>
      </w:r>
      <w:r w:rsidR="00471863">
        <w:rPr>
          <w:noProof/>
        </w:rPr>
        <w:t>32</w:t>
      </w:r>
      <w:r>
        <w:fldChar w:fldCharType="end"/>
      </w:r>
      <w:r w:rsidR="007C3191">
        <w:t xml:space="preserve">: </w:t>
      </w:r>
      <w:r w:rsidR="00682F47">
        <w:t>Workers’ compensation</w:t>
      </w:r>
      <w:r w:rsidR="007C3191">
        <w:t xml:space="preserve"> incidence rate, </w:t>
      </w:r>
      <w:r w:rsidR="002E41B3">
        <w:t xml:space="preserve">2021-22, </w:t>
      </w:r>
      <w:r w:rsidR="007C3191">
        <w:t>Regional Australia</w:t>
      </w:r>
      <w:bookmarkEnd w:id="128"/>
      <w:r w:rsidR="007C3191">
        <w:t xml:space="preserve"> </w:t>
      </w:r>
    </w:p>
    <w:p w14:paraId="7AD88A43" w14:textId="65A63E0F" w:rsidR="001B798E" w:rsidRDefault="000F4274" w:rsidP="00022551">
      <w:pPr>
        <w:spacing w:after="160" w:line="278" w:lineRule="auto"/>
        <w:rPr>
          <w:rFonts w:cs="Arial"/>
          <w:i/>
          <w:iCs/>
          <w:sz w:val="18"/>
          <w:szCs w:val="18"/>
        </w:rPr>
      </w:pPr>
      <w:r>
        <w:rPr>
          <w:rFonts w:cs="Arial"/>
          <w:i/>
          <w:iCs/>
          <w:noProof/>
          <w:sz w:val="18"/>
          <w:szCs w:val="18"/>
        </w:rPr>
        <w:drawing>
          <wp:inline distT="0" distB="0" distL="0" distR="0" wp14:anchorId="06544329" wp14:editId="0B6299E7">
            <wp:extent cx="5761355" cy="2877820"/>
            <wp:effectExtent l="0" t="0" r="0" b="0"/>
            <wp:docPr id="597500656" name="Picture 47" descr="A column chart that shows workers' compensation incidence rate for Regional Australia, 2021-22. The chart shows workers’ compensation incidence rate varies from around 5 serious claims per 1,000 workers in the Northern Territory to almost 15 in Rest of Wester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500656" name="Picture 47" descr="A column chart that shows workers' compensation incidence rate for Regional Australia, 2021-22. The chart shows workers’ compensation incidence rate varies from around 5 serious claims per 1,000 workers in the Northern Territory to almost 15 in Rest of Western Australia. "/>
                    <pic:cNvPicPr>
                      <a:picLocks noChangeAspect="1" noChangeArrowheads="1"/>
                    </pic:cNvPicPr>
                  </pic:nvPicPr>
                  <pic:blipFill>
                    <a:blip r:embed="rId60" cstate="email">
                      <a:extLst>
                        <a:ext uri="{28A0092B-C50C-407E-A947-70E740481C1C}">
                          <a14:useLocalDpi xmlns:a14="http://schemas.microsoft.com/office/drawing/2010/main" val="0"/>
                        </a:ext>
                      </a:extLst>
                    </a:blip>
                    <a:srcRect/>
                    <a:stretch>
                      <a:fillRect/>
                    </a:stretch>
                  </pic:blipFill>
                  <pic:spPr bwMode="auto">
                    <a:xfrm>
                      <a:off x="0" y="0"/>
                      <a:ext cx="5761355" cy="2877820"/>
                    </a:xfrm>
                    <a:prstGeom prst="rect">
                      <a:avLst/>
                    </a:prstGeom>
                    <a:noFill/>
                  </pic:spPr>
                </pic:pic>
              </a:graphicData>
            </a:graphic>
          </wp:inline>
        </w:drawing>
      </w:r>
    </w:p>
    <w:p w14:paraId="680325A5" w14:textId="77777777" w:rsidR="004A6DE6" w:rsidRPr="003B4ED1" w:rsidRDefault="004A6DE6" w:rsidP="004A6DE6">
      <w:pPr>
        <w:spacing w:after="160" w:line="278" w:lineRule="auto"/>
      </w:pPr>
      <w:r w:rsidRPr="00401BDB">
        <w:rPr>
          <w:rFonts w:cs="Arial"/>
          <w:i/>
          <w:iCs/>
          <w:sz w:val="18"/>
          <w:szCs w:val="18"/>
        </w:rPr>
        <w:t xml:space="preserve">Source: </w:t>
      </w:r>
      <w:r>
        <w:rPr>
          <w:rFonts w:cs="Arial"/>
          <w:i/>
          <w:iCs/>
          <w:sz w:val="18"/>
          <w:szCs w:val="18"/>
        </w:rPr>
        <w:t>Safe Work Australia (SWA), National Dataset for Compensation-based Statistics (NDS), 2021-22, and ABS, Labour Force, Detailed, modelled estimates</w:t>
      </w:r>
    </w:p>
    <w:p w14:paraId="0D4850B8" w14:textId="5F180255" w:rsidR="00690F92" w:rsidRPr="00993248" w:rsidRDefault="00690F92" w:rsidP="000E2A82">
      <w:pPr>
        <w:pStyle w:val="Heading3"/>
      </w:pPr>
      <w:r w:rsidRPr="00993248">
        <w:t>Summary</w:t>
      </w:r>
    </w:p>
    <w:p w14:paraId="4FD77063" w14:textId="77777777" w:rsidR="00B01CA1" w:rsidRDefault="00B01CA1" w:rsidP="00AC6391">
      <w:pPr>
        <w:pStyle w:val="BodyText"/>
      </w:pPr>
      <w:r w:rsidRPr="00C04123">
        <w:t xml:space="preserve">A quality job enhances an individual’s health and wellbeing and leads to a range of benefits for employers including higher productivity and innovation and reduced staff turnover and associated hiring costs. An effective jobs and skills system in Regional Australia would see individuals working in a quality job that is </w:t>
      </w:r>
      <w:r>
        <w:t>safe, fair, rewarding and satisfying</w:t>
      </w:r>
      <w:r w:rsidRPr="00DD678A">
        <w:t xml:space="preserve">. </w:t>
      </w:r>
    </w:p>
    <w:p w14:paraId="2CE06822" w14:textId="27A61C67" w:rsidR="00B01CA1" w:rsidRPr="00C04123" w:rsidRDefault="00B01CA1" w:rsidP="00AC6391">
      <w:pPr>
        <w:pStyle w:val="BodyText"/>
      </w:pPr>
      <w:r>
        <w:t xml:space="preserve">High </w:t>
      </w:r>
      <w:r w:rsidRPr="00C04123">
        <w:t xml:space="preserve">job satisfaction </w:t>
      </w:r>
      <w:r>
        <w:t xml:space="preserve">has </w:t>
      </w:r>
      <w:r w:rsidRPr="00C04123">
        <w:t xml:space="preserve">been </w:t>
      </w:r>
      <w:r>
        <w:t xml:space="preserve">a </w:t>
      </w:r>
      <w:r w:rsidRPr="00C04123">
        <w:t>relatively</w:t>
      </w:r>
      <w:r>
        <w:t xml:space="preserve"> consistent feature of the Regional Australia labour market </w:t>
      </w:r>
      <w:r w:rsidRPr="00C04123">
        <w:t>over the last few decades</w:t>
      </w:r>
      <w:r>
        <w:t>. T</w:t>
      </w:r>
      <w:r w:rsidRPr="00C04123">
        <w:t xml:space="preserve">here has been considerable improvement since just prior to COVID-19, with </w:t>
      </w:r>
      <w:r>
        <w:t xml:space="preserve">those reporting high </w:t>
      </w:r>
      <w:r w:rsidRPr="00C04123">
        <w:t xml:space="preserve">job satisfaction increasing from around 35% in 2019 </w:t>
      </w:r>
      <w:r w:rsidRPr="00C04123">
        <w:lastRenderedPageBreak/>
        <w:t xml:space="preserve">to almost </w:t>
      </w:r>
      <w:r>
        <w:t>39</w:t>
      </w:r>
      <w:r w:rsidRPr="00C04123">
        <w:t xml:space="preserve">% in 2023, well above the 33% recorded in </w:t>
      </w:r>
      <w:r>
        <w:t>Major Cities</w:t>
      </w:r>
      <w:r w:rsidRPr="00C04123">
        <w:t>. The recent improvement in</w:t>
      </w:r>
      <w:r>
        <w:t xml:space="preserve"> the high rate of</w:t>
      </w:r>
      <w:r w:rsidRPr="00C04123">
        <w:t xml:space="preserve"> job satisfaction in Regional Australia may be a reflection of remote and hybrid working </w:t>
      </w:r>
      <w:r>
        <w:t>arrangements that provide</w:t>
      </w:r>
      <w:r w:rsidRPr="00C04123">
        <w:t xml:space="preserve"> people with more choice regarding where they live and work.</w:t>
      </w:r>
    </w:p>
    <w:p w14:paraId="70250C91" w14:textId="77777777" w:rsidR="00B01CA1" w:rsidRDefault="00B01CA1" w:rsidP="00D16B99">
      <w:pPr>
        <w:pStyle w:val="BodyText"/>
        <w:numPr>
          <w:ilvl w:val="0"/>
          <w:numId w:val="38"/>
        </w:numPr>
      </w:pPr>
      <w:r w:rsidRPr="00C04123">
        <w:t>Against the backdrop of strong labour market conditions in recent years, the underemployment rate in Regional Australia has been declining, with strong demand allo</w:t>
      </w:r>
      <w:r>
        <w:t>wing</w:t>
      </w:r>
      <w:r w:rsidRPr="00C04123">
        <w:t xml:space="preserve"> people to move closer to their preferred working hours, pushing the underemployment rate down to 6.</w:t>
      </w:r>
      <w:r>
        <w:t>1</w:t>
      </w:r>
      <w:r w:rsidRPr="00C04123">
        <w:t>%, well below its long-term average.</w:t>
      </w:r>
    </w:p>
    <w:p w14:paraId="6A9C8AB0" w14:textId="501F85A6" w:rsidR="00B01CA1" w:rsidRPr="00C04123" w:rsidRDefault="00B01CA1" w:rsidP="00D16B99">
      <w:pPr>
        <w:pStyle w:val="BodyText"/>
        <w:numPr>
          <w:ilvl w:val="0"/>
          <w:numId w:val="38"/>
        </w:numPr>
      </w:pPr>
      <w:r w:rsidRPr="00C04123">
        <w:t>Overall, the income inequality ratio has been relatively stable</w:t>
      </w:r>
      <w:r>
        <w:t xml:space="preserve"> in Regional Australia</w:t>
      </w:r>
      <w:r w:rsidRPr="00C04123">
        <w:t xml:space="preserve"> over the last decade </w:t>
      </w:r>
      <w:r w:rsidR="00431BB5">
        <w:t xml:space="preserve">and has </w:t>
      </w:r>
      <w:r w:rsidRPr="00C04123">
        <w:t xml:space="preserve">consistently tracked higher in Regional Australia than in Major Cities. </w:t>
      </w:r>
    </w:p>
    <w:p w14:paraId="219FADE9" w14:textId="6589F2A9" w:rsidR="00D22B1D" w:rsidRPr="00C04123" w:rsidRDefault="004B6864" w:rsidP="00D16B99">
      <w:pPr>
        <w:pStyle w:val="BodyText"/>
        <w:numPr>
          <w:ilvl w:val="0"/>
          <w:numId w:val="38"/>
        </w:numPr>
      </w:pPr>
      <w:r>
        <w:rPr>
          <w:rFonts w:cs="Arial"/>
        </w:rPr>
        <w:t xml:space="preserve">The </w:t>
      </w:r>
      <w:r w:rsidR="00682F47">
        <w:rPr>
          <w:rFonts w:cs="Arial"/>
        </w:rPr>
        <w:t>workers’ compensation</w:t>
      </w:r>
      <w:r>
        <w:rPr>
          <w:rFonts w:cs="Arial"/>
        </w:rPr>
        <w:t xml:space="preserve"> incidence rate in Regional Australia has generally been relatively stable over the last decade, although </w:t>
      </w:r>
      <w:r w:rsidR="00D22B1D">
        <w:rPr>
          <w:rFonts w:cs="Arial"/>
        </w:rPr>
        <w:t>this indicator</w:t>
      </w:r>
      <w:r>
        <w:rPr>
          <w:rFonts w:cs="Arial"/>
        </w:rPr>
        <w:t xml:space="preserve"> has been trending upwards over the last </w:t>
      </w:r>
      <w:r w:rsidR="00285E8D">
        <w:rPr>
          <w:rFonts w:cs="Arial"/>
        </w:rPr>
        <w:t xml:space="preserve">5 </w:t>
      </w:r>
      <w:r>
        <w:rPr>
          <w:rFonts w:cs="Arial"/>
        </w:rPr>
        <w:t>years (to 9.6</w:t>
      </w:r>
      <w:r w:rsidR="00D22B1D">
        <w:rPr>
          <w:rFonts w:cs="Arial"/>
        </w:rPr>
        <w:t xml:space="preserve"> serious claims per 1</w:t>
      </w:r>
      <w:r w:rsidR="00285E8D">
        <w:rPr>
          <w:rFonts w:cs="Arial"/>
        </w:rPr>
        <w:t>,</w:t>
      </w:r>
      <w:r w:rsidR="00D22B1D">
        <w:rPr>
          <w:rFonts w:cs="Arial"/>
        </w:rPr>
        <w:t>000 workers</w:t>
      </w:r>
      <w:r>
        <w:rPr>
          <w:rFonts w:cs="Arial"/>
        </w:rPr>
        <w:t xml:space="preserve"> in 2021-22). The impacts of work-related injuries are not spread evenly across jurisdictions</w:t>
      </w:r>
      <w:r w:rsidR="00D22B1D">
        <w:rPr>
          <w:rFonts w:cs="Arial"/>
        </w:rPr>
        <w:t>,</w:t>
      </w:r>
      <w:r>
        <w:rPr>
          <w:rFonts w:cs="Arial"/>
        </w:rPr>
        <w:t xml:space="preserve"> with the </w:t>
      </w:r>
      <w:r w:rsidR="00682F47">
        <w:rPr>
          <w:rFonts w:cs="Arial"/>
        </w:rPr>
        <w:t>workers’ compensation</w:t>
      </w:r>
      <w:r>
        <w:rPr>
          <w:rFonts w:cs="Arial"/>
        </w:rPr>
        <w:t xml:space="preserve"> incidence rate varying from around 5</w:t>
      </w:r>
      <w:r w:rsidR="00D22B1D">
        <w:rPr>
          <w:rFonts w:cs="Arial"/>
        </w:rPr>
        <w:t xml:space="preserve"> serious claims per 1</w:t>
      </w:r>
      <w:r w:rsidR="00416932">
        <w:rPr>
          <w:rFonts w:cs="Arial"/>
        </w:rPr>
        <w:t>,</w:t>
      </w:r>
      <w:r w:rsidR="00D22B1D">
        <w:rPr>
          <w:rFonts w:cs="Arial"/>
        </w:rPr>
        <w:t>000 workers</w:t>
      </w:r>
      <w:r>
        <w:rPr>
          <w:rFonts w:cs="Arial"/>
        </w:rPr>
        <w:t xml:space="preserve"> in the Northern Territory to almost 15 in Rest of Western Australia</w:t>
      </w:r>
      <w:r w:rsidR="00181BA5">
        <w:rPr>
          <w:rFonts w:cs="Arial"/>
        </w:rPr>
        <w:t>.</w:t>
      </w:r>
    </w:p>
    <w:p w14:paraId="69867EF7" w14:textId="3E5D7008" w:rsidR="007D1418" w:rsidRPr="00181BA5" w:rsidRDefault="00181BA5" w:rsidP="00D16B99">
      <w:pPr>
        <w:pStyle w:val="BodyText"/>
        <w:numPr>
          <w:ilvl w:val="0"/>
          <w:numId w:val="38"/>
        </w:numPr>
        <w:rPr>
          <w:rFonts w:cs="Arial"/>
        </w:rPr>
      </w:pPr>
      <w:r w:rsidRPr="00181BA5">
        <w:rPr>
          <w:rFonts w:cs="Arial"/>
        </w:rPr>
        <w:br w:type="page"/>
      </w:r>
      <w:bookmarkStart w:id="129" w:name="_Hlk187318514"/>
    </w:p>
    <w:p w14:paraId="2A5B4AC6" w14:textId="5B6D3F5D" w:rsidR="00D95E9A" w:rsidRPr="005F6D84" w:rsidRDefault="00FB7E2F" w:rsidP="00AD6426">
      <w:pPr>
        <w:pStyle w:val="Heading1unnumbered"/>
      </w:pPr>
      <w:r w:rsidRPr="00FB7E2F">
        <w:rPr>
          <w:noProof/>
        </w:rPr>
        <w:lastRenderedPageBreak/>
        <w:drawing>
          <wp:anchor distT="0" distB="0" distL="114300" distR="114300" simplePos="0" relativeHeight="251956736" behindDoc="1" locked="0" layoutInCell="1" allowOverlap="1" wp14:anchorId="0924C7FA" wp14:editId="2D9CEF9A">
            <wp:simplePos x="0" y="0"/>
            <wp:positionH relativeFrom="page">
              <wp:align>left</wp:align>
            </wp:positionH>
            <wp:positionV relativeFrom="paragraph">
              <wp:posOffset>-808157</wp:posOffset>
            </wp:positionV>
            <wp:extent cx="7564046" cy="10699602"/>
            <wp:effectExtent l="0" t="0" r="0" b="6985"/>
            <wp:wrapNone/>
            <wp:docPr id="41189787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97873" name="Picture 8">
                      <a:extLst>
                        <a:ext uri="{C183D7F6-B498-43B3-948B-1728B52AA6E4}">
                          <adec:decorative xmlns:adec="http://schemas.microsoft.com/office/drawing/2017/decorative" val="1"/>
                        </a:ext>
                      </a:extLst>
                    </pic:cNvPr>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7564046" cy="106996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E9A" w:rsidRPr="005F6D84">
        <w:t>Vision Principle 4</w:t>
      </w:r>
      <w:r w:rsidR="007F4321" w:rsidRPr="005F6D84">
        <w:t xml:space="preserve"> – Meeting Demand</w:t>
      </w:r>
    </w:p>
    <w:p w14:paraId="0B505E42" w14:textId="3BBBCAD1" w:rsidR="00D95E9A" w:rsidRPr="00A47258" w:rsidRDefault="00D95E9A" w:rsidP="00D95E9A">
      <w:pPr>
        <w:pStyle w:val="TOCHeading"/>
        <w:rPr>
          <w:rFonts w:cs="Arial"/>
          <w:b w:val="0"/>
          <w:color w:val="auto"/>
          <w:sz w:val="40"/>
          <w:szCs w:val="40"/>
        </w:rPr>
      </w:pPr>
      <w:r w:rsidRPr="00A47258">
        <w:rPr>
          <w:rFonts w:eastAsiaTheme="minorHAnsi" w:cstheme="minorBidi"/>
          <w:b w:val="0"/>
          <w:color w:val="auto"/>
          <w:sz w:val="40"/>
          <w:szCs w:val="40"/>
          <w:lang w:val="en-AU"/>
        </w:rPr>
        <w:t xml:space="preserve">Regional Australia </w:t>
      </w:r>
      <w:r w:rsidR="00BE0435">
        <w:rPr>
          <w:rFonts w:eastAsiaTheme="minorHAnsi" w:cstheme="minorBidi"/>
          <w:b w:val="0"/>
          <w:color w:val="auto"/>
          <w:sz w:val="40"/>
          <w:szCs w:val="40"/>
          <w:lang w:val="en-AU"/>
        </w:rPr>
        <w:t xml:space="preserve">and its employers </w:t>
      </w:r>
      <w:r w:rsidRPr="00A47258">
        <w:rPr>
          <w:rFonts w:eastAsiaTheme="minorHAnsi" w:cstheme="minorBidi"/>
          <w:b w:val="0"/>
          <w:color w:val="auto"/>
          <w:sz w:val="40"/>
          <w:szCs w:val="40"/>
          <w:lang w:val="en-AU"/>
        </w:rPr>
        <w:t>can access</w:t>
      </w:r>
      <w:r w:rsidR="00186153" w:rsidRPr="00A47258">
        <w:rPr>
          <w:rFonts w:eastAsiaTheme="minorHAnsi" w:cstheme="minorBidi"/>
          <w:b w:val="0"/>
          <w:color w:val="auto"/>
          <w:sz w:val="40"/>
          <w:szCs w:val="40"/>
          <w:lang w:val="en-AU"/>
        </w:rPr>
        <w:t xml:space="preserve">, attract and </w:t>
      </w:r>
      <w:r w:rsidRPr="00A47258">
        <w:rPr>
          <w:rFonts w:eastAsiaTheme="minorHAnsi" w:cstheme="minorBidi"/>
          <w:b w:val="0"/>
          <w:color w:val="auto"/>
          <w:sz w:val="40"/>
          <w:szCs w:val="40"/>
          <w:lang w:val="en-AU"/>
        </w:rPr>
        <w:t xml:space="preserve">develop </w:t>
      </w:r>
      <w:r w:rsidR="00186153" w:rsidRPr="00A47258">
        <w:rPr>
          <w:rFonts w:eastAsiaTheme="minorHAnsi" w:cstheme="minorBidi"/>
          <w:b w:val="0"/>
          <w:color w:val="auto"/>
          <w:sz w:val="40"/>
          <w:szCs w:val="40"/>
          <w:lang w:val="en-AU"/>
        </w:rPr>
        <w:t xml:space="preserve">sufficient </w:t>
      </w:r>
      <w:r w:rsidRPr="00A47258">
        <w:rPr>
          <w:rFonts w:eastAsiaTheme="minorHAnsi" w:cstheme="minorBidi"/>
          <w:b w:val="0"/>
          <w:color w:val="auto"/>
          <w:sz w:val="40"/>
          <w:szCs w:val="40"/>
          <w:lang w:val="en-AU"/>
        </w:rPr>
        <w:t>suitable labour, including as skills needs change</w:t>
      </w:r>
      <w:r w:rsidRPr="00A47258">
        <w:rPr>
          <w:rFonts w:cs="Arial"/>
          <w:b w:val="0"/>
          <w:color w:val="auto"/>
          <w:sz w:val="40"/>
          <w:szCs w:val="40"/>
        </w:rPr>
        <w:t>.</w:t>
      </w:r>
    </w:p>
    <w:p w14:paraId="253CB2AA" w14:textId="61E1F0A3" w:rsidR="00D95E9A" w:rsidRPr="00CB0C7A" w:rsidRDefault="00E46DE7">
      <w:pPr>
        <w:spacing w:after="160" w:line="259" w:lineRule="auto"/>
        <w:rPr>
          <w:rFonts w:cs="Arial"/>
          <w:highlight w:val="yellow"/>
        </w:rPr>
      </w:pPr>
      <w:r>
        <w:rPr>
          <w:rFonts w:cs="Arial"/>
          <w:highlight w:val="yellow"/>
        </w:rPr>
        <w:br w:type="page"/>
      </w:r>
    </w:p>
    <w:p w14:paraId="5882858A" w14:textId="3F614204" w:rsidR="00CF5A68" w:rsidRPr="00BE5900" w:rsidRDefault="00CF5A68" w:rsidP="00BE5900">
      <w:pPr>
        <w:pStyle w:val="Heading2"/>
      </w:pPr>
      <w:bookmarkStart w:id="130" w:name="_Toc200637148"/>
      <w:bookmarkStart w:id="131" w:name="_Toc201070187"/>
      <w:bookmarkStart w:id="132" w:name="_Toc201919850"/>
      <w:bookmarkStart w:id="133" w:name="_Toc202361878"/>
      <w:r w:rsidRPr="00BE5900">
        <w:lastRenderedPageBreak/>
        <w:t>Vision Principal 4</w:t>
      </w:r>
      <w:r w:rsidR="004462CC" w:rsidRPr="00BE5900">
        <w:t xml:space="preserve"> </w:t>
      </w:r>
      <w:r w:rsidR="00C9084B" w:rsidRPr="00BE5900">
        <w:t>–</w:t>
      </w:r>
      <w:r w:rsidR="004462CC" w:rsidRPr="00BE5900">
        <w:t xml:space="preserve"> </w:t>
      </w:r>
      <w:r w:rsidR="00C9084B" w:rsidRPr="00BE5900">
        <w:t>Meeting Demand</w:t>
      </w:r>
      <w:bookmarkEnd w:id="130"/>
      <w:bookmarkEnd w:id="131"/>
      <w:bookmarkEnd w:id="132"/>
      <w:bookmarkEnd w:id="133"/>
    </w:p>
    <w:bookmarkEnd w:id="129"/>
    <w:p w14:paraId="400E71AB" w14:textId="77777777" w:rsidR="00D95E9A" w:rsidRPr="00993248" w:rsidRDefault="00D95E9A" w:rsidP="00BE5900">
      <w:pPr>
        <w:pStyle w:val="Heading3"/>
      </w:pPr>
      <w:r w:rsidRPr="00993248">
        <w:t>Overview of Vision Principle 4</w:t>
      </w:r>
    </w:p>
    <w:p w14:paraId="052B8145" w14:textId="79CB3206" w:rsidR="00D95E9A" w:rsidRPr="00BE5900" w:rsidRDefault="00D95E9A" w:rsidP="00BE5900">
      <w:pPr>
        <w:pStyle w:val="Heading4"/>
      </w:pPr>
      <w:r w:rsidRPr="00BE5900">
        <w:t xml:space="preserve">Regional Australia </w:t>
      </w:r>
      <w:r w:rsidR="00BE0435" w:rsidRPr="00BE5900">
        <w:t xml:space="preserve">and its employers </w:t>
      </w:r>
      <w:r w:rsidRPr="00BE5900">
        <w:t>can access</w:t>
      </w:r>
      <w:r w:rsidR="00186153" w:rsidRPr="00BE5900">
        <w:t xml:space="preserve">, attract and </w:t>
      </w:r>
      <w:r w:rsidRPr="00BE5900">
        <w:t xml:space="preserve">develop </w:t>
      </w:r>
      <w:r w:rsidR="00186153" w:rsidRPr="00BE5900">
        <w:t xml:space="preserve">sufficient </w:t>
      </w:r>
      <w:r w:rsidRPr="00BE5900">
        <w:t>suitable labour, including as skills needs change.</w:t>
      </w:r>
    </w:p>
    <w:p w14:paraId="727D39E2" w14:textId="355ED665" w:rsidR="002A317A" w:rsidRDefault="004E4760" w:rsidP="00BE5900">
      <w:pPr>
        <w:pStyle w:val="BodyText"/>
      </w:pPr>
      <w:r>
        <w:t xml:space="preserve">In all regions and communities, goods and services demand forms the foundation of economic activity, and subsequently, labour market activity. The fourth </w:t>
      </w:r>
      <w:r w:rsidR="007F4FE5">
        <w:t>V</w:t>
      </w:r>
      <w:r>
        <w:t xml:space="preserve">ision </w:t>
      </w:r>
      <w:r w:rsidR="007F4FE5">
        <w:t>P</w:t>
      </w:r>
      <w:r>
        <w:t xml:space="preserve">rinciple for this Roadmap </w:t>
      </w:r>
      <w:r w:rsidR="00390846">
        <w:t xml:space="preserve">relates to </w:t>
      </w:r>
      <w:r w:rsidR="001817D7" w:rsidRPr="00DD03DD">
        <w:t xml:space="preserve">Regional Australia </w:t>
      </w:r>
      <w:r w:rsidR="00BE0435">
        <w:t xml:space="preserve">and its employers </w:t>
      </w:r>
      <w:r w:rsidR="00390846">
        <w:t xml:space="preserve">being able to </w:t>
      </w:r>
      <w:r w:rsidR="001817D7" w:rsidRPr="00A74DC8">
        <w:t>access</w:t>
      </w:r>
      <w:r w:rsidR="001817D7">
        <w:t xml:space="preserve">, attract and </w:t>
      </w:r>
      <w:r w:rsidR="001817D7" w:rsidRPr="00A74DC8">
        <w:t xml:space="preserve">develop </w:t>
      </w:r>
      <w:r w:rsidR="001817D7">
        <w:t xml:space="preserve">sufficient </w:t>
      </w:r>
      <w:r w:rsidR="001817D7" w:rsidRPr="00A74DC8">
        <w:t>suitable labour</w:t>
      </w:r>
      <w:r w:rsidR="00390846">
        <w:t xml:space="preserve"> to meet this demand</w:t>
      </w:r>
      <w:r w:rsidR="001817D7" w:rsidRPr="00A74DC8">
        <w:t>, including as skills needs change</w:t>
      </w:r>
      <w:r w:rsidR="00390846">
        <w:t>.</w:t>
      </w:r>
      <w:r w:rsidR="00A30E40">
        <w:t xml:space="preserve"> This includes meeting social and community needs that are spread across the population and thus may not typically eventuate in a single vacancy despite such demand not being met, such as in the case of the demand for health services in a community.</w:t>
      </w:r>
    </w:p>
    <w:p w14:paraId="257B1F53" w14:textId="6E99EB0C" w:rsidR="009F36B6" w:rsidRPr="00480DA0" w:rsidRDefault="00A85E0E" w:rsidP="00480DA0">
      <w:pPr>
        <w:pStyle w:val="Caption"/>
        <w:rPr>
          <w:rFonts w:cs="Arial"/>
          <w:b w:val="0"/>
        </w:rPr>
      </w:pPr>
      <w:bookmarkStart w:id="134" w:name="_Toc201916599"/>
      <w:r>
        <w:t xml:space="preserve">Figure </w:t>
      </w:r>
      <w:r w:rsidR="002A317A">
        <w:fldChar w:fldCharType="begin"/>
      </w:r>
      <w:r w:rsidR="002A317A">
        <w:instrText xml:space="preserve"> SEQ Figure \* ARABIC </w:instrText>
      </w:r>
      <w:r w:rsidR="002A317A">
        <w:fldChar w:fldCharType="separate"/>
      </w:r>
      <w:r w:rsidR="00471863">
        <w:rPr>
          <w:noProof/>
        </w:rPr>
        <w:t>33</w:t>
      </w:r>
      <w:r w:rsidR="002A317A">
        <w:fldChar w:fldCharType="end"/>
      </w:r>
      <w:r w:rsidR="002A317A" w:rsidRPr="00E74C51">
        <w:rPr>
          <w:rFonts w:cs="Arial"/>
        </w:rPr>
        <w:t>: Illustrative representation of labour market activity and the role of entrepreneurialism, business creation and portfolio self-employment</w:t>
      </w:r>
      <w:bookmarkEnd w:id="134"/>
    </w:p>
    <w:p w14:paraId="15D659B9" w14:textId="438BF782" w:rsidR="00480DA0" w:rsidRPr="009F36B6" w:rsidRDefault="00480DA0" w:rsidP="009F36B6">
      <w:pPr>
        <w:spacing w:before="120" w:after="120"/>
        <w:rPr>
          <w:rFonts w:cs="Arial"/>
          <w:sz w:val="24"/>
          <w:szCs w:val="24"/>
        </w:rPr>
      </w:pPr>
      <w:r>
        <w:rPr>
          <w:rFonts w:cs="Arial"/>
          <w:noProof/>
          <w:sz w:val="24"/>
          <w:szCs w:val="24"/>
        </w:rPr>
        <w:drawing>
          <wp:inline distT="0" distB="0" distL="0" distR="0" wp14:anchorId="6BA3032D" wp14:editId="4C4083CF">
            <wp:extent cx="5732145" cy="2142490"/>
            <wp:effectExtent l="0" t="0" r="1905" b="0"/>
            <wp:docPr id="856738550" name="Picture 6" descr="An illustrative representation of labour market activity and the role of entrepreneurialism, business creation and portfolio self-employment. Entrepreneurialism, business creation and portfolio self-employment play an important role in connecting people (supply of labour) with demand for products and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38550" name="Picture 6" descr="An illustrative representation of labour market activity and the role of entrepreneurialism, business creation and portfolio self-employment. Entrepreneurialism, business creation and portfolio self-employment play an important role in connecting people (supply of labour) with demand for products and services. "/>
                    <pic:cNvPicPr/>
                  </pic:nvPicPr>
                  <pic:blipFill>
                    <a:blip r:embed="rId61">
                      <a:extLst>
                        <a:ext uri="{28A0092B-C50C-407E-A947-70E740481C1C}">
                          <a14:useLocalDpi xmlns:a14="http://schemas.microsoft.com/office/drawing/2010/main" val="0"/>
                        </a:ext>
                      </a:extLst>
                    </a:blip>
                    <a:stretch>
                      <a:fillRect/>
                    </a:stretch>
                  </pic:blipFill>
                  <pic:spPr>
                    <a:xfrm>
                      <a:off x="0" y="0"/>
                      <a:ext cx="5732145" cy="2142490"/>
                    </a:xfrm>
                    <a:prstGeom prst="rect">
                      <a:avLst/>
                    </a:prstGeom>
                  </pic:spPr>
                </pic:pic>
              </a:graphicData>
            </a:graphic>
          </wp:inline>
        </w:drawing>
      </w:r>
    </w:p>
    <w:p w14:paraId="4118175F" w14:textId="4B301D28" w:rsidR="00EA2699" w:rsidRPr="00933F6B" w:rsidRDefault="00EA2699" w:rsidP="00A808C7">
      <w:pPr>
        <w:pStyle w:val="BodyText"/>
      </w:pPr>
      <w:r>
        <w:t>An</w:t>
      </w:r>
      <w:r w:rsidRPr="00DD03DD">
        <w:t xml:space="preserve"> effective jobs and skills system in </w:t>
      </w:r>
      <w:r>
        <w:t>R</w:t>
      </w:r>
      <w:r w:rsidRPr="00DD03DD">
        <w:t xml:space="preserve">egional Australia </w:t>
      </w:r>
      <w:r>
        <w:t>should</w:t>
      </w:r>
      <w:r w:rsidRPr="00DD03DD">
        <w:t xml:space="preserve"> ensure </w:t>
      </w:r>
      <w:r>
        <w:t xml:space="preserve">that </w:t>
      </w:r>
      <w:r w:rsidRPr="00DD03DD">
        <w:t>employers have access to the labour they need</w:t>
      </w:r>
      <w:r>
        <w:t xml:space="preserve"> – both in terms of available people and with the skills that are needed</w:t>
      </w:r>
      <w:r w:rsidRPr="00DD03DD">
        <w:t xml:space="preserve">. </w:t>
      </w:r>
      <w:r>
        <w:t xml:space="preserve">Such access should also not be predicated on the businesses size </w:t>
      </w:r>
      <w:r w:rsidR="00F21D9B">
        <w:t xml:space="preserve">or type </w:t>
      </w:r>
      <w:r>
        <w:t>– both large and small businesses</w:t>
      </w:r>
      <w:r w:rsidR="00F21D9B">
        <w:t xml:space="preserve">, and both firms and not-for-profit organisations, </w:t>
      </w:r>
      <w:r>
        <w:t xml:space="preserve">should be able to have their skills needs met. </w:t>
      </w:r>
      <w:r w:rsidRPr="00DD03DD">
        <w:t xml:space="preserve">This </w:t>
      </w:r>
      <w:r>
        <w:t>includes</w:t>
      </w:r>
      <w:r w:rsidRPr="00DD03DD">
        <w:t xml:space="preserve"> </w:t>
      </w:r>
      <w:r w:rsidR="00F21D9B">
        <w:t xml:space="preserve">by </w:t>
      </w:r>
      <w:r w:rsidRPr="00DD03DD">
        <w:t xml:space="preserve">supporting the development of a </w:t>
      </w:r>
      <w:r w:rsidR="00306785">
        <w:t>‘</w:t>
      </w:r>
      <w:r w:rsidRPr="00DD03DD">
        <w:t>home-grown</w:t>
      </w:r>
      <w:r w:rsidR="00306785">
        <w:t>’</w:t>
      </w:r>
      <w:r w:rsidRPr="00DD03DD">
        <w:t xml:space="preserve"> workforce</w:t>
      </w:r>
      <w:r>
        <w:t xml:space="preserve"> and options for</w:t>
      </w:r>
      <w:r w:rsidRPr="00DD03DD">
        <w:t xml:space="preserve"> regional students who move to </w:t>
      </w:r>
      <w:r w:rsidR="006F323C">
        <w:t>the Major Cities</w:t>
      </w:r>
      <w:r w:rsidRPr="00DD03DD">
        <w:t xml:space="preserve"> for their </w:t>
      </w:r>
      <w:r w:rsidRPr="00933F6B">
        <w:t xml:space="preserve">studies to return once their education is completed. </w:t>
      </w:r>
    </w:p>
    <w:p w14:paraId="12E085EC" w14:textId="35FC02CB" w:rsidR="0047398B" w:rsidRDefault="001E7FDB" w:rsidP="00A808C7">
      <w:pPr>
        <w:pStyle w:val="BodyText"/>
      </w:pPr>
      <w:r w:rsidRPr="00933F6B">
        <w:t>P</w:t>
      </w:r>
      <w:r w:rsidR="00D95E9A" w:rsidRPr="00933F6B">
        <w:t xml:space="preserve">ersistent </w:t>
      </w:r>
      <w:r w:rsidR="00FC1D18" w:rsidRPr="00933F6B">
        <w:t>labour or</w:t>
      </w:r>
      <w:r w:rsidR="00D95E9A" w:rsidRPr="00933F6B">
        <w:t xml:space="preserve"> skill shortages </w:t>
      </w:r>
      <w:r w:rsidRPr="00933F6B">
        <w:t>occur</w:t>
      </w:r>
      <w:r w:rsidR="00D95E9A" w:rsidRPr="00933F6B">
        <w:t xml:space="preserve"> when employers are unable to fill or have considerable difficulty </w:t>
      </w:r>
      <w:r w:rsidRPr="00933F6B">
        <w:t xml:space="preserve">in quickly </w:t>
      </w:r>
      <w:r w:rsidR="00D95E9A" w:rsidRPr="00933F6B">
        <w:t>filling vacancies</w:t>
      </w:r>
      <w:r w:rsidR="000C684C" w:rsidRPr="00933F6B">
        <w:t xml:space="preserve"> (measured by vacancy fill rate and persistent hiring pressures)</w:t>
      </w:r>
      <w:r w:rsidR="00D95E9A" w:rsidRPr="00933F6B">
        <w:t xml:space="preserve">. </w:t>
      </w:r>
      <w:r w:rsidR="002008DA" w:rsidRPr="00933F6B">
        <w:t>When</w:t>
      </w:r>
      <w:r w:rsidR="00D95E9A" w:rsidRPr="00933F6B">
        <w:t xml:space="preserve"> widespread</w:t>
      </w:r>
      <w:r w:rsidR="002008DA" w:rsidRPr="00933F6B">
        <w:t>, these shortages</w:t>
      </w:r>
      <w:r w:rsidR="00D95E9A" w:rsidRPr="00933F6B">
        <w:t xml:space="preserve"> can </w:t>
      </w:r>
      <w:r w:rsidR="002008DA" w:rsidRPr="00933F6B">
        <w:t>have material impacts</w:t>
      </w:r>
      <w:r w:rsidR="00D95E9A" w:rsidRPr="00933F6B">
        <w:t xml:space="preserve"> on productivity and output. </w:t>
      </w:r>
      <w:r w:rsidR="00EA2699" w:rsidRPr="00933F6B">
        <w:t>By contrast, e</w:t>
      </w:r>
      <w:r w:rsidR="0047398B" w:rsidRPr="00933F6B">
        <w:t>nsuring employers have access to suitable labour can support growth in output and productivity</w:t>
      </w:r>
      <w:r w:rsidR="0047398B" w:rsidRPr="00DD03DD">
        <w:t xml:space="preserve"> improvements. This has direct benefits for Regional Australia, ensuring goods and services are delivered in accordance with what communities need and want. It also has multiplier effects, facilitating stronger economic growth and improvements in living standards</w:t>
      </w:r>
      <w:r w:rsidR="0047398B">
        <w:t xml:space="preserve"> in Regional </w:t>
      </w:r>
      <w:r w:rsidR="0047398B" w:rsidRPr="00DD03DD">
        <w:t>Australia</w:t>
      </w:r>
      <w:r w:rsidR="0047398B">
        <w:t xml:space="preserve">, and </w:t>
      </w:r>
      <w:r w:rsidR="0047398B" w:rsidRPr="00DD03DD">
        <w:t xml:space="preserve">as a whole. </w:t>
      </w:r>
    </w:p>
    <w:p w14:paraId="0DC55D7E" w14:textId="380A99B0" w:rsidR="00311AB6" w:rsidRPr="007533E4" w:rsidRDefault="00311AB6" w:rsidP="00A808C7">
      <w:pPr>
        <w:pStyle w:val="BodyText"/>
      </w:pPr>
      <w:r w:rsidRPr="007533E4">
        <w:t xml:space="preserve">Important to the achievement of this </w:t>
      </w:r>
      <w:r w:rsidR="007F4FE5">
        <w:t>V</w:t>
      </w:r>
      <w:r w:rsidRPr="007533E4">
        <w:t xml:space="preserve">ision </w:t>
      </w:r>
      <w:r w:rsidR="007F4FE5">
        <w:t>P</w:t>
      </w:r>
      <w:r w:rsidRPr="007533E4">
        <w:t>rinciple is enabling entrepreneurialism and business creation in Regional Australia. In addition to fuelling innovation</w:t>
      </w:r>
      <w:r>
        <w:t>,</w:t>
      </w:r>
      <w:r w:rsidRPr="007533E4">
        <w:t xml:space="preserve"> competition </w:t>
      </w:r>
      <w:r>
        <w:t xml:space="preserve">and important local economic activity, </w:t>
      </w:r>
      <w:r w:rsidRPr="007533E4">
        <w:t xml:space="preserve">entrepreneurs provide a </w:t>
      </w:r>
      <w:r>
        <w:t>critical</w:t>
      </w:r>
      <w:r w:rsidRPr="007533E4">
        <w:t xml:space="preserve"> source of employment </w:t>
      </w:r>
      <w:r>
        <w:t xml:space="preserve">in </w:t>
      </w:r>
      <w:r w:rsidRPr="007533E4">
        <w:t>communities</w:t>
      </w:r>
      <w:r w:rsidR="00284E83">
        <w:t xml:space="preserve"> and help meet unmet goods and services </w:t>
      </w:r>
      <w:r w:rsidR="00284E83" w:rsidRPr="00933F6B">
        <w:t>demand in the economy</w:t>
      </w:r>
      <w:r w:rsidRPr="00933F6B">
        <w:t xml:space="preserve">. </w:t>
      </w:r>
      <w:r w:rsidRPr="00933F6B">
        <w:lastRenderedPageBreak/>
        <w:t>Empowering individuals to be innovative and create business opportunities is central to a flourishing Regional Australia.</w:t>
      </w:r>
      <w:r w:rsidRPr="007533E4">
        <w:t xml:space="preserve"> </w:t>
      </w:r>
    </w:p>
    <w:p w14:paraId="7060AA13" w14:textId="1D75AA8F" w:rsidR="00D95E9A" w:rsidRPr="00DD03DD" w:rsidRDefault="00D95E9A" w:rsidP="00A808C7">
      <w:pPr>
        <w:pStyle w:val="BodyText"/>
      </w:pPr>
      <w:r w:rsidRPr="00DD03DD">
        <w:t xml:space="preserve">Migration, either within Australia or from overseas, can also support the achievement of </w:t>
      </w:r>
      <w:r w:rsidR="00177715">
        <w:t>Vision Principle 4</w:t>
      </w:r>
      <w:r w:rsidRPr="00DD03DD">
        <w:t xml:space="preserve"> </w:t>
      </w:r>
      <w:r w:rsidRPr="00DD03DD" w:rsidDel="00381AAC">
        <w:t xml:space="preserve">by </w:t>
      </w:r>
      <w:r w:rsidRPr="00DD03DD">
        <w:t xml:space="preserve">providing supplementary sources of labour to address persistent skills gaps, particularly where there is a long training pathway. </w:t>
      </w:r>
      <w:r w:rsidR="000A7CA0" w:rsidRPr="000A7CA0">
        <w:t>An efficient migration system supports visa applications being processed as quickly as possible – including through the timely recognition and accreditation of skills – to enable employers to address persistent shortages and strengthen capacity building activities in their businesses.</w:t>
      </w:r>
    </w:p>
    <w:tbl>
      <w:tblPr>
        <w:tblStyle w:val="CustomTablepulloutbox2"/>
        <w:tblW w:w="0" w:type="auto"/>
        <w:tblLook w:val="04A0" w:firstRow="1" w:lastRow="0" w:firstColumn="1" w:lastColumn="0" w:noHBand="0" w:noVBand="1"/>
      </w:tblPr>
      <w:tblGrid>
        <w:gridCol w:w="8997"/>
      </w:tblGrid>
      <w:tr w:rsidR="00945F99" w14:paraId="678F31B2" w14:textId="77777777">
        <w:tc>
          <w:tcPr>
            <w:tcW w:w="8997" w:type="dxa"/>
          </w:tcPr>
          <w:p w14:paraId="0862227E" w14:textId="77777777" w:rsidR="00945F99" w:rsidRPr="00992EDD" w:rsidRDefault="00945F99" w:rsidP="00992EDD">
            <w:pPr>
              <w:pStyle w:val="BoxHeading"/>
              <w:jc w:val="center"/>
              <w:rPr>
                <w:sz w:val="24"/>
                <w:szCs w:val="24"/>
              </w:rPr>
            </w:pPr>
            <w:r w:rsidRPr="00992EDD">
              <w:rPr>
                <w:sz w:val="24"/>
                <w:szCs w:val="24"/>
              </w:rPr>
              <w:t>Stakeholder insight</w:t>
            </w:r>
          </w:p>
          <w:p w14:paraId="7F0D6D99" w14:textId="35AC3AE9" w:rsidR="00945F99" w:rsidRPr="00A808C7" w:rsidRDefault="009124F7" w:rsidP="00945F99">
            <w:pPr>
              <w:jc w:val="center"/>
              <w:rPr>
                <w:rFonts w:cs="Arial"/>
                <w:i/>
                <w:iCs/>
                <w:sz w:val="22"/>
                <w:szCs w:val="22"/>
              </w:rPr>
            </w:pPr>
            <w:r>
              <w:rPr>
                <w:rFonts w:cs="Arial"/>
                <w:i/>
                <w:iCs/>
                <w:sz w:val="22"/>
                <w:szCs w:val="22"/>
              </w:rPr>
              <w:t>‘</w:t>
            </w:r>
            <w:r w:rsidR="00945F99" w:rsidRPr="00A808C7">
              <w:rPr>
                <w:rFonts w:cs="Arial"/>
                <w:i/>
                <w:iCs/>
                <w:sz w:val="22"/>
                <w:szCs w:val="22"/>
              </w:rPr>
              <w:t>There are significant opportunities to increase productivity in Regional Australia by fast-tracking access to overseas sources of high-skilled labour in cases of sustained shortage. Such workers also often become excellent mentors for local apprentices and contribute significant</w:t>
            </w:r>
            <w:r w:rsidR="009F40AE">
              <w:rPr>
                <w:rFonts w:cs="Arial"/>
                <w:i/>
                <w:iCs/>
                <w:sz w:val="22"/>
                <w:szCs w:val="22"/>
              </w:rPr>
              <w:t>ly</w:t>
            </w:r>
            <w:r w:rsidR="00945F99" w:rsidRPr="00A808C7">
              <w:rPr>
                <w:rFonts w:cs="Arial"/>
                <w:i/>
                <w:iCs/>
                <w:sz w:val="22"/>
                <w:szCs w:val="22"/>
              </w:rPr>
              <w:t xml:space="preserve"> to local Australian communities. The processing of Visa applications and accreditation of skills should be prioritised and fast-tracked for regional employers with a history of community support, compliance and success.</w:t>
            </w:r>
            <w:r>
              <w:rPr>
                <w:rFonts w:cs="Arial"/>
                <w:i/>
                <w:iCs/>
                <w:sz w:val="22"/>
                <w:szCs w:val="22"/>
              </w:rPr>
              <w:t>’</w:t>
            </w:r>
          </w:p>
          <w:p w14:paraId="3651865D" w14:textId="77777777" w:rsidR="00992EDD" w:rsidRPr="00992EDD" w:rsidRDefault="00945F99" w:rsidP="00992EDD">
            <w:pPr>
              <w:pStyle w:val="BodyText"/>
              <w:jc w:val="center"/>
              <w:rPr>
                <w:b/>
                <w:bCs/>
                <w:sz w:val="24"/>
                <w:szCs w:val="24"/>
              </w:rPr>
            </w:pPr>
            <w:r w:rsidRPr="00992EDD">
              <w:rPr>
                <w:b/>
                <w:sz w:val="24"/>
                <w:szCs w:val="24"/>
              </w:rPr>
              <w:t>Carlene Lawson</w:t>
            </w:r>
          </w:p>
          <w:p w14:paraId="24A02798" w14:textId="77777777" w:rsidR="00347592" w:rsidRDefault="00945F99" w:rsidP="00992EDD">
            <w:pPr>
              <w:pStyle w:val="BodyText"/>
              <w:jc w:val="center"/>
              <w:rPr>
                <w:sz w:val="22"/>
                <w:szCs w:val="22"/>
                <w:lang w:val="en-AU"/>
              </w:rPr>
            </w:pPr>
            <w:r w:rsidRPr="00A808C7">
              <w:rPr>
                <w:sz w:val="22"/>
                <w:szCs w:val="22"/>
                <w:lang w:val="en-AU"/>
              </w:rPr>
              <w:t>Recruitment Manager</w:t>
            </w:r>
            <w:r w:rsidR="00992EDD">
              <w:rPr>
                <w:sz w:val="22"/>
                <w:szCs w:val="22"/>
                <w:lang w:val="en-AU"/>
              </w:rPr>
              <w:t xml:space="preserve"> </w:t>
            </w:r>
          </w:p>
          <w:p w14:paraId="0EBF9A4D" w14:textId="2F1BBA87" w:rsidR="00945F99" w:rsidRPr="00CC191D" w:rsidRDefault="00945F99" w:rsidP="00992EDD">
            <w:pPr>
              <w:pStyle w:val="BodyText"/>
              <w:jc w:val="center"/>
            </w:pPr>
            <w:r w:rsidRPr="00A808C7">
              <w:rPr>
                <w:sz w:val="22"/>
                <w:szCs w:val="22"/>
                <w:lang w:val="en-AU"/>
              </w:rPr>
              <w:t>Incat</w:t>
            </w:r>
          </w:p>
        </w:tc>
      </w:tr>
    </w:tbl>
    <w:p w14:paraId="74D95F06" w14:textId="77777777" w:rsidR="00945F99" w:rsidRDefault="00945F99" w:rsidP="0019247E">
      <w:pPr>
        <w:rPr>
          <w:rFonts w:cs="Arial"/>
          <w:b/>
        </w:rPr>
      </w:pPr>
    </w:p>
    <w:p w14:paraId="4B423ED6" w14:textId="77777777" w:rsidR="00A8464C" w:rsidRDefault="00A8464C" w:rsidP="00A8464C">
      <w:pPr>
        <w:pStyle w:val="Heading4"/>
      </w:pPr>
      <w:r>
        <w:t>Migration</w:t>
      </w:r>
    </w:p>
    <w:p w14:paraId="47716C56" w14:textId="77777777" w:rsidR="00A8464C" w:rsidRDefault="00A8464C" w:rsidP="00A8464C">
      <w:r w:rsidRPr="00B266AB">
        <w:t xml:space="preserve">Migration plays an important role in addressing the diverse workforce needs of </w:t>
      </w:r>
      <w:r>
        <w:t>Regional Australia</w:t>
      </w:r>
      <w:r w:rsidRPr="00B266AB">
        <w:t xml:space="preserve"> where local labour or skills are not available.</w:t>
      </w:r>
      <w:r>
        <w:t xml:space="preserve"> Many parts of Regional </w:t>
      </w:r>
      <w:r w:rsidRPr="00C2148F">
        <w:t>Australia</w:t>
      </w:r>
      <w:r>
        <w:t xml:space="preserve"> also </w:t>
      </w:r>
      <w:r w:rsidRPr="00C2148F">
        <w:t>experience seasonal fluctuations in labour demand</w:t>
      </w:r>
      <w:r>
        <w:t xml:space="preserve">, generally </w:t>
      </w:r>
      <w:r w:rsidRPr="00C2148F">
        <w:t xml:space="preserve">associated with busy periods </w:t>
      </w:r>
      <w:r>
        <w:t>around agriculture and tourism</w:t>
      </w:r>
      <w:r w:rsidRPr="00C2148F">
        <w:t xml:space="preserve">. The size and timing of seasonal labour demand in different industries and regions is contingent on a range of factors </w:t>
      </w:r>
      <w:r>
        <w:t>and the l</w:t>
      </w:r>
      <w:r w:rsidRPr="00C2148F">
        <w:t>abour supply challenges associated with filling seasonal vacancies can vary in nature and severity depending on the context.</w:t>
      </w:r>
      <w:r>
        <w:t xml:space="preserve"> There are several visa pathways for migration depending on the needs of employers.</w:t>
      </w:r>
    </w:p>
    <w:p w14:paraId="6555FBDA" w14:textId="77777777" w:rsidR="00A8464C" w:rsidRPr="00DA1FDC" w:rsidRDefault="00A8464C" w:rsidP="00A8464C">
      <w:pPr>
        <w:pStyle w:val="Heading5"/>
      </w:pPr>
      <w:r w:rsidRPr="00DA1FDC">
        <w:t xml:space="preserve">Temporary skilled migration </w:t>
      </w:r>
    </w:p>
    <w:p w14:paraId="2EABC784" w14:textId="77777777" w:rsidR="00A8464C" w:rsidRDefault="00A8464C" w:rsidP="00A8464C">
      <w:r w:rsidRPr="00C2148F">
        <w:t xml:space="preserve">As articulated in the Government’s Migration Strategy, the purpose of Australia’s temporary skilled migration system is to address labour shortages and provide a pathway for potential future permanent residents. </w:t>
      </w:r>
    </w:p>
    <w:p w14:paraId="3889A6C1" w14:textId="77777777" w:rsidR="00737C0D" w:rsidRDefault="00737C0D" w:rsidP="00737C0D">
      <w:r w:rsidRPr="00C2148F">
        <w:t xml:space="preserve">Currently, the primary visa used to facilitate temporary skilled migration is the </w:t>
      </w:r>
      <w:r>
        <w:t>Skills in Demand</w:t>
      </w:r>
      <w:r w:rsidRPr="00C2148F">
        <w:t xml:space="preserve"> visa (subclass 482). This visa has </w:t>
      </w:r>
      <w:r>
        <w:t>3</w:t>
      </w:r>
      <w:r w:rsidRPr="00C2148F">
        <w:t xml:space="preserve"> streams: </w:t>
      </w:r>
    </w:p>
    <w:p w14:paraId="13CF19F3" w14:textId="77777777" w:rsidR="00737C0D" w:rsidRPr="00465805" w:rsidRDefault="00737C0D" w:rsidP="00737C0D">
      <w:pPr>
        <w:pStyle w:val="BodyText"/>
        <w:numPr>
          <w:ilvl w:val="0"/>
          <w:numId w:val="38"/>
        </w:numPr>
      </w:pPr>
      <w:r>
        <w:t>Core Skills</w:t>
      </w:r>
      <w:r w:rsidRPr="00465805">
        <w:t xml:space="preserve"> stream: for occupations on the </w:t>
      </w:r>
      <w:r>
        <w:t>Core Skills</w:t>
      </w:r>
      <w:r w:rsidRPr="00465805">
        <w:t xml:space="preserve"> </w:t>
      </w:r>
      <w:r>
        <w:t>O</w:t>
      </w:r>
      <w:r w:rsidRPr="00465805">
        <w:t xml:space="preserve">ccupation </w:t>
      </w:r>
      <w:r>
        <w:t>L</w:t>
      </w:r>
      <w:r w:rsidRPr="00465805">
        <w:t>ist</w:t>
      </w:r>
      <w:r>
        <w:t xml:space="preserve"> (CSOL), paid </w:t>
      </w:r>
      <w:r w:rsidRPr="001513C3">
        <w:t>no less than the Core Skills Income Threshold (CSIT)</w:t>
      </w:r>
      <w:r w:rsidRPr="00465805">
        <w:t xml:space="preserve">. </w:t>
      </w:r>
    </w:p>
    <w:p w14:paraId="0B233EF8" w14:textId="69B2C03C" w:rsidR="00737C0D" w:rsidRPr="00465805" w:rsidRDefault="00737C0D" w:rsidP="00737C0D">
      <w:pPr>
        <w:pStyle w:val="BodyText"/>
        <w:numPr>
          <w:ilvl w:val="0"/>
          <w:numId w:val="38"/>
        </w:numPr>
      </w:pPr>
      <w:r>
        <w:t>Specialist Skills</w:t>
      </w:r>
      <w:r w:rsidRPr="00465805">
        <w:t xml:space="preserve"> stream: for occupations </w:t>
      </w:r>
      <w:r>
        <w:t xml:space="preserve">listed in the </w:t>
      </w:r>
      <w:hyperlink r:id="rId62" w:history="1">
        <w:r w:rsidRPr="00BF5433">
          <w:rPr>
            <w:rStyle w:val="Hyperlink"/>
          </w:rPr>
          <w:t>Australian and New Zealand Standard Classification of Occupations (ANZSCO)</w:t>
        </w:r>
      </w:hyperlink>
      <w:r w:rsidRPr="00BF5433">
        <w:t> Major Groups 1,2,4,5 or 6 with a salary that meets the </w:t>
      </w:r>
      <w:hyperlink r:id="rId63" w:history="1">
        <w:r w:rsidRPr="00BF5433">
          <w:rPr>
            <w:rStyle w:val="Hyperlink"/>
          </w:rPr>
          <w:t>Specialist Skills Income Threshold</w:t>
        </w:r>
      </w:hyperlink>
      <w:r w:rsidRPr="00BF5433">
        <w:t>.</w:t>
      </w:r>
      <w:r w:rsidRPr="00465805">
        <w:t xml:space="preserve"> </w:t>
      </w:r>
    </w:p>
    <w:p w14:paraId="6AC44F96" w14:textId="5A9D9039" w:rsidR="00737C0D" w:rsidRDefault="00737C0D" w:rsidP="00737C0D">
      <w:pPr>
        <w:pStyle w:val="BodyText"/>
        <w:numPr>
          <w:ilvl w:val="0"/>
          <w:numId w:val="38"/>
        </w:numPr>
      </w:pPr>
      <w:r w:rsidRPr="00465805">
        <w:t xml:space="preserve">Labour Agreement stream: for employers and workers who do not meet standard visa rules. </w:t>
      </w:r>
    </w:p>
    <w:p w14:paraId="729F1548" w14:textId="77777777" w:rsidR="00A8464C" w:rsidRPr="009D244F" w:rsidRDefault="00A8464C" w:rsidP="00A8464C">
      <w:pPr>
        <w:pStyle w:val="Heading5"/>
      </w:pPr>
      <w:r w:rsidRPr="009D244F">
        <w:lastRenderedPageBreak/>
        <w:t xml:space="preserve">Working Holiday Maker </w:t>
      </w:r>
      <w:r w:rsidRPr="001338FA">
        <w:t>(WHM) program</w:t>
      </w:r>
    </w:p>
    <w:p w14:paraId="5C005926" w14:textId="77777777" w:rsidR="00A8464C" w:rsidRDefault="00A8464C" w:rsidP="00A8464C">
      <w:r w:rsidRPr="00C2148F">
        <w:t xml:space="preserve">The </w:t>
      </w:r>
      <w:r>
        <w:t xml:space="preserve">WHM </w:t>
      </w:r>
      <w:r w:rsidRPr="00C2148F">
        <w:t>program was created to provide opportunities for young people to stay in Australia for up to 12 months and undertake short-term work or study to supplement their holiday experience.</w:t>
      </w:r>
      <w:r>
        <w:t xml:space="preserve"> </w:t>
      </w:r>
      <w:r w:rsidRPr="00C2148F">
        <w:t xml:space="preserve">WHMs are permitted to do any kind of work while in Australia and may work for the full duration of their 12-month visa. However, they are typically limited to no more than 6 months of work for the same employer </w:t>
      </w:r>
      <w:r>
        <w:t>(</w:t>
      </w:r>
      <w:r w:rsidRPr="00C2148F">
        <w:t>by visa condition 8547</w:t>
      </w:r>
      <w:r>
        <w:t>)</w:t>
      </w:r>
      <w:r w:rsidRPr="00C2148F">
        <w:t>. Some exemptions currently apply to this condition, including but not limited to exemptions for work in different locations for the same employer and in critical sectors, including agriculture, food processing, health, aged and disability care and childcare, tourism and hospitality, anywhere in Australia</w:t>
      </w:r>
      <w:r>
        <w:t>.</w:t>
      </w:r>
    </w:p>
    <w:p w14:paraId="263C6999" w14:textId="6148813C" w:rsidR="00737C0D" w:rsidRDefault="00737C0D" w:rsidP="00A8464C">
      <w:r>
        <w:t xml:space="preserve">WHMs can become eligible for a second or third visa by completing a prescribed minimum period of ‘specified work’. Approved industries and areas for specified work are strongly weighted towards regional Australia. </w:t>
      </w:r>
    </w:p>
    <w:p w14:paraId="1468F986" w14:textId="77777777" w:rsidR="00A8464C" w:rsidRPr="009D244F" w:rsidRDefault="00A8464C" w:rsidP="00A8464C">
      <w:pPr>
        <w:pStyle w:val="Heading5"/>
      </w:pPr>
      <w:r w:rsidRPr="009D244F">
        <w:t xml:space="preserve">Permanent migration </w:t>
      </w:r>
    </w:p>
    <w:p w14:paraId="1A3940AE" w14:textId="77777777" w:rsidR="00A8464C" w:rsidRDefault="00A8464C" w:rsidP="00A8464C">
      <w:r w:rsidRPr="00C2148F">
        <w:t xml:space="preserve">The vast majority of Australia’s permanent migration program is comprised of the Skilled and Family streams. The objectives of the permanent migration program include: </w:t>
      </w:r>
    </w:p>
    <w:p w14:paraId="21731321" w14:textId="78E8EC03" w:rsidR="00A8464C" w:rsidRDefault="00A8464C" w:rsidP="00D16B99">
      <w:pPr>
        <w:pStyle w:val="BodyText"/>
        <w:numPr>
          <w:ilvl w:val="0"/>
          <w:numId w:val="38"/>
        </w:numPr>
      </w:pPr>
      <w:r w:rsidRPr="00C2148F">
        <w:t xml:space="preserve">delivering economic benefits and supporting productivity growth by Australia’s ageing population, improving labour force participation, and helping businesses to source skills that are difficult to develop at short notice </w:t>
      </w:r>
    </w:p>
    <w:p w14:paraId="56B18A24" w14:textId="6849950F" w:rsidR="00A8464C" w:rsidRDefault="00A8464C" w:rsidP="00D16B99">
      <w:pPr>
        <w:pStyle w:val="BodyText"/>
        <w:numPr>
          <w:ilvl w:val="0"/>
          <w:numId w:val="38"/>
        </w:numPr>
      </w:pPr>
      <w:r w:rsidRPr="00C2148F">
        <w:t xml:space="preserve">delivering social benefits through family reunification that strengthens social bonds by ensuring the unity of loved ones and promoting a sense of belonging and support amongst our multicultural communities, and </w:t>
      </w:r>
    </w:p>
    <w:p w14:paraId="740D66E9" w14:textId="0F867E3C" w:rsidR="00A8464C" w:rsidRDefault="00A8464C" w:rsidP="00D16B99">
      <w:pPr>
        <w:pStyle w:val="BodyText"/>
        <w:numPr>
          <w:ilvl w:val="0"/>
          <w:numId w:val="38"/>
        </w:numPr>
      </w:pPr>
      <w:r w:rsidRPr="00C2148F">
        <w:t>supporting population planning, enabling Australia to plan for population growth and address specific demographic challenges.</w:t>
      </w:r>
    </w:p>
    <w:p w14:paraId="4131DEB2" w14:textId="77777777" w:rsidR="00A8464C" w:rsidRPr="009D244F" w:rsidRDefault="00A8464C" w:rsidP="00A8464C">
      <w:pPr>
        <w:pStyle w:val="Heading5"/>
      </w:pPr>
      <w:r w:rsidRPr="009D244F">
        <w:t>Humanitarian program</w:t>
      </w:r>
    </w:p>
    <w:p w14:paraId="31393BCA" w14:textId="343009AD" w:rsidR="00A8464C" w:rsidRDefault="00A8464C" w:rsidP="00A8464C">
      <w:r w:rsidRPr="00C2148F">
        <w:t>Australia’s humanitarian program provides resettlement for those displaced as a result of persecution, conflict and human rights violations. Like other permanent migrants, humanitarian entrants make significant contributions to Australian society and its labour force</w:t>
      </w:r>
      <w:r>
        <w:t>.</w:t>
      </w:r>
      <w:r w:rsidR="00737C0D" w:rsidRPr="00737C0D">
        <w:t xml:space="preserve"> </w:t>
      </w:r>
      <w:r w:rsidR="00737C0D" w:rsidRPr="0033258B">
        <w:t>The Australian Government settles humanitarian entrants in 21 regional locations across Australia, outside of Sydney, Melbourne and Brisbane.</w:t>
      </w:r>
    </w:p>
    <w:p w14:paraId="7BB78826" w14:textId="77777777" w:rsidR="00A8464C" w:rsidRPr="009D244F" w:rsidRDefault="00A8464C" w:rsidP="00A8464C">
      <w:pPr>
        <w:pStyle w:val="Heading5"/>
      </w:pPr>
      <w:r w:rsidRPr="009D244F">
        <w:t>PALM</w:t>
      </w:r>
    </w:p>
    <w:p w14:paraId="4AEF1CDB" w14:textId="77777777" w:rsidR="00A8464C" w:rsidRDefault="00A8464C" w:rsidP="00A8464C">
      <w:r w:rsidRPr="00C2148F">
        <w:t>The PALM scheme allows eligible Australian businesses to hire workers from nine Pacific countries and Timor-Leste when there are not enough local workers available. Eligible businesses can recruit workers for short-term placements of up to 9 months or long-term placements of one to 4 years in unskilled, low-skilled and semi-skilled positions. The PALM scheme helps to fill labour gaps nationally for Agriculture and select agriculture</w:t>
      </w:r>
      <w:r>
        <w:t>-</w:t>
      </w:r>
      <w:r w:rsidRPr="00C2148F">
        <w:t xml:space="preserve">related Food Product Manufacturing sectors and in </w:t>
      </w:r>
      <w:r>
        <w:t>R</w:t>
      </w:r>
      <w:r w:rsidRPr="00C2148F">
        <w:t xml:space="preserve">egional Australia for other sectors. It also allows Pacific and Timor-Leste workers to work in Australia, develop their skills and send income home. </w:t>
      </w:r>
    </w:p>
    <w:p w14:paraId="5232CB8F" w14:textId="77777777" w:rsidR="00A8464C" w:rsidRDefault="00A8464C" w:rsidP="00A8464C">
      <w:pPr>
        <w:pStyle w:val="Heading5"/>
      </w:pPr>
      <w:r>
        <w:t>The role of internal migration</w:t>
      </w:r>
    </w:p>
    <w:p w14:paraId="01B80A2A" w14:textId="77777777" w:rsidR="00A8464C" w:rsidRDefault="00A8464C" w:rsidP="00A8464C">
      <w:pPr>
        <w:pStyle w:val="BodyText"/>
      </w:pPr>
      <w:r w:rsidRPr="005754C5">
        <w:t xml:space="preserve">Patterns of migration between Australia’s cities and regions are an important consideration in assessing the regional jobs and skills system. Analysis by the Regional Australia Institute indicates that in recent decades more people have been moving from Australia’s capital cities to regions than the opposite direction. Recent developments, particularly the onset of </w:t>
      </w:r>
      <w:r w:rsidRPr="005754C5">
        <w:lastRenderedPageBreak/>
        <w:t xml:space="preserve">COVID-19, have brought an increased focus to patterns of migration between Australia’s cities and regions. </w:t>
      </w:r>
    </w:p>
    <w:p w14:paraId="0C6A9F3D" w14:textId="77777777" w:rsidR="00A8464C" w:rsidRPr="005754C5" w:rsidRDefault="00A8464C" w:rsidP="00A8464C">
      <w:pPr>
        <w:pStyle w:val="BodyText"/>
      </w:pPr>
      <w:r w:rsidRPr="005754C5">
        <w:t xml:space="preserve">With this in mind, </w:t>
      </w:r>
      <w:r>
        <w:t xml:space="preserve">recent results from the RAI Regional Movers Index </w:t>
      </w:r>
      <w:r w:rsidRPr="005754C5">
        <w:t>indicate that while movements from capital cities to Regional Australia appear to have peaked and may be trending down, they nevertheless remain well above the pre-COVID average. In December 2024</w:t>
      </w:r>
      <w:r>
        <w:t>,</w:t>
      </w:r>
      <w:r w:rsidRPr="005754C5">
        <w:t xml:space="preserve"> relocations from Capital Cities to Regional Australia (11.4</w:t>
      </w:r>
      <w:r>
        <w:t>%</w:t>
      </w:r>
      <w:r w:rsidRPr="005754C5">
        <w:t>) also remained well above movements in the opposite direction, from Regional Australia to Capital Cities (8.6</w:t>
      </w:r>
      <w:r>
        <w:t>%</w:t>
      </w:r>
      <w:r w:rsidRPr="005754C5">
        <w:t>).</w:t>
      </w:r>
    </w:p>
    <w:p w14:paraId="716BA08E" w14:textId="77777777" w:rsidR="00A8464C" w:rsidRDefault="00A8464C" w:rsidP="00A8464C">
      <w:pPr>
        <w:pStyle w:val="BodyText"/>
      </w:pPr>
      <w:r w:rsidRPr="005754C5">
        <w:t xml:space="preserve">Analysis of data from the Australian Census Longitudinal Dataset (ACLD) can also provide further insights into the </w:t>
      </w:r>
      <w:r>
        <w:t>skill level</w:t>
      </w:r>
      <w:r w:rsidRPr="005754C5">
        <w:t xml:space="preserve"> of those who move to the regions, albeit on a less frequent and timely basis. JSA has undertaken analysis that compares the occupation</w:t>
      </w:r>
      <w:r>
        <w:t>al skill level</w:t>
      </w:r>
      <w:r w:rsidRPr="005754C5">
        <w:t xml:space="preserve"> of prime age workers (25 to 54 years) </w:t>
      </w:r>
      <w:r>
        <w:t>working in Regional Australia for those that were living in a Major City 5 years ago (‘movers’), compared to those who were living in Regional Australia 5 years ago (‘stayers’).</w:t>
      </w:r>
    </w:p>
    <w:p w14:paraId="48FB5DAA" w14:textId="77777777" w:rsidR="00A8464C" w:rsidRDefault="00A8464C" w:rsidP="00A8464C">
      <w:pPr>
        <w:pStyle w:val="BodyText"/>
      </w:pPr>
      <w:r>
        <w:t xml:space="preserve">The results show a marked difference in the proportion of high skilled workers among those who moved from a Major City to Regional Australia as compared with those who stayed in Regional Australia. For instance, 37.8% of prime age persons who moved from a Major City 5 years ago were working in an occupation that is commensurate with a Bachelor Degree or higher (Skill Level 1) in Regional Australia in 2021, up from 27.7% recorded over the period from 2011 to 2016. By contrast, just 28.8% of prime age persons who were living in Regional Australia 5 years ago were working in a high skilled job (Skill Level 1) in Regional Australia in 2021, up slightly from the 28.5% recorded over the period from 2011 to 2016. </w:t>
      </w:r>
    </w:p>
    <w:p w14:paraId="6E4517A6" w14:textId="77777777" w:rsidR="00A8464C" w:rsidRDefault="00A8464C" w:rsidP="00A8464C">
      <w:pPr>
        <w:pStyle w:val="BodyText"/>
      </w:pPr>
      <w:r>
        <w:t xml:space="preserve">It should be noted, however, that although a higher proportion of ‘recent movers’ are employed in high skilled occupations when compared to those who stay in Regional Australia, more than half of all recent movers are employed in jobs where VET qualifications are the primary pathway (Skill Levels 2 to 4). This is a potentially encouraging sign for Regional Australia as over the 10 years to May 2033, JSA projects that more than 9 out of 10 new jobs expected to be created will require post-secondary qualifications (Skill Levels 1 to 4), with around 44% of such jobs are expected to have VET as the primary pathway. </w:t>
      </w:r>
    </w:p>
    <w:p w14:paraId="6BA933C9" w14:textId="44FE38AA" w:rsidR="00A8464C" w:rsidRPr="00B9679F" w:rsidRDefault="00F46DB1" w:rsidP="00006516">
      <w:pPr>
        <w:pStyle w:val="Caption"/>
        <w:spacing w:after="0"/>
        <w:rPr>
          <w:rFonts w:cs="Arial"/>
          <w:b w:val="0"/>
        </w:rPr>
      </w:pPr>
      <w:bookmarkStart w:id="135" w:name="_Toc201916600"/>
      <w:r>
        <w:t xml:space="preserve">Figure </w:t>
      </w:r>
      <w:r>
        <w:fldChar w:fldCharType="begin"/>
      </w:r>
      <w:r>
        <w:instrText xml:space="preserve"> SEQ Figure \* ARABIC </w:instrText>
      </w:r>
      <w:r>
        <w:fldChar w:fldCharType="separate"/>
      </w:r>
      <w:r w:rsidR="00471863">
        <w:rPr>
          <w:noProof/>
        </w:rPr>
        <w:t>34</w:t>
      </w:r>
      <w:r>
        <w:fldChar w:fldCharType="end"/>
      </w:r>
      <w:r w:rsidR="00A8464C">
        <w:t xml:space="preserve">: </w:t>
      </w:r>
      <w:r w:rsidR="00A8464C" w:rsidRPr="008B2AA4">
        <w:t>Proportion of prime-age (25-54 yrs old) employment by occupation and whether the person moved from a Major City to Regional Australia or remained in Regional Australia, 2016 to 2021</w:t>
      </w:r>
      <w:bookmarkEnd w:id="135"/>
      <w:r w:rsidR="00A8464C">
        <w:t xml:space="preserve"> </w:t>
      </w:r>
    </w:p>
    <w:p w14:paraId="5534A938" w14:textId="75BF54D3" w:rsidR="00A8464C" w:rsidRPr="00CB0C7A" w:rsidRDefault="000F4274" w:rsidP="00A8464C">
      <w:pPr>
        <w:rPr>
          <w:rFonts w:cs="Arial"/>
        </w:rPr>
      </w:pPr>
      <w:r>
        <w:rPr>
          <w:rFonts w:cs="Arial"/>
          <w:noProof/>
        </w:rPr>
        <w:drawing>
          <wp:inline distT="0" distB="0" distL="0" distR="0" wp14:anchorId="74E12E08" wp14:editId="04D883CF">
            <wp:extent cx="5730875" cy="2566670"/>
            <wp:effectExtent l="0" t="0" r="3175" b="5080"/>
            <wp:docPr id="607754345" name="Picture 48" descr="A column chart that shows the Proportion of prime-age (25-54 yrs old) employment by occupation and whether the person moved from a Major City to Regional Australia or remained in Regional Australia, 2016 to 2021. The results show that a higher proportion of 'recent movers' (persons who moved from a Major City in 2016 to Regional Australia in 2021) were employed in high skilled occupations when compares to those who stayed in Regional Australia over the sam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754345" name="Picture 48" descr="A column chart that shows the Proportion of prime-age (25-54 yrs old) employment by occupation and whether the person moved from a Major City to Regional Australia or remained in Regional Australia, 2016 to 2021. The results show that a higher proportion of 'recent movers' (persons who moved from a Major City in 2016 to Regional Australia in 2021) were employed in high skilled occupations when compares to those who stayed in Regional Australia over the same period. "/>
                    <pic:cNvPicPr>
                      <a:picLocks noChangeAspect="1" noChangeArrowheads="1"/>
                    </pic:cNvPicPr>
                  </pic:nvPicPr>
                  <pic:blipFill>
                    <a:blip r:embed="rId64" cstate="email">
                      <a:extLst>
                        <a:ext uri="{28A0092B-C50C-407E-A947-70E740481C1C}">
                          <a14:useLocalDpi xmlns:a14="http://schemas.microsoft.com/office/drawing/2010/main" val="0"/>
                        </a:ext>
                      </a:extLst>
                    </a:blip>
                    <a:srcRect/>
                    <a:stretch>
                      <a:fillRect/>
                    </a:stretch>
                  </pic:blipFill>
                  <pic:spPr bwMode="auto">
                    <a:xfrm>
                      <a:off x="0" y="0"/>
                      <a:ext cx="5730875" cy="2566670"/>
                    </a:xfrm>
                    <a:prstGeom prst="rect">
                      <a:avLst/>
                    </a:prstGeom>
                    <a:noFill/>
                  </pic:spPr>
                </pic:pic>
              </a:graphicData>
            </a:graphic>
          </wp:inline>
        </w:drawing>
      </w:r>
    </w:p>
    <w:p w14:paraId="604CA547" w14:textId="77777777" w:rsidR="00A8464C" w:rsidRDefault="00A8464C" w:rsidP="00A8464C">
      <w:pPr>
        <w:spacing w:after="240" w:line="259" w:lineRule="auto"/>
        <w:rPr>
          <w:rFonts w:cs="Arial"/>
          <w:i/>
          <w:sz w:val="18"/>
          <w:szCs w:val="18"/>
        </w:rPr>
      </w:pPr>
      <w:r w:rsidRPr="007D1860">
        <w:rPr>
          <w:rFonts w:cs="Arial"/>
          <w:i/>
          <w:sz w:val="18"/>
          <w:szCs w:val="18"/>
        </w:rPr>
        <w:t xml:space="preserve">Source: ABS Australian Census Longitudinal Dataset, 2006-2011-2016-2021. Measured as </w:t>
      </w:r>
      <w:r>
        <w:rPr>
          <w:rFonts w:cs="Arial"/>
          <w:i/>
          <w:sz w:val="18"/>
          <w:szCs w:val="18"/>
        </w:rPr>
        <w:t xml:space="preserve">the </w:t>
      </w:r>
      <w:r w:rsidRPr="007D1860">
        <w:rPr>
          <w:rFonts w:cs="Arial"/>
          <w:i/>
          <w:sz w:val="18"/>
          <w:szCs w:val="18"/>
        </w:rPr>
        <w:t xml:space="preserve">proportion of </w:t>
      </w:r>
      <w:r>
        <w:rPr>
          <w:rFonts w:cs="Arial"/>
          <w:i/>
          <w:sz w:val="18"/>
          <w:szCs w:val="18"/>
        </w:rPr>
        <w:t>persons (aged 25-54 years) employed in Regional Australia in 2021</w:t>
      </w:r>
    </w:p>
    <w:tbl>
      <w:tblPr>
        <w:tblStyle w:val="CustomTablepulloutbox"/>
        <w:tblW w:w="0" w:type="auto"/>
        <w:tblLook w:val="04A0" w:firstRow="1" w:lastRow="0" w:firstColumn="1" w:lastColumn="0" w:noHBand="0" w:noVBand="1"/>
      </w:tblPr>
      <w:tblGrid>
        <w:gridCol w:w="8997"/>
      </w:tblGrid>
      <w:tr w:rsidR="00A8464C" w14:paraId="5EC4C5DF" w14:textId="77777777">
        <w:tc>
          <w:tcPr>
            <w:tcW w:w="9017" w:type="dxa"/>
          </w:tcPr>
          <w:p w14:paraId="776D901F" w14:textId="4649BB5F" w:rsidR="00A8464C" w:rsidRPr="001177DF" w:rsidRDefault="00A8464C">
            <w:pPr>
              <w:pStyle w:val="BoxHeading"/>
            </w:pPr>
            <w:r w:rsidRPr="001177DF">
              <w:lastRenderedPageBreak/>
              <w:t xml:space="preserve">Box: The Australian Government’s </w:t>
            </w:r>
            <w:r w:rsidR="008829BB">
              <w:t>R</w:t>
            </w:r>
            <w:r w:rsidRPr="001177DF">
              <w:t>egional Migration Strategy</w:t>
            </w:r>
          </w:p>
          <w:p w14:paraId="413EF4B7" w14:textId="77777777" w:rsidR="00A8464C" w:rsidRPr="001177DF" w:rsidRDefault="00A8464C">
            <w:pPr>
              <w:pStyle w:val="BodyText"/>
              <w:rPr>
                <w:sz w:val="22"/>
                <w:szCs w:val="22"/>
              </w:rPr>
            </w:pPr>
            <w:r w:rsidRPr="001177DF">
              <w:rPr>
                <w:sz w:val="22"/>
                <w:szCs w:val="22"/>
              </w:rPr>
              <w:t xml:space="preserve">Migration is central to Australia’s national story. The migration system plays a key role in supporting regional Australia to prosper through the injection of culture, skills, innovation and economic benefits that migration brings. </w:t>
            </w:r>
          </w:p>
          <w:p w14:paraId="1CFB0549" w14:textId="77777777" w:rsidR="00737C0D" w:rsidRPr="001177DF" w:rsidRDefault="00737C0D" w:rsidP="00737C0D">
            <w:pPr>
              <w:pStyle w:val="BodyText"/>
              <w:rPr>
                <w:sz w:val="22"/>
                <w:szCs w:val="22"/>
              </w:rPr>
            </w:pPr>
            <w:r w:rsidRPr="001177DF">
              <w:rPr>
                <w:sz w:val="22"/>
                <w:szCs w:val="22"/>
              </w:rPr>
              <w:t>Regional Australia faces a number of challenges, including population decline in some areas, an ageing workforce, pronounced labour shortages and environmental pressures. Ensuring migration settings work for regional Australia will be critical in supporting strong and sustainable regions and the broader Australian economy.</w:t>
            </w:r>
          </w:p>
          <w:p w14:paraId="650670A6" w14:textId="77777777" w:rsidR="00737C0D" w:rsidRPr="001177DF" w:rsidRDefault="00737C0D" w:rsidP="00737C0D">
            <w:pPr>
              <w:pStyle w:val="BodyText"/>
              <w:rPr>
                <w:sz w:val="22"/>
                <w:szCs w:val="22"/>
              </w:rPr>
            </w:pPr>
            <w:r w:rsidRPr="001177DF">
              <w:rPr>
                <w:sz w:val="22"/>
                <w:szCs w:val="22"/>
              </w:rPr>
              <w:t xml:space="preserve">The Australian Government’s </w:t>
            </w:r>
            <w:hyperlink r:id="rId65" w:history="1">
              <w:r w:rsidRPr="001177DF">
                <w:rPr>
                  <w:rStyle w:val="Hyperlink"/>
                  <w:sz w:val="22"/>
                  <w:szCs w:val="22"/>
                </w:rPr>
                <w:t>Migration Strategy</w:t>
              </w:r>
            </w:hyperlink>
            <w:r w:rsidRPr="001177DF">
              <w:rPr>
                <w:sz w:val="22"/>
                <w:szCs w:val="22"/>
              </w:rPr>
              <w:t xml:space="preserve"> was released on 11 December 2023 and outline</w:t>
            </w:r>
            <w:r>
              <w:rPr>
                <w:sz w:val="22"/>
                <w:szCs w:val="22"/>
              </w:rPr>
              <w:t>d</w:t>
            </w:r>
            <w:r w:rsidRPr="001177DF">
              <w:rPr>
                <w:sz w:val="22"/>
                <w:szCs w:val="22"/>
              </w:rPr>
              <w:t xml:space="preserve"> a new vision for Australia’s migration system, with a policy roadmap containing eight key actions and over 25 new policy commitments and areas for future reform, including for regional Australia. </w:t>
            </w:r>
          </w:p>
          <w:p w14:paraId="431C73CF" w14:textId="77777777" w:rsidR="00737C0D" w:rsidRPr="001177DF" w:rsidRDefault="00737C0D" w:rsidP="00737C0D">
            <w:pPr>
              <w:pStyle w:val="BodyText"/>
              <w:rPr>
                <w:sz w:val="22"/>
                <w:szCs w:val="22"/>
              </w:rPr>
            </w:pPr>
            <w:r>
              <w:rPr>
                <w:sz w:val="22"/>
                <w:szCs w:val="22"/>
              </w:rPr>
              <w:t>T</w:t>
            </w:r>
            <w:r w:rsidRPr="001177DF">
              <w:rPr>
                <w:sz w:val="22"/>
                <w:szCs w:val="22"/>
              </w:rPr>
              <w:t xml:space="preserve">he Australian Government released the discussion paper, </w:t>
            </w:r>
            <w:hyperlink r:id="rId66" w:history="1">
              <w:r w:rsidRPr="001177DF">
                <w:rPr>
                  <w:rStyle w:val="Hyperlink"/>
                  <w:sz w:val="22"/>
                  <w:szCs w:val="22"/>
                </w:rPr>
                <w:t>Supporting Strong and Sustainable Regions – Review of Regional Migration Settings</w:t>
              </w:r>
            </w:hyperlink>
            <w:r w:rsidRPr="001177DF">
              <w:rPr>
                <w:sz w:val="22"/>
                <w:szCs w:val="22"/>
              </w:rPr>
              <w:t xml:space="preserve"> (June 2024) that raises key issues for regional Australia identified by the Migration Strategy and previous reviews. These include:</w:t>
            </w:r>
          </w:p>
          <w:p w14:paraId="3593AE6E" w14:textId="77777777" w:rsidR="00737C0D" w:rsidRPr="001177DF" w:rsidRDefault="00737C0D" w:rsidP="00737C0D">
            <w:pPr>
              <w:pStyle w:val="ListBullet"/>
              <w:numPr>
                <w:ilvl w:val="0"/>
                <w:numId w:val="22"/>
              </w:numPr>
              <w:spacing w:before="120" w:line="276" w:lineRule="auto"/>
              <w:rPr>
                <w:sz w:val="22"/>
                <w:szCs w:val="22"/>
              </w:rPr>
            </w:pPr>
            <w:r w:rsidRPr="001177DF">
              <w:rPr>
                <w:sz w:val="22"/>
                <w:szCs w:val="22"/>
              </w:rPr>
              <w:t xml:space="preserve">Raising living standards through supporting the unique skills needs of the regions. </w:t>
            </w:r>
          </w:p>
          <w:p w14:paraId="7D9790D1" w14:textId="77777777" w:rsidR="00737C0D" w:rsidRPr="001177DF" w:rsidRDefault="00737C0D" w:rsidP="00737C0D">
            <w:pPr>
              <w:pStyle w:val="ListBullet"/>
              <w:numPr>
                <w:ilvl w:val="0"/>
                <w:numId w:val="22"/>
              </w:numPr>
              <w:spacing w:before="120" w:line="276" w:lineRule="auto"/>
              <w:rPr>
                <w:sz w:val="22"/>
                <w:szCs w:val="22"/>
              </w:rPr>
            </w:pPr>
            <w:r w:rsidRPr="001177DF">
              <w:rPr>
                <w:sz w:val="22"/>
                <w:szCs w:val="22"/>
              </w:rPr>
              <w:t xml:space="preserve">Ensuring a fair go in the workplace by making sure that visa settings do not contribute to migrant worker exploitation and support the wages and conditions of regional workers. </w:t>
            </w:r>
          </w:p>
          <w:p w14:paraId="3A9BA07B" w14:textId="77777777" w:rsidR="00737C0D" w:rsidRPr="001177DF" w:rsidRDefault="00737C0D" w:rsidP="00737C0D">
            <w:pPr>
              <w:pStyle w:val="ListBullet"/>
              <w:numPr>
                <w:ilvl w:val="0"/>
                <w:numId w:val="22"/>
              </w:numPr>
              <w:spacing w:before="120" w:line="276" w:lineRule="auto"/>
              <w:rPr>
                <w:sz w:val="22"/>
                <w:szCs w:val="22"/>
              </w:rPr>
            </w:pPr>
            <w:r w:rsidRPr="001177DF">
              <w:rPr>
                <w:sz w:val="22"/>
                <w:szCs w:val="22"/>
              </w:rPr>
              <w:t xml:space="preserve">Building stronger communities by planning for regional migration and giving all communities the opportunity to benefit from migration. </w:t>
            </w:r>
          </w:p>
          <w:p w14:paraId="7F686094" w14:textId="77777777" w:rsidR="00737C0D" w:rsidRPr="001177DF" w:rsidRDefault="00737C0D" w:rsidP="00737C0D">
            <w:pPr>
              <w:pStyle w:val="ListBullet"/>
              <w:numPr>
                <w:ilvl w:val="0"/>
                <w:numId w:val="22"/>
              </w:numPr>
              <w:spacing w:before="120" w:line="276" w:lineRule="auto"/>
              <w:rPr>
                <w:sz w:val="22"/>
                <w:szCs w:val="22"/>
              </w:rPr>
            </w:pPr>
            <w:r w:rsidRPr="001177DF">
              <w:rPr>
                <w:sz w:val="22"/>
                <w:szCs w:val="22"/>
              </w:rPr>
              <w:t xml:space="preserve">Strengthening Australia’s international relationships by using regional migration settings to support stronger international relationships and connect Australia’s regions with our international partners. </w:t>
            </w:r>
          </w:p>
          <w:p w14:paraId="624DFC0F" w14:textId="77777777" w:rsidR="00737C0D" w:rsidRPr="001177DF" w:rsidRDefault="00737C0D" w:rsidP="00737C0D">
            <w:pPr>
              <w:pStyle w:val="ListBullet"/>
              <w:numPr>
                <w:ilvl w:val="0"/>
                <w:numId w:val="22"/>
              </w:numPr>
              <w:spacing w:before="120" w:line="276" w:lineRule="auto"/>
              <w:rPr>
                <w:sz w:val="22"/>
                <w:szCs w:val="22"/>
              </w:rPr>
            </w:pPr>
            <w:r w:rsidRPr="001177DF">
              <w:rPr>
                <w:sz w:val="22"/>
                <w:szCs w:val="22"/>
              </w:rPr>
              <w:t xml:space="preserve">Making the system work by providing tailored approached to migration without being overly complex. </w:t>
            </w:r>
          </w:p>
          <w:p w14:paraId="64CBB3AC" w14:textId="77777777" w:rsidR="00737C0D" w:rsidRDefault="00737C0D" w:rsidP="00737C0D">
            <w:pPr>
              <w:pStyle w:val="ListBullet"/>
              <w:numPr>
                <w:ilvl w:val="0"/>
                <w:numId w:val="0"/>
              </w:numPr>
              <w:spacing w:before="120" w:line="276" w:lineRule="auto"/>
              <w:rPr>
                <w:sz w:val="22"/>
                <w:szCs w:val="22"/>
              </w:rPr>
            </w:pPr>
            <w:r>
              <w:rPr>
                <w:sz w:val="22"/>
                <w:szCs w:val="22"/>
              </w:rPr>
              <w:t>The information, feedback and suggestions gathered from the consultation will be used to inform development and implementation of future policy options.</w:t>
            </w:r>
          </w:p>
          <w:p w14:paraId="4F006F90" w14:textId="75B8C0B9" w:rsidR="00A8464C" w:rsidRPr="001B6428" w:rsidRDefault="00737C0D" w:rsidP="00737C0D">
            <w:pPr>
              <w:pStyle w:val="ListBullet"/>
              <w:numPr>
                <w:ilvl w:val="0"/>
                <w:numId w:val="0"/>
              </w:numPr>
              <w:spacing w:before="120" w:line="276" w:lineRule="auto"/>
            </w:pPr>
            <w:r w:rsidRPr="001B6428">
              <w:t xml:space="preserve">Note: The definition of Regional for migration purposes </w:t>
            </w:r>
            <w:r>
              <w:t>differs</w:t>
            </w:r>
            <w:r w:rsidRPr="001B6428">
              <w:t xml:space="preserve"> to the definition of Regional for this Roadmap. For more information on definitions of regional for migrations settings please refer to </w:t>
            </w:r>
            <w:hyperlink r:id="rId67" w:history="1">
              <w:r w:rsidRPr="001B6428">
                <w:rPr>
                  <w:rStyle w:val="Hyperlink"/>
                </w:rPr>
                <w:t>Supporting Strong and Sustainable Regions – Review of Regional Migration Settings</w:t>
              </w:r>
            </w:hyperlink>
          </w:p>
        </w:tc>
      </w:tr>
    </w:tbl>
    <w:p w14:paraId="60A9A003" w14:textId="77777777" w:rsidR="00006516" w:rsidRDefault="00006516" w:rsidP="00993248">
      <w:pPr>
        <w:spacing w:before="120" w:after="240"/>
        <w:rPr>
          <w:b/>
          <w:color w:val="4B0885"/>
          <w:sz w:val="26"/>
          <w:szCs w:val="26"/>
        </w:rPr>
      </w:pPr>
    </w:p>
    <w:p w14:paraId="6AE05E02" w14:textId="77777777" w:rsidR="00006516" w:rsidRDefault="00006516">
      <w:pPr>
        <w:spacing w:after="160" w:line="259" w:lineRule="auto"/>
        <w:rPr>
          <w:b/>
          <w:color w:val="4B0885"/>
          <w:sz w:val="26"/>
          <w:szCs w:val="26"/>
        </w:rPr>
      </w:pPr>
      <w:r>
        <w:rPr>
          <w:b/>
          <w:color w:val="4B0885"/>
          <w:sz w:val="26"/>
          <w:szCs w:val="26"/>
        </w:rPr>
        <w:br w:type="page"/>
      </w:r>
    </w:p>
    <w:p w14:paraId="050B305E" w14:textId="666C7C10" w:rsidR="00D95E9A" w:rsidRPr="00993248" w:rsidRDefault="00D95E9A" w:rsidP="00993248">
      <w:pPr>
        <w:spacing w:before="120" w:after="240"/>
        <w:rPr>
          <w:b/>
          <w:color w:val="4B0885"/>
          <w:sz w:val="26"/>
          <w:szCs w:val="26"/>
        </w:rPr>
      </w:pPr>
      <w:r w:rsidRPr="00993248">
        <w:rPr>
          <w:b/>
          <w:color w:val="4B0885"/>
          <w:sz w:val="26"/>
          <w:szCs w:val="26"/>
        </w:rPr>
        <w:lastRenderedPageBreak/>
        <w:t>Evaluative indicators and insights</w:t>
      </w:r>
    </w:p>
    <w:p w14:paraId="2B457434" w14:textId="75443319" w:rsidR="00A74DC8" w:rsidRPr="00FD0A64" w:rsidRDefault="00D07DBE" w:rsidP="00D07DBE">
      <w:pPr>
        <w:pStyle w:val="Caption"/>
        <w:rPr>
          <w:b w:val="0"/>
        </w:rPr>
      </w:pPr>
      <w:r>
        <w:t xml:space="preserve">Table </w:t>
      </w:r>
      <w:r>
        <w:fldChar w:fldCharType="begin"/>
      </w:r>
      <w:r>
        <w:instrText xml:space="preserve"> SEQ Table \* ARABIC </w:instrText>
      </w:r>
      <w:r>
        <w:fldChar w:fldCharType="separate"/>
      </w:r>
      <w:r w:rsidR="00471863">
        <w:rPr>
          <w:noProof/>
        </w:rPr>
        <w:t>21</w:t>
      </w:r>
      <w:r>
        <w:fldChar w:fldCharType="end"/>
      </w:r>
      <w:r w:rsidR="00A74DC8" w:rsidRPr="00FD0A64">
        <w:t>:</w:t>
      </w:r>
      <w:r w:rsidR="00E47796" w:rsidRPr="00FD0A64">
        <w:t xml:space="preserve"> Metric summary table – Vision Principle 4</w:t>
      </w:r>
    </w:p>
    <w:tbl>
      <w:tblPr>
        <w:tblStyle w:val="GridTable5Dark-Accent1"/>
        <w:tblW w:w="9070" w:type="dxa"/>
        <w:tblLook w:val="04A0" w:firstRow="1" w:lastRow="0" w:firstColumn="1" w:lastColumn="0" w:noHBand="0" w:noVBand="1"/>
      </w:tblPr>
      <w:tblGrid>
        <w:gridCol w:w="6941"/>
        <w:gridCol w:w="2129"/>
      </w:tblGrid>
      <w:tr w:rsidR="00D95E9A" w:rsidRPr="00CB0C7A" w14:paraId="4255375C" w14:textId="77777777" w:rsidTr="003D205F">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6A6A6" w:themeColor="background1" w:themeShade="A6"/>
              <w:left w:val="single" w:sz="4" w:space="0" w:color="A6A6A6" w:themeColor="background1" w:themeShade="A6"/>
              <w:bottom w:val="single" w:sz="4" w:space="0" w:color="auto"/>
            </w:tcBorders>
            <w:shd w:val="clear" w:color="auto" w:fill="370663"/>
            <w:vAlign w:val="center"/>
          </w:tcPr>
          <w:p w14:paraId="7306024A" w14:textId="719971DD" w:rsidR="00D95E9A" w:rsidRPr="00E35568" w:rsidRDefault="00D95E9A">
            <w:pPr>
              <w:rPr>
                <w:rFonts w:cs="Arial"/>
              </w:rPr>
            </w:pPr>
            <w:r w:rsidRPr="00E35568">
              <w:rPr>
                <w:rFonts w:cs="Arial"/>
              </w:rPr>
              <w:t>JSA Regional Roadmap - Vision Principle 4</w:t>
            </w:r>
          </w:p>
        </w:tc>
        <w:tc>
          <w:tcPr>
            <w:tcW w:w="2129" w:type="dxa"/>
            <w:tcBorders>
              <w:top w:val="single" w:sz="4" w:space="0" w:color="A6A6A6" w:themeColor="background1" w:themeShade="A6"/>
              <w:bottom w:val="single" w:sz="4" w:space="0" w:color="auto"/>
              <w:right w:val="single" w:sz="4" w:space="0" w:color="A6A6A6" w:themeColor="background1" w:themeShade="A6"/>
            </w:tcBorders>
            <w:shd w:val="clear" w:color="auto" w:fill="370663"/>
            <w:vAlign w:val="center"/>
          </w:tcPr>
          <w:p w14:paraId="4892C9D1" w14:textId="77777777" w:rsidR="00D95E9A" w:rsidRPr="00E35568" w:rsidRDefault="00D95E9A">
            <w:pPr>
              <w:jc w:val="center"/>
              <w:cnfStyle w:val="100000000000" w:firstRow="1" w:lastRow="0" w:firstColumn="0" w:lastColumn="0" w:oddVBand="0" w:evenVBand="0" w:oddHBand="0" w:evenHBand="0" w:firstRowFirstColumn="0" w:firstRowLastColumn="0" w:lastRowFirstColumn="0" w:lastRowLastColumn="0"/>
              <w:rPr>
                <w:rFonts w:cs="Arial"/>
              </w:rPr>
            </w:pPr>
            <w:r w:rsidRPr="00E35568">
              <w:rPr>
                <w:rFonts w:cs="Arial"/>
              </w:rPr>
              <w:t>Current rating</w:t>
            </w:r>
          </w:p>
        </w:tc>
      </w:tr>
      <w:tr w:rsidR="00D95E9A" w:rsidRPr="00CB0C7A" w14:paraId="33B7E146" w14:textId="77777777" w:rsidTr="00820B9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6A6A6" w:themeColor="background1" w:themeShade="A6"/>
              <w:bottom w:val="single" w:sz="4" w:space="0" w:color="auto"/>
            </w:tcBorders>
            <w:shd w:val="clear" w:color="auto" w:fill="FFFFFF" w:themeFill="background1"/>
            <w:vAlign w:val="center"/>
          </w:tcPr>
          <w:p w14:paraId="5A39957E" w14:textId="77777777" w:rsidR="00D95E9A" w:rsidRPr="00F6640C" w:rsidRDefault="00D95E9A">
            <w:pPr>
              <w:rPr>
                <w:rFonts w:cs="Arial"/>
              </w:rPr>
            </w:pPr>
            <w:r w:rsidRPr="00F6640C">
              <w:rPr>
                <w:rFonts w:cs="Arial"/>
                <w:color w:val="000000" w:themeColor="text1"/>
              </w:rPr>
              <w:t>Overall rating for Vision Principle 4</w:t>
            </w:r>
          </w:p>
        </w:tc>
        <w:tc>
          <w:tcPr>
            <w:tcW w:w="2129" w:type="dxa"/>
            <w:tcBorders>
              <w:top w:val="single" w:sz="4" w:space="0" w:color="auto"/>
              <w:bottom w:val="single" w:sz="4" w:space="0" w:color="auto"/>
              <w:right w:val="single" w:sz="4" w:space="0" w:color="A6A6A6" w:themeColor="background1" w:themeShade="A6"/>
            </w:tcBorders>
            <w:shd w:val="clear" w:color="auto" w:fill="FFAD4C"/>
            <w:vAlign w:val="center"/>
          </w:tcPr>
          <w:p w14:paraId="6E28F124" w14:textId="443DCB67" w:rsidR="00D95E9A" w:rsidRPr="00800D1C" w:rsidRDefault="00651C31">
            <w:pPr>
              <w:jc w:val="center"/>
              <w:cnfStyle w:val="000000100000" w:firstRow="0" w:lastRow="0" w:firstColumn="0" w:lastColumn="0" w:oddVBand="0" w:evenVBand="0" w:oddHBand="1" w:evenHBand="0" w:firstRowFirstColumn="0" w:firstRowLastColumn="0" w:lastRowFirstColumn="0" w:lastRowLastColumn="0"/>
              <w:rPr>
                <w:rFonts w:cs="Arial"/>
              </w:rPr>
            </w:pPr>
            <w:r w:rsidRPr="00800D1C">
              <w:rPr>
                <w:rFonts w:eastAsia="Aptos" w:cs="Arial"/>
                <w:b/>
              </w:rPr>
              <w:t>Orange</w:t>
            </w:r>
          </w:p>
        </w:tc>
      </w:tr>
      <w:tr w:rsidR="00800D1C" w:rsidRPr="00CB0C7A" w14:paraId="6C5063C4" w14:textId="77777777" w:rsidTr="00800D1C">
        <w:trPr>
          <w:trHeight w:val="454"/>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FFFFFF" w:themeColor="background1"/>
              <w:left w:val="single" w:sz="4" w:space="0" w:color="808080"/>
              <w:bottom w:val="single" w:sz="4" w:space="0" w:color="808080"/>
              <w:right w:val="single" w:sz="4" w:space="0" w:color="370663"/>
            </w:tcBorders>
            <w:shd w:val="clear" w:color="auto" w:fill="370663"/>
            <w:vAlign w:val="center"/>
          </w:tcPr>
          <w:p w14:paraId="68E61BBA" w14:textId="6BC027C0" w:rsidR="00800D1C" w:rsidRPr="00800D1C" w:rsidRDefault="00800D1C" w:rsidP="00800D1C">
            <w:pPr>
              <w:spacing w:before="40" w:after="40" w:line="240" w:lineRule="auto"/>
              <w:rPr>
                <w:rFonts w:cs="Arial"/>
              </w:rPr>
            </w:pPr>
            <w:r w:rsidRPr="00581959">
              <w:rPr>
                <w:rFonts w:cs="Arial"/>
              </w:rPr>
              <w:t>Contributing indicators</w:t>
            </w:r>
          </w:p>
        </w:tc>
        <w:tc>
          <w:tcPr>
            <w:tcW w:w="2129" w:type="dxa"/>
            <w:tcBorders>
              <w:top w:val="single" w:sz="4" w:space="0" w:color="FFFFFF" w:themeColor="background1"/>
              <w:left w:val="single" w:sz="4" w:space="0" w:color="370663"/>
              <w:bottom w:val="single" w:sz="4" w:space="0" w:color="FFFFFF" w:themeColor="background1"/>
              <w:right w:val="single" w:sz="4" w:space="0" w:color="808080"/>
            </w:tcBorders>
            <w:shd w:val="clear" w:color="auto" w:fill="370663"/>
            <w:vAlign w:val="center"/>
          </w:tcPr>
          <w:p w14:paraId="5EC2A568" w14:textId="77777777" w:rsidR="00800D1C" w:rsidRPr="00800D1C" w:rsidRDefault="00800D1C" w:rsidP="00800D1C">
            <w:pPr>
              <w:jc w:val="center"/>
              <w:cnfStyle w:val="000000000000" w:firstRow="0" w:lastRow="0" w:firstColumn="0" w:lastColumn="0" w:oddVBand="0" w:evenVBand="0" w:oddHBand="0" w:evenHBand="0" w:firstRowFirstColumn="0" w:firstRowLastColumn="0" w:lastRowFirstColumn="0" w:lastRowLastColumn="0"/>
              <w:rPr>
                <w:rFonts w:eastAsia="Aptos" w:cs="Arial"/>
                <w:b/>
              </w:rPr>
            </w:pPr>
          </w:p>
        </w:tc>
      </w:tr>
      <w:tr w:rsidR="00D95E9A" w:rsidRPr="00CB0C7A" w14:paraId="16D6CDE7" w14:textId="77777777" w:rsidTr="00820B93">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941" w:type="dxa"/>
            <w:tcBorders>
              <w:left w:val="single" w:sz="4" w:space="0" w:color="A6A6A6" w:themeColor="background1" w:themeShade="A6"/>
              <w:bottom w:val="single" w:sz="4" w:space="0" w:color="BFBFBF"/>
            </w:tcBorders>
            <w:shd w:val="clear" w:color="auto" w:fill="F2F2F2" w:themeFill="background1" w:themeFillShade="F2"/>
            <w:vAlign w:val="center"/>
          </w:tcPr>
          <w:p w14:paraId="32BA18FB" w14:textId="77777777" w:rsidR="00D95E9A" w:rsidRPr="00830FE3" w:rsidRDefault="00D95E9A" w:rsidP="0025479A">
            <w:pPr>
              <w:pStyle w:val="ListParagraph"/>
              <w:numPr>
                <w:ilvl w:val="0"/>
                <w:numId w:val="10"/>
              </w:numPr>
              <w:spacing w:before="40" w:after="40" w:line="240" w:lineRule="auto"/>
              <w:rPr>
                <w:rFonts w:cs="Arial"/>
                <w:b w:val="0"/>
                <w:color w:val="auto"/>
              </w:rPr>
            </w:pPr>
            <w:r w:rsidRPr="00830FE3">
              <w:rPr>
                <w:rFonts w:cs="Arial"/>
                <w:b w:val="0"/>
                <w:color w:val="auto"/>
              </w:rPr>
              <w:t>Vacancy fill rate</w:t>
            </w:r>
          </w:p>
        </w:tc>
        <w:tc>
          <w:tcPr>
            <w:tcW w:w="2129" w:type="dxa"/>
            <w:tcBorders>
              <w:right w:val="single" w:sz="4" w:space="0" w:color="A6A6A6" w:themeColor="background1" w:themeShade="A6"/>
            </w:tcBorders>
            <w:shd w:val="clear" w:color="auto" w:fill="FFAD4C"/>
            <w:vAlign w:val="center"/>
          </w:tcPr>
          <w:p w14:paraId="285D1AB8" w14:textId="77777777" w:rsidR="00D95E9A" w:rsidRPr="00800D1C" w:rsidRDefault="00D95E9A">
            <w:pPr>
              <w:jc w:val="center"/>
              <w:cnfStyle w:val="000000100000" w:firstRow="0" w:lastRow="0" w:firstColumn="0" w:lastColumn="0" w:oddVBand="0" w:evenVBand="0" w:oddHBand="1" w:evenHBand="0" w:firstRowFirstColumn="0" w:firstRowLastColumn="0" w:lastRowFirstColumn="0" w:lastRowLastColumn="0"/>
              <w:rPr>
                <w:rFonts w:cs="Arial"/>
                <w:highlight w:val="yellow"/>
              </w:rPr>
            </w:pPr>
            <w:r w:rsidRPr="00800D1C">
              <w:rPr>
                <w:rFonts w:eastAsia="Aptos" w:cs="Arial"/>
                <w:b/>
              </w:rPr>
              <w:t>Orange</w:t>
            </w:r>
          </w:p>
        </w:tc>
      </w:tr>
      <w:tr w:rsidR="00462580" w:rsidRPr="00CB0C7A" w14:paraId="1A1A0C69" w14:textId="77777777" w:rsidTr="00820B93">
        <w:trPr>
          <w:trHeight w:val="680"/>
        </w:trPr>
        <w:tc>
          <w:tcPr>
            <w:cnfStyle w:val="001000000000" w:firstRow="0" w:lastRow="0" w:firstColumn="1" w:lastColumn="0" w:oddVBand="0" w:evenVBand="0" w:oddHBand="0" w:evenHBand="0" w:firstRowFirstColumn="0" w:firstRowLastColumn="0" w:lastRowFirstColumn="0" w:lastRowLastColumn="0"/>
            <w:tcW w:w="6941" w:type="dxa"/>
            <w:tcBorders>
              <w:left w:val="single" w:sz="4" w:space="0" w:color="A6A6A6" w:themeColor="background1" w:themeShade="A6"/>
              <w:bottom w:val="single" w:sz="4" w:space="0" w:color="BFBFBF"/>
            </w:tcBorders>
            <w:shd w:val="clear" w:color="auto" w:fill="FFFFFF" w:themeFill="background1"/>
            <w:vAlign w:val="center"/>
          </w:tcPr>
          <w:p w14:paraId="290F23EA" w14:textId="2E545CAE" w:rsidR="00462580" w:rsidRPr="00830FE3" w:rsidRDefault="00462580" w:rsidP="0025479A">
            <w:pPr>
              <w:pStyle w:val="ListParagraph"/>
              <w:numPr>
                <w:ilvl w:val="0"/>
                <w:numId w:val="10"/>
              </w:numPr>
              <w:spacing w:before="40" w:after="40" w:line="240" w:lineRule="auto"/>
              <w:rPr>
                <w:rFonts w:cs="Arial"/>
                <w:b w:val="0"/>
              </w:rPr>
            </w:pPr>
            <w:r w:rsidRPr="00462580">
              <w:rPr>
                <w:rFonts w:cs="Arial"/>
                <w:b w:val="0"/>
                <w:color w:val="auto"/>
              </w:rPr>
              <w:t>Essential service</w:t>
            </w:r>
            <w:r w:rsidR="006D2758">
              <w:rPr>
                <w:rFonts w:cs="Arial"/>
                <w:b w:val="0"/>
                <w:color w:val="auto"/>
              </w:rPr>
              <w:t>s</w:t>
            </w:r>
            <w:r w:rsidRPr="00462580">
              <w:rPr>
                <w:rFonts w:cs="Arial"/>
                <w:b w:val="0"/>
                <w:color w:val="auto"/>
              </w:rPr>
              <w:t xml:space="preserve"> </w:t>
            </w:r>
            <w:r w:rsidR="006D2758">
              <w:rPr>
                <w:rFonts w:cs="Arial"/>
                <w:b w:val="0"/>
                <w:color w:val="auto"/>
              </w:rPr>
              <w:t>vacancy</w:t>
            </w:r>
            <w:r w:rsidRPr="00462580">
              <w:rPr>
                <w:rFonts w:cs="Arial"/>
                <w:b w:val="0"/>
                <w:color w:val="auto"/>
              </w:rPr>
              <w:t xml:space="preserve"> rate</w:t>
            </w:r>
          </w:p>
        </w:tc>
        <w:tc>
          <w:tcPr>
            <w:tcW w:w="2129" w:type="dxa"/>
            <w:tcBorders>
              <w:right w:val="single" w:sz="4" w:space="0" w:color="A6A6A6" w:themeColor="background1" w:themeShade="A6"/>
            </w:tcBorders>
            <w:shd w:val="clear" w:color="auto" w:fill="DF5454"/>
            <w:vAlign w:val="center"/>
          </w:tcPr>
          <w:p w14:paraId="44E180E1" w14:textId="70390CAD" w:rsidR="00462580" w:rsidRPr="00800D1C" w:rsidRDefault="007F285B" w:rsidP="00CE10A6">
            <w:pPr>
              <w:spacing w:after="0"/>
              <w:jc w:val="center"/>
              <w:cnfStyle w:val="000000000000" w:firstRow="0" w:lastRow="0" w:firstColumn="0" w:lastColumn="0" w:oddVBand="0" w:evenVBand="0" w:oddHBand="0" w:evenHBand="0" w:firstRowFirstColumn="0" w:firstRowLastColumn="0" w:lastRowFirstColumn="0" w:lastRowLastColumn="0"/>
              <w:rPr>
                <w:rFonts w:eastAsia="Aptos" w:cs="Arial"/>
                <w:b/>
              </w:rPr>
            </w:pPr>
            <w:r w:rsidRPr="00800D1C">
              <w:rPr>
                <w:rFonts w:eastAsia="Aptos" w:cs="Arial"/>
                <w:b/>
              </w:rPr>
              <w:t>Red</w:t>
            </w:r>
          </w:p>
        </w:tc>
      </w:tr>
      <w:tr w:rsidR="00D95E9A" w:rsidRPr="00CB0C7A" w14:paraId="6E7FEBBC" w14:textId="77777777" w:rsidTr="00820B93">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BFBFBF"/>
              <w:left w:val="single" w:sz="4" w:space="0" w:color="A6A6A6" w:themeColor="background1" w:themeShade="A6"/>
              <w:bottom w:val="single" w:sz="4" w:space="0" w:color="A6A6A6" w:themeColor="background1" w:themeShade="A6"/>
            </w:tcBorders>
            <w:shd w:val="clear" w:color="auto" w:fill="F2F2F2" w:themeFill="background1" w:themeFillShade="F2"/>
            <w:vAlign w:val="center"/>
          </w:tcPr>
          <w:p w14:paraId="01FC11EB" w14:textId="77777777" w:rsidR="00D95E9A" w:rsidRPr="00830FE3" w:rsidRDefault="00D95E9A" w:rsidP="0025479A">
            <w:pPr>
              <w:pStyle w:val="ListParagraph"/>
              <w:numPr>
                <w:ilvl w:val="0"/>
                <w:numId w:val="10"/>
              </w:numPr>
              <w:spacing w:before="40" w:after="40" w:line="240" w:lineRule="auto"/>
              <w:rPr>
                <w:rFonts w:cs="Arial"/>
                <w:b w:val="0"/>
                <w:color w:val="auto"/>
              </w:rPr>
            </w:pPr>
            <w:r w:rsidRPr="00830FE3">
              <w:rPr>
                <w:rFonts w:cs="Arial"/>
                <w:b w:val="0"/>
                <w:color w:val="auto"/>
              </w:rPr>
              <w:t>Incidence of persistent hiring pressure</w:t>
            </w:r>
          </w:p>
        </w:tc>
        <w:tc>
          <w:tcPr>
            <w:tcW w:w="2129" w:type="dxa"/>
            <w:tcBorders>
              <w:right w:val="single" w:sz="4" w:space="0" w:color="A6A6A6" w:themeColor="background1" w:themeShade="A6"/>
            </w:tcBorders>
            <w:shd w:val="clear" w:color="auto" w:fill="DF5454"/>
            <w:vAlign w:val="center"/>
          </w:tcPr>
          <w:p w14:paraId="3E4815FA" w14:textId="77777777" w:rsidR="00D95E9A" w:rsidRPr="00800D1C" w:rsidRDefault="00D95E9A">
            <w:pPr>
              <w:jc w:val="center"/>
              <w:cnfStyle w:val="000000100000" w:firstRow="0" w:lastRow="0" w:firstColumn="0" w:lastColumn="0" w:oddVBand="0" w:evenVBand="0" w:oddHBand="1" w:evenHBand="0" w:firstRowFirstColumn="0" w:firstRowLastColumn="0" w:lastRowFirstColumn="0" w:lastRowLastColumn="0"/>
              <w:rPr>
                <w:rFonts w:cs="Arial"/>
                <w:b/>
                <w:highlight w:val="yellow"/>
              </w:rPr>
            </w:pPr>
            <w:r w:rsidRPr="00800D1C">
              <w:rPr>
                <w:rFonts w:cs="Arial"/>
                <w:b/>
              </w:rPr>
              <w:t>Red</w:t>
            </w:r>
          </w:p>
        </w:tc>
      </w:tr>
      <w:tr w:rsidR="009F4036" w:rsidRPr="002156A7" w14:paraId="51400A1E" w14:textId="77777777" w:rsidTr="00820B93">
        <w:trPr>
          <w:trHeight w:val="68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2FAAC1F5" w14:textId="4E505703" w:rsidR="009F4036" w:rsidRPr="009F4036" w:rsidRDefault="006961FA" w:rsidP="0025479A">
            <w:pPr>
              <w:pStyle w:val="ListParagraph"/>
              <w:numPr>
                <w:ilvl w:val="0"/>
                <w:numId w:val="10"/>
              </w:numPr>
              <w:spacing w:before="40" w:after="40" w:line="240" w:lineRule="auto"/>
              <w:rPr>
                <w:rFonts w:cs="Arial"/>
                <w:b w:val="0"/>
                <w:color w:val="auto"/>
              </w:rPr>
            </w:pPr>
            <w:r>
              <w:rPr>
                <w:rFonts w:cs="Arial"/>
                <w:b w:val="0"/>
                <w:color w:val="auto"/>
              </w:rPr>
              <w:t>Business creation rate</w:t>
            </w:r>
          </w:p>
        </w:tc>
        <w:tc>
          <w:tcPr>
            <w:tcW w:w="2129" w:type="dxa"/>
            <w:tcBorders>
              <w:left w:val="single" w:sz="4" w:space="0" w:color="808080"/>
              <w:bottom w:val="single" w:sz="4" w:space="0" w:color="808080"/>
              <w:right w:val="single" w:sz="4" w:space="0" w:color="808080"/>
            </w:tcBorders>
            <w:shd w:val="clear" w:color="auto" w:fill="FFAD4C"/>
            <w:vAlign w:val="center"/>
          </w:tcPr>
          <w:p w14:paraId="44DF9ABC" w14:textId="0C33DCC1" w:rsidR="009F4036" w:rsidRPr="00800D1C" w:rsidRDefault="009F4036" w:rsidP="003D6852">
            <w:pPr>
              <w:jc w:val="center"/>
              <w:cnfStyle w:val="000000000000" w:firstRow="0" w:lastRow="0" w:firstColumn="0" w:lastColumn="0" w:oddVBand="0" w:evenVBand="0" w:oddHBand="0" w:evenHBand="0" w:firstRowFirstColumn="0" w:firstRowLastColumn="0" w:lastRowFirstColumn="0" w:lastRowLastColumn="0"/>
              <w:rPr>
                <w:rFonts w:cs="Arial"/>
                <w:b/>
                <w:highlight w:val="yellow"/>
              </w:rPr>
            </w:pPr>
            <w:r w:rsidRPr="00800D1C">
              <w:rPr>
                <w:rFonts w:cs="Arial"/>
                <w:b/>
              </w:rPr>
              <w:t>Orange</w:t>
            </w:r>
          </w:p>
        </w:tc>
      </w:tr>
    </w:tbl>
    <w:p w14:paraId="0F1DE87F" w14:textId="77777777" w:rsidR="00D95E9A" w:rsidRPr="00D51900" w:rsidRDefault="00D95E9A" w:rsidP="00CE10A6">
      <w:pPr>
        <w:pStyle w:val="Heading4"/>
        <w:keepNext/>
      </w:pPr>
      <w:r w:rsidRPr="00D51900">
        <w:t>Contributing indicators</w:t>
      </w:r>
    </w:p>
    <w:p w14:paraId="096D045E" w14:textId="77777777" w:rsidR="00D95E9A" w:rsidRPr="00BC3A3D" w:rsidRDefault="00D95E9A" w:rsidP="00BC3A3D">
      <w:pPr>
        <w:pStyle w:val="Heading5"/>
      </w:pPr>
      <w:r w:rsidRPr="00BC3A3D">
        <w:t xml:space="preserve">Vacancy Fill Rate (%) </w:t>
      </w:r>
    </w:p>
    <w:p w14:paraId="16D993C3" w14:textId="3472F2C6" w:rsidR="00A74DC8" w:rsidRPr="00FD0A64" w:rsidRDefault="00D07DBE" w:rsidP="00D07DBE">
      <w:pPr>
        <w:pStyle w:val="Caption"/>
        <w:rPr>
          <w:b w:val="0"/>
        </w:rPr>
      </w:pPr>
      <w:r>
        <w:t xml:space="preserve">Table </w:t>
      </w:r>
      <w:r>
        <w:fldChar w:fldCharType="begin"/>
      </w:r>
      <w:r>
        <w:instrText xml:space="preserve"> SEQ Table \* ARABIC </w:instrText>
      </w:r>
      <w:r>
        <w:fldChar w:fldCharType="separate"/>
      </w:r>
      <w:r w:rsidR="00471863">
        <w:rPr>
          <w:noProof/>
        </w:rPr>
        <w:t>22</w:t>
      </w:r>
      <w:r>
        <w:fldChar w:fldCharType="end"/>
      </w:r>
      <w:r w:rsidR="00A74DC8" w:rsidRPr="00FD0A64">
        <w:t>:</w:t>
      </w:r>
      <w:r w:rsidR="00E47796" w:rsidRPr="00FD0A64">
        <w:t xml:space="preserve"> Vacancy fill rate (%)</w:t>
      </w:r>
    </w:p>
    <w:tbl>
      <w:tblPr>
        <w:tblStyle w:val="GridTable5Dark-Accent11"/>
        <w:tblW w:w="8634" w:type="dxa"/>
        <w:tblLook w:val="04A0" w:firstRow="1" w:lastRow="0" w:firstColumn="1" w:lastColumn="0" w:noHBand="0" w:noVBand="1"/>
      </w:tblPr>
      <w:tblGrid>
        <w:gridCol w:w="2126"/>
        <w:gridCol w:w="1133"/>
        <w:gridCol w:w="1134"/>
        <w:gridCol w:w="1698"/>
        <w:gridCol w:w="979"/>
        <w:gridCol w:w="1564"/>
      </w:tblGrid>
      <w:tr w:rsidR="00670179" w:rsidRPr="00207C36" w14:paraId="261BAD85" w14:textId="77777777" w:rsidTr="00AE4673">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126" w:type="dxa"/>
            <w:tcBorders>
              <w:top w:val="single" w:sz="8" w:space="0" w:color="808080"/>
              <w:left w:val="single" w:sz="8" w:space="0" w:color="808080"/>
              <w:right w:val="single" w:sz="8" w:space="0" w:color="FFFFFF" w:themeColor="background1"/>
            </w:tcBorders>
            <w:shd w:val="clear" w:color="auto" w:fill="370663"/>
          </w:tcPr>
          <w:p w14:paraId="364D2E6A" w14:textId="77777777" w:rsidR="00D95E9A" w:rsidRPr="00D51900" w:rsidRDefault="00D95E9A" w:rsidP="00A34A30">
            <w:pPr>
              <w:keepNext/>
              <w:rPr>
                <w:rFonts w:eastAsia="Aptos" w:cs="Arial"/>
                <w:sz w:val="20"/>
                <w:szCs w:val="20"/>
              </w:rPr>
            </w:pPr>
          </w:p>
        </w:tc>
        <w:tc>
          <w:tcPr>
            <w:tcW w:w="1133" w:type="dxa"/>
            <w:tcBorders>
              <w:top w:val="single" w:sz="8" w:space="0" w:color="808080"/>
              <w:left w:val="single" w:sz="8" w:space="0" w:color="FFFFFF" w:themeColor="background1"/>
              <w:right w:val="single" w:sz="8" w:space="0" w:color="FFFFFF" w:themeColor="background1"/>
            </w:tcBorders>
            <w:shd w:val="clear" w:color="auto" w:fill="370663"/>
            <w:vAlign w:val="center"/>
          </w:tcPr>
          <w:p w14:paraId="49FA6F0D" w14:textId="77777777" w:rsidR="00D95E9A" w:rsidRPr="00D51900" w:rsidRDefault="00D95E9A" w:rsidP="00A34A30">
            <w:pPr>
              <w:keepNext/>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D51900">
              <w:rPr>
                <w:rFonts w:cs="Arial"/>
                <w:sz w:val="20"/>
                <w:szCs w:val="20"/>
              </w:rPr>
              <w:t>Current Rating</w:t>
            </w:r>
          </w:p>
        </w:tc>
        <w:tc>
          <w:tcPr>
            <w:tcW w:w="1134" w:type="dxa"/>
            <w:tcBorders>
              <w:top w:val="single" w:sz="8" w:space="0" w:color="808080"/>
              <w:left w:val="single" w:sz="8" w:space="0" w:color="FFFFFF" w:themeColor="background1"/>
              <w:right w:val="single" w:sz="8" w:space="0" w:color="FFFFFF" w:themeColor="background1"/>
            </w:tcBorders>
            <w:shd w:val="clear" w:color="auto" w:fill="370663"/>
            <w:vAlign w:val="center"/>
          </w:tcPr>
          <w:p w14:paraId="278317B2" w14:textId="77777777" w:rsidR="00D95E9A" w:rsidRPr="00D51900" w:rsidRDefault="00D95E9A" w:rsidP="00A34A30">
            <w:pPr>
              <w:keepNext/>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D51900">
              <w:rPr>
                <w:rFonts w:cs="Arial"/>
                <w:sz w:val="20"/>
                <w:szCs w:val="20"/>
              </w:rPr>
              <w:t>Current rate in Regional Australia</w:t>
            </w:r>
          </w:p>
        </w:tc>
        <w:tc>
          <w:tcPr>
            <w:tcW w:w="1698" w:type="dxa"/>
            <w:tcBorders>
              <w:top w:val="single" w:sz="8" w:space="0" w:color="808080"/>
              <w:left w:val="single" w:sz="8" w:space="0" w:color="FFFFFF" w:themeColor="background1"/>
              <w:right w:val="single" w:sz="8" w:space="0" w:color="FFFFFF" w:themeColor="background1"/>
            </w:tcBorders>
            <w:shd w:val="clear" w:color="auto" w:fill="370663"/>
            <w:vAlign w:val="center"/>
          </w:tcPr>
          <w:p w14:paraId="6B30D690" w14:textId="77777777" w:rsidR="00D95E9A" w:rsidRPr="00D51900" w:rsidRDefault="00D95E9A" w:rsidP="00A34A30">
            <w:pPr>
              <w:keepNext/>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D51900">
              <w:rPr>
                <w:rFonts w:cs="Arial"/>
                <w:sz w:val="20"/>
                <w:szCs w:val="20"/>
              </w:rPr>
              <w:t>Current Trend</w:t>
            </w:r>
          </w:p>
        </w:tc>
        <w:tc>
          <w:tcPr>
            <w:tcW w:w="979" w:type="dxa"/>
            <w:tcBorders>
              <w:top w:val="single" w:sz="8" w:space="0" w:color="808080"/>
              <w:left w:val="single" w:sz="8" w:space="0" w:color="FFFFFF" w:themeColor="background1"/>
              <w:right w:val="single" w:sz="8" w:space="0" w:color="FFFFFF" w:themeColor="background1"/>
            </w:tcBorders>
            <w:shd w:val="clear" w:color="auto" w:fill="370663"/>
            <w:vAlign w:val="center"/>
          </w:tcPr>
          <w:p w14:paraId="4BA4366B" w14:textId="38D5F762" w:rsidR="00D95E9A" w:rsidRPr="00D51900" w:rsidRDefault="00D95E9A" w:rsidP="00A34A30">
            <w:pPr>
              <w:keepNext/>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D51900">
              <w:rPr>
                <w:rFonts w:cs="Arial"/>
                <w:sz w:val="20"/>
                <w:szCs w:val="20"/>
              </w:rPr>
              <w:t xml:space="preserve">Best </w:t>
            </w:r>
            <w:r w:rsidR="00E3720B">
              <w:rPr>
                <w:rFonts w:cs="Arial"/>
                <w:sz w:val="20"/>
                <w:szCs w:val="20"/>
              </w:rPr>
              <w:t>on record</w:t>
            </w:r>
            <w:r w:rsidR="00B8074A">
              <w:rPr>
                <w:rFonts w:cs="Arial"/>
                <w:sz w:val="20"/>
                <w:szCs w:val="20"/>
              </w:rPr>
              <w:t xml:space="preserve"> </w:t>
            </w:r>
          </w:p>
        </w:tc>
        <w:tc>
          <w:tcPr>
            <w:tcW w:w="1564" w:type="dxa"/>
            <w:tcBorders>
              <w:top w:val="single" w:sz="4" w:space="0" w:color="808080" w:themeColor="background1" w:themeShade="80"/>
              <w:left w:val="single" w:sz="8" w:space="0" w:color="FFFFFF" w:themeColor="background1"/>
              <w:right w:val="single" w:sz="4" w:space="0" w:color="808080" w:themeColor="background1" w:themeShade="80"/>
            </w:tcBorders>
            <w:shd w:val="clear" w:color="auto" w:fill="370663"/>
            <w:vAlign w:val="center"/>
          </w:tcPr>
          <w:p w14:paraId="75C8741F" w14:textId="00816F7C" w:rsidR="00D95E9A" w:rsidRPr="00D51900" w:rsidRDefault="003A7518" w:rsidP="00A34A30">
            <w:pPr>
              <w:keepNext/>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CB0C7A">
              <w:rPr>
                <w:rFonts w:cs="Arial"/>
                <w:sz w:val="20"/>
              </w:rPr>
              <w:t xml:space="preserve">Gap to </w:t>
            </w:r>
            <w:r>
              <w:rPr>
                <w:rFonts w:cs="Arial"/>
                <w:sz w:val="20"/>
              </w:rPr>
              <w:t>the Major Cities</w:t>
            </w:r>
          </w:p>
        </w:tc>
      </w:tr>
      <w:tr w:rsidR="00670179" w:rsidRPr="00207C36" w14:paraId="7035F928" w14:textId="77777777" w:rsidTr="00800D1C">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2126" w:type="dxa"/>
            <w:tcBorders>
              <w:left w:val="single" w:sz="8" w:space="0" w:color="808080"/>
              <w:bottom w:val="single" w:sz="8" w:space="0" w:color="808080"/>
              <w:right w:val="single" w:sz="8" w:space="0" w:color="FFFFFF" w:themeColor="background1"/>
            </w:tcBorders>
            <w:shd w:val="clear" w:color="auto" w:fill="E0D1F5" w:themeFill="accent1" w:themeFillTint="33"/>
            <w:vAlign w:val="center"/>
          </w:tcPr>
          <w:p w14:paraId="0EDC7C4B" w14:textId="085E9A99" w:rsidR="00D95E9A" w:rsidRPr="00800D1C" w:rsidRDefault="00D95E9A" w:rsidP="00A34A30">
            <w:pPr>
              <w:keepNext/>
              <w:rPr>
                <w:rFonts w:eastAsia="Aptos" w:cs="Arial"/>
                <w:b w:val="0"/>
                <w:bCs w:val="0"/>
                <w:color w:val="auto"/>
              </w:rPr>
            </w:pPr>
            <w:r w:rsidRPr="00800D1C">
              <w:rPr>
                <w:rFonts w:eastAsia="Aptos" w:cs="Arial"/>
                <w:b w:val="0"/>
                <w:bCs w:val="0"/>
                <w:color w:val="auto"/>
              </w:rPr>
              <w:t xml:space="preserve">Vacancy </w:t>
            </w:r>
            <w:r w:rsidR="00F04039" w:rsidRPr="00800D1C">
              <w:rPr>
                <w:rFonts w:eastAsia="Aptos" w:cs="Arial"/>
                <w:b w:val="0"/>
                <w:bCs w:val="0"/>
                <w:color w:val="auto"/>
              </w:rPr>
              <w:t>f</w:t>
            </w:r>
            <w:r w:rsidRPr="00800D1C">
              <w:rPr>
                <w:rFonts w:eastAsia="Aptos" w:cs="Arial"/>
                <w:b w:val="0"/>
                <w:bCs w:val="0"/>
                <w:color w:val="auto"/>
              </w:rPr>
              <w:t xml:space="preserve">ill </w:t>
            </w:r>
            <w:r w:rsidR="00F04039" w:rsidRPr="00800D1C">
              <w:rPr>
                <w:rFonts w:eastAsia="Aptos" w:cs="Arial"/>
                <w:b w:val="0"/>
                <w:bCs w:val="0"/>
                <w:color w:val="auto"/>
              </w:rPr>
              <w:t>r</w:t>
            </w:r>
            <w:r w:rsidRPr="00800D1C">
              <w:rPr>
                <w:rFonts w:eastAsia="Aptos" w:cs="Arial"/>
                <w:b w:val="0"/>
                <w:bCs w:val="0"/>
                <w:color w:val="auto"/>
              </w:rPr>
              <w:t>ate (%)</w:t>
            </w:r>
          </w:p>
        </w:tc>
        <w:tc>
          <w:tcPr>
            <w:tcW w:w="1133" w:type="dxa"/>
            <w:tcBorders>
              <w:left w:val="single" w:sz="8" w:space="0" w:color="FFFFFF" w:themeColor="background1"/>
              <w:bottom w:val="single" w:sz="8" w:space="0" w:color="808080"/>
              <w:right w:val="single" w:sz="8" w:space="0" w:color="FFFFFF" w:themeColor="background1"/>
            </w:tcBorders>
            <w:shd w:val="clear" w:color="auto" w:fill="FFAD4C"/>
            <w:vAlign w:val="center"/>
          </w:tcPr>
          <w:p w14:paraId="3B990CD5" w14:textId="77777777" w:rsidR="00D95E9A" w:rsidRPr="00800D1C" w:rsidRDefault="00D95E9A" w:rsidP="00A34A30">
            <w:pPr>
              <w:keepNext/>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800D1C">
              <w:rPr>
                <w:rFonts w:eastAsia="Aptos" w:cs="Arial"/>
              </w:rPr>
              <w:t>Orange</w:t>
            </w:r>
          </w:p>
        </w:tc>
        <w:tc>
          <w:tcPr>
            <w:tcW w:w="1134" w:type="dxa"/>
            <w:tcBorders>
              <w:left w:val="single" w:sz="8" w:space="0" w:color="FFFFFF" w:themeColor="background1"/>
              <w:bottom w:val="single" w:sz="8" w:space="0" w:color="808080"/>
              <w:right w:val="single" w:sz="8" w:space="0" w:color="FFFFFF" w:themeColor="background1"/>
            </w:tcBorders>
            <w:shd w:val="clear" w:color="auto" w:fill="FFAD4C"/>
            <w:vAlign w:val="center"/>
          </w:tcPr>
          <w:p w14:paraId="798E1B12" w14:textId="25BC57BE" w:rsidR="00D95E9A" w:rsidRPr="00800D1C" w:rsidRDefault="00422F5C" w:rsidP="00A34A30">
            <w:pPr>
              <w:keepNext/>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800D1C">
              <w:rPr>
                <w:rFonts w:eastAsia="Aptos" w:cs="Arial"/>
              </w:rPr>
              <w:t>64.7</w:t>
            </w:r>
            <w:r w:rsidR="00D95E9A" w:rsidRPr="00800D1C">
              <w:rPr>
                <w:rFonts w:eastAsia="Aptos" w:cs="Arial"/>
              </w:rPr>
              <w:t>%</w:t>
            </w:r>
          </w:p>
        </w:tc>
        <w:tc>
          <w:tcPr>
            <w:tcW w:w="1698" w:type="dxa"/>
            <w:tcBorders>
              <w:left w:val="single" w:sz="8" w:space="0" w:color="FFFFFF" w:themeColor="background1"/>
              <w:bottom w:val="single" w:sz="8" w:space="0" w:color="808080"/>
              <w:right w:val="single" w:sz="4" w:space="0" w:color="BFBFBF"/>
            </w:tcBorders>
            <w:shd w:val="clear" w:color="auto" w:fill="F2F2F2" w:themeFill="background1" w:themeFillShade="F2"/>
            <w:vAlign w:val="center"/>
          </w:tcPr>
          <w:p w14:paraId="5BB17D9E" w14:textId="7DB4D8ED" w:rsidR="00D95E9A" w:rsidRPr="00800D1C" w:rsidRDefault="00DC3A0A" w:rsidP="00A34A30">
            <w:pPr>
              <w:keepNext/>
              <w:jc w:val="center"/>
              <w:cnfStyle w:val="000000100000" w:firstRow="0" w:lastRow="0" w:firstColumn="0" w:lastColumn="0" w:oddVBand="0" w:evenVBand="0" w:oddHBand="1" w:evenHBand="0" w:firstRowFirstColumn="0" w:firstRowLastColumn="0" w:lastRowFirstColumn="0" w:lastRowLastColumn="0"/>
              <w:rPr>
                <w:rFonts w:eastAsia="Aptos" w:cs="Arial"/>
                <w:b/>
                <w:bCs/>
              </w:rPr>
            </w:pPr>
            <w:r w:rsidRPr="00800D1C">
              <w:rPr>
                <w:rFonts w:eastAsia="Aptos" w:cs="Arial"/>
                <w:b/>
              </w:rPr>
              <w:t>s</w:t>
            </w:r>
            <w:r w:rsidR="00447757" w:rsidRPr="00800D1C">
              <w:rPr>
                <w:rFonts w:eastAsia="Aptos" w:cs="Arial"/>
                <w:b/>
              </w:rPr>
              <w:t>table</w:t>
            </w:r>
          </w:p>
        </w:tc>
        <w:tc>
          <w:tcPr>
            <w:tcW w:w="979" w:type="dxa"/>
            <w:tcBorders>
              <w:left w:val="single" w:sz="4" w:space="0" w:color="BFBFBF"/>
              <w:bottom w:val="single" w:sz="8" w:space="0" w:color="808080"/>
              <w:right w:val="single" w:sz="4" w:space="0" w:color="BFBFBF"/>
            </w:tcBorders>
            <w:shd w:val="clear" w:color="auto" w:fill="F2F2F2" w:themeFill="background1" w:themeFillShade="F2"/>
            <w:vAlign w:val="center"/>
          </w:tcPr>
          <w:p w14:paraId="13B21276" w14:textId="6B71C87A" w:rsidR="00D95E9A" w:rsidRPr="00800D1C" w:rsidRDefault="00E3720B" w:rsidP="00A34A30">
            <w:pPr>
              <w:keepNext/>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800D1C">
              <w:rPr>
                <w:rFonts w:eastAsia="Aptos" w:cs="Arial"/>
              </w:rPr>
              <w:t>75.1</w:t>
            </w:r>
            <w:r w:rsidR="00D95E9A" w:rsidRPr="00800D1C">
              <w:rPr>
                <w:rFonts w:eastAsia="Aptos" w:cs="Arial"/>
              </w:rPr>
              <w:t>%</w:t>
            </w:r>
          </w:p>
          <w:p w14:paraId="432D0ECF" w14:textId="021EF198" w:rsidR="00D95E9A" w:rsidRPr="00800D1C" w:rsidRDefault="00AE4673" w:rsidP="00A34A30">
            <w:pPr>
              <w:keepNext/>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800D1C">
              <w:rPr>
                <w:rFonts w:eastAsia="Aptos" w:cs="Arial"/>
              </w:rPr>
              <w:t>(</w:t>
            </w:r>
            <w:r w:rsidR="00383AC9" w:rsidRPr="00800D1C">
              <w:rPr>
                <w:rFonts w:eastAsia="Aptos" w:cs="Arial"/>
              </w:rPr>
              <w:t>20</w:t>
            </w:r>
            <w:r w:rsidR="00E3720B" w:rsidRPr="00800D1C">
              <w:rPr>
                <w:rFonts w:eastAsia="Aptos" w:cs="Arial"/>
              </w:rPr>
              <w:t>14</w:t>
            </w:r>
            <w:r w:rsidRPr="00800D1C">
              <w:rPr>
                <w:rFonts w:eastAsia="Aptos" w:cs="Arial"/>
              </w:rPr>
              <w:t>)</w:t>
            </w:r>
          </w:p>
        </w:tc>
        <w:tc>
          <w:tcPr>
            <w:tcW w:w="1564" w:type="dxa"/>
            <w:tcBorders>
              <w:left w:val="single" w:sz="4" w:space="0" w:color="BFBFBF"/>
              <w:bottom w:val="single" w:sz="8" w:space="0" w:color="808080"/>
              <w:right w:val="single" w:sz="4" w:space="0" w:color="808080" w:themeColor="background1" w:themeShade="80"/>
            </w:tcBorders>
            <w:shd w:val="clear" w:color="auto" w:fill="DF5454"/>
            <w:vAlign w:val="center"/>
          </w:tcPr>
          <w:p w14:paraId="329DF111" w14:textId="35FCBD4A" w:rsidR="00D95E9A" w:rsidRPr="00800D1C" w:rsidRDefault="00D95E9A" w:rsidP="00A34A30">
            <w:pPr>
              <w:keepNext/>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800D1C">
              <w:rPr>
                <w:rFonts w:eastAsia="Aptos" w:cs="Arial"/>
              </w:rPr>
              <w:t>-</w:t>
            </w:r>
            <w:r w:rsidR="00422F5C" w:rsidRPr="00800D1C">
              <w:rPr>
                <w:rFonts w:eastAsia="Aptos" w:cs="Arial"/>
              </w:rPr>
              <w:t>5</w:t>
            </w:r>
            <w:r w:rsidRPr="00800D1C">
              <w:rPr>
                <w:rFonts w:eastAsia="Aptos" w:cs="Arial"/>
              </w:rPr>
              <w:t>.</w:t>
            </w:r>
            <w:r w:rsidR="00C42883" w:rsidRPr="00800D1C">
              <w:rPr>
                <w:rFonts w:eastAsia="Aptos" w:cs="Arial"/>
              </w:rPr>
              <w:t>3</w:t>
            </w:r>
            <w:r w:rsidRPr="00800D1C">
              <w:rPr>
                <w:rFonts w:eastAsia="Aptos" w:cs="Arial"/>
              </w:rPr>
              <w:t>% pts</w:t>
            </w:r>
          </w:p>
        </w:tc>
      </w:tr>
    </w:tbl>
    <w:p w14:paraId="61A46785" w14:textId="407DA511" w:rsidR="00D95E9A" w:rsidRPr="004E288D" w:rsidRDefault="00D95E9A" w:rsidP="00A42C1F">
      <w:pPr>
        <w:outlineLvl w:val="3"/>
        <w:rPr>
          <w:rFonts w:eastAsia="Times New Roman" w:cs="Arial"/>
          <w:i/>
          <w:sz w:val="18"/>
          <w:szCs w:val="18"/>
        </w:rPr>
      </w:pPr>
      <w:r w:rsidRPr="004E288D">
        <w:rPr>
          <w:rFonts w:eastAsia="Times New Roman" w:cs="Arial"/>
          <w:i/>
          <w:sz w:val="18"/>
          <w:szCs w:val="18"/>
        </w:rPr>
        <w:t>Source: JSA, Survey of Employers who have Recently Advertised (SERA</w:t>
      </w:r>
      <w:r w:rsidRPr="004E288D">
        <w:rPr>
          <w:rFonts w:eastAsia="Times New Roman" w:cs="Arial"/>
          <w:bCs/>
          <w:i/>
          <w:iCs/>
          <w:sz w:val="18"/>
          <w:szCs w:val="18"/>
        </w:rPr>
        <w:t>).</w:t>
      </w:r>
      <w:r w:rsidRPr="004E288D">
        <w:rPr>
          <w:rFonts w:eastAsia="Times New Roman" w:cs="Arial"/>
          <w:i/>
          <w:sz w:val="18"/>
          <w:szCs w:val="18"/>
        </w:rPr>
        <w:t xml:space="preserve"> Measured as the proportion of advertised </w:t>
      </w:r>
      <w:r w:rsidR="00AD3250">
        <w:rPr>
          <w:rFonts w:eastAsia="Times New Roman" w:cs="Arial"/>
          <w:i/>
          <w:sz w:val="18"/>
          <w:szCs w:val="18"/>
        </w:rPr>
        <w:t>vacancies</w:t>
      </w:r>
      <w:r w:rsidRPr="004E288D">
        <w:rPr>
          <w:rFonts w:eastAsia="Times New Roman" w:cs="Arial"/>
          <w:i/>
          <w:sz w:val="18"/>
          <w:szCs w:val="18"/>
        </w:rPr>
        <w:t xml:space="preserve"> that are </w:t>
      </w:r>
      <w:r w:rsidR="00BF5EAA">
        <w:rPr>
          <w:rFonts w:eastAsia="Times New Roman" w:cs="Arial"/>
          <w:i/>
          <w:sz w:val="18"/>
          <w:szCs w:val="18"/>
        </w:rPr>
        <w:t>filled</w:t>
      </w:r>
      <w:r w:rsidR="00450272">
        <w:rPr>
          <w:rFonts w:eastAsia="Times New Roman" w:cs="Arial"/>
          <w:i/>
          <w:sz w:val="18"/>
          <w:szCs w:val="18"/>
        </w:rPr>
        <w:t xml:space="preserve"> in the preceding 12-months</w:t>
      </w:r>
    </w:p>
    <w:p w14:paraId="632E80B3" w14:textId="2D7875D7" w:rsidR="00897A32" w:rsidRDefault="00D95E9A" w:rsidP="00BC3A3D">
      <w:pPr>
        <w:pStyle w:val="BodyText"/>
      </w:pPr>
      <w:r w:rsidRPr="001136EB">
        <w:t xml:space="preserve">Ensuring regional employers </w:t>
      </w:r>
      <w:r w:rsidR="008A5F86">
        <w:t xml:space="preserve">– including small businesses – </w:t>
      </w:r>
      <w:r w:rsidRPr="001136EB">
        <w:t xml:space="preserve">have access to suitable labour is critical to </w:t>
      </w:r>
      <w:r w:rsidR="00811249">
        <w:t xml:space="preserve">ensuring </w:t>
      </w:r>
      <w:r w:rsidR="00833465">
        <w:t xml:space="preserve">goods and services are delivered </w:t>
      </w:r>
      <w:r w:rsidR="00D8269E">
        <w:t xml:space="preserve">in accordance with what communities need and want to promote </w:t>
      </w:r>
      <w:r w:rsidR="000D5D4C">
        <w:rPr>
          <w:bCs/>
        </w:rPr>
        <w:t>economic</w:t>
      </w:r>
      <w:r w:rsidRPr="001136EB">
        <w:t xml:space="preserve"> growth </w:t>
      </w:r>
      <w:r w:rsidR="000D5D4C">
        <w:rPr>
          <w:bCs/>
        </w:rPr>
        <w:t xml:space="preserve">and </w:t>
      </w:r>
      <w:r w:rsidR="00897A32">
        <w:rPr>
          <w:bCs/>
        </w:rPr>
        <w:t xml:space="preserve">dynamism </w:t>
      </w:r>
      <w:r w:rsidRPr="001136EB">
        <w:t xml:space="preserve">in Regional Australia. </w:t>
      </w:r>
    </w:p>
    <w:p w14:paraId="4327A3EF" w14:textId="77777777" w:rsidR="00983B41" w:rsidRDefault="00ED238C" w:rsidP="00ED238C">
      <w:pPr>
        <w:pStyle w:val="BodyText"/>
      </w:pPr>
      <w:r w:rsidRPr="001136EB">
        <w:t>One of the greatest challenges regional employers face</w:t>
      </w:r>
      <w:r w:rsidR="00D8269E">
        <w:t>, however,</w:t>
      </w:r>
      <w:r w:rsidRPr="001136EB">
        <w:t xml:space="preserve"> is finding staff to fill vacancies. </w:t>
      </w:r>
      <w:r>
        <w:rPr>
          <w:bCs/>
        </w:rPr>
        <w:t>E</w:t>
      </w:r>
      <w:r w:rsidRPr="001136EB">
        <w:rPr>
          <w:bCs/>
        </w:rPr>
        <w:t>mployers</w:t>
      </w:r>
      <w:r w:rsidRPr="001136EB">
        <w:t xml:space="preserve"> in Regional Australia often face greater difficulty recruiting</w:t>
      </w:r>
      <w:r w:rsidR="00EE59D4">
        <w:t>, particularly for occupations requiring a post school qualification</w:t>
      </w:r>
      <w:r w:rsidR="004760BA">
        <w:t xml:space="preserve">, when </w:t>
      </w:r>
      <w:r w:rsidRPr="001136EB">
        <w:t>compared to their Major City counterparts</w:t>
      </w:r>
      <w:r w:rsidR="003F57F9">
        <w:t xml:space="preserve">. </w:t>
      </w:r>
      <w:r w:rsidR="00983B41">
        <w:t>D</w:t>
      </w:r>
      <w:r w:rsidR="003F57F9">
        <w:t>ata from JSA’s Survey of Employers who have Recently Advertised shows th</w:t>
      </w:r>
      <w:r w:rsidR="00041F7A">
        <w:t xml:space="preserve">at the vacancy rate (the proportion of advertised vacancies that are filled in the preceding 12-months) fell sharply in recent years, from 68.1% in 2020, to </w:t>
      </w:r>
      <w:r w:rsidR="000E123B">
        <w:t xml:space="preserve">a recent low of 53.2% in 2023 (see Figure </w:t>
      </w:r>
      <w:r w:rsidR="00A267D4">
        <w:t>35</w:t>
      </w:r>
      <w:r w:rsidR="000E123B">
        <w:t xml:space="preserve">, below). </w:t>
      </w:r>
    </w:p>
    <w:p w14:paraId="0ED29205" w14:textId="76FDBE82" w:rsidR="003F57F9" w:rsidRDefault="001B359A" w:rsidP="00ED238C">
      <w:pPr>
        <w:pStyle w:val="BodyText"/>
      </w:pPr>
      <w:r>
        <w:t xml:space="preserve">Although recruitment difficulty appears to show some signs of easing in Regional Australia, with the vacancy rate increasing to 64.7% in 2024, </w:t>
      </w:r>
      <w:r w:rsidR="00DE5874">
        <w:t>recruitment difficulty continues to remain higher</w:t>
      </w:r>
      <w:r w:rsidR="009D68AB">
        <w:t xml:space="preserve"> for employers</w:t>
      </w:r>
      <w:r w:rsidR="00DE5874">
        <w:t xml:space="preserve"> in Regional Australia </w:t>
      </w:r>
      <w:r w:rsidR="00C23757">
        <w:t>than for employers in</w:t>
      </w:r>
      <w:r w:rsidR="009D68AB">
        <w:t xml:space="preserve"> Major Cit</w:t>
      </w:r>
      <w:r w:rsidR="00C23757">
        <w:t>ies</w:t>
      </w:r>
      <w:r w:rsidR="00111A3F">
        <w:t>.</w:t>
      </w:r>
    </w:p>
    <w:p w14:paraId="3F440DC7" w14:textId="5B89D32A" w:rsidR="00D95E9A" w:rsidRPr="001136EB" w:rsidRDefault="00F46DB1" w:rsidP="00F46DB1">
      <w:pPr>
        <w:pStyle w:val="Caption"/>
        <w:rPr>
          <w:rFonts w:eastAsia="Times New Roman" w:cs="Arial"/>
          <w:b w:val="0"/>
        </w:rPr>
      </w:pPr>
      <w:bookmarkStart w:id="136" w:name="_Toc201916601"/>
      <w:r>
        <w:lastRenderedPageBreak/>
        <w:t xml:space="preserve">Figure </w:t>
      </w:r>
      <w:r>
        <w:fldChar w:fldCharType="begin"/>
      </w:r>
      <w:r>
        <w:instrText xml:space="preserve"> SEQ Figure \* ARABIC </w:instrText>
      </w:r>
      <w:r>
        <w:fldChar w:fldCharType="separate"/>
      </w:r>
      <w:r w:rsidR="00471863">
        <w:rPr>
          <w:noProof/>
        </w:rPr>
        <w:t>35</w:t>
      </w:r>
      <w:r>
        <w:fldChar w:fldCharType="end"/>
      </w:r>
      <w:r w:rsidR="00D80D38">
        <w:t>:</w:t>
      </w:r>
      <w:r w:rsidR="00D95E9A">
        <w:t xml:space="preserve"> </w:t>
      </w:r>
      <w:r w:rsidR="00D95E9A" w:rsidRPr="00DF56DA">
        <w:t>Vacancy Fill Rate (%), by Major City and Regional Australia</w:t>
      </w:r>
      <w:bookmarkEnd w:id="136"/>
      <w:r w:rsidR="00D80D38">
        <w:t xml:space="preserve"> </w:t>
      </w:r>
    </w:p>
    <w:p w14:paraId="30D16416" w14:textId="2AC9478B" w:rsidR="00D95E9A" w:rsidRPr="00207C36" w:rsidRDefault="00111A3F" w:rsidP="00EC328B">
      <w:pPr>
        <w:rPr>
          <w:rFonts w:eastAsia="Times New Roman"/>
        </w:rPr>
      </w:pPr>
      <w:r>
        <w:rPr>
          <w:rFonts w:eastAsia="Times New Roman"/>
          <w:noProof/>
        </w:rPr>
        <w:drawing>
          <wp:inline distT="0" distB="0" distL="0" distR="0" wp14:anchorId="37A59142" wp14:editId="511EEEA5">
            <wp:extent cx="5730875" cy="2822575"/>
            <wp:effectExtent l="0" t="0" r="3175" b="0"/>
            <wp:docPr id="1012061816" name="Picture 49" descr="A column chart showing the vacancy Fill Rate (%), by Major City and Regional Australia. The chart shows that although recruitment difficulty appears to show some signs of easing in Regional Australia, recruitment difficulty continues to remain higher for employers in Regional Australia than for employers in Major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61816" name="Picture 49" descr="A column chart showing the vacancy Fill Rate (%), by Major City and Regional Australia. The chart shows that although recruitment difficulty appears to show some signs of easing in Regional Australia, recruitment difficulty continues to remain higher for employers in Regional Australia than for employers in Major Cities."/>
                    <pic:cNvPicPr>
                      <a:picLocks noChangeAspect="1" noChangeArrowheads="1"/>
                    </pic:cNvPicPr>
                  </pic:nvPicPr>
                  <pic:blipFill>
                    <a:blip r:embed="rId68" cstate="email">
                      <a:extLst>
                        <a:ext uri="{28A0092B-C50C-407E-A947-70E740481C1C}">
                          <a14:useLocalDpi xmlns:a14="http://schemas.microsoft.com/office/drawing/2010/main" val="0"/>
                        </a:ext>
                      </a:extLst>
                    </a:blip>
                    <a:srcRect/>
                    <a:stretch>
                      <a:fillRect/>
                    </a:stretch>
                  </pic:blipFill>
                  <pic:spPr bwMode="auto">
                    <a:xfrm>
                      <a:off x="0" y="0"/>
                      <a:ext cx="5730875" cy="2822575"/>
                    </a:xfrm>
                    <a:prstGeom prst="rect">
                      <a:avLst/>
                    </a:prstGeom>
                    <a:noFill/>
                  </pic:spPr>
                </pic:pic>
              </a:graphicData>
            </a:graphic>
          </wp:inline>
        </w:drawing>
      </w:r>
    </w:p>
    <w:p w14:paraId="6BF95CD5" w14:textId="77777777" w:rsidR="00D95E9A" w:rsidRPr="00CB0C7A" w:rsidRDefault="00D95E9A" w:rsidP="00D95E9A">
      <w:pPr>
        <w:spacing w:after="0" w:line="276" w:lineRule="auto"/>
        <w:outlineLvl w:val="3"/>
        <w:rPr>
          <w:rFonts w:eastAsia="Times New Roman" w:cs="Arial"/>
          <w:bCs/>
          <w:i/>
          <w:iCs/>
          <w:sz w:val="18"/>
          <w:szCs w:val="18"/>
        </w:rPr>
      </w:pPr>
      <w:r w:rsidRPr="00CB0C7A">
        <w:rPr>
          <w:rFonts w:eastAsia="Times New Roman" w:cs="Arial"/>
          <w:bCs/>
          <w:i/>
          <w:iCs/>
          <w:sz w:val="18"/>
          <w:szCs w:val="18"/>
        </w:rPr>
        <w:t xml:space="preserve">Source: JSA, Survey of Employers who have Recently Advertised (SERA)  </w:t>
      </w:r>
    </w:p>
    <w:p w14:paraId="586B4419" w14:textId="77777777" w:rsidR="00D95E9A" w:rsidRDefault="00D95E9A" w:rsidP="00D95E9A">
      <w:pPr>
        <w:spacing w:line="259" w:lineRule="auto"/>
        <w:rPr>
          <w:rFonts w:eastAsia="Aptos" w:cs="Arial"/>
          <w:b/>
          <w:bCs/>
        </w:rPr>
      </w:pPr>
    </w:p>
    <w:tbl>
      <w:tblPr>
        <w:tblStyle w:val="CustomTablepulloutbox2"/>
        <w:tblW w:w="0" w:type="auto"/>
        <w:tblLook w:val="04A0" w:firstRow="1" w:lastRow="0" w:firstColumn="1" w:lastColumn="0" w:noHBand="0" w:noVBand="1"/>
      </w:tblPr>
      <w:tblGrid>
        <w:gridCol w:w="8997"/>
      </w:tblGrid>
      <w:tr w:rsidR="003D07B9" w14:paraId="4B555140" w14:textId="77777777" w:rsidTr="009F7637">
        <w:tc>
          <w:tcPr>
            <w:tcW w:w="8997" w:type="dxa"/>
          </w:tcPr>
          <w:p w14:paraId="0DDE1B15" w14:textId="77777777" w:rsidR="003D07B9" w:rsidRPr="00E96CD1" w:rsidRDefault="003D07B9" w:rsidP="00E96CD1">
            <w:pPr>
              <w:pStyle w:val="BoxHeading"/>
              <w:jc w:val="center"/>
              <w:rPr>
                <w:sz w:val="24"/>
                <w:szCs w:val="24"/>
              </w:rPr>
            </w:pPr>
            <w:r w:rsidRPr="00E96CD1">
              <w:rPr>
                <w:sz w:val="24"/>
                <w:szCs w:val="24"/>
              </w:rPr>
              <w:t>Stakeholder insight</w:t>
            </w:r>
          </w:p>
          <w:p w14:paraId="30D340A3" w14:textId="2A4CFC91" w:rsidR="003D07B9" w:rsidRPr="00954EA3" w:rsidRDefault="009124F7" w:rsidP="003D07B9">
            <w:pPr>
              <w:jc w:val="center"/>
              <w:rPr>
                <w:rFonts w:cs="Arial"/>
                <w:i/>
                <w:iCs/>
                <w:sz w:val="22"/>
                <w:szCs w:val="22"/>
              </w:rPr>
            </w:pPr>
            <w:r>
              <w:rPr>
                <w:rFonts w:cs="Arial"/>
                <w:i/>
                <w:iCs/>
                <w:sz w:val="22"/>
                <w:szCs w:val="22"/>
              </w:rPr>
              <w:t>‘</w:t>
            </w:r>
            <w:r w:rsidR="003D07B9" w:rsidRPr="00954EA3">
              <w:rPr>
                <w:rFonts w:cs="Arial"/>
                <w:i/>
                <w:iCs/>
                <w:sz w:val="22"/>
                <w:szCs w:val="22"/>
              </w:rPr>
              <w:t>Regional Australia predominantly faces a people issue rather than a jobs issue, with many jobs in chronic long-term labour shortage and left unfilled. There is a very strong demand for labour in Regional Australia.</w:t>
            </w:r>
            <w:r>
              <w:rPr>
                <w:rFonts w:cs="Arial"/>
                <w:i/>
                <w:iCs/>
                <w:sz w:val="22"/>
                <w:szCs w:val="22"/>
              </w:rPr>
              <w:t>’</w:t>
            </w:r>
          </w:p>
          <w:p w14:paraId="7BF2B370" w14:textId="35D4D39D" w:rsidR="00E96CD1" w:rsidRPr="00E96CD1" w:rsidRDefault="00CA28D9" w:rsidP="00E96CD1">
            <w:pPr>
              <w:pStyle w:val="BodyText"/>
              <w:jc w:val="center"/>
              <w:rPr>
                <w:sz w:val="24"/>
                <w:szCs w:val="24"/>
              </w:rPr>
            </w:pPr>
            <w:r w:rsidRPr="00E96CD1">
              <w:rPr>
                <w:b/>
                <w:sz w:val="24"/>
                <w:szCs w:val="24"/>
              </w:rPr>
              <w:t>Dean Deighton</w:t>
            </w:r>
          </w:p>
          <w:p w14:paraId="08E8C812" w14:textId="77777777" w:rsidR="003D07B9" w:rsidRDefault="00CA28D9" w:rsidP="00E272A1">
            <w:pPr>
              <w:pStyle w:val="BodyText"/>
              <w:jc w:val="center"/>
              <w:rPr>
                <w:sz w:val="22"/>
                <w:szCs w:val="22"/>
                <w:lang w:val="en-AU"/>
              </w:rPr>
            </w:pPr>
            <w:r w:rsidRPr="00954EA3">
              <w:rPr>
                <w:sz w:val="22"/>
                <w:szCs w:val="22"/>
                <w:lang w:val="en-AU"/>
              </w:rPr>
              <w:t xml:space="preserve">Head of Northern Australia </w:t>
            </w:r>
          </w:p>
          <w:p w14:paraId="1CC1A14A" w14:textId="49722A3C" w:rsidR="00505E55" w:rsidRPr="00CC191D" w:rsidRDefault="00505E55" w:rsidP="00E272A1">
            <w:pPr>
              <w:pStyle w:val="BodyText"/>
              <w:jc w:val="center"/>
            </w:pPr>
            <w:r>
              <w:rPr>
                <w:sz w:val="22"/>
                <w:szCs w:val="22"/>
                <w:lang w:val="en-AU"/>
              </w:rPr>
              <w:t>Australian Industry Group</w:t>
            </w:r>
            <w:r w:rsidRPr="00954EA3">
              <w:rPr>
                <w:sz w:val="22"/>
                <w:szCs w:val="22"/>
                <w:lang w:val="en-AU"/>
              </w:rPr>
              <w:t xml:space="preserve"> </w:t>
            </w:r>
            <w:r>
              <w:rPr>
                <w:sz w:val="22"/>
                <w:szCs w:val="22"/>
                <w:lang w:val="en-AU"/>
              </w:rPr>
              <w:t>(Ai)</w:t>
            </w:r>
          </w:p>
        </w:tc>
      </w:tr>
    </w:tbl>
    <w:p w14:paraId="78065B5A" w14:textId="6BF84803" w:rsidR="00406C28" w:rsidRDefault="00406C28" w:rsidP="009F7637">
      <w:pPr>
        <w:pStyle w:val="BodyText"/>
        <w:rPr>
          <w:bCs/>
        </w:rPr>
      </w:pPr>
      <w:r>
        <w:rPr>
          <w:bCs/>
        </w:rPr>
        <w:t xml:space="preserve">The increase </w:t>
      </w:r>
      <w:r w:rsidR="00416932">
        <w:rPr>
          <w:bCs/>
        </w:rPr>
        <w:t xml:space="preserve">in </w:t>
      </w:r>
      <w:r w:rsidR="00621D2A">
        <w:rPr>
          <w:bCs/>
        </w:rPr>
        <w:t xml:space="preserve">recruitment difficulty in Regional Australia in recent years, particularly when compared to Major City areas may </w:t>
      </w:r>
      <w:r w:rsidR="00004A3A">
        <w:rPr>
          <w:bCs/>
        </w:rPr>
        <w:t>be the result, at least partly, of the rapid increase in recruitment activity in Regional Australia</w:t>
      </w:r>
      <w:r w:rsidR="00982326">
        <w:rPr>
          <w:bCs/>
        </w:rPr>
        <w:t xml:space="preserve">. </w:t>
      </w:r>
      <w:r w:rsidR="001E516E">
        <w:rPr>
          <w:bCs/>
        </w:rPr>
        <w:t>Recruitment activity in Regional Australia</w:t>
      </w:r>
      <w:r w:rsidR="00437ADD">
        <w:rPr>
          <w:bCs/>
        </w:rPr>
        <w:t xml:space="preserve"> (estimated by adjusting JSA IVI data according to the proportion of vacancies advertised online using </w:t>
      </w:r>
      <w:r w:rsidR="00361F29">
        <w:rPr>
          <w:bCs/>
        </w:rPr>
        <w:t>JSA</w:t>
      </w:r>
      <w:r w:rsidR="00437ADD">
        <w:rPr>
          <w:bCs/>
        </w:rPr>
        <w:t xml:space="preserve"> REOS data)</w:t>
      </w:r>
      <w:r w:rsidR="001E516E">
        <w:rPr>
          <w:bCs/>
        </w:rPr>
        <w:t xml:space="preserve"> increased rapidly </w:t>
      </w:r>
      <w:r w:rsidR="003F4F2A">
        <w:rPr>
          <w:bCs/>
        </w:rPr>
        <w:t xml:space="preserve">in recent years, with recruitment activity </w:t>
      </w:r>
      <w:r w:rsidR="00316775">
        <w:rPr>
          <w:bCs/>
        </w:rPr>
        <w:t>almost 5 times larger in 2023/24 as it was in 2013, a much greater increase than for Major City areas.</w:t>
      </w:r>
      <w:r w:rsidR="001A391D">
        <w:rPr>
          <w:bCs/>
        </w:rPr>
        <w:t xml:space="preserve"> While recruitment activity has fallen over the last year, it remains well above </w:t>
      </w:r>
      <w:r w:rsidR="0008310A">
        <w:rPr>
          <w:bCs/>
        </w:rPr>
        <w:t>its</w:t>
      </w:r>
      <w:r w:rsidR="001A391D">
        <w:rPr>
          <w:bCs/>
        </w:rPr>
        <w:t xml:space="preserve"> long-term trend</w:t>
      </w:r>
      <w:r w:rsidR="000C4B33">
        <w:rPr>
          <w:bCs/>
        </w:rPr>
        <w:t xml:space="preserve"> which is</w:t>
      </w:r>
      <w:r w:rsidR="00E46D85">
        <w:rPr>
          <w:bCs/>
        </w:rPr>
        <w:t xml:space="preserve"> </w:t>
      </w:r>
      <w:r w:rsidR="00DE4D3A">
        <w:rPr>
          <w:bCs/>
        </w:rPr>
        <w:t>likely co</w:t>
      </w:r>
      <w:r w:rsidR="00E46D85">
        <w:rPr>
          <w:bCs/>
        </w:rPr>
        <w:t>ntinuing</w:t>
      </w:r>
      <w:r w:rsidR="000C4B33">
        <w:rPr>
          <w:bCs/>
        </w:rPr>
        <w:t xml:space="preserve"> </w:t>
      </w:r>
      <w:r w:rsidR="002A7B13">
        <w:rPr>
          <w:bCs/>
        </w:rPr>
        <w:t>to be putting significant pressure on employers to attract</w:t>
      </w:r>
      <w:r w:rsidR="00A76EBF">
        <w:rPr>
          <w:bCs/>
        </w:rPr>
        <w:t xml:space="preserve"> enough</w:t>
      </w:r>
      <w:r w:rsidR="002A7B13">
        <w:rPr>
          <w:bCs/>
        </w:rPr>
        <w:t xml:space="preserve"> </w:t>
      </w:r>
      <w:r w:rsidR="00A76EBF">
        <w:rPr>
          <w:bCs/>
        </w:rPr>
        <w:t xml:space="preserve">qualified and suitable candidates in Regional Australia. </w:t>
      </w:r>
    </w:p>
    <w:p w14:paraId="33579D5A" w14:textId="554926C0" w:rsidR="0008310A" w:rsidRPr="001136EB" w:rsidRDefault="00F46DB1" w:rsidP="00F46DB1">
      <w:pPr>
        <w:pStyle w:val="Caption"/>
        <w:rPr>
          <w:rFonts w:eastAsia="Times New Roman" w:cs="Arial"/>
          <w:b w:val="0"/>
        </w:rPr>
      </w:pPr>
      <w:bookmarkStart w:id="137" w:name="_Toc201916602"/>
      <w:r>
        <w:lastRenderedPageBreak/>
        <w:t xml:space="preserve">Figure </w:t>
      </w:r>
      <w:r>
        <w:fldChar w:fldCharType="begin"/>
      </w:r>
      <w:r>
        <w:instrText xml:space="preserve"> SEQ Figure \* ARABIC </w:instrText>
      </w:r>
      <w:r>
        <w:fldChar w:fldCharType="separate"/>
      </w:r>
      <w:r w:rsidR="00471863">
        <w:rPr>
          <w:noProof/>
        </w:rPr>
        <w:t>36</w:t>
      </w:r>
      <w:r>
        <w:fldChar w:fldCharType="end"/>
      </w:r>
      <w:r w:rsidR="0008310A">
        <w:t xml:space="preserve">: </w:t>
      </w:r>
      <w:r w:rsidR="00C435F6">
        <w:t>Job advertisement</w:t>
      </w:r>
      <w:r w:rsidR="001F3D35">
        <w:t>s</w:t>
      </w:r>
      <w:r w:rsidR="005F4A32">
        <w:t xml:space="preserve"> (adjusted for proportion of jobs advertised online as a proportion of employed persons)</w:t>
      </w:r>
      <w:r w:rsidR="001F3D35">
        <w:t xml:space="preserve"> (2013=100),</w:t>
      </w:r>
      <w:r w:rsidR="0008310A" w:rsidRPr="00DF56DA">
        <w:t xml:space="preserve"> by Major City and Regional Australia</w:t>
      </w:r>
      <w:bookmarkEnd w:id="137"/>
      <w:r w:rsidR="0008310A">
        <w:t xml:space="preserve"> </w:t>
      </w:r>
    </w:p>
    <w:p w14:paraId="433C65D4" w14:textId="7A10369C" w:rsidR="0008310A" w:rsidRPr="00207C36" w:rsidRDefault="00111A3F" w:rsidP="0008310A">
      <w:pPr>
        <w:rPr>
          <w:rFonts w:eastAsia="Times New Roman"/>
        </w:rPr>
      </w:pPr>
      <w:r>
        <w:rPr>
          <w:rFonts w:eastAsia="Times New Roman"/>
          <w:noProof/>
        </w:rPr>
        <w:drawing>
          <wp:inline distT="0" distB="0" distL="0" distR="0" wp14:anchorId="72069461" wp14:editId="162FDE7A">
            <wp:extent cx="5401310" cy="2877820"/>
            <wp:effectExtent l="0" t="0" r="8890" b="0"/>
            <wp:docPr id="736812612" name="Picture 50" descr="A line chart that shows job advertisements (adjusted for proportion of jobs advertised online as a proportion of employed persons) (2013=100), by Major City and Regional Australia. The chart shows that recruitment activity remains well above its long-term trend in Regional Australia which is likely continuing to be putting significant pressure on employers to attract enough qualified and suitable candidates in Regional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12612" name="Picture 50" descr="A line chart that shows job advertisements (adjusted for proportion of jobs advertised online as a proportion of employed persons) (2013=100), by Major City and Regional Australia. The chart shows that recruitment activity remains well above its long-term trend in Regional Australia which is likely continuing to be putting significant pressure on employers to attract enough qualified and suitable candidates in Regional Australia. "/>
                    <pic:cNvPicPr>
                      <a:picLocks noChangeAspect="1" noChangeArrowheads="1"/>
                    </pic:cNvPicPr>
                  </pic:nvPicPr>
                  <pic:blipFill>
                    <a:blip r:embed="rId69" cstate="email">
                      <a:extLst>
                        <a:ext uri="{28A0092B-C50C-407E-A947-70E740481C1C}">
                          <a14:useLocalDpi xmlns:a14="http://schemas.microsoft.com/office/drawing/2010/main" val="0"/>
                        </a:ext>
                      </a:extLst>
                    </a:blip>
                    <a:srcRect/>
                    <a:stretch>
                      <a:fillRect/>
                    </a:stretch>
                  </pic:blipFill>
                  <pic:spPr bwMode="auto">
                    <a:xfrm>
                      <a:off x="0" y="0"/>
                      <a:ext cx="5401310" cy="2877820"/>
                    </a:xfrm>
                    <a:prstGeom prst="rect">
                      <a:avLst/>
                    </a:prstGeom>
                    <a:noFill/>
                  </pic:spPr>
                </pic:pic>
              </a:graphicData>
            </a:graphic>
          </wp:inline>
        </w:drawing>
      </w:r>
    </w:p>
    <w:p w14:paraId="0A15DA49" w14:textId="22AC5281" w:rsidR="001F3D35" w:rsidRDefault="001F3D35" w:rsidP="001F3D35">
      <w:pPr>
        <w:spacing w:line="259" w:lineRule="auto"/>
        <w:rPr>
          <w:rFonts w:cs="Arial"/>
          <w:i/>
          <w:iCs/>
          <w:sz w:val="18"/>
          <w:szCs w:val="16"/>
        </w:rPr>
      </w:pPr>
      <w:r>
        <w:rPr>
          <w:rFonts w:eastAsia="Aptos" w:cs="Arial"/>
          <w:i/>
          <w:sz w:val="18"/>
          <w:szCs w:val="18"/>
        </w:rPr>
        <w:t xml:space="preserve">Source: JSA, Internet Vacancy Index (IVI), April 2025 </w:t>
      </w:r>
      <w:r>
        <w:rPr>
          <w:rFonts w:cs="Arial"/>
          <w:i/>
          <w:iCs/>
          <w:sz w:val="18"/>
          <w:szCs w:val="16"/>
        </w:rPr>
        <w:t>(adjusted for proportion of jobs advertised online – JSA, Recruitment Experiences and Outlook Survey, April 2025)</w:t>
      </w:r>
    </w:p>
    <w:p w14:paraId="3841CAE5" w14:textId="77777777" w:rsidR="00B046A1" w:rsidRDefault="00B046A1" w:rsidP="00B046A1">
      <w:pPr>
        <w:pStyle w:val="Heading4"/>
      </w:pPr>
    </w:p>
    <w:tbl>
      <w:tblPr>
        <w:tblStyle w:val="CustomTablepulloutbox2"/>
        <w:tblW w:w="0" w:type="auto"/>
        <w:tblLook w:val="04A0" w:firstRow="1" w:lastRow="0" w:firstColumn="1" w:lastColumn="0" w:noHBand="0" w:noVBand="1"/>
      </w:tblPr>
      <w:tblGrid>
        <w:gridCol w:w="8997"/>
      </w:tblGrid>
      <w:tr w:rsidR="00B046A1" w14:paraId="504C269C" w14:textId="77777777">
        <w:trPr>
          <w:trHeight w:val="1713"/>
        </w:trPr>
        <w:tc>
          <w:tcPr>
            <w:tcW w:w="8997" w:type="dxa"/>
          </w:tcPr>
          <w:p w14:paraId="4F118BFB" w14:textId="77777777" w:rsidR="00B046A1" w:rsidRPr="00CC191D" w:rsidRDefault="00B046A1">
            <w:pPr>
              <w:pStyle w:val="BoxHeading"/>
              <w:jc w:val="center"/>
            </w:pPr>
            <w:r>
              <w:t>Stakeholder insight</w:t>
            </w:r>
          </w:p>
          <w:p w14:paraId="6F33FF63" w14:textId="51AA7C46" w:rsidR="00B046A1" w:rsidRPr="00473914" w:rsidRDefault="00306785">
            <w:pPr>
              <w:jc w:val="center"/>
              <w:rPr>
                <w:rFonts w:cs="Arial"/>
                <w:i/>
                <w:iCs/>
                <w:sz w:val="22"/>
                <w:szCs w:val="22"/>
              </w:rPr>
            </w:pPr>
            <w:r>
              <w:rPr>
                <w:rFonts w:cs="Arial"/>
                <w:i/>
                <w:iCs/>
                <w:sz w:val="22"/>
                <w:szCs w:val="22"/>
              </w:rPr>
              <w:t>‘</w:t>
            </w:r>
            <w:r w:rsidR="00B046A1" w:rsidRPr="00473914">
              <w:rPr>
                <w:rFonts w:cs="Arial"/>
                <w:i/>
                <w:iCs/>
                <w:sz w:val="22"/>
                <w:szCs w:val="22"/>
              </w:rPr>
              <w:t>Many regional centres were founded on one or two industries, and for years have relied on those industries to succeed. Often these industries are seen as more attractive and secure, leading to shortages of skilled workers across other industry sectors. This is why it's critical to invest in local training, so that there are adequately skilled workforces that ensure local economies to thrive.</w:t>
            </w:r>
            <w:r>
              <w:rPr>
                <w:rFonts w:cs="Arial"/>
                <w:i/>
                <w:iCs/>
                <w:sz w:val="22"/>
                <w:szCs w:val="22"/>
              </w:rPr>
              <w:t>’</w:t>
            </w:r>
          </w:p>
          <w:p w14:paraId="38D965B0" w14:textId="77777777" w:rsidR="00B046A1" w:rsidRPr="00B008EE" w:rsidRDefault="00B046A1">
            <w:pPr>
              <w:jc w:val="center"/>
              <w:rPr>
                <w:rFonts w:cs="Arial"/>
                <w:b/>
                <w:bCs/>
                <w:sz w:val="22"/>
                <w:szCs w:val="22"/>
              </w:rPr>
            </w:pPr>
            <w:r w:rsidRPr="00B008EE">
              <w:rPr>
                <w:rFonts w:cs="Arial"/>
                <w:b/>
                <w:bCs/>
                <w:sz w:val="22"/>
                <w:szCs w:val="22"/>
              </w:rPr>
              <w:t>Lena Constantine</w:t>
            </w:r>
          </w:p>
          <w:p w14:paraId="071ED9FF" w14:textId="77777777" w:rsidR="00B046A1" w:rsidRDefault="00B046A1">
            <w:pPr>
              <w:jc w:val="center"/>
              <w:rPr>
                <w:rFonts w:cs="Arial"/>
                <w:sz w:val="22"/>
                <w:szCs w:val="22"/>
              </w:rPr>
            </w:pPr>
            <w:r w:rsidRPr="00257531">
              <w:rPr>
                <w:rFonts w:cs="Arial"/>
                <w:sz w:val="22"/>
                <w:szCs w:val="22"/>
              </w:rPr>
              <w:t>Associate Director</w:t>
            </w:r>
          </w:p>
          <w:p w14:paraId="459DC2EF" w14:textId="77777777" w:rsidR="00B046A1" w:rsidRPr="008767E8" w:rsidRDefault="00B046A1">
            <w:pPr>
              <w:jc w:val="center"/>
              <w:rPr>
                <w:rFonts w:cs="Arial"/>
                <w:sz w:val="22"/>
                <w:szCs w:val="22"/>
              </w:rPr>
            </w:pPr>
            <w:r>
              <w:rPr>
                <w:rFonts w:cs="Arial"/>
                <w:sz w:val="22"/>
                <w:szCs w:val="22"/>
              </w:rPr>
              <w:t xml:space="preserve">Chamber of Commerce and Industry Western Australia </w:t>
            </w:r>
          </w:p>
        </w:tc>
      </w:tr>
    </w:tbl>
    <w:p w14:paraId="0B8059B3" w14:textId="77777777" w:rsidR="009F7637" w:rsidRDefault="009F7637" w:rsidP="00076E2B"/>
    <w:p w14:paraId="121BAAF7" w14:textId="4C419866" w:rsidR="00462580" w:rsidRDefault="00462580" w:rsidP="00996815">
      <w:pPr>
        <w:pStyle w:val="Heading5"/>
        <w:keepNext/>
        <w:rPr>
          <w:rFonts w:eastAsia="Times New Roman"/>
          <w:b w:val="0"/>
          <w:sz w:val="20"/>
          <w:szCs w:val="20"/>
        </w:rPr>
      </w:pPr>
      <w:r w:rsidRPr="00954EA3">
        <w:lastRenderedPageBreak/>
        <w:t>Essential services</w:t>
      </w:r>
      <w:r>
        <w:rPr>
          <w:rStyle w:val="FootnoteReference"/>
          <w:sz w:val="20"/>
          <w:szCs w:val="20"/>
        </w:rPr>
        <w:footnoteReference w:id="30"/>
      </w:r>
      <w:r>
        <w:rPr>
          <w:sz w:val="20"/>
          <w:szCs w:val="20"/>
        </w:rPr>
        <w:t xml:space="preserve"> </w:t>
      </w:r>
      <w:r w:rsidR="007564F9" w:rsidRPr="00954EA3">
        <w:t xml:space="preserve">vacancy </w:t>
      </w:r>
      <w:r w:rsidRPr="00954EA3">
        <w:t>rate (%)</w:t>
      </w:r>
      <w:r w:rsidRPr="00B504DE">
        <w:rPr>
          <w:rFonts w:eastAsia="Times New Roman"/>
          <w:sz w:val="20"/>
          <w:szCs w:val="20"/>
        </w:rPr>
        <w:t xml:space="preserve"> </w:t>
      </w:r>
    </w:p>
    <w:p w14:paraId="4A7A80EC" w14:textId="35081A2B" w:rsidR="00462580" w:rsidRPr="00FD0A64" w:rsidRDefault="00D07DBE" w:rsidP="00D07DBE">
      <w:pPr>
        <w:pStyle w:val="Caption"/>
        <w:rPr>
          <w:b w:val="0"/>
        </w:rPr>
      </w:pPr>
      <w:r>
        <w:t xml:space="preserve">Table </w:t>
      </w:r>
      <w:r>
        <w:fldChar w:fldCharType="begin"/>
      </w:r>
      <w:r>
        <w:instrText xml:space="preserve"> SEQ Table \* ARABIC </w:instrText>
      </w:r>
      <w:r>
        <w:fldChar w:fldCharType="separate"/>
      </w:r>
      <w:r w:rsidR="00471863">
        <w:rPr>
          <w:noProof/>
        </w:rPr>
        <w:t>23</w:t>
      </w:r>
      <w:r>
        <w:fldChar w:fldCharType="end"/>
      </w:r>
      <w:r w:rsidR="00462580" w:rsidRPr="00FD0A64">
        <w:rPr>
          <w:b w:val="0"/>
        </w:rPr>
        <w:t xml:space="preserve">: </w:t>
      </w:r>
      <w:r w:rsidR="00843664" w:rsidRPr="00843664">
        <w:rPr>
          <w:b w:val="0"/>
        </w:rPr>
        <w:t>Essential services vacancy ratio (job advertisements as a proportion of employed persons) (%)</w:t>
      </w:r>
    </w:p>
    <w:tbl>
      <w:tblPr>
        <w:tblStyle w:val="GridTable5Dark-Accent11"/>
        <w:tblW w:w="8634" w:type="dxa"/>
        <w:tblLook w:val="04A0" w:firstRow="1" w:lastRow="0" w:firstColumn="1" w:lastColumn="0" w:noHBand="0" w:noVBand="1"/>
      </w:tblPr>
      <w:tblGrid>
        <w:gridCol w:w="2126"/>
        <w:gridCol w:w="1133"/>
        <w:gridCol w:w="1134"/>
        <w:gridCol w:w="1698"/>
        <w:gridCol w:w="979"/>
        <w:gridCol w:w="1564"/>
      </w:tblGrid>
      <w:tr w:rsidR="00462580" w:rsidRPr="00207C36" w14:paraId="0C320CD6" w14:textId="77777777">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126" w:type="dxa"/>
            <w:tcBorders>
              <w:top w:val="single" w:sz="8" w:space="0" w:color="808080"/>
              <w:left w:val="single" w:sz="8" w:space="0" w:color="808080"/>
              <w:right w:val="single" w:sz="8" w:space="0" w:color="FFFFFF" w:themeColor="background1"/>
            </w:tcBorders>
            <w:shd w:val="clear" w:color="auto" w:fill="370663"/>
          </w:tcPr>
          <w:p w14:paraId="58B0CA9B" w14:textId="77777777" w:rsidR="00462580" w:rsidRPr="00D51900" w:rsidRDefault="00462580">
            <w:pPr>
              <w:keepNext/>
              <w:rPr>
                <w:rFonts w:eastAsia="Aptos" w:cs="Arial"/>
                <w:sz w:val="20"/>
                <w:szCs w:val="20"/>
              </w:rPr>
            </w:pPr>
          </w:p>
        </w:tc>
        <w:tc>
          <w:tcPr>
            <w:tcW w:w="1133" w:type="dxa"/>
            <w:tcBorders>
              <w:top w:val="single" w:sz="8" w:space="0" w:color="808080"/>
              <w:left w:val="single" w:sz="8" w:space="0" w:color="FFFFFF" w:themeColor="background1"/>
              <w:right w:val="single" w:sz="8" w:space="0" w:color="FFFFFF" w:themeColor="background1"/>
            </w:tcBorders>
            <w:shd w:val="clear" w:color="auto" w:fill="370663"/>
            <w:vAlign w:val="center"/>
          </w:tcPr>
          <w:p w14:paraId="1159733B" w14:textId="77777777" w:rsidR="00462580" w:rsidRPr="00D51900" w:rsidRDefault="00462580">
            <w:pPr>
              <w:keepNext/>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D51900">
              <w:rPr>
                <w:rFonts w:cs="Arial"/>
                <w:sz w:val="20"/>
                <w:szCs w:val="20"/>
              </w:rPr>
              <w:t>Current Rating</w:t>
            </w:r>
          </w:p>
        </w:tc>
        <w:tc>
          <w:tcPr>
            <w:tcW w:w="1134" w:type="dxa"/>
            <w:tcBorders>
              <w:top w:val="single" w:sz="8" w:space="0" w:color="808080"/>
              <w:left w:val="single" w:sz="8" w:space="0" w:color="FFFFFF" w:themeColor="background1"/>
              <w:right w:val="single" w:sz="8" w:space="0" w:color="FFFFFF" w:themeColor="background1"/>
            </w:tcBorders>
            <w:shd w:val="clear" w:color="auto" w:fill="370663"/>
            <w:vAlign w:val="center"/>
          </w:tcPr>
          <w:p w14:paraId="2FA64686" w14:textId="77777777" w:rsidR="00462580" w:rsidRPr="00D51900" w:rsidRDefault="00462580">
            <w:pPr>
              <w:keepNext/>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D51900">
              <w:rPr>
                <w:rFonts w:cs="Arial"/>
                <w:sz w:val="20"/>
                <w:szCs w:val="20"/>
              </w:rPr>
              <w:t>Current rate in Regional Australia</w:t>
            </w:r>
          </w:p>
        </w:tc>
        <w:tc>
          <w:tcPr>
            <w:tcW w:w="1698" w:type="dxa"/>
            <w:tcBorders>
              <w:top w:val="single" w:sz="8" w:space="0" w:color="808080"/>
              <w:left w:val="single" w:sz="8" w:space="0" w:color="FFFFFF" w:themeColor="background1"/>
              <w:right w:val="single" w:sz="8" w:space="0" w:color="FFFFFF" w:themeColor="background1"/>
            </w:tcBorders>
            <w:shd w:val="clear" w:color="auto" w:fill="370663"/>
            <w:vAlign w:val="center"/>
          </w:tcPr>
          <w:p w14:paraId="18EC3CFA" w14:textId="77777777" w:rsidR="00462580" w:rsidRPr="00D51900" w:rsidRDefault="00462580">
            <w:pPr>
              <w:keepNext/>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D51900">
              <w:rPr>
                <w:rFonts w:cs="Arial"/>
                <w:sz w:val="20"/>
                <w:szCs w:val="20"/>
              </w:rPr>
              <w:t>Current Trend</w:t>
            </w:r>
          </w:p>
        </w:tc>
        <w:tc>
          <w:tcPr>
            <w:tcW w:w="979" w:type="dxa"/>
            <w:tcBorders>
              <w:top w:val="single" w:sz="8" w:space="0" w:color="808080"/>
              <w:left w:val="single" w:sz="8" w:space="0" w:color="FFFFFF" w:themeColor="background1"/>
              <w:right w:val="single" w:sz="8" w:space="0" w:color="FFFFFF" w:themeColor="background1"/>
            </w:tcBorders>
            <w:shd w:val="clear" w:color="auto" w:fill="370663"/>
            <w:vAlign w:val="center"/>
          </w:tcPr>
          <w:p w14:paraId="39EC026F" w14:textId="6DDD4A8A" w:rsidR="00462580" w:rsidRPr="00D51900" w:rsidRDefault="00462580">
            <w:pPr>
              <w:keepNext/>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D51900">
              <w:rPr>
                <w:rFonts w:cs="Arial"/>
                <w:sz w:val="20"/>
                <w:szCs w:val="20"/>
              </w:rPr>
              <w:t xml:space="preserve">Best </w:t>
            </w:r>
            <w:r w:rsidR="00E07920">
              <w:rPr>
                <w:rFonts w:cs="Arial"/>
                <w:sz w:val="20"/>
                <w:szCs w:val="20"/>
              </w:rPr>
              <w:t>on record</w:t>
            </w:r>
          </w:p>
        </w:tc>
        <w:tc>
          <w:tcPr>
            <w:tcW w:w="1564" w:type="dxa"/>
            <w:tcBorders>
              <w:top w:val="single" w:sz="4" w:space="0" w:color="808080" w:themeColor="background1" w:themeShade="80"/>
              <w:left w:val="single" w:sz="8" w:space="0" w:color="FFFFFF" w:themeColor="background1"/>
              <w:right w:val="single" w:sz="4" w:space="0" w:color="808080" w:themeColor="background1" w:themeShade="80"/>
            </w:tcBorders>
            <w:shd w:val="clear" w:color="auto" w:fill="370663"/>
            <w:vAlign w:val="center"/>
          </w:tcPr>
          <w:p w14:paraId="2E263E55" w14:textId="5DA7AD89" w:rsidR="00462580" w:rsidRPr="00D51900" w:rsidRDefault="003A7518">
            <w:pPr>
              <w:keepNext/>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CB0C7A">
              <w:rPr>
                <w:rFonts w:cs="Arial"/>
                <w:sz w:val="20"/>
              </w:rPr>
              <w:t xml:space="preserve">Gap to </w:t>
            </w:r>
            <w:r>
              <w:rPr>
                <w:rFonts w:cs="Arial"/>
                <w:sz w:val="20"/>
              </w:rPr>
              <w:t>the Major Cities</w:t>
            </w:r>
          </w:p>
        </w:tc>
      </w:tr>
      <w:tr w:rsidR="00462580" w:rsidRPr="00207C36" w14:paraId="2F8073CD" w14:textId="77777777" w:rsidTr="00800D1C">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2126" w:type="dxa"/>
            <w:tcBorders>
              <w:left w:val="single" w:sz="8" w:space="0" w:color="808080"/>
              <w:bottom w:val="single" w:sz="8" w:space="0" w:color="808080"/>
              <w:right w:val="single" w:sz="8" w:space="0" w:color="FFFFFF" w:themeColor="background1"/>
            </w:tcBorders>
            <w:shd w:val="clear" w:color="auto" w:fill="E0D1F5" w:themeFill="accent1" w:themeFillTint="33"/>
            <w:vAlign w:val="center"/>
          </w:tcPr>
          <w:p w14:paraId="77232BEE" w14:textId="351A8E1E" w:rsidR="00462580" w:rsidRPr="000230DC" w:rsidRDefault="00E76C1A">
            <w:pPr>
              <w:rPr>
                <w:rFonts w:eastAsia="Aptos" w:cs="Arial"/>
                <w:b w:val="0"/>
                <w:bCs w:val="0"/>
              </w:rPr>
            </w:pPr>
            <w:r w:rsidRPr="000230DC">
              <w:rPr>
                <w:rFonts w:eastAsia="Aptos" w:cs="Arial"/>
                <w:b w:val="0"/>
                <w:bCs w:val="0"/>
                <w:color w:val="000000" w:themeColor="text1"/>
              </w:rPr>
              <w:t xml:space="preserve">Essential services </w:t>
            </w:r>
            <w:r w:rsidR="007564F9">
              <w:rPr>
                <w:rFonts w:eastAsia="Aptos" w:cs="Arial"/>
                <w:b w:val="0"/>
                <w:bCs w:val="0"/>
                <w:color w:val="000000" w:themeColor="text1"/>
              </w:rPr>
              <w:t>vacancy</w:t>
            </w:r>
            <w:r w:rsidRPr="000230DC">
              <w:rPr>
                <w:rFonts w:eastAsia="Aptos" w:cs="Arial"/>
                <w:b w:val="0"/>
                <w:bCs w:val="0"/>
                <w:color w:val="000000" w:themeColor="text1"/>
              </w:rPr>
              <w:t xml:space="preserve"> rate</w:t>
            </w:r>
            <w:r w:rsidR="00462580" w:rsidRPr="000230DC">
              <w:rPr>
                <w:rFonts w:eastAsia="Aptos" w:cs="Arial"/>
                <w:b w:val="0"/>
                <w:bCs w:val="0"/>
                <w:color w:val="000000" w:themeColor="text1"/>
              </w:rPr>
              <w:t xml:space="preserve"> (%)</w:t>
            </w:r>
          </w:p>
        </w:tc>
        <w:tc>
          <w:tcPr>
            <w:tcW w:w="1133" w:type="dxa"/>
            <w:tcBorders>
              <w:left w:val="single" w:sz="8" w:space="0" w:color="FFFFFF" w:themeColor="background1"/>
              <w:bottom w:val="single" w:sz="8" w:space="0" w:color="808080"/>
              <w:right w:val="single" w:sz="8" w:space="0" w:color="FFFFFF" w:themeColor="background1"/>
            </w:tcBorders>
            <w:shd w:val="clear" w:color="auto" w:fill="DF5454"/>
            <w:vAlign w:val="center"/>
          </w:tcPr>
          <w:p w14:paraId="1B594086" w14:textId="7439CA65" w:rsidR="00462580" w:rsidRPr="00800D1C" w:rsidRDefault="006E6818">
            <w:pPr>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800D1C">
              <w:rPr>
                <w:rFonts w:eastAsia="Aptos" w:cs="Arial"/>
              </w:rPr>
              <w:t>R</w:t>
            </w:r>
            <w:r w:rsidR="00B126C5" w:rsidRPr="00800D1C">
              <w:rPr>
                <w:rFonts w:eastAsia="Aptos" w:cs="Arial"/>
              </w:rPr>
              <w:t>ed</w:t>
            </w:r>
          </w:p>
        </w:tc>
        <w:tc>
          <w:tcPr>
            <w:tcW w:w="1134" w:type="dxa"/>
            <w:tcBorders>
              <w:left w:val="single" w:sz="8" w:space="0" w:color="FFFFFF" w:themeColor="background1"/>
              <w:bottom w:val="single" w:sz="8" w:space="0" w:color="808080"/>
              <w:right w:val="single" w:sz="8" w:space="0" w:color="FFFFFF" w:themeColor="background1"/>
            </w:tcBorders>
            <w:shd w:val="clear" w:color="auto" w:fill="DF5454"/>
            <w:vAlign w:val="center"/>
          </w:tcPr>
          <w:p w14:paraId="4A0D2048" w14:textId="37BADD7F" w:rsidR="00462580" w:rsidRPr="00800D1C" w:rsidRDefault="007564F9">
            <w:pPr>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800D1C">
              <w:rPr>
                <w:rFonts w:eastAsia="Aptos" w:cs="Arial"/>
              </w:rPr>
              <w:t>8.5</w:t>
            </w:r>
            <w:r w:rsidR="00462580" w:rsidRPr="00800D1C">
              <w:rPr>
                <w:rFonts w:eastAsia="Aptos" w:cs="Arial"/>
              </w:rPr>
              <w:t>%</w:t>
            </w:r>
          </w:p>
        </w:tc>
        <w:tc>
          <w:tcPr>
            <w:tcW w:w="1698" w:type="dxa"/>
            <w:tcBorders>
              <w:left w:val="single" w:sz="8" w:space="0" w:color="FFFFFF" w:themeColor="background1"/>
              <w:bottom w:val="single" w:sz="8" w:space="0" w:color="808080"/>
              <w:right w:val="single" w:sz="4" w:space="0" w:color="BFBFBF"/>
            </w:tcBorders>
            <w:shd w:val="clear" w:color="auto" w:fill="F2F2F2" w:themeFill="background1" w:themeFillShade="F2"/>
            <w:vAlign w:val="center"/>
          </w:tcPr>
          <w:p w14:paraId="749C4E8F" w14:textId="77777777" w:rsidR="00462580" w:rsidRPr="00800D1C" w:rsidRDefault="00462580">
            <w:pPr>
              <w:jc w:val="center"/>
              <w:cnfStyle w:val="000000100000" w:firstRow="0" w:lastRow="0" w:firstColumn="0" w:lastColumn="0" w:oddVBand="0" w:evenVBand="0" w:oddHBand="1" w:evenHBand="0" w:firstRowFirstColumn="0" w:firstRowLastColumn="0" w:lastRowFirstColumn="0" w:lastRowLastColumn="0"/>
              <w:rPr>
                <w:rFonts w:eastAsia="Aptos" w:cs="Arial"/>
                <w:b/>
                <w:bCs/>
              </w:rPr>
            </w:pPr>
            <w:r w:rsidRPr="00800D1C">
              <w:rPr>
                <w:rFonts w:eastAsia="Aptos" w:cs="Arial"/>
                <w:b/>
                <w:bCs/>
              </w:rPr>
              <w:t>Improving</w:t>
            </w:r>
          </w:p>
        </w:tc>
        <w:tc>
          <w:tcPr>
            <w:tcW w:w="979" w:type="dxa"/>
            <w:tcBorders>
              <w:left w:val="single" w:sz="4" w:space="0" w:color="BFBFBF"/>
              <w:bottom w:val="single" w:sz="8" w:space="0" w:color="808080"/>
              <w:right w:val="single" w:sz="4" w:space="0" w:color="BFBFBF"/>
            </w:tcBorders>
            <w:shd w:val="clear" w:color="auto" w:fill="F2F2F2" w:themeFill="background1" w:themeFillShade="F2"/>
            <w:vAlign w:val="center"/>
          </w:tcPr>
          <w:p w14:paraId="2B7EAD13" w14:textId="47991CE2" w:rsidR="00462580" w:rsidRPr="00800D1C" w:rsidRDefault="00C21F11">
            <w:pPr>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800D1C">
              <w:rPr>
                <w:rFonts w:eastAsia="Aptos" w:cs="Arial"/>
              </w:rPr>
              <w:t>2.3</w:t>
            </w:r>
            <w:r w:rsidR="00462580" w:rsidRPr="00800D1C">
              <w:rPr>
                <w:rFonts w:eastAsia="Aptos" w:cs="Arial"/>
              </w:rPr>
              <w:t>%</w:t>
            </w:r>
          </w:p>
          <w:p w14:paraId="35C285C0" w14:textId="79DF0702" w:rsidR="00462580" w:rsidRPr="00800D1C" w:rsidRDefault="00462580">
            <w:pPr>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800D1C">
              <w:rPr>
                <w:rFonts w:eastAsia="Aptos" w:cs="Arial"/>
              </w:rPr>
              <w:t>(</w:t>
            </w:r>
            <w:r w:rsidR="00C611C7" w:rsidRPr="00800D1C">
              <w:rPr>
                <w:rFonts w:eastAsia="Aptos" w:cs="Arial"/>
              </w:rPr>
              <w:t>2013</w:t>
            </w:r>
            <w:r w:rsidRPr="00800D1C">
              <w:rPr>
                <w:rFonts w:eastAsia="Aptos" w:cs="Arial"/>
              </w:rPr>
              <w:t>)</w:t>
            </w:r>
          </w:p>
        </w:tc>
        <w:tc>
          <w:tcPr>
            <w:tcW w:w="1564" w:type="dxa"/>
            <w:tcBorders>
              <w:left w:val="single" w:sz="4" w:space="0" w:color="BFBFBF"/>
              <w:bottom w:val="single" w:sz="8" w:space="0" w:color="808080"/>
              <w:right w:val="single" w:sz="4" w:space="0" w:color="808080" w:themeColor="background1" w:themeShade="80"/>
            </w:tcBorders>
            <w:shd w:val="clear" w:color="auto" w:fill="DF5454"/>
            <w:vAlign w:val="center"/>
          </w:tcPr>
          <w:p w14:paraId="0291D40C" w14:textId="5C49EAD8" w:rsidR="00462580" w:rsidRPr="00800D1C" w:rsidRDefault="00E07920">
            <w:pPr>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800D1C">
              <w:rPr>
                <w:rFonts w:eastAsia="Aptos" w:cs="Arial"/>
              </w:rPr>
              <w:t>+</w:t>
            </w:r>
            <w:r w:rsidR="00C611C7" w:rsidRPr="00800D1C">
              <w:rPr>
                <w:rFonts w:eastAsia="Aptos" w:cs="Arial"/>
              </w:rPr>
              <w:t>2.4</w:t>
            </w:r>
            <w:r w:rsidR="00462580" w:rsidRPr="00800D1C">
              <w:rPr>
                <w:rFonts w:eastAsia="Aptos" w:cs="Arial"/>
              </w:rPr>
              <w:t>% pts</w:t>
            </w:r>
          </w:p>
        </w:tc>
      </w:tr>
    </w:tbl>
    <w:p w14:paraId="312E9902" w14:textId="7FC9C1B0" w:rsidR="00E07920" w:rsidRDefault="0014551D" w:rsidP="00D95E9A">
      <w:pPr>
        <w:spacing w:line="259" w:lineRule="auto"/>
        <w:rPr>
          <w:rFonts w:eastAsia="Aptos" w:cs="Arial"/>
          <w:b/>
          <w:bCs/>
        </w:rPr>
      </w:pPr>
      <w:r>
        <w:rPr>
          <w:rFonts w:eastAsia="Aptos" w:cs="Arial"/>
          <w:i/>
          <w:sz w:val="18"/>
          <w:szCs w:val="18"/>
        </w:rPr>
        <w:t xml:space="preserve">Source: </w:t>
      </w:r>
      <w:r w:rsidR="00E07920" w:rsidRPr="00A42C1F">
        <w:rPr>
          <w:rFonts w:eastAsia="Aptos" w:cs="Arial"/>
          <w:i/>
          <w:sz w:val="18"/>
          <w:szCs w:val="18"/>
        </w:rPr>
        <w:t>JSA Nowcast of Employment by Region and Occupation (NERO)</w:t>
      </w:r>
      <w:r w:rsidR="00E07920">
        <w:rPr>
          <w:rFonts w:eastAsia="Aptos" w:cs="Arial"/>
          <w:i/>
          <w:sz w:val="18"/>
          <w:szCs w:val="18"/>
        </w:rPr>
        <w:t xml:space="preserve"> and </w:t>
      </w:r>
      <w:r w:rsidR="00A946A1">
        <w:rPr>
          <w:rFonts w:eastAsia="Aptos" w:cs="Arial"/>
          <w:i/>
          <w:sz w:val="18"/>
          <w:szCs w:val="18"/>
        </w:rPr>
        <w:t xml:space="preserve">JSA, Internet Vacancy Index </w:t>
      </w:r>
      <w:r w:rsidR="006D2758">
        <w:rPr>
          <w:rFonts w:eastAsia="Aptos" w:cs="Arial"/>
          <w:i/>
          <w:sz w:val="18"/>
          <w:szCs w:val="18"/>
        </w:rPr>
        <w:t>(IVI), April 2025</w:t>
      </w:r>
      <w:r w:rsidR="006D37AB">
        <w:rPr>
          <w:rFonts w:eastAsia="Aptos" w:cs="Arial"/>
          <w:i/>
          <w:sz w:val="18"/>
          <w:szCs w:val="18"/>
        </w:rPr>
        <w:t xml:space="preserve"> </w:t>
      </w:r>
      <w:r w:rsidR="006D37AB">
        <w:rPr>
          <w:rFonts w:cs="Arial"/>
          <w:i/>
          <w:iCs/>
          <w:sz w:val="18"/>
          <w:szCs w:val="16"/>
        </w:rPr>
        <w:t>(adjusted for proportion of jobs advertised online – JSA, Recruitment Experiences and Outlook Survey, April 2025)</w:t>
      </w:r>
    </w:p>
    <w:p w14:paraId="48C32ED0" w14:textId="002BD921" w:rsidR="009432A6" w:rsidRDefault="004E4F60" w:rsidP="00954EA3">
      <w:pPr>
        <w:pStyle w:val="BodyText"/>
      </w:pPr>
      <w:r>
        <w:t xml:space="preserve">Essential services </w:t>
      </w:r>
      <w:r w:rsidR="00996815">
        <w:t xml:space="preserve">(Teachers, Child Carers, Nurses, Doctors, Pharmacists and emergency services) </w:t>
      </w:r>
      <w:r>
        <w:t>are critical for a region to support</w:t>
      </w:r>
      <w:r w:rsidR="00E641F7">
        <w:t xml:space="preserve"> and ensure the safety, health and well-being of the community.</w:t>
      </w:r>
      <w:r w:rsidR="00283A3B">
        <w:t xml:space="preserve"> </w:t>
      </w:r>
      <w:r w:rsidR="002743B0">
        <w:t>They can also influence economic growth, stability and productivity of a region</w:t>
      </w:r>
      <w:r w:rsidR="00BD535A">
        <w:t xml:space="preserve">. </w:t>
      </w:r>
      <w:r w:rsidR="0021142D">
        <w:t>Access to quality hea</w:t>
      </w:r>
      <w:r w:rsidR="003854B1">
        <w:t>l</w:t>
      </w:r>
      <w:r w:rsidR="0021142D">
        <w:t>th car</w:t>
      </w:r>
      <w:r w:rsidR="00996815">
        <w:t>e and</w:t>
      </w:r>
      <w:r w:rsidR="0021142D">
        <w:t xml:space="preserve"> education and </w:t>
      </w:r>
      <w:r w:rsidR="00996815">
        <w:t xml:space="preserve">upholding </w:t>
      </w:r>
      <w:r w:rsidR="00C228D1">
        <w:t xml:space="preserve">public safety are vital for addressing </w:t>
      </w:r>
      <w:r w:rsidR="00740437">
        <w:t>poverty, promoting social inclusio</w:t>
      </w:r>
      <w:r w:rsidR="001111E7">
        <w:t>n, powering economic growth and</w:t>
      </w:r>
      <w:r w:rsidR="00996815">
        <w:t xml:space="preserve"> supporting strong community</w:t>
      </w:r>
      <w:r w:rsidR="001111E7">
        <w:t xml:space="preserve">. </w:t>
      </w:r>
      <w:r w:rsidR="00E237D2">
        <w:t>By helping to attract and retain works in the region, t</w:t>
      </w:r>
      <w:r w:rsidR="00DA4B17">
        <w:t xml:space="preserve">he provision of essential services </w:t>
      </w:r>
      <w:r w:rsidR="006D37C1">
        <w:t xml:space="preserve">is central </w:t>
      </w:r>
      <w:r w:rsidR="00E237D2">
        <w:t>to supporting a strong labour market</w:t>
      </w:r>
      <w:r w:rsidR="00526EC8">
        <w:t xml:space="preserve">. </w:t>
      </w:r>
      <w:r w:rsidR="00E237D2">
        <w:t xml:space="preserve"> </w:t>
      </w:r>
    </w:p>
    <w:p w14:paraId="33DDDA38" w14:textId="4D3FA74F" w:rsidR="00BD6BB0" w:rsidRDefault="007F0C8C" w:rsidP="00954EA3">
      <w:pPr>
        <w:pStyle w:val="BodyText"/>
      </w:pPr>
      <w:r>
        <w:t xml:space="preserve">The </w:t>
      </w:r>
      <w:r w:rsidR="00D77BF0">
        <w:t>essential services v</w:t>
      </w:r>
      <w:r w:rsidR="00ED5B09">
        <w:t xml:space="preserve">acancy rate </w:t>
      </w:r>
      <w:r w:rsidR="00A85653">
        <w:t xml:space="preserve">measures the total number of </w:t>
      </w:r>
      <w:r w:rsidR="00F4575A">
        <w:t xml:space="preserve">essential service </w:t>
      </w:r>
      <w:r w:rsidR="00A85653">
        <w:t xml:space="preserve">job vacancies (a new total vacancy measure is estimated by adjusting JSA IVI data according to the proportion of vacancies advertised online using JSA REOS data) divided by the </w:t>
      </w:r>
      <w:r w:rsidR="00347118">
        <w:t>number of persons employed</w:t>
      </w:r>
      <w:r w:rsidR="00D571C5">
        <w:t xml:space="preserve"> </w:t>
      </w:r>
      <w:r w:rsidR="00F4575A">
        <w:t xml:space="preserve">in essential services. </w:t>
      </w:r>
      <w:r w:rsidR="003E6224">
        <w:t xml:space="preserve">Figure </w:t>
      </w:r>
      <w:r w:rsidR="008071AD">
        <w:t>37</w:t>
      </w:r>
      <w:r w:rsidR="003E6224">
        <w:t xml:space="preserve"> shows that the essential services vacancy rate </w:t>
      </w:r>
      <w:r w:rsidR="002631B2">
        <w:t xml:space="preserve">for Regional Australia </w:t>
      </w:r>
      <w:r w:rsidR="009E5405">
        <w:t>increased sharply over the last 5 years</w:t>
      </w:r>
      <w:r w:rsidR="00B76E15">
        <w:t xml:space="preserve">, from 4.7% in Mar-20, to </w:t>
      </w:r>
      <w:r w:rsidR="00FA3C65">
        <w:t>a</w:t>
      </w:r>
      <w:r w:rsidR="00BC4CB1">
        <w:t xml:space="preserve"> high of almost 11% in 202</w:t>
      </w:r>
      <w:r w:rsidR="00E07130">
        <w:t>3</w:t>
      </w:r>
      <w:r w:rsidR="00A05103">
        <w:t xml:space="preserve">. </w:t>
      </w:r>
      <w:r w:rsidR="00655800">
        <w:t xml:space="preserve">While the vacancy rate has </w:t>
      </w:r>
      <w:r w:rsidR="007D370A">
        <w:t xml:space="preserve">shown </w:t>
      </w:r>
      <w:r w:rsidR="005A552C">
        <w:t xml:space="preserve">signs of improvement </w:t>
      </w:r>
      <w:r w:rsidR="00250A42">
        <w:t xml:space="preserve">over the last year, </w:t>
      </w:r>
      <w:r w:rsidR="0039553D">
        <w:t xml:space="preserve">almost 1 in 10 </w:t>
      </w:r>
      <w:r w:rsidR="003B5717">
        <w:t>essential service jobs remain vacant</w:t>
      </w:r>
      <w:r w:rsidR="00EC7B48">
        <w:t xml:space="preserve">, </w:t>
      </w:r>
      <w:r w:rsidR="00D5026B">
        <w:t xml:space="preserve">with this figure likely to </w:t>
      </w:r>
      <w:r w:rsidR="00725139">
        <w:t xml:space="preserve">be </w:t>
      </w:r>
      <w:r w:rsidR="008B26BF">
        <w:t>understated</w:t>
      </w:r>
      <w:r w:rsidR="00642367">
        <w:t xml:space="preserve"> </w:t>
      </w:r>
      <w:r w:rsidR="006A1B49">
        <w:t xml:space="preserve">as </w:t>
      </w:r>
      <w:r w:rsidR="00C45CDB">
        <w:t xml:space="preserve">employers chose not to </w:t>
      </w:r>
      <w:r w:rsidR="00E23064">
        <w:t>continue advertising chronically hard to fill vacancies</w:t>
      </w:r>
      <w:r w:rsidR="00214F3D">
        <w:t xml:space="preserve">. </w:t>
      </w:r>
    </w:p>
    <w:p w14:paraId="6E1991EF" w14:textId="6C714EAA" w:rsidR="00E07920" w:rsidRDefault="00F46DB1" w:rsidP="00F46DB1">
      <w:pPr>
        <w:pStyle w:val="Caption"/>
        <w:rPr>
          <w:rFonts w:eastAsia="Aptos" w:cs="Arial"/>
          <w:b w:val="0"/>
        </w:rPr>
      </w:pPr>
      <w:bookmarkStart w:id="138" w:name="_Toc201916603"/>
      <w:r>
        <w:lastRenderedPageBreak/>
        <w:t xml:space="preserve">Figure </w:t>
      </w:r>
      <w:r>
        <w:fldChar w:fldCharType="begin"/>
      </w:r>
      <w:r>
        <w:instrText xml:space="preserve"> SEQ Figure \* ARABIC </w:instrText>
      </w:r>
      <w:r>
        <w:fldChar w:fldCharType="separate"/>
      </w:r>
      <w:r w:rsidR="00471863">
        <w:rPr>
          <w:noProof/>
        </w:rPr>
        <w:t>37</w:t>
      </w:r>
      <w:r>
        <w:fldChar w:fldCharType="end"/>
      </w:r>
      <w:r w:rsidR="00E07920">
        <w:t xml:space="preserve">: </w:t>
      </w:r>
      <w:r w:rsidR="00D759BA">
        <w:t>Essential services vacancy ratio (</w:t>
      </w:r>
      <w:r w:rsidR="00CF5047">
        <w:t xml:space="preserve">job advertisements </w:t>
      </w:r>
      <w:r w:rsidR="00F0374A">
        <w:t>adjusted for proportion of jobs advertised online</w:t>
      </w:r>
      <w:r w:rsidR="00CF5047">
        <w:t xml:space="preserve"> as a proportion of employed persons) (%), Major City and Regional Australia</w:t>
      </w:r>
      <w:bookmarkEnd w:id="138"/>
    </w:p>
    <w:p w14:paraId="33B06B93" w14:textId="0E8E0A86" w:rsidR="00E07920" w:rsidRDefault="005D29B0" w:rsidP="00D95E9A">
      <w:pPr>
        <w:spacing w:line="259" w:lineRule="auto"/>
        <w:rPr>
          <w:rFonts w:eastAsia="Aptos" w:cs="Arial"/>
          <w:b/>
          <w:bCs/>
        </w:rPr>
      </w:pPr>
      <w:r>
        <w:rPr>
          <w:rFonts w:eastAsia="Aptos" w:cs="Arial"/>
          <w:b/>
          <w:bCs/>
          <w:noProof/>
        </w:rPr>
        <w:drawing>
          <wp:inline distT="0" distB="0" distL="0" distR="0" wp14:anchorId="68D54463" wp14:editId="2E7942EA">
            <wp:extent cx="5730875" cy="2865120"/>
            <wp:effectExtent l="0" t="0" r="3175" b="0"/>
            <wp:docPr id="1946226145" name="Picture 51" descr="A line chart that shows the essential services vacancy ratio (job advertisements adjusted for proportion of jobs advertised online as a proportion of employed persons) (%), Major City and Regional Australia. The chart shows that while the vacancy rate has shown signs of improvement over the last year, almost 1 in 10 essential service jobs remain vacant, with this figure likely to be understated as employers chose not to continue advertising chronically hard to fill vaca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26145" name="Picture 51" descr="A line chart that shows the essential services vacancy ratio (job advertisements adjusted for proportion of jobs advertised online as a proportion of employed persons) (%), Major City and Regional Australia. The chart shows that while the vacancy rate has shown signs of improvement over the last year, almost 1 in 10 essential service jobs remain vacant, with this figure likely to be understated as employers chose not to continue advertising chronically hard to fill vacancies.  "/>
                    <pic:cNvPicPr>
                      <a:picLocks noChangeAspect="1" noChangeArrowheads="1"/>
                    </pic:cNvPicPr>
                  </pic:nvPicPr>
                  <pic:blipFill>
                    <a:blip r:embed="rId70" cstate="email">
                      <a:extLst>
                        <a:ext uri="{28A0092B-C50C-407E-A947-70E740481C1C}">
                          <a14:useLocalDpi xmlns:a14="http://schemas.microsoft.com/office/drawing/2010/main" val="0"/>
                        </a:ext>
                      </a:extLst>
                    </a:blip>
                    <a:srcRect/>
                    <a:stretch>
                      <a:fillRect/>
                    </a:stretch>
                  </pic:blipFill>
                  <pic:spPr bwMode="auto">
                    <a:xfrm>
                      <a:off x="0" y="0"/>
                      <a:ext cx="5730875" cy="2865120"/>
                    </a:xfrm>
                    <a:prstGeom prst="rect">
                      <a:avLst/>
                    </a:prstGeom>
                    <a:noFill/>
                  </pic:spPr>
                </pic:pic>
              </a:graphicData>
            </a:graphic>
          </wp:inline>
        </w:drawing>
      </w:r>
    </w:p>
    <w:p w14:paraId="46C53423" w14:textId="77777777" w:rsidR="00BD1657" w:rsidRDefault="00BD1657" w:rsidP="00BD1657">
      <w:pPr>
        <w:spacing w:line="259" w:lineRule="auto"/>
        <w:rPr>
          <w:rFonts w:cs="Arial"/>
          <w:i/>
          <w:iCs/>
          <w:sz w:val="18"/>
          <w:szCs w:val="16"/>
        </w:rPr>
      </w:pPr>
      <w:r>
        <w:rPr>
          <w:rFonts w:eastAsia="Aptos" w:cs="Arial"/>
          <w:i/>
          <w:sz w:val="18"/>
          <w:szCs w:val="18"/>
        </w:rPr>
        <w:t xml:space="preserve">Source: </w:t>
      </w:r>
      <w:r w:rsidRPr="00A42C1F">
        <w:rPr>
          <w:rFonts w:eastAsia="Aptos" w:cs="Arial"/>
          <w:i/>
          <w:sz w:val="18"/>
          <w:szCs w:val="18"/>
        </w:rPr>
        <w:t>JSA Nowcast of Employment by Region and Occupation (NERO)</w:t>
      </w:r>
      <w:r>
        <w:rPr>
          <w:rFonts w:eastAsia="Aptos" w:cs="Arial"/>
          <w:i/>
          <w:sz w:val="18"/>
          <w:szCs w:val="18"/>
        </w:rPr>
        <w:t xml:space="preserve"> and JSA, Internet Vacancy Index (IVI), April 2025 </w:t>
      </w:r>
      <w:r>
        <w:rPr>
          <w:rFonts w:cs="Arial"/>
          <w:i/>
          <w:iCs/>
          <w:sz w:val="18"/>
          <w:szCs w:val="16"/>
        </w:rPr>
        <w:t>(adjusted for proportion of jobs advertised online – JSA, Recruitment Experiences and Outlook Survey, April 2025)</w:t>
      </w:r>
    </w:p>
    <w:p w14:paraId="4DB5B42B" w14:textId="215C4D8A" w:rsidR="007F5515" w:rsidRPr="00981721" w:rsidRDefault="00C74FB8" w:rsidP="00954EA3">
      <w:pPr>
        <w:pStyle w:val="BodyText"/>
      </w:pPr>
      <w:r>
        <w:t>Importantly</w:t>
      </w:r>
      <w:r w:rsidR="00550F66">
        <w:t xml:space="preserve">, the data is supported by </w:t>
      </w:r>
      <w:r w:rsidR="007D6F57">
        <w:t xml:space="preserve">the feedback </w:t>
      </w:r>
      <w:r w:rsidR="009A2DD9">
        <w:t>stakeholders provided to JSA during discussions out in the regions</w:t>
      </w:r>
      <w:r w:rsidR="006664F5">
        <w:t>.</w:t>
      </w:r>
      <w:r w:rsidR="00ED2D3E">
        <w:t xml:space="preserve"> </w:t>
      </w:r>
      <w:r w:rsidR="006C12CB">
        <w:t>Long wait times to</w:t>
      </w:r>
      <w:r w:rsidR="00A37DE3">
        <w:t xml:space="preserve"> see the GP, </w:t>
      </w:r>
      <w:r w:rsidR="00220D01">
        <w:t>courses not being offered in school due to a lack of specialist teachers</w:t>
      </w:r>
      <w:r w:rsidR="000565DB">
        <w:t>, and</w:t>
      </w:r>
      <w:r w:rsidR="00A93D84">
        <w:t xml:space="preserve"> </w:t>
      </w:r>
      <w:r w:rsidR="00981721">
        <w:t>commuting</w:t>
      </w:r>
      <w:r w:rsidR="00A93D84">
        <w:t xml:space="preserve"> hours into the city to receive </w:t>
      </w:r>
      <w:r w:rsidR="00981721">
        <w:t>specialist</w:t>
      </w:r>
      <w:r w:rsidR="00A93D84">
        <w:t xml:space="preserve"> </w:t>
      </w:r>
      <w:r w:rsidR="00490DF0">
        <w:t xml:space="preserve">and urgent </w:t>
      </w:r>
      <w:r w:rsidR="00A93D84">
        <w:t xml:space="preserve">medical care are </w:t>
      </w:r>
      <w:r w:rsidR="000565DB">
        <w:t xml:space="preserve">all </w:t>
      </w:r>
      <w:r w:rsidR="00D44879">
        <w:t>common examples</w:t>
      </w:r>
      <w:r w:rsidR="000565DB">
        <w:t xml:space="preserve"> (amongst many more)</w:t>
      </w:r>
      <w:r w:rsidR="00D44879">
        <w:t xml:space="preserve"> of the types of </w:t>
      </w:r>
      <w:r w:rsidR="00BF3EDA">
        <w:t>challenges</w:t>
      </w:r>
      <w:r w:rsidR="000565DB">
        <w:t xml:space="preserve"> and barriers</w:t>
      </w:r>
      <w:r w:rsidR="00BF3EDA">
        <w:t xml:space="preserve"> that people in Regional Australia face when it come to accessing essential services. </w:t>
      </w:r>
      <w:r w:rsidR="007F5515">
        <w:t xml:space="preserve">This highlights the urgent need for additional support to ensure the adequate provision of essential services in Regional Australia that is central to supporting a strong labour market and the wellbeing of the community. </w:t>
      </w:r>
    </w:p>
    <w:p w14:paraId="10420769" w14:textId="1D07B9AB" w:rsidR="00D95E9A" w:rsidRPr="00954EA3" w:rsidRDefault="00D95E9A" w:rsidP="00954EA3">
      <w:pPr>
        <w:pStyle w:val="Heading5"/>
      </w:pPr>
      <w:r w:rsidRPr="00954EA3">
        <w:t xml:space="preserve">Incidence of persistent hiring pressure (%) </w:t>
      </w:r>
    </w:p>
    <w:p w14:paraId="390A891E" w14:textId="68CF3DAD" w:rsidR="00A74DC8" w:rsidRPr="00D80D38" w:rsidRDefault="00D07DBE" w:rsidP="00D07DBE">
      <w:pPr>
        <w:pStyle w:val="Caption"/>
        <w:rPr>
          <w:b w:val="0"/>
        </w:rPr>
      </w:pPr>
      <w:r>
        <w:t xml:space="preserve">Table </w:t>
      </w:r>
      <w:r>
        <w:fldChar w:fldCharType="begin"/>
      </w:r>
      <w:r>
        <w:instrText xml:space="preserve"> SEQ Table \* ARABIC </w:instrText>
      </w:r>
      <w:r>
        <w:fldChar w:fldCharType="separate"/>
      </w:r>
      <w:r w:rsidR="00471863">
        <w:rPr>
          <w:noProof/>
        </w:rPr>
        <w:t>24</w:t>
      </w:r>
      <w:r>
        <w:fldChar w:fldCharType="end"/>
      </w:r>
      <w:r w:rsidR="00A74DC8" w:rsidRPr="00D80D38">
        <w:rPr>
          <w:b w:val="0"/>
        </w:rPr>
        <w:t>:</w:t>
      </w:r>
      <w:r w:rsidR="00E47796" w:rsidRPr="00D80D38">
        <w:rPr>
          <w:b w:val="0"/>
        </w:rPr>
        <w:t xml:space="preserve"> Incidence of persistent hiring pressure (%)</w:t>
      </w:r>
    </w:p>
    <w:tbl>
      <w:tblPr>
        <w:tblStyle w:val="GridTable5Dark-Accent11"/>
        <w:tblW w:w="8634" w:type="dxa"/>
        <w:tblLook w:val="04A0" w:firstRow="1" w:lastRow="0" w:firstColumn="1" w:lastColumn="0" w:noHBand="0" w:noVBand="1"/>
      </w:tblPr>
      <w:tblGrid>
        <w:gridCol w:w="2126"/>
        <w:gridCol w:w="1133"/>
        <w:gridCol w:w="1134"/>
        <w:gridCol w:w="1699"/>
        <w:gridCol w:w="980"/>
        <w:gridCol w:w="1562"/>
      </w:tblGrid>
      <w:tr w:rsidR="00D95E9A" w:rsidRPr="00207C36" w14:paraId="0F974981" w14:textId="77777777" w:rsidTr="003D205F">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055" w:type="dxa"/>
            <w:tcBorders>
              <w:top w:val="single" w:sz="8" w:space="0" w:color="808080"/>
              <w:left w:val="single" w:sz="8" w:space="0" w:color="808080"/>
              <w:right w:val="single" w:sz="8" w:space="0" w:color="FFFFFF" w:themeColor="background1"/>
            </w:tcBorders>
            <w:shd w:val="clear" w:color="auto" w:fill="370663"/>
          </w:tcPr>
          <w:p w14:paraId="7B7AC893" w14:textId="77777777" w:rsidR="00D95E9A" w:rsidRPr="00D51900" w:rsidRDefault="00D95E9A" w:rsidP="00394C22">
            <w:pPr>
              <w:keepNext/>
              <w:rPr>
                <w:rFonts w:eastAsia="Aptos" w:cs="Arial"/>
                <w:sz w:val="20"/>
                <w:szCs w:val="20"/>
              </w:rPr>
            </w:pPr>
          </w:p>
        </w:tc>
        <w:tc>
          <w:tcPr>
            <w:tcW w:w="1134" w:type="dxa"/>
            <w:tcBorders>
              <w:top w:val="single" w:sz="8" w:space="0" w:color="808080"/>
              <w:left w:val="single" w:sz="8" w:space="0" w:color="FFFFFF" w:themeColor="background1"/>
              <w:right w:val="single" w:sz="8" w:space="0" w:color="FFFFFF" w:themeColor="background1"/>
            </w:tcBorders>
            <w:shd w:val="clear" w:color="auto" w:fill="370663"/>
            <w:vAlign w:val="center"/>
          </w:tcPr>
          <w:p w14:paraId="306DB407" w14:textId="77777777" w:rsidR="00D95E9A" w:rsidRPr="00D51900" w:rsidRDefault="00D95E9A" w:rsidP="00394C22">
            <w:pPr>
              <w:keepNext/>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D51900">
              <w:rPr>
                <w:rFonts w:cs="Arial"/>
                <w:sz w:val="20"/>
                <w:szCs w:val="20"/>
              </w:rPr>
              <w:t>Current Rating</w:t>
            </w:r>
          </w:p>
        </w:tc>
        <w:tc>
          <w:tcPr>
            <w:tcW w:w="1134" w:type="dxa"/>
            <w:tcBorders>
              <w:top w:val="single" w:sz="8" w:space="0" w:color="808080"/>
              <w:left w:val="single" w:sz="8" w:space="0" w:color="FFFFFF" w:themeColor="background1"/>
              <w:right w:val="single" w:sz="8" w:space="0" w:color="FFFFFF" w:themeColor="background1"/>
            </w:tcBorders>
            <w:shd w:val="clear" w:color="auto" w:fill="370663"/>
            <w:vAlign w:val="center"/>
          </w:tcPr>
          <w:p w14:paraId="7BA0377F" w14:textId="77777777" w:rsidR="00D95E9A" w:rsidRPr="00D51900" w:rsidRDefault="00D95E9A" w:rsidP="00394C22">
            <w:pPr>
              <w:keepNext/>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D51900">
              <w:rPr>
                <w:rFonts w:cs="Arial"/>
                <w:sz w:val="20"/>
                <w:szCs w:val="20"/>
              </w:rPr>
              <w:t>Current rate in Regional Australia</w:t>
            </w:r>
          </w:p>
        </w:tc>
        <w:tc>
          <w:tcPr>
            <w:tcW w:w="1701" w:type="dxa"/>
            <w:tcBorders>
              <w:top w:val="single" w:sz="8" w:space="0" w:color="808080"/>
              <w:left w:val="single" w:sz="8" w:space="0" w:color="FFFFFF" w:themeColor="background1"/>
              <w:right w:val="single" w:sz="8" w:space="0" w:color="FFFFFF" w:themeColor="background1"/>
            </w:tcBorders>
            <w:shd w:val="clear" w:color="auto" w:fill="370663"/>
            <w:vAlign w:val="center"/>
          </w:tcPr>
          <w:p w14:paraId="4C7E03DD" w14:textId="77777777" w:rsidR="00D95E9A" w:rsidRPr="00D51900" w:rsidRDefault="00D95E9A" w:rsidP="00394C22">
            <w:pPr>
              <w:keepNext/>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D51900">
              <w:rPr>
                <w:rFonts w:cs="Arial"/>
                <w:sz w:val="20"/>
                <w:szCs w:val="20"/>
              </w:rPr>
              <w:t>Current Trend</w:t>
            </w:r>
          </w:p>
        </w:tc>
        <w:tc>
          <w:tcPr>
            <w:tcW w:w="981" w:type="dxa"/>
            <w:tcBorders>
              <w:top w:val="single" w:sz="8" w:space="0" w:color="808080"/>
              <w:left w:val="single" w:sz="8" w:space="0" w:color="FFFFFF" w:themeColor="background1"/>
              <w:right w:val="single" w:sz="8" w:space="0" w:color="FFFFFF" w:themeColor="background1"/>
            </w:tcBorders>
            <w:shd w:val="clear" w:color="auto" w:fill="370663"/>
            <w:vAlign w:val="center"/>
          </w:tcPr>
          <w:p w14:paraId="19671186" w14:textId="77777777" w:rsidR="00D95E9A" w:rsidRPr="00D51900" w:rsidRDefault="00D95E9A" w:rsidP="00394C22">
            <w:pPr>
              <w:keepNext/>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D51900">
              <w:rPr>
                <w:rFonts w:cs="Arial"/>
                <w:sz w:val="20"/>
                <w:szCs w:val="20"/>
              </w:rPr>
              <w:t>Best on record</w:t>
            </w:r>
          </w:p>
        </w:tc>
        <w:tc>
          <w:tcPr>
            <w:tcW w:w="1565" w:type="dxa"/>
            <w:tcBorders>
              <w:top w:val="single" w:sz="8" w:space="0" w:color="808080"/>
              <w:left w:val="single" w:sz="8" w:space="0" w:color="FFFFFF" w:themeColor="background1"/>
              <w:right w:val="single" w:sz="8" w:space="0" w:color="808080"/>
            </w:tcBorders>
            <w:shd w:val="clear" w:color="auto" w:fill="370663"/>
            <w:vAlign w:val="center"/>
          </w:tcPr>
          <w:p w14:paraId="22180C29" w14:textId="5333847B" w:rsidR="00D95E9A" w:rsidRPr="00D51900" w:rsidRDefault="003A7518" w:rsidP="00394C22">
            <w:pPr>
              <w:keepNext/>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CB0C7A">
              <w:rPr>
                <w:rFonts w:cs="Arial"/>
                <w:sz w:val="20"/>
              </w:rPr>
              <w:t xml:space="preserve">Gap to </w:t>
            </w:r>
            <w:r>
              <w:rPr>
                <w:rFonts w:cs="Arial"/>
                <w:sz w:val="20"/>
              </w:rPr>
              <w:t>the Major Cities</w:t>
            </w:r>
          </w:p>
        </w:tc>
      </w:tr>
      <w:tr w:rsidR="00D95E9A" w:rsidRPr="00207C36" w14:paraId="60454683" w14:textId="77777777" w:rsidTr="00800D1C">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2132" w:type="dxa"/>
            <w:tcBorders>
              <w:left w:val="single" w:sz="8" w:space="0" w:color="808080"/>
              <w:bottom w:val="single" w:sz="8" w:space="0" w:color="808080"/>
              <w:right w:val="single" w:sz="8" w:space="0" w:color="FFFFFF" w:themeColor="background1"/>
            </w:tcBorders>
            <w:shd w:val="clear" w:color="auto" w:fill="E0D1F5" w:themeFill="accent1" w:themeFillTint="33"/>
            <w:vAlign w:val="center"/>
          </w:tcPr>
          <w:p w14:paraId="39EB8DB7" w14:textId="2DE95D82" w:rsidR="00D95E9A" w:rsidRPr="00800D1C" w:rsidRDefault="00D95E9A">
            <w:pPr>
              <w:rPr>
                <w:rFonts w:eastAsia="Aptos" w:cs="Arial"/>
                <w:b w:val="0"/>
                <w:bCs w:val="0"/>
                <w:color w:val="auto"/>
              </w:rPr>
            </w:pPr>
            <w:r w:rsidRPr="00800D1C">
              <w:rPr>
                <w:rFonts w:eastAsia="Aptos" w:cs="Arial"/>
                <w:b w:val="0"/>
                <w:bCs w:val="0"/>
                <w:color w:val="auto"/>
              </w:rPr>
              <w:t>Incidence of persistent hiring pressure</w:t>
            </w:r>
          </w:p>
        </w:tc>
        <w:tc>
          <w:tcPr>
            <w:tcW w:w="1134" w:type="dxa"/>
            <w:tcBorders>
              <w:left w:val="single" w:sz="8" w:space="0" w:color="FFFFFF" w:themeColor="background1"/>
              <w:bottom w:val="single" w:sz="8" w:space="0" w:color="808080"/>
              <w:right w:val="single" w:sz="8" w:space="0" w:color="FFFFFF" w:themeColor="background1"/>
            </w:tcBorders>
            <w:shd w:val="clear" w:color="auto" w:fill="DF5454"/>
            <w:vAlign w:val="center"/>
          </w:tcPr>
          <w:p w14:paraId="1CA873A2" w14:textId="21220875" w:rsidR="00D95E9A" w:rsidRPr="00800D1C" w:rsidRDefault="00D95E9A">
            <w:pPr>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800D1C">
              <w:rPr>
                <w:rFonts w:eastAsia="Aptos" w:cs="Arial"/>
              </w:rPr>
              <w:t>Red</w:t>
            </w:r>
          </w:p>
        </w:tc>
        <w:tc>
          <w:tcPr>
            <w:tcW w:w="1134" w:type="dxa"/>
            <w:tcBorders>
              <w:left w:val="single" w:sz="8" w:space="0" w:color="FFFFFF" w:themeColor="background1"/>
              <w:bottom w:val="single" w:sz="8" w:space="0" w:color="808080"/>
              <w:right w:val="single" w:sz="8" w:space="0" w:color="FFFFFF" w:themeColor="background1"/>
            </w:tcBorders>
            <w:shd w:val="clear" w:color="auto" w:fill="DF5454"/>
            <w:vAlign w:val="center"/>
          </w:tcPr>
          <w:p w14:paraId="0568D2A4" w14:textId="6873F1F5" w:rsidR="00D95E9A" w:rsidRPr="00800D1C" w:rsidRDefault="00683470">
            <w:pPr>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800D1C">
              <w:rPr>
                <w:rFonts w:eastAsia="Aptos" w:cs="Arial"/>
              </w:rPr>
              <w:t>36.8</w:t>
            </w:r>
            <w:r w:rsidR="00D95E9A" w:rsidRPr="00800D1C">
              <w:rPr>
                <w:rFonts w:eastAsia="Aptos" w:cs="Arial"/>
              </w:rPr>
              <w:t>%</w:t>
            </w:r>
          </w:p>
        </w:tc>
        <w:tc>
          <w:tcPr>
            <w:tcW w:w="1701" w:type="dxa"/>
            <w:tcBorders>
              <w:left w:val="single" w:sz="8" w:space="0" w:color="FFFFFF" w:themeColor="background1"/>
              <w:bottom w:val="single" w:sz="8" w:space="0" w:color="808080"/>
              <w:right w:val="single" w:sz="4" w:space="0" w:color="BFBFBF" w:themeColor="background1" w:themeShade="BF"/>
            </w:tcBorders>
            <w:shd w:val="clear" w:color="auto" w:fill="F2F2F2" w:themeFill="background1" w:themeFillShade="F2"/>
            <w:vAlign w:val="center"/>
          </w:tcPr>
          <w:p w14:paraId="21658751" w14:textId="77777777" w:rsidR="00D95E9A" w:rsidRPr="00800D1C" w:rsidRDefault="00D95E9A">
            <w:pPr>
              <w:jc w:val="center"/>
              <w:cnfStyle w:val="000000100000" w:firstRow="0" w:lastRow="0" w:firstColumn="0" w:lastColumn="0" w:oddVBand="0" w:evenVBand="0" w:oddHBand="1" w:evenHBand="0" w:firstRowFirstColumn="0" w:firstRowLastColumn="0" w:lastRowFirstColumn="0" w:lastRowLastColumn="0"/>
              <w:rPr>
                <w:rFonts w:eastAsia="Aptos" w:cs="Arial"/>
                <w:b/>
                <w:bCs/>
              </w:rPr>
            </w:pPr>
            <w:r w:rsidRPr="00800D1C">
              <w:rPr>
                <w:rFonts w:eastAsia="Aptos" w:cs="Arial"/>
                <w:b/>
                <w:bCs/>
              </w:rPr>
              <w:t>Improving</w:t>
            </w:r>
          </w:p>
        </w:tc>
        <w:tc>
          <w:tcPr>
            <w:tcW w:w="981" w:type="dxa"/>
            <w:tcBorders>
              <w:left w:val="single" w:sz="4" w:space="0" w:color="BFBFBF" w:themeColor="background1" w:themeShade="BF"/>
              <w:bottom w:val="single" w:sz="8" w:space="0" w:color="808080"/>
              <w:right w:val="single" w:sz="4" w:space="0" w:color="BFBFBF" w:themeColor="background1" w:themeShade="BF"/>
            </w:tcBorders>
            <w:shd w:val="clear" w:color="auto" w:fill="F2F2F2" w:themeFill="background1" w:themeFillShade="F2"/>
            <w:vAlign w:val="center"/>
          </w:tcPr>
          <w:p w14:paraId="4F04E892" w14:textId="02F83CCB" w:rsidR="00D95E9A" w:rsidRPr="00800D1C" w:rsidRDefault="00D95E9A">
            <w:pPr>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800D1C">
              <w:rPr>
                <w:rFonts w:eastAsia="Aptos" w:cs="Arial"/>
              </w:rPr>
              <w:t>null</w:t>
            </w:r>
          </w:p>
        </w:tc>
        <w:tc>
          <w:tcPr>
            <w:tcW w:w="1565" w:type="dxa"/>
            <w:tcBorders>
              <w:left w:val="single" w:sz="4" w:space="0" w:color="BFBFBF" w:themeColor="background1" w:themeShade="BF"/>
              <w:bottom w:val="single" w:sz="8" w:space="0" w:color="808080"/>
              <w:right w:val="single" w:sz="8" w:space="0" w:color="808080"/>
            </w:tcBorders>
            <w:shd w:val="clear" w:color="auto" w:fill="DF5454"/>
            <w:vAlign w:val="center"/>
          </w:tcPr>
          <w:p w14:paraId="0A5B0115" w14:textId="31B4ACAA" w:rsidR="00D95E9A" w:rsidRPr="00800D1C" w:rsidRDefault="00F81114">
            <w:pPr>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800D1C">
              <w:rPr>
                <w:rFonts w:eastAsia="Aptos" w:cs="Arial"/>
              </w:rPr>
              <w:t>+</w:t>
            </w:r>
            <w:r w:rsidR="009B7352" w:rsidRPr="00800D1C">
              <w:rPr>
                <w:rFonts w:eastAsia="Aptos" w:cs="Arial"/>
              </w:rPr>
              <w:t>13.6</w:t>
            </w:r>
            <w:r w:rsidR="00D95E9A" w:rsidRPr="00800D1C">
              <w:rPr>
                <w:rFonts w:eastAsia="Aptos" w:cs="Arial"/>
              </w:rPr>
              <w:t>% pts</w:t>
            </w:r>
          </w:p>
        </w:tc>
      </w:tr>
    </w:tbl>
    <w:p w14:paraId="2285F2F4" w14:textId="5BD3227E" w:rsidR="00545FBD" w:rsidRDefault="00545FBD" w:rsidP="00A653EE">
      <w:pPr>
        <w:spacing w:before="100"/>
        <w:rPr>
          <w:rFonts w:eastAsia="Times New Roman" w:cs="Arial"/>
        </w:rPr>
      </w:pPr>
      <w:r w:rsidRPr="00545FBD">
        <w:rPr>
          <w:rFonts w:eastAsia="Times New Roman" w:cs="Arial"/>
          <w:sz w:val="18"/>
          <w:szCs w:val="18"/>
        </w:rPr>
        <w:t>Source:</w:t>
      </w:r>
      <w:r w:rsidRPr="00545FBD">
        <w:rPr>
          <w:rFonts w:eastAsia="Aptos" w:cs="Arial"/>
          <w:i/>
          <w:sz w:val="14"/>
          <w:szCs w:val="14"/>
        </w:rPr>
        <w:t xml:space="preserve"> </w:t>
      </w:r>
      <w:r w:rsidRPr="00A42C1F">
        <w:rPr>
          <w:rFonts w:eastAsia="Aptos" w:cs="Arial"/>
          <w:i/>
          <w:sz w:val="18"/>
          <w:szCs w:val="18"/>
        </w:rPr>
        <w:t>JSA Internet Vacancy Index (IVI) and JSA Nowcast of Employment by Region and Occupation (NERO). Excludes occupations with less than 100 employed persons or less than 10 internet vacancies.</w:t>
      </w:r>
    </w:p>
    <w:p w14:paraId="597E5ED5" w14:textId="77777777" w:rsidR="00197FDA" w:rsidRDefault="00D95E9A" w:rsidP="00954EA3">
      <w:pPr>
        <w:pStyle w:val="BodyText"/>
        <w:rPr>
          <w:bCs/>
        </w:rPr>
      </w:pPr>
      <w:r w:rsidRPr="00A42C1F">
        <w:t xml:space="preserve">Even if an occupation is not in shortage nationally, in specific locations the picture can be very different, particularly in regional areas. While labour supply nationally might be enough to </w:t>
      </w:r>
      <w:r w:rsidR="00197FDA">
        <w:rPr>
          <w:bCs/>
        </w:rPr>
        <w:t xml:space="preserve">broadly </w:t>
      </w:r>
      <w:r w:rsidRPr="00A42C1F">
        <w:t xml:space="preserve">satisfy </w:t>
      </w:r>
      <w:r w:rsidR="00197FDA">
        <w:rPr>
          <w:bCs/>
        </w:rPr>
        <w:t xml:space="preserve">the </w:t>
      </w:r>
      <w:r w:rsidRPr="00A42C1F">
        <w:t>demand</w:t>
      </w:r>
      <w:r w:rsidR="00197FDA">
        <w:rPr>
          <w:bCs/>
        </w:rPr>
        <w:t xml:space="preserve"> from the employers</w:t>
      </w:r>
      <w:r w:rsidRPr="00A42C1F">
        <w:t xml:space="preserve">, not all potential employees are able or willing to move to areas where there may be employment opportunities. </w:t>
      </w:r>
    </w:p>
    <w:p w14:paraId="54091BA7" w14:textId="3810BC8A" w:rsidR="006F216A" w:rsidRDefault="00D95E9A" w:rsidP="00954EA3">
      <w:pPr>
        <w:pStyle w:val="BodyText"/>
        <w:rPr>
          <w:bCs/>
        </w:rPr>
      </w:pPr>
      <w:r w:rsidRPr="00A42C1F">
        <w:t xml:space="preserve">In recent times, </w:t>
      </w:r>
      <w:r w:rsidR="00FC1D18">
        <w:t>labour</w:t>
      </w:r>
      <w:r w:rsidRPr="00A42C1F">
        <w:t xml:space="preserve"> shortages have been particularly </w:t>
      </w:r>
      <w:r w:rsidR="00D33403">
        <w:t>challenging</w:t>
      </w:r>
      <w:r w:rsidRPr="00A42C1F">
        <w:t xml:space="preserve"> in </w:t>
      </w:r>
      <w:r w:rsidR="00D33403">
        <w:t>Regional Australia</w:t>
      </w:r>
      <w:r w:rsidR="00D416CC">
        <w:t xml:space="preserve">, with </w:t>
      </w:r>
      <w:r w:rsidR="00D92B4F">
        <w:t xml:space="preserve">employers </w:t>
      </w:r>
      <w:r w:rsidR="00870C2A">
        <w:t xml:space="preserve">in </w:t>
      </w:r>
      <w:r w:rsidR="009210AE">
        <w:t xml:space="preserve">more than </w:t>
      </w:r>
      <w:r w:rsidR="00F0685E">
        <w:t>1</w:t>
      </w:r>
      <w:r w:rsidR="003D1BEF">
        <w:t xml:space="preserve"> in </w:t>
      </w:r>
      <w:r w:rsidR="00F0685E">
        <w:t>3</w:t>
      </w:r>
      <w:r w:rsidR="003D1BEF">
        <w:t xml:space="preserve"> (or 36.8%) </w:t>
      </w:r>
      <w:r w:rsidR="00D416CC">
        <w:t xml:space="preserve">occupations in Regional Australia </w:t>
      </w:r>
      <w:r w:rsidR="009A4AFA">
        <w:t xml:space="preserve">facing </w:t>
      </w:r>
      <w:r w:rsidR="009A4AFA">
        <w:lastRenderedPageBreak/>
        <w:t>persistent hiring pressure (that is, recording a high vacancy rate for at least 18 of the previous 24 months)</w:t>
      </w:r>
      <w:r w:rsidR="00D416CC">
        <w:t xml:space="preserve">, well above the </w:t>
      </w:r>
      <w:r w:rsidR="00E16940">
        <w:t>23.2</w:t>
      </w:r>
      <w:r w:rsidR="00D416CC">
        <w:t xml:space="preserve">% recorded in </w:t>
      </w:r>
      <w:r w:rsidR="00E16940">
        <w:t>Major Cities</w:t>
      </w:r>
      <w:r w:rsidR="00555147">
        <w:t xml:space="preserve"> (see Figure </w:t>
      </w:r>
      <w:r w:rsidR="008071AD">
        <w:t>38</w:t>
      </w:r>
      <w:r w:rsidR="00555147">
        <w:t>, below)</w:t>
      </w:r>
      <w:r w:rsidR="00E16940">
        <w:t>.</w:t>
      </w:r>
      <w:r w:rsidRPr="00A42C1F">
        <w:t xml:space="preserve"> </w:t>
      </w:r>
    </w:p>
    <w:p w14:paraId="130159C4" w14:textId="66D4D2EC" w:rsidR="00D95E9A" w:rsidRDefault="00F46DB1" w:rsidP="00F46DB1">
      <w:pPr>
        <w:pStyle w:val="Caption"/>
        <w:rPr>
          <w:rFonts w:eastAsia="Aptos" w:cs="Arial"/>
          <w:b w:val="0"/>
        </w:rPr>
      </w:pPr>
      <w:bookmarkStart w:id="139" w:name="_Toc201916604"/>
      <w:r>
        <w:t xml:space="preserve">Figure </w:t>
      </w:r>
      <w:r>
        <w:fldChar w:fldCharType="begin"/>
      </w:r>
      <w:r>
        <w:instrText xml:space="preserve"> SEQ Figure \* ARABIC </w:instrText>
      </w:r>
      <w:r>
        <w:fldChar w:fldCharType="separate"/>
      </w:r>
      <w:r w:rsidR="00471863">
        <w:rPr>
          <w:noProof/>
        </w:rPr>
        <w:t>38</w:t>
      </w:r>
      <w:r>
        <w:fldChar w:fldCharType="end"/>
      </w:r>
      <w:r w:rsidR="006D6911">
        <w:t>:</w:t>
      </w:r>
      <w:r w:rsidR="00D95E9A">
        <w:t xml:space="preserve"> </w:t>
      </w:r>
      <w:r w:rsidR="00D95E9A" w:rsidRPr="00D06DA3">
        <w:t>Incidence of persistent hiring pressure (%) – proportion of occupations exhibiting high vacancy rates in 18 of the past 24 months</w:t>
      </w:r>
      <w:bookmarkEnd w:id="139"/>
      <w:r w:rsidR="006D6911">
        <w:t xml:space="preserve"> </w:t>
      </w:r>
    </w:p>
    <w:p w14:paraId="7B9D207B" w14:textId="6234BD12" w:rsidR="004B2CCB" w:rsidRDefault="00F0685E" w:rsidP="00394C22">
      <w:pPr>
        <w:rPr>
          <w:rFonts w:eastAsia="Aptos" w:cs="Arial"/>
          <w:b/>
        </w:rPr>
      </w:pPr>
      <w:r>
        <w:rPr>
          <w:rFonts w:eastAsia="Aptos" w:cs="Arial"/>
          <w:b/>
          <w:noProof/>
        </w:rPr>
        <w:drawing>
          <wp:inline distT="0" distB="0" distL="0" distR="0" wp14:anchorId="10E12EB1" wp14:editId="4D56CE29">
            <wp:extent cx="5730875" cy="2865120"/>
            <wp:effectExtent l="0" t="0" r="3175" b="0"/>
            <wp:docPr id="1297492944" name="Picture 52" descr="A line chart that shows the incidence of persistent hiring pressure (%) – proportion of occupations exhibiting high vacancy rates in 18 of the past 24 months. The chart shows that labour shortages have been particularly challenging in Regional Australia, with employers in more than one in 3 occupations in Regional Australia facing persistent hiring press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92944" name="Picture 52" descr="A line chart that shows the incidence of persistent hiring pressure (%) – proportion of occupations exhibiting high vacancy rates in 18 of the past 24 months. The chart shows that labour shortages have been particularly challenging in Regional Australia, with employers in more than one in 3 occupations in Regional Australia facing persistent hiring pressures. "/>
                    <pic:cNvPicPr>
                      <a:picLocks noChangeAspect="1" noChangeArrowheads="1"/>
                    </pic:cNvPicPr>
                  </pic:nvPicPr>
                  <pic:blipFill>
                    <a:blip r:embed="rId71" cstate="email">
                      <a:extLst>
                        <a:ext uri="{28A0092B-C50C-407E-A947-70E740481C1C}">
                          <a14:useLocalDpi xmlns:a14="http://schemas.microsoft.com/office/drawing/2010/main" val="0"/>
                        </a:ext>
                      </a:extLst>
                    </a:blip>
                    <a:srcRect/>
                    <a:stretch>
                      <a:fillRect/>
                    </a:stretch>
                  </pic:blipFill>
                  <pic:spPr bwMode="auto">
                    <a:xfrm>
                      <a:off x="0" y="0"/>
                      <a:ext cx="5730875" cy="2865120"/>
                    </a:xfrm>
                    <a:prstGeom prst="rect">
                      <a:avLst/>
                    </a:prstGeom>
                    <a:noFill/>
                  </pic:spPr>
                </pic:pic>
              </a:graphicData>
            </a:graphic>
          </wp:inline>
        </w:drawing>
      </w:r>
    </w:p>
    <w:p w14:paraId="0C1E3605" w14:textId="7D96902A" w:rsidR="00D95E9A" w:rsidRDefault="00D95E9A" w:rsidP="00D95E9A">
      <w:pPr>
        <w:keepNext/>
        <w:spacing w:line="259" w:lineRule="auto"/>
        <w:rPr>
          <w:rFonts w:eastAsia="Aptos" w:cs="Arial"/>
          <w:i/>
          <w:iCs/>
          <w:sz w:val="20"/>
        </w:rPr>
      </w:pPr>
      <w:r w:rsidRPr="00A42C1F">
        <w:rPr>
          <w:rFonts w:eastAsia="Aptos" w:cs="Arial"/>
          <w:i/>
          <w:sz w:val="18"/>
          <w:szCs w:val="18"/>
        </w:rPr>
        <w:t>Source: JSA Internet Vacancy Index (IVI) and JSA Nowcast of Employment by Region and Occupation (NERO). Excludes occupations with less than 100 employed persons or less than 10 internet vacancies.</w:t>
      </w:r>
      <w:r>
        <w:rPr>
          <w:rFonts w:eastAsia="Aptos" w:cs="Arial"/>
          <w:i/>
          <w:iCs/>
          <w:sz w:val="20"/>
        </w:rPr>
        <w:t xml:space="preserve"> </w:t>
      </w:r>
    </w:p>
    <w:p w14:paraId="05539489" w14:textId="77777777" w:rsidR="00B046A1" w:rsidRDefault="00B046A1" w:rsidP="00B046A1"/>
    <w:tbl>
      <w:tblPr>
        <w:tblStyle w:val="CustomTablepulloutbox2"/>
        <w:tblW w:w="0" w:type="auto"/>
        <w:tblLook w:val="04A0" w:firstRow="1" w:lastRow="0" w:firstColumn="1" w:lastColumn="0" w:noHBand="0" w:noVBand="1"/>
      </w:tblPr>
      <w:tblGrid>
        <w:gridCol w:w="8997"/>
      </w:tblGrid>
      <w:tr w:rsidR="00B046A1" w14:paraId="7E7BE679" w14:textId="77777777">
        <w:trPr>
          <w:trHeight w:val="1713"/>
        </w:trPr>
        <w:tc>
          <w:tcPr>
            <w:tcW w:w="9027" w:type="dxa"/>
          </w:tcPr>
          <w:p w14:paraId="7275FF3E" w14:textId="77777777" w:rsidR="00B046A1" w:rsidRPr="001F17AF" w:rsidRDefault="00B046A1">
            <w:pPr>
              <w:pStyle w:val="BoxHeading"/>
              <w:jc w:val="center"/>
              <w:rPr>
                <w:sz w:val="24"/>
                <w:szCs w:val="24"/>
              </w:rPr>
            </w:pPr>
            <w:r w:rsidRPr="001F17AF">
              <w:rPr>
                <w:sz w:val="24"/>
                <w:szCs w:val="24"/>
              </w:rPr>
              <w:t>Stakeholder insight</w:t>
            </w:r>
          </w:p>
          <w:p w14:paraId="33CDE58F" w14:textId="6FF43DFD" w:rsidR="00B046A1" w:rsidRDefault="00306785">
            <w:pPr>
              <w:spacing w:before="120" w:after="120"/>
              <w:jc w:val="center"/>
              <w:rPr>
                <w:rFonts w:cs="Arial"/>
                <w:i/>
                <w:iCs/>
                <w:sz w:val="22"/>
                <w:szCs w:val="22"/>
              </w:rPr>
            </w:pPr>
            <w:r>
              <w:rPr>
                <w:rFonts w:cs="Arial"/>
                <w:i/>
                <w:iCs/>
                <w:sz w:val="22"/>
                <w:szCs w:val="22"/>
              </w:rPr>
              <w:t>‘</w:t>
            </w:r>
            <w:r w:rsidR="00B046A1" w:rsidRPr="00D804EF">
              <w:rPr>
                <w:rFonts w:cs="Arial"/>
                <w:i/>
                <w:iCs/>
                <w:sz w:val="22"/>
                <w:szCs w:val="22"/>
              </w:rPr>
              <w:t xml:space="preserve">The skills needs of Regional Australia differ from </w:t>
            </w:r>
            <w:r w:rsidR="003A7518">
              <w:rPr>
                <w:rFonts w:cs="Arial"/>
                <w:i/>
                <w:iCs/>
                <w:sz w:val="22"/>
                <w:szCs w:val="22"/>
              </w:rPr>
              <w:t>the Major Cities</w:t>
            </w:r>
            <w:r w:rsidR="00B046A1" w:rsidRPr="00D804EF">
              <w:rPr>
                <w:rFonts w:cs="Arial"/>
                <w:i/>
                <w:iCs/>
                <w:sz w:val="22"/>
                <w:szCs w:val="22"/>
              </w:rPr>
              <w:t xml:space="preserve">, even when looking within the same </w:t>
            </w:r>
            <w:r w:rsidR="00B046A1">
              <w:rPr>
                <w:rFonts w:cs="Arial"/>
                <w:i/>
                <w:iCs/>
                <w:sz w:val="22"/>
                <w:szCs w:val="22"/>
              </w:rPr>
              <w:t>S</w:t>
            </w:r>
            <w:r w:rsidR="00B046A1" w:rsidRPr="00D804EF">
              <w:rPr>
                <w:rFonts w:cs="Arial"/>
                <w:i/>
                <w:iCs/>
                <w:sz w:val="22"/>
                <w:szCs w:val="22"/>
              </w:rPr>
              <w:t xml:space="preserve">tate or </w:t>
            </w:r>
            <w:r w:rsidR="00B046A1">
              <w:rPr>
                <w:rFonts w:cs="Arial"/>
                <w:i/>
                <w:iCs/>
                <w:sz w:val="22"/>
                <w:szCs w:val="22"/>
              </w:rPr>
              <w:t>T</w:t>
            </w:r>
            <w:r w:rsidR="00B046A1" w:rsidRPr="00D804EF">
              <w:rPr>
                <w:rFonts w:cs="Arial"/>
                <w:i/>
                <w:iCs/>
                <w:sz w:val="22"/>
                <w:szCs w:val="22"/>
              </w:rPr>
              <w:t>erritory. The targeting of funding and training programs needs to be better aligned with the workforce needs of regional and remote Australia.</w:t>
            </w:r>
            <w:r>
              <w:rPr>
                <w:rFonts w:cs="Arial"/>
                <w:i/>
                <w:iCs/>
                <w:sz w:val="22"/>
                <w:szCs w:val="22"/>
              </w:rPr>
              <w:t>’</w:t>
            </w:r>
          </w:p>
          <w:p w14:paraId="7CEC787C" w14:textId="77777777" w:rsidR="00B046A1" w:rsidRPr="001F17AF" w:rsidRDefault="00B046A1">
            <w:pPr>
              <w:spacing w:before="120" w:after="120"/>
              <w:jc w:val="center"/>
              <w:rPr>
                <w:rFonts w:cs="Arial"/>
                <w:b/>
                <w:bCs/>
                <w:sz w:val="24"/>
                <w:szCs w:val="24"/>
              </w:rPr>
            </w:pPr>
            <w:r w:rsidRPr="001F17AF">
              <w:rPr>
                <w:rFonts w:cs="Arial"/>
                <w:b/>
                <w:sz w:val="24"/>
                <w:szCs w:val="24"/>
              </w:rPr>
              <w:t>Jimmy Cocking</w:t>
            </w:r>
          </w:p>
          <w:p w14:paraId="16D72F93" w14:textId="77777777" w:rsidR="00B046A1" w:rsidRDefault="00B046A1">
            <w:pPr>
              <w:spacing w:before="120" w:after="120"/>
              <w:jc w:val="center"/>
              <w:rPr>
                <w:rFonts w:cs="Arial"/>
                <w:sz w:val="22"/>
                <w:szCs w:val="22"/>
              </w:rPr>
            </w:pPr>
            <w:r w:rsidRPr="005F6870">
              <w:rPr>
                <w:rFonts w:cs="Arial"/>
                <w:sz w:val="22"/>
                <w:szCs w:val="22"/>
              </w:rPr>
              <w:t>CEO</w:t>
            </w:r>
            <w:r>
              <w:rPr>
                <w:rFonts w:cs="Arial"/>
                <w:sz w:val="22"/>
                <w:szCs w:val="22"/>
              </w:rPr>
              <w:t xml:space="preserve"> </w:t>
            </w:r>
          </w:p>
          <w:p w14:paraId="5848DE10" w14:textId="77777777" w:rsidR="00B046A1" w:rsidRPr="005F6870" w:rsidRDefault="00B046A1">
            <w:pPr>
              <w:spacing w:before="120" w:after="120"/>
              <w:jc w:val="center"/>
              <w:rPr>
                <w:rFonts w:cs="Arial"/>
                <w:sz w:val="22"/>
                <w:szCs w:val="22"/>
              </w:rPr>
            </w:pPr>
            <w:r w:rsidRPr="005F6870">
              <w:rPr>
                <w:rFonts w:cs="Arial"/>
                <w:sz w:val="22"/>
                <w:szCs w:val="22"/>
              </w:rPr>
              <w:t>Desert Knowledge Australia</w:t>
            </w:r>
          </w:p>
        </w:tc>
      </w:tr>
    </w:tbl>
    <w:p w14:paraId="36480E26" w14:textId="77777777" w:rsidR="00B046A1" w:rsidRDefault="00B046A1" w:rsidP="00954EA3">
      <w:pPr>
        <w:pStyle w:val="BodyText"/>
      </w:pPr>
    </w:p>
    <w:p w14:paraId="7E0B249F" w14:textId="390B578E" w:rsidR="00D95E9A" w:rsidRPr="002E13E4" w:rsidRDefault="00ED3DEE" w:rsidP="00954EA3">
      <w:pPr>
        <w:pStyle w:val="BodyText"/>
      </w:pPr>
      <w:r>
        <w:t>The higher incidence of persistent hiring pressure in Regional Australia is consistent</w:t>
      </w:r>
      <w:r w:rsidR="009A4AFA" w:rsidRPr="002F2C56">
        <w:t xml:space="preserve"> with</w:t>
      </w:r>
      <w:r>
        <w:t xml:space="preserve"> </w:t>
      </w:r>
      <w:r w:rsidR="009A4AFA" w:rsidRPr="002F2C56">
        <w:t>JSA</w:t>
      </w:r>
      <w:r>
        <w:t>’s</w:t>
      </w:r>
      <w:r w:rsidR="009A4AFA" w:rsidRPr="002F2C56">
        <w:t xml:space="preserve"> Occupation Shortage List</w:t>
      </w:r>
      <w:r w:rsidR="009A4AFA">
        <w:t xml:space="preserve"> (OSL)</w:t>
      </w:r>
      <w:r w:rsidR="00537396">
        <w:t xml:space="preserve">. The State and Territory ratings </w:t>
      </w:r>
      <w:r w:rsidR="00EB5A52">
        <w:t>of the OSL</w:t>
      </w:r>
      <w:r w:rsidR="00537396">
        <w:t xml:space="preserve"> </w:t>
      </w:r>
      <w:r w:rsidR="00D52C0A">
        <w:t>are typically informed through engagement with the relevant jurisdictions, giving consideration to the national shortage ratings derived by JSA. Analysis</w:t>
      </w:r>
      <w:r w:rsidR="009A4AFA" w:rsidRPr="002F2C56">
        <w:t xml:space="preserve"> shows a sharp rise in the number of occupations that are </w:t>
      </w:r>
      <w:r w:rsidR="00D52C0A">
        <w:t xml:space="preserve">reportedly </w:t>
      </w:r>
      <w:r w:rsidR="009A4AFA" w:rsidRPr="002F2C56">
        <w:t>only in shortage in regional areas in recent years</w:t>
      </w:r>
      <w:r w:rsidR="009A4AFA">
        <w:t xml:space="preserve">. </w:t>
      </w:r>
    </w:p>
    <w:p w14:paraId="7935378C" w14:textId="6357B19A" w:rsidR="00D95E9A" w:rsidRPr="002E13E4" w:rsidRDefault="00F46DB1" w:rsidP="00F46DB1">
      <w:pPr>
        <w:pStyle w:val="Caption"/>
        <w:rPr>
          <w:rFonts w:eastAsia="Times New Roman" w:cs="Arial"/>
          <w:b w:val="0"/>
        </w:rPr>
      </w:pPr>
      <w:bookmarkStart w:id="140" w:name="_Toc201916605"/>
      <w:r>
        <w:lastRenderedPageBreak/>
        <w:t xml:space="preserve">Figure </w:t>
      </w:r>
      <w:r>
        <w:fldChar w:fldCharType="begin"/>
      </w:r>
      <w:r>
        <w:instrText xml:space="preserve"> SEQ Figure \* ARABIC </w:instrText>
      </w:r>
      <w:r>
        <w:fldChar w:fldCharType="separate"/>
      </w:r>
      <w:r w:rsidR="00471863">
        <w:rPr>
          <w:noProof/>
        </w:rPr>
        <w:t>39</w:t>
      </w:r>
      <w:r>
        <w:fldChar w:fldCharType="end"/>
      </w:r>
      <w:r w:rsidR="001B03B7">
        <w:t>:</w:t>
      </w:r>
      <w:r w:rsidR="00D95E9A">
        <w:t xml:space="preserve"> </w:t>
      </w:r>
      <w:r w:rsidR="00D95E9A" w:rsidRPr="006A14B4">
        <w:t xml:space="preserve">Incidence of occupations </w:t>
      </w:r>
      <w:r w:rsidR="00EB5A52">
        <w:t xml:space="preserve">reportedly </w:t>
      </w:r>
      <w:r w:rsidR="00D95E9A" w:rsidRPr="006A14B4">
        <w:t>only exhibiting ‘regional’ shortages</w:t>
      </w:r>
      <w:bookmarkEnd w:id="140"/>
      <w:r w:rsidR="001B03B7">
        <w:t xml:space="preserve"> </w:t>
      </w:r>
    </w:p>
    <w:p w14:paraId="09A0FE62" w14:textId="50263F17" w:rsidR="00D95E9A" w:rsidRDefault="00F0685E" w:rsidP="00D95E9A">
      <w:pPr>
        <w:keepNext/>
        <w:spacing w:line="259" w:lineRule="auto"/>
        <w:rPr>
          <w:rFonts w:eastAsia="Aptos" w:cs="Arial"/>
          <w:i/>
          <w:iCs/>
          <w:sz w:val="20"/>
        </w:rPr>
      </w:pPr>
      <w:r>
        <w:rPr>
          <w:rFonts w:eastAsia="Aptos" w:cs="Arial"/>
          <w:i/>
          <w:iCs/>
          <w:noProof/>
          <w:sz w:val="20"/>
        </w:rPr>
        <w:drawing>
          <wp:inline distT="0" distB="0" distL="0" distR="0" wp14:anchorId="19835CD8" wp14:editId="3C1D1062">
            <wp:extent cx="5474970" cy="2200910"/>
            <wp:effectExtent l="0" t="0" r="0" b="8890"/>
            <wp:docPr id="1101395425" name="Picture 54" descr="A column chart that shows the incidence of occupations reportedly only exhibiting ‘regional’ shortages. The chart shows that the number of occupations reportedly only exhibiting 'regional' shortages has increased in recent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95425" name="Picture 54" descr="A column chart that shows the incidence of occupations reportedly only exhibiting ‘regional’ shortages. The chart shows that the number of occupations reportedly only exhibiting 'regional' shortages has increased in recent years. "/>
                    <pic:cNvPicPr>
                      <a:picLocks noChangeAspect="1" noChangeArrowheads="1"/>
                    </pic:cNvPicPr>
                  </pic:nvPicPr>
                  <pic:blipFill>
                    <a:blip r:embed="rId72" cstate="email">
                      <a:extLst>
                        <a:ext uri="{28A0092B-C50C-407E-A947-70E740481C1C}">
                          <a14:useLocalDpi xmlns:a14="http://schemas.microsoft.com/office/drawing/2010/main" val="0"/>
                        </a:ext>
                      </a:extLst>
                    </a:blip>
                    <a:srcRect/>
                    <a:stretch>
                      <a:fillRect/>
                    </a:stretch>
                  </pic:blipFill>
                  <pic:spPr bwMode="auto">
                    <a:xfrm>
                      <a:off x="0" y="0"/>
                      <a:ext cx="5474970" cy="2200910"/>
                    </a:xfrm>
                    <a:prstGeom prst="rect">
                      <a:avLst/>
                    </a:prstGeom>
                    <a:noFill/>
                  </pic:spPr>
                </pic:pic>
              </a:graphicData>
            </a:graphic>
          </wp:inline>
        </w:drawing>
      </w:r>
    </w:p>
    <w:p w14:paraId="20622434" w14:textId="027F0612" w:rsidR="00D95E9A" w:rsidRPr="002E13E4" w:rsidRDefault="00D95E9A" w:rsidP="00D95E9A">
      <w:pPr>
        <w:keepNext/>
        <w:spacing w:line="259" w:lineRule="auto"/>
        <w:rPr>
          <w:rFonts w:eastAsia="Aptos" w:cs="Arial"/>
          <w:i/>
          <w:sz w:val="18"/>
          <w:szCs w:val="18"/>
        </w:rPr>
      </w:pPr>
      <w:r w:rsidRPr="002E13E4">
        <w:rPr>
          <w:rFonts w:eastAsia="Aptos" w:cs="Arial"/>
          <w:i/>
          <w:sz w:val="18"/>
          <w:szCs w:val="18"/>
        </w:rPr>
        <w:t>Source: JSA Occupational Shortage List, by State and Territory and whether or not an occupation is exhibiting a ‘regional’ shortage. This chart is based only on NSW, QLD, SA, VIC and WA.</w:t>
      </w:r>
    </w:p>
    <w:p w14:paraId="6CB8C3DC" w14:textId="433A8BE4" w:rsidR="00767652" w:rsidRPr="00EB5A52" w:rsidRDefault="00191CD3" w:rsidP="00954EA3">
      <w:pPr>
        <w:pStyle w:val="BodyText"/>
      </w:pPr>
      <w:r>
        <w:t xml:space="preserve">Importantly, </w:t>
      </w:r>
      <w:r w:rsidR="007B6C58">
        <w:t xml:space="preserve">data from the OSL </w:t>
      </w:r>
      <w:r w:rsidR="00C13FEC">
        <w:t xml:space="preserve">shows that </w:t>
      </w:r>
      <w:r w:rsidR="00EC4520">
        <w:t xml:space="preserve">occupations that </w:t>
      </w:r>
      <w:r w:rsidR="00767652" w:rsidRPr="00EB5A52">
        <w:t xml:space="preserve">that emerge as being in shortage only within a regional area of a state often develop into state-wide shortages in subsequent periods. </w:t>
      </w:r>
      <w:r w:rsidR="00EB5A52" w:rsidRPr="00EB5A52">
        <w:t>This</w:t>
      </w:r>
      <w:r w:rsidR="00767652" w:rsidRPr="00EB5A52">
        <w:t xml:space="preserve"> suggests that jobs and skills issues </w:t>
      </w:r>
      <w:r w:rsidR="00EB5A52" w:rsidRPr="00EB5A52">
        <w:t>in Regional Australia</w:t>
      </w:r>
      <w:r w:rsidR="00767652" w:rsidRPr="00EB5A52">
        <w:t xml:space="preserve"> are often a precursor to issues becoming prevalent on a broader scale. Clearly, addressing emerging regional shortages quickly is critical to ensuring shortages do not become broad-based and persistent.</w:t>
      </w:r>
    </w:p>
    <w:p w14:paraId="470AF193" w14:textId="4043E5B5" w:rsidR="00545FBD" w:rsidRPr="00EB5A52" w:rsidRDefault="005B01A8" w:rsidP="00954EA3">
      <w:pPr>
        <w:pStyle w:val="BodyText"/>
      </w:pPr>
      <w:r w:rsidRPr="00EB5A52">
        <w:t xml:space="preserve">Examining JSA’s </w:t>
      </w:r>
      <w:r w:rsidR="00BF6D9E" w:rsidRPr="00EB5A52">
        <w:t>OSL</w:t>
      </w:r>
      <w:r w:rsidRPr="00EB5A52">
        <w:t xml:space="preserve"> more closely, we can </w:t>
      </w:r>
      <w:r w:rsidR="00D52C0A" w:rsidRPr="00EB5A52">
        <w:t>also</w:t>
      </w:r>
      <w:r w:rsidRPr="00EB5A52">
        <w:t xml:space="preserve"> identify a number of </w:t>
      </w:r>
      <w:r w:rsidR="00B06062" w:rsidRPr="00EB5A52">
        <w:t xml:space="preserve">specific </w:t>
      </w:r>
      <w:r w:rsidRPr="00EB5A52">
        <w:t xml:space="preserve">occupations </w:t>
      </w:r>
      <w:r w:rsidR="00D52C0A" w:rsidRPr="00EB5A52">
        <w:t xml:space="preserve">reportedly </w:t>
      </w:r>
      <w:r w:rsidRPr="00EB5A52">
        <w:t xml:space="preserve">facing persistent regional shortages. These are occupations which are only assessed as being in shortage in the regional part of each state, with the number below indicating the number of years the shortage has been limited to just regional areas. This is not to say that other occupations aren’t also in persistent shortage in regional areas, as many occupations are in shortage state or nation-wide. Rather, this shows there are distinct and prevailing shortages in Regional Australia. </w:t>
      </w:r>
    </w:p>
    <w:p w14:paraId="0C5324D5" w14:textId="5E1E7BDA" w:rsidR="00767652" w:rsidRDefault="00222E5B" w:rsidP="00954EA3">
      <w:pPr>
        <w:pStyle w:val="BodyText"/>
      </w:pPr>
      <w:r w:rsidRPr="00222E5B">
        <w:t>Of note are key shortages of Urban and Regional Planners and many occupations in the health sector which may actually be contributing to the prevalence of all other shortages</w:t>
      </w:r>
      <w:r w:rsidR="005B01A8" w:rsidRPr="00EB5A52">
        <w:t>. The prevalence of regional only shortages also appears more apparent in Queensland and Victoria.</w:t>
      </w:r>
      <w:r w:rsidR="005B01A8" w:rsidRPr="002E13E4">
        <w:t xml:space="preserve"> </w:t>
      </w:r>
    </w:p>
    <w:p w14:paraId="0CA9BBAB" w14:textId="5EBCB9A0" w:rsidR="00D95E9A" w:rsidRDefault="00D07DBE" w:rsidP="00D07DBE">
      <w:pPr>
        <w:pStyle w:val="Caption"/>
        <w:rPr>
          <w:rFonts w:eastAsia="Aptos" w:cs="Arial"/>
        </w:rPr>
      </w:pPr>
      <w:r>
        <w:lastRenderedPageBreak/>
        <w:t xml:space="preserve">Table </w:t>
      </w:r>
      <w:r>
        <w:fldChar w:fldCharType="begin"/>
      </w:r>
      <w:r>
        <w:instrText xml:space="preserve"> SEQ Table \* ARABIC </w:instrText>
      </w:r>
      <w:r>
        <w:fldChar w:fldCharType="separate"/>
      </w:r>
      <w:r w:rsidR="00471863">
        <w:rPr>
          <w:noProof/>
        </w:rPr>
        <w:t>25</w:t>
      </w:r>
      <w:r>
        <w:fldChar w:fldCharType="end"/>
      </w:r>
      <w:r>
        <w:t xml:space="preserve">: </w:t>
      </w:r>
      <w:r w:rsidR="00D95E9A" w:rsidRPr="00B13AAC">
        <w:t>Occupations only in regional shortage 2021-2024, including count of times in shortage during the time period</w:t>
      </w:r>
      <w:r w:rsidR="0072147C">
        <w:t xml:space="preserve"> </w:t>
      </w:r>
      <w:r w:rsidR="00A92529">
        <w:t>and States of shortage</w:t>
      </w:r>
    </w:p>
    <w:tbl>
      <w:tblPr>
        <w:tblStyle w:val="CustomTablebasic"/>
        <w:tblW w:w="0" w:type="auto"/>
        <w:tblLook w:val="04A0" w:firstRow="1" w:lastRow="0" w:firstColumn="1" w:lastColumn="0" w:noHBand="0" w:noVBand="1"/>
      </w:tblPr>
      <w:tblGrid>
        <w:gridCol w:w="3939"/>
        <w:gridCol w:w="1017"/>
        <w:gridCol w:w="1018"/>
        <w:gridCol w:w="1017"/>
        <w:gridCol w:w="1018"/>
        <w:gridCol w:w="1018"/>
      </w:tblGrid>
      <w:tr w:rsidR="001809C9" w14:paraId="5B475A8F" w14:textId="77777777">
        <w:trPr>
          <w:cnfStyle w:val="100000000000" w:firstRow="1" w:lastRow="0" w:firstColumn="0" w:lastColumn="0" w:oddVBand="0" w:evenVBand="0" w:oddHBand="0" w:evenHBand="0" w:firstRowFirstColumn="0" w:firstRowLastColumn="0" w:lastRowFirstColumn="0" w:lastRowLastColumn="0"/>
        </w:trPr>
        <w:tc>
          <w:tcPr>
            <w:tcW w:w="3939" w:type="dxa"/>
          </w:tcPr>
          <w:p w14:paraId="6F9F3E0B" w14:textId="77777777" w:rsidR="00862D83" w:rsidRPr="007D4355" w:rsidRDefault="00862D83" w:rsidP="007778C3">
            <w:pPr>
              <w:pStyle w:val="TableHeading1"/>
              <w:keepNext/>
            </w:pPr>
          </w:p>
        </w:tc>
        <w:tc>
          <w:tcPr>
            <w:tcW w:w="1017" w:type="dxa"/>
          </w:tcPr>
          <w:p w14:paraId="4B1C2036" w14:textId="77777777" w:rsidR="00862D83" w:rsidRPr="007D4355" w:rsidRDefault="00862D83" w:rsidP="007778C3">
            <w:pPr>
              <w:pStyle w:val="TableHeading1"/>
              <w:keepNext/>
            </w:pPr>
            <w:r w:rsidRPr="007D4355">
              <w:t>Regional NSW</w:t>
            </w:r>
          </w:p>
        </w:tc>
        <w:tc>
          <w:tcPr>
            <w:tcW w:w="1018" w:type="dxa"/>
          </w:tcPr>
          <w:p w14:paraId="110C86F8" w14:textId="77777777" w:rsidR="00862D83" w:rsidRPr="007D4355" w:rsidRDefault="00862D83" w:rsidP="007778C3">
            <w:pPr>
              <w:pStyle w:val="TableHeading1"/>
              <w:keepNext/>
            </w:pPr>
            <w:r w:rsidRPr="007D4355">
              <w:t>Regional QLD</w:t>
            </w:r>
          </w:p>
        </w:tc>
        <w:tc>
          <w:tcPr>
            <w:tcW w:w="1017" w:type="dxa"/>
          </w:tcPr>
          <w:p w14:paraId="28A29948" w14:textId="77777777" w:rsidR="00862D83" w:rsidRPr="007D4355" w:rsidRDefault="00862D83" w:rsidP="007778C3">
            <w:pPr>
              <w:pStyle w:val="TableHeading1"/>
              <w:keepNext/>
            </w:pPr>
            <w:r w:rsidRPr="007D4355">
              <w:t>Regional SA</w:t>
            </w:r>
          </w:p>
        </w:tc>
        <w:tc>
          <w:tcPr>
            <w:tcW w:w="1018" w:type="dxa"/>
          </w:tcPr>
          <w:p w14:paraId="00DF3A0C" w14:textId="77777777" w:rsidR="00862D83" w:rsidRPr="007D4355" w:rsidRDefault="00862D83" w:rsidP="007778C3">
            <w:pPr>
              <w:pStyle w:val="TableHeading1"/>
              <w:keepNext/>
            </w:pPr>
            <w:r w:rsidRPr="007D4355">
              <w:t>Regional VIC</w:t>
            </w:r>
          </w:p>
        </w:tc>
        <w:tc>
          <w:tcPr>
            <w:tcW w:w="1018" w:type="dxa"/>
          </w:tcPr>
          <w:p w14:paraId="0EC29E80" w14:textId="77777777" w:rsidR="00862D83" w:rsidRPr="007D4355" w:rsidRDefault="00862D83" w:rsidP="007778C3">
            <w:pPr>
              <w:pStyle w:val="TableHeading1"/>
              <w:keepNext/>
            </w:pPr>
            <w:r w:rsidRPr="007D4355">
              <w:t>Regional WA</w:t>
            </w:r>
          </w:p>
        </w:tc>
      </w:tr>
      <w:tr w:rsidR="00862D83" w14:paraId="3CECD61A" w14:textId="77777777">
        <w:tc>
          <w:tcPr>
            <w:tcW w:w="3939" w:type="dxa"/>
          </w:tcPr>
          <w:p w14:paraId="5B69FEEB" w14:textId="77777777" w:rsidR="00862D83" w:rsidRPr="00420D85" w:rsidRDefault="00862D83" w:rsidP="007778C3">
            <w:pPr>
              <w:pStyle w:val="TableBodyText"/>
              <w:keepNext/>
            </w:pPr>
            <w:r w:rsidRPr="00420D85">
              <w:t>Urban and Regional Planner</w:t>
            </w:r>
          </w:p>
        </w:tc>
        <w:tc>
          <w:tcPr>
            <w:tcW w:w="1017" w:type="dxa"/>
          </w:tcPr>
          <w:p w14:paraId="0C657329" w14:textId="77777777" w:rsidR="00862D83" w:rsidRPr="00420D85" w:rsidRDefault="00862D83" w:rsidP="007778C3">
            <w:pPr>
              <w:pStyle w:val="TableBodyText"/>
              <w:keepNext/>
            </w:pPr>
            <w:r w:rsidRPr="00420D85">
              <w:t>1</w:t>
            </w:r>
          </w:p>
        </w:tc>
        <w:tc>
          <w:tcPr>
            <w:tcW w:w="1018" w:type="dxa"/>
          </w:tcPr>
          <w:p w14:paraId="2AFFB40D" w14:textId="77777777" w:rsidR="00862D83" w:rsidRPr="00420D85" w:rsidRDefault="00862D83" w:rsidP="007778C3">
            <w:pPr>
              <w:pStyle w:val="TableBodyText"/>
              <w:keepNext/>
            </w:pPr>
            <w:r w:rsidRPr="00420D85">
              <w:t>2</w:t>
            </w:r>
          </w:p>
        </w:tc>
        <w:tc>
          <w:tcPr>
            <w:tcW w:w="1017" w:type="dxa"/>
          </w:tcPr>
          <w:p w14:paraId="2EAB2D7E" w14:textId="77777777" w:rsidR="00862D83" w:rsidRPr="00420D85" w:rsidRDefault="00862D83" w:rsidP="007778C3">
            <w:pPr>
              <w:pStyle w:val="TableBodyText"/>
              <w:keepNext/>
            </w:pPr>
            <w:r w:rsidRPr="00420D85">
              <w:t>2</w:t>
            </w:r>
          </w:p>
        </w:tc>
        <w:tc>
          <w:tcPr>
            <w:tcW w:w="1018" w:type="dxa"/>
          </w:tcPr>
          <w:p w14:paraId="77FCFB49" w14:textId="77777777" w:rsidR="00862D83" w:rsidRPr="00420D85" w:rsidRDefault="00862D83" w:rsidP="007778C3">
            <w:pPr>
              <w:pStyle w:val="TableBodyText"/>
              <w:keepNext/>
            </w:pPr>
            <w:r w:rsidRPr="00420D85">
              <w:t>2</w:t>
            </w:r>
          </w:p>
        </w:tc>
        <w:tc>
          <w:tcPr>
            <w:tcW w:w="1018" w:type="dxa"/>
          </w:tcPr>
          <w:p w14:paraId="3F41086B" w14:textId="77777777" w:rsidR="00862D83" w:rsidRPr="00420D85" w:rsidRDefault="00862D83" w:rsidP="007778C3">
            <w:pPr>
              <w:pStyle w:val="TableBodyText"/>
              <w:keepNext/>
            </w:pPr>
            <w:r w:rsidRPr="00420D85">
              <w:t>3</w:t>
            </w:r>
          </w:p>
        </w:tc>
      </w:tr>
      <w:tr w:rsidR="001809C9" w14:paraId="7E39A4A5" w14:textId="77777777">
        <w:trPr>
          <w:cnfStyle w:val="000000010000" w:firstRow="0" w:lastRow="0" w:firstColumn="0" w:lastColumn="0" w:oddVBand="0" w:evenVBand="0" w:oddHBand="0" w:evenHBand="1" w:firstRowFirstColumn="0" w:firstRowLastColumn="0" w:lastRowFirstColumn="0" w:lastRowLastColumn="0"/>
        </w:trPr>
        <w:tc>
          <w:tcPr>
            <w:tcW w:w="3939" w:type="dxa"/>
          </w:tcPr>
          <w:p w14:paraId="64DE6621" w14:textId="77777777" w:rsidR="00862D83" w:rsidRPr="00420D85" w:rsidRDefault="00862D83" w:rsidP="007778C3">
            <w:pPr>
              <w:pStyle w:val="TableBodyText"/>
              <w:keepNext/>
            </w:pPr>
            <w:r w:rsidRPr="00420D85">
              <w:t>Anaesthetist</w:t>
            </w:r>
          </w:p>
        </w:tc>
        <w:tc>
          <w:tcPr>
            <w:tcW w:w="1017" w:type="dxa"/>
          </w:tcPr>
          <w:p w14:paraId="4300F327" w14:textId="77777777" w:rsidR="00862D83" w:rsidRPr="00420D85" w:rsidRDefault="00862D83" w:rsidP="007778C3">
            <w:pPr>
              <w:pStyle w:val="TableBodyText"/>
              <w:keepNext/>
            </w:pPr>
            <w:r w:rsidRPr="00420D85">
              <w:t>2</w:t>
            </w:r>
          </w:p>
        </w:tc>
        <w:tc>
          <w:tcPr>
            <w:tcW w:w="1018" w:type="dxa"/>
          </w:tcPr>
          <w:p w14:paraId="167CFFFA" w14:textId="77777777" w:rsidR="00862D83" w:rsidRPr="00420D85" w:rsidRDefault="00862D83" w:rsidP="007778C3">
            <w:pPr>
              <w:pStyle w:val="TableBodyText"/>
              <w:keepNext/>
            </w:pPr>
            <w:r w:rsidRPr="00420D85">
              <w:t>2</w:t>
            </w:r>
          </w:p>
        </w:tc>
        <w:tc>
          <w:tcPr>
            <w:tcW w:w="1017" w:type="dxa"/>
          </w:tcPr>
          <w:p w14:paraId="5474E75F" w14:textId="77777777" w:rsidR="00862D83" w:rsidRPr="00420D85" w:rsidRDefault="00862D83" w:rsidP="007778C3">
            <w:pPr>
              <w:pStyle w:val="TableBodyText"/>
              <w:keepNext/>
            </w:pPr>
            <w:r w:rsidRPr="00420D85">
              <w:t>2</w:t>
            </w:r>
          </w:p>
        </w:tc>
        <w:tc>
          <w:tcPr>
            <w:tcW w:w="1018" w:type="dxa"/>
          </w:tcPr>
          <w:p w14:paraId="23DD0147" w14:textId="77777777" w:rsidR="00862D83" w:rsidRPr="00420D85" w:rsidRDefault="00862D83" w:rsidP="007778C3">
            <w:pPr>
              <w:pStyle w:val="TableBodyText"/>
              <w:keepNext/>
            </w:pPr>
            <w:r w:rsidRPr="00420D85">
              <w:t>2</w:t>
            </w:r>
          </w:p>
        </w:tc>
        <w:tc>
          <w:tcPr>
            <w:tcW w:w="1018" w:type="dxa"/>
          </w:tcPr>
          <w:p w14:paraId="7086CB7E" w14:textId="77777777" w:rsidR="00862D83" w:rsidRPr="00420D85" w:rsidRDefault="00862D83" w:rsidP="007778C3">
            <w:pPr>
              <w:pStyle w:val="TableBodyText"/>
              <w:keepNext/>
            </w:pPr>
            <w:r w:rsidRPr="00420D85">
              <w:t>2</w:t>
            </w:r>
          </w:p>
        </w:tc>
      </w:tr>
      <w:tr w:rsidR="00862D83" w14:paraId="2ABDE40E" w14:textId="77777777">
        <w:tc>
          <w:tcPr>
            <w:tcW w:w="3939" w:type="dxa"/>
          </w:tcPr>
          <w:p w14:paraId="046E4229" w14:textId="77777777" w:rsidR="00862D83" w:rsidRPr="00420D85" w:rsidRDefault="00862D83" w:rsidP="007778C3">
            <w:pPr>
              <w:pStyle w:val="TableBodyText"/>
              <w:keepNext/>
            </w:pPr>
            <w:r w:rsidRPr="00420D85">
              <w:t>Obstetrician and Gynaecologist</w:t>
            </w:r>
          </w:p>
        </w:tc>
        <w:tc>
          <w:tcPr>
            <w:tcW w:w="1017" w:type="dxa"/>
          </w:tcPr>
          <w:p w14:paraId="14ECC7E2" w14:textId="77777777" w:rsidR="00862D83" w:rsidRPr="00420D85" w:rsidRDefault="00862D83" w:rsidP="007778C3">
            <w:pPr>
              <w:pStyle w:val="TableBodyText"/>
              <w:keepNext/>
            </w:pPr>
            <w:r w:rsidRPr="00420D85">
              <w:t>2</w:t>
            </w:r>
          </w:p>
        </w:tc>
        <w:tc>
          <w:tcPr>
            <w:tcW w:w="1018" w:type="dxa"/>
          </w:tcPr>
          <w:p w14:paraId="5ABCEA4A" w14:textId="77777777" w:rsidR="00862D83" w:rsidRPr="00420D85" w:rsidRDefault="00862D83" w:rsidP="007778C3">
            <w:pPr>
              <w:pStyle w:val="TableBodyText"/>
              <w:keepNext/>
            </w:pPr>
            <w:r w:rsidRPr="00420D85">
              <w:t>2</w:t>
            </w:r>
          </w:p>
        </w:tc>
        <w:tc>
          <w:tcPr>
            <w:tcW w:w="1017" w:type="dxa"/>
          </w:tcPr>
          <w:p w14:paraId="1C74F3C6" w14:textId="77777777" w:rsidR="00862D83" w:rsidRPr="00420D85" w:rsidRDefault="00862D83" w:rsidP="007778C3">
            <w:pPr>
              <w:pStyle w:val="TableBodyText"/>
              <w:keepNext/>
            </w:pPr>
            <w:r w:rsidRPr="00420D85">
              <w:t>2</w:t>
            </w:r>
          </w:p>
        </w:tc>
        <w:tc>
          <w:tcPr>
            <w:tcW w:w="1018" w:type="dxa"/>
          </w:tcPr>
          <w:p w14:paraId="4DB8B311" w14:textId="77777777" w:rsidR="00862D83" w:rsidRPr="00420D85" w:rsidRDefault="00862D83" w:rsidP="007778C3">
            <w:pPr>
              <w:pStyle w:val="TableBodyText"/>
              <w:keepNext/>
            </w:pPr>
            <w:r w:rsidRPr="00420D85">
              <w:t>2</w:t>
            </w:r>
          </w:p>
        </w:tc>
        <w:tc>
          <w:tcPr>
            <w:tcW w:w="1018" w:type="dxa"/>
          </w:tcPr>
          <w:p w14:paraId="41BA7F99" w14:textId="77777777" w:rsidR="00862D83" w:rsidRPr="00420D85" w:rsidRDefault="00862D83" w:rsidP="007778C3">
            <w:pPr>
              <w:pStyle w:val="TableBodyText"/>
              <w:keepNext/>
            </w:pPr>
            <w:r w:rsidRPr="00420D85">
              <w:t>2</w:t>
            </w:r>
          </w:p>
        </w:tc>
      </w:tr>
      <w:tr w:rsidR="001809C9" w14:paraId="4176BCCF" w14:textId="77777777">
        <w:trPr>
          <w:cnfStyle w:val="000000010000" w:firstRow="0" w:lastRow="0" w:firstColumn="0" w:lastColumn="0" w:oddVBand="0" w:evenVBand="0" w:oddHBand="0" w:evenHBand="1" w:firstRowFirstColumn="0" w:firstRowLastColumn="0" w:lastRowFirstColumn="0" w:lastRowLastColumn="0"/>
        </w:trPr>
        <w:tc>
          <w:tcPr>
            <w:tcW w:w="3939" w:type="dxa"/>
          </w:tcPr>
          <w:p w14:paraId="51E2ADE6" w14:textId="77777777" w:rsidR="00862D83" w:rsidRPr="00420D85" w:rsidRDefault="00862D83" w:rsidP="007778C3">
            <w:pPr>
              <w:pStyle w:val="TableBodyText"/>
              <w:keepNext/>
            </w:pPr>
            <w:r w:rsidRPr="00420D85">
              <w:t>Diagnostic &amp; Interventional Radiologist</w:t>
            </w:r>
          </w:p>
        </w:tc>
        <w:tc>
          <w:tcPr>
            <w:tcW w:w="1017" w:type="dxa"/>
          </w:tcPr>
          <w:p w14:paraId="00362EF8" w14:textId="77777777" w:rsidR="00862D83" w:rsidRPr="00420D85" w:rsidRDefault="00862D83" w:rsidP="007778C3">
            <w:pPr>
              <w:pStyle w:val="TableBodyText"/>
              <w:keepNext/>
            </w:pPr>
            <w:r w:rsidRPr="00420D85">
              <w:t>2</w:t>
            </w:r>
          </w:p>
        </w:tc>
        <w:tc>
          <w:tcPr>
            <w:tcW w:w="1018" w:type="dxa"/>
          </w:tcPr>
          <w:p w14:paraId="39B48E7A" w14:textId="77777777" w:rsidR="00862D83" w:rsidRPr="00420D85" w:rsidRDefault="00862D83" w:rsidP="007778C3">
            <w:pPr>
              <w:pStyle w:val="TableBodyText"/>
              <w:keepNext/>
            </w:pPr>
            <w:r w:rsidRPr="00420D85">
              <w:t>2</w:t>
            </w:r>
          </w:p>
        </w:tc>
        <w:tc>
          <w:tcPr>
            <w:tcW w:w="1017" w:type="dxa"/>
          </w:tcPr>
          <w:p w14:paraId="5ECAA281" w14:textId="77777777" w:rsidR="00862D83" w:rsidRPr="00420D85" w:rsidRDefault="00862D83" w:rsidP="007778C3">
            <w:pPr>
              <w:pStyle w:val="TableBodyText"/>
              <w:keepNext/>
            </w:pPr>
            <w:r w:rsidRPr="00420D85">
              <w:t>2</w:t>
            </w:r>
          </w:p>
        </w:tc>
        <w:tc>
          <w:tcPr>
            <w:tcW w:w="1018" w:type="dxa"/>
          </w:tcPr>
          <w:p w14:paraId="1EC92255" w14:textId="77777777" w:rsidR="00862D83" w:rsidRPr="00420D85" w:rsidRDefault="00862D83" w:rsidP="007778C3">
            <w:pPr>
              <w:pStyle w:val="TableBodyText"/>
              <w:keepNext/>
            </w:pPr>
            <w:r w:rsidRPr="00420D85">
              <w:t>2</w:t>
            </w:r>
          </w:p>
        </w:tc>
        <w:tc>
          <w:tcPr>
            <w:tcW w:w="1018" w:type="dxa"/>
          </w:tcPr>
          <w:p w14:paraId="2536C6D6" w14:textId="77777777" w:rsidR="00862D83" w:rsidRPr="00420D85" w:rsidRDefault="00862D83" w:rsidP="007778C3">
            <w:pPr>
              <w:pStyle w:val="TableBodyText"/>
              <w:keepNext/>
            </w:pPr>
            <w:r w:rsidRPr="00420D85">
              <w:t>2</w:t>
            </w:r>
          </w:p>
        </w:tc>
      </w:tr>
      <w:tr w:rsidR="00862D83" w14:paraId="6A55CD67" w14:textId="77777777">
        <w:tc>
          <w:tcPr>
            <w:tcW w:w="3939" w:type="dxa"/>
          </w:tcPr>
          <w:p w14:paraId="03362C77" w14:textId="77777777" w:rsidR="00862D83" w:rsidRPr="00420D85" w:rsidRDefault="00862D83" w:rsidP="007778C3">
            <w:pPr>
              <w:pStyle w:val="TableBodyText"/>
              <w:keepNext/>
            </w:pPr>
            <w:r w:rsidRPr="00420D85">
              <w:t>Hospital Pharmacist</w:t>
            </w:r>
          </w:p>
        </w:tc>
        <w:tc>
          <w:tcPr>
            <w:tcW w:w="1017" w:type="dxa"/>
          </w:tcPr>
          <w:p w14:paraId="50548DD9" w14:textId="77777777" w:rsidR="00862D83" w:rsidRPr="00420D85" w:rsidRDefault="00862D83" w:rsidP="007778C3">
            <w:pPr>
              <w:pStyle w:val="TableBodyText"/>
              <w:keepNext/>
            </w:pPr>
            <w:r w:rsidRPr="00420D85">
              <w:t>1</w:t>
            </w:r>
          </w:p>
        </w:tc>
        <w:tc>
          <w:tcPr>
            <w:tcW w:w="1018" w:type="dxa"/>
          </w:tcPr>
          <w:p w14:paraId="56D295A6" w14:textId="77777777" w:rsidR="00862D83" w:rsidRPr="00420D85" w:rsidRDefault="00862D83" w:rsidP="007778C3">
            <w:pPr>
              <w:pStyle w:val="TableBodyText"/>
              <w:keepNext/>
            </w:pPr>
            <w:r w:rsidRPr="00420D85">
              <w:t>2</w:t>
            </w:r>
          </w:p>
        </w:tc>
        <w:tc>
          <w:tcPr>
            <w:tcW w:w="1017" w:type="dxa"/>
          </w:tcPr>
          <w:p w14:paraId="67C3EDA6" w14:textId="77777777" w:rsidR="00862D83" w:rsidRPr="00420D85" w:rsidRDefault="00862D83" w:rsidP="007778C3">
            <w:pPr>
              <w:pStyle w:val="TableBodyText"/>
              <w:keepNext/>
            </w:pPr>
            <w:r w:rsidRPr="00420D85">
              <w:t>2</w:t>
            </w:r>
          </w:p>
        </w:tc>
        <w:tc>
          <w:tcPr>
            <w:tcW w:w="1018" w:type="dxa"/>
          </w:tcPr>
          <w:p w14:paraId="6280EC2B" w14:textId="77777777" w:rsidR="00862D83" w:rsidRPr="00420D85" w:rsidRDefault="00862D83" w:rsidP="007778C3">
            <w:pPr>
              <w:pStyle w:val="TableBodyText"/>
              <w:keepNext/>
            </w:pPr>
            <w:r w:rsidRPr="00420D85">
              <w:t>2</w:t>
            </w:r>
          </w:p>
        </w:tc>
        <w:tc>
          <w:tcPr>
            <w:tcW w:w="1018" w:type="dxa"/>
          </w:tcPr>
          <w:p w14:paraId="06F118EC" w14:textId="77777777" w:rsidR="00862D83" w:rsidRPr="00420D85" w:rsidRDefault="00862D83" w:rsidP="007778C3">
            <w:pPr>
              <w:pStyle w:val="TableBodyText"/>
              <w:keepNext/>
            </w:pPr>
            <w:r w:rsidRPr="00420D85">
              <w:t>2</w:t>
            </w:r>
          </w:p>
        </w:tc>
      </w:tr>
      <w:tr w:rsidR="001809C9" w14:paraId="426C541A" w14:textId="77777777">
        <w:trPr>
          <w:cnfStyle w:val="000000010000" w:firstRow="0" w:lastRow="0" w:firstColumn="0" w:lastColumn="0" w:oddVBand="0" w:evenVBand="0" w:oddHBand="0" w:evenHBand="1" w:firstRowFirstColumn="0" w:firstRowLastColumn="0" w:lastRowFirstColumn="0" w:lastRowLastColumn="0"/>
        </w:trPr>
        <w:tc>
          <w:tcPr>
            <w:tcW w:w="3939" w:type="dxa"/>
          </w:tcPr>
          <w:p w14:paraId="78B5E70B" w14:textId="77777777" w:rsidR="00862D83" w:rsidRPr="00420D85" w:rsidRDefault="00862D83" w:rsidP="007778C3">
            <w:pPr>
              <w:pStyle w:val="TableBodyText"/>
              <w:keepNext/>
            </w:pPr>
            <w:r w:rsidRPr="00420D85">
              <w:t>Environmental Health Officer</w:t>
            </w:r>
          </w:p>
        </w:tc>
        <w:tc>
          <w:tcPr>
            <w:tcW w:w="1017" w:type="dxa"/>
          </w:tcPr>
          <w:p w14:paraId="756D9025" w14:textId="77777777" w:rsidR="00862D83" w:rsidRPr="00420D85" w:rsidRDefault="00862D83" w:rsidP="007778C3">
            <w:pPr>
              <w:pStyle w:val="TableBodyText"/>
              <w:keepNext/>
            </w:pPr>
            <w:r w:rsidRPr="00420D85">
              <w:t>0</w:t>
            </w:r>
          </w:p>
        </w:tc>
        <w:tc>
          <w:tcPr>
            <w:tcW w:w="1018" w:type="dxa"/>
          </w:tcPr>
          <w:p w14:paraId="073FE517" w14:textId="77777777" w:rsidR="00862D83" w:rsidRPr="00420D85" w:rsidRDefault="00862D83" w:rsidP="007778C3">
            <w:pPr>
              <w:pStyle w:val="TableBodyText"/>
              <w:keepNext/>
            </w:pPr>
            <w:r w:rsidRPr="00420D85">
              <w:t>2</w:t>
            </w:r>
          </w:p>
        </w:tc>
        <w:tc>
          <w:tcPr>
            <w:tcW w:w="1017" w:type="dxa"/>
          </w:tcPr>
          <w:p w14:paraId="39444A65" w14:textId="77777777" w:rsidR="00862D83" w:rsidRPr="00420D85" w:rsidRDefault="00862D83" w:rsidP="007778C3">
            <w:pPr>
              <w:pStyle w:val="TableBodyText"/>
              <w:keepNext/>
            </w:pPr>
            <w:r w:rsidRPr="00420D85">
              <w:t>2</w:t>
            </w:r>
          </w:p>
        </w:tc>
        <w:tc>
          <w:tcPr>
            <w:tcW w:w="1018" w:type="dxa"/>
          </w:tcPr>
          <w:p w14:paraId="0BE6D086" w14:textId="77777777" w:rsidR="00862D83" w:rsidRPr="00420D85" w:rsidRDefault="00862D83" w:rsidP="007778C3">
            <w:pPr>
              <w:pStyle w:val="TableBodyText"/>
              <w:keepNext/>
            </w:pPr>
            <w:r w:rsidRPr="00420D85">
              <w:t>1</w:t>
            </w:r>
          </w:p>
        </w:tc>
        <w:tc>
          <w:tcPr>
            <w:tcW w:w="1018" w:type="dxa"/>
          </w:tcPr>
          <w:p w14:paraId="30DA5143" w14:textId="77777777" w:rsidR="00862D83" w:rsidRPr="00420D85" w:rsidRDefault="00862D83" w:rsidP="007778C3">
            <w:pPr>
              <w:pStyle w:val="TableBodyText"/>
              <w:keepNext/>
            </w:pPr>
            <w:r w:rsidRPr="00420D85">
              <w:t>2</w:t>
            </w:r>
          </w:p>
        </w:tc>
      </w:tr>
      <w:tr w:rsidR="00862D83" w14:paraId="1E46400E" w14:textId="77777777">
        <w:tc>
          <w:tcPr>
            <w:tcW w:w="3939" w:type="dxa"/>
          </w:tcPr>
          <w:p w14:paraId="50E33E57" w14:textId="77777777" w:rsidR="00862D83" w:rsidRPr="00420D85" w:rsidRDefault="00862D83" w:rsidP="007778C3">
            <w:pPr>
              <w:pStyle w:val="TableBodyText"/>
              <w:keepNext/>
            </w:pPr>
            <w:r w:rsidRPr="00420D85">
              <w:t>Retail Manager (General)</w:t>
            </w:r>
          </w:p>
        </w:tc>
        <w:tc>
          <w:tcPr>
            <w:tcW w:w="1017" w:type="dxa"/>
          </w:tcPr>
          <w:p w14:paraId="38DB61BA" w14:textId="77777777" w:rsidR="00862D83" w:rsidRPr="00420D85" w:rsidRDefault="00862D83" w:rsidP="007778C3">
            <w:pPr>
              <w:pStyle w:val="TableBodyText"/>
              <w:keepNext/>
            </w:pPr>
            <w:r w:rsidRPr="00420D85">
              <w:t>1</w:t>
            </w:r>
          </w:p>
        </w:tc>
        <w:tc>
          <w:tcPr>
            <w:tcW w:w="1018" w:type="dxa"/>
          </w:tcPr>
          <w:p w14:paraId="5340F968" w14:textId="77777777" w:rsidR="00862D83" w:rsidRPr="00420D85" w:rsidRDefault="00862D83" w:rsidP="007778C3">
            <w:pPr>
              <w:pStyle w:val="TableBodyText"/>
              <w:keepNext/>
            </w:pPr>
            <w:r w:rsidRPr="00420D85">
              <w:t>2</w:t>
            </w:r>
          </w:p>
        </w:tc>
        <w:tc>
          <w:tcPr>
            <w:tcW w:w="1017" w:type="dxa"/>
          </w:tcPr>
          <w:p w14:paraId="7EACE6A4" w14:textId="77777777" w:rsidR="00862D83" w:rsidRPr="00420D85" w:rsidRDefault="00862D83" w:rsidP="007778C3">
            <w:pPr>
              <w:pStyle w:val="TableBodyText"/>
              <w:keepNext/>
            </w:pPr>
            <w:r w:rsidRPr="00420D85">
              <w:t>2</w:t>
            </w:r>
          </w:p>
        </w:tc>
        <w:tc>
          <w:tcPr>
            <w:tcW w:w="1018" w:type="dxa"/>
          </w:tcPr>
          <w:p w14:paraId="4A1915F1" w14:textId="77777777" w:rsidR="00862D83" w:rsidRPr="00420D85" w:rsidRDefault="00862D83" w:rsidP="007778C3">
            <w:pPr>
              <w:pStyle w:val="TableBodyText"/>
              <w:keepNext/>
            </w:pPr>
            <w:r w:rsidRPr="00420D85">
              <w:t>1</w:t>
            </w:r>
          </w:p>
        </w:tc>
        <w:tc>
          <w:tcPr>
            <w:tcW w:w="1018" w:type="dxa"/>
          </w:tcPr>
          <w:p w14:paraId="3F6B9BD6" w14:textId="77777777" w:rsidR="00862D83" w:rsidRPr="00420D85" w:rsidRDefault="00862D83" w:rsidP="007778C3">
            <w:pPr>
              <w:pStyle w:val="TableBodyText"/>
              <w:keepNext/>
            </w:pPr>
            <w:r w:rsidRPr="00420D85">
              <w:t>2</w:t>
            </w:r>
          </w:p>
        </w:tc>
      </w:tr>
      <w:tr w:rsidR="001809C9" w14:paraId="12788221" w14:textId="77777777">
        <w:trPr>
          <w:cnfStyle w:val="000000010000" w:firstRow="0" w:lastRow="0" w:firstColumn="0" w:lastColumn="0" w:oddVBand="0" w:evenVBand="0" w:oddHBand="0" w:evenHBand="1" w:firstRowFirstColumn="0" w:firstRowLastColumn="0" w:lastRowFirstColumn="0" w:lastRowLastColumn="0"/>
        </w:trPr>
        <w:tc>
          <w:tcPr>
            <w:tcW w:w="3939" w:type="dxa"/>
          </w:tcPr>
          <w:p w14:paraId="08140E5D" w14:textId="77777777" w:rsidR="00862D83" w:rsidRPr="00420D85" w:rsidRDefault="00862D83" w:rsidP="007778C3">
            <w:pPr>
              <w:pStyle w:val="TableBodyText"/>
              <w:keepNext/>
            </w:pPr>
            <w:r w:rsidRPr="00420D85">
              <w:t>Optometrist</w:t>
            </w:r>
          </w:p>
        </w:tc>
        <w:tc>
          <w:tcPr>
            <w:tcW w:w="1017" w:type="dxa"/>
          </w:tcPr>
          <w:p w14:paraId="0477BEE2" w14:textId="77777777" w:rsidR="00862D83" w:rsidRPr="00420D85" w:rsidRDefault="00862D83" w:rsidP="007778C3">
            <w:pPr>
              <w:pStyle w:val="TableBodyText"/>
              <w:keepNext/>
            </w:pPr>
            <w:r w:rsidRPr="00420D85">
              <w:t>1</w:t>
            </w:r>
          </w:p>
        </w:tc>
        <w:tc>
          <w:tcPr>
            <w:tcW w:w="1018" w:type="dxa"/>
          </w:tcPr>
          <w:p w14:paraId="00E2A751" w14:textId="77777777" w:rsidR="00862D83" w:rsidRPr="00420D85" w:rsidRDefault="00862D83" w:rsidP="007778C3">
            <w:pPr>
              <w:pStyle w:val="TableBodyText"/>
              <w:keepNext/>
            </w:pPr>
            <w:r w:rsidRPr="00420D85">
              <w:t>3</w:t>
            </w:r>
          </w:p>
        </w:tc>
        <w:tc>
          <w:tcPr>
            <w:tcW w:w="1017" w:type="dxa"/>
          </w:tcPr>
          <w:p w14:paraId="12397F48" w14:textId="77777777" w:rsidR="00862D83" w:rsidRPr="00420D85" w:rsidRDefault="00862D83" w:rsidP="007778C3">
            <w:pPr>
              <w:pStyle w:val="TableBodyText"/>
              <w:keepNext/>
            </w:pPr>
            <w:r w:rsidRPr="00420D85">
              <w:t>1</w:t>
            </w:r>
          </w:p>
        </w:tc>
        <w:tc>
          <w:tcPr>
            <w:tcW w:w="1018" w:type="dxa"/>
          </w:tcPr>
          <w:p w14:paraId="42D4B11E" w14:textId="77777777" w:rsidR="00862D83" w:rsidRPr="00420D85" w:rsidRDefault="00862D83" w:rsidP="007778C3">
            <w:pPr>
              <w:pStyle w:val="TableBodyText"/>
              <w:keepNext/>
            </w:pPr>
            <w:r w:rsidRPr="00420D85">
              <w:t>1</w:t>
            </w:r>
          </w:p>
        </w:tc>
        <w:tc>
          <w:tcPr>
            <w:tcW w:w="1018" w:type="dxa"/>
          </w:tcPr>
          <w:p w14:paraId="749BA792" w14:textId="77777777" w:rsidR="00862D83" w:rsidRPr="00420D85" w:rsidRDefault="00862D83" w:rsidP="007778C3">
            <w:pPr>
              <w:pStyle w:val="TableBodyText"/>
              <w:keepNext/>
            </w:pPr>
            <w:r w:rsidRPr="00420D85">
              <w:t>1</w:t>
            </w:r>
          </w:p>
        </w:tc>
      </w:tr>
      <w:tr w:rsidR="00862D83" w14:paraId="08D69FE0" w14:textId="77777777">
        <w:tc>
          <w:tcPr>
            <w:tcW w:w="3939" w:type="dxa"/>
          </w:tcPr>
          <w:p w14:paraId="3424E9A8" w14:textId="77777777" w:rsidR="00862D83" w:rsidRPr="00420D85" w:rsidRDefault="00862D83" w:rsidP="007778C3">
            <w:pPr>
              <w:pStyle w:val="TableBodyText"/>
              <w:keepNext/>
            </w:pPr>
            <w:r w:rsidRPr="00420D85">
              <w:t>Liaison Officer</w:t>
            </w:r>
          </w:p>
        </w:tc>
        <w:tc>
          <w:tcPr>
            <w:tcW w:w="1017" w:type="dxa"/>
          </w:tcPr>
          <w:p w14:paraId="07249851" w14:textId="77777777" w:rsidR="00862D83" w:rsidRPr="00420D85" w:rsidRDefault="00862D83" w:rsidP="007778C3">
            <w:pPr>
              <w:pStyle w:val="TableBodyText"/>
              <w:keepNext/>
            </w:pPr>
            <w:r w:rsidRPr="00420D85">
              <w:t>1</w:t>
            </w:r>
          </w:p>
        </w:tc>
        <w:tc>
          <w:tcPr>
            <w:tcW w:w="1018" w:type="dxa"/>
          </w:tcPr>
          <w:p w14:paraId="21F41D71" w14:textId="77777777" w:rsidR="00862D83" w:rsidRPr="00420D85" w:rsidRDefault="00862D83" w:rsidP="007778C3">
            <w:pPr>
              <w:pStyle w:val="TableBodyText"/>
              <w:keepNext/>
            </w:pPr>
            <w:r w:rsidRPr="00420D85">
              <w:t>2</w:t>
            </w:r>
          </w:p>
        </w:tc>
        <w:tc>
          <w:tcPr>
            <w:tcW w:w="1017" w:type="dxa"/>
          </w:tcPr>
          <w:p w14:paraId="2D1A2C81" w14:textId="77777777" w:rsidR="00862D83" w:rsidRPr="00420D85" w:rsidRDefault="00862D83" w:rsidP="007778C3">
            <w:pPr>
              <w:pStyle w:val="TableBodyText"/>
              <w:keepNext/>
            </w:pPr>
            <w:r w:rsidRPr="00420D85">
              <w:t>2</w:t>
            </w:r>
          </w:p>
        </w:tc>
        <w:tc>
          <w:tcPr>
            <w:tcW w:w="1018" w:type="dxa"/>
          </w:tcPr>
          <w:p w14:paraId="602A0A08" w14:textId="77777777" w:rsidR="00862D83" w:rsidRPr="00420D85" w:rsidRDefault="00862D83" w:rsidP="007778C3">
            <w:pPr>
              <w:pStyle w:val="TableBodyText"/>
              <w:keepNext/>
            </w:pPr>
            <w:r w:rsidRPr="00420D85">
              <w:t>2</w:t>
            </w:r>
          </w:p>
        </w:tc>
        <w:tc>
          <w:tcPr>
            <w:tcW w:w="1018" w:type="dxa"/>
          </w:tcPr>
          <w:p w14:paraId="47CFC573" w14:textId="77777777" w:rsidR="00862D83" w:rsidRPr="00420D85" w:rsidRDefault="00862D83" w:rsidP="007778C3">
            <w:pPr>
              <w:pStyle w:val="TableBodyText"/>
              <w:keepNext/>
            </w:pPr>
            <w:r w:rsidRPr="00420D85">
              <w:t>0</w:t>
            </w:r>
          </w:p>
        </w:tc>
      </w:tr>
      <w:tr w:rsidR="001809C9" w14:paraId="0A73CF4B" w14:textId="77777777">
        <w:trPr>
          <w:cnfStyle w:val="000000010000" w:firstRow="0" w:lastRow="0" w:firstColumn="0" w:lastColumn="0" w:oddVBand="0" w:evenVBand="0" w:oddHBand="0" w:evenHBand="1" w:firstRowFirstColumn="0" w:firstRowLastColumn="0" w:lastRowFirstColumn="0" w:lastRowLastColumn="0"/>
        </w:trPr>
        <w:tc>
          <w:tcPr>
            <w:tcW w:w="3939" w:type="dxa"/>
          </w:tcPr>
          <w:p w14:paraId="2CC018B6" w14:textId="77777777" w:rsidR="00862D83" w:rsidRPr="00420D85" w:rsidRDefault="00862D83" w:rsidP="007778C3">
            <w:pPr>
              <w:pStyle w:val="TableBodyText"/>
              <w:keepNext/>
            </w:pPr>
            <w:r w:rsidRPr="00420D85">
              <w:t>Agricultural Mobile Plant Operator</w:t>
            </w:r>
          </w:p>
        </w:tc>
        <w:tc>
          <w:tcPr>
            <w:tcW w:w="1017" w:type="dxa"/>
          </w:tcPr>
          <w:p w14:paraId="6080CAC4" w14:textId="77777777" w:rsidR="00862D83" w:rsidRPr="00420D85" w:rsidRDefault="00862D83" w:rsidP="007778C3">
            <w:pPr>
              <w:pStyle w:val="TableBodyText"/>
              <w:keepNext/>
            </w:pPr>
            <w:r w:rsidRPr="00420D85">
              <w:t>0</w:t>
            </w:r>
          </w:p>
        </w:tc>
        <w:tc>
          <w:tcPr>
            <w:tcW w:w="1018" w:type="dxa"/>
          </w:tcPr>
          <w:p w14:paraId="47EFBA70" w14:textId="77777777" w:rsidR="00862D83" w:rsidRPr="00420D85" w:rsidRDefault="00862D83" w:rsidP="007778C3">
            <w:pPr>
              <w:pStyle w:val="TableBodyText"/>
              <w:keepNext/>
            </w:pPr>
            <w:r w:rsidRPr="00420D85">
              <w:t>2</w:t>
            </w:r>
          </w:p>
        </w:tc>
        <w:tc>
          <w:tcPr>
            <w:tcW w:w="1017" w:type="dxa"/>
          </w:tcPr>
          <w:p w14:paraId="52D0307B" w14:textId="77777777" w:rsidR="00862D83" w:rsidRPr="00420D85" w:rsidRDefault="00862D83" w:rsidP="007778C3">
            <w:pPr>
              <w:pStyle w:val="TableBodyText"/>
              <w:keepNext/>
            </w:pPr>
            <w:r w:rsidRPr="00420D85">
              <w:t>1</w:t>
            </w:r>
          </w:p>
        </w:tc>
        <w:tc>
          <w:tcPr>
            <w:tcW w:w="1018" w:type="dxa"/>
          </w:tcPr>
          <w:p w14:paraId="17E0B7B4" w14:textId="77777777" w:rsidR="00862D83" w:rsidRPr="00420D85" w:rsidRDefault="00862D83" w:rsidP="007778C3">
            <w:pPr>
              <w:pStyle w:val="TableBodyText"/>
              <w:keepNext/>
            </w:pPr>
            <w:r w:rsidRPr="00420D85">
              <w:t>3</w:t>
            </w:r>
          </w:p>
        </w:tc>
        <w:tc>
          <w:tcPr>
            <w:tcW w:w="1018" w:type="dxa"/>
          </w:tcPr>
          <w:p w14:paraId="22F41FC7" w14:textId="77777777" w:rsidR="00862D83" w:rsidRPr="00420D85" w:rsidRDefault="00862D83" w:rsidP="007778C3">
            <w:pPr>
              <w:pStyle w:val="TableBodyText"/>
              <w:keepNext/>
            </w:pPr>
            <w:r w:rsidRPr="00420D85">
              <w:t>0</w:t>
            </w:r>
          </w:p>
        </w:tc>
      </w:tr>
      <w:tr w:rsidR="00862D83" w14:paraId="623B14BF" w14:textId="77777777">
        <w:tc>
          <w:tcPr>
            <w:tcW w:w="3939" w:type="dxa"/>
          </w:tcPr>
          <w:p w14:paraId="17E413FD" w14:textId="77777777" w:rsidR="00862D83" w:rsidRPr="00420D85" w:rsidRDefault="00862D83" w:rsidP="007778C3">
            <w:pPr>
              <w:pStyle w:val="TableBodyText"/>
              <w:keepNext/>
            </w:pPr>
            <w:r w:rsidRPr="00420D85">
              <w:t>Logging Plant Operator</w:t>
            </w:r>
          </w:p>
        </w:tc>
        <w:tc>
          <w:tcPr>
            <w:tcW w:w="1017" w:type="dxa"/>
          </w:tcPr>
          <w:p w14:paraId="23DF9D0A" w14:textId="77777777" w:rsidR="00862D83" w:rsidRPr="00420D85" w:rsidRDefault="00862D83" w:rsidP="007778C3">
            <w:pPr>
              <w:pStyle w:val="TableBodyText"/>
              <w:keepNext/>
            </w:pPr>
            <w:r w:rsidRPr="00420D85">
              <w:t>2</w:t>
            </w:r>
          </w:p>
        </w:tc>
        <w:tc>
          <w:tcPr>
            <w:tcW w:w="1018" w:type="dxa"/>
          </w:tcPr>
          <w:p w14:paraId="54985116" w14:textId="77777777" w:rsidR="00862D83" w:rsidRPr="00420D85" w:rsidRDefault="00862D83" w:rsidP="007778C3">
            <w:pPr>
              <w:pStyle w:val="TableBodyText"/>
              <w:keepNext/>
            </w:pPr>
            <w:r w:rsidRPr="00420D85">
              <w:t>2</w:t>
            </w:r>
          </w:p>
        </w:tc>
        <w:tc>
          <w:tcPr>
            <w:tcW w:w="1017" w:type="dxa"/>
          </w:tcPr>
          <w:p w14:paraId="726BABA1" w14:textId="77777777" w:rsidR="00862D83" w:rsidRPr="00420D85" w:rsidRDefault="00862D83" w:rsidP="007778C3">
            <w:pPr>
              <w:pStyle w:val="TableBodyText"/>
              <w:keepNext/>
            </w:pPr>
            <w:r w:rsidRPr="00420D85">
              <w:t>1</w:t>
            </w:r>
          </w:p>
        </w:tc>
        <w:tc>
          <w:tcPr>
            <w:tcW w:w="1018" w:type="dxa"/>
          </w:tcPr>
          <w:p w14:paraId="27A43C3F" w14:textId="77777777" w:rsidR="00862D83" w:rsidRPr="00420D85" w:rsidRDefault="00862D83" w:rsidP="007778C3">
            <w:pPr>
              <w:pStyle w:val="TableBodyText"/>
              <w:keepNext/>
            </w:pPr>
            <w:r w:rsidRPr="00420D85">
              <w:t>2</w:t>
            </w:r>
          </w:p>
        </w:tc>
        <w:tc>
          <w:tcPr>
            <w:tcW w:w="1018" w:type="dxa"/>
          </w:tcPr>
          <w:p w14:paraId="62A800FF" w14:textId="77777777" w:rsidR="00862D83" w:rsidRPr="00420D85" w:rsidRDefault="00862D83" w:rsidP="007778C3">
            <w:pPr>
              <w:pStyle w:val="TableBodyText"/>
              <w:keepNext/>
            </w:pPr>
            <w:r w:rsidRPr="00420D85">
              <w:t>0</w:t>
            </w:r>
          </w:p>
        </w:tc>
      </w:tr>
      <w:tr w:rsidR="001809C9" w14:paraId="205BAE2F" w14:textId="77777777">
        <w:trPr>
          <w:cnfStyle w:val="000000010000" w:firstRow="0" w:lastRow="0" w:firstColumn="0" w:lastColumn="0" w:oddVBand="0" w:evenVBand="0" w:oddHBand="0" w:evenHBand="1" w:firstRowFirstColumn="0" w:firstRowLastColumn="0" w:lastRowFirstColumn="0" w:lastRowLastColumn="0"/>
        </w:trPr>
        <w:tc>
          <w:tcPr>
            <w:tcW w:w="3939" w:type="dxa"/>
          </w:tcPr>
          <w:p w14:paraId="0F97C2A0" w14:textId="77777777" w:rsidR="00862D83" w:rsidRPr="00420D85" w:rsidRDefault="00862D83" w:rsidP="007778C3">
            <w:pPr>
              <w:pStyle w:val="TableBodyText"/>
              <w:keepNext/>
            </w:pPr>
            <w:r w:rsidRPr="00420D85">
              <w:t>Orthoptist</w:t>
            </w:r>
          </w:p>
        </w:tc>
        <w:tc>
          <w:tcPr>
            <w:tcW w:w="1017" w:type="dxa"/>
          </w:tcPr>
          <w:p w14:paraId="4C12226E" w14:textId="77777777" w:rsidR="00862D83" w:rsidRPr="00420D85" w:rsidRDefault="00862D83" w:rsidP="007778C3">
            <w:pPr>
              <w:pStyle w:val="TableBodyText"/>
              <w:keepNext/>
            </w:pPr>
            <w:r w:rsidRPr="00420D85">
              <w:t>1</w:t>
            </w:r>
          </w:p>
        </w:tc>
        <w:tc>
          <w:tcPr>
            <w:tcW w:w="1018" w:type="dxa"/>
          </w:tcPr>
          <w:p w14:paraId="6EBFB98A" w14:textId="77777777" w:rsidR="00862D83" w:rsidRPr="00420D85" w:rsidRDefault="00862D83" w:rsidP="007778C3">
            <w:pPr>
              <w:pStyle w:val="TableBodyText"/>
              <w:keepNext/>
            </w:pPr>
            <w:r w:rsidRPr="00420D85">
              <w:t>1</w:t>
            </w:r>
          </w:p>
        </w:tc>
        <w:tc>
          <w:tcPr>
            <w:tcW w:w="1017" w:type="dxa"/>
          </w:tcPr>
          <w:p w14:paraId="4C3DCC55" w14:textId="77777777" w:rsidR="00862D83" w:rsidRPr="00420D85" w:rsidRDefault="00862D83" w:rsidP="007778C3">
            <w:pPr>
              <w:pStyle w:val="TableBodyText"/>
              <w:keepNext/>
            </w:pPr>
            <w:r w:rsidRPr="00420D85">
              <w:t>1</w:t>
            </w:r>
          </w:p>
        </w:tc>
        <w:tc>
          <w:tcPr>
            <w:tcW w:w="1018" w:type="dxa"/>
          </w:tcPr>
          <w:p w14:paraId="79D4B39D" w14:textId="77777777" w:rsidR="00862D83" w:rsidRPr="00420D85" w:rsidRDefault="00862D83" w:rsidP="007778C3">
            <w:pPr>
              <w:pStyle w:val="TableBodyText"/>
              <w:keepNext/>
            </w:pPr>
            <w:r w:rsidRPr="00420D85">
              <w:t>2</w:t>
            </w:r>
          </w:p>
        </w:tc>
        <w:tc>
          <w:tcPr>
            <w:tcW w:w="1018" w:type="dxa"/>
          </w:tcPr>
          <w:p w14:paraId="6FFB8CF6" w14:textId="77777777" w:rsidR="00862D83" w:rsidRPr="00420D85" w:rsidRDefault="00862D83" w:rsidP="007778C3">
            <w:pPr>
              <w:pStyle w:val="TableBodyText"/>
              <w:keepNext/>
            </w:pPr>
            <w:r w:rsidRPr="00420D85">
              <w:t>1</w:t>
            </w:r>
          </w:p>
        </w:tc>
      </w:tr>
      <w:tr w:rsidR="00862D83" w14:paraId="71C236F6" w14:textId="77777777">
        <w:tc>
          <w:tcPr>
            <w:tcW w:w="3939" w:type="dxa"/>
          </w:tcPr>
          <w:p w14:paraId="7835FB71" w14:textId="77777777" w:rsidR="00862D83" w:rsidRPr="00420D85" w:rsidRDefault="00862D83" w:rsidP="007778C3">
            <w:pPr>
              <w:pStyle w:val="TableBodyText"/>
              <w:keepNext/>
            </w:pPr>
            <w:r w:rsidRPr="00420D85">
              <w:t>Dermatologist</w:t>
            </w:r>
          </w:p>
        </w:tc>
        <w:tc>
          <w:tcPr>
            <w:tcW w:w="1017" w:type="dxa"/>
          </w:tcPr>
          <w:p w14:paraId="49FC0AFF" w14:textId="77777777" w:rsidR="00862D83" w:rsidRPr="00420D85" w:rsidRDefault="00862D83" w:rsidP="007778C3">
            <w:pPr>
              <w:pStyle w:val="TableBodyText"/>
              <w:keepNext/>
            </w:pPr>
            <w:r w:rsidRPr="00420D85">
              <w:t>1</w:t>
            </w:r>
          </w:p>
        </w:tc>
        <w:tc>
          <w:tcPr>
            <w:tcW w:w="1018" w:type="dxa"/>
          </w:tcPr>
          <w:p w14:paraId="653EB6AB" w14:textId="77777777" w:rsidR="00862D83" w:rsidRPr="00420D85" w:rsidRDefault="00862D83" w:rsidP="007778C3">
            <w:pPr>
              <w:pStyle w:val="TableBodyText"/>
              <w:keepNext/>
            </w:pPr>
            <w:r w:rsidRPr="00420D85">
              <w:t>1</w:t>
            </w:r>
          </w:p>
        </w:tc>
        <w:tc>
          <w:tcPr>
            <w:tcW w:w="1017" w:type="dxa"/>
          </w:tcPr>
          <w:p w14:paraId="31F2BCC0" w14:textId="77777777" w:rsidR="00862D83" w:rsidRPr="00420D85" w:rsidRDefault="00862D83" w:rsidP="007778C3">
            <w:pPr>
              <w:pStyle w:val="TableBodyText"/>
              <w:keepNext/>
            </w:pPr>
            <w:r w:rsidRPr="00420D85">
              <w:t>1</w:t>
            </w:r>
          </w:p>
        </w:tc>
        <w:tc>
          <w:tcPr>
            <w:tcW w:w="1018" w:type="dxa"/>
          </w:tcPr>
          <w:p w14:paraId="483FEA8A" w14:textId="77777777" w:rsidR="00862D83" w:rsidRPr="00420D85" w:rsidRDefault="00862D83" w:rsidP="007778C3">
            <w:pPr>
              <w:pStyle w:val="TableBodyText"/>
              <w:keepNext/>
            </w:pPr>
            <w:r w:rsidRPr="00420D85">
              <w:t>1</w:t>
            </w:r>
          </w:p>
        </w:tc>
        <w:tc>
          <w:tcPr>
            <w:tcW w:w="1018" w:type="dxa"/>
          </w:tcPr>
          <w:p w14:paraId="57159356" w14:textId="77777777" w:rsidR="00862D83" w:rsidRPr="00420D85" w:rsidRDefault="00862D83" w:rsidP="007778C3">
            <w:pPr>
              <w:pStyle w:val="TableBodyText"/>
              <w:keepNext/>
            </w:pPr>
            <w:r w:rsidRPr="00420D85">
              <w:t>1</w:t>
            </w:r>
          </w:p>
        </w:tc>
      </w:tr>
      <w:tr w:rsidR="001809C9" w14:paraId="73BA5C90" w14:textId="77777777">
        <w:trPr>
          <w:cnfStyle w:val="000000010000" w:firstRow="0" w:lastRow="0" w:firstColumn="0" w:lastColumn="0" w:oddVBand="0" w:evenVBand="0" w:oddHBand="0" w:evenHBand="1" w:firstRowFirstColumn="0" w:firstRowLastColumn="0" w:lastRowFirstColumn="0" w:lastRowLastColumn="0"/>
        </w:trPr>
        <w:tc>
          <w:tcPr>
            <w:tcW w:w="3939" w:type="dxa"/>
          </w:tcPr>
          <w:p w14:paraId="42C36AB6" w14:textId="77777777" w:rsidR="00862D83" w:rsidRPr="00420D85" w:rsidRDefault="00862D83" w:rsidP="007778C3">
            <w:pPr>
              <w:pStyle w:val="TableBodyText"/>
              <w:keepNext/>
            </w:pPr>
            <w:r w:rsidRPr="00420D85">
              <w:t>Pastrycook</w:t>
            </w:r>
          </w:p>
        </w:tc>
        <w:tc>
          <w:tcPr>
            <w:tcW w:w="1017" w:type="dxa"/>
          </w:tcPr>
          <w:p w14:paraId="5DE19EF5" w14:textId="77777777" w:rsidR="00862D83" w:rsidRPr="00420D85" w:rsidRDefault="00862D83" w:rsidP="007778C3">
            <w:pPr>
              <w:pStyle w:val="TableBodyText"/>
              <w:keepNext/>
            </w:pPr>
            <w:r w:rsidRPr="00420D85">
              <w:t>1</w:t>
            </w:r>
          </w:p>
        </w:tc>
        <w:tc>
          <w:tcPr>
            <w:tcW w:w="1018" w:type="dxa"/>
          </w:tcPr>
          <w:p w14:paraId="339C0ADA" w14:textId="77777777" w:rsidR="00862D83" w:rsidRPr="00420D85" w:rsidRDefault="00862D83" w:rsidP="007778C3">
            <w:pPr>
              <w:pStyle w:val="TableBodyText"/>
              <w:keepNext/>
            </w:pPr>
            <w:r w:rsidRPr="00420D85">
              <w:t>1</w:t>
            </w:r>
          </w:p>
        </w:tc>
        <w:tc>
          <w:tcPr>
            <w:tcW w:w="1017" w:type="dxa"/>
          </w:tcPr>
          <w:p w14:paraId="04590B9D" w14:textId="77777777" w:rsidR="00862D83" w:rsidRPr="00420D85" w:rsidRDefault="00862D83" w:rsidP="007778C3">
            <w:pPr>
              <w:pStyle w:val="TableBodyText"/>
              <w:keepNext/>
            </w:pPr>
            <w:r w:rsidRPr="00420D85">
              <w:t>1</w:t>
            </w:r>
          </w:p>
        </w:tc>
        <w:tc>
          <w:tcPr>
            <w:tcW w:w="1018" w:type="dxa"/>
          </w:tcPr>
          <w:p w14:paraId="671F4546" w14:textId="77777777" w:rsidR="00862D83" w:rsidRPr="00420D85" w:rsidRDefault="00862D83" w:rsidP="007778C3">
            <w:pPr>
              <w:pStyle w:val="TableBodyText"/>
              <w:keepNext/>
            </w:pPr>
            <w:r w:rsidRPr="00420D85">
              <w:t>1</w:t>
            </w:r>
          </w:p>
        </w:tc>
        <w:tc>
          <w:tcPr>
            <w:tcW w:w="1018" w:type="dxa"/>
          </w:tcPr>
          <w:p w14:paraId="35B173F5" w14:textId="77777777" w:rsidR="00862D83" w:rsidRPr="00420D85" w:rsidRDefault="00862D83" w:rsidP="007778C3">
            <w:pPr>
              <w:pStyle w:val="TableBodyText"/>
              <w:keepNext/>
            </w:pPr>
            <w:r w:rsidRPr="00420D85">
              <w:t>1</w:t>
            </w:r>
          </w:p>
        </w:tc>
      </w:tr>
      <w:tr w:rsidR="00862D83" w14:paraId="1E96DB30" w14:textId="77777777">
        <w:tc>
          <w:tcPr>
            <w:tcW w:w="3939" w:type="dxa"/>
          </w:tcPr>
          <w:p w14:paraId="4F7DE2FE" w14:textId="77777777" w:rsidR="00862D83" w:rsidRPr="00420D85" w:rsidRDefault="00862D83" w:rsidP="007778C3">
            <w:pPr>
              <w:pStyle w:val="TableBodyText"/>
              <w:keepNext/>
            </w:pPr>
            <w:r w:rsidRPr="00420D85">
              <w:t>Cardiologist</w:t>
            </w:r>
          </w:p>
        </w:tc>
        <w:tc>
          <w:tcPr>
            <w:tcW w:w="1017" w:type="dxa"/>
          </w:tcPr>
          <w:p w14:paraId="2B7A0CA8" w14:textId="77777777" w:rsidR="00862D83" w:rsidRPr="00420D85" w:rsidRDefault="00862D83" w:rsidP="007778C3">
            <w:pPr>
              <w:pStyle w:val="TableBodyText"/>
              <w:keepNext/>
            </w:pPr>
            <w:r w:rsidRPr="00420D85">
              <w:t>2</w:t>
            </w:r>
          </w:p>
        </w:tc>
        <w:tc>
          <w:tcPr>
            <w:tcW w:w="1018" w:type="dxa"/>
          </w:tcPr>
          <w:p w14:paraId="04444F78" w14:textId="77777777" w:rsidR="00862D83" w:rsidRPr="00420D85" w:rsidRDefault="00862D83" w:rsidP="007778C3">
            <w:pPr>
              <w:pStyle w:val="TableBodyText"/>
              <w:keepNext/>
            </w:pPr>
            <w:r w:rsidRPr="00420D85">
              <w:t>1</w:t>
            </w:r>
          </w:p>
        </w:tc>
        <w:tc>
          <w:tcPr>
            <w:tcW w:w="1017" w:type="dxa"/>
          </w:tcPr>
          <w:p w14:paraId="4BA9582E" w14:textId="77777777" w:rsidR="00862D83" w:rsidRPr="00420D85" w:rsidRDefault="00862D83" w:rsidP="007778C3">
            <w:pPr>
              <w:pStyle w:val="TableBodyText"/>
              <w:keepNext/>
            </w:pPr>
            <w:r w:rsidRPr="00420D85">
              <w:t>1</w:t>
            </w:r>
          </w:p>
        </w:tc>
        <w:tc>
          <w:tcPr>
            <w:tcW w:w="1018" w:type="dxa"/>
          </w:tcPr>
          <w:p w14:paraId="3AA8AF48" w14:textId="77777777" w:rsidR="00862D83" w:rsidRPr="00420D85" w:rsidRDefault="00862D83" w:rsidP="007778C3">
            <w:pPr>
              <w:pStyle w:val="TableBodyText"/>
              <w:keepNext/>
            </w:pPr>
            <w:r w:rsidRPr="00420D85">
              <w:t>1</w:t>
            </w:r>
          </w:p>
        </w:tc>
        <w:tc>
          <w:tcPr>
            <w:tcW w:w="1018" w:type="dxa"/>
          </w:tcPr>
          <w:p w14:paraId="74593D70" w14:textId="77777777" w:rsidR="00862D83" w:rsidRPr="00420D85" w:rsidRDefault="00862D83" w:rsidP="007778C3">
            <w:pPr>
              <w:pStyle w:val="TableBodyText"/>
              <w:keepNext/>
            </w:pPr>
            <w:r w:rsidRPr="00420D85">
              <w:t>1</w:t>
            </w:r>
          </w:p>
        </w:tc>
      </w:tr>
      <w:tr w:rsidR="001809C9" w14:paraId="0F69B569" w14:textId="77777777">
        <w:trPr>
          <w:cnfStyle w:val="000000010000" w:firstRow="0" w:lastRow="0" w:firstColumn="0" w:lastColumn="0" w:oddVBand="0" w:evenVBand="0" w:oddHBand="0" w:evenHBand="1" w:firstRowFirstColumn="0" w:firstRowLastColumn="0" w:lastRowFirstColumn="0" w:lastRowLastColumn="0"/>
        </w:trPr>
        <w:tc>
          <w:tcPr>
            <w:tcW w:w="3939" w:type="dxa"/>
          </w:tcPr>
          <w:p w14:paraId="1C6390B0" w14:textId="77777777" w:rsidR="00862D83" w:rsidRPr="00420D85" w:rsidRDefault="00862D83" w:rsidP="007778C3">
            <w:pPr>
              <w:pStyle w:val="TableBodyText"/>
              <w:keepNext/>
            </w:pPr>
            <w:r w:rsidRPr="00420D85">
              <w:t>Midwife</w:t>
            </w:r>
          </w:p>
        </w:tc>
        <w:tc>
          <w:tcPr>
            <w:tcW w:w="1017" w:type="dxa"/>
          </w:tcPr>
          <w:p w14:paraId="32B27805" w14:textId="77777777" w:rsidR="00862D83" w:rsidRPr="00420D85" w:rsidRDefault="00862D83" w:rsidP="007778C3">
            <w:pPr>
              <w:pStyle w:val="TableBodyText"/>
              <w:keepNext/>
            </w:pPr>
            <w:r w:rsidRPr="00420D85">
              <w:t>1</w:t>
            </w:r>
          </w:p>
        </w:tc>
        <w:tc>
          <w:tcPr>
            <w:tcW w:w="1018" w:type="dxa"/>
          </w:tcPr>
          <w:p w14:paraId="03B3279E" w14:textId="77777777" w:rsidR="00862D83" w:rsidRPr="00420D85" w:rsidRDefault="00862D83" w:rsidP="007778C3">
            <w:pPr>
              <w:pStyle w:val="TableBodyText"/>
              <w:keepNext/>
            </w:pPr>
            <w:r w:rsidRPr="00420D85">
              <w:t>2</w:t>
            </w:r>
          </w:p>
        </w:tc>
        <w:tc>
          <w:tcPr>
            <w:tcW w:w="1017" w:type="dxa"/>
          </w:tcPr>
          <w:p w14:paraId="0B039D09" w14:textId="77777777" w:rsidR="00862D83" w:rsidRPr="00420D85" w:rsidRDefault="00862D83" w:rsidP="007778C3">
            <w:pPr>
              <w:pStyle w:val="TableBodyText"/>
              <w:keepNext/>
            </w:pPr>
            <w:r w:rsidRPr="00420D85">
              <w:t>1</w:t>
            </w:r>
          </w:p>
        </w:tc>
        <w:tc>
          <w:tcPr>
            <w:tcW w:w="1018" w:type="dxa"/>
          </w:tcPr>
          <w:p w14:paraId="24AC246F" w14:textId="77777777" w:rsidR="00862D83" w:rsidRPr="00420D85" w:rsidRDefault="00862D83" w:rsidP="007778C3">
            <w:pPr>
              <w:pStyle w:val="TableBodyText"/>
              <w:keepNext/>
            </w:pPr>
            <w:r w:rsidRPr="00420D85">
              <w:t>1</w:t>
            </w:r>
          </w:p>
        </w:tc>
        <w:tc>
          <w:tcPr>
            <w:tcW w:w="1018" w:type="dxa"/>
          </w:tcPr>
          <w:p w14:paraId="7AFE78B5" w14:textId="77777777" w:rsidR="00862D83" w:rsidRPr="00420D85" w:rsidRDefault="00862D83" w:rsidP="007778C3">
            <w:pPr>
              <w:pStyle w:val="TableBodyText"/>
              <w:keepNext/>
            </w:pPr>
            <w:r w:rsidRPr="00420D85">
              <w:t>1</w:t>
            </w:r>
          </w:p>
        </w:tc>
      </w:tr>
      <w:tr w:rsidR="00862D83" w14:paraId="77E0A845" w14:textId="77777777">
        <w:tc>
          <w:tcPr>
            <w:tcW w:w="3939" w:type="dxa"/>
          </w:tcPr>
          <w:p w14:paraId="65614825" w14:textId="77777777" w:rsidR="00862D83" w:rsidRPr="00420D85" w:rsidRDefault="00862D83" w:rsidP="007778C3">
            <w:pPr>
              <w:pStyle w:val="TableBodyText"/>
              <w:keepNext/>
            </w:pPr>
            <w:r w:rsidRPr="00420D85">
              <w:t>Retail Pharmacist</w:t>
            </w:r>
          </w:p>
        </w:tc>
        <w:tc>
          <w:tcPr>
            <w:tcW w:w="1017" w:type="dxa"/>
          </w:tcPr>
          <w:p w14:paraId="6019ACD3" w14:textId="77777777" w:rsidR="00862D83" w:rsidRPr="00420D85" w:rsidRDefault="00862D83" w:rsidP="007778C3">
            <w:pPr>
              <w:pStyle w:val="TableBodyText"/>
              <w:keepNext/>
            </w:pPr>
            <w:r w:rsidRPr="00420D85">
              <w:t>1</w:t>
            </w:r>
          </w:p>
        </w:tc>
        <w:tc>
          <w:tcPr>
            <w:tcW w:w="1018" w:type="dxa"/>
          </w:tcPr>
          <w:p w14:paraId="5407FE62" w14:textId="77777777" w:rsidR="00862D83" w:rsidRPr="00420D85" w:rsidRDefault="00862D83" w:rsidP="007778C3">
            <w:pPr>
              <w:pStyle w:val="TableBodyText"/>
              <w:keepNext/>
            </w:pPr>
            <w:r w:rsidRPr="00420D85">
              <w:t>1</w:t>
            </w:r>
          </w:p>
        </w:tc>
        <w:tc>
          <w:tcPr>
            <w:tcW w:w="1017" w:type="dxa"/>
          </w:tcPr>
          <w:p w14:paraId="51B6C660" w14:textId="77777777" w:rsidR="00862D83" w:rsidRPr="00420D85" w:rsidRDefault="00862D83" w:rsidP="007778C3">
            <w:pPr>
              <w:pStyle w:val="TableBodyText"/>
              <w:keepNext/>
            </w:pPr>
            <w:r w:rsidRPr="00420D85">
              <w:t>1</w:t>
            </w:r>
          </w:p>
        </w:tc>
        <w:tc>
          <w:tcPr>
            <w:tcW w:w="1018" w:type="dxa"/>
          </w:tcPr>
          <w:p w14:paraId="6BE5235E" w14:textId="77777777" w:rsidR="00862D83" w:rsidRPr="00420D85" w:rsidRDefault="00862D83" w:rsidP="007778C3">
            <w:pPr>
              <w:pStyle w:val="TableBodyText"/>
              <w:keepNext/>
            </w:pPr>
            <w:r w:rsidRPr="00420D85">
              <w:t>2</w:t>
            </w:r>
          </w:p>
        </w:tc>
        <w:tc>
          <w:tcPr>
            <w:tcW w:w="1018" w:type="dxa"/>
          </w:tcPr>
          <w:p w14:paraId="508ACCD3" w14:textId="77777777" w:rsidR="00862D83" w:rsidRPr="00420D85" w:rsidRDefault="00862D83" w:rsidP="007778C3">
            <w:pPr>
              <w:pStyle w:val="TableBodyText"/>
              <w:keepNext/>
            </w:pPr>
            <w:r w:rsidRPr="00420D85">
              <w:t>1</w:t>
            </w:r>
          </w:p>
        </w:tc>
      </w:tr>
      <w:tr w:rsidR="001809C9" w14:paraId="5BC20647" w14:textId="77777777">
        <w:trPr>
          <w:cnfStyle w:val="000000010000" w:firstRow="0" w:lastRow="0" w:firstColumn="0" w:lastColumn="0" w:oddVBand="0" w:evenVBand="0" w:oddHBand="0" w:evenHBand="1" w:firstRowFirstColumn="0" w:firstRowLastColumn="0" w:lastRowFirstColumn="0" w:lastRowLastColumn="0"/>
        </w:trPr>
        <w:tc>
          <w:tcPr>
            <w:tcW w:w="3939" w:type="dxa"/>
          </w:tcPr>
          <w:p w14:paraId="00A4554F" w14:textId="77777777" w:rsidR="00862D83" w:rsidRPr="00420D85" w:rsidRDefault="00862D83" w:rsidP="007778C3">
            <w:pPr>
              <w:pStyle w:val="TableBodyText"/>
              <w:keepNext/>
            </w:pPr>
            <w:r w:rsidRPr="00420D85">
              <w:t>Shearer</w:t>
            </w:r>
          </w:p>
        </w:tc>
        <w:tc>
          <w:tcPr>
            <w:tcW w:w="1017" w:type="dxa"/>
          </w:tcPr>
          <w:p w14:paraId="3B695D17" w14:textId="77777777" w:rsidR="00862D83" w:rsidRPr="00420D85" w:rsidRDefault="00862D83" w:rsidP="007778C3">
            <w:pPr>
              <w:pStyle w:val="TableBodyText"/>
              <w:keepNext/>
            </w:pPr>
            <w:r w:rsidRPr="00420D85">
              <w:t>1</w:t>
            </w:r>
          </w:p>
        </w:tc>
        <w:tc>
          <w:tcPr>
            <w:tcW w:w="1018" w:type="dxa"/>
          </w:tcPr>
          <w:p w14:paraId="54250755" w14:textId="77777777" w:rsidR="00862D83" w:rsidRPr="00420D85" w:rsidRDefault="00862D83" w:rsidP="007778C3">
            <w:pPr>
              <w:pStyle w:val="TableBodyText"/>
              <w:keepNext/>
            </w:pPr>
            <w:r w:rsidRPr="00420D85">
              <w:t>1</w:t>
            </w:r>
          </w:p>
        </w:tc>
        <w:tc>
          <w:tcPr>
            <w:tcW w:w="1017" w:type="dxa"/>
          </w:tcPr>
          <w:p w14:paraId="2B97343A" w14:textId="77777777" w:rsidR="00862D83" w:rsidRPr="00420D85" w:rsidRDefault="00862D83" w:rsidP="007778C3">
            <w:pPr>
              <w:pStyle w:val="TableBodyText"/>
              <w:keepNext/>
            </w:pPr>
            <w:r w:rsidRPr="00420D85">
              <w:t>1</w:t>
            </w:r>
          </w:p>
        </w:tc>
        <w:tc>
          <w:tcPr>
            <w:tcW w:w="1018" w:type="dxa"/>
          </w:tcPr>
          <w:p w14:paraId="62BB6192" w14:textId="77777777" w:rsidR="00862D83" w:rsidRPr="00420D85" w:rsidRDefault="00862D83" w:rsidP="007778C3">
            <w:pPr>
              <w:pStyle w:val="TableBodyText"/>
              <w:keepNext/>
            </w:pPr>
            <w:r w:rsidRPr="00420D85">
              <w:t>2</w:t>
            </w:r>
          </w:p>
        </w:tc>
        <w:tc>
          <w:tcPr>
            <w:tcW w:w="1018" w:type="dxa"/>
          </w:tcPr>
          <w:p w14:paraId="499B0956" w14:textId="77777777" w:rsidR="00862D83" w:rsidRPr="00420D85" w:rsidRDefault="00862D83" w:rsidP="007778C3">
            <w:pPr>
              <w:pStyle w:val="TableBodyText"/>
              <w:keepNext/>
            </w:pPr>
            <w:r w:rsidRPr="00420D85">
              <w:t>1</w:t>
            </w:r>
          </w:p>
        </w:tc>
      </w:tr>
      <w:tr w:rsidR="00862D83" w14:paraId="126CA7D3" w14:textId="77777777">
        <w:tc>
          <w:tcPr>
            <w:tcW w:w="3939" w:type="dxa"/>
          </w:tcPr>
          <w:p w14:paraId="3D77AA0F" w14:textId="77777777" w:rsidR="00862D83" w:rsidRPr="00420D85" w:rsidRDefault="00862D83" w:rsidP="007778C3">
            <w:pPr>
              <w:pStyle w:val="TableBodyText"/>
              <w:keepNext/>
            </w:pPr>
            <w:r w:rsidRPr="00420D85">
              <w:t>Waiter</w:t>
            </w:r>
          </w:p>
        </w:tc>
        <w:tc>
          <w:tcPr>
            <w:tcW w:w="1017" w:type="dxa"/>
          </w:tcPr>
          <w:p w14:paraId="32C3DA3E" w14:textId="77777777" w:rsidR="00862D83" w:rsidRPr="00420D85" w:rsidRDefault="00862D83" w:rsidP="007778C3">
            <w:pPr>
              <w:pStyle w:val="TableBodyText"/>
              <w:keepNext/>
            </w:pPr>
            <w:r w:rsidRPr="00420D85">
              <w:t>2</w:t>
            </w:r>
          </w:p>
        </w:tc>
        <w:tc>
          <w:tcPr>
            <w:tcW w:w="1018" w:type="dxa"/>
          </w:tcPr>
          <w:p w14:paraId="1E98395E" w14:textId="77777777" w:rsidR="00862D83" w:rsidRPr="00420D85" w:rsidRDefault="00862D83" w:rsidP="007778C3">
            <w:pPr>
              <w:pStyle w:val="TableBodyText"/>
              <w:keepNext/>
            </w:pPr>
            <w:r w:rsidRPr="00420D85">
              <w:t>1</w:t>
            </w:r>
          </w:p>
        </w:tc>
        <w:tc>
          <w:tcPr>
            <w:tcW w:w="1017" w:type="dxa"/>
          </w:tcPr>
          <w:p w14:paraId="50DD9181" w14:textId="77777777" w:rsidR="00862D83" w:rsidRPr="00420D85" w:rsidRDefault="00862D83" w:rsidP="007778C3">
            <w:pPr>
              <w:pStyle w:val="TableBodyText"/>
              <w:keepNext/>
            </w:pPr>
            <w:r w:rsidRPr="00420D85">
              <w:t>1</w:t>
            </w:r>
          </w:p>
        </w:tc>
        <w:tc>
          <w:tcPr>
            <w:tcW w:w="1018" w:type="dxa"/>
          </w:tcPr>
          <w:p w14:paraId="5F23F135" w14:textId="77777777" w:rsidR="00862D83" w:rsidRPr="00420D85" w:rsidRDefault="00862D83" w:rsidP="007778C3">
            <w:pPr>
              <w:pStyle w:val="TableBodyText"/>
              <w:keepNext/>
            </w:pPr>
            <w:r w:rsidRPr="00420D85">
              <w:t>1</w:t>
            </w:r>
          </w:p>
        </w:tc>
        <w:tc>
          <w:tcPr>
            <w:tcW w:w="1018" w:type="dxa"/>
          </w:tcPr>
          <w:p w14:paraId="00E954F3" w14:textId="77777777" w:rsidR="00862D83" w:rsidRPr="00420D85" w:rsidRDefault="00862D83" w:rsidP="007778C3">
            <w:pPr>
              <w:pStyle w:val="TableBodyText"/>
              <w:keepNext/>
            </w:pPr>
            <w:r w:rsidRPr="00420D85">
              <w:t>0</w:t>
            </w:r>
          </w:p>
        </w:tc>
      </w:tr>
      <w:tr w:rsidR="001809C9" w14:paraId="58DB41FB" w14:textId="77777777">
        <w:trPr>
          <w:cnfStyle w:val="000000010000" w:firstRow="0" w:lastRow="0" w:firstColumn="0" w:lastColumn="0" w:oddVBand="0" w:evenVBand="0" w:oddHBand="0" w:evenHBand="1" w:firstRowFirstColumn="0" w:firstRowLastColumn="0" w:lastRowFirstColumn="0" w:lastRowLastColumn="0"/>
        </w:trPr>
        <w:tc>
          <w:tcPr>
            <w:tcW w:w="3939" w:type="dxa"/>
          </w:tcPr>
          <w:p w14:paraId="6D6F104F" w14:textId="77777777" w:rsidR="00862D83" w:rsidRPr="00420D85" w:rsidRDefault="00862D83" w:rsidP="007778C3">
            <w:pPr>
              <w:pStyle w:val="TableBodyText"/>
              <w:keepNext/>
            </w:pPr>
            <w:r w:rsidRPr="00420D85">
              <w:t>Environmental Research Scientist</w:t>
            </w:r>
          </w:p>
        </w:tc>
        <w:tc>
          <w:tcPr>
            <w:tcW w:w="1017" w:type="dxa"/>
          </w:tcPr>
          <w:p w14:paraId="58D1970E" w14:textId="77777777" w:rsidR="00862D83" w:rsidRPr="00420D85" w:rsidRDefault="00862D83" w:rsidP="007778C3">
            <w:pPr>
              <w:pStyle w:val="TableBodyText"/>
              <w:keepNext/>
            </w:pPr>
            <w:r w:rsidRPr="00420D85">
              <w:t>0</w:t>
            </w:r>
          </w:p>
        </w:tc>
        <w:tc>
          <w:tcPr>
            <w:tcW w:w="1018" w:type="dxa"/>
          </w:tcPr>
          <w:p w14:paraId="7B9CC8FA" w14:textId="77777777" w:rsidR="00862D83" w:rsidRPr="00420D85" w:rsidRDefault="00862D83" w:rsidP="007778C3">
            <w:pPr>
              <w:pStyle w:val="TableBodyText"/>
              <w:keepNext/>
            </w:pPr>
            <w:r w:rsidRPr="00420D85">
              <w:t>0</w:t>
            </w:r>
          </w:p>
        </w:tc>
        <w:tc>
          <w:tcPr>
            <w:tcW w:w="1017" w:type="dxa"/>
          </w:tcPr>
          <w:p w14:paraId="48D7174E" w14:textId="77777777" w:rsidR="00862D83" w:rsidRPr="00420D85" w:rsidRDefault="00862D83" w:rsidP="007778C3">
            <w:pPr>
              <w:pStyle w:val="TableBodyText"/>
              <w:keepNext/>
            </w:pPr>
            <w:r w:rsidRPr="00420D85">
              <w:t>2</w:t>
            </w:r>
          </w:p>
        </w:tc>
        <w:tc>
          <w:tcPr>
            <w:tcW w:w="1018" w:type="dxa"/>
          </w:tcPr>
          <w:p w14:paraId="7EA5E82B" w14:textId="77777777" w:rsidR="00862D83" w:rsidRPr="00420D85" w:rsidRDefault="00862D83" w:rsidP="007778C3">
            <w:pPr>
              <w:pStyle w:val="TableBodyText"/>
              <w:keepNext/>
            </w:pPr>
            <w:r w:rsidRPr="00420D85">
              <w:t>2</w:t>
            </w:r>
          </w:p>
        </w:tc>
        <w:tc>
          <w:tcPr>
            <w:tcW w:w="1018" w:type="dxa"/>
          </w:tcPr>
          <w:p w14:paraId="3DC8BBD9" w14:textId="77777777" w:rsidR="00862D83" w:rsidRPr="00420D85" w:rsidRDefault="00862D83" w:rsidP="007778C3">
            <w:pPr>
              <w:pStyle w:val="TableBodyText"/>
              <w:keepNext/>
            </w:pPr>
            <w:r w:rsidRPr="00420D85">
              <w:t>1</w:t>
            </w:r>
          </w:p>
        </w:tc>
      </w:tr>
    </w:tbl>
    <w:p w14:paraId="7FF6D84B" w14:textId="77777777" w:rsidR="00D95E9A" w:rsidRPr="00C7554D" w:rsidRDefault="00D95E9A" w:rsidP="007778C3">
      <w:pPr>
        <w:keepNext/>
        <w:spacing w:line="259" w:lineRule="auto"/>
        <w:rPr>
          <w:rFonts w:eastAsia="Aptos" w:cs="Arial"/>
          <w:i/>
          <w:sz w:val="18"/>
          <w:szCs w:val="18"/>
        </w:rPr>
      </w:pPr>
      <w:r w:rsidRPr="00C7554D">
        <w:rPr>
          <w:rFonts w:eastAsia="Aptos" w:cs="Arial"/>
          <w:i/>
          <w:sz w:val="18"/>
          <w:szCs w:val="18"/>
        </w:rPr>
        <w:t>Source: JSA Occupational Shortage List, by State and Territory and whether or not an occupation is exhibiting a ‘regional’ shortage.</w:t>
      </w:r>
    </w:p>
    <w:p w14:paraId="287A0388" w14:textId="488345EF" w:rsidR="00470D0D" w:rsidRPr="00954EA3" w:rsidRDefault="00320D98" w:rsidP="00954EA3">
      <w:pPr>
        <w:pStyle w:val="Heading5"/>
      </w:pPr>
      <w:r>
        <w:t>Business creation rate</w:t>
      </w:r>
      <w:r w:rsidR="008F09A8">
        <w:rPr>
          <w:rStyle w:val="FootnoteReference"/>
          <w:sz w:val="20"/>
          <w:szCs w:val="20"/>
        </w:rPr>
        <w:footnoteReference w:id="31"/>
      </w:r>
    </w:p>
    <w:p w14:paraId="6BE63DF0" w14:textId="7DBD0447" w:rsidR="00470D0D" w:rsidRPr="007C705D" w:rsidRDefault="00D07DBE" w:rsidP="00D07DBE">
      <w:pPr>
        <w:pStyle w:val="Caption"/>
      </w:pPr>
      <w:r>
        <w:t xml:space="preserve">Table </w:t>
      </w:r>
      <w:r>
        <w:fldChar w:fldCharType="begin"/>
      </w:r>
      <w:r>
        <w:instrText xml:space="preserve"> SEQ Table \* ARABIC </w:instrText>
      </w:r>
      <w:r>
        <w:fldChar w:fldCharType="separate"/>
      </w:r>
      <w:r w:rsidR="00471863">
        <w:rPr>
          <w:noProof/>
        </w:rPr>
        <w:t>26</w:t>
      </w:r>
      <w:r>
        <w:fldChar w:fldCharType="end"/>
      </w:r>
      <w:r w:rsidR="00470D0D" w:rsidRPr="007C705D">
        <w:rPr>
          <w:rFonts w:cs="Arial"/>
          <w:b w:val="0"/>
          <w:bCs w:val="0"/>
        </w:rPr>
        <w:t>:</w:t>
      </w:r>
      <w:r w:rsidR="00470D0D" w:rsidRPr="007C705D">
        <w:rPr>
          <w:rFonts w:cs="Arial"/>
          <w:b w:val="0"/>
        </w:rPr>
        <w:t xml:space="preserve"> </w:t>
      </w:r>
      <w:r w:rsidR="000E5231">
        <w:rPr>
          <w:rFonts w:cs="Arial"/>
          <w:bCs w:val="0"/>
        </w:rPr>
        <w:t>Business creation rate (%)</w:t>
      </w:r>
      <w:r w:rsidR="00EB3E12">
        <w:rPr>
          <w:rFonts w:cs="Arial"/>
          <w:bCs w:val="0"/>
        </w:rPr>
        <w:t>, Regional Australia</w:t>
      </w:r>
    </w:p>
    <w:tbl>
      <w:tblPr>
        <w:tblStyle w:val="GridTable5Dark-Accent13"/>
        <w:tblW w:w="9209" w:type="dxa"/>
        <w:tblLook w:val="04A0" w:firstRow="1" w:lastRow="0" w:firstColumn="1" w:lastColumn="0" w:noHBand="0" w:noVBand="1"/>
      </w:tblPr>
      <w:tblGrid>
        <w:gridCol w:w="2130"/>
        <w:gridCol w:w="1134"/>
        <w:gridCol w:w="1134"/>
        <w:gridCol w:w="1700"/>
        <w:gridCol w:w="1546"/>
        <w:gridCol w:w="1565"/>
      </w:tblGrid>
      <w:tr w:rsidR="00470D0D" w:rsidRPr="00CB0C7A" w14:paraId="5A71B9E4" w14:textId="77777777" w:rsidTr="003D685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auto"/>
              <w:left w:val="single" w:sz="4" w:space="0" w:color="auto"/>
              <w:right w:val="single" w:sz="4" w:space="0" w:color="FFFFFF"/>
            </w:tcBorders>
            <w:shd w:val="clear" w:color="auto" w:fill="370663"/>
          </w:tcPr>
          <w:p w14:paraId="7AE30F9A" w14:textId="77777777" w:rsidR="00470D0D" w:rsidRPr="00CB0C7A" w:rsidRDefault="00470D0D" w:rsidP="003D6852">
            <w:pPr>
              <w:keepNext/>
              <w:rPr>
                <w:rFonts w:eastAsia="Aptos" w:cs="Arial"/>
              </w:rPr>
            </w:pPr>
          </w:p>
        </w:tc>
        <w:tc>
          <w:tcPr>
            <w:tcW w:w="1134" w:type="dxa"/>
            <w:tcBorders>
              <w:top w:val="single" w:sz="4" w:space="0" w:color="auto"/>
              <w:left w:val="single" w:sz="4" w:space="0" w:color="FFFFFF"/>
              <w:right w:val="single" w:sz="4" w:space="0" w:color="FFFFFF"/>
            </w:tcBorders>
            <w:shd w:val="clear" w:color="auto" w:fill="370663"/>
            <w:vAlign w:val="center"/>
          </w:tcPr>
          <w:p w14:paraId="73DA8B0B" w14:textId="77777777" w:rsidR="00470D0D" w:rsidRPr="00CB0C7A" w:rsidRDefault="00470D0D" w:rsidP="003D6852">
            <w:pPr>
              <w:keepNext/>
              <w:jc w:val="center"/>
              <w:cnfStyle w:val="100000000000" w:firstRow="1" w:lastRow="0" w:firstColumn="0" w:lastColumn="0" w:oddVBand="0" w:evenVBand="0" w:oddHBand="0" w:evenHBand="0" w:firstRowFirstColumn="0" w:firstRowLastColumn="0" w:lastRowFirstColumn="0" w:lastRowLastColumn="0"/>
              <w:rPr>
                <w:rFonts w:eastAsia="Aptos" w:cs="Arial"/>
                <w:sz w:val="20"/>
              </w:rPr>
            </w:pPr>
            <w:r w:rsidRPr="00CB0C7A">
              <w:rPr>
                <w:rFonts w:cs="Arial"/>
                <w:sz w:val="20"/>
              </w:rPr>
              <w:t>Current Rating</w:t>
            </w:r>
          </w:p>
        </w:tc>
        <w:tc>
          <w:tcPr>
            <w:tcW w:w="1134" w:type="dxa"/>
            <w:tcBorders>
              <w:top w:val="single" w:sz="4" w:space="0" w:color="000000"/>
              <w:left w:val="single" w:sz="4" w:space="0" w:color="FFFFFF"/>
              <w:right w:val="single" w:sz="4" w:space="0" w:color="FFFFFF"/>
            </w:tcBorders>
            <w:shd w:val="clear" w:color="auto" w:fill="370663"/>
            <w:vAlign w:val="center"/>
          </w:tcPr>
          <w:p w14:paraId="221507D4" w14:textId="77777777" w:rsidR="00470D0D" w:rsidRPr="00CB0C7A" w:rsidRDefault="00470D0D" w:rsidP="003D6852">
            <w:pPr>
              <w:keepNext/>
              <w:jc w:val="center"/>
              <w:cnfStyle w:val="100000000000" w:firstRow="1" w:lastRow="0" w:firstColumn="0" w:lastColumn="0" w:oddVBand="0" w:evenVBand="0" w:oddHBand="0" w:evenHBand="0" w:firstRowFirstColumn="0" w:firstRowLastColumn="0" w:lastRowFirstColumn="0" w:lastRowLastColumn="0"/>
              <w:rPr>
                <w:rFonts w:eastAsia="Aptos" w:cs="Arial"/>
                <w:sz w:val="20"/>
              </w:rPr>
            </w:pPr>
            <w:r w:rsidRPr="00CB0C7A">
              <w:rPr>
                <w:rFonts w:cs="Arial"/>
                <w:sz w:val="20"/>
              </w:rPr>
              <w:t>Current rate in Regional Australia</w:t>
            </w:r>
          </w:p>
        </w:tc>
        <w:tc>
          <w:tcPr>
            <w:tcW w:w="1700" w:type="dxa"/>
            <w:tcBorders>
              <w:top w:val="single" w:sz="4" w:space="0" w:color="000000"/>
              <w:left w:val="single" w:sz="4" w:space="0" w:color="FFFFFF"/>
              <w:right w:val="single" w:sz="4" w:space="0" w:color="FFFFFF"/>
            </w:tcBorders>
            <w:shd w:val="clear" w:color="auto" w:fill="370663"/>
            <w:vAlign w:val="center"/>
          </w:tcPr>
          <w:p w14:paraId="1BDA19F9" w14:textId="77777777" w:rsidR="00470D0D" w:rsidRPr="00CB0C7A" w:rsidRDefault="00470D0D" w:rsidP="003D6852">
            <w:pPr>
              <w:keepNext/>
              <w:jc w:val="center"/>
              <w:cnfStyle w:val="100000000000" w:firstRow="1" w:lastRow="0" w:firstColumn="0" w:lastColumn="0" w:oddVBand="0" w:evenVBand="0" w:oddHBand="0" w:evenHBand="0" w:firstRowFirstColumn="0" w:firstRowLastColumn="0" w:lastRowFirstColumn="0" w:lastRowLastColumn="0"/>
              <w:rPr>
                <w:rFonts w:eastAsia="Aptos" w:cs="Arial"/>
                <w:sz w:val="20"/>
              </w:rPr>
            </w:pPr>
            <w:r w:rsidRPr="00CB0C7A">
              <w:rPr>
                <w:rFonts w:cs="Arial"/>
                <w:sz w:val="20"/>
              </w:rPr>
              <w:t>Current Trend</w:t>
            </w:r>
          </w:p>
        </w:tc>
        <w:tc>
          <w:tcPr>
            <w:tcW w:w="1546" w:type="dxa"/>
            <w:tcBorders>
              <w:top w:val="single" w:sz="4" w:space="0" w:color="000000"/>
              <w:left w:val="single" w:sz="4" w:space="0" w:color="FFFFFF"/>
              <w:right w:val="single" w:sz="4" w:space="0" w:color="FFFFFF"/>
            </w:tcBorders>
            <w:shd w:val="clear" w:color="auto" w:fill="370663"/>
            <w:vAlign w:val="center"/>
          </w:tcPr>
          <w:p w14:paraId="192323A6" w14:textId="77777777" w:rsidR="00470D0D" w:rsidRPr="00CB0C7A" w:rsidRDefault="00470D0D" w:rsidP="003D6852">
            <w:pPr>
              <w:keepNext/>
              <w:jc w:val="center"/>
              <w:cnfStyle w:val="100000000000" w:firstRow="1" w:lastRow="0" w:firstColumn="0" w:lastColumn="0" w:oddVBand="0" w:evenVBand="0" w:oddHBand="0" w:evenHBand="0" w:firstRowFirstColumn="0" w:firstRowLastColumn="0" w:lastRowFirstColumn="0" w:lastRowLastColumn="0"/>
              <w:rPr>
                <w:rFonts w:eastAsia="Aptos" w:cs="Arial"/>
                <w:sz w:val="20"/>
              </w:rPr>
            </w:pPr>
            <w:r w:rsidRPr="00CB0C7A">
              <w:rPr>
                <w:rFonts w:cs="Arial"/>
                <w:sz w:val="20"/>
              </w:rPr>
              <w:t>Best on record</w:t>
            </w:r>
          </w:p>
        </w:tc>
        <w:tc>
          <w:tcPr>
            <w:tcW w:w="1565" w:type="dxa"/>
            <w:tcBorders>
              <w:top w:val="single" w:sz="4" w:space="0" w:color="000000"/>
              <w:left w:val="single" w:sz="4" w:space="0" w:color="FFFFFF"/>
              <w:right w:val="single" w:sz="4" w:space="0" w:color="auto"/>
            </w:tcBorders>
            <w:shd w:val="clear" w:color="auto" w:fill="370663"/>
            <w:vAlign w:val="center"/>
          </w:tcPr>
          <w:p w14:paraId="741B6800" w14:textId="44CBA049" w:rsidR="00470D0D" w:rsidRPr="00CB0C7A" w:rsidRDefault="003A7518" w:rsidP="003D6852">
            <w:pPr>
              <w:keepNext/>
              <w:jc w:val="center"/>
              <w:cnfStyle w:val="100000000000" w:firstRow="1" w:lastRow="0" w:firstColumn="0" w:lastColumn="0" w:oddVBand="0" w:evenVBand="0" w:oddHBand="0" w:evenHBand="0" w:firstRowFirstColumn="0" w:firstRowLastColumn="0" w:lastRowFirstColumn="0" w:lastRowLastColumn="0"/>
              <w:rPr>
                <w:rFonts w:eastAsia="Aptos" w:cs="Arial"/>
                <w:sz w:val="20"/>
              </w:rPr>
            </w:pPr>
            <w:r w:rsidRPr="00CB0C7A">
              <w:rPr>
                <w:rFonts w:cs="Arial"/>
                <w:sz w:val="20"/>
              </w:rPr>
              <w:t xml:space="preserve">Gap to </w:t>
            </w:r>
            <w:r>
              <w:rPr>
                <w:rFonts w:cs="Arial"/>
                <w:sz w:val="20"/>
              </w:rPr>
              <w:t>the Major Cities</w:t>
            </w:r>
          </w:p>
        </w:tc>
      </w:tr>
      <w:tr w:rsidR="00C611AE" w:rsidRPr="00CB0C7A" w14:paraId="40EE5B74" w14:textId="77777777" w:rsidTr="00800D1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30" w:type="dxa"/>
            <w:tcBorders>
              <w:left w:val="single" w:sz="4" w:space="0" w:color="auto"/>
              <w:bottom w:val="single" w:sz="4" w:space="0" w:color="auto"/>
            </w:tcBorders>
            <w:shd w:val="clear" w:color="auto" w:fill="E0D1F5"/>
          </w:tcPr>
          <w:p w14:paraId="57F53D43" w14:textId="16D03564" w:rsidR="00470D0D" w:rsidRPr="00800D1C" w:rsidRDefault="00D5255C" w:rsidP="003D6852">
            <w:pPr>
              <w:rPr>
                <w:rFonts w:eastAsia="Aptos" w:cs="Arial"/>
                <w:b w:val="0"/>
                <w:bCs w:val="0"/>
                <w:color w:val="auto"/>
              </w:rPr>
            </w:pPr>
            <w:r w:rsidRPr="00800D1C">
              <w:rPr>
                <w:rFonts w:eastAsia="Aptos" w:cs="Arial"/>
                <w:b w:val="0"/>
                <w:bCs w:val="0"/>
                <w:color w:val="auto"/>
              </w:rPr>
              <w:t>Business creation rate (%)</w:t>
            </w:r>
          </w:p>
        </w:tc>
        <w:tc>
          <w:tcPr>
            <w:tcW w:w="1134" w:type="dxa"/>
            <w:tcBorders>
              <w:bottom w:val="single" w:sz="4" w:space="0" w:color="auto"/>
            </w:tcBorders>
            <w:shd w:val="clear" w:color="auto" w:fill="FFAD4C"/>
            <w:vAlign w:val="center"/>
          </w:tcPr>
          <w:p w14:paraId="763C2095" w14:textId="55B809F1" w:rsidR="00470D0D" w:rsidRPr="00800D1C" w:rsidRDefault="00A54F25" w:rsidP="003D6852">
            <w:pPr>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800D1C">
              <w:rPr>
                <w:rFonts w:eastAsia="Aptos" w:cs="Arial"/>
              </w:rPr>
              <w:t>Orange</w:t>
            </w:r>
          </w:p>
        </w:tc>
        <w:tc>
          <w:tcPr>
            <w:tcW w:w="1134" w:type="dxa"/>
            <w:tcBorders>
              <w:bottom w:val="single" w:sz="4" w:space="0" w:color="auto"/>
            </w:tcBorders>
            <w:shd w:val="clear" w:color="auto" w:fill="FFAD4C"/>
            <w:vAlign w:val="center"/>
          </w:tcPr>
          <w:p w14:paraId="7BBAEDE2" w14:textId="4D821723" w:rsidR="00470D0D" w:rsidRPr="00800D1C" w:rsidRDefault="00324121" w:rsidP="003D6852">
            <w:pPr>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800D1C">
              <w:rPr>
                <w:rFonts w:eastAsia="Aptos" w:cs="Arial"/>
              </w:rPr>
              <w:t>2.2</w:t>
            </w:r>
            <w:r w:rsidR="00470D0D" w:rsidRPr="00800D1C">
              <w:rPr>
                <w:rFonts w:eastAsia="Aptos" w:cs="Arial"/>
              </w:rPr>
              <w:t>%</w:t>
            </w:r>
          </w:p>
        </w:tc>
        <w:tc>
          <w:tcPr>
            <w:tcW w:w="1700" w:type="dxa"/>
            <w:tcBorders>
              <w:bottom w:val="single" w:sz="4" w:space="0" w:color="auto"/>
              <w:right w:val="single" w:sz="4" w:space="0" w:color="A6A6A6"/>
            </w:tcBorders>
            <w:shd w:val="clear" w:color="auto" w:fill="F2F2F2" w:themeFill="background1" w:themeFillShade="F2"/>
            <w:vAlign w:val="center"/>
          </w:tcPr>
          <w:p w14:paraId="4D44FDBF" w14:textId="0EA172C9" w:rsidR="00470D0D" w:rsidRPr="00800D1C" w:rsidRDefault="000D6993" w:rsidP="003D6852">
            <w:pPr>
              <w:jc w:val="center"/>
              <w:cnfStyle w:val="000000100000" w:firstRow="0" w:lastRow="0" w:firstColumn="0" w:lastColumn="0" w:oddVBand="0" w:evenVBand="0" w:oddHBand="1" w:evenHBand="0" w:firstRowFirstColumn="0" w:firstRowLastColumn="0" w:lastRowFirstColumn="0" w:lastRowLastColumn="0"/>
              <w:rPr>
                <w:rFonts w:eastAsia="Aptos" w:cs="Arial"/>
                <w:b/>
              </w:rPr>
            </w:pPr>
            <w:r w:rsidRPr="00800D1C">
              <w:rPr>
                <w:rFonts w:eastAsia="Aptos" w:cs="Arial"/>
                <w:b/>
              </w:rPr>
              <w:t>Stable</w:t>
            </w:r>
          </w:p>
        </w:tc>
        <w:tc>
          <w:tcPr>
            <w:tcW w:w="1546" w:type="dxa"/>
            <w:tcBorders>
              <w:left w:val="single" w:sz="4" w:space="0" w:color="A6A6A6"/>
              <w:bottom w:val="single" w:sz="4" w:space="0" w:color="auto"/>
              <w:right w:val="single" w:sz="4" w:space="0" w:color="A6A6A6"/>
            </w:tcBorders>
            <w:shd w:val="clear" w:color="auto" w:fill="F2F2F2" w:themeFill="background1" w:themeFillShade="F2"/>
            <w:vAlign w:val="center"/>
          </w:tcPr>
          <w:p w14:paraId="49E71DB2" w14:textId="77777777" w:rsidR="000F70D1" w:rsidRPr="00800D1C" w:rsidRDefault="00D66698" w:rsidP="003D6852">
            <w:pPr>
              <w:jc w:val="center"/>
              <w:cnfStyle w:val="000000100000" w:firstRow="0" w:lastRow="0" w:firstColumn="0" w:lastColumn="0" w:oddVBand="0" w:evenVBand="0" w:oddHBand="1" w:evenHBand="0" w:firstRowFirstColumn="0" w:firstRowLastColumn="0" w:lastRowFirstColumn="0" w:lastRowLastColumn="0"/>
              <w:rPr>
                <w:rFonts w:eastAsia="Aptos" w:cs="Arial"/>
                <w:bCs/>
              </w:rPr>
            </w:pPr>
            <w:r w:rsidRPr="00800D1C">
              <w:rPr>
                <w:rFonts w:eastAsia="Aptos" w:cs="Arial"/>
                <w:bCs/>
              </w:rPr>
              <w:t>2.7</w:t>
            </w:r>
            <w:r w:rsidR="00470D0D" w:rsidRPr="00800D1C">
              <w:rPr>
                <w:rFonts w:eastAsia="Aptos" w:cs="Arial"/>
                <w:bCs/>
              </w:rPr>
              <w:t>%</w:t>
            </w:r>
            <w:r w:rsidRPr="00800D1C">
              <w:rPr>
                <w:rFonts w:eastAsia="Aptos" w:cs="Arial"/>
                <w:bCs/>
              </w:rPr>
              <w:t xml:space="preserve"> </w:t>
            </w:r>
          </w:p>
          <w:p w14:paraId="6AC771F5" w14:textId="2CEAE1D9" w:rsidR="00470D0D" w:rsidRPr="00800D1C" w:rsidRDefault="00D66698" w:rsidP="003D6852">
            <w:pPr>
              <w:jc w:val="center"/>
              <w:cnfStyle w:val="000000100000" w:firstRow="0" w:lastRow="0" w:firstColumn="0" w:lastColumn="0" w:oddVBand="0" w:evenVBand="0" w:oddHBand="1" w:evenHBand="0" w:firstRowFirstColumn="0" w:firstRowLastColumn="0" w:lastRowFirstColumn="0" w:lastRowLastColumn="0"/>
              <w:rPr>
                <w:rFonts w:eastAsia="Aptos" w:cs="Arial"/>
                <w:bCs/>
              </w:rPr>
            </w:pPr>
            <w:r w:rsidRPr="00800D1C">
              <w:rPr>
                <w:rFonts w:eastAsia="Aptos" w:cs="Arial"/>
                <w:bCs/>
              </w:rPr>
              <w:t>(2007-08)</w:t>
            </w:r>
          </w:p>
        </w:tc>
        <w:tc>
          <w:tcPr>
            <w:tcW w:w="1565" w:type="dxa"/>
            <w:tcBorders>
              <w:left w:val="single" w:sz="4" w:space="0" w:color="A6A6A6"/>
              <w:bottom w:val="single" w:sz="4" w:space="0" w:color="auto"/>
              <w:right w:val="single" w:sz="4" w:space="0" w:color="auto"/>
            </w:tcBorders>
            <w:shd w:val="clear" w:color="auto" w:fill="DF5454"/>
            <w:vAlign w:val="center"/>
          </w:tcPr>
          <w:p w14:paraId="006BC197" w14:textId="46147661" w:rsidR="00470D0D" w:rsidRPr="00800D1C" w:rsidRDefault="00CF51A4" w:rsidP="003D6852">
            <w:pPr>
              <w:jc w:val="center"/>
              <w:cnfStyle w:val="000000100000" w:firstRow="0" w:lastRow="0" w:firstColumn="0" w:lastColumn="0" w:oddVBand="0" w:evenVBand="0" w:oddHBand="1" w:evenHBand="0" w:firstRowFirstColumn="0" w:firstRowLastColumn="0" w:lastRowFirstColumn="0" w:lastRowLastColumn="0"/>
              <w:rPr>
                <w:rFonts w:eastAsia="Aptos" w:cs="Arial"/>
                <w:bCs/>
              </w:rPr>
            </w:pPr>
            <w:r w:rsidRPr="00800D1C">
              <w:rPr>
                <w:rFonts w:eastAsia="Aptos" w:cs="Arial"/>
                <w:bCs/>
              </w:rPr>
              <w:t>-1.0</w:t>
            </w:r>
            <w:r w:rsidR="00470D0D" w:rsidRPr="00800D1C">
              <w:rPr>
                <w:rFonts w:eastAsia="Aptos" w:cs="Arial"/>
                <w:bCs/>
              </w:rPr>
              <w:t>% pts</w:t>
            </w:r>
          </w:p>
        </w:tc>
      </w:tr>
    </w:tbl>
    <w:p w14:paraId="13374151" w14:textId="7BB7B15B" w:rsidR="00470D0D" w:rsidRPr="00CB0C7A" w:rsidRDefault="00470D0D" w:rsidP="00470D0D">
      <w:pPr>
        <w:spacing w:line="259" w:lineRule="auto"/>
        <w:rPr>
          <w:rFonts w:eastAsia="Aptos" w:cs="Arial"/>
          <w:i/>
          <w:iCs/>
          <w:sz w:val="18"/>
          <w:szCs w:val="18"/>
        </w:rPr>
      </w:pPr>
      <w:r w:rsidRPr="00CB0C7A">
        <w:rPr>
          <w:rFonts w:eastAsia="Aptos" w:cs="Arial"/>
          <w:i/>
          <w:iCs/>
          <w:sz w:val="18"/>
          <w:szCs w:val="18"/>
        </w:rPr>
        <w:t xml:space="preserve">Source: ABS, Counts of Australian Businesses and ABS, Labour Force, Detailed, </w:t>
      </w:r>
      <w:r w:rsidR="00AB3DF7">
        <w:rPr>
          <w:rFonts w:eastAsia="Aptos" w:cs="Arial"/>
          <w:i/>
          <w:iCs/>
          <w:sz w:val="18"/>
          <w:szCs w:val="18"/>
        </w:rPr>
        <w:t>6-month average of original</w:t>
      </w:r>
      <w:r w:rsidRPr="00CB0C7A">
        <w:rPr>
          <w:rFonts w:eastAsia="Aptos" w:cs="Arial"/>
          <w:i/>
          <w:iCs/>
          <w:sz w:val="18"/>
          <w:szCs w:val="18"/>
        </w:rPr>
        <w:t xml:space="preserve"> estimates</w:t>
      </w:r>
      <w:r w:rsidR="00320D98">
        <w:rPr>
          <w:rFonts w:eastAsia="Aptos" w:cs="Arial"/>
          <w:i/>
          <w:iCs/>
          <w:sz w:val="18"/>
          <w:szCs w:val="18"/>
        </w:rPr>
        <w:t>, March 2025</w:t>
      </w:r>
    </w:p>
    <w:p w14:paraId="426759E5" w14:textId="7A9310EE" w:rsidR="00225345" w:rsidRDefault="00225345" w:rsidP="00225345">
      <w:pPr>
        <w:tabs>
          <w:tab w:val="left" w:pos="357"/>
          <w:tab w:val="left" w:pos="714"/>
          <w:tab w:val="left" w:pos="1072"/>
          <w:tab w:val="left" w:pos="1429"/>
        </w:tabs>
        <w:spacing w:before="120" w:after="120" w:line="276" w:lineRule="auto"/>
        <w:rPr>
          <w:lang w:eastAsia="en-AU"/>
        </w:rPr>
      </w:pPr>
      <w:r w:rsidRPr="00CB0C7A">
        <w:rPr>
          <w:lang w:eastAsia="en-AU"/>
        </w:rPr>
        <w:lastRenderedPageBreak/>
        <w:t xml:space="preserve">Businesses are a vital part of any community, providing jobs, revenue and services. Entrepreneurship </w:t>
      </w:r>
      <w:r>
        <w:rPr>
          <w:rFonts w:eastAsia="Arial" w:cs="Arial"/>
          <w:szCs w:val="20"/>
          <w:lang w:eastAsia="en-AU"/>
        </w:rPr>
        <w:t>and business creation</w:t>
      </w:r>
      <w:r w:rsidRPr="00072912">
        <w:rPr>
          <w:rFonts w:eastAsia="Arial" w:cs="Arial"/>
          <w:szCs w:val="20"/>
          <w:lang w:eastAsia="en-AU"/>
        </w:rPr>
        <w:t xml:space="preserve"> </w:t>
      </w:r>
      <w:r w:rsidRPr="00CB0C7A">
        <w:rPr>
          <w:lang w:eastAsia="en-AU"/>
        </w:rPr>
        <w:t>promotes economic growth and creates job opportunities</w:t>
      </w:r>
      <w:r>
        <w:rPr>
          <w:rFonts w:eastAsia="Arial" w:cs="Arial"/>
          <w:szCs w:val="20"/>
          <w:lang w:eastAsia="en-AU"/>
        </w:rPr>
        <w:t>, as 4 out</w:t>
      </w:r>
      <w:r w:rsidRPr="00CB0C7A">
        <w:rPr>
          <w:lang w:eastAsia="en-AU"/>
        </w:rPr>
        <w:t xml:space="preserve"> of </w:t>
      </w:r>
      <w:r>
        <w:rPr>
          <w:rFonts w:eastAsia="Arial" w:cs="Arial"/>
          <w:szCs w:val="20"/>
          <w:lang w:eastAsia="en-AU"/>
        </w:rPr>
        <w:t xml:space="preserve">every 5 jobs added to </w:t>
      </w:r>
      <w:r w:rsidRPr="00CB0C7A">
        <w:rPr>
          <w:lang w:eastAsia="en-AU"/>
        </w:rPr>
        <w:t xml:space="preserve">the </w:t>
      </w:r>
      <w:r>
        <w:rPr>
          <w:rFonts w:eastAsia="Arial" w:cs="Arial"/>
          <w:szCs w:val="20"/>
          <w:lang w:eastAsia="en-AU"/>
        </w:rPr>
        <w:t xml:space="preserve">Australian economy have historically been created by young firms (typically within their first </w:t>
      </w:r>
      <w:r w:rsidR="00285E8D">
        <w:rPr>
          <w:rFonts w:eastAsia="Arial" w:cs="Arial"/>
          <w:szCs w:val="20"/>
          <w:lang w:eastAsia="en-AU"/>
        </w:rPr>
        <w:t>2</w:t>
      </w:r>
      <w:r>
        <w:rPr>
          <w:rFonts w:eastAsia="Arial" w:cs="Arial"/>
          <w:szCs w:val="20"/>
          <w:lang w:eastAsia="en-AU"/>
        </w:rPr>
        <w:t xml:space="preserve"> years of operation)</w:t>
      </w:r>
      <w:r>
        <w:rPr>
          <w:sz w:val="20"/>
          <w:szCs w:val="20"/>
        </w:rPr>
        <w:t>.</w:t>
      </w:r>
      <w:r>
        <w:rPr>
          <w:rStyle w:val="FootnoteReference"/>
          <w:sz w:val="20"/>
          <w:szCs w:val="20"/>
        </w:rPr>
        <w:footnoteReference w:id="32"/>
      </w:r>
      <w:r w:rsidRPr="00CB0C7A">
        <w:rPr>
          <w:lang w:eastAsia="en-AU"/>
        </w:rPr>
        <w:t xml:space="preserve"> </w:t>
      </w:r>
    </w:p>
    <w:p w14:paraId="49D18D01" w14:textId="148EE4F1" w:rsidR="00225345" w:rsidRPr="00CB0C7A" w:rsidRDefault="00225345" w:rsidP="00225345">
      <w:pPr>
        <w:tabs>
          <w:tab w:val="left" w:pos="357"/>
          <w:tab w:val="left" w:pos="714"/>
          <w:tab w:val="left" w:pos="1072"/>
          <w:tab w:val="left" w:pos="1429"/>
        </w:tabs>
        <w:spacing w:before="120" w:after="120" w:line="276" w:lineRule="auto"/>
        <w:rPr>
          <w:b/>
        </w:rPr>
      </w:pPr>
      <w:r w:rsidRPr="00CB0C7A">
        <w:rPr>
          <w:lang w:eastAsia="en-AU"/>
        </w:rPr>
        <w:t xml:space="preserve">Ensuring that Regional Australia is creating an environment that is supportive for businesses to enter, compete and innovate will strengthen local economies and is a key outcome for </w:t>
      </w:r>
      <w:r>
        <w:rPr>
          <w:lang w:eastAsia="en-AU"/>
        </w:rPr>
        <w:t>V</w:t>
      </w:r>
      <w:r w:rsidRPr="00CB0C7A">
        <w:rPr>
          <w:lang w:eastAsia="en-AU"/>
        </w:rPr>
        <w:t xml:space="preserve">ision </w:t>
      </w:r>
      <w:r>
        <w:rPr>
          <w:lang w:eastAsia="en-AU"/>
        </w:rPr>
        <w:t>P</w:t>
      </w:r>
      <w:r w:rsidRPr="00CB0C7A">
        <w:rPr>
          <w:lang w:eastAsia="en-AU"/>
        </w:rPr>
        <w:t xml:space="preserve">rinciple </w:t>
      </w:r>
      <w:r>
        <w:rPr>
          <w:lang w:eastAsia="en-AU"/>
        </w:rPr>
        <w:t>4</w:t>
      </w:r>
      <w:r w:rsidRPr="00CB0C7A">
        <w:rPr>
          <w:lang w:eastAsia="en-AU"/>
        </w:rPr>
        <w:t>.</w:t>
      </w:r>
      <w:r>
        <w:rPr>
          <w:lang w:eastAsia="en-AU"/>
        </w:rPr>
        <w:t xml:space="preserve"> </w:t>
      </w:r>
      <w:r w:rsidRPr="00072912">
        <w:rPr>
          <w:rFonts w:eastAsia="Arial" w:cs="Arial"/>
          <w:szCs w:val="20"/>
          <w:lang w:eastAsia="en-AU"/>
        </w:rPr>
        <w:t xml:space="preserve">This includes supporting individuals to create </w:t>
      </w:r>
      <w:r>
        <w:rPr>
          <w:rFonts w:eastAsia="Arial" w:cs="Arial"/>
          <w:szCs w:val="20"/>
          <w:lang w:eastAsia="en-AU"/>
        </w:rPr>
        <w:t>a new business</w:t>
      </w:r>
      <w:r w:rsidRPr="00072912">
        <w:rPr>
          <w:rFonts w:eastAsia="Arial" w:cs="Arial"/>
          <w:szCs w:val="20"/>
          <w:lang w:eastAsia="en-AU"/>
        </w:rPr>
        <w:t xml:space="preserve"> to meet unmet goods and services demand in the economy, provide innovative solutions or even creat</w:t>
      </w:r>
      <w:r>
        <w:rPr>
          <w:rFonts w:eastAsia="Arial" w:cs="Arial"/>
          <w:szCs w:val="20"/>
          <w:lang w:eastAsia="en-AU"/>
        </w:rPr>
        <w:t>ing</w:t>
      </w:r>
      <w:r>
        <w:rPr>
          <w:lang w:eastAsia="en-AU"/>
        </w:rPr>
        <w:t xml:space="preserve"> their own work (such as through arts).</w:t>
      </w:r>
    </w:p>
    <w:p w14:paraId="176FCAB2" w14:textId="74382A6F" w:rsidR="00225345" w:rsidRDefault="00225345" w:rsidP="00225345">
      <w:pPr>
        <w:tabs>
          <w:tab w:val="left" w:pos="357"/>
          <w:tab w:val="left" w:pos="714"/>
          <w:tab w:val="left" w:pos="1072"/>
          <w:tab w:val="left" w:pos="1429"/>
        </w:tabs>
        <w:spacing w:before="120" w:after="120" w:line="276" w:lineRule="auto"/>
        <w:rPr>
          <w:rFonts w:eastAsia="Arial" w:cs="Arial"/>
          <w:szCs w:val="20"/>
          <w:lang w:eastAsia="en-AU"/>
        </w:rPr>
      </w:pPr>
      <w:r>
        <w:rPr>
          <w:rFonts w:eastAsia="Arial" w:cs="Arial"/>
          <w:szCs w:val="20"/>
          <w:lang w:eastAsia="en-AU"/>
        </w:rPr>
        <w:t xml:space="preserve">The business creation rate in Regional Australia has been relatively stable over time, with about </w:t>
      </w:r>
      <w:r w:rsidR="00285E8D">
        <w:rPr>
          <w:rFonts w:eastAsia="Arial" w:cs="Arial"/>
          <w:szCs w:val="20"/>
          <w:lang w:eastAsia="en-AU"/>
        </w:rPr>
        <w:t>2</w:t>
      </w:r>
      <w:r>
        <w:rPr>
          <w:rFonts w:eastAsia="Arial" w:cs="Arial"/>
          <w:szCs w:val="20"/>
          <w:lang w:eastAsia="en-AU"/>
        </w:rPr>
        <w:t xml:space="preserve"> new businesses created per person living in Regional Australia each year. However, this rate lags the pace of increase and level recorded in the Major Cities, highlighting the need for further action to encourage entrepreneurialism and business creation in Regional Australia in order to meet unmet goods and services demand and provide labour market opportunities for workers.  </w:t>
      </w:r>
    </w:p>
    <w:p w14:paraId="7CB43BCB" w14:textId="6649DA56" w:rsidR="007E186B" w:rsidRDefault="00F46DB1" w:rsidP="00A4569E">
      <w:pPr>
        <w:pStyle w:val="Caption"/>
        <w:spacing w:after="0"/>
      </w:pPr>
      <w:bookmarkStart w:id="141" w:name="_Toc201916606"/>
      <w:r>
        <w:t xml:space="preserve">Figure </w:t>
      </w:r>
      <w:r>
        <w:fldChar w:fldCharType="begin"/>
      </w:r>
      <w:r>
        <w:instrText xml:space="preserve"> SEQ Figure \* ARABIC </w:instrText>
      </w:r>
      <w:r>
        <w:fldChar w:fldCharType="separate"/>
      </w:r>
      <w:r w:rsidR="00471863">
        <w:rPr>
          <w:noProof/>
        </w:rPr>
        <w:t>40</w:t>
      </w:r>
      <w:r>
        <w:fldChar w:fldCharType="end"/>
      </w:r>
      <w:r w:rsidR="007D54F7">
        <w:t>:</w:t>
      </w:r>
      <w:r w:rsidR="00470D0D">
        <w:t xml:space="preserve"> </w:t>
      </w:r>
      <w:r w:rsidR="000E5231">
        <w:t>Business creation rate (%)</w:t>
      </w:r>
      <w:r w:rsidR="00EB3E12">
        <w:t xml:space="preserve">, </w:t>
      </w:r>
      <w:r w:rsidR="00E764C4">
        <w:t>Major City and Regional Australia</w:t>
      </w:r>
      <w:bookmarkEnd w:id="141"/>
    </w:p>
    <w:p w14:paraId="716766BD" w14:textId="6B14D820" w:rsidR="00F0685E" w:rsidRDefault="00F0685E" w:rsidP="007E186B">
      <w:pPr>
        <w:pStyle w:val="NoSpacing"/>
        <w:rPr>
          <w:noProof/>
        </w:rPr>
      </w:pPr>
      <w:r>
        <w:rPr>
          <w:noProof/>
        </w:rPr>
        <w:drawing>
          <wp:inline distT="0" distB="0" distL="0" distR="0" wp14:anchorId="13DFE6CC" wp14:editId="1B0BB705">
            <wp:extent cx="5730875" cy="2865120"/>
            <wp:effectExtent l="0" t="0" r="3175" b="0"/>
            <wp:docPr id="1830380062" name="Picture 55" descr="A line chart that shows the business creation rate (%), Major City and Regional Australia. The chart shows that the business creation rate in Regional Australia has been relatively stable over time, with about two new businesses created per person living in Regional Australia each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80062" name="Picture 55" descr="A line chart that shows the business creation rate (%), Major City and Regional Australia. The chart shows that the business creation rate in Regional Australia has been relatively stable over time, with about two new businesses created per person living in Regional Australia each year. "/>
                    <pic:cNvPicPr>
                      <a:picLocks noChangeAspect="1" noChangeArrowheads="1"/>
                    </pic:cNvPicPr>
                  </pic:nvPicPr>
                  <pic:blipFill>
                    <a:blip r:embed="rId73" cstate="email">
                      <a:extLst>
                        <a:ext uri="{28A0092B-C50C-407E-A947-70E740481C1C}">
                          <a14:useLocalDpi xmlns:a14="http://schemas.microsoft.com/office/drawing/2010/main" val="0"/>
                        </a:ext>
                      </a:extLst>
                    </a:blip>
                    <a:srcRect/>
                    <a:stretch>
                      <a:fillRect/>
                    </a:stretch>
                  </pic:blipFill>
                  <pic:spPr bwMode="auto">
                    <a:xfrm>
                      <a:off x="0" y="0"/>
                      <a:ext cx="5730875" cy="2865120"/>
                    </a:xfrm>
                    <a:prstGeom prst="rect">
                      <a:avLst/>
                    </a:prstGeom>
                    <a:noFill/>
                  </pic:spPr>
                </pic:pic>
              </a:graphicData>
            </a:graphic>
          </wp:inline>
        </w:drawing>
      </w:r>
    </w:p>
    <w:p w14:paraId="6ECFB3E6" w14:textId="58593587" w:rsidR="00470D0D" w:rsidRDefault="00470D0D" w:rsidP="007E186B">
      <w:pPr>
        <w:pStyle w:val="NoSpacing"/>
        <w:rPr>
          <w:b/>
          <w:bCs/>
        </w:rPr>
      </w:pPr>
      <w:r w:rsidRPr="007E186B">
        <w:rPr>
          <w:i/>
          <w:iCs/>
          <w:sz w:val="18"/>
          <w:szCs w:val="18"/>
        </w:rPr>
        <w:t xml:space="preserve">Source: ABS, Counts of Australian Businesses and ABS, Labour Force, Detailed, </w:t>
      </w:r>
      <w:r w:rsidR="003A3950" w:rsidRPr="007E186B">
        <w:rPr>
          <w:i/>
          <w:iCs/>
          <w:sz w:val="18"/>
          <w:szCs w:val="18"/>
        </w:rPr>
        <w:t>6-month average of original</w:t>
      </w:r>
      <w:r w:rsidRPr="007E186B">
        <w:rPr>
          <w:i/>
          <w:iCs/>
          <w:sz w:val="18"/>
          <w:szCs w:val="18"/>
        </w:rPr>
        <w:t xml:space="preserve"> estimates</w:t>
      </w:r>
      <w:r w:rsidR="00320D98" w:rsidRPr="007E186B">
        <w:rPr>
          <w:i/>
          <w:iCs/>
          <w:sz w:val="18"/>
          <w:szCs w:val="18"/>
        </w:rPr>
        <w:t>, March 2025</w:t>
      </w:r>
    </w:p>
    <w:p w14:paraId="70A363A9" w14:textId="7332D680" w:rsidR="00A4569E" w:rsidRPr="00A4569E" w:rsidRDefault="00A4569E" w:rsidP="00A4569E">
      <w:pPr>
        <w:rPr>
          <w:i/>
          <w:iCs/>
          <w:sz w:val="18"/>
          <w:szCs w:val="18"/>
        </w:rPr>
      </w:pPr>
      <w:r w:rsidRPr="00A4569E">
        <w:rPr>
          <w:i/>
          <w:iCs/>
          <w:sz w:val="18"/>
          <w:szCs w:val="18"/>
        </w:rPr>
        <w:t>Note: The business creation rate is calculated by dividing the proportion of new business entries (over the financial year) as a proportion of the working age (15-64 years) population.</w:t>
      </w:r>
    </w:p>
    <w:p w14:paraId="5D057DCE" w14:textId="413A4248" w:rsidR="00C04123" w:rsidRPr="00993248" w:rsidRDefault="00C04123" w:rsidP="00BE74E6">
      <w:pPr>
        <w:pStyle w:val="Heading3"/>
      </w:pPr>
      <w:r w:rsidRPr="00993248">
        <w:t>Summary</w:t>
      </w:r>
    </w:p>
    <w:p w14:paraId="1B4F8200" w14:textId="2BF6F99E" w:rsidR="00A26FAF" w:rsidRDefault="00340149" w:rsidP="00340149">
      <w:pPr>
        <w:tabs>
          <w:tab w:val="left" w:pos="357"/>
          <w:tab w:val="left" w:pos="714"/>
          <w:tab w:val="left" w:pos="1072"/>
          <w:tab w:val="left" w:pos="1429"/>
        </w:tabs>
        <w:spacing w:before="120" w:after="120" w:line="276" w:lineRule="auto"/>
        <w:rPr>
          <w:rFonts w:eastAsia="Arial" w:cs="Arial"/>
          <w:szCs w:val="20"/>
        </w:rPr>
      </w:pPr>
      <w:r w:rsidRPr="00CA5604">
        <w:rPr>
          <w:rFonts w:eastAsia="Arial" w:cs="Arial"/>
          <w:szCs w:val="20"/>
        </w:rPr>
        <w:t xml:space="preserve">An effective jobs and skills system in Regional Australia should ensure that employers have access to the labour they need – both in terms of available people and with the skills that are needed. </w:t>
      </w:r>
      <w:r>
        <w:rPr>
          <w:rFonts w:eastAsia="Arial" w:cs="Arial"/>
          <w:szCs w:val="20"/>
        </w:rPr>
        <w:t xml:space="preserve">Ensuring employers have access to suitable labour, including by supporting the development of a </w:t>
      </w:r>
      <w:r w:rsidR="00306785">
        <w:rPr>
          <w:rFonts w:eastAsia="Arial" w:cs="Arial"/>
          <w:szCs w:val="20"/>
        </w:rPr>
        <w:t>‘</w:t>
      </w:r>
      <w:r>
        <w:rPr>
          <w:rFonts w:eastAsia="Arial" w:cs="Arial"/>
          <w:szCs w:val="20"/>
        </w:rPr>
        <w:t>home-grown</w:t>
      </w:r>
      <w:r w:rsidR="00306785">
        <w:rPr>
          <w:rFonts w:eastAsia="Arial" w:cs="Arial"/>
          <w:szCs w:val="20"/>
        </w:rPr>
        <w:t>’</w:t>
      </w:r>
      <w:r>
        <w:rPr>
          <w:rFonts w:eastAsia="Arial" w:cs="Arial"/>
          <w:szCs w:val="20"/>
        </w:rPr>
        <w:t xml:space="preserve"> workforce, can support growth in output and productivity. </w:t>
      </w:r>
      <w:r w:rsidR="00A26FAF" w:rsidRPr="00B266AB">
        <w:t xml:space="preserve">Migration </w:t>
      </w:r>
      <w:r w:rsidR="00A26FAF">
        <w:t xml:space="preserve">also </w:t>
      </w:r>
      <w:r w:rsidR="00A26FAF" w:rsidRPr="00B266AB">
        <w:t xml:space="preserve">plays an important role in addressing the diverse workforce needs of </w:t>
      </w:r>
      <w:r w:rsidR="00A26FAF">
        <w:t>Regional Australia</w:t>
      </w:r>
      <w:r w:rsidR="00A26FAF" w:rsidRPr="00B266AB">
        <w:t xml:space="preserve"> where local labour or skills are not available</w:t>
      </w:r>
      <w:r w:rsidR="00A26FAF">
        <w:t>.</w:t>
      </w:r>
      <w:r w:rsidR="00A26FAF">
        <w:rPr>
          <w:rFonts w:eastAsia="Arial" w:cs="Arial"/>
          <w:szCs w:val="20"/>
        </w:rPr>
        <w:t xml:space="preserve"> </w:t>
      </w:r>
    </w:p>
    <w:p w14:paraId="12D742C8" w14:textId="705F83C8" w:rsidR="00340149" w:rsidRDefault="00340149" w:rsidP="00340149">
      <w:pPr>
        <w:tabs>
          <w:tab w:val="left" w:pos="357"/>
          <w:tab w:val="left" w:pos="714"/>
          <w:tab w:val="left" w:pos="1072"/>
          <w:tab w:val="left" w:pos="1429"/>
        </w:tabs>
        <w:spacing w:before="120" w:after="120" w:line="276" w:lineRule="auto"/>
        <w:rPr>
          <w:rFonts w:eastAsia="Arial" w:cs="Arial"/>
          <w:szCs w:val="20"/>
        </w:rPr>
      </w:pPr>
      <w:r>
        <w:rPr>
          <w:rFonts w:eastAsia="Arial" w:cs="Arial"/>
          <w:szCs w:val="20"/>
        </w:rPr>
        <w:lastRenderedPageBreak/>
        <w:t xml:space="preserve">This has direct benefits for Regional Australia, ensuring goods and services are delivered in accordance with what communities need and want, helping to facilitate improvements in living standards.   </w:t>
      </w:r>
    </w:p>
    <w:p w14:paraId="74C92693" w14:textId="77777777" w:rsidR="00A26FAF" w:rsidRDefault="00340149" w:rsidP="00340149">
      <w:pPr>
        <w:pStyle w:val="BodyText"/>
        <w:rPr>
          <w:rFonts w:eastAsia="Arial" w:cs="Arial"/>
        </w:rPr>
      </w:pPr>
      <w:r>
        <w:rPr>
          <w:rFonts w:eastAsia="Arial" w:cs="Arial"/>
        </w:rPr>
        <w:t xml:space="preserve">One of the greatest challenges regional employers face, however, is finding staff to fill vacancies, particularly for occupations requiring a post school qualification. Indeed, the vacancy fill rate has fallen sharply in recent years, from around 68% in 2020, to a recent low of almost 53% in 2023. Although recruitment difficulty appears to be showing some sign of easing, it continues to remain higher for employers in Regional Australia than for employers in Major Cities, including for essential services where almost 1 in 10 essential service jobs remain vacant. </w:t>
      </w:r>
    </w:p>
    <w:p w14:paraId="368C2D23" w14:textId="728FE897" w:rsidR="0087173E" w:rsidRDefault="00340149" w:rsidP="00A26FAF">
      <w:pPr>
        <w:pStyle w:val="BodyText"/>
        <w:rPr>
          <w:rFonts w:eastAsia="Arial" w:cs="Arial"/>
        </w:rPr>
      </w:pPr>
      <w:r>
        <w:t xml:space="preserve">This highlights the urgent need for additional support to ensure the adequate provision of essential services in Regional Australia that is central to supporting a strong labour market and the wellbeing of the community. </w:t>
      </w:r>
      <w:r>
        <w:rPr>
          <w:rFonts w:eastAsia="Arial" w:cs="Arial"/>
        </w:rPr>
        <w:t xml:space="preserve">Furthermore, data from the OSL </w:t>
      </w:r>
      <w:r w:rsidRPr="00CA5604">
        <w:rPr>
          <w:rFonts w:eastAsia="Arial" w:cs="Arial"/>
        </w:rPr>
        <w:t xml:space="preserve">Occupations that emerge as being in shortage only within a regional area of a state or territory often develop into state-wide shortages in subsequent periods. </w:t>
      </w:r>
    </w:p>
    <w:p w14:paraId="104AE6B4" w14:textId="6109E1DA" w:rsidR="00A44C62" w:rsidRPr="00CA5604" w:rsidRDefault="00A44C62" w:rsidP="00D16B99">
      <w:pPr>
        <w:numPr>
          <w:ilvl w:val="0"/>
          <w:numId w:val="39"/>
        </w:numPr>
        <w:tabs>
          <w:tab w:val="left" w:pos="357"/>
          <w:tab w:val="left" w:pos="714"/>
          <w:tab w:val="left" w:pos="1072"/>
          <w:tab w:val="left" w:pos="1429"/>
        </w:tabs>
        <w:spacing w:before="120" w:after="120" w:line="276" w:lineRule="auto"/>
        <w:rPr>
          <w:rFonts w:eastAsia="Arial" w:cs="Arial"/>
          <w:szCs w:val="20"/>
        </w:rPr>
      </w:pPr>
      <w:r w:rsidRPr="00CA5604">
        <w:rPr>
          <w:rFonts w:eastAsia="Arial" w:cs="Arial"/>
          <w:szCs w:val="20"/>
        </w:rPr>
        <w:t xml:space="preserve">Of note </w:t>
      </w:r>
      <w:r w:rsidR="00DB3C5A">
        <w:rPr>
          <w:rFonts w:eastAsia="Arial" w:cs="Arial"/>
          <w:szCs w:val="20"/>
        </w:rPr>
        <w:t xml:space="preserve">are </w:t>
      </w:r>
      <w:r w:rsidRPr="00CA5604">
        <w:rPr>
          <w:rFonts w:eastAsia="Arial" w:cs="Arial"/>
          <w:szCs w:val="20"/>
        </w:rPr>
        <w:t>key shortage</w:t>
      </w:r>
      <w:r w:rsidR="00DB3C5A">
        <w:rPr>
          <w:rFonts w:eastAsia="Arial" w:cs="Arial"/>
          <w:szCs w:val="20"/>
        </w:rPr>
        <w:t>s</w:t>
      </w:r>
      <w:r w:rsidRPr="00CA5604">
        <w:rPr>
          <w:rFonts w:eastAsia="Arial" w:cs="Arial"/>
          <w:szCs w:val="20"/>
        </w:rPr>
        <w:t xml:space="preserve"> of Urban and Regional Planners</w:t>
      </w:r>
      <w:r>
        <w:rPr>
          <w:rFonts w:eastAsia="Arial" w:cs="Arial"/>
          <w:szCs w:val="20"/>
        </w:rPr>
        <w:t xml:space="preserve"> and many occupations in the health sector</w:t>
      </w:r>
      <w:r w:rsidRPr="00CA5604">
        <w:rPr>
          <w:rFonts w:eastAsia="Arial" w:cs="Arial"/>
          <w:szCs w:val="20"/>
        </w:rPr>
        <w:t xml:space="preserve"> which may actually be contributing to the prevalence of all other shortages</w:t>
      </w:r>
      <w:r>
        <w:rPr>
          <w:rFonts w:eastAsia="Arial" w:cs="Arial"/>
          <w:szCs w:val="20"/>
        </w:rPr>
        <w:t>.</w:t>
      </w:r>
      <w:r w:rsidRPr="00CA5604">
        <w:rPr>
          <w:rFonts w:eastAsia="Arial" w:cs="Arial"/>
          <w:szCs w:val="20"/>
        </w:rPr>
        <w:t xml:space="preserve"> </w:t>
      </w:r>
    </w:p>
    <w:p w14:paraId="0984BD1D" w14:textId="6FF6D701" w:rsidR="003E68DE" w:rsidRPr="00C85E06" w:rsidRDefault="00340149" w:rsidP="00C85E06">
      <w:pPr>
        <w:tabs>
          <w:tab w:val="left" w:pos="357"/>
          <w:tab w:val="left" w:pos="714"/>
          <w:tab w:val="left" w:pos="1072"/>
          <w:tab w:val="left" w:pos="1429"/>
        </w:tabs>
        <w:spacing w:before="120" w:after="120" w:line="276" w:lineRule="auto"/>
        <w:rPr>
          <w:rFonts w:eastAsia="Arial" w:cs="Arial"/>
          <w:szCs w:val="20"/>
        </w:rPr>
      </w:pPr>
      <w:r w:rsidRPr="00CA5604">
        <w:rPr>
          <w:rFonts w:eastAsia="Arial" w:cs="Arial"/>
          <w:szCs w:val="20"/>
        </w:rPr>
        <w:t>This suggests that regional jobs and skills issues are often a precursor to issues becoming prevalent on a broader scale. Addressing emerging regional shortages quickly is critical to ensuring shortages do not become broad-based and persistent.</w:t>
      </w:r>
    </w:p>
    <w:p w14:paraId="21D705BB" w14:textId="77777777" w:rsidR="00D625C1" w:rsidRPr="00800D1C" w:rsidRDefault="00D625C1" w:rsidP="00800D1C">
      <w:bookmarkStart w:id="142" w:name="_Toc146892703"/>
      <w:r>
        <w:rPr>
          <w:rFonts w:eastAsiaTheme="majorEastAsia" w:cstheme="majorBidi"/>
          <w:color w:val="4B0885" w:themeColor="text2"/>
          <w:sz w:val="56"/>
          <w:szCs w:val="32"/>
        </w:rPr>
        <w:br w:type="page"/>
      </w:r>
    </w:p>
    <w:p w14:paraId="4BAFF265" w14:textId="735753AA" w:rsidR="005F6D84" w:rsidRPr="005F6D84" w:rsidRDefault="00FB7E2F" w:rsidP="00AD6426">
      <w:pPr>
        <w:pStyle w:val="Heading1unnumbered"/>
        <w:rPr>
          <w:bCs/>
        </w:rPr>
      </w:pPr>
      <w:r w:rsidRPr="00FB7E2F">
        <w:rPr>
          <w:noProof/>
        </w:rPr>
        <w:lastRenderedPageBreak/>
        <w:drawing>
          <wp:anchor distT="0" distB="0" distL="114300" distR="114300" simplePos="0" relativeHeight="251958784" behindDoc="1" locked="0" layoutInCell="1" allowOverlap="1" wp14:anchorId="6194DC6D" wp14:editId="78A0BA0A">
            <wp:simplePos x="0" y="0"/>
            <wp:positionH relativeFrom="page">
              <wp:align>left</wp:align>
            </wp:positionH>
            <wp:positionV relativeFrom="paragraph">
              <wp:posOffset>-808157</wp:posOffset>
            </wp:positionV>
            <wp:extent cx="7564046" cy="10699602"/>
            <wp:effectExtent l="0" t="0" r="0" b="6985"/>
            <wp:wrapNone/>
            <wp:docPr id="67410363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03634" name="Picture 8">
                      <a:extLst>
                        <a:ext uri="{C183D7F6-B498-43B3-948B-1728B52AA6E4}">
                          <adec:decorative xmlns:adec="http://schemas.microsoft.com/office/drawing/2017/decorative" val="1"/>
                        </a:ext>
                      </a:extLst>
                    </pic:cNvPr>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7564046" cy="10699602"/>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42"/>
      <w:r w:rsidR="005B265A">
        <w:t>Vision Principle 5</w:t>
      </w:r>
      <w:r w:rsidR="007110C6">
        <w:t xml:space="preserve">: Efficient matching </w:t>
      </w:r>
      <w:r w:rsidR="005F6D84">
        <w:rPr>
          <w:bCs/>
        </w:rPr>
        <w:t>of labour</w:t>
      </w:r>
      <w:r w:rsidR="007110C6">
        <w:t xml:space="preserve"> supply</w:t>
      </w:r>
      <w:r w:rsidR="005F6D84">
        <w:rPr>
          <w:bCs/>
        </w:rPr>
        <w:t xml:space="preserve"> and</w:t>
      </w:r>
      <w:r w:rsidR="007110C6">
        <w:t xml:space="preserve"> demand</w:t>
      </w:r>
    </w:p>
    <w:p w14:paraId="37F2DE70" w14:textId="6BD45C07" w:rsidR="005F6D84" w:rsidRPr="00AD6426" w:rsidRDefault="00374803" w:rsidP="00AD6426">
      <w:pPr>
        <w:pStyle w:val="Heading4"/>
        <w:rPr>
          <w:b w:val="0"/>
          <w:color w:val="auto"/>
          <w:sz w:val="40"/>
          <w:szCs w:val="40"/>
        </w:rPr>
      </w:pPr>
      <w:r w:rsidRPr="00374803">
        <w:rPr>
          <w:b w:val="0"/>
          <w:color w:val="auto"/>
          <w:sz w:val="40"/>
          <w:szCs w:val="40"/>
        </w:rPr>
        <w:t>The labour market in Regional Australia efficiently matches labour demand with labour supply</w:t>
      </w:r>
    </w:p>
    <w:p w14:paraId="7B4C4F0B" w14:textId="77777777" w:rsidR="005F6D84" w:rsidRDefault="005F6D84" w:rsidP="005F6D84">
      <w:pPr>
        <w:spacing w:after="160" w:line="278" w:lineRule="auto"/>
        <w:rPr>
          <w:rFonts w:eastAsia="Times New Roman" w:cs="Arial"/>
          <w:b/>
          <w:bCs/>
          <w:i/>
          <w:iCs/>
          <w:color w:val="000000" w:themeColor="text1"/>
          <w:sz w:val="24"/>
          <w:szCs w:val="24"/>
          <w:lang w:eastAsia="en-AU"/>
        </w:rPr>
      </w:pPr>
      <w:r>
        <w:rPr>
          <w:rFonts w:eastAsia="Times New Roman" w:cs="Arial"/>
          <w:b/>
          <w:bCs/>
          <w:i/>
          <w:iCs/>
          <w:color w:val="000000" w:themeColor="text1"/>
          <w:sz w:val="24"/>
          <w:szCs w:val="24"/>
          <w:lang w:eastAsia="en-AU"/>
        </w:rPr>
        <w:br w:type="page"/>
      </w:r>
    </w:p>
    <w:p w14:paraId="54775A4D" w14:textId="4FCC5252" w:rsidR="00D625C1" w:rsidRPr="005F6D84" w:rsidRDefault="00717ABA" w:rsidP="00954EA3">
      <w:pPr>
        <w:pStyle w:val="Heading11"/>
      </w:pPr>
      <w:bookmarkStart w:id="143" w:name="_Toc200637150"/>
      <w:bookmarkStart w:id="144" w:name="_Toc201070188"/>
      <w:bookmarkStart w:id="145" w:name="_Toc201919851"/>
      <w:bookmarkStart w:id="146" w:name="_Toc202361879"/>
      <w:r>
        <w:lastRenderedPageBreak/>
        <w:t>Vision Principle 5</w:t>
      </w:r>
      <w:r w:rsidR="00A67195">
        <w:t xml:space="preserve"> –</w:t>
      </w:r>
      <w:r w:rsidR="007110C6" w:rsidRPr="005F6D84">
        <w:t xml:space="preserve"> Efficient matching </w:t>
      </w:r>
      <w:r w:rsidR="005F6D84">
        <w:t>of labour supply and demand</w:t>
      </w:r>
      <w:bookmarkEnd w:id="143"/>
      <w:bookmarkEnd w:id="144"/>
      <w:bookmarkEnd w:id="145"/>
      <w:bookmarkEnd w:id="146"/>
    </w:p>
    <w:p w14:paraId="6B972220" w14:textId="0B23485B" w:rsidR="005F6D84" w:rsidRPr="00993248" w:rsidRDefault="00717ABA" w:rsidP="00C96369">
      <w:pPr>
        <w:pStyle w:val="Heading3"/>
      </w:pPr>
      <w:r>
        <w:t>A</w:t>
      </w:r>
      <w:r w:rsidR="005F6D84" w:rsidRPr="00993248">
        <w:t xml:space="preserve"> cross-cutting measure</w:t>
      </w:r>
    </w:p>
    <w:p w14:paraId="5D917536" w14:textId="1160F19F" w:rsidR="008D01EE" w:rsidRPr="00C96369" w:rsidRDefault="008D01EE" w:rsidP="00C96369">
      <w:pPr>
        <w:pStyle w:val="Heading4"/>
      </w:pPr>
      <w:r w:rsidRPr="00C96369">
        <w:t xml:space="preserve">The labour market in Regional Australia efficiently matches labour demand with labour supply </w:t>
      </w:r>
    </w:p>
    <w:p w14:paraId="42A32AC0" w14:textId="3F3AB8D8" w:rsidR="004C4A4F" w:rsidRDefault="004C4A4F" w:rsidP="00C96369">
      <w:pPr>
        <w:pStyle w:val="BodyText"/>
      </w:pPr>
      <w:r>
        <w:t xml:space="preserve">A well-functioning labour market is a critical contributor to productivity growth, particularly though the efficient matching of jobs </w:t>
      </w:r>
      <w:r w:rsidR="005205A0">
        <w:t>seekers</w:t>
      </w:r>
      <w:r>
        <w:t xml:space="preserve"> and </w:t>
      </w:r>
      <w:r w:rsidR="005205A0">
        <w:t>vacancies</w:t>
      </w:r>
      <w:r>
        <w:t xml:space="preserve">. A labour market with an efficient matching of jobs and skills can generate more economic output for a given level of available workers and demand for labour, contributing to improved economic welfare and prosperity for all communities across Australia, including </w:t>
      </w:r>
      <w:r w:rsidR="00C6572E">
        <w:t>in</w:t>
      </w:r>
      <w:r>
        <w:t xml:space="preserve"> Regional Australia</w:t>
      </w:r>
      <w:r w:rsidR="00E17174">
        <w:t>.</w:t>
      </w:r>
      <w:r w:rsidR="00273F8A">
        <w:rPr>
          <w:rStyle w:val="FootnoteReference"/>
          <w:b/>
          <w:sz w:val="20"/>
        </w:rPr>
        <w:footnoteReference w:id="33"/>
      </w:r>
      <w:r>
        <w:t xml:space="preserve"> </w:t>
      </w:r>
    </w:p>
    <w:p w14:paraId="4BAE8DA8" w14:textId="77777777" w:rsidR="003C32D4" w:rsidRDefault="004C4A4F" w:rsidP="00C96369">
      <w:pPr>
        <w:pStyle w:val="BodyText"/>
      </w:pPr>
      <w:r>
        <w:t xml:space="preserve">In an efficient labour market, employers fill vacancies in a timely manner, and those who are unemployed do not remain out of work for long. However, this is not always the case. </w:t>
      </w:r>
    </w:p>
    <w:p w14:paraId="1A55BC32" w14:textId="77777777" w:rsidR="003C32D4" w:rsidRDefault="004C4A4F" w:rsidP="00C96369">
      <w:pPr>
        <w:pStyle w:val="BodyText"/>
      </w:pPr>
      <w:r>
        <w:t>Matching efficiency can be limited, particularly during an economic downturn, by disconnects between the skills and location of potential workers, and the requirements, renumeration, and location of available jobs</w:t>
      </w:r>
      <w:r w:rsidR="00856304">
        <w:t>.</w:t>
      </w:r>
      <w:r w:rsidR="00856304">
        <w:rPr>
          <w:rStyle w:val="FootnoteReference"/>
          <w:b/>
          <w:sz w:val="20"/>
        </w:rPr>
        <w:footnoteReference w:id="34"/>
      </w:r>
      <w:r w:rsidR="00912E79">
        <w:t xml:space="preserve"> </w:t>
      </w:r>
      <w:r>
        <w:t xml:space="preserve">As a result, the unemployed may remain unemployed for longer, because they are unable to find work. </w:t>
      </w:r>
    </w:p>
    <w:p w14:paraId="3159F45D" w14:textId="77777777" w:rsidR="003C32D4" w:rsidRDefault="003C32D4" w:rsidP="00C96369">
      <w:pPr>
        <w:pStyle w:val="BodyText"/>
      </w:pPr>
      <w:r>
        <w:t>In addition, the remaining vacancies may go unfilled, as suitable workers cannot be obtained from the pool of available unemployed people. In such circumstances, poor labour market efficiency is at play, and the economic cost (including a loss of potential output and stifling of business opportunities) and social cost (that result from spells of unemployment) can be substantial.</w:t>
      </w:r>
      <w:r>
        <w:rPr>
          <w:rStyle w:val="FootnoteReference"/>
          <w:b/>
          <w:sz w:val="20"/>
        </w:rPr>
        <w:footnoteReference w:id="35"/>
      </w:r>
      <w:r>
        <w:t xml:space="preserve"> </w:t>
      </w:r>
    </w:p>
    <w:p w14:paraId="4EA2FAFF" w14:textId="581571E7" w:rsidR="00B97545" w:rsidRPr="00B97545" w:rsidRDefault="00F46DB1" w:rsidP="00F46DB1">
      <w:pPr>
        <w:pStyle w:val="Caption"/>
        <w:rPr>
          <w:rFonts w:eastAsia="Aptos" w:cs="Arial"/>
        </w:rPr>
      </w:pPr>
      <w:bookmarkStart w:id="147" w:name="_Toc201916607"/>
      <w:r>
        <w:t xml:space="preserve">Figure </w:t>
      </w:r>
      <w:r>
        <w:fldChar w:fldCharType="begin"/>
      </w:r>
      <w:r>
        <w:instrText xml:space="preserve"> SEQ Figure \* ARABIC </w:instrText>
      </w:r>
      <w:r>
        <w:fldChar w:fldCharType="separate"/>
      </w:r>
      <w:r w:rsidR="00471863">
        <w:rPr>
          <w:noProof/>
        </w:rPr>
        <w:t>41</w:t>
      </w:r>
      <w:r>
        <w:fldChar w:fldCharType="end"/>
      </w:r>
      <w:r w:rsidR="00B97545">
        <w:t xml:space="preserve">: Conceptualising </w:t>
      </w:r>
      <w:r w:rsidR="00D23532">
        <w:t>labour market efficiency</w:t>
      </w:r>
      <w:bookmarkEnd w:id="147"/>
    </w:p>
    <w:p w14:paraId="010FFE0A" w14:textId="65782381" w:rsidR="008D01EE" w:rsidRPr="00993248" w:rsidRDefault="00B97545" w:rsidP="00B97545">
      <w:pPr>
        <w:spacing w:before="120" w:after="240"/>
        <w:jc w:val="center"/>
        <w:rPr>
          <w:b/>
          <w:color w:val="4B0885"/>
          <w:sz w:val="26"/>
          <w:szCs w:val="26"/>
        </w:rPr>
      </w:pPr>
      <w:r w:rsidRPr="00B97545">
        <w:rPr>
          <w:b/>
          <w:noProof/>
          <w:color w:val="4B0885"/>
          <w:sz w:val="26"/>
          <w:szCs w:val="26"/>
        </w:rPr>
        <w:drawing>
          <wp:inline distT="0" distB="0" distL="0" distR="0" wp14:anchorId="4CF6FEBA" wp14:editId="688B650D">
            <wp:extent cx="5932859" cy="1914525"/>
            <wp:effectExtent l="0" t="0" r="0" b="0"/>
            <wp:docPr id="537175105" name="Picture 1" descr="A figure that conceptualises labour market efficiency. A labour market that matches a relatively high number of vacancies (demand) with unemployed persons (supply) may be considered relatively effic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75105" name="Picture 1" descr="A figure that conceptualises labour market efficiency. A labour market that matches a relatively high number of vacancies (demand) with unemployed persons (supply) may be considered relatively efficient. "/>
                    <pic:cNvPicPr/>
                  </pic:nvPicPr>
                  <pic:blipFill>
                    <a:blip r:embed="rId74"/>
                    <a:stretch>
                      <a:fillRect/>
                    </a:stretch>
                  </pic:blipFill>
                  <pic:spPr>
                    <a:xfrm>
                      <a:off x="0" y="0"/>
                      <a:ext cx="5936256" cy="1915621"/>
                    </a:xfrm>
                    <a:prstGeom prst="rect">
                      <a:avLst/>
                    </a:prstGeom>
                  </pic:spPr>
                </pic:pic>
              </a:graphicData>
            </a:graphic>
          </wp:inline>
        </w:drawing>
      </w:r>
    </w:p>
    <w:p w14:paraId="18A5D44B" w14:textId="22DCBC09" w:rsidR="00587E53" w:rsidRPr="00587E53" w:rsidRDefault="00587E53" w:rsidP="00C96369">
      <w:pPr>
        <w:pStyle w:val="Heading3"/>
      </w:pPr>
      <w:r w:rsidRPr="00993248">
        <w:lastRenderedPageBreak/>
        <w:t>Evaluative indicators and insights</w:t>
      </w:r>
    </w:p>
    <w:p w14:paraId="61B5A5CC" w14:textId="2EE582D9" w:rsidR="00E61EA9" w:rsidRPr="00FD0A64" w:rsidRDefault="00D07DBE" w:rsidP="00D07DBE">
      <w:pPr>
        <w:pStyle w:val="Caption"/>
        <w:rPr>
          <w:b w:val="0"/>
        </w:rPr>
      </w:pPr>
      <w:r>
        <w:t xml:space="preserve">Table </w:t>
      </w:r>
      <w:r>
        <w:fldChar w:fldCharType="begin"/>
      </w:r>
      <w:r>
        <w:instrText xml:space="preserve"> SEQ Table \* ARABIC </w:instrText>
      </w:r>
      <w:r>
        <w:fldChar w:fldCharType="separate"/>
      </w:r>
      <w:r w:rsidR="00471863">
        <w:rPr>
          <w:noProof/>
        </w:rPr>
        <w:t>27</w:t>
      </w:r>
      <w:r>
        <w:fldChar w:fldCharType="end"/>
      </w:r>
      <w:r w:rsidR="00E61EA9" w:rsidRPr="00FD0A64">
        <w:rPr>
          <w:b w:val="0"/>
        </w:rPr>
        <w:t xml:space="preserve">: Metric summary table – Vision Principle </w:t>
      </w:r>
      <w:r w:rsidR="00E61EA9">
        <w:rPr>
          <w:b w:val="0"/>
        </w:rPr>
        <w:t>5</w:t>
      </w:r>
    </w:p>
    <w:tbl>
      <w:tblPr>
        <w:tblStyle w:val="GridTable5Dark-Accent1"/>
        <w:tblW w:w="9070" w:type="dxa"/>
        <w:tblLook w:val="04A0" w:firstRow="1" w:lastRow="0" w:firstColumn="1" w:lastColumn="0" w:noHBand="0" w:noVBand="1"/>
      </w:tblPr>
      <w:tblGrid>
        <w:gridCol w:w="6941"/>
        <w:gridCol w:w="2129"/>
      </w:tblGrid>
      <w:tr w:rsidR="00E61EA9" w:rsidRPr="00CB0C7A" w14:paraId="44F7AC42" w14:textId="77777777">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6A6A6" w:themeColor="background1" w:themeShade="A6"/>
              <w:left w:val="single" w:sz="4" w:space="0" w:color="A6A6A6" w:themeColor="background1" w:themeShade="A6"/>
              <w:bottom w:val="single" w:sz="4" w:space="0" w:color="auto"/>
            </w:tcBorders>
            <w:shd w:val="clear" w:color="auto" w:fill="370663"/>
            <w:vAlign w:val="center"/>
          </w:tcPr>
          <w:p w14:paraId="10A675E7" w14:textId="42EF433D" w:rsidR="00E61EA9" w:rsidRPr="00AB69D5" w:rsidRDefault="00E61EA9" w:rsidP="00424BCF">
            <w:pPr>
              <w:keepNext/>
              <w:rPr>
                <w:rFonts w:cs="Arial"/>
              </w:rPr>
            </w:pPr>
            <w:r w:rsidRPr="00AB69D5">
              <w:rPr>
                <w:rFonts w:cs="Arial"/>
              </w:rPr>
              <w:t xml:space="preserve">JSA Regional Roadmap - Vision Principle </w:t>
            </w:r>
            <w:r w:rsidR="00997218" w:rsidRPr="00AB69D5">
              <w:rPr>
                <w:rFonts w:cs="Arial"/>
              </w:rPr>
              <w:t>5</w:t>
            </w:r>
          </w:p>
        </w:tc>
        <w:tc>
          <w:tcPr>
            <w:tcW w:w="2129" w:type="dxa"/>
            <w:tcBorders>
              <w:top w:val="single" w:sz="4" w:space="0" w:color="A6A6A6" w:themeColor="background1" w:themeShade="A6"/>
              <w:bottom w:val="single" w:sz="4" w:space="0" w:color="auto"/>
              <w:right w:val="single" w:sz="4" w:space="0" w:color="A6A6A6" w:themeColor="background1" w:themeShade="A6"/>
            </w:tcBorders>
            <w:shd w:val="clear" w:color="auto" w:fill="370663"/>
            <w:vAlign w:val="center"/>
          </w:tcPr>
          <w:p w14:paraId="5D05DCE2" w14:textId="77777777" w:rsidR="00E61EA9" w:rsidRPr="00AB69D5" w:rsidRDefault="00E61EA9" w:rsidP="00424BCF">
            <w:pPr>
              <w:keepNext/>
              <w:jc w:val="center"/>
              <w:cnfStyle w:val="100000000000" w:firstRow="1" w:lastRow="0" w:firstColumn="0" w:lastColumn="0" w:oddVBand="0" w:evenVBand="0" w:oddHBand="0" w:evenHBand="0" w:firstRowFirstColumn="0" w:firstRowLastColumn="0" w:lastRowFirstColumn="0" w:lastRowLastColumn="0"/>
              <w:rPr>
                <w:rFonts w:cs="Arial"/>
              </w:rPr>
            </w:pPr>
            <w:r w:rsidRPr="00AB69D5">
              <w:rPr>
                <w:rFonts w:cs="Arial"/>
              </w:rPr>
              <w:t>Current rating</w:t>
            </w:r>
          </w:p>
        </w:tc>
      </w:tr>
      <w:tr w:rsidR="00E61EA9" w:rsidRPr="00CB0C7A" w14:paraId="00D17DD2" w14:textId="77777777" w:rsidTr="00820B9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6A6A6" w:themeColor="background1" w:themeShade="A6"/>
              <w:bottom w:val="single" w:sz="4" w:space="0" w:color="auto"/>
            </w:tcBorders>
            <w:shd w:val="clear" w:color="auto" w:fill="FFFFFF" w:themeFill="background1"/>
            <w:vAlign w:val="center"/>
          </w:tcPr>
          <w:p w14:paraId="6C9837DD" w14:textId="3EE8E790" w:rsidR="00E61EA9" w:rsidRPr="00F6640C" w:rsidRDefault="00E61EA9">
            <w:pPr>
              <w:rPr>
                <w:rFonts w:cs="Arial"/>
              </w:rPr>
            </w:pPr>
            <w:r w:rsidRPr="00F6640C">
              <w:rPr>
                <w:rFonts w:cs="Arial"/>
                <w:color w:val="000000" w:themeColor="text1"/>
              </w:rPr>
              <w:t xml:space="preserve">Overall rating for Vision Principle </w:t>
            </w:r>
            <w:r w:rsidR="00997218">
              <w:rPr>
                <w:rFonts w:cs="Arial"/>
                <w:color w:val="000000" w:themeColor="text1"/>
              </w:rPr>
              <w:t>5</w:t>
            </w:r>
          </w:p>
        </w:tc>
        <w:tc>
          <w:tcPr>
            <w:tcW w:w="2129" w:type="dxa"/>
            <w:tcBorders>
              <w:top w:val="single" w:sz="4" w:space="0" w:color="auto"/>
              <w:bottom w:val="single" w:sz="4" w:space="0" w:color="auto"/>
              <w:right w:val="single" w:sz="4" w:space="0" w:color="A6A6A6" w:themeColor="background1" w:themeShade="A6"/>
            </w:tcBorders>
            <w:shd w:val="clear" w:color="auto" w:fill="FFAD4C"/>
            <w:vAlign w:val="center"/>
          </w:tcPr>
          <w:p w14:paraId="26A41BF6" w14:textId="692DA56F" w:rsidR="00E61EA9" w:rsidRPr="00800D1C" w:rsidRDefault="00D700FA">
            <w:pPr>
              <w:jc w:val="center"/>
              <w:cnfStyle w:val="000000100000" w:firstRow="0" w:lastRow="0" w:firstColumn="0" w:lastColumn="0" w:oddVBand="0" w:evenVBand="0" w:oddHBand="1" w:evenHBand="0" w:firstRowFirstColumn="0" w:firstRowLastColumn="0" w:lastRowFirstColumn="0" w:lastRowLastColumn="0"/>
              <w:rPr>
                <w:rFonts w:cs="Arial"/>
                <w:bCs/>
              </w:rPr>
            </w:pPr>
            <w:r w:rsidRPr="00800D1C">
              <w:rPr>
                <w:rFonts w:eastAsia="Aptos" w:cs="Arial"/>
                <w:bCs/>
              </w:rPr>
              <w:t>Orange</w:t>
            </w:r>
          </w:p>
        </w:tc>
      </w:tr>
      <w:tr w:rsidR="00800D1C" w:rsidRPr="00CB0C7A" w14:paraId="114B2EC7" w14:textId="77777777" w:rsidTr="00800D1C">
        <w:trPr>
          <w:trHeight w:val="227"/>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FFFFFF" w:themeColor="background1"/>
              <w:left w:val="single" w:sz="4" w:space="0" w:color="808080"/>
              <w:bottom w:val="single" w:sz="4" w:space="0" w:color="808080"/>
              <w:right w:val="single" w:sz="4" w:space="0" w:color="370663"/>
            </w:tcBorders>
            <w:shd w:val="clear" w:color="auto" w:fill="370663"/>
            <w:vAlign w:val="center"/>
          </w:tcPr>
          <w:p w14:paraId="773CCE9C" w14:textId="4D8387FD" w:rsidR="00800D1C" w:rsidRPr="00800D1C" w:rsidRDefault="00800D1C" w:rsidP="00800D1C">
            <w:pPr>
              <w:spacing w:before="100"/>
              <w:rPr>
                <w:rFonts w:cs="Arial"/>
                <w:b w:val="0"/>
                <w:bCs w:val="0"/>
              </w:rPr>
            </w:pPr>
            <w:r w:rsidRPr="00800D1C">
              <w:rPr>
                <w:rFonts w:cs="Arial"/>
                <w:b w:val="0"/>
                <w:bCs w:val="0"/>
              </w:rPr>
              <w:t>Contributing indicators</w:t>
            </w:r>
          </w:p>
        </w:tc>
        <w:tc>
          <w:tcPr>
            <w:tcW w:w="2129" w:type="dxa"/>
            <w:tcBorders>
              <w:top w:val="single" w:sz="4" w:space="0" w:color="FFFFFF" w:themeColor="background1"/>
              <w:left w:val="single" w:sz="4" w:space="0" w:color="370663"/>
              <w:bottom w:val="single" w:sz="4" w:space="0" w:color="FFFFFF" w:themeColor="background1"/>
              <w:right w:val="single" w:sz="4" w:space="0" w:color="808080"/>
            </w:tcBorders>
            <w:shd w:val="clear" w:color="auto" w:fill="370663"/>
            <w:vAlign w:val="center"/>
          </w:tcPr>
          <w:p w14:paraId="72CF2F01" w14:textId="77777777" w:rsidR="00800D1C" w:rsidRPr="00800D1C" w:rsidRDefault="00800D1C" w:rsidP="00800D1C">
            <w:pPr>
              <w:spacing w:before="100"/>
              <w:jc w:val="center"/>
              <w:cnfStyle w:val="000000000000" w:firstRow="0" w:lastRow="0" w:firstColumn="0" w:lastColumn="0" w:oddVBand="0" w:evenVBand="0" w:oddHBand="0" w:evenHBand="0" w:firstRowFirstColumn="0" w:firstRowLastColumn="0" w:lastRowFirstColumn="0" w:lastRowLastColumn="0"/>
              <w:rPr>
                <w:rFonts w:cs="Arial"/>
              </w:rPr>
            </w:pPr>
          </w:p>
        </w:tc>
      </w:tr>
      <w:tr w:rsidR="00E61EA9" w:rsidRPr="00CB0C7A" w14:paraId="42CEF79A" w14:textId="77777777" w:rsidTr="00820B93">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941" w:type="dxa"/>
            <w:tcBorders>
              <w:left w:val="single" w:sz="4" w:space="0" w:color="A6A6A6" w:themeColor="background1" w:themeShade="A6"/>
              <w:bottom w:val="single" w:sz="4" w:space="0" w:color="BFBFBF"/>
            </w:tcBorders>
            <w:shd w:val="clear" w:color="auto" w:fill="F2F2F2" w:themeFill="background1" w:themeFillShade="F2"/>
            <w:vAlign w:val="center"/>
          </w:tcPr>
          <w:p w14:paraId="336A378A" w14:textId="0B2D2359" w:rsidR="00E61EA9" w:rsidRPr="00830FE3" w:rsidRDefault="002712E3" w:rsidP="0025479A">
            <w:pPr>
              <w:pStyle w:val="ListParagraph"/>
              <w:numPr>
                <w:ilvl w:val="0"/>
                <w:numId w:val="13"/>
              </w:numPr>
              <w:spacing w:before="40" w:after="40" w:line="240" w:lineRule="auto"/>
              <w:rPr>
                <w:rFonts w:cs="Arial"/>
                <w:b w:val="0"/>
                <w:color w:val="auto"/>
              </w:rPr>
            </w:pPr>
            <w:r>
              <w:rPr>
                <w:rFonts w:cs="Arial"/>
                <w:b w:val="0"/>
                <w:color w:val="auto"/>
              </w:rPr>
              <w:t>Beveridge Curve</w:t>
            </w:r>
            <w:r w:rsidR="00D0673B">
              <w:rPr>
                <w:rFonts w:cs="Arial"/>
                <w:b w:val="0"/>
                <w:color w:val="auto"/>
              </w:rPr>
              <w:t xml:space="preserve"> analysis</w:t>
            </w:r>
          </w:p>
        </w:tc>
        <w:tc>
          <w:tcPr>
            <w:tcW w:w="2129" w:type="dxa"/>
            <w:tcBorders>
              <w:right w:val="single" w:sz="4" w:space="0" w:color="A6A6A6" w:themeColor="background1" w:themeShade="A6"/>
            </w:tcBorders>
            <w:shd w:val="clear" w:color="auto" w:fill="52BD7F"/>
            <w:vAlign w:val="center"/>
          </w:tcPr>
          <w:p w14:paraId="0CE18599" w14:textId="57A14DDA" w:rsidR="00E61EA9" w:rsidRPr="00800D1C" w:rsidRDefault="00D0673B">
            <w:pPr>
              <w:jc w:val="center"/>
              <w:cnfStyle w:val="000000100000" w:firstRow="0" w:lastRow="0" w:firstColumn="0" w:lastColumn="0" w:oddVBand="0" w:evenVBand="0" w:oddHBand="1" w:evenHBand="0" w:firstRowFirstColumn="0" w:firstRowLastColumn="0" w:lastRowFirstColumn="0" w:lastRowLastColumn="0"/>
              <w:rPr>
                <w:rFonts w:cs="Arial"/>
                <w:bCs/>
                <w:highlight w:val="yellow"/>
              </w:rPr>
            </w:pPr>
            <w:r w:rsidRPr="00800D1C">
              <w:rPr>
                <w:rFonts w:eastAsia="Aptos" w:cs="Arial"/>
                <w:bCs/>
              </w:rPr>
              <w:t>Green</w:t>
            </w:r>
          </w:p>
        </w:tc>
      </w:tr>
      <w:tr w:rsidR="00E61EA9" w:rsidRPr="00CB0C7A" w14:paraId="7BBFDCE5" w14:textId="77777777" w:rsidTr="00820B93">
        <w:trPr>
          <w:trHeight w:val="680"/>
        </w:trPr>
        <w:tc>
          <w:tcPr>
            <w:cnfStyle w:val="001000000000" w:firstRow="0" w:lastRow="0" w:firstColumn="1" w:lastColumn="0" w:oddVBand="0" w:evenVBand="0" w:oddHBand="0" w:evenHBand="0" w:firstRowFirstColumn="0" w:firstRowLastColumn="0" w:lastRowFirstColumn="0" w:lastRowLastColumn="0"/>
            <w:tcW w:w="6941" w:type="dxa"/>
            <w:tcBorders>
              <w:left w:val="single" w:sz="4" w:space="0" w:color="A6A6A6" w:themeColor="background1" w:themeShade="A6"/>
              <w:bottom w:val="single" w:sz="4" w:space="0" w:color="BFBFBF"/>
            </w:tcBorders>
            <w:shd w:val="clear" w:color="auto" w:fill="F2F2F2" w:themeFill="background1" w:themeFillShade="F2"/>
            <w:vAlign w:val="center"/>
          </w:tcPr>
          <w:p w14:paraId="18FDB18E" w14:textId="1950766B" w:rsidR="00E61EA9" w:rsidRPr="00830FE3" w:rsidRDefault="00300AEE" w:rsidP="0025479A">
            <w:pPr>
              <w:pStyle w:val="ListParagraph"/>
              <w:numPr>
                <w:ilvl w:val="0"/>
                <w:numId w:val="13"/>
              </w:numPr>
              <w:spacing w:before="40" w:after="40" w:line="240" w:lineRule="auto"/>
              <w:rPr>
                <w:rFonts w:cs="Arial"/>
                <w:b w:val="0"/>
              </w:rPr>
            </w:pPr>
            <w:r>
              <w:rPr>
                <w:rFonts w:cs="Arial"/>
                <w:b w:val="0"/>
                <w:color w:val="auto"/>
              </w:rPr>
              <w:t>Efficiency of labour market matching</w:t>
            </w:r>
          </w:p>
        </w:tc>
        <w:tc>
          <w:tcPr>
            <w:tcW w:w="2129" w:type="dxa"/>
            <w:tcBorders>
              <w:right w:val="single" w:sz="4" w:space="0" w:color="A6A6A6" w:themeColor="background1" w:themeShade="A6"/>
            </w:tcBorders>
            <w:shd w:val="clear" w:color="auto" w:fill="FFAD4C"/>
            <w:vAlign w:val="center"/>
          </w:tcPr>
          <w:p w14:paraId="5791498F" w14:textId="5E0CD422" w:rsidR="00E61EA9" w:rsidRPr="00800D1C" w:rsidRDefault="00D0673B">
            <w:pPr>
              <w:jc w:val="center"/>
              <w:cnfStyle w:val="000000000000" w:firstRow="0" w:lastRow="0" w:firstColumn="0" w:lastColumn="0" w:oddVBand="0" w:evenVBand="0" w:oddHBand="0" w:evenHBand="0" w:firstRowFirstColumn="0" w:firstRowLastColumn="0" w:lastRowFirstColumn="0" w:lastRowLastColumn="0"/>
              <w:rPr>
                <w:rFonts w:eastAsia="Aptos" w:cs="Arial"/>
                <w:bCs/>
              </w:rPr>
            </w:pPr>
            <w:r w:rsidRPr="00800D1C">
              <w:rPr>
                <w:rFonts w:eastAsia="Aptos" w:cs="Arial"/>
                <w:bCs/>
              </w:rPr>
              <w:t>Orange</w:t>
            </w:r>
          </w:p>
        </w:tc>
      </w:tr>
    </w:tbl>
    <w:p w14:paraId="2E8911FA" w14:textId="1A1C00F0" w:rsidR="006F3D68" w:rsidRDefault="006E4573" w:rsidP="00C96369">
      <w:pPr>
        <w:pStyle w:val="Heading5"/>
      </w:pPr>
      <w:r>
        <w:t>Beveridge Curve</w:t>
      </w:r>
    </w:p>
    <w:p w14:paraId="51CA253C" w14:textId="573FB8FD" w:rsidR="00134CDE" w:rsidRPr="0048438C" w:rsidRDefault="00D07DBE" w:rsidP="00D07DBE">
      <w:pPr>
        <w:pStyle w:val="Caption"/>
        <w:rPr>
          <w:b w:val="0"/>
          <w:bCs w:val="0"/>
        </w:rPr>
      </w:pPr>
      <w:r>
        <w:t xml:space="preserve">Table </w:t>
      </w:r>
      <w:r>
        <w:fldChar w:fldCharType="begin"/>
      </w:r>
      <w:r>
        <w:instrText xml:space="preserve"> SEQ Table \* ARABIC </w:instrText>
      </w:r>
      <w:r>
        <w:fldChar w:fldCharType="separate"/>
      </w:r>
      <w:r w:rsidR="00471863">
        <w:rPr>
          <w:noProof/>
        </w:rPr>
        <w:t>28</w:t>
      </w:r>
      <w:r>
        <w:fldChar w:fldCharType="end"/>
      </w:r>
      <w:r w:rsidR="00134CDE" w:rsidRPr="0048438C">
        <w:rPr>
          <w:b w:val="0"/>
          <w:bCs w:val="0"/>
        </w:rPr>
        <w:t>:</w:t>
      </w:r>
      <w:r w:rsidR="004D7847">
        <w:rPr>
          <w:b w:val="0"/>
          <w:bCs w:val="0"/>
        </w:rPr>
        <w:t xml:space="preserve"> </w:t>
      </w:r>
      <w:r w:rsidR="004D7847">
        <w:rPr>
          <w:b w:val="0"/>
        </w:rPr>
        <w:t>Beveridge Curve analysis</w:t>
      </w:r>
      <w:r w:rsidR="00B741B8">
        <w:rPr>
          <w:b w:val="0"/>
        </w:rPr>
        <w:t xml:space="preserve"> for Regional Australia</w:t>
      </w:r>
    </w:p>
    <w:tbl>
      <w:tblPr>
        <w:tblStyle w:val="GridTable5Dark-Accent1"/>
        <w:tblW w:w="5000" w:type="pct"/>
        <w:tblLook w:val="04A0" w:firstRow="1" w:lastRow="0" w:firstColumn="1" w:lastColumn="0" w:noHBand="0" w:noVBand="1"/>
      </w:tblPr>
      <w:tblGrid>
        <w:gridCol w:w="2826"/>
        <w:gridCol w:w="1504"/>
        <w:gridCol w:w="2256"/>
        <w:gridCol w:w="2431"/>
      </w:tblGrid>
      <w:tr w:rsidR="00AB69D5" w:rsidRPr="00CB0C7A" w14:paraId="7A6A066A" w14:textId="77777777" w:rsidTr="00134CDE">
        <w:trPr>
          <w:cnfStyle w:val="100000000000" w:firstRow="1" w:lastRow="0" w:firstColumn="0" w:lastColumn="0" w:oddVBand="0" w:evenVBand="0" w:oddHBand="0" w:evenHBand="0" w:firstRowFirstColumn="0" w:firstRowLastColumn="0" w:lastRowFirstColumn="0" w:lastRowLastColumn="0"/>
          <w:trHeight w:val="807"/>
        </w:trPr>
        <w:tc>
          <w:tcPr>
            <w:cnfStyle w:val="001000000000" w:firstRow="0" w:lastRow="0" w:firstColumn="1" w:lastColumn="0" w:oddVBand="0" w:evenVBand="0" w:oddHBand="0" w:evenHBand="0" w:firstRowFirstColumn="0" w:firstRowLastColumn="0" w:lastRowFirstColumn="0" w:lastRowLastColumn="0"/>
            <w:tcW w:w="1567" w:type="pct"/>
            <w:tcBorders>
              <w:top w:val="single" w:sz="4" w:space="0" w:color="auto"/>
              <w:left w:val="single" w:sz="4" w:space="0" w:color="370663"/>
              <w:right w:val="single" w:sz="4" w:space="0" w:color="FFFFFF"/>
            </w:tcBorders>
            <w:shd w:val="clear" w:color="auto" w:fill="370663"/>
          </w:tcPr>
          <w:p w14:paraId="4B2489BC" w14:textId="77777777" w:rsidR="00AB69D5" w:rsidRPr="00CB0C7A" w:rsidRDefault="00AB69D5">
            <w:pPr>
              <w:rPr>
                <w:rFonts w:cs="Arial"/>
                <w:sz w:val="24"/>
                <w:szCs w:val="24"/>
              </w:rPr>
            </w:pPr>
          </w:p>
        </w:tc>
        <w:tc>
          <w:tcPr>
            <w:tcW w:w="834" w:type="pct"/>
            <w:tcBorders>
              <w:top w:val="single" w:sz="4" w:space="0" w:color="auto"/>
              <w:left w:val="single" w:sz="4" w:space="0" w:color="FFFFFF"/>
              <w:right w:val="single" w:sz="4" w:space="0" w:color="FFFFFF"/>
            </w:tcBorders>
            <w:shd w:val="clear" w:color="auto" w:fill="370663"/>
            <w:vAlign w:val="center"/>
          </w:tcPr>
          <w:p w14:paraId="53C4C956" w14:textId="77777777" w:rsidR="00AB69D5" w:rsidRPr="00CB0C7A" w:rsidRDefault="00AB69D5">
            <w:pPr>
              <w:jc w:val="center"/>
              <w:cnfStyle w:val="100000000000" w:firstRow="1" w:lastRow="0" w:firstColumn="0" w:lastColumn="0" w:oddVBand="0" w:evenVBand="0" w:oddHBand="0" w:evenHBand="0" w:firstRowFirstColumn="0" w:firstRowLastColumn="0" w:lastRowFirstColumn="0" w:lastRowLastColumn="0"/>
              <w:rPr>
                <w:rFonts w:cs="Arial"/>
                <w:sz w:val="20"/>
              </w:rPr>
            </w:pPr>
            <w:r w:rsidRPr="00CB0C7A">
              <w:rPr>
                <w:rFonts w:cs="Arial"/>
                <w:sz w:val="20"/>
              </w:rPr>
              <w:t>Current Rating</w:t>
            </w:r>
          </w:p>
        </w:tc>
        <w:tc>
          <w:tcPr>
            <w:tcW w:w="1251" w:type="pct"/>
            <w:tcBorders>
              <w:top w:val="single" w:sz="4" w:space="0" w:color="auto"/>
              <w:left w:val="single" w:sz="4" w:space="0" w:color="FFFFFF"/>
              <w:right w:val="single" w:sz="4" w:space="0" w:color="FFFFFF"/>
            </w:tcBorders>
            <w:shd w:val="clear" w:color="auto" w:fill="370663"/>
            <w:vAlign w:val="center"/>
          </w:tcPr>
          <w:p w14:paraId="3F6CD27E" w14:textId="77777777" w:rsidR="00AB69D5" w:rsidRPr="00CB0C7A" w:rsidRDefault="00AB69D5">
            <w:pPr>
              <w:jc w:val="center"/>
              <w:cnfStyle w:val="100000000000" w:firstRow="1" w:lastRow="0" w:firstColumn="0" w:lastColumn="0" w:oddVBand="0" w:evenVBand="0" w:oddHBand="0" w:evenHBand="0" w:firstRowFirstColumn="0" w:firstRowLastColumn="0" w:lastRowFirstColumn="0" w:lastRowLastColumn="0"/>
              <w:rPr>
                <w:rFonts w:cs="Arial"/>
                <w:sz w:val="20"/>
              </w:rPr>
            </w:pPr>
            <w:r w:rsidRPr="00CB0C7A">
              <w:rPr>
                <w:rFonts w:cs="Arial"/>
                <w:sz w:val="20"/>
              </w:rPr>
              <w:t>Current Trend</w:t>
            </w:r>
          </w:p>
        </w:tc>
        <w:tc>
          <w:tcPr>
            <w:tcW w:w="1348" w:type="pct"/>
            <w:tcBorders>
              <w:top w:val="single" w:sz="4" w:space="0" w:color="auto"/>
              <w:left w:val="single" w:sz="4" w:space="0" w:color="FFFFFF"/>
              <w:right w:val="single" w:sz="4" w:space="0" w:color="auto"/>
            </w:tcBorders>
            <w:shd w:val="clear" w:color="auto" w:fill="370663"/>
            <w:vAlign w:val="center"/>
          </w:tcPr>
          <w:p w14:paraId="4CD3F4FA" w14:textId="319C558A" w:rsidR="00AB69D5" w:rsidRPr="00CB0C7A" w:rsidRDefault="003A7518">
            <w:pPr>
              <w:jc w:val="center"/>
              <w:cnfStyle w:val="100000000000" w:firstRow="1" w:lastRow="0" w:firstColumn="0" w:lastColumn="0" w:oddVBand="0" w:evenVBand="0" w:oddHBand="0" w:evenHBand="0" w:firstRowFirstColumn="0" w:firstRowLastColumn="0" w:lastRowFirstColumn="0" w:lastRowLastColumn="0"/>
              <w:rPr>
                <w:rFonts w:cs="Arial"/>
                <w:sz w:val="20"/>
              </w:rPr>
            </w:pPr>
            <w:r w:rsidRPr="00CB0C7A">
              <w:rPr>
                <w:rFonts w:cs="Arial"/>
                <w:sz w:val="20"/>
              </w:rPr>
              <w:t xml:space="preserve">Gap to </w:t>
            </w:r>
            <w:r>
              <w:rPr>
                <w:rFonts w:cs="Arial"/>
                <w:sz w:val="20"/>
              </w:rPr>
              <w:t>the Major Cities</w:t>
            </w:r>
          </w:p>
        </w:tc>
      </w:tr>
      <w:tr w:rsidR="00AB69D5" w:rsidRPr="00CB0C7A" w14:paraId="3EF5D27E" w14:textId="77777777" w:rsidTr="00301731">
        <w:trPr>
          <w:cnfStyle w:val="000000100000" w:firstRow="0" w:lastRow="0" w:firstColumn="0" w:lastColumn="0" w:oddVBand="0" w:evenVBand="0" w:oddHBand="1" w:evenHBand="0" w:firstRowFirstColumn="0" w:firstRowLastColumn="0" w:lastRowFirstColumn="0" w:lastRowLastColumn="0"/>
          <w:trHeight w:val="1049"/>
        </w:trPr>
        <w:tc>
          <w:tcPr>
            <w:cnfStyle w:val="001000000000" w:firstRow="0" w:lastRow="0" w:firstColumn="1" w:lastColumn="0" w:oddVBand="0" w:evenVBand="0" w:oddHBand="0" w:evenHBand="0" w:firstRowFirstColumn="0" w:firstRowLastColumn="0" w:lastRowFirstColumn="0" w:lastRowLastColumn="0"/>
            <w:tcW w:w="1567" w:type="pct"/>
            <w:tcBorders>
              <w:left w:val="single" w:sz="4" w:space="0" w:color="370663"/>
              <w:bottom w:val="single" w:sz="4" w:space="0" w:color="000000" w:themeColor="text1"/>
              <w:right w:val="single" w:sz="4" w:space="0" w:color="FFFFFF"/>
            </w:tcBorders>
            <w:shd w:val="clear" w:color="auto" w:fill="E0D1F5"/>
            <w:vAlign w:val="center"/>
          </w:tcPr>
          <w:p w14:paraId="50850A6A" w14:textId="77777777" w:rsidR="00AB69D5" w:rsidRPr="00301731" w:rsidRDefault="00AB69D5">
            <w:pPr>
              <w:rPr>
                <w:rFonts w:cs="Arial"/>
                <w:b w:val="0"/>
                <w:color w:val="auto"/>
              </w:rPr>
            </w:pPr>
            <w:r w:rsidRPr="00301731">
              <w:rPr>
                <w:rFonts w:cs="Arial"/>
                <w:b w:val="0"/>
                <w:color w:val="auto"/>
              </w:rPr>
              <w:t>Beveridge Curve analysis</w:t>
            </w:r>
          </w:p>
        </w:tc>
        <w:tc>
          <w:tcPr>
            <w:tcW w:w="834" w:type="pct"/>
            <w:tcBorders>
              <w:left w:val="single" w:sz="4" w:space="0" w:color="FFFFFF"/>
              <w:bottom w:val="single" w:sz="4" w:space="0" w:color="000000" w:themeColor="text1"/>
            </w:tcBorders>
            <w:shd w:val="clear" w:color="auto" w:fill="52BD7F"/>
            <w:vAlign w:val="center"/>
          </w:tcPr>
          <w:p w14:paraId="1AED72BB" w14:textId="77777777" w:rsidR="00AB69D5" w:rsidRPr="00301731" w:rsidRDefault="00AB69D5">
            <w:pPr>
              <w:jc w:val="center"/>
              <w:cnfStyle w:val="000000100000" w:firstRow="0" w:lastRow="0" w:firstColumn="0" w:lastColumn="0" w:oddVBand="0" w:evenVBand="0" w:oddHBand="1" w:evenHBand="0" w:firstRowFirstColumn="0" w:firstRowLastColumn="0" w:lastRowFirstColumn="0" w:lastRowLastColumn="0"/>
              <w:rPr>
                <w:rFonts w:cs="Arial"/>
              </w:rPr>
            </w:pPr>
            <w:r w:rsidRPr="00301731">
              <w:rPr>
                <w:rFonts w:cs="Arial"/>
              </w:rPr>
              <w:t>Green</w:t>
            </w:r>
          </w:p>
        </w:tc>
        <w:tc>
          <w:tcPr>
            <w:tcW w:w="1251" w:type="pct"/>
            <w:tcBorders>
              <w:bottom w:val="single" w:sz="4" w:space="0" w:color="000000" w:themeColor="text1"/>
              <w:right w:val="single" w:sz="4" w:space="0" w:color="A6A6A6" w:themeColor="background1" w:themeShade="A6"/>
            </w:tcBorders>
            <w:shd w:val="clear" w:color="auto" w:fill="F2F2F2" w:themeFill="background1" w:themeFillShade="F2"/>
            <w:vAlign w:val="center"/>
          </w:tcPr>
          <w:p w14:paraId="22572AD4" w14:textId="77777777" w:rsidR="00AB69D5" w:rsidRPr="00301731" w:rsidRDefault="00AB69D5">
            <w:pPr>
              <w:jc w:val="center"/>
              <w:cnfStyle w:val="000000100000" w:firstRow="0" w:lastRow="0" w:firstColumn="0" w:lastColumn="0" w:oddVBand="0" w:evenVBand="0" w:oddHBand="1" w:evenHBand="0" w:firstRowFirstColumn="0" w:firstRowLastColumn="0" w:lastRowFirstColumn="0" w:lastRowLastColumn="0"/>
              <w:rPr>
                <w:rFonts w:cs="Arial"/>
                <w:b/>
                <w:bCs/>
              </w:rPr>
            </w:pPr>
            <w:r w:rsidRPr="00301731">
              <w:rPr>
                <w:rFonts w:cs="Arial"/>
                <w:b/>
                <w:bCs/>
              </w:rPr>
              <w:t>Stable</w:t>
            </w:r>
          </w:p>
        </w:tc>
        <w:tc>
          <w:tcPr>
            <w:tcW w:w="1348" w:type="pct"/>
            <w:tcBorders>
              <w:left w:val="single" w:sz="4" w:space="0" w:color="A6A6A6" w:themeColor="background1" w:themeShade="A6"/>
              <w:bottom w:val="single" w:sz="4" w:space="0" w:color="000000" w:themeColor="text1"/>
              <w:right w:val="single" w:sz="4" w:space="0" w:color="auto"/>
            </w:tcBorders>
            <w:shd w:val="clear" w:color="auto" w:fill="52BD7F"/>
            <w:vAlign w:val="center"/>
          </w:tcPr>
          <w:p w14:paraId="0512D804" w14:textId="77777777" w:rsidR="00AB69D5" w:rsidRPr="00301731" w:rsidRDefault="00AB69D5">
            <w:pPr>
              <w:jc w:val="center"/>
              <w:cnfStyle w:val="000000100000" w:firstRow="0" w:lastRow="0" w:firstColumn="0" w:lastColumn="0" w:oddVBand="0" w:evenVBand="0" w:oddHBand="1" w:evenHBand="0" w:firstRowFirstColumn="0" w:firstRowLastColumn="0" w:lastRowFirstColumn="0" w:lastRowLastColumn="0"/>
              <w:rPr>
                <w:rFonts w:cs="Arial"/>
              </w:rPr>
            </w:pPr>
            <w:r w:rsidRPr="00301731">
              <w:rPr>
                <w:rFonts w:cs="Arial"/>
              </w:rPr>
              <w:t>More efficient</w:t>
            </w:r>
          </w:p>
        </w:tc>
      </w:tr>
    </w:tbl>
    <w:p w14:paraId="54EF5BEF" w14:textId="77777777" w:rsidR="00420298" w:rsidRDefault="00420298" w:rsidP="006E4573"/>
    <w:p w14:paraId="4070AB0C" w14:textId="77777777" w:rsidR="006E4573" w:rsidRDefault="006E4573" w:rsidP="00C96369">
      <w:pPr>
        <w:pStyle w:val="BodyText"/>
      </w:pPr>
      <w:r>
        <w:t xml:space="preserve">One analytical tool used by labour economists to analyse trends in labour market efficiency is the Beveridge Curve. The Beveridge Curve is the relationship between job vacancies and job seekers in the labour market and can be used to assess the current state of the labour market during the economic cycle and as a measure of efficiency. </w:t>
      </w:r>
    </w:p>
    <w:p w14:paraId="515D4E0A" w14:textId="1ACAEC6B" w:rsidR="006A6C98" w:rsidRPr="00C36DF5" w:rsidRDefault="00F46DB1" w:rsidP="00F46DB1">
      <w:pPr>
        <w:pStyle w:val="Caption"/>
      </w:pPr>
      <w:bookmarkStart w:id="148" w:name="_Toc201916608"/>
      <w:r>
        <w:t xml:space="preserve">Figure </w:t>
      </w:r>
      <w:r>
        <w:fldChar w:fldCharType="begin"/>
      </w:r>
      <w:r>
        <w:instrText xml:space="preserve"> SEQ Figure \* ARABIC </w:instrText>
      </w:r>
      <w:r>
        <w:fldChar w:fldCharType="separate"/>
      </w:r>
      <w:r w:rsidR="00471863">
        <w:rPr>
          <w:noProof/>
        </w:rPr>
        <w:t>42</w:t>
      </w:r>
      <w:r>
        <w:fldChar w:fldCharType="end"/>
      </w:r>
      <w:r w:rsidR="006A6C98">
        <w:t xml:space="preserve">: </w:t>
      </w:r>
      <w:r w:rsidR="00A72AC2">
        <w:t>Beveridge Curves show labour market efficiency and tight</w:t>
      </w:r>
      <w:r w:rsidR="001C33CD">
        <w:t>ness</w:t>
      </w:r>
      <w:bookmarkEnd w:id="148"/>
    </w:p>
    <w:p w14:paraId="011BA999" w14:textId="1783CBA2" w:rsidR="006A6C98" w:rsidRPr="008A2173" w:rsidRDefault="008A2173" w:rsidP="008A2173">
      <w:pPr>
        <w:jc w:val="center"/>
        <w:rPr>
          <w:i/>
          <w:iCs/>
        </w:rPr>
      </w:pPr>
      <w:r w:rsidRPr="008A2173">
        <w:rPr>
          <w:i/>
          <w:iCs/>
          <w:noProof/>
        </w:rPr>
        <w:drawing>
          <wp:inline distT="0" distB="0" distL="0" distR="0" wp14:anchorId="11F5CC1D" wp14:editId="72476733">
            <wp:extent cx="4606724" cy="2716984"/>
            <wp:effectExtent l="0" t="0" r="3810" b="7620"/>
            <wp:docPr id="33114909" name="Picture 1" descr="An illustrative diagram of the Beveridge Curve that shows labour market efficiency and tightness. The closer the overall Beveridge Curve is to the origin, the more efficient the labour market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14909" name="Picture 1" descr="An illustrative diagram of the Beveridge Curve that shows labour market efficiency and tightness. The closer the overall Beveridge Curve is to the origin, the more efficient the labour market is. "/>
                    <pic:cNvPicPr/>
                  </pic:nvPicPr>
                  <pic:blipFill>
                    <a:blip r:embed="rId75"/>
                    <a:stretch>
                      <a:fillRect/>
                    </a:stretch>
                  </pic:blipFill>
                  <pic:spPr>
                    <a:xfrm>
                      <a:off x="0" y="0"/>
                      <a:ext cx="4621288" cy="2725573"/>
                    </a:xfrm>
                    <a:prstGeom prst="rect">
                      <a:avLst/>
                    </a:prstGeom>
                  </pic:spPr>
                </pic:pic>
              </a:graphicData>
            </a:graphic>
          </wp:inline>
        </w:drawing>
      </w:r>
    </w:p>
    <w:p w14:paraId="421D1811" w14:textId="38522B13" w:rsidR="00CF393E" w:rsidRDefault="006E4573" w:rsidP="00C96369">
      <w:pPr>
        <w:pStyle w:val="BodyText"/>
      </w:pPr>
      <w:r>
        <w:lastRenderedPageBreak/>
        <w:t xml:space="preserve">The closer the overall </w:t>
      </w:r>
      <w:r w:rsidR="009323FC">
        <w:t>Beveridge C</w:t>
      </w:r>
      <w:r>
        <w:t xml:space="preserve">urve is to the origin, the more efficient the labour market is. If unemployment and vacancies are both low, this suggests that workers and vacancies </w:t>
      </w:r>
      <w:r w:rsidR="00763C1F">
        <w:t>may</w:t>
      </w:r>
      <w:r>
        <w:t xml:space="preserve"> be efficiently matched</w:t>
      </w:r>
      <w:r w:rsidR="002A18F1">
        <w:t>, including the role that job mobility plays in some employed people moving into new jobs to free up jobs for unemployed people to go into.</w:t>
      </w:r>
      <w:r>
        <w:t xml:space="preserve"> If the curve moves further away from the origin and unemployment and vacancies are both high, firms may be unable to find the workers they are looking for despite there being many unemployed people. </w:t>
      </w:r>
    </w:p>
    <w:p w14:paraId="064811BF" w14:textId="2FD20CD0" w:rsidR="00CF393E" w:rsidRDefault="00AF10FA" w:rsidP="00CF393E">
      <w:pPr>
        <w:pStyle w:val="BodyText"/>
      </w:pPr>
      <w:r>
        <w:t>The Beveridge Curve also tells us something about</w:t>
      </w:r>
      <w:r w:rsidR="00C222C5">
        <w:t xml:space="preserve"> </w:t>
      </w:r>
      <w:r w:rsidR="005379D9">
        <w:t>spare capacity in the labour market as m</w:t>
      </w:r>
      <w:r w:rsidR="00CF393E">
        <w:t xml:space="preserve">ovements along the curve will generally reflect cyclical changes in labour market conditions. For instance, a tight labour market is represented by a point on the left-up part of the curve and is typically defined by a high number of job vacancies for each unemployed person that may result in labour shortages and upward pressure on wages. Conversely, in a weak labour market, that is represented by a point on the lower-right part of the curve, is typically defined by a high rate of unemployment (particularly involuntary) and fewer job vacancies. </w:t>
      </w:r>
      <w:r w:rsidR="007D5018">
        <w:t xml:space="preserve">As such, it is possible for different local labour markets to be located on different points </w:t>
      </w:r>
      <w:r w:rsidR="00E7742A">
        <w:t>of the curve</w:t>
      </w:r>
      <w:r w:rsidR="003D4FF3">
        <w:t>,</w:t>
      </w:r>
      <w:r w:rsidR="00112698">
        <w:t xml:space="preserve"> </w:t>
      </w:r>
      <w:r w:rsidR="00E7742A">
        <w:t xml:space="preserve">indicating </w:t>
      </w:r>
      <w:r w:rsidR="00112698">
        <w:t>varying degrees of spare capacity</w:t>
      </w:r>
      <w:r w:rsidR="00185BBE">
        <w:t xml:space="preserve"> </w:t>
      </w:r>
      <w:r w:rsidR="003D4FF3">
        <w:t>(</w:t>
      </w:r>
      <w:r w:rsidR="00185BBE">
        <w:t xml:space="preserve">i.e. unemployment), </w:t>
      </w:r>
      <w:r w:rsidR="003D4FF3">
        <w:t xml:space="preserve">despite having an overall similar rate of </w:t>
      </w:r>
      <w:r w:rsidR="005E5B04">
        <w:t xml:space="preserve">efficiency. </w:t>
      </w:r>
    </w:p>
    <w:p w14:paraId="092BDCB7" w14:textId="02970605" w:rsidR="006E4573" w:rsidRPr="00C96369" w:rsidRDefault="006E4573" w:rsidP="00C96369">
      <w:pPr>
        <w:pStyle w:val="Heading4"/>
      </w:pPr>
      <w:r w:rsidRPr="00C96369">
        <w:t>Results for Regional Australia</w:t>
      </w:r>
    </w:p>
    <w:p w14:paraId="0D654F66" w14:textId="6230C037" w:rsidR="00DD1AA2" w:rsidRDefault="006E4573" w:rsidP="00C96369">
      <w:pPr>
        <w:pStyle w:val="BodyText"/>
      </w:pPr>
      <w:r>
        <w:t xml:space="preserve">Figure </w:t>
      </w:r>
      <w:r w:rsidR="003A441C">
        <w:t>4</w:t>
      </w:r>
      <w:r w:rsidR="00103391">
        <w:t>3</w:t>
      </w:r>
      <w:r>
        <w:t xml:space="preserve"> shows the Beveridge Curve for Major City areas and Regional Australia from 2019 to </w:t>
      </w:r>
      <w:r w:rsidR="002C5DD3">
        <w:t>March 2025</w:t>
      </w:r>
      <w:r>
        <w:t xml:space="preserve">. The job vacancy rate is the </w:t>
      </w:r>
      <w:r w:rsidR="00743AC7">
        <w:t xml:space="preserve">total </w:t>
      </w:r>
      <w:r>
        <w:t xml:space="preserve">number </w:t>
      </w:r>
      <w:r w:rsidR="00D74037">
        <w:t xml:space="preserve">of </w:t>
      </w:r>
      <w:r>
        <w:t xml:space="preserve">job </w:t>
      </w:r>
      <w:r w:rsidR="00FD4168">
        <w:t>vacancies divided</w:t>
      </w:r>
      <w:r>
        <w:t xml:space="preserve"> by the total labour force. </w:t>
      </w:r>
    </w:p>
    <w:p w14:paraId="1F4BD2DF" w14:textId="436063EB" w:rsidR="00FD4168" w:rsidRDefault="00FD4168" w:rsidP="00D16B99">
      <w:pPr>
        <w:pStyle w:val="BodyText"/>
        <w:numPr>
          <w:ilvl w:val="0"/>
          <w:numId w:val="39"/>
        </w:numPr>
      </w:pPr>
      <w:r>
        <w:t xml:space="preserve">It should be noted that </w:t>
      </w:r>
      <w:r w:rsidRPr="00FD4168">
        <w:t>a new total vacancy measure is estimated by adjusting JSA IVI data according to the proportion of vacancies advertised online using JSA REOS data. This helps to account for some of the differences in recruitment methods between employers in Regional Australia and Major City areas</w:t>
      </w:r>
      <w:r>
        <w:t>.</w:t>
      </w:r>
    </w:p>
    <w:p w14:paraId="0EB1550E" w14:textId="43AFFD15" w:rsidR="006E4573" w:rsidRDefault="006E4573" w:rsidP="00C96369">
      <w:pPr>
        <w:pStyle w:val="BodyText"/>
      </w:pPr>
      <w:r>
        <w:t xml:space="preserve">The </w:t>
      </w:r>
      <w:r w:rsidR="005033F8">
        <w:t>results show the</w:t>
      </w:r>
      <w:r>
        <w:t xml:space="preserve"> </w:t>
      </w:r>
      <w:r w:rsidR="008A2561">
        <w:t>Be</w:t>
      </w:r>
      <w:r w:rsidR="002F1332">
        <w:t xml:space="preserve">veridge Curve for Regional Australia is </w:t>
      </w:r>
      <w:r w:rsidR="00EC3178">
        <w:t>closer to the origin than for Major City areas,</w:t>
      </w:r>
      <w:r>
        <w:t xml:space="preserve"> </w:t>
      </w:r>
      <w:r w:rsidR="001D1847">
        <w:t>providing evidence</w:t>
      </w:r>
      <w:r>
        <w:t xml:space="preserve"> that, on average, labour market</w:t>
      </w:r>
      <w:r w:rsidR="00D41E25">
        <w:t xml:space="preserve">s </w:t>
      </w:r>
      <w:r>
        <w:t>in Regional Australia</w:t>
      </w:r>
      <w:r w:rsidR="000C70D0">
        <w:t xml:space="preserve"> may</w:t>
      </w:r>
      <w:r>
        <w:t xml:space="preserve"> ha</w:t>
      </w:r>
      <w:r w:rsidR="00D41E25">
        <w:t>ve</w:t>
      </w:r>
      <w:r>
        <w:t xml:space="preserve"> been more efficient than in Major City areas since 2019 (earliest available data). That is, workers and vacancies appear to be more efficiently matched in Regional Australia since 2019. </w:t>
      </w:r>
    </w:p>
    <w:p w14:paraId="4CF80559" w14:textId="2476CBD0" w:rsidR="00F536F3" w:rsidRDefault="00F536F3" w:rsidP="00C96369">
      <w:pPr>
        <w:pStyle w:val="BodyText"/>
      </w:pPr>
      <w:r>
        <w:t xml:space="preserve">Furthermore, the shift along the curve </w:t>
      </w:r>
      <w:r w:rsidR="007E7F4F">
        <w:t>(to the upper left</w:t>
      </w:r>
      <w:r w:rsidR="008E66B0">
        <w:t>-</w:t>
      </w:r>
      <w:r w:rsidR="007E7F4F">
        <w:t xml:space="preserve">hand side) </w:t>
      </w:r>
      <w:r w:rsidR="007C1193">
        <w:t>reflects</w:t>
      </w:r>
      <w:r w:rsidR="00BE5EB1">
        <w:t xml:space="preserve"> a </w:t>
      </w:r>
      <w:r w:rsidR="00026169">
        <w:t>tightening</w:t>
      </w:r>
      <w:r w:rsidR="00BE5EB1">
        <w:t xml:space="preserve"> of labour market conditions in Regional Australia over</w:t>
      </w:r>
      <w:r w:rsidR="009B5413">
        <w:t xml:space="preserve"> the last 5 years, with </w:t>
      </w:r>
      <w:r w:rsidR="00026169">
        <w:t>a relatively higher number of job vacancies for each unemployed person</w:t>
      </w:r>
      <w:r w:rsidR="007049D5">
        <w:t>, consistent with increased</w:t>
      </w:r>
      <w:r w:rsidR="00026169">
        <w:t xml:space="preserve"> </w:t>
      </w:r>
      <w:r w:rsidR="008E66B0">
        <w:t xml:space="preserve">labour shortages over the period. </w:t>
      </w:r>
    </w:p>
    <w:p w14:paraId="2F9D9313" w14:textId="55B5CFD1" w:rsidR="001330E1" w:rsidRPr="00C36DF5" w:rsidRDefault="00F46DB1" w:rsidP="00F46DB1">
      <w:pPr>
        <w:pStyle w:val="Caption"/>
      </w:pPr>
      <w:bookmarkStart w:id="149" w:name="_Toc201916609"/>
      <w:r>
        <w:lastRenderedPageBreak/>
        <w:t xml:space="preserve">Figure </w:t>
      </w:r>
      <w:r>
        <w:fldChar w:fldCharType="begin"/>
      </w:r>
      <w:r>
        <w:instrText xml:space="preserve"> SEQ Figure \* ARABIC </w:instrText>
      </w:r>
      <w:r>
        <w:fldChar w:fldCharType="separate"/>
      </w:r>
      <w:r w:rsidR="00471863">
        <w:rPr>
          <w:noProof/>
        </w:rPr>
        <w:t>43</w:t>
      </w:r>
      <w:r>
        <w:fldChar w:fldCharType="end"/>
      </w:r>
      <w:r w:rsidR="006E4573">
        <w:t>: Beveridge Curve for Major City and Regional areas of Australia, 2019 to 202</w:t>
      </w:r>
      <w:r w:rsidR="004333AF">
        <w:t>5</w:t>
      </w:r>
      <w:bookmarkEnd w:id="149"/>
    </w:p>
    <w:p w14:paraId="6B281703" w14:textId="333EBC85" w:rsidR="005C324E" w:rsidRDefault="00F0685E" w:rsidP="006E4573">
      <w:pPr>
        <w:jc w:val="center"/>
        <w:rPr>
          <w:i/>
          <w:iCs/>
        </w:rPr>
      </w:pPr>
      <w:r>
        <w:rPr>
          <w:i/>
          <w:iCs/>
          <w:noProof/>
        </w:rPr>
        <w:drawing>
          <wp:inline distT="0" distB="0" distL="0" distR="0" wp14:anchorId="677624AA" wp14:editId="1EEB8B96">
            <wp:extent cx="5730875" cy="2865120"/>
            <wp:effectExtent l="0" t="0" r="3175" b="0"/>
            <wp:docPr id="235565325" name="Picture 56" descr="A scattered plot that shows the Beveridge Curve for Major City and Regional areas of Australia, 2019 to 2025. The chart shows the Beveridge Curve for Regional Australia is closer to the origin than for Major City areas, providing evidence that, on average, labour markets in Regional Australia may have been more efficient than in Major City areas since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5325" name="Picture 56" descr="A scattered plot that shows the Beveridge Curve for Major City and Regional areas of Australia, 2019 to 2025. The chart shows the Beveridge Curve for Regional Australia is closer to the origin than for Major City areas, providing evidence that, on average, labour markets in Regional Australia may have been more efficient than in Major City areas since 2019. "/>
                    <pic:cNvPicPr>
                      <a:picLocks noChangeAspect="1" noChangeArrowheads="1"/>
                    </pic:cNvPicPr>
                  </pic:nvPicPr>
                  <pic:blipFill>
                    <a:blip r:embed="rId76" cstate="email">
                      <a:extLst>
                        <a:ext uri="{28A0092B-C50C-407E-A947-70E740481C1C}">
                          <a14:useLocalDpi xmlns:a14="http://schemas.microsoft.com/office/drawing/2010/main" val="0"/>
                        </a:ext>
                      </a:extLst>
                    </a:blip>
                    <a:srcRect/>
                    <a:stretch>
                      <a:fillRect/>
                    </a:stretch>
                  </pic:blipFill>
                  <pic:spPr bwMode="auto">
                    <a:xfrm>
                      <a:off x="0" y="0"/>
                      <a:ext cx="5730875" cy="2865120"/>
                    </a:xfrm>
                    <a:prstGeom prst="rect">
                      <a:avLst/>
                    </a:prstGeom>
                    <a:noFill/>
                  </pic:spPr>
                </pic:pic>
              </a:graphicData>
            </a:graphic>
          </wp:inline>
        </w:drawing>
      </w:r>
    </w:p>
    <w:p w14:paraId="79FD9D76" w14:textId="77777777" w:rsidR="004C27DE" w:rsidRDefault="00A468EA" w:rsidP="00C256A8">
      <w:pPr>
        <w:rPr>
          <w:sz w:val="18"/>
          <w:szCs w:val="18"/>
        </w:rPr>
      </w:pPr>
      <w:r w:rsidRPr="00CB0C7A">
        <w:rPr>
          <w:rFonts w:cs="Arial"/>
          <w:i/>
          <w:iCs/>
          <w:sz w:val="18"/>
          <w:szCs w:val="16"/>
        </w:rPr>
        <w:t xml:space="preserve">Source: </w:t>
      </w:r>
      <w:r w:rsidR="00C13216">
        <w:rPr>
          <w:rFonts w:cs="Arial"/>
          <w:i/>
          <w:iCs/>
          <w:sz w:val="18"/>
          <w:szCs w:val="16"/>
        </w:rPr>
        <w:t>JSA, Internet Vacancy Index (adjusted for proportion of jobs advertised online</w:t>
      </w:r>
      <w:r w:rsidR="004A566E">
        <w:rPr>
          <w:rFonts w:cs="Arial"/>
          <w:i/>
          <w:iCs/>
          <w:sz w:val="18"/>
          <w:szCs w:val="16"/>
        </w:rPr>
        <w:t xml:space="preserve"> – JSA, Recruitment Experiences and Outlook Survey, </w:t>
      </w:r>
      <w:r w:rsidR="004333AF">
        <w:rPr>
          <w:rFonts w:cs="Arial"/>
          <w:i/>
          <w:iCs/>
          <w:sz w:val="18"/>
          <w:szCs w:val="16"/>
        </w:rPr>
        <w:t xml:space="preserve">April </w:t>
      </w:r>
      <w:r w:rsidR="004A566E">
        <w:rPr>
          <w:rFonts w:cs="Arial"/>
          <w:i/>
          <w:iCs/>
          <w:sz w:val="18"/>
          <w:szCs w:val="16"/>
        </w:rPr>
        <w:t>2025)</w:t>
      </w:r>
      <w:r w:rsidR="004A566E">
        <w:rPr>
          <w:rFonts w:cs="Arial"/>
          <w:sz w:val="18"/>
          <w:szCs w:val="16"/>
        </w:rPr>
        <w:t xml:space="preserve">, </w:t>
      </w:r>
      <w:r w:rsidR="004A566E" w:rsidRPr="000775BB">
        <w:rPr>
          <w:sz w:val="18"/>
          <w:szCs w:val="18"/>
        </w:rPr>
        <w:t xml:space="preserve">ABS, </w:t>
      </w:r>
      <w:r w:rsidR="008E51E7" w:rsidRPr="000775BB">
        <w:rPr>
          <w:i/>
          <w:iCs/>
          <w:sz w:val="18"/>
          <w:szCs w:val="18"/>
        </w:rPr>
        <w:t>Labour Force, Detailed,</w:t>
      </w:r>
      <w:r w:rsidR="008E51E7" w:rsidRPr="000775BB">
        <w:rPr>
          <w:sz w:val="18"/>
          <w:szCs w:val="18"/>
        </w:rPr>
        <w:t xml:space="preserve"> </w:t>
      </w:r>
      <w:r w:rsidR="00CE0F5D">
        <w:rPr>
          <w:sz w:val="18"/>
          <w:szCs w:val="18"/>
        </w:rPr>
        <w:t xml:space="preserve">March </w:t>
      </w:r>
      <w:r w:rsidR="008E51E7">
        <w:rPr>
          <w:sz w:val="18"/>
          <w:szCs w:val="18"/>
        </w:rPr>
        <w:t xml:space="preserve">2025, </w:t>
      </w:r>
      <w:r w:rsidR="008E51E7" w:rsidRPr="000775BB">
        <w:rPr>
          <w:sz w:val="18"/>
          <w:szCs w:val="18"/>
        </w:rPr>
        <w:t>modelled estimates</w:t>
      </w:r>
      <w:r w:rsidR="008E51E7">
        <w:rPr>
          <w:sz w:val="18"/>
          <w:szCs w:val="18"/>
        </w:rPr>
        <w:t>.</w:t>
      </w:r>
    </w:p>
    <w:p w14:paraId="00FCC962" w14:textId="200165BA" w:rsidR="00C256A8" w:rsidRPr="00546B09" w:rsidRDefault="004C27DE" w:rsidP="00C256A8">
      <w:pPr>
        <w:rPr>
          <w:rFonts w:cs="Arial"/>
          <w:i/>
          <w:iCs/>
          <w:sz w:val="18"/>
          <w:szCs w:val="16"/>
        </w:rPr>
      </w:pPr>
      <w:r w:rsidRPr="00546B09">
        <w:rPr>
          <w:i/>
          <w:iCs/>
          <w:sz w:val="18"/>
          <w:szCs w:val="18"/>
        </w:rPr>
        <w:t>Note</w:t>
      </w:r>
      <w:r w:rsidR="00546B09" w:rsidRPr="00546B09">
        <w:rPr>
          <w:i/>
          <w:iCs/>
          <w:sz w:val="18"/>
          <w:szCs w:val="18"/>
        </w:rPr>
        <w:t>: The job vacancy rate is the total number of job vacancies (a new total vacancy measure is estimated by adjusting JSA IVI data according to the proportion of vacancies advertised online using JSA REOS data) divided by the total labour force.</w:t>
      </w:r>
      <w:r w:rsidR="008E51E7" w:rsidRPr="00546B09">
        <w:rPr>
          <w:i/>
          <w:iCs/>
          <w:sz w:val="18"/>
          <w:szCs w:val="18"/>
        </w:rPr>
        <w:t xml:space="preserve"> </w:t>
      </w:r>
    </w:p>
    <w:p w14:paraId="4FAE1941" w14:textId="50C4A19A" w:rsidR="009E497C" w:rsidRDefault="00FE6FFA" w:rsidP="00C96369">
      <w:pPr>
        <w:pStyle w:val="BodyText"/>
      </w:pPr>
      <w:r w:rsidRPr="00763905">
        <w:t xml:space="preserve">Higher </w:t>
      </w:r>
      <w:r w:rsidR="000920CC" w:rsidRPr="00763905">
        <w:t xml:space="preserve">matching efficiency between the unemployed (supply) and job vacancies (demand) </w:t>
      </w:r>
      <w:r w:rsidR="006E4573" w:rsidRPr="00763905">
        <w:t xml:space="preserve">may reflect, at least partly, the increased willingness of employers in regional areas to </w:t>
      </w:r>
      <w:r w:rsidR="001B3BFC">
        <w:t xml:space="preserve">be more flexible </w:t>
      </w:r>
      <w:r w:rsidR="00866EE4">
        <w:t>in regard to</w:t>
      </w:r>
      <w:r w:rsidR="001B3BFC">
        <w:t xml:space="preserve"> </w:t>
      </w:r>
      <w:r w:rsidR="00D569F0">
        <w:t>associated</w:t>
      </w:r>
      <w:r w:rsidR="001B3BFC">
        <w:t xml:space="preserve"> </w:t>
      </w:r>
      <w:r w:rsidR="00866EE4">
        <w:t>job and</w:t>
      </w:r>
      <w:r w:rsidR="006E4573" w:rsidRPr="00763905">
        <w:t xml:space="preserve"> qualification requirements when assessing potential applications (potentially using on-the-job training as a replacement for formal qualifications)</w:t>
      </w:r>
      <w:r w:rsidR="00F8331B" w:rsidRPr="00763905">
        <w:t>.</w:t>
      </w:r>
      <w:r w:rsidR="00F8331B">
        <w:t xml:space="preserve"> </w:t>
      </w:r>
    </w:p>
    <w:p w14:paraId="11FE2D92" w14:textId="4BEE205B" w:rsidR="0043678F" w:rsidRDefault="00707C13" w:rsidP="00C96369">
      <w:pPr>
        <w:pStyle w:val="BodyText"/>
      </w:pPr>
      <w:r>
        <w:t xml:space="preserve">Furthermore, the efficiency results for Regional Australia may also echo the </w:t>
      </w:r>
      <w:r w:rsidR="00990C5F">
        <w:t xml:space="preserve">views stakeholders provided to JSA during discussions out in the regions </w:t>
      </w:r>
      <w:r w:rsidR="00BE6BAC">
        <w:t>–</w:t>
      </w:r>
      <w:r w:rsidR="006E4573">
        <w:t xml:space="preserve"> </w:t>
      </w:r>
      <w:r w:rsidR="00BE6BAC">
        <w:t>at present,</w:t>
      </w:r>
      <w:r>
        <w:t xml:space="preserve"> Regional Australia </w:t>
      </w:r>
      <w:r w:rsidR="00BE6BAC">
        <w:t xml:space="preserve">predominantly </w:t>
      </w:r>
      <w:r>
        <w:t xml:space="preserve">faces a people </w:t>
      </w:r>
      <w:r w:rsidR="00BE6BAC">
        <w:t xml:space="preserve">(or labour supply) </w:t>
      </w:r>
      <w:r>
        <w:t xml:space="preserve">issue rather than a jobs </w:t>
      </w:r>
      <w:r w:rsidR="00BE6BAC">
        <w:t xml:space="preserve">(or demand) </w:t>
      </w:r>
      <w:r>
        <w:t xml:space="preserve">issues. There is a very strong demand for labour in Regional Australia with many jobs in chronic long-term shortage that are often left unfilled. </w:t>
      </w:r>
      <w:r w:rsidRPr="00763905">
        <w:t xml:space="preserve">This often leads to a greater willingness among employers to fill vacancies with available supply, </w:t>
      </w:r>
      <w:r w:rsidR="00331046">
        <w:t>leading to data showing such regions as more efficient.</w:t>
      </w:r>
    </w:p>
    <w:p w14:paraId="09E82FBF" w14:textId="6E5F813F" w:rsidR="000A20D9" w:rsidRDefault="0083220B" w:rsidP="00C96369">
      <w:pPr>
        <w:pStyle w:val="BodyText"/>
      </w:pPr>
      <w:r>
        <w:t xml:space="preserve">This is supported by </w:t>
      </w:r>
      <w:r w:rsidR="00D74293">
        <w:t>Fi</w:t>
      </w:r>
      <w:r w:rsidR="00FE744C">
        <w:t xml:space="preserve">gure </w:t>
      </w:r>
      <w:r w:rsidR="003A441C">
        <w:t>4</w:t>
      </w:r>
      <w:r w:rsidR="00103391">
        <w:t>4</w:t>
      </w:r>
      <w:r>
        <w:t xml:space="preserve">, which </w:t>
      </w:r>
      <w:r w:rsidR="00280CBE">
        <w:t xml:space="preserve">shows </w:t>
      </w:r>
      <w:r w:rsidR="000D6CB1">
        <w:t xml:space="preserve">that although </w:t>
      </w:r>
      <w:r w:rsidR="000A20D9">
        <w:t>the vacancy fill rate in Regional Australia</w:t>
      </w:r>
      <w:r w:rsidR="004064D7">
        <w:t xml:space="preserve"> (</w:t>
      </w:r>
      <w:r w:rsidR="000A20D9">
        <w:t>6</w:t>
      </w:r>
      <w:r w:rsidR="009B6C8D">
        <w:t>4.7</w:t>
      </w:r>
      <w:r w:rsidR="000A20D9">
        <w:t>%</w:t>
      </w:r>
      <w:r w:rsidR="004064D7">
        <w:t>)</w:t>
      </w:r>
      <w:r w:rsidR="000A20D9">
        <w:t xml:space="preserve"> is below the rate recorded for Major City areas</w:t>
      </w:r>
      <w:r w:rsidR="004064D7">
        <w:t xml:space="preserve"> (</w:t>
      </w:r>
      <w:r w:rsidR="009B6C8D">
        <w:t>69.9</w:t>
      </w:r>
      <w:r w:rsidR="004064D7">
        <w:t>%)</w:t>
      </w:r>
      <w:r w:rsidR="000D6CB1">
        <w:t>,</w:t>
      </w:r>
      <w:r w:rsidR="000A20D9">
        <w:t xml:space="preserve"> </w:t>
      </w:r>
      <w:r w:rsidR="008D5931">
        <w:t>employers in Regional Australia receive half the number of qualified applicants per vacancy (4.9) than employers in Major City areas (</w:t>
      </w:r>
      <w:r w:rsidR="004064D7">
        <w:t>2.5).</w:t>
      </w:r>
      <w:r w:rsidR="001E5281">
        <w:t xml:space="preserve"> These results may indicate that employers </w:t>
      </w:r>
      <w:r w:rsidR="000D6CB1">
        <w:t xml:space="preserve">in Regional Australia </w:t>
      </w:r>
      <w:r w:rsidR="001E5281">
        <w:t xml:space="preserve">may be more willing to </w:t>
      </w:r>
      <w:r w:rsidR="0020462B">
        <w:t xml:space="preserve">train employees on the job </w:t>
      </w:r>
      <w:r w:rsidR="007B7314">
        <w:t xml:space="preserve">than </w:t>
      </w:r>
      <w:r w:rsidR="000D6CB1">
        <w:t xml:space="preserve">employers </w:t>
      </w:r>
      <w:r w:rsidR="007B7314">
        <w:t xml:space="preserve">in Major City areas. </w:t>
      </w:r>
    </w:p>
    <w:p w14:paraId="59F05AF7" w14:textId="287AF702" w:rsidR="00F8331B" w:rsidRPr="001330E1" w:rsidRDefault="00F46DB1" w:rsidP="00F46DB1">
      <w:pPr>
        <w:pStyle w:val="Caption"/>
      </w:pPr>
      <w:bookmarkStart w:id="150" w:name="_Toc201916610"/>
      <w:r>
        <w:lastRenderedPageBreak/>
        <w:t xml:space="preserve">Figure </w:t>
      </w:r>
      <w:r>
        <w:fldChar w:fldCharType="begin"/>
      </w:r>
      <w:r>
        <w:instrText xml:space="preserve"> SEQ Figure \* ARABIC </w:instrText>
      </w:r>
      <w:r>
        <w:fldChar w:fldCharType="separate"/>
      </w:r>
      <w:r w:rsidR="00471863">
        <w:rPr>
          <w:noProof/>
        </w:rPr>
        <w:t>44</w:t>
      </w:r>
      <w:r>
        <w:fldChar w:fldCharType="end"/>
      </w:r>
      <w:r w:rsidR="00F8331B">
        <w:t xml:space="preserve">: </w:t>
      </w:r>
      <w:r w:rsidR="00EB2B84">
        <w:t>Fill rate (%), suitable applicants and qualified applicants (no.), January 2025</w:t>
      </w:r>
      <w:bookmarkEnd w:id="150"/>
    </w:p>
    <w:p w14:paraId="74DE9EA1" w14:textId="216C039D" w:rsidR="00F8331B" w:rsidRDefault="00F0685E" w:rsidP="00F8331B">
      <w:pPr>
        <w:jc w:val="center"/>
        <w:rPr>
          <w:i/>
          <w:iCs/>
        </w:rPr>
      </w:pPr>
      <w:r>
        <w:rPr>
          <w:i/>
          <w:iCs/>
          <w:noProof/>
        </w:rPr>
        <w:drawing>
          <wp:inline distT="0" distB="0" distL="0" distR="0" wp14:anchorId="2874CEDE" wp14:editId="3EB9C23D">
            <wp:extent cx="5414010" cy="3169920"/>
            <wp:effectExtent l="0" t="0" r="0" b="0"/>
            <wp:docPr id="1836881676" name="Picture 57" descr="A chart that shows the fill rate (%), suitable applicants and qualified applications for January 2025. The chart shows that the vacancy fill rate, suitable applicants per vacancy and qualified applicants per vacancy are higher in Major City areas than in Regional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81676" name="Picture 57" descr="A chart that shows the fill rate (%), suitable applicants and qualified applications for January 2025. The chart shows that the vacancy fill rate, suitable applicants per vacancy and qualified applicants per vacancy are higher in Major City areas than in Regional Australia"/>
                    <pic:cNvPicPr>
                      <a:picLocks noChangeAspect="1" noChangeArrowheads="1"/>
                    </pic:cNvPicPr>
                  </pic:nvPicPr>
                  <pic:blipFill>
                    <a:blip r:embed="rId77" cstate="email">
                      <a:extLst>
                        <a:ext uri="{28A0092B-C50C-407E-A947-70E740481C1C}">
                          <a14:useLocalDpi xmlns:a14="http://schemas.microsoft.com/office/drawing/2010/main" val="0"/>
                        </a:ext>
                      </a:extLst>
                    </a:blip>
                    <a:srcRect/>
                    <a:stretch>
                      <a:fillRect/>
                    </a:stretch>
                  </pic:blipFill>
                  <pic:spPr bwMode="auto">
                    <a:xfrm>
                      <a:off x="0" y="0"/>
                      <a:ext cx="5414010" cy="3169920"/>
                    </a:xfrm>
                    <a:prstGeom prst="rect">
                      <a:avLst/>
                    </a:prstGeom>
                    <a:noFill/>
                  </pic:spPr>
                </pic:pic>
              </a:graphicData>
            </a:graphic>
          </wp:inline>
        </w:drawing>
      </w:r>
    </w:p>
    <w:p w14:paraId="081CF504" w14:textId="57A7D62E" w:rsidR="00F8331B" w:rsidRPr="00D74293" w:rsidRDefault="00F8331B" w:rsidP="006E4573">
      <w:pPr>
        <w:rPr>
          <w:rFonts w:cs="Arial"/>
          <w:i/>
          <w:iCs/>
          <w:sz w:val="18"/>
          <w:szCs w:val="16"/>
        </w:rPr>
      </w:pPr>
      <w:r w:rsidRPr="00CB0C7A">
        <w:rPr>
          <w:rFonts w:cs="Arial"/>
          <w:i/>
          <w:iCs/>
          <w:sz w:val="18"/>
          <w:szCs w:val="16"/>
        </w:rPr>
        <w:t xml:space="preserve">Source: </w:t>
      </w:r>
      <w:r>
        <w:rPr>
          <w:rFonts w:cs="Arial"/>
          <w:i/>
          <w:iCs/>
          <w:sz w:val="18"/>
          <w:szCs w:val="16"/>
        </w:rPr>
        <w:t xml:space="preserve">JSA, </w:t>
      </w:r>
      <w:r w:rsidR="00EB2B84">
        <w:rPr>
          <w:rFonts w:cs="Arial"/>
          <w:i/>
          <w:iCs/>
          <w:sz w:val="18"/>
          <w:szCs w:val="16"/>
        </w:rPr>
        <w:t xml:space="preserve">Survey of Employers who have Recently Advertised, </w:t>
      </w:r>
      <w:r w:rsidR="00D74293">
        <w:rPr>
          <w:rFonts w:cs="Arial"/>
          <w:i/>
          <w:iCs/>
          <w:sz w:val="18"/>
          <w:szCs w:val="16"/>
        </w:rPr>
        <w:t>January 2025, 12-month averages of original estimates</w:t>
      </w:r>
      <w:r>
        <w:rPr>
          <w:sz w:val="18"/>
          <w:szCs w:val="18"/>
        </w:rPr>
        <w:t xml:space="preserve"> </w:t>
      </w:r>
    </w:p>
    <w:p w14:paraId="18C581BF" w14:textId="4625D08C" w:rsidR="00F04A23" w:rsidRDefault="00763905" w:rsidP="00C96369">
      <w:pPr>
        <w:pStyle w:val="Heading4"/>
      </w:pPr>
      <w:r>
        <w:t>Examining the Beveridge Curve for different areas</w:t>
      </w:r>
      <w:r w:rsidR="00F04A23">
        <w:t xml:space="preserve"> withi</w:t>
      </w:r>
      <w:r w:rsidR="00F04A23" w:rsidRPr="00102366">
        <w:rPr>
          <w:color w:val="012749"/>
        </w:rPr>
        <w:t>n Regional Australia</w:t>
      </w:r>
    </w:p>
    <w:p w14:paraId="7D1F512E" w14:textId="77777777" w:rsidR="004C5C49" w:rsidRPr="00C96369" w:rsidRDefault="004C5C49" w:rsidP="00C96369">
      <w:pPr>
        <w:pStyle w:val="BodyText"/>
      </w:pPr>
      <w:r w:rsidRPr="00C96369">
        <w:t xml:space="preserve">It is important to note, however, that while the Beveridge Curve analysis provides evidence of higher labour market efficiency within Regional Australia compared to Major Cities, significant variation exists across regions. </w:t>
      </w:r>
    </w:p>
    <w:p w14:paraId="357A4387" w14:textId="311CD245" w:rsidR="004C5C49" w:rsidRPr="00C96369" w:rsidRDefault="004C5C49" w:rsidP="00C96369">
      <w:pPr>
        <w:pStyle w:val="BodyText"/>
      </w:pPr>
      <w:r w:rsidRPr="00C96369">
        <w:t>For instance, Figure 4</w:t>
      </w:r>
      <w:r w:rsidR="00103391">
        <w:t>5</w:t>
      </w:r>
      <w:r w:rsidRPr="00C96369">
        <w:t xml:space="preserve"> shows that in March 2025 Regional Northern Territory, Queensland and South Australia were far further away from the origin than Regional Victoria and Tasmania (which, based on the Beveridge Curve, suggests these are currently more efficient local labour markets). This variation in labour market efficiency may be due, at least partly, to the significant variation in the proximity to markets, access to services and a region’s amenities that exists across Regional Australia that contribute to the disconnect between skills of workers and available jobs. </w:t>
      </w:r>
    </w:p>
    <w:p w14:paraId="5A85A7A0" w14:textId="25059B21" w:rsidR="00F13746" w:rsidRPr="001330E1" w:rsidRDefault="00F46DB1" w:rsidP="00F46DB1">
      <w:pPr>
        <w:pStyle w:val="Caption"/>
      </w:pPr>
      <w:bookmarkStart w:id="151" w:name="_Toc201916611"/>
      <w:r>
        <w:lastRenderedPageBreak/>
        <w:t xml:space="preserve">Figure </w:t>
      </w:r>
      <w:r>
        <w:fldChar w:fldCharType="begin"/>
      </w:r>
      <w:r>
        <w:instrText xml:space="preserve"> SEQ Figure \* ARABIC </w:instrText>
      </w:r>
      <w:r>
        <w:fldChar w:fldCharType="separate"/>
      </w:r>
      <w:r w:rsidR="00471863">
        <w:rPr>
          <w:noProof/>
        </w:rPr>
        <w:t>45</w:t>
      </w:r>
      <w:r>
        <w:fldChar w:fldCharType="end"/>
      </w:r>
      <w:r w:rsidR="00F13746">
        <w:t xml:space="preserve">: Beveridge Curve for Regional Australia, </w:t>
      </w:r>
      <w:r w:rsidR="000A7058">
        <w:t>including position of selected regions</w:t>
      </w:r>
      <w:bookmarkEnd w:id="151"/>
    </w:p>
    <w:p w14:paraId="547C90F2" w14:textId="1A093A5C" w:rsidR="00F13746" w:rsidRDefault="00DC0BA8" w:rsidP="00F13746">
      <w:pPr>
        <w:jc w:val="center"/>
        <w:rPr>
          <w:i/>
          <w:iCs/>
        </w:rPr>
      </w:pPr>
      <w:r>
        <w:rPr>
          <w:i/>
          <w:iCs/>
          <w:noProof/>
        </w:rPr>
        <w:drawing>
          <wp:inline distT="0" distB="0" distL="0" distR="0" wp14:anchorId="24828F2A" wp14:editId="5E7B6D8B">
            <wp:extent cx="5730875" cy="2865120"/>
            <wp:effectExtent l="0" t="0" r="3175" b="0"/>
            <wp:docPr id="1515046269" name="Picture 58" descr="A scatter plot that shows the Beveridge Curve for Regional Australia. The chart shows that for March 2025, Regional Northern Territory, Queensland and South Australia were far further away from the origin than Regional Victoria and Tasmania (which, based on the Beveridge Curve, suggests these are currently more efficient local labour mar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46269" name="Picture 58" descr="A scatter plot that shows the Beveridge Curve for Regional Australia. The chart shows that for March 2025, Regional Northern Territory, Queensland and South Australia were far further away from the origin than Regional Victoria and Tasmania (which, based on the Beveridge Curve, suggests these are currently more efficient local labour markets)."/>
                    <pic:cNvPicPr>
                      <a:picLocks noChangeAspect="1" noChangeArrowheads="1"/>
                    </pic:cNvPicPr>
                  </pic:nvPicPr>
                  <pic:blipFill>
                    <a:blip r:embed="rId78" cstate="email">
                      <a:extLst>
                        <a:ext uri="{28A0092B-C50C-407E-A947-70E740481C1C}">
                          <a14:useLocalDpi xmlns:a14="http://schemas.microsoft.com/office/drawing/2010/main" val="0"/>
                        </a:ext>
                      </a:extLst>
                    </a:blip>
                    <a:srcRect/>
                    <a:stretch>
                      <a:fillRect/>
                    </a:stretch>
                  </pic:blipFill>
                  <pic:spPr bwMode="auto">
                    <a:xfrm>
                      <a:off x="0" y="0"/>
                      <a:ext cx="5730875" cy="2865120"/>
                    </a:xfrm>
                    <a:prstGeom prst="rect">
                      <a:avLst/>
                    </a:prstGeom>
                    <a:noFill/>
                  </pic:spPr>
                </pic:pic>
              </a:graphicData>
            </a:graphic>
          </wp:inline>
        </w:drawing>
      </w:r>
    </w:p>
    <w:p w14:paraId="0119EC2A" w14:textId="24482430" w:rsidR="00F13746" w:rsidRDefault="00F13746" w:rsidP="00C26CB3">
      <w:pPr>
        <w:rPr>
          <w:sz w:val="18"/>
          <w:szCs w:val="18"/>
        </w:rPr>
      </w:pPr>
      <w:r w:rsidRPr="00CB0C7A">
        <w:rPr>
          <w:rFonts w:cs="Arial"/>
          <w:i/>
          <w:iCs/>
          <w:sz w:val="18"/>
          <w:szCs w:val="16"/>
        </w:rPr>
        <w:t xml:space="preserve">Source: </w:t>
      </w:r>
      <w:r>
        <w:rPr>
          <w:rFonts w:cs="Arial"/>
          <w:i/>
          <w:iCs/>
          <w:sz w:val="18"/>
          <w:szCs w:val="16"/>
        </w:rPr>
        <w:t xml:space="preserve">JSA, Internet Vacancy Index (adjusted for proportion of jobs advertised online – JSA, Recruitment Experiences and Outlook Survey, </w:t>
      </w:r>
      <w:r w:rsidR="00CE0F5D">
        <w:rPr>
          <w:rFonts w:cs="Arial"/>
          <w:i/>
          <w:iCs/>
          <w:sz w:val="18"/>
          <w:szCs w:val="16"/>
        </w:rPr>
        <w:t xml:space="preserve">April </w:t>
      </w:r>
      <w:r>
        <w:rPr>
          <w:rFonts w:cs="Arial"/>
          <w:i/>
          <w:iCs/>
          <w:sz w:val="18"/>
          <w:szCs w:val="16"/>
        </w:rPr>
        <w:t>2025)</w:t>
      </w:r>
      <w:r>
        <w:rPr>
          <w:rFonts w:cs="Arial"/>
          <w:sz w:val="18"/>
          <w:szCs w:val="16"/>
        </w:rPr>
        <w:t xml:space="preserve">, </w:t>
      </w:r>
      <w:r w:rsidRPr="000775BB">
        <w:rPr>
          <w:sz w:val="18"/>
          <w:szCs w:val="18"/>
        </w:rPr>
        <w:t xml:space="preserve">ABS, </w:t>
      </w:r>
      <w:r w:rsidRPr="000775BB">
        <w:rPr>
          <w:i/>
          <w:iCs/>
          <w:sz w:val="18"/>
          <w:szCs w:val="18"/>
        </w:rPr>
        <w:t>Labour Force, Detailed,</w:t>
      </w:r>
      <w:r w:rsidRPr="000775BB">
        <w:rPr>
          <w:sz w:val="18"/>
          <w:szCs w:val="18"/>
        </w:rPr>
        <w:t xml:space="preserve"> </w:t>
      </w:r>
      <w:r w:rsidR="00CE0F5D">
        <w:rPr>
          <w:sz w:val="18"/>
          <w:szCs w:val="18"/>
        </w:rPr>
        <w:t xml:space="preserve">March </w:t>
      </w:r>
      <w:r>
        <w:rPr>
          <w:sz w:val="18"/>
          <w:szCs w:val="18"/>
        </w:rPr>
        <w:t xml:space="preserve">2025, </w:t>
      </w:r>
      <w:r w:rsidRPr="000775BB">
        <w:rPr>
          <w:sz w:val="18"/>
          <w:szCs w:val="18"/>
        </w:rPr>
        <w:t>modelled estimates</w:t>
      </w:r>
      <w:r>
        <w:rPr>
          <w:sz w:val="18"/>
          <w:szCs w:val="18"/>
        </w:rPr>
        <w:t xml:space="preserve">. </w:t>
      </w:r>
    </w:p>
    <w:p w14:paraId="7F2EE908" w14:textId="3CBC3657" w:rsidR="007B4B22" w:rsidRPr="005F55D5" w:rsidRDefault="007B4B22" w:rsidP="006E4573">
      <w:pPr>
        <w:rPr>
          <w:rFonts w:cs="Arial"/>
          <w:i/>
          <w:iCs/>
          <w:sz w:val="18"/>
          <w:szCs w:val="16"/>
        </w:rPr>
      </w:pPr>
      <w:r w:rsidRPr="005F55D5">
        <w:rPr>
          <w:i/>
          <w:iCs/>
          <w:sz w:val="18"/>
          <w:szCs w:val="18"/>
        </w:rPr>
        <w:t xml:space="preserve">Note: </w:t>
      </w:r>
      <w:r w:rsidR="00686D23" w:rsidRPr="005F55D5">
        <w:rPr>
          <w:i/>
          <w:iCs/>
          <w:sz w:val="18"/>
          <w:szCs w:val="18"/>
        </w:rPr>
        <w:t>The data points show for the Regional N</w:t>
      </w:r>
      <w:r w:rsidR="005714B9" w:rsidRPr="005F55D5">
        <w:rPr>
          <w:i/>
          <w:iCs/>
          <w:sz w:val="18"/>
          <w:szCs w:val="18"/>
        </w:rPr>
        <w:t>ew South Wales, Victoria, Queensland, South Australia</w:t>
      </w:r>
      <w:r w:rsidR="005F55D5" w:rsidRPr="005F55D5">
        <w:rPr>
          <w:i/>
          <w:iCs/>
          <w:sz w:val="18"/>
          <w:szCs w:val="18"/>
        </w:rPr>
        <w:t xml:space="preserve">, Western Australia Tasmania and the Northern Territory are for March 2025. </w:t>
      </w:r>
      <w:r w:rsidR="000A7058">
        <w:rPr>
          <w:i/>
          <w:sz w:val="18"/>
          <w:szCs w:val="18"/>
        </w:rPr>
        <w:t>The curve is based on the average result for 2019 to 2025 across Regional Australia as a whole.</w:t>
      </w:r>
    </w:p>
    <w:p w14:paraId="486DC884" w14:textId="1DE51950" w:rsidR="006E4573" w:rsidRDefault="006E4573" w:rsidP="00C96369">
      <w:pPr>
        <w:pStyle w:val="Heading5"/>
        <w:rPr>
          <w:i/>
          <w:iCs/>
        </w:rPr>
      </w:pPr>
      <w:r>
        <w:t xml:space="preserve">Experimental insights from JSA’s </w:t>
      </w:r>
      <w:r>
        <w:rPr>
          <w:i/>
          <w:iCs/>
        </w:rPr>
        <w:t>MUVER model</w:t>
      </w:r>
    </w:p>
    <w:p w14:paraId="1B9037C3" w14:textId="30A9D6E0" w:rsidR="00B601E5" w:rsidRPr="00B741B8" w:rsidRDefault="00D07DBE" w:rsidP="00D07DBE">
      <w:pPr>
        <w:pStyle w:val="Caption"/>
        <w:rPr>
          <w:b w:val="0"/>
          <w:bCs w:val="0"/>
        </w:rPr>
      </w:pPr>
      <w:r>
        <w:t xml:space="preserve">Table </w:t>
      </w:r>
      <w:r>
        <w:fldChar w:fldCharType="begin"/>
      </w:r>
      <w:r>
        <w:instrText xml:space="preserve"> SEQ Table \* ARABIC </w:instrText>
      </w:r>
      <w:r>
        <w:fldChar w:fldCharType="separate"/>
      </w:r>
      <w:r w:rsidR="00471863">
        <w:rPr>
          <w:noProof/>
        </w:rPr>
        <w:t>29</w:t>
      </w:r>
      <w:r>
        <w:fldChar w:fldCharType="end"/>
      </w:r>
      <w:r w:rsidR="00B601E5" w:rsidRPr="0048438C">
        <w:rPr>
          <w:b w:val="0"/>
          <w:bCs w:val="0"/>
        </w:rPr>
        <w:t>:</w:t>
      </w:r>
      <w:r w:rsidR="00B741B8">
        <w:rPr>
          <w:b w:val="0"/>
          <w:bCs w:val="0"/>
        </w:rPr>
        <w:t xml:space="preserve"> </w:t>
      </w:r>
      <w:r w:rsidR="00304DBE" w:rsidRPr="00304DBE">
        <w:rPr>
          <w:b w:val="0"/>
        </w:rPr>
        <w:t>JSA experimental estimates of matching efficiency (</w:t>
      </w:r>
      <w:r w:rsidR="00B741B8">
        <w:rPr>
          <w:b w:val="0"/>
          <w:i/>
        </w:rPr>
        <w:t>MUVER model</w:t>
      </w:r>
      <w:r w:rsidR="00304DBE" w:rsidRPr="00304DBE">
        <w:rPr>
          <w:b w:val="0"/>
          <w:i/>
        </w:rPr>
        <w:t>),</w:t>
      </w:r>
      <w:r w:rsidR="00B741B8" w:rsidRPr="00304DBE">
        <w:rPr>
          <w:b w:val="0"/>
          <w:i/>
        </w:rPr>
        <w:t xml:space="preserve"> </w:t>
      </w:r>
      <w:r w:rsidR="00B741B8">
        <w:rPr>
          <w:b w:val="0"/>
        </w:rPr>
        <w:t>Regional Australia</w:t>
      </w:r>
      <w:r w:rsidR="00304DBE" w:rsidRPr="00304DBE">
        <w:rPr>
          <w:b w:val="0"/>
        </w:rPr>
        <w:t xml:space="preserve"> 202</w:t>
      </w:r>
      <w:r w:rsidR="00B651DB">
        <w:rPr>
          <w:b w:val="0"/>
        </w:rPr>
        <w:t>5</w:t>
      </w:r>
    </w:p>
    <w:tbl>
      <w:tblPr>
        <w:tblStyle w:val="GridTable5Dark-Accent11"/>
        <w:tblW w:w="8634" w:type="dxa"/>
        <w:tblLook w:val="04A0" w:firstRow="1" w:lastRow="0" w:firstColumn="1" w:lastColumn="0" w:noHBand="0" w:noVBand="1"/>
      </w:tblPr>
      <w:tblGrid>
        <w:gridCol w:w="2127"/>
        <w:gridCol w:w="1133"/>
        <w:gridCol w:w="1134"/>
        <w:gridCol w:w="1699"/>
        <w:gridCol w:w="980"/>
        <w:gridCol w:w="1561"/>
      </w:tblGrid>
      <w:tr w:rsidR="00B715BA" w:rsidRPr="00207C36" w14:paraId="52BE3B25" w14:textId="77777777" w:rsidTr="003215A2">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055" w:type="dxa"/>
            <w:tcBorders>
              <w:top w:val="single" w:sz="8" w:space="0" w:color="808080"/>
              <w:left w:val="single" w:sz="8" w:space="0" w:color="808080"/>
              <w:right w:val="single" w:sz="8" w:space="0" w:color="FFFFFF" w:themeColor="background1"/>
            </w:tcBorders>
            <w:shd w:val="clear" w:color="auto" w:fill="370663"/>
          </w:tcPr>
          <w:p w14:paraId="6166D35B" w14:textId="77777777" w:rsidR="00C02B76" w:rsidRPr="00D51900" w:rsidRDefault="00C02B76" w:rsidP="003215A2">
            <w:pPr>
              <w:keepNext/>
              <w:rPr>
                <w:rFonts w:eastAsia="Aptos" w:cs="Arial"/>
                <w:sz w:val="20"/>
                <w:szCs w:val="20"/>
              </w:rPr>
            </w:pPr>
          </w:p>
        </w:tc>
        <w:tc>
          <w:tcPr>
            <w:tcW w:w="1134" w:type="dxa"/>
            <w:tcBorders>
              <w:top w:val="single" w:sz="8" w:space="0" w:color="808080"/>
              <w:left w:val="single" w:sz="8" w:space="0" w:color="FFFFFF" w:themeColor="background1"/>
              <w:right w:val="single" w:sz="8" w:space="0" w:color="FFFFFF" w:themeColor="background1"/>
            </w:tcBorders>
            <w:shd w:val="clear" w:color="auto" w:fill="370663"/>
            <w:vAlign w:val="center"/>
          </w:tcPr>
          <w:p w14:paraId="40C73056" w14:textId="77777777" w:rsidR="00C02B76" w:rsidRPr="00D51900" w:rsidRDefault="00C02B76" w:rsidP="003215A2">
            <w:pPr>
              <w:keepNext/>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D51900">
              <w:rPr>
                <w:rFonts w:cs="Arial"/>
                <w:sz w:val="20"/>
                <w:szCs w:val="20"/>
              </w:rPr>
              <w:t>Current Rating</w:t>
            </w:r>
          </w:p>
        </w:tc>
        <w:tc>
          <w:tcPr>
            <w:tcW w:w="1134" w:type="dxa"/>
            <w:tcBorders>
              <w:top w:val="single" w:sz="8" w:space="0" w:color="808080"/>
              <w:left w:val="single" w:sz="8" w:space="0" w:color="FFFFFF" w:themeColor="background1"/>
              <w:right w:val="single" w:sz="8" w:space="0" w:color="FFFFFF" w:themeColor="background1"/>
            </w:tcBorders>
            <w:shd w:val="clear" w:color="auto" w:fill="370663"/>
            <w:vAlign w:val="center"/>
          </w:tcPr>
          <w:p w14:paraId="34962AC2" w14:textId="77777777" w:rsidR="00C02B76" w:rsidRPr="00D51900" w:rsidRDefault="00C02B76" w:rsidP="003215A2">
            <w:pPr>
              <w:keepNext/>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D51900">
              <w:rPr>
                <w:rFonts w:cs="Arial"/>
                <w:sz w:val="20"/>
                <w:szCs w:val="20"/>
              </w:rPr>
              <w:t>Current rate in Regional Australia</w:t>
            </w:r>
          </w:p>
        </w:tc>
        <w:tc>
          <w:tcPr>
            <w:tcW w:w="1701" w:type="dxa"/>
            <w:tcBorders>
              <w:top w:val="single" w:sz="8" w:space="0" w:color="808080"/>
              <w:left w:val="single" w:sz="8" w:space="0" w:color="FFFFFF" w:themeColor="background1"/>
              <w:right w:val="single" w:sz="8" w:space="0" w:color="FFFFFF" w:themeColor="background1"/>
            </w:tcBorders>
            <w:shd w:val="clear" w:color="auto" w:fill="370663"/>
            <w:vAlign w:val="center"/>
          </w:tcPr>
          <w:p w14:paraId="7FF3344E" w14:textId="77777777" w:rsidR="00C02B76" w:rsidRPr="00D51900" w:rsidRDefault="00C02B76" w:rsidP="003215A2">
            <w:pPr>
              <w:keepNext/>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D51900">
              <w:rPr>
                <w:rFonts w:cs="Arial"/>
                <w:sz w:val="20"/>
                <w:szCs w:val="20"/>
              </w:rPr>
              <w:t>Current Trend</w:t>
            </w:r>
          </w:p>
        </w:tc>
        <w:tc>
          <w:tcPr>
            <w:tcW w:w="981" w:type="dxa"/>
            <w:tcBorders>
              <w:top w:val="single" w:sz="8" w:space="0" w:color="808080"/>
              <w:left w:val="single" w:sz="8" w:space="0" w:color="FFFFFF" w:themeColor="background1"/>
              <w:right w:val="single" w:sz="8" w:space="0" w:color="FFFFFF" w:themeColor="background1"/>
            </w:tcBorders>
            <w:shd w:val="clear" w:color="auto" w:fill="370663"/>
            <w:vAlign w:val="center"/>
          </w:tcPr>
          <w:p w14:paraId="302AA0C1" w14:textId="77777777" w:rsidR="00C02B76" w:rsidRPr="00D51900" w:rsidRDefault="00C02B76" w:rsidP="003215A2">
            <w:pPr>
              <w:keepNext/>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D51900">
              <w:rPr>
                <w:rFonts w:cs="Arial"/>
                <w:sz w:val="20"/>
                <w:szCs w:val="20"/>
              </w:rPr>
              <w:t>Best on record</w:t>
            </w:r>
          </w:p>
        </w:tc>
        <w:tc>
          <w:tcPr>
            <w:tcW w:w="1565" w:type="dxa"/>
            <w:tcBorders>
              <w:top w:val="single" w:sz="8" w:space="0" w:color="808080"/>
              <w:left w:val="single" w:sz="8" w:space="0" w:color="FFFFFF" w:themeColor="background1"/>
              <w:right w:val="single" w:sz="8" w:space="0" w:color="808080"/>
            </w:tcBorders>
            <w:shd w:val="clear" w:color="auto" w:fill="370663"/>
            <w:vAlign w:val="center"/>
          </w:tcPr>
          <w:p w14:paraId="6E65CEDF" w14:textId="35D67913" w:rsidR="00C02B76" w:rsidRPr="00D51900" w:rsidRDefault="003A7518" w:rsidP="003215A2">
            <w:pPr>
              <w:keepNext/>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CB0C7A">
              <w:rPr>
                <w:rFonts w:cs="Arial"/>
                <w:sz w:val="20"/>
              </w:rPr>
              <w:t xml:space="preserve">Gap to </w:t>
            </w:r>
            <w:r>
              <w:rPr>
                <w:rFonts w:cs="Arial"/>
                <w:sz w:val="20"/>
              </w:rPr>
              <w:t>the Major Cities</w:t>
            </w:r>
          </w:p>
        </w:tc>
      </w:tr>
      <w:tr w:rsidR="00C21FD5" w:rsidRPr="00207C36" w14:paraId="7A5F4974" w14:textId="77777777" w:rsidTr="007414BD">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2132" w:type="dxa"/>
            <w:tcBorders>
              <w:left w:val="single" w:sz="8" w:space="0" w:color="808080"/>
              <w:bottom w:val="single" w:sz="8" w:space="0" w:color="808080"/>
              <w:right w:val="single" w:sz="8" w:space="0" w:color="FFFFFF" w:themeColor="background1"/>
            </w:tcBorders>
            <w:shd w:val="clear" w:color="auto" w:fill="E0D1F5"/>
            <w:vAlign w:val="center"/>
          </w:tcPr>
          <w:p w14:paraId="66EFD747" w14:textId="3BDCE7C7" w:rsidR="00C02B76" w:rsidRPr="007414BD" w:rsidRDefault="003E75E6" w:rsidP="003215A2">
            <w:pPr>
              <w:rPr>
                <w:rFonts w:eastAsia="Aptos" w:cs="Arial"/>
                <w:b w:val="0"/>
                <w:bCs w:val="0"/>
                <w:color w:val="auto"/>
              </w:rPr>
            </w:pPr>
            <w:r w:rsidRPr="007414BD">
              <w:rPr>
                <w:rFonts w:eastAsia="Aptos" w:cs="Arial"/>
                <w:b w:val="0"/>
                <w:bCs w:val="0"/>
                <w:color w:val="auto"/>
              </w:rPr>
              <w:t>Efficiency of labour market matching (%)</w:t>
            </w:r>
          </w:p>
        </w:tc>
        <w:tc>
          <w:tcPr>
            <w:tcW w:w="1134" w:type="dxa"/>
            <w:tcBorders>
              <w:left w:val="single" w:sz="8" w:space="0" w:color="FFFFFF" w:themeColor="background1"/>
              <w:bottom w:val="single" w:sz="8" w:space="0" w:color="808080"/>
              <w:right w:val="single" w:sz="8" w:space="0" w:color="FFFFFF" w:themeColor="background1"/>
            </w:tcBorders>
            <w:shd w:val="clear" w:color="auto" w:fill="FFAD4C"/>
            <w:vAlign w:val="center"/>
          </w:tcPr>
          <w:p w14:paraId="1A229AA8" w14:textId="2BE0A2C4" w:rsidR="00C02B76" w:rsidRPr="007414BD" w:rsidRDefault="00B715BA" w:rsidP="003215A2">
            <w:pPr>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7414BD">
              <w:rPr>
                <w:rFonts w:eastAsia="Aptos" w:cs="Arial"/>
              </w:rPr>
              <w:t>Orange</w:t>
            </w:r>
          </w:p>
        </w:tc>
        <w:tc>
          <w:tcPr>
            <w:tcW w:w="1134" w:type="dxa"/>
            <w:tcBorders>
              <w:left w:val="single" w:sz="8" w:space="0" w:color="FFFFFF" w:themeColor="background1"/>
              <w:bottom w:val="single" w:sz="8" w:space="0" w:color="808080"/>
              <w:right w:val="single" w:sz="8" w:space="0" w:color="FFFFFF" w:themeColor="background1"/>
            </w:tcBorders>
            <w:shd w:val="clear" w:color="auto" w:fill="FFAD4C"/>
            <w:vAlign w:val="center"/>
          </w:tcPr>
          <w:p w14:paraId="3C93ED08" w14:textId="17ADA386" w:rsidR="00C02B76" w:rsidRPr="007414BD" w:rsidRDefault="00745660" w:rsidP="003215A2">
            <w:pPr>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7414BD">
              <w:rPr>
                <w:rFonts w:eastAsia="Aptos" w:cs="Arial"/>
              </w:rPr>
              <w:t>80.7</w:t>
            </w:r>
            <w:r w:rsidR="00C02B76" w:rsidRPr="007414BD">
              <w:rPr>
                <w:rFonts w:eastAsia="Aptos" w:cs="Arial"/>
              </w:rPr>
              <w:t>%</w:t>
            </w:r>
          </w:p>
        </w:tc>
        <w:tc>
          <w:tcPr>
            <w:tcW w:w="1701" w:type="dxa"/>
            <w:tcBorders>
              <w:left w:val="single" w:sz="8" w:space="0" w:color="FFFFFF" w:themeColor="background1"/>
              <w:bottom w:val="single" w:sz="8" w:space="0" w:color="808080"/>
              <w:right w:val="single" w:sz="4" w:space="0" w:color="BFBFBF" w:themeColor="background1" w:themeShade="BF"/>
            </w:tcBorders>
            <w:shd w:val="clear" w:color="auto" w:fill="F2F2F2" w:themeFill="background1" w:themeFillShade="F2"/>
            <w:vAlign w:val="center"/>
          </w:tcPr>
          <w:p w14:paraId="11F9291F" w14:textId="6C00A392" w:rsidR="00C02B76" w:rsidRPr="007414BD" w:rsidRDefault="00B715BA" w:rsidP="003215A2">
            <w:pPr>
              <w:jc w:val="center"/>
              <w:cnfStyle w:val="000000100000" w:firstRow="0" w:lastRow="0" w:firstColumn="0" w:lastColumn="0" w:oddVBand="0" w:evenVBand="0" w:oddHBand="1" w:evenHBand="0" w:firstRowFirstColumn="0" w:firstRowLastColumn="0" w:lastRowFirstColumn="0" w:lastRowLastColumn="0"/>
              <w:rPr>
                <w:rFonts w:eastAsia="Aptos" w:cs="Arial"/>
                <w:b/>
                <w:bCs/>
              </w:rPr>
            </w:pPr>
            <w:r w:rsidRPr="007414BD">
              <w:rPr>
                <w:rFonts w:eastAsia="Aptos" w:cs="Arial"/>
                <w:b/>
                <w:bCs/>
              </w:rPr>
              <w:t>Worsening</w:t>
            </w:r>
          </w:p>
        </w:tc>
        <w:tc>
          <w:tcPr>
            <w:tcW w:w="981" w:type="dxa"/>
            <w:tcBorders>
              <w:left w:val="single" w:sz="4" w:space="0" w:color="BFBFBF" w:themeColor="background1" w:themeShade="BF"/>
              <w:bottom w:val="single" w:sz="8" w:space="0" w:color="808080"/>
              <w:right w:val="single" w:sz="4" w:space="0" w:color="BFBFBF" w:themeColor="background1" w:themeShade="BF"/>
            </w:tcBorders>
            <w:shd w:val="clear" w:color="auto" w:fill="F2F2F2" w:themeFill="background1" w:themeFillShade="F2"/>
            <w:vAlign w:val="center"/>
          </w:tcPr>
          <w:p w14:paraId="1EAB3C3E" w14:textId="512B7B70" w:rsidR="00C02B76" w:rsidRPr="007414BD" w:rsidRDefault="0056105B" w:rsidP="003215A2">
            <w:pPr>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7414BD">
              <w:rPr>
                <w:rFonts w:eastAsia="Aptos" w:cs="Arial"/>
              </w:rPr>
              <w:t>84.4% (2011)</w:t>
            </w:r>
          </w:p>
        </w:tc>
        <w:tc>
          <w:tcPr>
            <w:tcW w:w="1565" w:type="dxa"/>
            <w:tcBorders>
              <w:left w:val="single" w:sz="4" w:space="0" w:color="BFBFBF" w:themeColor="background1" w:themeShade="BF"/>
              <w:bottom w:val="single" w:sz="8" w:space="0" w:color="808080"/>
              <w:right w:val="single" w:sz="8" w:space="0" w:color="808080"/>
            </w:tcBorders>
            <w:shd w:val="clear" w:color="auto" w:fill="DF5454"/>
            <w:vAlign w:val="center"/>
          </w:tcPr>
          <w:p w14:paraId="2A32CFEC" w14:textId="4466EF5F" w:rsidR="00C02B76" w:rsidRPr="007414BD" w:rsidRDefault="00C02B76" w:rsidP="003215A2">
            <w:pPr>
              <w:jc w:val="center"/>
              <w:cnfStyle w:val="000000100000" w:firstRow="0" w:lastRow="0" w:firstColumn="0" w:lastColumn="0" w:oddVBand="0" w:evenVBand="0" w:oddHBand="1" w:evenHBand="0" w:firstRowFirstColumn="0" w:firstRowLastColumn="0" w:lastRowFirstColumn="0" w:lastRowLastColumn="0"/>
              <w:rPr>
                <w:rFonts w:eastAsia="Aptos" w:cs="Arial"/>
              </w:rPr>
            </w:pPr>
            <w:r w:rsidRPr="007414BD">
              <w:rPr>
                <w:rFonts w:eastAsia="Aptos" w:cs="Arial"/>
              </w:rPr>
              <w:t>+</w:t>
            </w:r>
            <w:r w:rsidR="00150937" w:rsidRPr="007414BD">
              <w:rPr>
                <w:rFonts w:eastAsia="Aptos" w:cs="Arial"/>
              </w:rPr>
              <w:t>2.3</w:t>
            </w:r>
            <w:r w:rsidRPr="007414BD">
              <w:rPr>
                <w:rFonts w:eastAsia="Aptos" w:cs="Arial"/>
              </w:rPr>
              <w:t>% pts</w:t>
            </w:r>
          </w:p>
        </w:tc>
      </w:tr>
    </w:tbl>
    <w:p w14:paraId="676A472C" w14:textId="70FBD3AD" w:rsidR="00EA1E9D" w:rsidRPr="00CB0C7A" w:rsidRDefault="00EA1E9D" w:rsidP="00EA1E9D">
      <w:pPr>
        <w:spacing w:after="0" w:line="259" w:lineRule="auto"/>
        <w:rPr>
          <w:rFonts w:eastAsia="Aptos" w:cs="Arial"/>
          <w:i/>
          <w:iCs/>
          <w:sz w:val="18"/>
          <w:szCs w:val="18"/>
        </w:rPr>
      </w:pPr>
      <w:r w:rsidRPr="00CB0C7A">
        <w:rPr>
          <w:rFonts w:eastAsia="Aptos" w:cs="Arial"/>
          <w:i/>
          <w:iCs/>
          <w:sz w:val="18"/>
          <w:szCs w:val="18"/>
        </w:rPr>
        <w:t xml:space="preserve">Source: </w:t>
      </w:r>
      <w:r>
        <w:rPr>
          <w:rFonts w:eastAsia="Aptos" w:cs="Arial"/>
          <w:i/>
          <w:iCs/>
          <w:sz w:val="18"/>
          <w:szCs w:val="18"/>
        </w:rPr>
        <w:t>JSA experimental estimates of matching efficiency by region, 202</w:t>
      </w:r>
      <w:r w:rsidR="00C02B76">
        <w:rPr>
          <w:rFonts w:eastAsia="Aptos" w:cs="Arial"/>
          <w:i/>
          <w:iCs/>
          <w:sz w:val="18"/>
          <w:szCs w:val="18"/>
        </w:rPr>
        <w:t>5</w:t>
      </w:r>
      <w:r w:rsidR="00D10DC9">
        <w:rPr>
          <w:rFonts w:eastAsia="Aptos" w:cs="Arial"/>
          <w:i/>
          <w:iCs/>
          <w:sz w:val="18"/>
          <w:szCs w:val="18"/>
        </w:rPr>
        <w:t xml:space="preserve">, </w:t>
      </w:r>
      <w:r w:rsidR="00D10DC9" w:rsidRPr="00CB0C7A">
        <w:rPr>
          <w:rFonts w:eastAsia="Aptos" w:cs="Arial"/>
          <w:i/>
          <w:iCs/>
          <w:sz w:val="18"/>
          <w:szCs w:val="18"/>
        </w:rPr>
        <w:t xml:space="preserve">and ABS, Labour Force, Detailed, </w:t>
      </w:r>
      <w:r w:rsidR="00D10DC9">
        <w:rPr>
          <w:rFonts w:eastAsia="Aptos" w:cs="Arial"/>
          <w:i/>
          <w:iCs/>
          <w:sz w:val="18"/>
          <w:szCs w:val="18"/>
        </w:rPr>
        <w:t>6-month average of original</w:t>
      </w:r>
      <w:r w:rsidR="00D10DC9" w:rsidRPr="00CB0C7A">
        <w:rPr>
          <w:rFonts w:eastAsia="Aptos" w:cs="Arial"/>
          <w:i/>
          <w:iCs/>
          <w:sz w:val="18"/>
          <w:szCs w:val="18"/>
        </w:rPr>
        <w:t xml:space="preserve"> estimates</w:t>
      </w:r>
      <w:r w:rsidR="003726E0">
        <w:rPr>
          <w:rFonts w:eastAsia="Aptos" w:cs="Arial"/>
          <w:i/>
          <w:iCs/>
          <w:sz w:val="18"/>
          <w:szCs w:val="18"/>
        </w:rPr>
        <w:t>, March 2025</w:t>
      </w:r>
      <w:r w:rsidRPr="00CB0C7A">
        <w:rPr>
          <w:rFonts w:eastAsia="Aptos" w:cs="Arial"/>
          <w:i/>
          <w:iCs/>
          <w:sz w:val="18"/>
          <w:szCs w:val="18"/>
        </w:rPr>
        <w:t xml:space="preserve"> </w:t>
      </w:r>
    </w:p>
    <w:p w14:paraId="4EA9772E" w14:textId="77777777" w:rsidR="00420298" w:rsidRPr="00420298" w:rsidRDefault="00420298" w:rsidP="00420298"/>
    <w:p w14:paraId="650A1BA1" w14:textId="77777777" w:rsidR="00A4283D" w:rsidRDefault="00A4283D" w:rsidP="00A4283D">
      <w:r>
        <w:t xml:space="preserve">Further insights on job matching efficiency in the labour market can be derived from JSA’s </w:t>
      </w:r>
      <w:r>
        <w:rPr>
          <w:i/>
          <w:iCs/>
        </w:rPr>
        <w:t xml:space="preserve">MUVER </w:t>
      </w:r>
      <w:r w:rsidRPr="005E47FB">
        <w:t>model</w:t>
      </w:r>
      <w:r>
        <w:t xml:space="preserve"> which uses data from both JSA and the Australian Bureau of Statistics (ABS), to deliver experimental insights on job matching efficiency for regions. </w:t>
      </w:r>
    </w:p>
    <w:p w14:paraId="3AFEE956" w14:textId="491A60AE" w:rsidR="006373CA" w:rsidRPr="006373CA" w:rsidRDefault="00F46DB1" w:rsidP="00F46DB1">
      <w:pPr>
        <w:pStyle w:val="Caption"/>
        <w:rPr>
          <w:rFonts w:eastAsia="Aptos" w:cs="Arial"/>
        </w:rPr>
      </w:pPr>
      <w:bookmarkStart w:id="152" w:name="_Toc201916612"/>
      <w:r>
        <w:lastRenderedPageBreak/>
        <w:t xml:space="preserve">Figure </w:t>
      </w:r>
      <w:r>
        <w:fldChar w:fldCharType="begin"/>
      </w:r>
      <w:r>
        <w:instrText xml:space="preserve"> SEQ Figure \* ARABIC </w:instrText>
      </w:r>
      <w:r>
        <w:fldChar w:fldCharType="separate"/>
      </w:r>
      <w:r w:rsidR="00471863">
        <w:rPr>
          <w:noProof/>
        </w:rPr>
        <w:t>46</w:t>
      </w:r>
      <w:r>
        <w:fldChar w:fldCharType="end"/>
      </w:r>
      <w:r w:rsidR="006373CA">
        <w:t xml:space="preserve">: </w:t>
      </w:r>
      <w:r w:rsidR="00930EFC">
        <w:t xml:space="preserve">A simple model </w:t>
      </w:r>
      <w:r w:rsidR="002368C1">
        <w:t xml:space="preserve">underpinning </w:t>
      </w:r>
      <w:r w:rsidR="007B46A1">
        <w:t>the Beveridge Curve</w:t>
      </w:r>
      <w:bookmarkEnd w:id="152"/>
    </w:p>
    <w:p w14:paraId="71E0A79E" w14:textId="3A6A4DB7" w:rsidR="006373CA" w:rsidRDefault="006373CA" w:rsidP="006373CA">
      <w:pPr>
        <w:keepNext/>
      </w:pPr>
      <w:r w:rsidRPr="006373CA">
        <w:rPr>
          <w:noProof/>
        </w:rPr>
        <w:drawing>
          <wp:inline distT="0" distB="0" distL="0" distR="0" wp14:anchorId="1B34416C" wp14:editId="53E6DCC1">
            <wp:extent cx="5732145" cy="2324735"/>
            <wp:effectExtent l="0" t="0" r="1905" b="0"/>
            <wp:docPr id="1630240327" name="Picture 1" descr="A simple model underpinning the Beveridge Curve. The Beveridge Curve is determined by the flows of workers and jobs into and out of unemployment and vacancies. Unemployment arises as the result of flows of job leavers (including quits and voluntary job separations), and flows into the labour force (labour force growth). Vacancies arise from the expansion of jobs (job creation) and from qu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40327" name="Picture 1" descr="A simple model underpinning the Beveridge Curve. The Beveridge Curve is determined by the flows of workers and jobs into and out of unemployment and vacancies. Unemployment arises as the result of flows of job leavers (including quits and voluntary job separations), and flows into the labour force (labour force growth). Vacancies arise from the expansion of jobs (job creation) and from quits. "/>
                    <pic:cNvPicPr/>
                  </pic:nvPicPr>
                  <pic:blipFill rotWithShape="1">
                    <a:blip r:embed="rId79"/>
                    <a:srcRect t="3174"/>
                    <a:stretch/>
                  </pic:blipFill>
                  <pic:spPr bwMode="auto">
                    <a:xfrm>
                      <a:off x="0" y="0"/>
                      <a:ext cx="5732145" cy="2324735"/>
                    </a:xfrm>
                    <a:prstGeom prst="rect">
                      <a:avLst/>
                    </a:prstGeom>
                    <a:ln>
                      <a:noFill/>
                    </a:ln>
                    <a:extLst>
                      <a:ext uri="{53640926-AAD7-44D8-BBD7-CCE9431645EC}">
                        <a14:shadowObscured xmlns:a14="http://schemas.microsoft.com/office/drawing/2010/main"/>
                      </a:ext>
                    </a:extLst>
                  </pic:spPr>
                </pic:pic>
              </a:graphicData>
            </a:graphic>
          </wp:inline>
        </w:drawing>
      </w:r>
    </w:p>
    <w:p w14:paraId="08529A74" w14:textId="5F6D5C71" w:rsidR="00D20A24" w:rsidRDefault="00D20A24" w:rsidP="00023731">
      <w:pPr>
        <w:pStyle w:val="BodyText"/>
      </w:pPr>
      <w:r>
        <w:t>While the Beveridge Curve is a useful tool to analyse efficiency in the labour market,</w:t>
      </w:r>
      <w:r w:rsidR="002871C6">
        <w:t xml:space="preserve"> it cannot be used to unambiguously identify</w:t>
      </w:r>
      <w:r>
        <w:t xml:space="preserve"> </w:t>
      </w:r>
      <w:r w:rsidR="00CF7A14">
        <w:t xml:space="preserve">periods of high and low </w:t>
      </w:r>
      <w:r w:rsidR="002E55C0">
        <w:t>job matching efficiency</w:t>
      </w:r>
      <w:r w:rsidR="002871C6">
        <w:t xml:space="preserve">. </w:t>
      </w:r>
      <w:r w:rsidR="00F92086">
        <w:t xml:space="preserve">Rather, </w:t>
      </w:r>
      <w:r w:rsidR="009E2115">
        <w:t xml:space="preserve">it is </w:t>
      </w:r>
      <w:r w:rsidR="00F92086">
        <w:t xml:space="preserve">the </w:t>
      </w:r>
      <w:r w:rsidR="008C3D18" w:rsidRPr="00D03E3C">
        <w:rPr>
          <w:i/>
          <w:iCs/>
        </w:rPr>
        <w:t xml:space="preserve">flows </w:t>
      </w:r>
      <w:r w:rsidR="008C3D18">
        <w:t xml:space="preserve">into and out of unemployment and vacancies, together with the job-matching process, </w:t>
      </w:r>
      <w:r w:rsidR="00A54397">
        <w:t xml:space="preserve">that </w:t>
      </w:r>
      <w:r w:rsidR="008C3D18">
        <w:t>determine the outcomes for unemployment and vacancies that are summarised in the Beveridge Curve</w:t>
      </w:r>
      <w:r w:rsidR="00727DA7">
        <w:t xml:space="preserve"> (see Figure </w:t>
      </w:r>
      <w:r w:rsidR="005C0001">
        <w:t>46, above</w:t>
      </w:r>
      <w:r w:rsidR="00727DA7">
        <w:t>)</w:t>
      </w:r>
      <w:r w:rsidR="008C3D18">
        <w:t xml:space="preserve">. </w:t>
      </w:r>
      <w:r w:rsidR="00A54397">
        <w:t xml:space="preserve">As such, shifts in the Beveridge Curve </w:t>
      </w:r>
      <w:r w:rsidR="003512D0">
        <w:t xml:space="preserve">can be attributed to </w:t>
      </w:r>
      <w:r w:rsidR="000A7411">
        <w:t xml:space="preserve">changes in labour market </w:t>
      </w:r>
      <w:r w:rsidR="00EE0952">
        <w:t>‘churn’</w:t>
      </w:r>
      <w:r w:rsidR="00D03E3C">
        <w:t xml:space="preserve"> (including </w:t>
      </w:r>
      <w:r w:rsidR="007B6A92">
        <w:t xml:space="preserve">job loss, quits </w:t>
      </w:r>
      <w:r w:rsidR="00195C1B">
        <w:t xml:space="preserve">– including </w:t>
      </w:r>
      <w:r w:rsidR="00835BE3">
        <w:t>workers moving between jobs</w:t>
      </w:r>
      <w:r w:rsidR="007A038C">
        <w:t xml:space="preserve"> – </w:t>
      </w:r>
      <w:r w:rsidR="007B6A92">
        <w:t>and job creation)</w:t>
      </w:r>
      <w:r w:rsidR="00FC342B">
        <w:t>, growth in the labour force (new entrants into the labour force) and the search and matching process (</w:t>
      </w:r>
      <w:r w:rsidR="00E9009A">
        <w:t xml:space="preserve">job </w:t>
      </w:r>
      <w:r w:rsidR="00D03E3C">
        <w:t>matching efficiency).</w:t>
      </w:r>
      <w:r w:rsidR="005A4602" w:rsidRPr="005A4602">
        <w:rPr>
          <w:rStyle w:val="FootnoteReference"/>
          <w:b/>
          <w:sz w:val="20"/>
        </w:rPr>
        <w:t xml:space="preserve"> </w:t>
      </w:r>
    </w:p>
    <w:p w14:paraId="4E9F8349" w14:textId="1B428BFC" w:rsidR="00A0184E" w:rsidRDefault="00BB2AD1" w:rsidP="00023731">
      <w:pPr>
        <w:pStyle w:val="BodyText"/>
      </w:pPr>
      <w:r>
        <w:t xml:space="preserve">JSA’s </w:t>
      </w:r>
      <w:r w:rsidR="00F73BBA">
        <w:rPr>
          <w:i/>
          <w:iCs/>
        </w:rPr>
        <w:t xml:space="preserve">MUVER </w:t>
      </w:r>
      <w:r w:rsidR="006E4573">
        <w:t>model</w:t>
      </w:r>
      <w:r w:rsidR="00234B15">
        <w:t>, however,</w:t>
      </w:r>
      <w:r w:rsidR="006E4573">
        <w:t xml:space="preserve"> is based on the production function concept with the numbers of unemployed (supply) and vacancies (demand) taken as ‘inputs’ and the flow of newly matched worker-employer pairs as the ‘output’. </w:t>
      </w:r>
      <w:r w:rsidR="005D3B84">
        <w:t xml:space="preserve">This model is a </w:t>
      </w:r>
      <w:r w:rsidR="00E57E69">
        <w:t xml:space="preserve">well-regarded economic framework first theorised by </w:t>
      </w:r>
      <w:r w:rsidR="002B46F0">
        <w:t xml:space="preserve">Nobel-prize winners </w:t>
      </w:r>
      <w:r w:rsidR="00E57E69">
        <w:t>Dia</w:t>
      </w:r>
      <w:r w:rsidR="002B46F0">
        <w:t xml:space="preserve">mond, </w:t>
      </w:r>
      <w:r w:rsidR="002B46F0" w:rsidRPr="002B46F0">
        <w:t>Mortensen and Pissarides</w:t>
      </w:r>
      <w:r w:rsidR="00E57E69">
        <w:t>.</w:t>
      </w:r>
      <w:r w:rsidR="005D3B84">
        <w:t xml:space="preserve"> </w:t>
      </w:r>
      <w:r w:rsidR="006E4573">
        <w:t>The resulting matching function describes the rate at which successful job matches ‘output’ are created from the stocks of ‘inputs’ and the relative weights of each input (labour demand and supply) in the job matching process</w:t>
      </w:r>
      <w:r w:rsidR="00286EAF">
        <w:t xml:space="preserve"> (job matching efficiency)</w:t>
      </w:r>
      <w:r w:rsidR="0013087C">
        <w:t>.</w:t>
      </w:r>
      <w:r w:rsidR="00262A00">
        <w:t xml:space="preserve"> </w:t>
      </w:r>
    </w:p>
    <w:p w14:paraId="290D585A" w14:textId="207BDB9B" w:rsidR="00B062E8" w:rsidRDefault="00B062E8" w:rsidP="00B062E8">
      <w:pPr>
        <w:pStyle w:val="Heading4"/>
      </w:pPr>
      <w:r>
        <w:t>Estimates of job matching efficiency</w:t>
      </w:r>
    </w:p>
    <w:p w14:paraId="74C23347" w14:textId="756A28A4" w:rsidR="009C342A" w:rsidRDefault="00930F7C" w:rsidP="00012291">
      <w:pPr>
        <w:pStyle w:val="BodyText"/>
      </w:pPr>
      <w:r>
        <w:t>When e</w:t>
      </w:r>
      <w:r w:rsidR="00514FCE">
        <w:t xml:space="preserve">xamining </w:t>
      </w:r>
      <w:r w:rsidR="006F5EFC">
        <w:t>the</w:t>
      </w:r>
      <w:r w:rsidR="007C7124">
        <w:t xml:space="preserve"> experimental estimates of </w:t>
      </w:r>
      <w:r w:rsidR="00411165">
        <w:t xml:space="preserve">average </w:t>
      </w:r>
      <w:r w:rsidR="00AF6EEA">
        <w:t xml:space="preserve">matching efficiency </w:t>
      </w:r>
      <w:r w:rsidR="00A52B95">
        <w:t>for Regional Australia</w:t>
      </w:r>
      <w:r w:rsidR="00AF6EEA">
        <w:t xml:space="preserve"> as a whole</w:t>
      </w:r>
      <w:r>
        <w:t xml:space="preserve">, </w:t>
      </w:r>
      <w:r w:rsidR="00FB797F">
        <w:t xml:space="preserve">we </w:t>
      </w:r>
      <w:r w:rsidR="00AF6EEA">
        <w:t xml:space="preserve">find </w:t>
      </w:r>
      <w:r w:rsidR="001A056E">
        <w:t>evidence that</w:t>
      </w:r>
      <w:r w:rsidR="00AF6EEA">
        <w:t xml:space="preserve"> job matching efficiency</w:t>
      </w:r>
      <w:r w:rsidR="002D5891">
        <w:t xml:space="preserve"> has fallen in Regional Australia in recent years, from a recent peak of 83.</w:t>
      </w:r>
      <w:r w:rsidR="00C35847">
        <w:t>4</w:t>
      </w:r>
      <w:r w:rsidR="002D5891">
        <w:t>% in</w:t>
      </w:r>
      <w:r w:rsidR="00C35847">
        <w:t xml:space="preserve"> 2023, to 80.7% in </w:t>
      </w:r>
      <w:r w:rsidR="000A5C0C">
        <w:t xml:space="preserve">2025. This is below the rate recorded in the Major Cities (83.0%), although the gap has remained relatively stable </w:t>
      </w:r>
      <w:r w:rsidR="00F50BF5">
        <w:t xml:space="preserve">in recent years. </w:t>
      </w:r>
      <w:r w:rsidR="00411165">
        <w:t xml:space="preserve"> </w:t>
      </w:r>
      <w:r w:rsidR="00FB797F">
        <w:t xml:space="preserve"> </w:t>
      </w:r>
    </w:p>
    <w:p w14:paraId="2FE67653" w14:textId="147AFDFC" w:rsidR="0091415B" w:rsidRPr="002D0DA2" w:rsidRDefault="0091415B" w:rsidP="0091415B">
      <w:pPr>
        <w:pStyle w:val="Caption"/>
      </w:pPr>
      <w:bookmarkStart w:id="153" w:name="_Toc201916613"/>
      <w:r>
        <w:lastRenderedPageBreak/>
        <w:t xml:space="preserve">Figure </w:t>
      </w:r>
      <w:r>
        <w:fldChar w:fldCharType="begin"/>
      </w:r>
      <w:r>
        <w:instrText xml:space="preserve"> SEQ Figure \* ARABIC </w:instrText>
      </w:r>
      <w:r>
        <w:fldChar w:fldCharType="separate"/>
      </w:r>
      <w:r w:rsidR="00471863">
        <w:rPr>
          <w:noProof/>
        </w:rPr>
        <w:t>47</w:t>
      </w:r>
      <w:r>
        <w:fldChar w:fldCharType="end"/>
      </w:r>
      <w:r>
        <w:t xml:space="preserve">: JSA experimental estimates of matching efficiency </w:t>
      </w:r>
      <w:r w:rsidRPr="002D0DA2">
        <w:t>(</w:t>
      </w:r>
      <w:r>
        <w:rPr>
          <w:i/>
          <w:iCs/>
        </w:rPr>
        <w:t xml:space="preserve">MUVER </w:t>
      </w:r>
      <w:r w:rsidRPr="002D0DA2">
        <w:t>model)</w:t>
      </w:r>
      <w:r>
        <w:rPr>
          <w:i/>
          <w:iCs/>
        </w:rPr>
        <w:t xml:space="preserve">, </w:t>
      </w:r>
      <w:r w:rsidR="00E764C4" w:rsidRPr="002D0DA2">
        <w:t>Major City and Regional Australia</w:t>
      </w:r>
      <w:bookmarkEnd w:id="153"/>
    </w:p>
    <w:p w14:paraId="375613E9" w14:textId="70DE4C5A" w:rsidR="0091415B" w:rsidRPr="00C2598B" w:rsidRDefault="002D0DA2" w:rsidP="0091415B">
      <w:r>
        <w:rPr>
          <w:noProof/>
        </w:rPr>
        <w:drawing>
          <wp:inline distT="0" distB="0" distL="0" distR="0" wp14:anchorId="4922AE9B" wp14:editId="41CF3A19">
            <wp:extent cx="5730875" cy="2871470"/>
            <wp:effectExtent l="0" t="0" r="3175" b="5080"/>
            <wp:docPr id="1391014048" name="Picture 60" descr="A line chart that shows JSA's experimental estimates of matching efficiency (MUVER model) by Major City and Regional Australia. The chart provides evidence that job matching efficiency has fallen in Regional Australia in recent years, although the gap to the Major Cities has remained s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14048" name="Picture 60" descr="A line chart that shows JSA's experimental estimates of matching efficiency (MUVER model) by Major City and Regional Australia. The chart provides evidence that job matching efficiency has fallen in Regional Australia in recent years, although the gap to the Major Cities has remained stable. "/>
                    <pic:cNvPicPr>
                      <a:picLocks noChangeAspect="1" noChangeArrowheads="1"/>
                    </pic:cNvPicPr>
                  </pic:nvPicPr>
                  <pic:blipFill>
                    <a:blip r:embed="rId80" cstate="email">
                      <a:extLst>
                        <a:ext uri="{28A0092B-C50C-407E-A947-70E740481C1C}">
                          <a14:useLocalDpi xmlns:a14="http://schemas.microsoft.com/office/drawing/2010/main" val="0"/>
                        </a:ext>
                      </a:extLst>
                    </a:blip>
                    <a:srcRect/>
                    <a:stretch>
                      <a:fillRect/>
                    </a:stretch>
                  </pic:blipFill>
                  <pic:spPr bwMode="auto">
                    <a:xfrm>
                      <a:off x="0" y="0"/>
                      <a:ext cx="5730875" cy="2871470"/>
                    </a:xfrm>
                    <a:prstGeom prst="rect">
                      <a:avLst/>
                    </a:prstGeom>
                    <a:noFill/>
                  </pic:spPr>
                </pic:pic>
              </a:graphicData>
            </a:graphic>
          </wp:inline>
        </w:drawing>
      </w:r>
    </w:p>
    <w:p w14:paraId="7C46AF9A" w14:textId="61081887" w:rsidR="0091415B" w:rsidRPr="00CB0C7A" w:rsidRDefault="0091415B" w:rsidP="0091415B">
      <w:pPr>
        <w:spacing w:after="0" w:line="259" w:lineRule="auto"/>
        <w:rPr>
          <w:rFonts w:eastAsia="Aptos" w:cs="Arial"/>
          <w:i/>
          <w:iCs/>
          <w:sz w:val="18"/>
          <w:szCs w:val="18"/>
        </w:rPr>
      </w:pPr>
      <w:r w:rsidRPr="00CB0C7A">
        <w:rPr>
          <w:rFonts w:eastAsia="Aptos" w:cs="Arial"/>
          <w:i/>
          <w:iCs/>
          <w:sz w:val="18"/>
          <w:szCs w:val="18"/>
        </w:rPr>
        <w:t xml:space="preserve">Source: </w:t>
      </w:r>
      <w:r>
        <w:rPr>
          <w:rFonts w:eastAsia="Aptos" w:cs="Arial"/>
          <w:i/>
          <w:iCs/>
          <w:sz w:val="18"/>
          <w:szCs w:val="18"/>
        </w:rPr>
        <w:t>JSA experimental estimates of matching efficiency by region, 202</w:t>
      </w:r>
      <w:r w:rsidR="00E114F0">
        <w:rPr>
          <w:rFonts w:eastAsia="Aptos" w:cs="Arial"/>
          <w:i/>
          <w:iCs/>
          <w:sz w:val="18"/>
          <w:szCs w:val="18"/>
        </w:rPr>
        <w:t>5</w:t>
      </w:r>
      <w:r w:rsidR="003726E0">
        <w:rPr>
          <w:rFonts w:eastAsia="Aptos" w:cs="Arial"/>
          <w:i/>
          <w:iCs/>
          <w:sz w:val="18"/>
          <w:szCs w:val="18"/>
        </w:rPr>
        <w:t xml:space="preserve">, </w:t>
      </w:r>
      <w:r w:rsidR="003726E0" w:rsidRPr="00CB0C7A">
        <w:rPr>
          <w:rFonts w:eastAsia="Aptos" w:cs="Arial"/>
          <w:i/>
          <w:iCs/>
          <w:sz w:val="18"/>
          <w:szCs w:val="18"/>
        </w:rPr>
        <w:t xml:space="preserve">and ABS, Labour Force, Detailed, </w:t>
      </w:r>
      <w:r w:rsidR="003726E0">
        <w:rPr>
          <w:rFonts w:eastAsia="Aptos" w:cs="Arial"/>
          <w:i/>
          <w:iCs/>
          <w:sz w:val="18"/>
          <w:szCs w:val="18"/>
        </w:rPr>
        <w:t>6-month average of original</w:t>
      </w:r>
      <w:r w:rsidR="003726E0" w:rsidRPr="00CB0C7A">
        <w:rPr>
          <w:rFonts w:eastAsia="Aptos" w:cs="Arial"/>
          <w:i/>
          <w:iCs/>
          <w:sz w:val="18"/>
          <w:szCs w:val="18"/>
        </w:rPr>
        <w:t xml:space="preserve"> estimates</w:t>
      </w:r>
      <w:r w:rsidR="003726E0">
        <w:rPr>
          <w:rFonts w:eastAsia="Aptos" w:cs="Arial"/>
          <w:i/>
          <w:iCs/>
          <w:sz w:val="18"/>
          <w:szCs w:val="18"/>
        </w:rPr>
        <w:t>, March 2025</w:t>
      </w:r>
      <w:r w:rsidRPr="00CB0C7A">
        <w:rPr>
          <w:rFonts w:eastAsia="Aptos" w:cs="Arial"/>
          <w:i/>
          <w:iCs/>
          <w:sz w:val="18"/>
          <w:szCs w:val="18"/>
        </w:rPr>
        <w:t xml:space="preserve"> </w:t>
      </w:r>
    </w:p>
    <w:p w14:paraId="6C614448" w14:textId="18A5C616" w:rsidR="00325305" w:rsidRDefault="00302D46" w:rsidP="00012291">
      <w:pPr>
        <w:pStyle w:val="BodyText"/>
      </w:pPr>
      <w:r>
        <w:t xml:space="preserve">While the </w:t>
      </w:r>
      <w:r w:rsidR="00F25F6E">
        <w:t xml:space="preserve">average results can provide an indication of trends </w:t>
      </w:r>
      <w:r w:rsidR="00382D1D">
        <w:t>for Regional Australia as a whole</w:t>
      </w:r>
      <w:r w:rsidR="00F25F6E">
        <w:t xml:space="preserve">, it hides the significant variation </w:t>
      </w:r>
      <w:r w:rsidR="001F1A3A">
        <w:t xml:space="preserve">in </w:t>
      </w:r>
      <w:r w:rsidR="00EB7E42">
        <w:t xml:space="preserve">the efficiency </w:t>
      </w:r>
      <w:r w:rsidR="00FB2E31">
        <w:t xml:space="preserve">of the labour market in matching unemployed persons with job vacancies </w:t>
      </w:r>
      <w:r w:rsidR="00382D1D">
        <w:t>within</w:t>
      </w:r>
      <w:r w:rsidR="00885529">
        <w:t xml:space="preserve"> Regional Australia. </w:t>
      </w:r>
      <w:r w:rsidR="004316E0">
        <w:t xml:space="preserve">For instance, </w:t>
      </w:r>
      <w:r w:rsidR="004E1526">
        <w:t xml:space="preserve">while Regional </w:t>
      </w:r>
      <w:r w:rsidR="00B81DD3">
        <w:t>Western Australia</w:t>
      </w:r>
      <w:r w:rsidR="007E78AB">
        <w:t xml:space="preserve"> and </w:t>
      </w:r>
      <w:r w:rsidR="00BF5103">
        <w:t xml:space="preserve">South Australia </w:t>
      </w:r>
      <w:r w:rsidR="00FB5808">
        <w:t xml:space="preserve">appear to be relatively inefficient labour markets (with </w:t>
      </w:r>
      <w:r w:rsidR="005B48B1">
        <w:t xml:space="preserve">a relatively low rate of job matching between </w:t>
      </w:r>
      <w:r w:rsidR="0041511D">
        <w:t xml:space="preserve">the </w:t>
      </w:r>
      <w:r w:rsidR="005B48B1">
        <w:t xml:space="preserve">unemployed and </w:t>
      </w:r>
      <w:r w:rsidR="0041511D">
        <w:t>job vacancies),</w:t>
      </w:r>
      <w:r w:rsidR="00F711DD">
        <w:t xml:space="preserve"> the results show that</w:t>
      </w:r>
      <w:r w:rsidR="00B75D4E">
        <w:t xml:space="preserve"> matching efficiency is higher for</w:t>
      </w:r>
      <w:r w:rsidR="00F711DD">
        <w:t xml:space="preserve"> Regional </w:t>
      </w:r>
      <w:r w:rsidR="003E6FD3">
        <w:t>Victoria</w:t>
      </w:r>
      <w:r w:rsidR="00EC3725">
        <w:t>, Queensland and New South Wales</w:t>
      </w:r>
      <w:r w:rsidR="00B75D4E">
        <w:t xml:space="preserve">. </w:t>
      </w:r>
      <w:r w:rsidR="00F711DD">
        <w:t xml:space="preserve"> </w:t>
      </w:r>
    </w:p>
    <w:p w14:paraId="496C0B5D" w14:textId="217FE506" w:rsidR="00765881" w:rsidRDefault="00447CE7" w:rsidP="00447CE7">
      <w:pPr>
        <w:pStyle w:val="Caption"/>
        <w:rPr>
          <w:i/>
        </w:rPr>
      </w:pPr>
      <w:bookmarkStart w:id="154" w:name="_Toc201916614"/>
      <w:r>
        <w:t xml:space="preserve">Figure </w:t>
      </w:r>
      <w:r>
        <w:fldChar w:fldCharType="begin"/>
      </w:r>
      <w:r>
        <w:instrText xml:space="preserve"> SEQ Figure \* ARABIC </w:instrText>
      </w:r>
      <w:r>
        <w:fldChar w:fldCharType="separate"/>
      </w:r>
      <w:r w:rsidR="00471863">
        <w:rPr>
          <w:noProof/>
        </w:rPr>
        <w:t>48</w:t>
      </w:r>
      <w:r>
        <w:fldChar w:fldCharType="end"/>
      </w:r>
      <w:r w:rsidR="00765881">
        <w:t xml:space="preserve">: JSA experimental </w:t>
      </w:r>
      <w:r w:rsidR="00C2598B">
        <w:t>estimates of matching efficiency (</w:t>
      </w:r>
      <w:r w:rsidR="00765881">
        <w:rPr>
          <w:i/>
          <w:iCs/>
        </w:rPr>
        <w:t>MUVER model</w:t>
      </w:r>
      <w:r w:rsidR="00C2598B">
        <w:rPr>
          <w:i/>
          <w:iCs/>
        </w:rPr>
        <w:t>), 202</w:t>
      </w:r>
      <w:r w:rsidR="00E114F0">
        <w:rPr>
          <w:i/>
          <w:iCs/>
        </w:rPr>
        <w:t>5</w:t>
      </w:r>
      <w:bookmarkEnd w:id="154"/>
    </w:p>
    <w:p w14:paraId="79DAA394" w14:textId="5768AE29" w:rsidR="00C2598B" w:rsidRPr="00C2598B" w:rsidRDefault="002D0DA2" w:rsidP="00C2598B">
      <w:r>
        <w:rPr>
          <w:noProof/>
        </w:rPr>
        <w:drawing>
          <wp:inline distT="0" distB="0" distL="0" distR="0" wp14:anchorId="2B9A82F6" wp14:editId="7D23315B">
            <wp:extent cx="5730875" cy="2877820"/>
            <wp:effectExtent l="0" t="0" r="3175" b="0"/>
            <wp:docPr id="1889504939" name="Picture 61" descr="A column chart that shows JSA's experimental estimates of matching efficiency (MUVER model), 2025. The chart shows that while Regional Western Australia and South Australia appear to be relatively inefficient labour markets (with a relatively low rate of job matching between the unemployed and job vacancies), matching efficiency is higher for Regional Victoria, Queensland and New South W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04939" name="Picture 61" descr="A column chart that shows JSA's experimental estimates of matching efficiency (MUVER model), 2025. The chart shows that while Regional Western Australia and South Australia appear to be relatively inefficient labour markets (with a relatively low rate of job matching between the unemployed and job vacancies), matching efficiency is higher for Regional Victoria, Queensland and New South Wales.  "/>
                    <pic:cNvPicPr>
                      <a:picLocks noChangeAspect="1" noChangeArrowheads="1"/>
                    </pic:cNvPicPr>
                  </pic:nvPicPr>
                  <pic:blipFill>
                    <a:blip r:embed="rId81" cstate="email">
                      <a:extLst>
                        <a:ext uri="{28A0092B-C50C-407E-A947-70E740481C1C}">
                          <a14:useLocalDpi xmlns:a14="http://schemas.microsoft.com/office/drawing/2010/main" val="0"/>
                        </a:ext>
                      </a:extLst>
                    </a:blip>
                    <a:srcRect/>
                    <a:stretch>
                      <a:fillRect/>
                    </a:stretch>
                  </pic:blipFill>
                  <pic:spPr bwMode="auto">
                    <a:xfrm>
                      <a:off x="0" y="0"/>
                      <a:ext cx="5730875" cy="2877820"/>
                    </a:xfrm>
                    <a:prstGeom prst="rect">
                      <a:avLst/>
                    </a:prstGeom>
                    <a:noFill/>
                  </pic:spPr>
                </pic:pic>
              </a:graphicData>
            </a:graphic>
          </wp:inline>
        </w:drawing>
      </w:r>
    </w:p>
    <w:p w14:paraId="50FCDA28" w14:textId="54FF3837" w:rsidR="00765881" w:rsidRPr="00CB0C7A" w:rsidRDefault="00765881" w:rsidP="00765881">
      <w:pPr>
        <w:spacing w:after="0" w:line="259" w:lineRule="auto"/>
        <w:rPr>
          <w:rFonts w:eastAsia="Aptos" w:cs="Arial"/>
          <w:i/>
          <w:iCs/>
          <w:sz w:val="18"/>
          <w:szCs w:val="18"/>
        </w:rPr>
      </w:pPr>
      <w:r w:rsidRPr="00CB0C7A">
        <w:rPr>
          <w:rFonts w:eastAsia="Aptos" w:cs="Arial"/>
          <w:i/>
          <w:iCs/>
          <w:sz w:val="18"/>
          <w:szCs w:val="18"/>
        </w:rPr>
        <w:t xml:space="preserve">Source: </w:t>
      </w:r>
      <w:r>
        <w:rPr>
          <w:rFonts w:eastAsia="Aptos" w:cs="Arial"/>
          <w:i/>
          <w:iCs/>
          <w:sz w:val="18"/>
          <w:szCs w:val="18"/>
        </w:rPr>
        <w:t>JSA experimental estimates of matching efficiency by region, 202</w:t>
      </w:r>
      <w:r w:rsidR="00E114F0">
        <w:rPr>
          <w:rFonts w:eastAsia="Aptos" w:cs="Arial"/>
          <w:i/>
          <w:iCs/>
          <w:sz w:val="18"/>
          <w:szCs w:val="18"/>
        </w:rPr>
        <w:t>5</w:t>
      </w:r>
      <w:r w:rsidR="003726E0">
        <w:rPr>
          <w:rFonts w:eastAsia="Aptos" w:cs="Arial"/>
          <w:i/>
          <w:iCs/>
          <w:sz w:val="18"/>
          <w:szCs w:val="18"/>
        </w:rPr>
        <w:t xml:space="preserve">, </w:t>
      </w:r>
      <w:r w:rsidR="003726E0" w:rsidRPr="00CB0C7A">
        <w:rPr>
          <w:rFonts w:eastAsia="Aptos" w:cs="Arial"/>
          <w:i/>
          <w:iCs/>
          <w:sz w:val="18"/>
          <w:szCs w:val="18"/>
        </w:rPr>
        <w:t xml:space="preserve">and ABS, Labour Force, Detailed, </w:t>
      </w:r>
      <w:r w:rsidR="003726E0">
        <w:rPr>
          <w:rFonts w:eastAsia="Aptos" w:cs="Arial"/>
          <w:i/>
          <w:iCs/>
          <w:sz w:val="18"/>
          <w:szCs w:val="18"/>
        </w:rPr>
        <w:t>6-month average of original</w:t>
      </w:r>
      <w:r w:rsidR="003726E0" w:rsidRPr="00CB0C7A">
        <w:rPr>
          <w:rFonts w:eastAsia="Aptos" w:cs="Arial"/>
          <w:i/>
          <w:iCs/>
          <w:sz w:val="18"/>
          <w:szCs w:val="18"/>
        </w:rPr>
        <w:t xml:space="preserve"> estimates</w:t>
      </w:r>
      <w:r w:rsidR="003726E0">
        <w:rPr>
          <w:rFonts w:eastAsia="Aptos" w:cs="Arial"/>
          <w:i/>
          <w:iCs/>
          <w:sz w:val="18"/>
          <w:szCs w:val="18"/>
        </w:rPr>
        <w:t>, March 2025</w:t>
      </w:r>
      <w:r w:rsidRPr="00CB0C7A">
        <w:rPr>
          <w:rFonts w:eastAsia="Aptos" w:cs="Arial"/>
          <w:i/>
          <w:iCs/>
          <w:sz w:val="18"/>
          <w:szCs w:val="18"/>
        </w:rPr>
        <w:t xml:space="preserve"> </w:t>
      </w:r>
    </w:p>
    <w:p w14:paraId="568F1D7B" w14:textId="5E2DF9BE" w:rsidR="00765881" w:rsidRDefault="00765881" w:rsidP="007106C1"/>
    <w:p w14:paraId="7D326017" w14:textId="11877E46" w:rsidR="00533EF5" w:rsidRDefault="00B9482E" w:rsidP="00012291">
      <w:pPr>
        <w:pStyle w:val="BodyText"/>
      </w:pPr>
      <w:r>
        <w:lastRenderedPageBreak/>
        <w:t xml:space="preserve">While these findings </w:t>
      </w:r>
      <w:r w:rsidR="001D12E3">
        <w:t xml:space="preserve">of job matching efficiency </w:t>
      </w:r>
      <w:r w:rsidR="00E35B5A">
        <w:t xml:space="preserve">from JSA’s </w:t>
      </w:r>
      <w:r w:rsidR="00E35B5A">
        <w:rPr>
          <w:i/>
          <w:iCs/>
        </w:rPr>
        <w:t xml:space="preserve">MUVER </w:t>
      </w:r>
      <w:r w:rsidR="00E35B5A" w:rsidRPr="00E35B5A">
        <w:t>model</w:t>
      </w:r>
      <w:r w:rsidR="00E35B5A">
        <w:rPr>
          <w:i/>
          <w:iCs/>
        </w:rPr>
        <w:t xml:space="preserve"> </w:t>
      </w:r>
      <w:r>
        <w:t xml:space="preserve">appear to be at odds with the </w:t>
      </w:r>
      <w:r w:rsidR="00614BA5">
        <w:t xml:space="preserve">results from the </w:t>
      </w:r>
      <w:r>
        <w:t>Beveridge Curve analysis, t</w:t>
      </w:r>
      <w:r w:rsidR="00631CE8">
        <w:t>here</w:t>
      </w:r>
      <w:r w:rsidR="00533EF5">
        <w:t xml:space="preserve"> are a num</w:t>
      </w:r>
      <w:r w:rsidR="00BB10DB">
        <w:t>ber of limitations and gaps in the analysis that are worth noting</w:t>
      </w:r>
      <w:r w:rsidR="0024775F">
        <w:t xml:space="preserve"> </w:t>
      </w:r>
      <w:r w:rsidR="00BB10DB">
        <w:t xml:space="preserve">when interpreting the experimental estimates of matching efficiency from the </w:t>
      </w:r>
      <w:r w:rsidR="00BB10DB">
        <w:rPr>
          <w:i/>
          <w:iCs/>
        </w:rPr>
        <w:t xml:space="preserve">MUVER </w:t>
      </w:r>
      <w:r w:rsidR="00BB10DB">
        <w:t xml:space="preserve">model. </w:t>
      </w:r>
      <w:r w:rsidR="007237E7">
        <w:t>Particular limitations worth noting include:</w:t>
      </w:r>
    </w:p>
    <w:p w14:paraId="49A5AB56" w14:textId="137F3A45" w:rsidR="007237E7" w:rsidRDefault="007237E7" w:rsidP="00D16B99">
      <w:pPr>
        <w:pStyle w:val="BodyText"/>
        <w:numPr>
          <w:ilvl w:val="0"/>
          <w:numId w:val="40"/>
        </w:numPr>
      </w:pPr>
      <w:r w:rsidRPr="00BB36C7">
        <w:rPr>
          <w:b/>
          <w:bCs/>
        </w:rPr>
        <w:t xml:space="preserve">Transitions in the labour market </w:t>
      </w:r>
      <w:r w:rsidR="00BB36C7" w:rsidRPr="00BB36C7">
        <w:rPr>
          <w:b/>
          <w:bCs/>
        </w:rPr>
        <w:t>are difficult to measure</w:t>
      </w:r>
      <w:r w:rsidR="00250C9B">
        <w:t>, particularly those with a short job tenure</w:t>
      </w:r>
      <w:r w:rsidR="00591370">
        <w:t xml:space="preserve">, </w:t>
      </w:r>
      <w:r w:rsidR="00C9226F">
        <w:t>a</w:t>
      </w:r>
      <w:r w:rsidR="004B593C">
        <w:t xml:space="preserve">nd those </w:t>
      </w:r>
      <w:r w:rsidR="00F41B1B">
        <w:t>that are difficult to observ</w:t>
      </w:r>
      <w:r w:rsidR="007C68D5">
        <w:t>e (such as internal with-in form movements and promotions).</w:t>
      </w:r>
    </w:p>
    <w:p w14:paraId="75E2051F" w14:textId="10A9D3A2" w:rsidR="00DD27A9" w:rsidRDefault="00DD27A9" w:rsidP="00D16B99">
      <w:pPr>
        <w:pStyle w:val="BodyText"/>
        <w:numPr>
          <w:ilvl w:val="0"/>
          <w:numId w:val="40"/>
        </w:numPr>
      </w:pPr>
      <w:r>
        <w:rPr>
          <w:b/>
          <w:bCs/>
        </w:rPr>
        <w:t xml:space="preserve">Unemployment is a narrow </w:t>
      </w:r>
      <w:r w:rsidR="00273E43">
        <w:rPr>
          <w:b/>
          <w:bCs/>
        </w:rPr>
        <w:t>way to consider/analyse</w:t>
      </w:r>
      <w:r>
        <w:rPr>
          <w:b/>
          <w:bCs/>
        </w:rPr>
        <w:t xml:space="preserve"> labour supply</w:t>
      </w:r>
      <w:r>
        <w:t xml:space="preserve"> given a large number of movements into employment also come from those not in the labour force</w:t>
      </w:r>
      <w:r w:rsidR="004E5C2D">
        <w:t xml:space="preserve"> (labour force growth).</w:t>
      </w:r>
    </w:p>
    <w:p w14:paraId="4A0986E4" w14:textId="0FDD45AF" w:rsidR="004E5C2D" w:rsidRPr="00BB10DB" w:rsidRDefault="004E5C2D" w:rsidP="00D16B99">
      <w:pPr>
        <w:pStyle w:val="BodyText"/>
        <w:numPr>
          <w:ilvl w:val="0"/>
          <w:numId w:val="40"/>
        </w:numPr>
      </w:pPr>
      <w:r>
        <w:rPr>
          <w:b/>
          <w:bCs/>
        </w:rPr>
        <w:t>The analysis does not attempt to evaluate the quality of a match</w:t>
      </w:r>
      <w:r w:rsidR="000075D6">
        <w:rPr>
          <w:b/>
          <w:bCs/>
        </w:rPr>
        <w:t xml:space="preserve">. </w:t>
      </w:r>
      <w:r w:rsidR="000075D6">
        <w:t xml:space="preserve">Instead, he </w:t>
      </w:r>
      <w:r w:rsidR="000075D6">
        <w:rPr>
          <w:i/>
          <w:iCs/>
        </w:rPr>
        <w:t>MUVER</w:t>
      </w:r>
      <w:r w:rsidR="000075D6">
        <w:t xml:space="preserve"> model focuses on the level (or rate) of matching occurring</w:t>
      </w:r>
      <w:r w:rsidR="00765881">
        <w:t>.</w:t>
      </w:r>
    </w:p>
    <w:p w14:paraId="776C353D" w14:textId="77777777" w:rsidR="007C2E92" w:rsidRDefault="00EA30E2" w:rsidP="009C7F87">
      <w:pPr>
        <w:spacing w:before="120" w:after="240"/>
        <w:rPr>
          <w:b/>
          <w:color w:val="4B0885"/>
          <w:sz w:val="26"/>
          <w:szCs w:val="26"/>
        </w:rPr>
      </w:pPr>
      <w:r w:rsidRPr="00993248">
        <w:rPr>
          <w:b/>
          <w:color w:val="4B0885"/>
          <w:sz w:val="26"/>
          <w:szCs w:val="26"/>
        </w:rPr>
        <w:t>Summary</w:t>
      </w:r>
    </w:p>
    <w:p w14:paraId="4EC52787" w14:textId="77777777" w:rsidR="00566420" w:rsidRDefault="00566420" w:rsidP="00566420">
      <w:pPr>
        <w:pStyle w:val="BodyText"/>
      </w:pPr>
      <w:r>
        <w:t xml:space="preserve">Efficiency, in the context of labour markets, can be thought of as being a measure of how successful the labour market is at matching available jobseekers to available jobs. In an efficient labour market, employers fill vacancies in a timely manner, and those who are unemployed do not remain out of work for long. </w:t>
      </w:r>
    </w:p>
    <w:p w14:paraId="7C8A4EDD" w14:textId="77777777" w:rsidR="00566420" w:rsidRPr="009C7F87" w:rsidRDefault="00566420" w:rsidP="00566420">
      <w:pPr>
        <w:pStyle w:val="BodyText"/>
        <w:rPr>
          <w:b/>
          <w:color w:val="4B0885"/>
          <w:sz w:val="26"/>
          <w:szCs w:val="26"/>
        </w:rPr>
      </w:pPr>
      <w:r>
        <w:t xml:space="preserve">However, this is not always the case. Frictions in the labour market arising from disconnects between the skills and location of potential workers with available jobs may hinder the efficiency of the labour market that may hinder the economic welfare and prosperity for all communities across Australia, including for Regional Australia. </w:t>
      </w:r>
    </w:p>
    <w:p w14:paraId="610078E8" w14:textId="7085D229" w:rsidR="00566420" w:rsidRDefault="00566420" w:rsidP="00566420">
      <w:pPr>
        <w:pStyle w:val="BodyText"/>
      </w:pPr>
      <w:r>
        <w:t xml:space="preserve">Combining job vacancies and unemployment data shows that, on average, labour market efficiency may have been more efficient in Regional Australia than in Major City areas since 2019. </w:t>
      </w:r>
    </w:p>
    <w:p w14:paraId="6A2B4999" w14:textId="77777777" w:rsidR="00566420" w:rsidRDefault="00566420" w:rsidP="00566420">
      <w:pPr>
        <w:pStyle w:val="BodyText"/>
      </w:pPr>
      <w:r>
        <w:t>The results may reflect, at least partly, insights from meetings with regional stakeholders and data from JSA’s Survey of Employers who have Recently Advertised which show an increased willingness of employers to fill vacancies with available supply, with on-the-job training and support often enhancing the productivity of the employee over time.</w:t>
      </w:r>
    </w:p>
    <w:p w14:paraId="19B37350" w14:textId="77777777" w:rsidR="00566420" w:rsidRDefault="00566420" w:rsidP="00566420">
      <w:pPr>
        <w:pStyle w:val="BodyText"/>
      </w:pPr>
      <w:r>
        <w:t xml:space="preserve">While the Beveridge Curve is a useful tool to analyse efficiency in the labour market, it cannot, however, be used to unambiguously identify periods of high and low job matching efficiency. In addition to job matching efficiency, shifts in the Beveridge Curve can also be attributed to changes in labour market churn (including job loss, quits and job creation) and growth in the labour force (new entrants into the labour force). </w:t>
      </w:r>
    </w:p>
    <w:p w14:paraId="145B79CA" w14:textId="77777777" w:rsidR="006C13F2" w:rsidRDefault="00566420" w:rsidP="00566420">
      <w:pPr>
        <w:pStyle w:val="BodyText"/>
      </w:pPr>
      <w:r>
        <w:t xml:space="preserve">Further insights on job matching efficiency in the labour market can, however, be derived from JSA’s </w:t>
      </w:r>
      <w:r>
        <w:rPr>
          <w:i/>
          <w:iCs/>
        </w:rPr>
        <w:t xml:space="preserve">MUVER </w:t>
      </w:r>
      <w:r w:rsidRPr="005E47FB">
        <w:t>model</w:t>
      </w:r>
      <w:r>
        <w:t xml:space="preserve"> which uses data from both JSA and the Australian Bureau of Statistics (ABS), to deliver experimental insights on job matching efficiency. Notwithstanding the limitations and gaps in analysis, the results provide evidence that job matching efficiency is lower in Regional Australia than for Major City areas. While experimental, this framework provides important additional insights which would increase and improve with additional development in the methodology. </w:t>
      </w:r>
    </w:p>
    <w:p w14:paraId="504EEA5B" w14:textId="77777777" w:rsidR="006C13F2" w:rsidRDefault="006C13F2">
      <w:pPr>
        <w:spacing w:after="160" w:line="259" w:lineRule="auto"/>
        <w:rPr>
          <w:szCs w:val="20"/>
        </w:rPr>
      </w:pPr>
      <w:r>
        <w:br w:type="page"/>
      </w:r>
    </w:p>
    <w:p w14:paraId="54608094" w14:textId="23E05586" w:rsidR="006C13F2" w:rsidRPr="000E789D" w:rsidRDefault="00FB7E2F" w:rsidP="00AD6426">
      <w:pPr>
        <w:pStyle w:val="Heading1unnumbered"/>
      </w:pPr>
      <w:r w:rsidRPr="00FB7E2F">
        <w:rPr>
          <w:noProof/>
        </w:rPr>
        <w:lastRenderedPageBreak/>
        <w:drawing>
          <wp:anchor distT="0" distB="0" distL="114300" distR="114300" simplePos="0" relativeHeight="251960832" behindDoc="1" locked="0" layoutInCell="1" allowOverlap="1" wp14:anchorId="0CC033F4" wp14:editId="490DFC55">
            <wp:simplePos x="0" y="0"/>
            <wp:positionH relativeFrom="page">
              <wp:align>left</wp:align>
            </wp:positionH>
            <wp:positionV relativeFrom="paragraph">
              <wp:posOffset>-808157</wp:posOffset>
            </wp:positionV>
            <wp:extent cx="7564046" cy="10699602"/>
            <wp:effectExtent l="0" t="0" r="0" b="6985"/>
            <wp:wrapNone/>
            <wp:docPr id="119957733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77337" name="Picture 8">
                      <a:extLst>
                        <a:ext uri="{C183D7F6-B498-43B3-948B-1728B52AA6E4}">
                          <adec:decorative xmlns:adec="http://schemas.microsoft.com/office/drawing/2017/decorative" val="1"/>
                        </a:ext>
                      </a:extLst>
                    </pic:cNvPr>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7564046" cy="106996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37F9" w:rsidRPr="000E789D">
        <w:t>Vision and evaluative framework</w:t>
      </w:r>
      <w:r w:rsidR="00FB3CF3" w:rsidRPr="000E789D">
        <w:t xml:space="preserve"> c</w:t>
      </w:r>
      <w:r w:rsidR="0093681C" w:rsidRPr="000E789D">
        <w:t>onclusion</w:t>
      </w:r>
    </w:p>
    <w:p w14:paraId="43194A6C" w14:textId="689E5209" w:rsidR="006E169E" w:rsidRDefault="006E169E">
      <w:pPr>
        <w:spacing w:after="160" w:line="259" w:lineRule="auto"/>
      </w:pPr>
      <w:r>
        <w:br w:type="page"/>
      </w:r>
    </w:p>
    <w:p w14:paraId="1CBE0401" w14:textId="77B32768" w:rsidR="006E169E" w:rsidRPr="006E169E" w:rsidRDefault="00FB3CF3" w:rsidP="000373CB">
      <w:pPr>
        <w:pStyle w:val="Heading11"/>
      </w:pPr>
      <w:bookmarkStart w:id="155" w:name="_Toc201070189"/>
      <w:bookmarkStart w:id="156" w:name="_Toc201919852"/>
      <w:bookmarkStart w:id="157" w:name="_Toc202361880"/>
      <w:r>
        <w:lastRenderedPageBreak/>
        <w:t>Vision and evaluative framework c</w:t>
      </w:r>
      <w:r w:rsidR="000373CB">
        <w:t>onclusion</w:t>
      </w:r>
      <w:bookmarkEnd w:id="155"/>
      <w:bookmarkEnd w:id="156"/>
      <w:bookmarkEnd w:id="157"/>
    </w:p>
    <w:p w14:paraId="38667006" w14:textId="0DCB4C0D" w:rsidR="003F0432" w:rsidRDefault="00AF06AF">
      <w:pPr>
        <w:spacing w:after="160" w:line="259" w:lineRule="auto"/>
        <w:rPr>
          <w:rFonts w:cs="Arial"/>
          <w:color w:val="FFFFFF" w:themeColor="background1"/>
        </w:rPr>
      </w:pPr>
      <w:r w:rsidRPr="00AF06AF">
        <w:rPr>
          <w:rFonts w:eastAsiaTheme="majorEastAsia" w:cstheme="majorBidi"/>
          <w:b/>
          <w:color w:val="4B0885" w:themeColor="text2"/>
          <w:sz w:val="26"/>
          <w:szCs w:val="24"/>
        </w:rPr>
        <w:t>JSA’s vision for jobs and skills system in Regional Australia</w:t>
      </w:r>
    </w:p>
    <w:p w14:paraId="4A3932E6" w14:textId="77777777" w:rsidR="0017438F" w:rsidRDefault="0017438F" w:rsidP="009512FA">
      <w:pPr>
        <w:pStyle w:val="BodyText"/>
      </w:pPr>
      <w:r>
        <w:t>JSA’s vision is for the jobs and skills system in Regional Australia to help realise the aspirations of its people. It’s about ensuring the jobs and skills system in Regional Australia is enabling the right people, to be in the right jobs, at the right time to support individuals, businesses and communities to thrive. Importantly, this vision is intentionally inclusive and applies to all people, regions, industries and employers across Regional Australia.</w:t>
      </w:r>
    </w:p>
    <w:p w14:paraId="0F628E81" w14:textId="77777777" w:rsidR="0017438F" w:rsidRDefault="0017438F" w:rsidP="009512FA">
      <w:pPr>
        <w:pStyle w:val="BodyText"/>
      </w:pPr>
      <w:r>
        <w:t xml:space="preserve">Skills and knowledge acquisition underpins the capability of the workforce. Regional Australia faces a number of challenges, including population decline in some areas, an ageing workforce, pronounced labour shortages and environmental pressures. Furthermore, the mix of skills required in the labour market is changing as the economy evolves. Indeed, over the next 10 years more than 9 out of 10 new jobs expected to be created will require post-secondary qualifications, a significant uplift from current levels. </w:t>
      </w:r>
    </w:p>
    <w:p w14:paraId="1F2B6DD3" w14:textId="77777777" w:rsidR="0017438F" w:rsidRDefault="0017438F" w:rsidP="009512FA">
      <w:pPr>
        <w:pStyle w:val="BodyText"/>
      </w:pPr>
      <w:r>
        <w:t>As such, an effective jobs and skills system in Regional Australia should support the acquisition of the necessary skills to best position individuals to take advantage of opportunities in the labour market and contribute to their local community and culture, both now and into the future.</w:t>
      </w:r>
    </w:p>
    <w:p w14:paraId="05EE9F8B" w14:textId="32486A86" w:rsidR="00AF7D83" w:rsidRDefault="00AF7D83" w:rsidP="0017438F">
      <w:pPr>
        <w:spacing w:after="160" w:line="259" w:lineRule="auto"/>
        <w:rPr>
          <w:rFonts w:cs="Arial"/>
          <w:color w:val="FFFFFF" w:themeColor="background1"/>
        </w:rPr>
      </w:pPr>
      <w:r>
        <w:rPr>
          <w:rFonts w:eastAsiaTheme="majorEastAsia" w:cstheme="majorBidi"/>
          <w:b/>
          <w:color w:val="4B0885" w:themeColor="text2"/>
          <w:sz w:val="26"/>
          <w:szCs w:val="24"/>
        </w:rPr>
        <w:t>Evaluative metrics to measure progress towards the vision</w:t>
      </w:r>
    </w:p>
    <w:p w14:paraId="2019505F" w14:textId="77777777" w:rsidR="00BE531E" w:rsidRPr="00BE531E" w:rsidRDefault="00BE531E" w:rsidP="009512FA">
      <w:pPr>
        <w:pStyle w:val="BodyText"/>
        <w:rPr>
          <w:b/>
          <w:bCs/>
          <w:szCs w:val="22"/>
        </w:rPr>
      </w:pPr>
      <w:r w:rsidRPr="00BE531E">
        <w:t xml:space="preserve">The foundation of JSA’s vision for the jobs and skills system is underpinned by a set of core vision principles. These core principles are not mutually exclusive as the overall vision cannot be achieved without all underlying principles being effectively pursued and satisfied. As such, the core vision principles should support action through the ongoing monitoring and assessment of the effectiveness of the jobs and skills system and its outcome over time, ensuring that people living in Regional Australia are equipped with the skills to take advantage of opportunities in the labour market. </w:t>
      </w:r>
    </w:p>
    <w:p w14:paraId="10A5CAD7" w14:textId="1BBF8F91" w:rsidR="00BE531E" w:rsidRPr="005305DD" w:rsidRDefault="00BE531E" w:rsidP="009512FA">
      <w:pPr>
        <w:pStyle w:val="BodyText"/>
        <w:rPr>
          <w:szCs w:val="22"/>
        </w:rPr>
      </w:pPr>
      <w:r w:rsidRPr="00BE531E">
        <w:t xml:space="preserve">Analysis of key indicators (summarised </w:t>
      </w:r>
      <w:r w:rsidRPr="005305DD">
        <w:t xml:space="preserve">in </w:t>
      </w:r>
      <w:r w:rsidR="00D07DBE" w:rsidRPr="005305DD">
        <w:rPr>
          <w:szCs w:val="22"/>
        </w:rPr>
        <w:t>T</w:t>
      </w:r>
      <w:r w:rsidRPr="005305DD">
        <w:rPr>
          <w:szCs w:val="22"/>
        </w:rPr>
        <w:t>able</w:t>
      </w:r>
      <w:r w:rsidR="00D07DBE" w:rsidRPr="005305DD">
        <w:rPr>
          <w:szCs w:val="22"/>
        </w:rPr>
        <w:t xml:space="preserve"> 30,</w:t>
      </w:r>
      <w:r w:rsidRPr="005305DD">
        <w:rPr>
          <w:szCs w:val="22"/>
        </w:rPr>
        <w:t xml:space="preserve"> below) shows that while some components of the of JSA’s vision for the jobs and skills system in Regional Australia is performing at an appropriate level, demonstrating an area of comparative strength, many indicators show a moderate or significant gap. </w:t>
      </w:r>
    </w:p>
    <w:p w14:paraId="3E910FA3" w14:textId="5ACA350D" w:rsidR="00093791" w:rsidRDefault="00D07DBE" w:rsidP="00D07DBE">
      <w:pPr>
        <w:pStyle w:val="Caption"/>
      </w:pPr>
      <w:r>
        <w:t xml:space="preserve">Table </w:t>
      </w:r>
      <w:r>
        <w:fldChar w:fldCharType="begin"/>
      </w:r>
      <w:r>
        <w:instrText xml:space="preserve"> SEQ Table \* ARABIC </w:instrText>
      </w:r>
      <w:r>
        <w:fldChar w:fldCharType="separate"/>
      </w:r>
      <w:r w:rsidR="00471863">
        <w:rPr>
          <w:noProof/>
        </w:rPr>
        <w:t>30</w:t>
      </w:r>
      <w:r>
        <w:fldChar w:fldCharType="end"/>
      </w:r>
      <w:r w:rsidR="00093791">
        <w:t xml:space="preserve">: </w:t>
      </w:r>
      <w:r w:rsidR="00093791" w:rsidRPr="00497785">
        <w:t>Vision principle contributing metrics, indicators and current assessment for Regional Australia</w:t>
      </w:r>
    </w:p>
    <w:tbl>
      <w:tblPr>
        <w:tblStyle w:val="CustomTablebasic"/>
        <w:tblW w:w="9798" w:type="dxa"/>
        <w:tblInd w:w="-284" w:type="dxa"/>
        <w:tblLook w:val="04A0" w:firstRow="1" w:lastRow="0" w:firstColumn="1" w:lastColumn="0" w:noHBand="0" w:noVBand="1"/>
      </w:tblPr>
      <w:tblGrid>
        <w:gridCol w:w="1373"/>
        <w:gridCol w:w="1957"/>
        <w:gridCol w:w="2860"/>
        <w:gridCol w:w="1123"/>
        <w:gridCol w:w="1123"/>
        <w:gridCol w:w="1362"/>
      </w:tblGrid>
      <w:tr w:rsidR="001809C9" w14:paraId="52506C6A" w14:textId="77777777" w:rsidTr="007E186B">
        <w:trPr>
          <w:cnfStyle w:val="100000000000" w:firstRow="1" w:lastRow="0" w:firstColumn="0" w:lastColumn="0" w:oddVBand="0" w:evenVBand="0" w:oddHBand="0" w:evenHBand="0" w:firstRowFirstColumn="0" w:firstRowLastColumn="0" w:lastRowFirstColumn="0" w:lastRowLastColumn="0"/>
          <w:tblHeader/>
        </w:trPr>
        <w:tc>
          <w:tcPr>
            <w:tcW w:w="1277" w:type="dxa"/>
            <w:vAlign w:val="center"/>
          </w:tcPr>
          <w:p w14:paraId="0CA010B7" w14:textId="77777777" w:rsidR="00093791" w:rsidRDefault="00093791">
            <w:pPr>
              <w:jc w:val="center"/>
            </w:pPr>
            <w:r>
              <w:t>Vision Principle</w:t>
            </w:r>
          </w:p>
        </w:tc>
        <w:tc>
          <w:tcPr>
            <w:tcW w:w="1986" w:type="dxa"/>
            <w:vAlign w:val="center"/>
          </w:tcPr>
          <w:p w14:paraId="73ADF5A6" w14:textId="77777777" w:rsidR="00093791" w:rsidRDefault="00093791">
            <w:pPr>
              <w:jc w:val="center"/>
            </w:pPr>
            <w:r>
              <w:t>Underpinning Vision Principle</w:t>
            </w:r>
          </w:p>
        </w:tc>
        <w:tc>
          <w:tcPr>
            <w:tcW w:w="2921" w:type="dxa"/>
            <w:vAlign w:val="center"/>
          </w:tcPr>
          <w:p w14:paraId="73B5D1D8" w14:textId="77777777" w:rsidR="00093791" w:rsidRDefault="00093791">
            <w:pPr>
              <w:jc w:val="center"/>
            </w:pPr>
            <w:r>
              <w:t>Contributing metric</w:t>
            </w:r>
          </w:p>
        </w:tc>
        <w:tc>
          <w:tcPr>
            <w:tcW w:w="1126" w:type="dxa"/>
          </w:tcPr>
          <w:p w14:paraId="57523584" w14:textId="6EB7C3C7" w:rsidR="003961E1" w:rsidRDefault="003961E1">
            <w:pPr>
              <w:jc w:val="center"/>
            </w:pPr>
            <w:r>
              <w:t>Current rating in Regional Australia</w:t>
            </w:r>
          </w:p>
        </w:tc>
        <w:tc>
          <w:tcPr>
            <w:tcW w:w="1126" w:type="dxa"/>
            <w:vAlign w:val="center"/>
          </w:tcPr>
          <w:p w14:paraId="21404514" w14:textId="4BECB25C" w:rsidR="00093791" w:rsidRDefault="00093791">
            <w:pPr>
              <w:jc w:val="center"/>
            </w:pPr>
            <w:r>
              <w:t xml:space="preserve">Current </w:t>
            </w:r>
            <w:r w:rsidR="00F5060B">
              <w:t>rating</w:t>
            </w:r>
            <w:r>
              <w:t xml:space="preserve"> in Regional Australia</w:t>
            </w:r>
          </w:p>
        </w:tc>
        <w:tc>
          <w:tcPr>
            <w:tcW w:w="1362" w:type="dxa"/>
            <w:vAlign w:val="center"/>
          </w:tcPr>
          <w:p w14:paraId="39A6E29D" w14:textId="77777777" w:rsidR="00093791" w:rsidRDefault="00093791">
            <w:pPr>
              <w:jc w:val="center"/>
            </w:pPr>
            <w:r>
              <w:t>Overall Vision Principle rating</w:t>
            </w:r>
          </w:p>
        </w:tc>
      </w:tr>
      <w:tr w:rsidR="00093791" w14:paraId="25402A51" w14:textId="77777777" w:rsidTr="007414BD">
        <w:trPr>
          <w:trHeight w:val="510"/>
        </w:trPr>
        <w:tc>
          <w:tcPr>
            <w:tcW w:w="1277" w:type="dxa"/>
            <w:vMerge w:val="restart"/>
            <w:shd w:val="clear" w:color="auto" w:fill="FFFFFF" w:themeFill="background1"/>
            <w:vAlign w:val="center"/>
          </w:tcPr>
          <w:p w14:paraId="725BEE01" w14:textId="77777777" w:rsidR="00093791" w:rsidRPr="00566D4F" w:rsidRDefault="00093791">
            <w:pPr>
              <w:rPr>
                <w:rFonts w:cs="Arial"/>
                <w:sz w:val="21"/>
                <w:szCs w:val="21"/>
              </w:rPr>
            </w:pPr>
            <w:r w:rsidRPr="00566D4F">
              <w:rPr>
                <w:rStyle w:val="Characterbold"/>
                <w:rFonts w:cs="Arial"/>
                <w:sz w:val="21"/>
                <w:szCs w:val="21"/>
              </w:rPr>
              <w:t>Addressing Barriers</w:t>
            </w:r>
          </w:p>
        </w:tc>
        <w:tc>
          <w:tcPr>
            <w:tcW w:w="1986" w:type="dxa"/>
            <w:vMerge w:val="restart"/>
            <w:shd w:val="clear" w:color="auto" w:fill="FFFFFF" w:themeFill="background1"/>
            <w:vAlign w:val="center"/>
          </w:tcPr>
          <w:p w14:paraId="4BC691DA" w14:textId="77777777" w:rsidR="00093791" w:rsidRPr="00566D4F" w:rsidRDefault="00093791">
            <w:pPr>
              <w:rPr>
                <w:rFonts w:cs="Arial"/>
                <w:sz w:val="21"/>
                <w:szCs w:val="21"/>
              </w:rPr>
            </w:pPr>
            <w:r w:rsidRPr="00566D4F">
              <w:rPr>
                <w:rStyle w:val="Characteritalic"/>
                <w:rFonts w:cs="Arial"/>
                <w:sz w:val="21"/>
                <w:szCs w:val="21"/>
              </w:rPr>
              <w:t>People with barriers in Regional Australia receive timely high-quality support to move towards participating in education, training and employment</w:t>
            </w:r>
          </w:p>
        </w:tc>
        <w:tc>
          <w:tcPr>
            <w:tcW w:w="2921" w:type="dxa"/>
            <w:shd w:val="clear" w:color="auto" w:fill="FFFFFF" w:themeFill="background1"/>
            <w:vAlign w:val="center"/>
          </w:tcPr>
          <w:p w14:paraId="1BD62AD8" w14:textId="77777777" w:rsidR="00093791" w:rsidRPr="00566D4F" w:rsidRDefault="00093791">
            <w:pPr>
              <w:rPr>
                <w:rFonts w:cs="Arial"/>
                <w:sz w:val="21"/>
                <w:szCs w:val="21"/>
              </w:rPr>
            </w:pPr>
            <w:r w:rsidRPr="00566D4F">
              <w:rPr>
                <w:rFonts w:cs="Arial"/>
                <w:sz w:val="21"/>
                <w:szCs w:val="21"/>
              </w:rPr>
              <w:t>School non-attendance</w:t>
            </w:r>
          </w:p>
        </w:tc>
        <w:tc>
          <w:tcPr>
            <w:tcW w:w="1126" w:type="dxa"/>
            <w:shd w:val="clear" w:color="auto" w:fill="DF5454"/>
            <w:vAlign w:val="center"/>
          </w:tcPr>
          <w:p w14:paraId="3FD151C9" w14:textId="39724211" w:rsidR="00323B7A" w:rsidRPr="007414BD" w:rsidRDefault="00323B7A">
            <w:pPr>
              <w:pStyle w:val="TableBodyText"/>
              <w:jc w:val="center"/>
              <w:rPr>
                <w:rFonts w:cs="Arial"/>
                <w:sz w:val="21"/>
                <w:szCs w:val="21"/>
              </w:rPr>
            </w:pPr>
            <w:r w:rsidRPr="007414BD">
              <w:rPr>
                <w:rFonts w:cs="Arial"/>
                <w:sz w:val="21"/>
                <w:szCs w:val="21"/>
              </w:rPr>
              <w:t>14.6%</w:t>
            </w:r>
          </w:p>
        </w:tc>
        <w:tc>
          <w:tcPr>
            <w:tcW w:w="1126" w:type="dxa"/>
            <w:shd w:val="clear" w:color="auto" w:fill="FFFFFF" w:themeFill="background1"/>
            <w:vAlign w:val="center"/>
          </w:tcPr>
          <w:p w14:paraId="0236615C" w14:textId="2F3D8EC9" w:rsidR="00093791" w:rsidRPr="009749C4" w:rsidRDefault="009749C4">
            <w:pPr>
              <w:pStyle w:val="TableBodyText"/>
              <w:jc w:val="center"/>
              <w:rPr>
                <w:rFonts w:cs="Arial"/>
                <w:color w:val="FFFFFF" w:themeColor="background1"/>
                <w:sz w:val="2"/>
                <w:szCs w:val="2"/>
              </w:rPr>
            </w:pPr>
            <w:r>
              <w:rPr>
                <w:rFonts w:cs="Arial"/>
                <w:noProof/>
                <w:color w:val="00B050"/>
                <w:sz w:val="21"/>
                <w:szCs w:val="21"/>
                <w14:ligatures w14:val="standardContextual"/>
              </w:rPr>
              <mc:AlternateContent>
                <mc:Choice Requires="wps">
                  <w:drawing>
                    <wp:anchor distT="0" distB="0" distL="114300" distR="114300" simplePos="0" relativeHeight="251764224" behindDoc="0" locked="0" layoutInCell="1" allowOverlap="1" wp14:anchorId="6F784B93" wp14:editId="04D506EC">
                      <wp:simplePos x="0" y="0"/>
                      <wp:positionH relativeFrom="column">
                        <wp:posOffset>170815</wp:posOffset>
                      </wp:positionH>
                      <wp:positionV relativeFrom="paragraph">
                        <wp:posOffset>-48895</wp:posOffset>
                      </wp:positionV>
                      <wp:extent cx="191135" cy="190500"/>
                      <wp:effectExtent l="0" t="0" r="18415" b="19050"/>
                      <wp:wrapNone/>
                      <wp:docPr id="906749509"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DF5454"/>
                              </a:solidFill>
                              <a:ln>
                                <a:solidFill>
                                  <a:srgbClr val="DF545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C569D3" id="Oval 2" o:spid="_x0000_s1026" alt="&quot;&quot;" style="position:absolute;margin-left:13.45pt;margin-top:-3.85pt;width:15.05pt;height:1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" fillcolor="#df5454" strokecolor="#df5454" strokeweight="1pt">
                      <v:stroke joinstyle="miter"/>
                    </v:oval>
                  </w:pict>
                </mc:Fallback>
              </mc:AlternateContent>
            </w:r>
            <w:r w:rsidR="00E63666" w:rsidRPr="009749C4">
              <w:rPr>
                <w:rFonts w:cs="Arial"/>
                <w:color w:val="FFFFFF" w:themeColor="background1"/>
                <w:sz w:val="2"/>
                <w:szCs w:val="2"/>
              </w:rPr>
              <w:t>Deteriorating or significant gap</w:t>
            </w:r>
          </w:p>
        </w:tc>
        <w:tc>
          <w:tcPr>
            <w:tcW w:w="1362" w:type="dxa"/>
            <w:vMerge w:val="restart"/>
            <w:shd w:val="clear" w:color="auto" w:fill="DF5454"/>
            <w:vAlign w:val="center"/>
          </w:tcPr>
          <w:p w14:paraId="7B41C56F" w14:textId="77777777" w:rsidR="00093791" w:rsidRPr="007414BD" w:rsidRDefault="00093791">
            <w:pPr>
              <w:jc w:val="center"/>
              <w:rPr>
                <w:rFonts w:cs="Arial"/>
                <w:sz w:val="20"/>
              </w:rPr>
            </w:pPr>
            <w:r w:rsidRPr="007414BD">
              <w:rPr>
                <w:rFonts w:cs="Arial"/>
                <w:sz w:val="20"/>
              </w:rPr>
              <w:t>Deteriorating or significant gap</w:t>
            </w:r>
          </w:p>
        </w:tc>
      </w:tr>
      <w:tr w:rsidR="00093791" w14:paraId="4A28EC9D" w14:textId="77777777" w:rsidTr="007414BD">
        <w:trPr>
          <w:cnfStyle w:val="000000010000" w:firstRow="0" w:lastRow="0" w:firstColumn="0" w:lastColumn="0" w:oddVBand="0" w:evenVBand="0" w:oddHBand="0" w:evenHBand="1" w:firstRowFirstColumn="0" w:firstRowLastColumn="0" w:lastRowFirstColumn="0" w:lastRowLastColumn="0"/>
          <w:trHeight w:val="510"/>
        </w:trPr>
        <w:tc>
          <w:tcPr>
            <w:tcW w:w="1277" w:type="dxa"/>
            <w:vMerge/>
            <w:shd w:val="clear" w:color="auto" w:fill="FFFFFF" w:themeFill="background1"/>
          </w:tcPr>
          <w:p w14:paraId="29A41AB4" w14:textId="77777777" w:rsidR="00093791" w:rsidRPr="00566D4F" w:rsidRDefault="00093791">
            <w:pPr>
              <w:rPr>
                <w:rStyle w:val="Characterbold"/>
                <w:rFonts w:cs="Arial"/>
                <w:sz w:val="21"/>
                <w:szCs w:val="21"/>
              </w:rPr>
            </w:pPr>
          </w:p>
        </w:tc>
        <w:tc>
          <w:tcPr>
            <w:tcW w:w="1986" w:type="dxa"/>
            <w:vMerge/>
            <w:shd w:val="clear" w:color="auto" w:fill="FFFFFF" w:themeFill="background1"/>
          </w:tcPr>
          <w:p w14:paraId="17A1247D" w14:textId="77777777" w:rsidR="00093791" w:rsidRPr="00566D4F" w:rsidRDefault="00093791">
            <w:pPr>
              <w:rPr>
                <w:rStyle w:val="Characteritalic"/>
                <w:rFonts w:cs="Arial"/>
                <w:sz w:val="21"/>
                <w:szCs w:val="21"/>
              </w:rPr>
            </w:pPr>
          </w:p>
        </w:tc>
        <w:tc>
          <w:tcPr>
            <w:tcW w:w="2921" w:type="dxa"/>
            <w:shd w:val="clear" w:color="auto" w:fill="FFFFFF" w:themeFill="background1"/>
            <w:vAlign w:val="center"/>
          </w:tcPr>
          <w:p w14:paraId="1C0192A0" w14:textId="77777777" w:rsidR="00093791" w:rsidRPr="00566D4F" w:rsidRDefault="00093791">
            <w:pPr>
              <w:rPr>
                <w:rFonts w:cs="Arial"/>
                <w:sz w:val="21"/>
                <w:szCs w:val="21"/>
              </w:rPr>
            </w:pPr>
            <w:r w:rsidRPr="00566D4F">
              <w:rPr>
                <w:rFonts w:cs="Arial"/>
                <w:sz w:val="21"/>
                <w:szCs w:val="21"/>
              </w:rPr>
              <w:t>Youth not in employment, education or training</w:t>
            </w:r>
          </w:p>
        </w:tc>
        <w:tc>
          <w:tcPr>
            <w:tcW w:w="1126" w:type="dxa"/>
            <w:shd w:val="clear" w:color="auto" w:fill="DF5454"/>
            <w:vAlign w:val="center"/>
          </w:tcPr>
          <w:p w14:paraId="375C76FB" w14:textId="0CE7F3B2" w:rsidR="00323B7A" w:rsidRPr="007414BD" w:rsidRDefault="00323B7A">
            <w:pPr>
              <w:pStyle w:val="TableBodyText"/>
              <w:jc w:val="center"/>
              <w:rPr>
                <w:rFonts w:cs="Arial"/>
                <w:sz w:val="21"/>
                <w:szCs w:val="21"/>
              </w:rPr>
            </w:pPr>
            <w:r w:rsidRPr="007414BD">
              <w:rPr>
                <w:rFonts w:cs="Arial"/>
                <w:sz w:val="21"/>
                <w:szCs w:val="21"/>
              </w:rPr>
              <w:t>15.3%</w:t>
            </w:r>
          </w:p>
        </w:tc>
        <w:tc>
          <w:tcPr>
            <w:tcW w:w="1126" w:type="dxa"/>
            <w:shd w:val="clear" w:color="auto" w:fill="FFFFFF" w:themeFill="background1"/>
            <w:vAlign w:val="center"/>
          </w:tcPr>
          <w:p w14:paraId="0362B4FB" w14:textId="4DCB12CC" w:rsidR="00093791" w:rsidRPr="009749C4" w:rsidRDefault="009749C4">
            <w:pPr>
              <w:pStyle w:val="TableBodyText"/>
              <w:jc w:val="center"/>
              <w:rPr>
                <w:rFonts w:cs="Arial"/>
                <w:color w:val="FFFFFF" w:themeColor="background1"/>
                <w:sz w:val="21"/>
                <w:szCs w:val="21"/>
              </w:rPr>
            </w:pPr>
            <w:r w:rsidRPr="009749C4">
              <w:rPr>
                <w:rFonts w:cs="Arial"/>
                <w:noProof/>
                <w:color w:val="FFFFFF" w:themeColor="background1"/>
                <w:sz w:val="21"/>
                <w:szCs w:val="21"/>
                <w14:ligatures w14:val="standardContextual"/>
              </w:rPr>
              <mc:AlternateContent>
                <mc:Choice Requires="wps">
                  <w:drawing>
                    <wp:anchor distT="0" distB="0" distL="114300" distR="114300" simplePos="0" relativeHeight="251772416" behindDoc="0" locked="0" layoutInCell="1" allowOverlap="1" wp14:anchorId="70A01DBF" wp14:editId="70C4D546">
                      <wp:simplePos x="0" y="0"/>
                      <wp:positionH relativeFrom="column">
                        <wp:posOffset>156845</wp:posOffset>
                      </wp:positionH>
                      <wp:positionV relativeFrom="paragraph">
                        <wp:posOffset>-93980</wp:posOffset>
                      </wp:positionV>
                      <wp:extent cx="191135" cy="190500"/>
                      <wp:effectExtent l="0" t="0" r="18415" b="19050"/>
                      <wp:wrapNone/>
                      <wp:docPr id="1667117987"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DF5454"/>
                              </a:solidFill>
                              <a:ln>
                                <a:solidFill>
                                  <a:srgbClr val="DF545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1BD3C5" id="Oval 2" o:spid="_x0000_s1026" alt="&quot;&quot;" style="position:absolute;margin-left:12.35pt;margin-top:-7.4pt;width:15.05pt;height:1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" fillcolor="#df5454" strokecolor="#df5454" strokeweight="1pt">
                      <v:stroke joinstyle="miter"/>
                    </v:oval>
                  </w:pict>
                </mc:Fallback>
              </mc:AlternateContent>
            </w:r>
            <w:r w:rsidRPr="009749C4">
              <w:rPr>
                <w:rFonts w:cs="Arial"/>
                <w:color w:val="FFFFFF" w:themeColor="background1"/>
                <w:sz w:val="2"/>
                <w:szCs w:val="2"/>
              </w:rPr>
              <w:t>Deteriorating or significant gap</w:t>
            </w:r>
            <w:r w:rsidRPr="009749C4">
              <w:rPr>
                <w:rFonts w:cs="Arial"/>
                <w:noProof/>
                <w:color w:val="FFFFFF" w:themeColor="background1"/>
                <w:sz w:val="21"/>
                <w:szCs w:val="21"/>
                <w14:ligatures w14:val="standardContextual"/>
              </w:rPr>
              <w:t xml:space="preserve"> </w:t>
            </w:r>
          </w:p>
        </w:tc>
        <w:tc>
          <w:tcPr>
            <w:tcW w:w="1362" w:type="dxa"/>
            <w:vMerge/>
            <w:shd w:val="clear" w:color="auto" w:fill="DF5454"/>
          </w:tcPr>
          <w:p w14:paraId="7CC5C524" w14:textId="77777777" w:rsidR="00093791" w:rsidRPr="007414BD" w:rsidRDefault="00093791">
            <w:pPr>
              <w:rPr>
                <w:rFonts w:cs="Arial"/>
                <w:sz w:val="20"/>
              </w:rPr>
            </w:pPr>
          </w:p>
        </w:tc>
      </w:tr>
      <w:tr w:rsidR="00093791" w14:paraId="10AD472B" w14:textId="77777777" w:rsidTr="007904AF">
        <w:trPr>
          <w:trHeight w:val="510"/>
        </w:trPr>
        <w:tc>
          <w:tcPr>
            <w:tcW w:w="1277" w:type="dxa"/>
            <w:vMerge/>
            <w:shd w:val="clear" w:color="auto" w:fill="FFFFFF" w:themeFill="background1"/>
          </w:tcPr>
          <w:p w14:paraId="1F0A2AAA" w14:textId="77777777" w:rsidR="00093791" w:rsidRPr="00566D4F" w:rsidRDefault="00093791">
            <w:pPr>
              <w:rPr>
                <w:rStyle w:val="Characterbold"/>
                <w:rFonts w:cs="Arial"/>
                <w:sz w:val="21"/>
                <w:szCs w:val="21"/>
              </w:rPr>
            </w:pPr>
          </w:p>
        </w:tc>
        <w:tc>
          <w:tcPr>
            <w:tcW w:w="1986" w:type="dxa"/>
            <w:vMerge/>
            <w:shd w:val="clear" w:color="auto" w:fill="FFFFFF" w:themeFill="background1"/>
          </w:tcPr>
          <w:p w14:paraId="64137740" w14:textId="77777777" w:rsidR="00093791" w:rsidRPr="00566D4F" w:rsidRDefault="00093791">
            <w:pPr>
              <w:rPr>
                <w:rStyle w:val="Characteritalic"/>
                <w:rFonts w:cs="Arial"/>
                <w:sz w:val="21"/>
                <w:szCs w:val="21"/>
              </w:rPr>
            </w:pPr>
          </w:p>
        </w:tc>
        <w:tc>
          <w:tcPr>
            <w:tcW w:w="2921" w:type="dxa"/>
            <w:shd w:val="clear" w:color="auto" w:fill="FFFFFF" w:themeFill="background1"/>
            <w:vAlign w:val="center"/>
          </w:tcPr>
          <w:p w14:paraId="59D2B4A1" w14:textId="77777777" w:rsidR="00093791" w:rsidRPr="00566D4F" w:rsidRDefault="00093791">
            <w:pPr>
              <w:rPr>
                <w:rFonts w:cs="Arial"/>
                <w:sz w:val="21"/>
                <w:szCs w:val="21"/>
              </w:rPr>
            </w:pPr>
            <w:r w:rsidRPr="00566D4F">
              <w:rPr>
                <w:rFonts w:cs="Arial"/>
                <w:sz w:val="21"/>
                <w:szCs w:val="21"/>
              </w:rPr>
              <w:t>Prime age participation rate</w:t>
            </w:r>
          </w:p>
        </w:tc>
        <w:tc>
          <w:tcPr>
            <w:tcW w:w="1126" w:type="dxa"/>
            <w:shd w:val="clear" w:color="auto" w:fill="52BD7F"/>
            <w:vAlign w:val="center"/>
          </w:tcPr>
          <w:p w14:paraId="54F21C50" w14:textId="6641A00F" w:rsidR="00323B7A" w:rsidRPr="007904AF" w:rsidRDefault="00323B7A">
            <w:pPr>
              <w:pStyle w:val="TableBodyText"/>
              <w:jc w:val="center"/>
              <w:rPr>
                <w:rFonts w:cs="Arial"/>
                <w:sz w:val="21"/>
                <w:szCs w:val="21"/>
              </w:rPr>
            </w:pPr>
            <w:r w:rsidRPr="007904AF">
              <w:rPr>
                <w:rFonts w:cs="Arial"/>
                <w:sz w:val="21"/>
                <w:szCs w:val="21"/>
              </w:rPr>
              <w:t>85.4%</w:t>
            </w:r>
          </w:p>
        </w:tc>
        <w:tc>
          <w:tcPr>
            <w:tcW w:w="1126" w:type="dxa"/>
            <w:shd w:val="clear" w:color="auto" w:fill="FFFFFF" w:themeFill="background1"/>
            <w:vAlign w:val="center"/>
          </w:tcPr>
          <w:p w14:paraId="0368714A" w14:textId="36428188" w:rsidR="00093791" w:rsidRPr="009749C4" w:rsidRDefault="009749C4">
            <w:pPr>
              <w:pStyle w:val="TableBodyText"/>
              <w:jc w:val="center"/>
              <w:rPr>
                <w:rFonts w:cs="Arial"/>
                <w:color w:val="FFFFFF" w:themeColor="background1"/>
                <w:sz w:val="2"/>
                <w:szCs w:val="2"/>
              </w:rPr>
            </w:pPr>
            <w:r>
              <w:rPr>
                <w:rFonts w:cs="Arial"/>
                <w:noProof/>
                <w:color w:val="00B050"/>
                <w:sz w:val="21"/>
                <w:szCs w:val="21"/>
                <w14:ligatures w14:val="standardContextual"/>
              </w:rPr>
              <mc:AlternateContent>
                <mc:Choice Requires="wps">
                  <w:drawing>
                    <wp:anchor distT="0" distB="0" distL="114300" distR="114300" simplePos="0" relativeHeight="251747840" behindDoc="0" locked="0" layoutInCell="1" allowOverlap="1" wp14:anchorId="6BF3867F" wp14:editId="356C8595">
                      <wp:simplePos x="0" y="0"/>
                      <wp:positionH relativeFrom="column">
                        <wp:posOffset>168275</wp:posOffset>
                      </wp:positionH>
                      <wp:positionV relativeFrom="paragraph">
                        <wp:posOffset>-106045</wp:posOffset>
                      </wp:positionV>
                      <wp:extent cx="191135" cy="190500"/>
                      <wp:effectExtent l="0" t="0" r="18415" b="19050"/>
                      <wp:wrapNone/>
                      <wp:docPr id="52532545"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52BD7F"/>
                              </a:solidFill>
                              <a:ln>
                                <a:solidFill>
                                  <a:srgbClr val="52BD7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F2B4EF" id="Oval 2" o:spid="_x0000_s1026" alt="&quot;&quot;" style="position:absolute;margin-left:13.25pt;margin-top:-8.35pt;width:15.05pt;height:1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" fillcolor="#52bd7f" strokecolor="#52bd7f" strokeweight="1pt">
                      <v:stroke joinstyle="miter"/>
                    </v:oval>
                  </w:pict>
                </mc:Fallback>
              </mc:AlternateContent>
            </w:r>
            <w:r w:rsidRPr="009749C4">
              <w:rPr>
                <w:rFonts w:cs="Arial"/>
                <w:color w:val="FFFFFF" w:themeColor="background1"/>
                <w:sz w:val="2"/>
                <w:szCs w:val="2"/>
              </w:rPr>
              <w:t>On track or performing at an appropriate level</w:t>
            </w:r>
          </w:p>
        </w:tc>
        <w:tc>
          <w:tcPr>
            <w:tcW w:w="1362" w:type="dxa"/>
            <w:vMerge/>
            <w:shd w:val="clear" w:color="auto" w:fill="DF5454"/>
          </w:tcPr>
          <w:p w14:paraId="58CECD78" w14:textId="77777777" w:rsidR="00093791" w:rsidRPr="007414BD" w:rsidRDefault="00093791">
            <w:pPr>
              <w:rPr>
                <w:rFonts w:cs="Arial"/>
                <w:sz w:val="20"/>
              </w:rPr>
            </w:pPr>
          </w:p>
        </w:tc>
      </w:tr>
      <w:tr w:rsidR="00093791" w14:paraId="2D48121B" w14:textId="77777777" w:rsidTr="007904AF">
        <w:trPr>
          <w:cnfStyle w:val="000000010000" w:firstRow="0" w:lastRow="0" w:firstColumn="0" w:lastColumn="0" w:oddVBand="0" w:evenVBand="0" w:oddHBand="0" w:evenHBand="1" w:firstRowFirstColumn="0" w:firstRowLastColumn="0" w:lastRowFirstColumn="0" w:lastRowLastColumn="0"/>
          <w:trHeight w:val="510"/>
        </w:trPr>
        <w:tc>
          <w:tcPr>
            <w:tcW w:w="1277" w:type="dxa"/>
            <w:vMerge/>
            <w:shd w:val="clear" w:color="auto" w:fill="FFFFFF" w:themeFill="background1"/>
          </w:tcPr>
          <w:p w14:paraId="628FF68A" w14:textId="77777777" w:rsidR="00093791" w:rsidRPr="00566D4F" w:rsidRDefault="00093791">
            <w:pPr>
              <w:rPr>
                <w:rStyle w:val="Characterbold"/>
                <w:rFonts w:cs="Arial"/>
                <w:sz w:val="21"/>
                <w:szCs w:val="21"/>
              </w:rPr>
            </w:pPr>
          </w:p>
        </w:tc>
        <w:tc>
          <w:tcPr>
            <w:tcW w:w="1986" w:type="dxa"/>
            <w:vMerge/>
            <w:shd w:val="clear" w:color="auto" w:fill="FFFFFF" w:themeFill="background1"/>
          </w:tcPr>
          <w:p w14:paraId="47F1F5A2" w14:textId="77777777" w:rsidR="00093791" w:rsidRPr="00566D4F" w:rsidRDefault="00093791">
            <w:pPr>
              <w:rPr>
                <w:rStyle w:val="Characteritalic"/>
                <w:rFonts w:cs="Arial"/>
                <w:sz w:val="21"/>
                <w:szCs w:val="21"/>
              </w:rPr>
            </w:pPr>
          </w:p>
        </w:tc>
        <w:tc>
          <w:tcPr>
            <w:tcW w:w="2921" w:type="dxa"/>
            <w:shd w:val="clear" w:color="auto" w:fill="FFFFFF" w:themeFill="background1"/>
            <w:vAlign w:val="center"/>
          </w:tcPr>
          <w:p w14:paraId="2869181A" w14:textId="77777777" w:rsidR="00093791" w:rsidRPr="00566D4F" w:rsidRDefault="00093791">
            <w:pPr>
              <w:rPr>
                <w:rFonts w:cs="Arial"/>
                <w:sz w:val="21"/>
                <w:szCs w:val="21"/>
              </w:rPr>
            </w:pPr>
            <w:r w:rsidRPr="00566D4F">
              <w:rPr>
                <w:rFonts w:cs="Arial"/>
                <w:sz w:val="21"/>
                <w:szCs w:val="21"/>
              </w:rPr>
              <w:t>Unemployment rate</w:t>
            </w:r>
            <w:r>
              <w:rPr>
                <w:rFonts w:cs="Arial"/>
                <w:sz w:val="21"/>
                <w:szCs w:val="21"/>
              </w:rPr>
              <w:t xml:space="preserve"> </w:t>
            </w:r>
          </w:p>
        </w:tc>
        <w:tc>
          <w:tcPr>
            <w:tcW w:w="1126" w:type="dxa"/>
            <w:shd w:val="clear" w:color="auto" w:fill="52BD7F"/>
            <w:vAlign w:val="center"/>
          </w:tcPr>
          <w:p w14:paraId="12154BE3" w14:textId="556E10B8" w:rsidR="00323B7A" w:rsidRPr="007904AF" w:rsidRDefault="00323B7A">
            <w:pPr>
              <w:pStyle w:val="TableBodyText"/>
              <w:jc w:val="center"/>
              <w:rPr>
                <w:rFonts w:cs="Arial"/>
                <w:sz w:val="21"/>
                <w:szCs w:val="21"/>
              </w:rPr>
            </w:pPr>
            <w:r w:rsidRPr="007904AF">
              <w:rPr>
                <w:rFonts w:cs="Arial"/>
                <w:sz w:val="21"/>
                <w:szCs w:val="21"/>
              </w:rPr>
              <w:t>4.0%</w:t>
            </w:r>
          </w:p>
        </w:tc>
        <w:tc>
          <w:tcPr>
            <w:tcW w:w="1126" w:type="dxa"/>
            <w:shd w:val="clear" w:color="auto" w:fill="FFFFFF" w:themeFill="background1"/>
            <w:vAlign w:val="center"/>
          </w:tcPr>
          <w:p w14:paraId="62CE6586" w14:textId="093E0618" w:rsidR="00093791" w:rsidRPr="009749C4" w:rsidRDefault="009749C4">
            <w:pPr>
              <w:pStyle w:val="TableBodyText"/>
              <w:jc w:val="center"/>
              <w:rPr>
                <w:rFonts w:cs="Arial"/>
                <w:color w:val="FFFFFF" w:themeColor="background1"/>
                <w:sz w:val="21"/>
                <w:szCs w:val="21"/>
              </w:rPr>
            </w:pPr>
            <w:r>
              <w:rPr>
                <w:rFonts w:cs="Arial"/>
                <w:noProof/>
                <w:color w:val="00B050"/>
                <w:sz w:val="21"/>
                <w:szCs w:val="21"/>
                <w14:ligatures w14:val="standardContextual"/>
              </w:rPr>
              <mc:AlternateContent>
                <mc:Choice Requires="wps">
                  <w:drawing>
                    <wp:anchor distT="0" distB="0" distL="114300" distR="114300" simplePos="0" relativeHeight="251756032" behindDoc="0" locked="0" layoutInCell="1" allowOverlap="1" wp14:anchorId="3D5C95F0" wp14:editId="4A36DA96">
                      <wp:simplePos x="0" y="0"/>
                      <wp:positionH relativeFrom="column">
                        <wp:posOffset>159385</wp:posOffset>
                      </wp:positionH>
                      <wp:positionV relativeFrom="paragraph">
                        <wp:posOffset>-77470</wp:posOffset>
                      </wp:positionV>
                      <wp:extent cx="191135" cy="190500"/>
                      <wp:effectExtent l="0" t="0" r="18415" b="19050"/>
                      <wp:wrapNone/>
                      <wp:docPr id="264984211"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52BD7F"/>
                              </a:solidFill>
                              <a:ln>
                                <a:solidFill>
                                  <a:srgbClr val="52BD7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218FE3" id="Oval 2" o:spid="_x0000_s1026" alt="&quot;&quot;" style="position:absolute;margin-left:12.55pt;margin-top:-6.1pt;width:15.05pt;height:1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" fillcolor="#52bd7f" strokecolor="#52bd7f" strokeweight="1pt">
                      <v:stroke joinstyle="miter"/>
                    </v:oval>
                  </w:pict>
                </mc:Fallback>
              </mc:AlternateContent>
            </w:r>
            <w:r w:rsidRPr="009749C4">
              <w:rPr>
                <w:rFonts w:cs="Arial"/>
                <w:color w:val="FFFFFF" w:themeColor="background1"/>
                <w:sz w:val="2"/>
                <w:szCs w:val="2"/>
              </w:rPr>
              <w:t>On track or performing at an appropriate level</w:t>
            </w:r>
          </w:p>
        </w:tc>
        <w:tc>
          <w:tcPr>
            <w:tcW w:w="1362" w:type="dxa"/>
            <w:vMerge/>
            <w:shd w:val="clear" w:color="auto" w:fill="DF5454"/>
          </w:tcPr>
          <w:p w14:paraId="2319BBD8" w14:textId="77777777" w:rsidR="00093791" w:rsidRPr="007414BD" w:rsidRDefault="00093791">
            <w:pPr>
              <w:rPr>
                <w:rFonts w:cs="Arial"/>
                <w:sz w:val="20"/>
              </w:rPr>
            </w:pPr>
          </w:p>
        </w:tc>
      </w:tr>
      <w:tr w:rsidR="00093791" w14:paraId="07E9A341" w14:textId="77777777" w:rsidTr="007414BD">
        <w:trPr>
          <w:trHeight w:val="510"/>
        </w:trPr>
        <w:tc>
          <w:tcPr>
            <w:tcW w:w="1277" w:type="dxa"/>
            <w:vMerge/>
            <w:tcBorders>
              <w:bottom w:val="single" w:sz="4" w:space="0" w:color="auto"/>
            </w:tcBorders>
            <w:shd w:val="clear" w:color="auto" w:fill="FFFFFF" w:themeFill="background1"/>
          </w:tcPr>
          <w:p w14:paraId="40EB57F8" w14:textId="77777777" w:rsidR="00093791" w:rsidRPr="00566D4F" w:rsidRDefault="00093791">
            <w:pPr>
              <w:rPr>
                <w:rStyle w:val="Characterbold"/>
                <w:rFonts w:cs="Arial"/>
                <w:sz w:val="21"/>
                <w:szCs w:val="21"/>
              </w:rPr>
            </w:pPr>
          </w:p>
        </w:tc>
        <w:tc>
          <w:tcPr>
            <w:tcW w:w="1986" w:type="dxa"/>
            <w:vMerge/>
            <w:tcBorders>
              <w:bottom w:val="single" w:sz="4" w:space="0" w:color="auto"/>
            </w:tcBorders>
            <w:shd w:val="clear" w:color="auto" w:fill="FFFFFF" w:themeFill="background1"/>
          </w:tcPr>
          <w:p w14:paraId="1F9AADD9" w14:textId="77777777" w:rsidR="00093791" w:rsidRPr="00566D4F" w:rsidRDefault="00093791">
            <w:pPr>
              <w:rPr>
                <w:rStyle w:val="Characteritalic"/>
                <w:rFonts w:cs="Arial"/>
                <w:sz w:val="21"/>
                <w:szCs w:val="21"/>
              </w:rPr>
            </w:pPr>
          </w:p>
        </w:tc>
        <w:tc>
          <w:tcPr>
            <w:tcW w:w="2921" w:type="dxa"/>
            <w:tcBorders>
              <w:bottom w:val="single" w:sz="4" w:space="0" w:color="auto"/>
            </w:tcBorders>
            <w:shd w:val="clear" w:color="auto" w:fill="FFFFFF" w:themeFill="background1"/>
            <w:vAlign w:val="center"/>
          </w:tcPr>
          <w:p w14:paraId="0C0C0EC4" w14:textId="77777777" w:rsidR="00093791" w:rsidRPr="00566D4F" w:rsidRDefault="00093791">
            <w:pPr>
              <w:rPr>
                <w:rFonts w:cs="Arial"/>
                <w:sz w:val="21"/>
                <w:szCs w:val="21"/>
              </w:rPr>
            </w:pPr>
            <w:r w:rsidRPr="00566D4F">
              <w:rPr>
                <w:rFonts w:cs="Arial"/>
                <w:sz w:val="21"/>
                <w:szCs w:val="21"/>
              </w:rPr>
              <w:t>Prop. on long-term income support</w:t>
            </w:r>
          </w:p>
        </w:tc>
        <w:tc>
          <w:tcPr>
            <w:tcW w:w="1126" w:type="dxa"/>
            <w:tcBorders>
              <w:bottom w:val="single" w:sz="4" w:space="0" w:color="auto"/>
            </w:tcBorders>
            <w:shd w:val="clear" w:color="auto" w:fill="DF5454"/>
            <w:vAlign w:val="center"/>
          </w:tcPr>
          <w:p w14:paraId="65933D2E" w14:textId="64CEED86" w:rsidR="00323B7A" w:rsidRPr="007414BD" w:rsidRDefault="00323B7A">
            <w:pPr>
              <w:pStyle w:val="TableBodyText"/>
              <w:jc w:val="center"/>
              <w:rPr>
                <w:rFonts w:cs="Arial"/>
                <w:sz w:val="21"/>
                <w:szCs w:val="21"/>
              </w:rPr>
            </w:pPr>
            <w:r w:rsidRPr="007414BD">
              <w:rPr>
                <w:rFonts w:cs="Arial"/>
                <w:sz w:val="21"/>
                <w:szCs w:val="21"/>
              </w:rPr>
              <w:t>2.4%</w:t>
            </w:r>
          </w:p>
        </w:tc>
        <w:tc>
          <w:tcPr>
            <w:tcW w:w="1126" w:type="dxa"/>
            <w:tcBorders>
              <w:bottom w:val="single" w:sz="4" w:space="0" w:color="auto"/>
            </w:tcBorders>
            <w:shd w:val="clear" w:color="auto" w:fill="FFFFFF" w:themeFill="background1"/>
            <w:vAlign w:val="center"/>
          </w:tcPr>
          <w:p w14:paraId="459F19C5" w14:textId="4AAA1885" w:rsidR="00093791" w:rsidRPr="009749C4" w:rsidRDefault="009749C4">
            <w:pPr>
              <w:pStyle w:val="TableBodyText"/>
              <w:jc w:val="center"/>
              <w:rPr>
                <w:rFonts w:cs="Arial"/>
                <w:color w:val="FFFFFF" w:themeColor="background1"/>
                <w:sz w:val="21"/>
                <w:szCs w:val="21"/>
              </w:rPr>
            </w:pPr>
            <w:r>
              <w:rPr>
                <w:rFonts w:cs="Arial"/>
                <w:noProof/>
                <w:color w:val="00B050"/>
                <w:sz w:val="21"/>
                <w:szCs w:val="21"/>
                <w14:ligatures w14:val="standardContextual"/>
              </w:rPr>
              <mc:AlternateContent>
                <mc:Choice Requires="wps">
                  <w:drawing>
                    <wp:anchor distT="0" distB="0" distL="114300" distR="114300" simplePos="0" relativeHeight="251780608" behindDoc="0" locked="0" layoutInCell="1" allowOverlap="1" wp14:anchorId="6A5CEC6C" wp14:editId="38961588">
                      <wp:simplePos x="0" y="0"/>
                      <wp:positionH relativeFrom="column">
                        <wp:posOffset>142240</wp:posOffset>
                      </wp:positionH>
                      <wp:positionV relativeFrom="paragraph">
                        <wp:posOffset>-28575</wp:posOffset>
                      </wp:positionV>
                      <wp:extent cx="191135" cy="190500"/>
                      <wp:effectExtent l="0" t="0" r="18415" b="19050"/>
                      <wp:wrapNone/>
                      <wp:docPr id="497938833"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DF5454"/>
                              </a:solidFill>
                              <a:ln>
                                <a:solidFill>
                                  <a:srgbClr val="DF545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95E847" id="Oval 2" o:spid="_x0000_s1026" alt="&quot;&quot;" style="position:absolute;margin-left:11.2pt;margin-top:-2.25pt;width:15.05pt;height:1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" fillcolor="#df5454" strokecolor="#df5454" strokeweight="1pt">
                      <v:stroke joinstyle="miter"/>
                    </v:oval>
                  </w:pict>
                </mc:Fallback>
              </mc:AlternateContent>
            </w:r>
            <w:r w:rsidRPr="009749C4">
              <w:rPr>
                <w:rFonts w:cs="Arial"/>
                <w:color w:val="FFFFFF" w:themeColor="background1"/>
                <w:sz w:val="2"/>
                <w:szCs w:val="2"/>
              </w:rPr>
              <w:t>Deteriorating or significant gap</w:t>
            </w:r>
          </w:p>
        </w:tc>
        <w:tc>
          <w:tcPr>
            <w:tcW w:w="1362" w:type="dxa"/>
            <w:vMerge/>
            <w:tcBorders>
              <w:bottom w:val="single" w:sz="4" w:space="0" w:color="auto"/>
            </w:tcBorders>
            <w:shd w:val="clear" w:color="auto" w:fill="DF5454"/>
          </w:tcPr>
          <w:p w14:paraId="03AC669F" w14:textId="77777777" w:rsidR="00093791" w:rsidRPr="007414BD" w:rsidRDefault="00093791">
            <w:pPr>
              <w:rPr>
                <w:rFonts w:cs="Arial"/>
                <w:sz w:val="20"/>
              </w:rPr>
            </w:pPr>
          </w:p>
        </w:tc>
      </w:tr>
      <w:tr w:rsidR="007414BD" w14:paraId="47BD8816" w14:textId="77777777" w:rsidTr="007414BD">
        <w:trPr>
          <w:cnfStyle w:val="000000010000" w:firstRow="0" w:lastRow="0" w:firstColumn="0" w:lastColumn="0" w:oddVBand="0" w:evenVBand="0" w:oddHBand="0" w:evenHBand="1" w:firstRowFirstColumn="0" w:firstRowLastColumn="0" w:lastRowFirstColumn="0" w:lastRowLastColumn="0"/>
          <w:trHeight w:val="624"/>
        </w:trPr>
        <w:tc>
          <w:tcPr>
            <w:tcW w:w="1277" w:type="dxa"/>
            <w:vMerge w:val="restart"/>
            <w:tcBorders>
              <w:top w:val="single" w:sz="4" w:space="0" w:color="auto"/>
              <w:bottom w:val="nil"/>
            </w:tcBorders>
            <w:vAlign w:val="center"/>
          </w:tcPr>
          <w:p w14:paraId="29289EA6" w14:textId="77777777" w:rsidR="00093791" w:rsidRPr="00566D4F" w:rsidRDefault="00093791">
            <w:pPr>
              <w:rPr>
                <w:rFonts w:cs="Arial"/>
                <w:sz w:val="21"/>
                <w:szCs w:val="21"/>
              </w:rPr>
            </w:pPr>
            <w:r w:rsidRPr="00566D4F">
              <w:rPr>
                <w:rStyle w:val="Characterbold"/>
                <w:rFonts w:cs="Arial"/>
                <w:sz w:val="21"/>
                <w:szCs w:val="21"/>
              </w:rPr>
              <w:lastRenderedPageBreak/>
              <w:t>Developing skills</w:t>
            </w:r>
          </w:p>
        </w:tc>
        <w:tc>
          <w:tcPr>
            <w:tcW w:w="1986" w:type="dxa"/>
            <w:vMerge w:val="restart"/>
            <w:tcBorders>
              <w:top w:val="single" w:sz="4" w:space="0" w:color="auto"/>
              <w:bottom w:val="nil"/>
            </w:tcBorders>
            <w:vAlign w:val="center"/>
          </w:tcPr>
          <w:p w14:paraId="165B1C53" w14:textId="77777777" w:rsidR="00093791" w:rsidRPr="00566D4F" w:rsidRDefault="00093791">
            <w:pPr>
              <w:rPr>
                <w:rFonts w:cs="Arial"/>
                <w:sz w:val="21"/>
                <w:szCs w:val="21"/>
              </w:rPr>
            </w:pPr>
            <w:r w:rsidRPr="00566D4F">
              <w:rPr>
                <w:rStyle w:val="Characteritalic"/>
                <w:rFonts w:cs="Arial"/>
                <w:sz w:val="21"/>
                <w:szCs w:val="21"/>
              </w:rPr>
              <w:t>Everyone in Regional Australia is supported to efficiently develop skills that enable them to meaningfully contribute to community, economy and culture.</w:t>
            </w:r>
          </w:p>
        </w:tc>
        <w:tc>
          <w:tcPr>
            <w:tcW w:w="2921" w:type="dxa"/>
            <w:tcBorders>
              <w:top w:val="single" w:sz="4" w:space="0" w:color="auto"/>
              <w:bottom w:val="nil"/>
            </w:tcBorders>
            <w:vAlign w:val="center"/>
          </w:tcPr>
          <w:p w14:paraId="405A63B6" w14:textId="77777777" w:rsidR="00093791" w:rsidRPr="00566D4F" w:rsidRDefault="00093791">
            <w:pPr>
              <w:rPr>
                <w:rFonts w:cs="Arial"/>
                <w:sz w:val="21"/>
                <w:szCs w:val="21"/>
              </w:rPr>
            </w:pPr>
            <w:r w:rsidRPr="00566D4F">
              <w:rPr>
                <w:rFonts w:cs="Arial"/>
                <w:sz w:val="21"/>
                <w:szCs w:val="21"/>
              </w:rPr>
              <w:t>Youth tertiary participation rate</w:t>
            </w:r>
          </w:p>
        </w:tc>
        <w:tc>
          <w:tcPr>
            <w:tcW w:w="1126" w:type="dxa"/>
            <w:tcBorders>
              <w:top w:val="single" w:sz="4" w:space="0" w:color="auto"/>
              <w:bottom w:val="nil"/>
            </w:tcBorders>
            <w:shd w:val="clear" w:color="auto" w:fill="DF5454"/>
            <w:vAlign w:val="center"/>
          </w:tcPr>
          <w:p w14:paraId="48F368A3" w14:textId="41C86FEA" w:rsidR="00323B7A" w:rsidRPr="007414BD" w:rsidRDefault="00323B7A">
            <w:pPr>
              <w:pStyle w:val="TableBodyText"/>
              <w:jc w:val="center"/>
              <w:rPr>
                <w:rFonts w:cs="Arial"/>
                <w:sz w:val="21"/>
                <w:szCs w:val="21"/>
              </w:rPr>
            </w:pPr>
            <w:r w:rsidRPr="007414BD">
              <w:rPr>
                <w:rFonts w:cs="Arial"/>
                <w:sz w:val="21"/>
                <w:szCs w:val="21"/>
              </w:rPr>
              <w:t>22.2%</w:t>
            </w:r>
          </w:p>
        </w:tc>
        <w:tc>
          <w:tcPr>
            <w:tcW w:w="1126" w:type="dxa"/>
            <w:tcBorders>
              <w:top w:val="single" w:sz="4" w:space="0" w:color="auto"/>
              <w:bottom w:val="nil"/>
            </w:tcBorders>
            <w:vAlign w:val="center"/>
          </w:tcPr>
          <w:p w14:paraId="66B00280" w14:textId="4394151E" w:rsidR="00093791" w:rsidRPr="009749C4" w:rsidRDefault="009749C4">
            <w:pPr>
              <w:pStyle w:val="TableBodyText"/>
              <w:jc w:val="center"/>
              <w:rPr>
                <w:rFonts w:cs="Arial"/>
                <w:color w:val="FFFFFF" w:themeColor="background1"/>
                <w:sz w:val="21"/>
                <w:szCs w:val="21"/>
              </w:rPr>
            </w:pPr>
            <w:r w:rsidRPr="009749C4">
              <w:rPr>
                <w:rFonts w:cs="Arial"/>
                <w:noProof/>
                <w:color w:val="FFFFFF" w:themeColor="background1"/>
                <w:sz w:val="21"/>
                <w:szCs w:val="21"/>
                <w14:ligatures w14:val="standardContextual"/>
              </w:rPr>
              <mc:AlternateContent>
                <mc:Choice Requires="wps">
                  <w:drawing>
                    <wp:anchor distT="0" distB="0" distL="114300" distR="114300" simplePos="0" relativeHeight="251822592" behindDoc="0" locked="0" layoutInCell="1" allowOverlap="1" wp14:anchorId="7B44B4F5" wp14:editId="1F4D7DD9">
                      <wp:simplePos x="0" y="0"/>
                      <wp:positionH relativeFrom="column">
                        <wp:posOffset>200660</wp:posOffset>
                      </wp:positionH>
                      <wp:positionV relativeFrom="paragraph">
                        <wp:posOffset>36195</wp:posOffset>
                      </wp:positionV>
                      <wp:extent cx="191135" cy="190500"/>
                      <wp:effectExtent l="0" t="0" r="18415" b="19050"/>
                      <wp:wrapNone/>
                      <wp:docPr id="1440471873"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DF5454"/>
                              </a:solidFill>
                              <a:ln>
                                <a:solidFill>
                                  <a:srgbClr val="DF545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56377D" id="Oval 2" o:spid="_x0000_s1026" alt="&quot;&quot;" style="position:absolute;margin-left:15.8pt;margin-top:2.85pt;width:15.05pt;height:1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" fillcolor="#df5454" strokecolor="#df5454" strokeweight="1pt">
                      <v:stroke joinstyle="miter"/>
                    </v:oval>
                  </w:pict>
                </mc:Fallback>
              </mc:AlternateContent>
            </w:r>
            <w:r w:rsidRPr="009749C4">
              <w:rPr>
                <w:rFonts w:cs="Arial"/>
                <w:color w:val="FFFFFF" w:themeColor="background1"/>
                <w:sz w:val="2"/>
                <w:szCs w:val="2"/>
              </w:rPr>
              <w:t>Deteriorating or significant gap</w:t>
            </w:r>
            <w:r w:rsidRPr="009749C4">
              <w:rPr>
                <w:rFonts w:cs="Arial"/>
                <w:noProof/>
                <w:color w:val="FFFFFF" w:themeColor="background1"/>
                <w:sz w:val="21"/>
                <w:szCs w:val="21"/>
                <w14:ligatures w14:val="standardContextual"/>
              </w:rPr>
              <w:t xml:space="preserve"> </w:t>
            </w:r>
          </w:p>
        </w:tc>
        <w:tc>
          <w:tcPr>
            <w:tcW w:w="1362" w:type="dxa"/>
            <w:vMerge w:val="restart"/>
            <w:tcBorders>
              <w:top w:val="single" w:sz="4" w:space="0" w:color="auto"/>
              <w:bottom w:val="nil"/>
            </w:tcBorders>
            <w:shd w:val="clear" w:color="auto" w:fill="FFAD4C"/>
            <w:vAlign w:val="center"/>
          </w:tcPr>
          <w:p w14:paraId="095CC9FC" w14:textId="77777777" w:rsidR="00093791" w:rsidRPr="007414BD" w:rsidRDefault="00093791">
            <w:pPr>
              <w:jc w:val="center"/>
              <w:rPr>
                <w:rFonts w:cs="Arial"/>
                <w:sz w:val="20"/>
              </w:rPr>
            </w:pPr>
            <w:r w:rsidRPr="007414BD">
              <w:rPr>
                <w:rFonts w:cs="Arial"/>
                <w:sz w:val="20"/>
              </w:rPr>
              <w:t>Slow progress, stagnating or moderate gap</w:t>
            </w:r>
          </w:p>
        </w:tc>
      </w:tr>
      <w:tr w:rsidR="00093791" w14:paraId="4143DDB3" w14:textId="77777777" w:rsidTr="007904AF">
        <w:trPr>
          <w:trHeight w:val="624"/>
        </w:trPr>
        <w:tc>
          <w:tcPr>
            <w:tcW w:w="1277" w:type="dxa"/>
            <w:vMerge/>
            <w:tcBorders>
              <w:top w:val="nil"/>
            </w:tcBorders>
            <w:shd w:val="clear" w:color="auto" w:fill="F2F2F2" w:themeFill="background1" w:themeFillShade="F2"/>
          </w:tcPr>
          <w:p w14:paraId="4D1A8F08" w14:textId="77777777" w:rsidR="00093791" w:rsidRPr="00566D4F" w:rsidRDefault="00093791">
            <w:pPr>
              <w:rPr>
                <w:rStyle w:val="Characterbold"/>
                <w:rFonts w:cs="Arial"/>
                <w:sz w:val="21"/>
                <w:szCs w:val="21"/>
              </w:rPr>
            </w:pPr>
          </w:p>
        </w:tc>
        <w:tc>
          <w:tcPr>
            <w:tcW w:w="1986" w:type="dxa"/>
            <w:vMerge/>
            <w:tcBorders>
              <w:top w:val="nil"/>
            </w:tcBorders>
            <w:shd w:val="clear" w:color="auto" w:fill="F2F2F2" w:themeFill="background1" w:themeFillShade="F2"/>
          </w:tcPr>
          <w:p w14:paraId="0EEDF3FC" w14:textId="77777777" w:rsidR="00093791" w:rsidRPr="00566D4F" w:rsidRDefault="00093791">
            <w:pPr>
              <w:rPr>
                <w:rStyle w:val="Characteritalic"/>
                <w:rFonts w:cs="Arial"/>
                <w:sz w:val="21"/>
                <w:szCs w:val="21"/>
              </w:rPr>
            </w:pPr>
          </w:p>
        </w:tc>
        <w:tc>
          <w:tcPr>
            <w:tcW w:w="2921" w:type="dxa"/>
            <w:tcBorders>
              <w:top w:val="nil"/>
            </w:tcBorders>
            <w:shd w:val="clear" w:color="auto" w:fill="F2F2F2" w:themeFill="background1" w:themeFillShade="F2"/>
            <w:vAlign w:val="center"/>
          </w:tcPr>
          <w:p w14:paraId="59B5C85D" w14:textId="77777777" w:rsidR="00093791" w:rsidRPr="00566D4F" w:rsidRDefault="00093791">
            <w:pPr>
              <w:rPr>
                <w:rFonts w:cs="Arial"/>
                <w:sz w:val="21"/>
                <w:szCs w:val="21"/>
              </w:rPr>
            </w:pPr>
            <w:r w:rsidRPr="00566D4F">
              <w:rPr>
                <w:rFonts w:cs="Arial"/>
                <w:sz w:val="21"/>
                <w:szCs w:val="21"/>
              </w:rPr>
              <w:t>Completion rates for apprentices and trainees</w:t>
            </w:r>
          </w:p>
        </w:tc>
        <w:tc>
          <w:tcPr>
            <w:tcW w:w="1126" w:type="dxa"/>
            <w:tcBorders>
              <w:top w:val="nil"/>
            </w:tcBorders>
            <w:shd w:val="clear" w:color="auto" w:fill="FFAD4C"/>
            <w:vAlign w:val="center"/>
          </w:tcPr>
          <w:p w14:paraId="7CDECBE7" w14:textId="4C8DA565" w:rsidR="001A0B7B" w:rsidRPr="007904AF" w:rsidRDefault="001A0B7B">
            <w:pPr>
              <w:pStyle w:val="TableBodyText"/>
              <w:jc w:val="center"/>
              <w:rPr>
                <w:rFonts w:cs="Arial"/>
                <w:noProof/>
                <w:sz w:val="21"/>
                <w:szCs w:val="21"/>
                <w14:ligatures w14:val="standardContextual"/>
              </w:rPr>
            </w:pPr>
            <w:r w:rsidRPr="007904AF">
              <w:rPr>
                <w:rFonts w:cs="Arial"/>
                <w:noProof/>
                <w:sz w:val="21"/>
                <w:szCs w:val="21"/>
                <w14:ligatures w14:val="standardContextual"/>
              </w:rPr>
              <w:t>56.7%</w:t>
            </w:r>
          </w:p>
        </w:tc>
        <w:tc>
          <w:tcPr>
            <w:tcW w:w="1126" w:type="dxa"/>
            <w:tcBorders>
              <w:top w:val="nil"/>
            </w:tcBorders>
            <w:shd w:val="clear" w:color="auto" w:fill="F2F2F2" w:themeFill="background1" w:themeFillShade="F2"/>
            <w:vAlign w:val="center"/>
          </w:tcPr>
          <w:p w14:paraId="2DD46C02" w14:textId="3CCDF0B9" w:rsidR="00093791" w:rsidRPr="009749C4" w:rsidRDefault="009749C4">
            <w:pPr>
              <w:pStyle w:val="TableBodyText"/>
              <w:jc w:val="center"/>
              <w:rPr>
                <w:rFonts w:cs="Arial"/>
                <w:color w:val="FFFFFF" w:themeColor="background1"/>
                <w:sz w:val="2"/>
                <w:szCs w:val="2"/>
              </w:rPr>
            </w:pPr>
            <w:r w:rsidRPr="009749C4">
              <w:rPr>
                <w:rFonts w:cs="Arial"/>
                <w:noProof/>
                <w:color w:val="FFFFFF" w:themeColor="background1"/>
                <w:sz w:val="2"/>
                <w:szCs w:val="2"/>
                <w14:ligatures w14:val="standardContextual"/>
              </w:rPr>
              <mc:AlternateContent>
                <mc:Choice Requires="wps">
                  <w:drawing>
                    <wp:anchor distT="0" distB="0" distL="114300" distR="114300" simplePos="0" relativeHeight="251830784" behindDoc="0" locked="0" layoutInCell="1" allowOverlap="1" wp14:anchorId="2D11FBC2" wp14:editId="3D52213C">
                      <wp:simplePos x="0" y="0"/>
                      <wp:positionH relativeFrom="column">
                        <wp:posOffset>203200</wp:posOffset>
                      </wp:positionH>
                      <wp:positionV relativeFrom="paragraph">
                        <wp:posOffset>-34925</wp:posOffset>
                      </wp:positionV>
                      <wp:extent cx="191135" cy="190500"/>
                      <wp:effectExtent l="0" t="0" r="18415" b="19050"/>
                      <wp:wrapNone/>
                      <wp:docPr id="601432665"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FFAD4C"/>
                              </a:solidFill>
                              <a:ln>
                                <a:solidFill>
                                  <a:srgbClr val="FFAD4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121F67" id="Oval 2" o:spid="_x0000_s1026" alt="&quot;&quot;" style="position:absolute;margin-left:16pt;margin-top:-2.75pt;width:15.05pt;height:1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" fillcolor="#ffad4c" strokecolor="#ffad4c" strokeweight="1pt">
                      <v:stroke joinstyle="miter"/>
                    </v:oval>
                  </w:pict>
                </mc:Fallback>
              </mc:AlternateContent>
            </w:r>
            <w:r w:rsidRPr="009749C4">
              <w:rPr>
                <w:rFonts w:cs="Arial"/>
                <w:noProof/>
                <w:color w:val="FFFFFF" w:themeColor="background1"/>
                <w:sz w:val="2"/>
                <w:szCs w:val="2"/>
                <w14:ligatures w14:val="standardContextual"/>
              </w:rPr>
              <w:t xml:space="preserve">Slow progress, stagnating or moderate gap </w:t>
            </w:r>
          </w:p>
        </w:tc>
        <w:tc>
          <w:tcPr>
            <w:tcW w:w="1362" w:type="dxa"/>
            <w:vMerge/>
            <w:tcBorders>
              <w:top w:val="nil"/>
            </w:tcBorders>
            <w:shd w:val="clear" w:color="auto" w:fill="FFAD4C"/>
          </w:tcPr>
          <w:p w14:paraId="4940427F" w14:textId="77777777" w:rsidR="00093791" w:rsidRPr="007414BD" w:rsidRDefault="00093791">
            <w:pPr>
              <w:rPr>
                <w:rFonts w:cs="Arial"/>
                <w:sz w:val="20"/>
              </w:rPr>
            </w:pPr>
          </w:p>
        </w:tc>
      </w:tr>
      <w:tr w:rsidR="001809C9" w14:paraId="3DF3A6F4" w14:textId="77777777" w:rsidTr="007904AF">
        <w:trPr>
          <w:cnfStyle w:val="000000010000" w:firstRow="0" w:lastRow="0" w:firstColumn="0" w:lastColumn="0" w:oddVBand="0" w:evenVBand="0" w:oddHBand="0" w:evenHBand="1" w:firstRowFirstColumn="0" w:firstRowLastColumn="0" w:lastRowFirstColumn="0" w:lastRowLastColumn="0"/>
          <w:trHeight w:val="624"/>
        </w:trPr>
        <w:tc>
          <w:tcPr>
            <w:tcW w:w="1277" w:type="dxa"/>
            <w:vMerge/>
          </w:tcPr>
          <w:p w14:paraId="639CF484" w14:textId="77777777" w:rsidR="00093791" w:rsidRPr="00566D4F" w:rsidRDefault="00093791">
            <w:pPr>
              <w:rPr>
                <w:rStyle w:val="Characterbold"/>
                <w:rFonts w:cs="Arial"/>
                <w:sz w:val="21"/>
                <w:szCs w:val="21"/>
              </w:rPr>
            </w:pPr>
          </w:p>
        </w:tc>
        <w:tc>
          <w:tcPr>
            <w:tcW w:w="1986" w:type="dxa"/>
            <w:vMerge/>
          </w:tcPr>
          <w:p w14:paraId="175D59A7" w14:textId="77777777" w:rsidR="00093791" w:rsidRPr="00566D4F" w:rsidRDefault="00093791">
            <w:pPr>
              <w:rPr>
                <w:rStyle w:val="Characteritalic"/>
                <w:rFonts w:cs="Arial"/>
                <w:sz w:val="21"/>
                <w:szCs w:val="21"/>
              </w:rPr>
            </w:pPr>
          </w:p>
        </w:tc>
        <w:tc>
          <w:tcPr>
            <w:tcW w:w="2921" w:type="dxa"/>
            <w:vAlign w:val="center"/>
          </w:tcPr>
          <w:p w14:paraId="73450C25" w14:textId="65980D27" w:rsidR="00093791" w:rsidRPr="00566D4F" w:rsidRDefault="00093791">
            <w:pPr>
              <w:rPr>
                <w:rFonts w:cs="Arial"/>
                <w:sz w:val="21"/>
                <w:szCs w:val="21"/>
              </w:rPr>
            </w:pPr>
            <w:r w:rsidRPr="00566D4F">
              <w:rPr>
                <w:rFonts w:cs="Arial"/>
                <w:sz w:val="21"/>
                <w:szCs w:val="21"/>
              </w:rPr>
              <w:t xml:space="preserve">Proportion working in same field as </w:t>
            </w:r>
            <w:r w:rsidR="001A0B7B">
              <w:rPr>
                <w:rFonts w:cs="Arial"/>
                <w:sz w:val="21"/>
                <w:szCs w:val="21"/>
              </w:rPr>
              <w:t>most relevant</w:t>
            </w:r>
            <w:r w:rsidRPr="00566D4F">
              <w:rPr>
                <w:rFonts w:cs="Arial"/>
                <w:sz w:val="21"/>
                <w:szCs w:val="21"/>
              </w:rPr>
              <w:t xml:space="preserve"> qual</w:t>
            </w:r>
          </w:p>
        </w:tc>
        <w:tc>
          <w:tcPr>
            <w:tcW w:w="1126" w:type="dxa"/>
            <w:shd w:val="clear" w:color="auto" w:fill="FFAD4C"/>
            <w:vAlign w:val="center"/>
          </w:tcPr>
          <w:p w14:paraId="352E9EE0" w14:textId="100F8C8A" w:rsidR="001A0B7B" w:rsidRPr="007904AF" w:rsidRDefault="001A0B7B">
            <w:pPr>
              <w:pStyle w:val="TableBodyText"/>
              <w:jc w:val="center"/>
              <w:rPr>
                <w:rFonts w:cs="Arial"/>
                <w:noProof/>
                <w:sz w:val="21"/>
                <w:szCs w:val="21"/>
                <w14:ligatures w14:val="standardContextual"/>
              </w:rPr>
            </w:pPr>
            <w:r w:rsidRPr="007904AF">
              <w:rPr>
                <w:rFonts w:cs="Arial"/>
                <w:noProof/>
                <w:sz w:val="21"/>
                <w:szCs w:val="21"/>
                <w14:ligatures w14:val="standardContextual"/>
              </w:rPr>
              <w:t>72.7%</w:t>
            </w:r>
          </w:p>
        </w:tc>
        <w:tc>
          <w:tcPr>
            <w:tcW w:w="1126" w:type="dxa"/>
            <w:vAlign w:val="center"/>
          </w:tcPr>
          <w:p w14:paraId="3AEFD549" w14:textId="313233E5" w:rsidR="00093791" w:rsidRPr="009749C4" w:rsidRDefault="009749C4">
            <w:pPr>
              <w:pStyle w:val="TableBodyText"/>
              <w:jc w:val="center"/>
              <w:rPr>
                <w:rFonts w:cs="Arial"/>
                <w:color w:val="FFFFFF" w:themeColor="background1"/>
                <w:sz w:val="21"/>
                <w:szCs w:val="21"/>
              </w:rPr>
            </w:pPr>
            <w:r w:rsidRPr="009749C4">
              <w:rPr>
                <w:rFonts w:cs="Arial"/>
                <w:noProof/>
                <w:color w:val="FFFFFF" w:themeColor="background1"/>
                <w:sz w:val="21"/>
                <w:szCs w:val="21"/>
                <w14:ligatures w14:val="standardContextual"/>
              </w:rPr>
              <mc:AlternateContent>
                <mc:Choice Requires="wps">
                  <w:drawing>
                    <wp:anchor distT="0" distB="0" distL="114300" distR="114300" simplePos="0" relativeHeight="251838976" behindDoc="0" locked="0" layoutInCell="1" allowOverlap="1" wp14:anchorId="1F057867" wp14:editId="12D1C38E">
                      <wp:simplePos x="0" y="0"/>
                      <wp:positionH relativeFrom="column">
                        <wp:posOffset>205105</wp:posOffset>
                      </wp:positionH>
                      <wp:positionV relativeFrom="paragraph">
                        <wp:posOffset>3810</wp:posOffset>
                      </wp:positionV>
                      <wp:extent cx="191135" cy="190500"/>
                      <wp:effectExtent l="0" t="0" r="18415" b="19050"/>
                      <wp:wrapNone/>
                      <wp:docPr id="1499596872"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FFAD4C"/>
                              </a:solidFill>
                              <a:ln>
                                <a:solidFill>
                                  <a:srgbClr val="FFAD4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DCEA13" id="Oval 2" o:spid="_x0000_s1026" alt="&quot;&quot;" style="position:absolute;margin-left:16.15pt;margin-top:.3pt;width:15.05pt;height:1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" fillcolor="#ffad4c" strokecolor="#ffad4c" strokeweight="1pt">
                      <v:stroke joinstyle="miter"/>
                    </v:oval>
                  </w:pict>
                </mc:Fallback>
              </mc:AlternateContent>
            </w:r>
            <w:r w:rsidRPr="009749C4">
              <w:rPr>
                <w:rFonts w:cs="Arial"/>
                <w:noProof/>
                <w:color w:val="FFFFFF" w:themeColor="background1"/>
                <w:sz w:val="2"/>
                <w:szCs w:val="2"/>
                <w14:ligatures w14:val="standardContextual"/>
              </w:rPr>
              <w:t xml:space="preserve">Slow progress, stagnating or moderate gap </w:t>
            </w:r>
          </w:p>
        </w:tc>
        <w:tc>
          <w:tcPr>
            <w:tcW w:w="1362" w:type="dxa"/>
            <w:vMerge/>
            <w:shd w:val="clear" w:color="auto" w:fill="FFAD4C"/>
          </w:tcPr>
          <w:p w14:paraId="1DD63673" w14:textId="77777777" w:rsidR="00093791" w:rsidRPr="007414BD" w:rsidRDefault="00093791">
            <w:pPr>
              <w:rPr>
                <w:rFonts w:cs="Arial"/>
                <w:sz w:val="20"/>
              </w:rPr>
            </w:pPr>
          </w:p>
        </w:tc>
      </w:tr>
      <w:tr w:rsidR="00093791" w14:paraId="32F318A6" w14:textId="77777777" w:rsidTr="007904AF">
        <w:trPr>
          <w:trHeight w:val="624"/>
        </w:trPr>
        <w:tc>
          <w:tcPr>
            <w:tcW w:w="1277" w:type="dxa"/>
            <w:vMerge/>
            <w:tcBorders>
              <w:bottom w:val="single" w:sz="4" w:space="0" w:color="auto"/>
            </w:tcBorders>
            <w:shd w:val="clear" w:color="auto" w:fill="F2F2F2" w:themeFill="background1" w:themeFillShade="F2"/>
          </w:tcPr>
          <w:p w14:paraId="4758BBED" w14:textId="77777777" w:rsidR="00093791" w:rsidRPr="00566D4F" w:rsidRDefault="00093791">
            <w:pPr>
              <w:rPr>
                <w:rStyle w:val="Characterbold"/>
                <w:rFonts w:cs="Arial"/>
                <w:sz w:val="21"/>
                <w:szCs w:val="21"/>
              </w:rPr>
            </w:pPr>
          </w:p>
        </w:tc>
        <w:tc>
          <w:tcPr>
            <w:tcW w:w="1986" w:type="dxa"/>
            <w:vMerge/>
            <w:tcBorders>
              <w:bottom w:val="single" w:sz="4" w:space="0" w:color="auto"/>
            </w:tcBorders>
            <w:shd w:val="clear" w:color="auto" w:fill="F2F2F2" w:themeFill="background1" w:themeFillShade="F2"/>
          </w:tcPr>
          <w:p w14:paraId="322E5268" w14:textId="77777777" w:rsidR="00093791" w:rsidRPr="00566D4F" w:rsidRDefault="00093791">
            <w:pPr>
              <w:rPr>
                <w:rStyle w:val="Characteritalic"/>
                <w:rFonts w:cs="Arial"/>
                <w:sz w:val="21"/>
                <w:szCs w:val="21"/>
              </w:rPr>
            </w:pPr>
          </w:p>
        </w:tc>
        <w:tc>
          <w:tcPr>
            <w:tcW w:w="2921" w:type="dxa"/>
            <w:tcBorders>
              <w:bottom w:val="single" w:sz="4" w:space="0" w:color="auto"/>
            </w:tcBorders>
            <w:shd w:val="clear" w:color="auto" w:fill="F2F2F2" w:themeFill="background1" w:themeFillShade="F2"/>
            <w:vAlign w:val="center"/>
          </w:tcPr>
          <w:p w14:paraId="361C3B6B" w14:textId="77777777" w:rsidR="00093791" w:rsidRPr="00566D4F" w:rsidRDefault="00093791">
            <w:pPr>
              <w:rPr>
                <w:rFonts w:cs="Arial"/>
                <w:sz w:val="21"/>
                <w:szCs w:val="21"/>
              </w:rPr>
            </w:pPr>
            <w:r w:rsidRPr="00566D4F">
              <w:rPr>
                <w:rFonts w:cs="Arial"/>
                <w:sz w:val="21"/>
                <w:szCs w:val="21"/>
              </w:rPr>
              <w:t>Proportion working in jobs below their qualification level</w:t>
            </w:r>
          </w:p>
        </w:tc>
        <w:tc>
          <w:tcPr>
            <w:tcW w:w="1126" w:type="dxa"/>
            <w:tcBorders>
              <w:bottom w:val="single" w:sz="4" w:space="0" w:color="auto"/>
            </w:tcBorders>
            <w:shd w:val="clear" w:color="auto" w:fill="FFAD4C"/>
            <w:vAlign w:val="center"/>
          </w:tcPr>
          <w:p w14:paraId="69B81867" w14:textId="7B500488" w:rsidR="001A0B7B" w:rsidRPr="007904AF" w:rsidRDefault="001A0B7B">
            <w:pPr>
              <w:jc w:val="center"/>
              <w:rPr>
                <w:rFonts w:cs="Arial"/>
                <w:noProof/>
                <w:sz w:val="21"/>
                <w:szCs w:val="21"/>
                <w14:ligatures w14:val="standardContextual"/>
              </w:rPr>
            </w:pPr>
            <w:r w:rsidRPr="007904AF">
              <w:rPr>
                <w:rFonts w:cs="Arial"/>
                <w:noProof/>
                <w:sz w:val="21"/>
                <w:szCs w:val="21"/>
                <w14:ligatures w14:val="standardContextual"/>
              </w:rPr>
              <w:t>25.7%</w:t>
            </w:r>
          </w:p>
        </w:tc>
        <w:tc>
          <w:tcPr>
            <w:tcW w:w="1126" w:type="dxa"/>
            <w:tcBorders>
              <w:bottom w:val="single" w:sz="4" w:space="0" w:color="auto"/>
            </w:tcBorders>
            <w:shd w:val="clear" w:color="auto" w:fill="F2F2F2" w:themeFill="background1" w:themeFillShade="F2"/>
            <w:vAlign w:val="center"/>
          </w:tcPr>
          <w:p w14:paraId="74205754" w14:textId="626B28C9" w:rsidR="00093791" w:rsidRPr="009749C4" w:rsidRDefault="009749C4">
            <w:pPr>
              <w:jc w:val="center"/>
              <w:rPr>
                <w:rFonts w:cs="Arial"/>
                <w:color w:val="FFFFFF" w:themeColor="background1"/>
                <w:sz w:val="21"/>
                <w:szCs w:val="21"/>
              </w:rPr>
            </w:pPr>
            <w:r w:rsidRPr="009749C4">
              <w:rPr>
                <w:rFonts w:cs="Arial"/>
                <w:noProof/>
                <w:color w:val="FFFFFF" w:themeColor="background1"/>
                <w:sz w:val="21"/>
                <w:szCs w:val="21"/>
                <w14:ligatures w14:val="standardContextual"/>
              </w:rPr>
              <mc:AlternateContent>
                <mc:Choice Requires="wps">
                  <w:drawing>
                    <wp:anchor distT="0" distB="0" distL="114300" distR="114300" simplePos="0" relativeHeight="251847168" behindDoc="0" locked="0" layoutInCell="1" allowOverlap="1" wp14:anchorId="133EDC5A" wp14:editId="7AE1A3B4">
                      <wp:simplePos x="0" y="0"/>
                      <wp:positionH relativeFrom="column">
                        <wp:posOffset>201295</wp:posOffset>
                      </wp:positionH>
                      <wp:positionV relativeFrom="paragraph">
                        <wp:posOffset>-21590</wp:posOffset>
                      </wp:positionV>
                      <wp:extent cx="191135" cy="190500"/>
                      <wp:effectExtent l="0" t="0" r="18415" b="19050"/>
                      <wp:wrapNone/>
                      <wp:docPr id="1794066124"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FFAD4C"/>
                              </a:solidFill>
                              <a:ln>
                                <a:solidFill>
                                  <a:srgbClr val="FFAD4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70AB8F" id="Oval 2" o:spid="_x0000_s1026" alt="&quot;&quot;" style="position:absolute;margin-left:15.85pt;margin-top:-1.7pt;width:15.05pt;height:1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" fillcolor="#ffad4c" strokecolor="#ffad4c" strokeweight="1pt">
                      <v:stroke joinstyle="miter"/>
                    </v:oval>
                  </w:pict>
                </mc:Fallback>
              </mc:AlternateContent>
            </w:r>
            <w:r w:rsidRPr="009749C4">
              <w:rPr>
                <w:rFonts w:cs="Arial"/>
                <w:noProof/>
                <w:color w:val="FFFFFF" w:themeColor="background1"/>
                <w:sz w:val="2"/>
                <w:szCs w:val="2"/>
                <w14:ligatures w14:val="standardContextual"/>
              </w:rPr>
              <w:t xml:space="preserve">Slow progress, stagnating or moderate gap </w:t>
            </w:r>
          </w:p>
        </w:tc>
        <w:tc>
          <w:tcPr>
            <w:tcW w:w="1362" w:type="dxa"/>
            <w:vMerge/>
            <w:tcBorders>
              <w:bottom w:val="single" w:sz="4" w:space="0" w:color="auto"/>
            </w:tcBorders>
            <w:shd w:val="clear" w:color="auto" w:fill="FFAD4C"/>
          </w:tcPr>
          <w:p w14:paraId="17C31B18" w14:textId="77777777" w:rsidR="00093791" w:rsidRPr="007414BD" w:rsidRDefault="00093791">
            <w:pPr>
              <w:rPr>
                <w:rFonts w:cs="Arial"/>
                <w:sz w:val="20"/>
              </w:rPr>
            </w:pPr>
          </w:p>
        </w:tc>
      </w:tr>
      <w:tr w:rsidR="00093791" w14:paraId="286E9EA9" w14:textId="77777777" w:rsidTr="007904AF">
        <w:trPr>
          <w:cnfStyle w:val="000000010000" w:firstRow="0" w:lastRow="0" w:firstColumn="0" w:lastColumn="0" w:oddVBand="0" w:evenVBand="0" w:oddHBand="0" w:evenHBand="1" w:firstRowFirstColumn="0" w:firstRowLastColumn="0" w:lastRowFirstColumn="0" w:lastRowLastColumn="0"/>
          <w:trHeight w:val="510"/>
        </w:trPr>
        <w:tc>
          <w:tcPr>
            <w:tcW w:w="1277" w:type="dxa"/>
            <w:vMerge w:val="restart"/>
            <w:tcBorders>
              <w:top w:val="single" w:sz="4" w:space="0" w:color="auto"/>
              <w:bottom w:val="nil"/>
            </w:tcBorders>
            <w:shd w:val="clear" w:color="auto" w:fill="FFFFFF" w:themeFill="background1"/>
            <w:vAlign w:val="center"/>
          </w:tcPr>
          <w:p w14:paraId="3305633C" w14:textId="77777777" w:rsidR="00093791" w:rsidRPr="00566D4F" w:rsidRDefault="00093791">
            <w:pPr>
              <w:rPr>
                <w:rFonts w:cs="Arial"/>
                <w:sz w:val="21"/>
                <w:szCs w:val="21"/>
              </w:rPr>
            </w:pPr>
            <w:r w:rsidRPr="00566D4F">
              <w:rPr>
                <w:rStyle w:val="Characterbold"/>
                <w:rFonts w:cs="Arial"/>
                <w:sz w:val="21"/>
                <w:szCs w:val="21"/>
              </w:rPr>
              <w:t>Quality jobs</w:t>
            </w:r>
          </w:p>
        </w:tc>
        <w:tc>
          <w:tcPr>
            <w:tcW w:w="1986" w:type="dxa"/>
            <w:vMerge w:val="restart"/>
            <w:tcBorders>
              <w:top w:val="single" w:sz="4" w:space="0" w:color="auto"/>
              <w:bottom w:val="nil"/>
            </w:tcBorders>
            <w:shd w:val="clear" w:color="auto" w:fill="FFFFFF" w:themeFill="background1"/>
            <w:vAlign w:val="center"/>
          </w:tcPr>
          <w:p w14:paraId="70BCC0D9" w14:textId="77777777" w:rsidR="00093791" w:rsidRPr="00566D4F" w:rsidRDefault="00093791">
            <w:pPr>
              <w:rPr>
                <w:rFonts w:cs="Arial"/>
                <w:sz w:val="21"/>
                <w:szCs w:val="21"/>
              </w:rPr>
            </w:pPr>
            <w:r w:rsidRPr="00566D4F">
              <w:rPr>
                <w:rStyle w:val="Characteritalic"/>
                <w:rFonts w:cs="Arial"/>
                <w:sz w:val="21"/>
                <w:szCs w:val="21"/>
              </w:rPr>
              <w:t>Everyone employed in Regional Australia can work in a quality job that is safe, fair, rewarding and satisfying.</w:t>
            </w:r>
          </w:p>
        </w:tc>
        <w:tc>
          <w:tcPr>
            <w:tcW w:w="2921" w:type="dxa"/>
            <w:tcBorders>
              <w:top w:val="single" w:sz="4" w:space="0" w:color="auto"/>
              <w:bottom w:val="nil"/>
            </w:tcBorders>
            <w:shd w:val="clear" w:color="auto" w:fill="FFFFFF" w:themeFill="background1"/>
            <w:vAlign w:val="center"/>
          </w:tcPr>
          <w:p w14:paraId="143F2CB0" w14:textId="77777777" w:rsidR="00093791" w:rsidRPr="00566D4F" w:rsidRDefault="00093791">
            <w:pPr>
              <w:rPr>
                <w:rFonts w:cs="Arial"/>
                <w:sz w:val="21"/>
                <w:szCs w:val="21"/>
              </w:rPr>
            </w:pPr>
            <w:r w:rsidRPr="00566D4F">
              <w:rPr>
                <w:rFonts w:cs="Arial"/>
                <w:sz w:val="21"/>
                <w:szCs w:val="21"/>
              </w:rPr>
              <w:t>High job satisfaction</w:t>
            </w:r>
          </w:p>
        </w:tc>
        <w:tc>
          <w:tcPr>
            <w:tcW w:w="1126" w:type="dxa"/>
            <w:tcBorders>
              <w:top w:val="single" w:sz="4" w:space="0" w:color="auto"/>
              <w:bottom w:val="nil"/>
            </w:tcBorders>
            <w:shd w:val="clear" w:color="auto" w:fill="52BD7F"/>
            <w:vAlign w:val="center"/>
          </w:tcPr>
          <w:p w14:paraId="07CA4433" w14:textId="5C44368B" w:rsidR="00D0360E" w:rsidRPr="007904AF" w:rsidRDefault="00D0360E">
            <w:pPr>
              <w:jc w:val="center"/>
              <w:rPr>
                <w:rFonts w:cs="Arial"/>
                <w:noProof/>
                <w:sz w:val="21"/>
                <w:szCs w:val="21"/>
                <w14:ligatures w14:val="standardContextual"/>
              </w:rPr>
            </w:pPr>
            <w:r w:rsidRPr="007904AF">
              <w:rPr>
                <w:rFonts w:cs="Arial"/>
                <w:noProof/>
                <w:sz w:val="21"/>
                <w:szCs w:val="21"/>
                <w14:ligatures w14:val="standardContextual"/>
              </w:rPr>
              <w:t>38.8%</w:t>
            </w:r>
          </w:p>
        </w:tc>
        <w:tc>
          <w:tcPr>
            <w:tcW w:w="1126" w:type="dxa"/>
            <w:tcBorders>
              <w:top w:val="single" w:sz="4" w:space="0" w:color="auto"/>
              <w:bottom w:val="nil"/>
            </w:tcBorders>
            <w:shd w:val="clear" w:color="auto" w:fill="FFFFFF" w:themeFill="background1"/>
            <w:vAlign w:val="center"/>
          </w:tcPr>
          <w:p w14:paraId="56A2061F" w14:textId="049C0049" w:rsidR="00093791" w:rsidRPr="009749C4" w:rsidRDefault="009749C4">
            <w:pPr>
              <w:jc w:val="center"/>
              <w:rPr>
                <w:rFonts w:cs="Arial"/>
                <w:color w:val="FFFFFF" w:themeColor="background1"/>
                <w:sz w:val="21"/>
                <w:szCs w:val="21"/>
              </w:rPr>
            </w:pPr>
            <w:r w:rsidRPr="009749C4">
              <w:rPr>
                <w:rFonts w:cs="Arial"/>
                <w:noProof/>
                <w:color w:val="FFFFFF" w:themeColor="background1"/>
                <w:sz w:val="21"/>
                <w:szCs w:val="21"/>
                <w14:ligatures w14:val="standardContextual"/>
              </w:rPr>
              <mc:AlternateContent>
                <mc:Choice Requires="wps">
                  <w:drawing>
                    <wp:anchor distT="0" distB="0" distL="114300" distR="114300" simplePos="0" relativeHeight="251855360" behindDoc="0" locked="0" layoutInCell="1" allowOverlap="1" wp14:anchorId="7FBFB2AE" wp14:editId="1447E060">
                      <wp:simplePos x="0" y="0"/>
                      <wp:positionH relativeFrom="column">
                        <wp:posOffset>203835</wp:posOffset>
                      </wp:positionH>
                      <wp:positionV relativeFrom="paragraph">
                        <wp:posOffset>38735</wp:posOffset>
                      </wp:positionV>
                      <wp:extent cx="191135" cy="190500"/>
                      <wp:effectExtent l="0" t="0" r="18415" b="19050"/>
                      <wp:wrapNone/>
                      <wp:docPr id="376795544"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52BD7F"/>
                              </a:solidFill>
                              <a:ln>
                                <a:solidFill>
                                  <a:srgbClr val="52BD7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0A73DB" id="Oval 2" o:spid="_x0000_s1026" alt="&quot;&quot;" style="position:absolute;margin-left:16.05pt;margin-top:3.05pt;width:15.05pt;height:1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" fillcolor="#52bd7f" strokecolor="#52bd7f" strokeweight="1pt">
                      <v:stroke joinstyle="miter"/>
                    </v:oval>
                  </w:pict>
                </mc:Fallback>
              </mc:AlternateContent>
            </w:r>
            <w:r w:rsidRPr="009749C4">
              <w:rPr>
                <w:rFonts w:cs="Arial"/>
                <w:color w:val="FFFFFF" w:themeColor="background1"/>
                <w:sz w:val="2"/>
                <w:szCs w:val="2"/>
              </w:rPr>
              <w:t>On track or performing at an appropriate level</w:t>
            </w:r>
            <w:r w:rsidRPr="009749C4">
              <w:rPr>
                <w:rFonts w:cs="Arial"/>
                <w:noProof/>
                <w:color w:val="FFFFFF" w:themeColor="background1"/>
                <w:sz w:val="21"/>
                <w:szCs w:val="21"/>
                <w14:ligatures w14:val="standardContextual"/>
              </w:rPr>
              <w:t xml:space="preserve"> </w:t>
            </w:r>
          </w:p>
        </w:tc>
        <w:tc>
          <w:tcPr>
            <w:tcW w:w="1362" w:type="dxa"/>
            <w:vMerge w:val="restart"/>
            <w:tcBorders>
              <w:top w:val="single" w:sz="4" w:space="0" w:color="auto"/>
              <w:bottom w:val="nil"/>
            </w:tcBorders>
            <w:shd w:val="clear" w:color="auto" w:fill="52BD7F"/>
            <w:vAlign w:val="center"/>
          </w:tcPr>
          <w:p w14:paraId="20D1B738" w14:textId="77777777" w:rsidR="00093791" w:rsidRPr="007414BD" w:rsidRDefault="00093791">
            <w:pPr>
              <w:jc w:val="center"/>
              <w:rPr>
                <w:rFonts w:cs="Arial"/>
                <w:sz w:val="20"/>
              </w:rPr>
            </w:pPr>
            <w:r w:rsidRPr="007414BD">
              <w:rPr>
                <w:rFonts w:cs="Arial"/>
                <w:sz w:val="20"/>
              </w:rPr>
              <w:t>On track or performing at an appropriate level</w:t>
            </w:r>
          </w:p>
        </w:tc>
      </w:tr>
      <w:tr w:rsidR="00093791" w14:paraId="685F6AF0" w14:textId="77777777" w:rsidTr="007904AF">
        <w:trPr>
          <w:trHeight w:val="510"/>
        </w:trPr>
        <w:tc>
          <w:tcPr>
            <w:tcW w:w="1277" w:type="dxa"/>
            <w:vMerge/>
            <w:tcBorders>
              <w:top w:val="nil"/>
            </w:tcBorders>
            <w:shd w:val="clear" w:color="auto" w:fill="FFFFFF" w:themeFill="background1"/>
          </w:tcPr>
          <w:p w14:paraId="36C97F87" w14:textId="77777777" w:rsidR="00093791" w:rsidRPr="00566D4F" w:rsidRDefault="00093791">
            <w:pPr>
              <w:rPr>
                <w:rStyle w:val="Characterbold"/>
                <w:rFonts w:cs="Arial"/>
                <w:sz w:val="21"/>
                <w:szCs w:val="21"/>
              </w:rPr>
            </w:pPr>
          </w:p>
        </w:tc>
        <w:tc>
          <w:tcPr>
            <w:tcW w:w="1986" w:type="dxa"/>
            <w:vMerge/>
            <w:tcBorders>
              <w:top w:val="nil"/>
            </w:tcBorders>
            <w:shd w:val="clear" w:color="auto" w:fill="FFFFFF" w:themeFill="background1"/>
          </w:tcPr>
          <w:p w14:paraId="6B2E387B" w14:textId="77777777" w:rsidR="00093791" w:rsidRPr="00566D4F" w:rsidRDefault="00093791">
            <w:pPr>
              <w:rPr>
                <w:rStyle w:val="Characteritalic"/>
                <w:rFonts w:cs="Arial"/>
                <w:sz w:val="21"/>
                <w:szCs w:val="21"/>
              </w:rPr>
            </w:pPr>
          </w:p>
        </w:tc>
        <w:tc>
          <w:tcPr>
            <w:tcW w:w="2921" w:type="dxa"/>
            <w:tcBorders>
              <w:top w:val="nil"/>
            </w:tcBorders>
            <w:shd w:val="clear" w:color="auto" w:fill="FFFFFF" w:themeFill="background1"/>
            <w:vAlign w:val="center"/>
          </w:tcPr>
          <w:p w14:paraId="6739A9BD" w14:textId="77777777" w:rsidR="00093791" w:rsidRPr="00566D4F" w:rsidRDefault="00093791">
            <w:pPr>
              <w:rPr>
                <w:rFonts w:cs="Arial"/>
                <w:sz w:val="21"/>
                <w:szCs w:val="21"/>
              </w:rPr>
            </w:pPr>
            <w:r w:rsidRPr="00566D4F">
              <w:rPr>
                <w:rFonts w:cs="Arial"/>
                <w:sz w:val="21"/>
                <w:szCs w:val="21"/>
              </w:rPr>
              <w:t>Underemployment</w:t>
            </w:r>
          </w:p>
        </w:tc>
        <w:tc>
          <w:tcPr>
            <w:tcW w:w="1126" w:type="dxa"/>
            <w:tcBorders>
              <w:top w:val="nil"/>
            </w:tcBorders>
            <w:shd w:val="clear" w:color="auto" w:fill="52BD7F"/>
            <w:vAlign w:val="center"/>
          </w:tcPr>
          <w:p w14:paraId="0E3C979F" w14:textId="3237B572" w:rsidR="00D0360E" w:rsidRPr="007904AF" w:rsidRDefault="00D0360E">
            <w:pPr>
              <w:jc w:val="center"/>
              <w:rPr>
                <w:rFonts w:cs="Arial"/>
                <w:noProof/>
                <w:sz w:val="21"/>
                <w:szCs w:val="21"/>
                <w14:ligatures w14:val="standardContextual"/>
              </w:rPr>
            </w:pPr>
            <w:r w:rsidRPr="007904AF">
              <w:rPr>
                <w:rFonts w:cs="Arial"/>
                <w:noProof/>
                <w:sz w:val="21"/>
                <w:szCs w:val="21"/>
                <w14:ligatures w14:val="standardContextual"/>
              </w:rPr>
              <w:t>6.1%</w:t>
            </w:r>
          </w:p>
        </w:tc>
        <w:tc>
          <w:tcPr>
            <w:tcW w:w="1126" w:type="dxa"/>
            <w:tcBorders>
              <w:top w:val="nil"/>
            </w:tcBorders>
            <w:shd w:val="clear" w:color="auto" w:fill="FFFFFF" w:themeFill="background1"/>
            <w:vAlign w:val="center"/>
          </w:tcPr>
          <w:p w14:paraId="2A319699" w14:textId="079BED21" w:rsidR="00093791" w:rsidRPr="009749C4" w:rsidRDefault="009749C4">
            <w:pPr>
              <w:jc w:val="center"/>
              <w:rPr>
                <w:rFonts w:cs="Arial"/>
                <w:color w:val="FFFFFF" w:themeColor="background1"/>
                <w:sz w:val="21"/>
                <w:szCs w:val="21"/>
              </w:rPr>
            </w:pPr>
            <w:r w:rsidRPr="009749C4">
              <w:rPr>
                <w:rFonts w:cs="Arial"/>
                <w:color w:val="FFFFFF" w:themeColor="background1"/>
                <w:sz w:val="2"/>
                <w:szCs w:val="2"/>
              </w:rPr>
              <w:t>On track or performing at an appropriate level</w:t>
            </w:r>
            <w:r w:rsidRPr="009749C4">
              <w:rPr>
                <w:rFonts w:cs="Arial"/>
                <w:noProof/>
                <w:color w:val="FFFFFF" w:themeColor="background1"/>
                <w:sz w:val="21"/>
                <w:szCs w:val="21"/>
                <w14:ligatures w14:val="standardContextual"/>
              </w:rPr>
              <w:t xml:space="preserve"> </w:t>
            </w:r>
          </w:p>
        </w:tc>
        <w:tc>
          <w:tcPr>
            <w:tcW w:w="1362" w:type="dxa"/>
            <w:vMerge/>
            <w:tcBorders>
              <w:top w:val="nil"/>
            </w:tcBorders>
            <w:shd w:val="clear" w:color="auto" w:fill="52BD7F"/>
          </w:tcPr>
          <w:p w14:paraId="4B6B2461" w14:textId="77777777" w:rsidR="00093791" w:rsidRPr="007414BD" w:rsidRDefault="00093791">
            <w:pPr>
              <w:rPr>
                <w:rFonts w:cs="Arial"/>
                <w:sz w:val="20"/>
              </w:rPr>
            </w:pPr>
          </w:p>
        </w:tc>
      </w:tr>
      <w:tr w:rsidR="00093791" w14:paraId="582B300C" w14:textId="77777777" w:rsidTr="007904AF">
        <w:trPr>
          <w:cnfStyle w:val="000000010000" w:firstRow="0" w:lastRow="0" w:firstColumn="0" w:lastColumn="0" w:oddVBand="0" w:evenVBand="0" w:oddHBand="0" w:evenHBand="1" w:firstRowFirstColumn="0" w:firstRowLastColumn="0" w:lastRowFirstColumn="0" w:lastRowLastColumn="0"/>
          <w:trHeight w:val="510"/>
        </w:trPr>
        <w:tc>
          <w:tcPr>
            <w:tcW w:w="1277" w:type="dxa"/>
            <w:vMerge/>
            <w:shd w:val="clear" w:color="auto" w:fill="FFFFFF" w:themeFill="background1"/>
          </w:tcPr>
          <w:p w14:paraId="2F9660E4" w14:textId="77777777" w:rsidR="00093791" w:rsidRPr="00566D4F" w:rsidRDefault="00093791">
            <w:pPr>
              <w:rPr>
                <w:rStyle w:val="Characterbold"/>
                <w:rFonts w:cs="Arial"/>
                <w:sz w:val="21"/>
                <w:szCs w:val="21"/>
              </w:rPr>
            </w:pPr>
          </w:p>
        </w:tc>
        <w:tc>
          <w:tcPr>
            <w:tcW w:w="1986" w:type="dxa"/>
            <w:vMerge/>
            <w:shd w:val="clear" w:color="auto" w:fill="FFFFFF" w:themeFill="background1"/>
          </w:tcPr>
          <w:p w14:paraId="370FCD4A" w14:textId="77777777" w:rsidR="00093791" w:rsidRPr="00566D4F" w:rsidRDefault="00093791">
            <w:pPr>
              <w:rPr>
                <w:rStyle w:val="Characteritalic"/>
                <w:rFonts w:cs="Arial"/>
                <w:sz w:val="21"/>
                <w:szCs w:val="21"/>
              </w:rPr>
            </w:pPr>
          </w:p>
        </w:tc>
        <w:tc>
          <w:tcPr>
            <w:tcW w:w="2921" w:type="dxa"/>
            <w:shd w:val="clear" w:color="auto" w:fill="FFFFFF" w:themeFill="background1"/>
            <w:vAlign w:val="center"/>
          </w:tcPr>
          <w:p w14:paraId="74436E24" w14:textId="77777777" w:rsidR="00093791" w:rsidRPr="00566D4F" w:rsidRDefault="00093791">
            <w:pPr>
              <w:rPr>
                <w:rFonts w:cs="Arial"/>
                <w:sz w:val="21"/>
                <w:szCs w:val="21"/>
              </w:rPr>
            </w:pPr>
            <w:r w:rsidRPr="00566D4F">
              <w:rPr>
                <w:rFonts w:cs="Arial"/>
                <w:sz w:val="21"/>
                <w:szCs w:val="21"/>
              </w:rPr>
              <w:t>Income inequality ratio</w:t>
            </w:r>
          </w:p>
        </w:tc>
        <w:tc>
          <w:tcPr>
            <w:tcW w:w="1126" w:type="dxa"/>
            <w:shd w:val="clear" w:color="auto" w:fill="FFAD4C"/>
            <w:vAlign w:val="center"/>
          </w:tcPr>
          <w:p w14:paraId="4FA49972" w14:textId="045C3DD9" w:rsidR="00D0360E" w:rsidRPr="007904AF" w:rsidRDefault="00D0360E">
            <w:pPr>
              <w:jc w:val="center"/>
              <w:rPr>
                <w:rFonts w:cs="Arial"/>
                <w:noProof/>
                <w:sz w:val="21"/>
                <w:szCs w:val="21"/>
                <w14:ligatures w14:val="standardContextual"/>
              </w:rPr>
            </w:pPr>
            <w:r w:rsidRPr="007904AF">
              <w:rPr>
                <w:rFonts w:cs="Arial"/>
                <w:noProof/>
                <w:sz w:val="21"/>
                <w:szCs w:val="21"/>
                <w14:ligatures w14:val="standardContextual"/>
              </w:rPr>
              <w:t>3.5</w:t>
            </w:r>
          </w:p>
        </w:tc>
        <w:tc>
          <w:tcPr>
            <w:tcW w:w="1126" w:type="dxa"/>
            <w:shd w:val="clear" w:color="auto" w:fill="FFFFFF" w:themeFill="background1"/>
            <w:vAlign w:val="center"/>
          </w:tcPr>
          <w:p w14:paraId="59E5483F" w14:textId="1CC865BE" w:rsidR="00093791" w:rsidRPr="009749C4" w:rsidRDefault="009749C4">
            <w:pPr>
              <w:jc w:val="center"/>
              <w:rPr>
                <w:rFonts w:cs="Arial"/>
                <w:color w:val="FFFFFF" w:themeColor="background1"/>
                <w:sz w:val="21"/>
                <w:szCs w:val="21"/>
              </w:rPr>
            </w:pPr>
            <w:r w:rsidRPr="009749C4">
              <w:rPr>
                <w:rFonts w:cs="Arial"/>
                <w:noProof/>
                <w:color w:val="FFFFFF" w:themeColor="background1"/>
                <w:sz w:val="2"/>
                <w:szCs w:val="2"/>
                <w14:ligatures w14:val="standardContextual"/>
              </w:rPr>
              <w:t xml:space="preserve">Slow progress, stagnating or moderate gap </w:t>
            </w:r>
          </w:p>
        </w:tc>
        <w:tc>
          <w:tcPr>
            <w:tcW w:w="1362" w:type="dxa"/>
            <w:vMerge/>
            <w:shd w:val="clear" w:color="auto" w:fill="52BD7F"/>
          </w:tcPr>
          <w:p w14:paraId="4C118BC0" w14:textId="77777777" w:rsidR="00093791" w:rsidRPr="007414BD" w:rsidRDefault="00093791">
            <w:pPr>
              <w:rPr>
                <w:rFonts w:cs="Arial"/>
                <w:sz w:val="20"/>
              </w:rPr>
            </w:pPr>
          </w:p>
        </w:tc>
      </w:tr>
      <w:tr w:rsidR="00093791" w14:paraId="0F3998FC" w14:textId="77777777" w:rsidTr="007904AF">
        <w:trPr>
          <w:trHeight w:val="510"/>
        </w:trPr>
        <w:tc>
          <w:tcPr>
            <w:tcW w:w="1277" w:type="dxa"/>
            <w:vMerge/>
            <w:tcBorders>
              <w:bottom w:val="single" w:sz="4" w:space="0" w:color="auto"/>
            </w:tcBorders>
            <w:shd w:val="clear" w:color="auto" w:fill="FFFFFF" w:themeFill="background1"/>
          </w:tcPr>
          <w:p w14:paraId="0BDF1A66" w14:textId="77777777" w:rsidR="00093791" w:rsidRPr="00566D4F" w:rsidRDefault="00093791">
            <w:pPr>
              <w:rPr>
                <w:rStyle w:val="Characterbold"/>
                <w:rFonts w:cs="Arial"/>
                <w:sz w:val="21"/>
                <w:szCs w:val="21"/>
              </w:rPr>
            </w:pPr>
          </w:p>
        </w:tc>
        <w:tc>
          <w:tcPr>
            <w:tcW w:w="1986" w:type="dxa"/>
            <w:vMerge/>
            <w:tcBorders>
              <w:bottom w:val="single" w:sz="4" w:space="0" w:color="auto"/>
            </w:tcBorders>
            <w:shd w:val="clear" w:color="auto" w:fill="FFFFFF" w:themeFill="background1"/>
          </w:tcPr>
          <w:p w14:paraId="09046CF6" w14:textId="77777777" w:rsidR="00093791" w:rsidRPr="00566D4F" w:rsidRDefault="00093791">
            <w:pPr>
              <w:rPr>
                <w:rStyle w:val="Characteritalic"/>
                <w:rFonts w:cs="Arial"/>
                <w:sz w:val="21"/>
                <w:szCs w:val="21"/>
              </w:rPr>
            </w:pPr>
          </w:p>
        </w:tc>
        <w:tc>
          <w:tcPr>
            <w:tcW w:w="2921" w:type="dxa"/>
            <w:tcBorders>
              <w:bottom w:val="single" w:sz="4" w:space="0" w:color="auto"/>
            </w:tcBorders>
            <w:shd w:val="clear" w:color="auto" w:fill="FFFFFF" w:themeFill="background1"/>
            <w:vAlign w:val="center"/>
          </w:tcPr>
          <w:p w14:paraId="09D4CBCC" w14:textId="5F203A46" w:rsidR="00093791" w:rsidRPr="00566D4F" w:rsidRDefault="00D0360E">
            <w:pPr>
              <w:rPr>
                <w:rFonts w:cs="Arial"/>
                <w:sz w:val="21"/>
                <w:szCs w:val="21"/>
              </w:rPr>
            </w:pPr>
            <w:r>
              <w:rPr>
                <w:rFonts w:cs="Arial"/>
                <w:sz w:val="21"/>
                <w:szCs w:val="21"/>
              </w:rPr>
              <w:t>Workers’ compensation</w:t>
            </w:r>
            <w:r w:rsidR="00093791" w:rsidRPr="00566D4F">
              <w:rPr>
                <w:rFonts w:cs="Arial"/>
                <w:sz w:val="21"/>
                <w:szCs w:val="21"/>
              </w:rPr>
              <w:t xml:space="preserve"> incidence rate</w:t>
            </w:r>
          </w:p>
        </w:tc>
        <w:tc>
          <w:tcPr>
            <w:tcW w:w="1126" w:type="dxa"/>
            <w:tcBorders>
              <w:bottom w:val="single" w:sz="4" w:space="0" w:color="auto"/>
            </w:tcBorders>
            <w:shd w:val="clear" w:color="auto" w:fill="FFAD4C"/>
            <w:vAlign w:val="center"/>
          </w:tcPr>
          <w:p w14:paraId="692DA080" w14:textId="45F8DCD7" w:rsidR="00D0360E" w:rsidRPr="007904AF" w:rsidRDefault="00D0360E">
            <w:pPr>
              <w:jc w:val="center"/>
              <w:rPr>
                <w:rFonts w:cs="Arial"/>
                <w:noProof/>
                <w:sz w:val="21"/>
                <w:szCs w:val="21"/>
                <w14:ligatures w14:val="standardContextual"/>
              </w:rPr>
            </w:pPr>
            <w:r w:rsidRPr="007904AF">
              <w:rPr>
                <w:rFonts w:cs="Arial"/>
                <w:noProof/>
                <w:sz w:val="21"/>
                <w:szCs w:val="21"/>
                <w14:ligatures w14:val="standardContextual"/>
              </w:rPr>
              <w:t>9.6</w:t>
            </w:r>
          </w:p>
        </w:tc>
        <w:tc>
          <w:tcPr>
            <w:tcW w:w="1126" w:type="dxa"/>
            <w:tcBorders>
              <w:bottom w:val="single" w:sz="4" w:space="0" w:color="auto"/>
            </w:tcBorders>
            <w:shd w:val="clear" w:color="auto" w:fill="FFFFFF" w:themeFill="background1"/>
            <w:vAlign w:val="center"/>
          </w:tcPr>
          <w:p w14:paraId="439B0DF4" w14:textId="4EF3DCAD" w:rsidR="00093791" w:rsidRPr="009749C4" w:rsidRDefault="009749C4">
            <w:pPr>
              <w:jc w:val="center"/>
              <w:rPr>
                <w:rFonts w:cs="Arial"/>
                <w:color w:val="FFFFFF" w:themeColor="background1"/>
                <w:sz w:val="21"/>
                <w:szCs w:val="21"/>
              </w:rPr>
            </w:pPr>
            <w:r w:rsidRPr="009749C4">
              <w:rPr>
                <w:rFonts w:cs="Arial"/>
                <w:noProof/>
                <w:color w:val="FFFFFF" w:themeColor="background1"/>
                <w:sz w:val="21"/>
                <w:szCs w:val="21"/>
                <w14:ligatures w14:val="standardContextual"/>
              </w:rPr>
              <mc:AlternateContent>
                <mc:Choice Requires="wps">
                  <w:drawing>
                    <wp:anchor distT="0" distB="0" distL="114300" distR="114300" simplePos="0" relativeHeight="251871744" behindDoc="0" locked="0" layoutInCell="1" allowOverlap="1" wp14:anchorId="4C8BF68D" wp14:editId="30D0ACA4">
                      <wp:simplePos x="0" y="0"/>
                      <wp:positionH relativeFrom="column">
                        <wp:posOffset>210185</wp:posOffset>
                      </wp:positionH>
                      <wp:positionV relativeFrom="paragraph">
                        <wp:posOffset>-443230</wp:posOffset>
                      </wp:positionV>
                      <wp:extent cx="191135" cy="190500"/>
                      <wp:effectExtent l="0" t="0" r="18415" b="19050"/>
                      <wp:wrapNone/>
                      <wp:docPr id="1252097167"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FFAD4C"/>
                              </a:solidFill>
                              <a:ln>
                                <a:solidFill>
                                  <a:srgbClr val="FFAD4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A33FD3" id="Oval 2" o:spid="_x0000_s1026" alt="&quot;&quot;" style="position:absolute;margin-left:16.55pt;margin-top:-34.9pt;width:15.05pt;height:1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" fillcolor="#ffad4c" strokecolor="#ffad4c" strokeweight="1pt">
                      <v:stroke joinstyle="miter"/>
                    </v:oval>
                  </w:pict>
                </mc:Fallback>
              </mc:AlternateContent>
            </w:r>
            <w:r w:rsidRPr="009749C4">
              <w:rPr>
                <w:rFonts w:cs="Arial"/>
                <w:noProof/>
                <w:color w:val="FFFFFF" w:themeColor="background1"/>
                <w:sz w:val="21"/>
                <w:szCs w:val="21"/>
                <w14:ligatures w14:val="standardContextual"/>
              </w:rPr>
              <mc:AlternateContent>
                <mc:Choice Requires="wps">
                  <w:drawing>
                    <wp:anchor distT="0" distB="0" distL="114300" distR="114300" simplePos="0" relativeHeight="251863552" behindDoc="0" locked="0" layoutInCell="1" allowOverlap="1" wp14:anchorId="644A3D11" wp14:editId="247788C9">
                      <wp:simplePos x="0" y="0"/>
                      <wp:positionH relativeFrom="column">
                        <wp:posOffset>209550</wp:posOffset>
                      </wp:positionH>
                      <wp:positionV relativeFrom="paragraph">
                        <wp:posOffset>-748665</wp:posOffset>
                      </wp:positionV>
                      <wp:extent cx="191135" cy="190500"/>
                      <wp:effectExtent l="0" t="0" r="18415" b="19050"/>
                      <wp:wrapNone/>
                      <wp:docPr id="761956741"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52BD7F"/>
                              </a:solidFill>
                              <a:ln>
                                <a:solidFill>
                                  <a:srgbClr val="52BD7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4740D7" id="Oval 2" o:spid="_x0000_s1026" alt="&quot;&quot;" style="position:absolute;margin-left:16.5pt;margin-top:-58.95pt;width:15.05pt;height:1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" fillcolor="#52bd7f" strokecolor="#52bd7f" strokeweight="1pt">
                      <v:stroke joinstyle="miter"/>
                    </v:oval>
                  </w:pict>
                </mc:Fallback>
              </mc:AlternateContent>
            </w:r>
            <w:r w:rsidRPr="009749C4">
              <w:rPr>
                <w:rFonts w:cs="Arial"/>
                <w:noProof/>
                <w:color w:val="FFFFFF" w:themeColor="background1"/>
                <w:sz w:val="2"/>
                <w:szCs w:val="2"/>
                <w14:ligatures w14:val="standardContextual"/>
              </w:rPr>
              <w:t xml:space="preserve">Slow progress, stagnating or moderate gap </w:t>
            </w:r>
          </w:p>
        </w:tc>
        <w:tc>
          <w:tcPr>
            <w:tcW w:w="1362" w:type="dxa"/>
            <w:vMerge/>
            <w:tcBorders>
              <w:bottom w:val="single" w:sz="4" w:space="0" w:color="auto"/>
            </w:tcBorders>
            <w:shd w:val="clear" w:color="auto" w:fill="52BD7F"/>
          </w:tcPr>
          <w:p w14:paraId="2E731000" w14:textId="77777777" w:rsidR="00093791" w:rsidRPr="007414BD" w:rsidRDefault="00093791">
            <w:pPr>
              <w:rPr>
                <w:rFonts w:cs="Arial"/>
                <w:sz w:val="20"/>
              </w:rPr>
            </w:pPr>
          </w:p>
        </w:tc>
      </w:tr>
      <w:tr w:rsidR="007904AF" w14:paraId="65E96B7D" w14:textId="77777777" w:rsidTr="007904AF">
        <w:trPr>
          <w:cnfStyle w:val="000000010000" w:firstRow="0" w:lastRow="0" w:firstColumn="0" w:lastColumn="0" w:oddVBand="0" w:evenVBand="0" w:oddHBand="0" w:evenHBand="1" w:firstRowFirstColumn="0" w:firstRowLastColumn="0" w:lastRowFirstColumn="0" w:lastRowLastColumn="0"/>
          <w:trHeight w:val="510"/>
        </w:trPr>
        <w:tc>
          <w:tcPr>
            <w:tcW w:w="1277" w:type="dxa"/>
            <w:vMerge w:val="restart"/>
            <w:tcBorders>
              <w:top w:val="single" w:sz="4" w:space="0" w:color="auto"/>
              <w:bottom w:val="nil"/>
            </w:tcBorders>
            <w:vAlign w:val="center"/>
          </w:tcPr>
          <w:p w14:paraId="2FAEABE0" w14:textId="77777777" w:rsidR="00093791" w:rsidRPr="00566D4F" w:rsidRDefault="00093791">
            <w:pPr>
              <w:rPr>
                <w:rStyle w:val="Characterbold"/>
                <w:rFonts w:cs="Arial"/>
                <w:sz w:val="21"/>
                <w:szCs w:val="21"/>
              </w:rPr>
            </w:pPr>
            <w:r w:rsidRPr="00566D4F">
              <w:rPr>
                <w:rStyle w:val="Characterbold"/>
                <w:rFonts w:cs="Arial"/>
                <w:sz w:val="21"/>
                <w:szCs w:val="21"/>
              </w:rPr>
              <w:t>Meeting demand</w:t>
            </w:r>
          </w:p>
        </w:tc>
        <w:tc>
          <w:tcPr>
            <w:tcW w:w="1986" w:type="dxa"/>
            <w:vMerge w:val="restart"/>
            <w:tcBorders>
              <w:top w:val="single" w:sz="4" w:space="0" w:color="auto"/>
              <w:bottom w:val="nil"/>
            </w:tcBorders>
            <w:vAlign w:val="center"/>
          </w:tcPr>
          <w:p w14:paraId="5B049048" w14:textId="77777777" w:rsidR="00093791" w:rsidRPr="00566D4F" w:rsidRDefault="00093791">
            <w:pPr>
              <w:rPr>
                <w:rStyle w:val="Characteritalic"/>
                <w:rFonts w:cs="Arial"/>
                <w:sz w:val="21"/>
                <w:szCs w:val="21"/>
              </w:rPr>
            </w:pPr>
            <w:r w:rsidRPr="00566D4F">
              <w:rPr>
                <w:rStyle w:val="Characteritalic"/>
                <w:rFonts w:cs="Arial"/>
                <w:sz w:val="21"/>
                <w:szCs w:val="21"/>
              </w:rPr>
              <w:t>Regional Australia and its employers can access, attract and develop sufficient suitable labour, including as skills needs change.</w:t>
            </w:r>
          </w:p>
        </w:tc>
        <w:tc>
          <w:tcPr>
            <w:tcW w:w="2921" w:type="dxa"/>
            <w:tcBorders>
              <w:top w:val="single" w:sz="4" w:space="0" w:color="auto"/>
              <w:bottom w:val="nil"/>
            </w:tcBorders>
            <w:vAlign w:val="center"/>
          </w:tcPr>
          <w:p w14:paraId="5920072D" w14:textId="77777777" w:rsidR="00093791" w:rsidRPr="00566D4F" w:rsidRDefault="00093791">
            <w:pPr>
              <w:rPr>
                <w:rFonts w:cs="Arial"/>
                <w:sz w:val="21"/>
                <w:szCs w:val="21"/>
              </w:rPr>
            </w:pPr>
            <w:r w:rsidRPr="00566D4F">
              <w:rPr>
                <w:rFonts w:cs="Arial"/>
                <w:sz w:val="21"/>
                <w:szCs w:val="21"/>
              </w:rPr>
              <w:t>Vacancy fill rate</w:t>
            </w:r>
          </w:p>
        </w:tc>
        <w:tc>
          <w:tcPr>
            <w:tcW w:w="1126" w:type="dxa"/>
            <w:tcBorders>
              <w:top w:val="single" w:sz="4" w:space="0" w:color="auto"/>
              <w:bottom w:val="nil"/>
            </w:tcBorders>
            <w:shd w:val="clear" w:color="auto" w:fill="FFAD4C"/>
            <w:vAlign w:val="center"/>
          </w:tcPr>
          <w:p w14:paraId="6C931A7F" w14:textId="6D121654" w:rsidR="00D0360E" w:rsidRPr="007904AF" w:rsidRDefault="00D0360E">
            <w:pPr>
              <w:pStyle w:val="TableBodyText"/>
              <w:jc w:val="center"/>
              <w:rPr>
                <w:rFonts w:cs="Arial"/>
                <w:noProof/>
                <w:sz w:val="21"/>
                <w:szCs w:val="21"/>
                <w14:ligatures w14:val="standardContextual"/>
              </w:rPr>
            </w:pPr>
            <w:r w:rsidRPr="007904AF">
              <w:rPr>
                <w:rFonts w:cs="Arial"/>
                <w:noProof/>
                <w:sz w:val="21"/>
                <w:szCs w:val="21"/>
                <w14:ligatures w14:val="standardContextual"/>
              </w:rPr>
              <w:t>64.7%</w:t>
            </w:r>
          </w:p>
        </w:tc>
        <w:tc>
          <w:tcPr>
            <w:tcW w:w="1126" w:type="dxa"/>
            <w:tcBorders>
              <w:top w:val="single" w:sz="4" w:space="0" w:color="auto"/>
              <w:bottom w:val="nil"/>
            </w:tcBorders>
            <w:vAlign w:val="center"/>
          </w:tcPr>
          <w:p w14:paraId="3CC02E34" w14:textId="4F5C3B33" w:rsidR="00093791" w:rsidRPr="009749C4" w:rsidRDefault="007904AF">
            <w:pPr>
              <w:pStyle w:val="TableBodyText"/>
              <w:jc w:val="center"/>
              <w:rPr>
                <w:rFonts w:cs="Arial"/>
                <w:color w:val="FFFFFF" w:themeColor="background1"/>
                <w:sz w:val="21"/>
                <w:szCs w:val="21"/>
              </w:rPr>
            </w:pPr>
            <w:r w:rsidRPr="009749C4">
              <w:rPr>
                <w:rFonts w:cs="Arial"/>
                <w:noProof/>
                <w:color w:val="FFFFFF" w:themeColor="background1"/>
                <w:sz w:val="21"/>
                <w:szCs w:val="21"/>
                <w14:ligatures w14:val="standardContextual"/>
              </w:rPr>
              <mc:AlternateContent>
                <mc:Choice Requires="wps">
                  <w:drawing>
                    <wp:anchor distT="0" distB="0" distL="114300" distR="114300" simplePos="0" relativeHeight="251888128" behindDoc="0" locked="0" layoutInCell="1" allowOverlap="1" wp14:anchorId="6C4C4527" wp14:editId="39DD52CD">
                      <wp:simplePos x="0" y="0"/>
                      <wp:positionH relativeFrom="column">
                        <wp:posOffset>213360</wp:posOffset>
                      </wp:positionH>
                      <wp:positionV relativeFrom="paragraph">
                        <wp:posOffset>41910</wp:posOffset>
                      </wp:positionV>
                      <wp:extent cx="191135" cy="190500"/>
                      <wp:effectExtent l="0" t="0" r="18415" b="19050"/>
                      <wp:wrapNone/>
                      <wp:docPr id="1147096316"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FFAD4C"/>
                              </a:solidFill>
                              <a:ln>
                                <a:solidFill>
                                  <a:srgbClr val="FFAD4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CBE9A0" id="Oval 2" o:spid="_x0000_s1026" alt="&quot;&quot;" style="position:absolute;margin-left:16.8pt;margin-top:3.3pt;width:15.05pt;height:1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" fillcolor="#ffad4c" strokecolor="#ffad4c" strokeweight="1pt">
                      <v:stroke joinstyle="miter"/>
                    </v:oval>
                  </w:pict>
                </mc:Fallback>
              </mc:AlternateContent>
            </w:r>
            <w:r w:rsidR="009749C4" w:rsidRPr="009749C4">
              <w:rPr>
                <w:rFonts w:cs="Arial"/>
                <w:noProof/>
                <w:color w:val="FFFFFF" w:themeColor="background1"/>
                <w:sz w:val="2"/>
                <w:szCs w:val="2"/>
                <w14:ligatures w14:val="standardContextual"/>
              </w:rPr>
              <w:t xml:space="preserve">Slow progress, stagnating or moderate gap </w:t>
            </w:r>
          </w:p>
        </w:tc>
        <w:tc>
          <w:tcPr>
            <w:tcW w:w="1362" w:type="dxa"/>
            <w:vMerge w:val="restart"/>
            <w:tcBorders>
              <w:top w:val="single" w:sz="4" w:space="0" w:color="auto"/>
              <w:bottom w:val="nil"/>
            </w:tcBorders>
            <w:shd w:val="clear" w:color="auto" w:fill="FFAD4C"/>
            <w:vAlign w:val="center"/>
          </w:tcPr>
          <w:p w14:paraId="33B94719" w14:textId="77777777" w:rsidR="00093791" w:rsidRPr="007414BD" w:rsidRDefault="00093791">
            <w:pPr>
              <w:jc w:val="center"/>
              <w:rPr>
                <w:rFonts w:cs="Arial"/>
                <w:sz w:val="20"/>
              </w:rPr>
            </w:pPr>
            <w:r w:rsidRPr="007414BD">
              <w:rPr>
                <w:rFonts w:cs="Arial"/>
                <w:sz w:val="20"/>
              </w:rPr>
              <w:t>Slow progress, stagnating or moderate gap</w:t>
            </w:r>
          </w:p>
        </w:tc>
      </w:tr>
      <w:tr w:rsidR="00093791" w14:paraId="499959F8" w14:textId="77777777" w:rsidTr="007414BD">
        <w:trPr>
          <w:trHeight w:val="510"/>
        </w:trPr>
        <w:tc>
          <w:tcPr>
            <w:tcW w:w="1277" w:type="dxa"/>
            <w:vMerge/>
            <w:tcBorders>
              <w:top w:val="nil"/>
            </w:tcBorders>
            <w:vAlign w:val="center"/>
          </w:tcPr>
          <w:p w14:paraId="46CD7958" w14:textId="77777777" w:rsidR="00093791" w:rsidRPr="00566D4F" w:rsidRDefault="00093791">
            <w:pPr>
              <w:rPr>
                <w:rStyle w:val="Characterbold"/>
                <w:rFonts w:cs="Arial"/>
                <w:sz w:val="21"/>
                <w:szCs w:val="21"/>
              </w:rPr>
            </w:pPr>
          </w:p>
        </w:tc>
        <w:tc>
          <w:tcPr>
            <w:tcW w:w="1986" w:type="dxa"/>
            <w:vMerge/>
            <w:tcBorders>
              <w:top w:val="nil"/>
            </w:tcBorders>
            <w:shd w:val="clear" w:color="auto" w:fill="F2F2F2" w:themeFill="background1" w:themeFillShade="F2"/>
            <w:vAlign w:val="center"/>
          </w:tcPr>
          <w:p w14:paraId="53B50420" w14:textId="77777777" w:rsidR="00093791" w:rsidRPr="00566D4F" w:rsidRDefault="00093791">
            <w:pPr>
              <w:rPr>
                <w:rStyle w:val="Characteritalic"/>
                <w:rFonts w:cs="Arial"/>
                <w:sz w:val="21"/>
                <w:szCs w:val="21"/>
              </w:rPr>
            </w:pPr>
          </w:p>
        </w:tc>
        <w:tc>
          <w:tcPr>
            <w:tcW w:w="2921" w:type="dxa"/>
            <w:tcBorders>
              <w:top w:val="nil"/>
            </w:tcBorders>
            <w:shd w:val="clear" w:color="auto" w:fill="F2F2F2" w:themeFill="background1" w:themeFillShade="F2"/>
            <w:vAlign w:val="center"/>
          </w:tcPr>
          <w:p w14:paraId="626C33B0" w14:textId="216F3F61" w:rsidR="00093791" w:rsidRPr="00566D4F" w:rsidRDefault="00093791">
            <w:pPr>
              <w:rPr>
                <w:rFonts w:cs="Arial"/>
                <w:sz w:val="21"/>
                <w:szCs w:val="21"/>
              </w:rPr>
            </w:pPr>
            <w:r w:rsidRPr="00566D4F">
              <w:rPr>
                <w:rFonts w:cs="Arial"/>
                <w:sz w:val="21"/>
                <w:szCs w:val="21"/>
              </w:rPr>
              <w:t>Essential service</w:t>
            </w:r>
            <w:r w:rsidR="005F3A40">
              <w:rPr>
                <w:rFonts w:cs="Arial"/>
                <w:sz w:val="21"/>
                <w:szCs w:val="21"/>
              </w:rPr>
              <w:t>s</w:t>
            </w:r>
            <w:r w:rsidRPr="00566D4F">
              <w:rPr>
                <w:rFonts w:cs="Arial"/>
                <w:sz w:val="21"/>
                <w:szCs w:val="21"/>
              </w:rPr>
              <w:t xml:space="preserve"> vacancy rate</w:t>
            </w:r>
          </w:p>
        </w:tc>
        <w:tc>
          <w:tcPr>
            <w:tcW w:w="1126" w:type="dxa"/>
            <w:tcBorders>
              <w:top w:val="nil"/>
            </w:tcBorders>
            <w:shd w:val="clear" w:color="auto" w:fill="DF5454"/>
            <w:vAlign w:val="center"/>
          </w:tcPr>
          <w:p w14:paraId="7C6D0482" w14:textId="1F305B17" w:rsidR="00FD7861" w:rsidRPr="007414BD" w:rsidRDefault="00FD7861">
            <w:pPr>
              <w:pStyle w:val="TableBodyText"/>
              <w:jc w:val="center"/>
              <w:rPr>
                <w:rFonts w:cs="Arial"/>
                <w:noProof/>
                <w:sz w:val="21"/>
                <w:szCs w:val="21"/>
                <w14:ligatures w14:val="standardContextual"/>
              </w:rPr>
            </w:pPr>
            <w:r w:rsidRPr="007414BD">
              <w:rPr>
                <w:rFonts w:cs="Arial"/>
                <w:noProof/>
                <w:sz w:val="21"/>
                <w:szCs w:val="21"/>
                <w14:ligatures w14:val="standardContextual"/>
              </w:rPr>
              <w:t>8.5%</w:t>
            </w:r>
          </w:p>
        </w:tc>
        <w:tc>
          <w:tcPr>
            <w:tcW w:w="1126" w:type="dxa"/>
            <w:tcBorders>
              <w:top w:val="nil"/>
            </w:tcBorders>
            <w:shd w:val="clear" w:color="auto" w:fill="F2F2F2" w:themeFill="background1" w:themeFillShade="F2"/>
            <w:vAlign w:val="center"/>
          </w:tcPr>
          <w:p w14:paraId="6C07CEA3" w14:textId="01B28AAC" w:rsidR="00093791" w:rsidRPr="009749C4" w:rsidRDefault="007904AF">
            <w:pPr>
              <w:pStyle w:val="TableBodyText"/>
              <w:jc w:val="center"/>
              <w:rPr>
                <w:rFonts w:cs="Arial"/>
                <w:color w:val="FFFFFF" w:themeColor="background1"/>
                <w:sz w:val="21"/>
                <w:szCs w:val="21"/>
              </w:rPr>
            </w:pPr>
            <w:r w:rsidRPr="009749C4">
              <w:rPr>
                <w:rFonts w:cs="Arial"/>
                <w:noProof/>
                <w:color w:val="FFFFFF" w:themeColor="background1"/>
                <w:sz w:val="21"/>
                <w:szCs w:val="21"/>
                <w14:ligatures w14:val="standardContextual"/>
              </w:rPr>
              <mc:AlternateContent>
                <mc:Choice Requires="wps">
                  <w:drawing>
                    <wp:anchor distT="0" distB="0" distL="114300" distR="114300" simplePos="0" relativeHeight="251896320" behindDoc="0" locked="0" layoutInCell="1" allowOverlap="1" wp14:anchorId="0ADA4119" wp14:editId="6E4C216F">
                      <wp:simplePos x="0" y="0"/>
                      <wp:positionH relativeFrom="column">
                        <wp:posOffset>193675</wp:posOffset>
                      </wp:positionH>
                      <wp:positionV relativeFrom="paragraph">
                        <wp:posOffset>8255</wp:posOffset>
                      </wp:positionV>
                      <wp:extent cx="191135" cy="190500"/>
                      <wp:effectExtent l="0" t="0" r="18415" b="19050"/>
                      <wp:wrapNone/>
                      <wp:docPr id="731174973"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DF5454"/>
                              </a:solidFill>
                              <a:ln>
                                <a:solidFill>
                                  <a:srgbClr val="DF545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402AC2" id="Oval 2" o:spid="_x0000_s1026" alt="&quot;&quot;" style="position:absolute;margin-left:15.25pt;margin-top:.65pt;width:15.05pt;height:1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" fillcolor="#df5454" strokecolor="#df5454" strokeweight="1pt">
                      <v:stroke joinstyle="miter"/>
                    </v:oval>
                  </w:pict>
                </mc:Fallback>
              </mc:AlternateContent>
            </w:r>
            <w:r w:rsidR="009749C4" w:rsidRPr="009749C4">
              <w:rPr>
                <w:rFonts w:cs="Arial"/>
                <w:noProof/>
                <w:color w:val="FFFFFF" w:themeColor="background1"/>
                <w:sz w:val="21"/>
                <w:szCs w:val="21"/>
                <w14:ligatures w14:val="standardContextual"/>
              </w:rPr>
              <mc:AlternateContent>
                <mc:Choice Requires="wps">
                  <w:drawing>
                    <wp:anchor distT="0" distB="0" distL="114300" distR="114300" simplePos="0" relativeHeight="251879936" behindDoc="0" locked="0" layoutInCell="1" allowOverlap="1" wp14:anchorId="7AD804B9" wp14:editId="18C74C8E">
                      <wp:simplePos x="0" y="0"/>
                      <wp:positionH relativeFrom="column">
                        <wp:posOffset>201930</wp:posOffset>
                      </wp:positionH>
                      <wp:positionV relativeFrom="paragraph">
                        <wp:posOffset>-810260</wp:posOffset>
                      </wp:positionV>
                      <wp:extent cx="191135" cy="190500"/>
                      <wp:effectExtent l="0" t="0" r="18415" b="19050"/>
                      <wp:wrapNone/>
                      <wp:docPr id="9611904"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FFAD4C"/>
                              </a:solidFill>
                              <a:ln>
                                <a:solidFill>
                                  <a:srgbClr val="FFAD4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2B96EB" id="Oval 2" o:spid="_x0000_s1026" alt="&quot;&quot;" style="position:absolute;margin-left:15.9pt;margin-top:-63.8pt;width:15.05pt;height:1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" fillcolor="#ffad4c" strokecolor="#ffad4c" strokeweight="1pt">
                      <v:stroke joinstyle="miter"/>
                    </v:oval>
                  </w:pict>
                </mc:Fallback>
              </mc:AlternateContent>
            </w:r>
            <w:r w:rsidR="009749C4" w:rsidRPr="009749C4">
              <w:rPr>
                <w:rFonts w:cs="Arial"/>
                <w:color w:val="FFFFFF" w:themeColor="background1"/>
                <w:sz w:val="2"/>
                <w:szCs w:val="2"/>
              </w:rPr>
              <w:t>Deteriorating or significant gap</w:t>
            </w:r>
            <w:r w:rsidR="009749C4" w:rsidRPr="009749C4">
              <w:rPr>
                <w:rFonts w:cs="Arial"/>
                <w:noProof/>
                <w:color w:val="FFFFFF" w:themeColor="background1"/>
                <w:sz w:val="21"/>
                <w:szCs w:val="21"/>
                <w14:ligatures w14:val="standardContextual"/>
              </w:rPr>
              <w:t xml:space="preserve"> </w:t>
            </w:r>
          </w:p>
        </w:tc>
        <w:tc>
          <w:tcPr>
            <w:tcW w:w="1362" w:type="dxa"/>
            <w:vMerge/>
            <w:tcBorders>
              <w:top w:val="nil"/>
            </w:tcBorders>
            <w:shd w:val="clear" w:color="auto" w:fill="FFAD4C"/>
          </w:tcPr>
          <w:p w14:paraId="028F2C0B" w14:textId="77777777" w:rsidR="00093791" w:rsidRPr="007414BD" w:rsidRDefault="00093791">
            <w:pPr>
              <w:rPr>
                <w:rFonts w:cs="Arial"/>
                <w:sz w:val="20"/>
              </w:rPr>
            </w:pPr>
          </w:p>
        </w:tc>
      </w:tr>
      <w:tr w:rsidR="001809C9" w14:paraId="10E0C06E" w14:textId="77777777" w:rsidTr="007414BD">
        <w:trPr>
          <w:cnfStyle w:val="000000010000" w:firstRow="0" w:lastRow="0" w:firstColumn="0" w:lastColumn="0" w:oddVBand="0" w:evenVBand="0" w:oddHBand="0" w:evenHBand="1" w:firstRowFirstColumn="0" w:firstRowLastColumn="0" w:lastRowFirstColumn="0" w:lastRowLastColumn="0"/>
          <w:trHeight w:val="510"/>
        </w:trPr>
        <w:tc>
          <w:tcPr>
            <w:tcW w:w="1277" w:type="dxa"/>
            <w:vMerge/>
            <w:vAlign w:val="center"/>
          </w:tcPr>
          <w:p w14:paraId="1B1D4CE0" w14:textId="77777777" w:rsidR="00093791" w:rsidRPr="00566D4F" w:rsidRDefault="00093791">
            <w:pPr>
              <w:rPr>
                <w:rStyle w:val="Characterbold"/>
                <w:rFonts w:cs="Arial"/>
                <w:sz w:val="21"/>
                <w:szCs w:val="21"/>
              </w:rPr>
            </w:pPr>
          </w:p>
        </w:tc>
        <w:tc>
          <w:tcPr>
            <w:tcW w:w="1986" w:type="dxa"/>
            <w:vMerge/>
            <w:vAlign w:val="center"/>
          </w:tcPr>
          <w:p w14:paraId="4E1AE652" w14:textId="77777777" w:rsidR="00093791" w:rsidRPr="00566D4F" w:rsidRDefault="00093791">
            <w:pPr>
              <w:rPr>
                <w:rStyle w:val="Characteritalic"/>
                <w:rFonts w:cs="Arial"/>
                <w:sz w:val="21"/>
                <w:szCs w:val="21"/>
              </w:rPr>
            </w:pPr>
          </w:p>
        </w:tc>
        <w:tc>
          <w:tcPr>
            <w:tcW w:w="2921" w:type="dxa"/>
            <w:vAlign w:val="center"/>
          </w:tcPr>
          <w:p w14:paraId="7902B36C" w14:textId="77777777" w:rsidR="00093791" w:rsidRPr="00566D4F" w:rsidRDefault="00093791">
            <w:pPr>
              <w:rPr>
                <w:rFonts w:cs="Arial"/>
                <w:sz w:val="21"/>
                <w:szCs w:val="21"/>
              </w:rPr>
            </w:pPr>
            <w:r w:rsidRPr="00566D4F">
              <w:rPr>
                <w:rFonts w:cs="Arial"/>
                <w:sz w:val="21"/>
                <w:szCs w:val="21"/>
              </w:rPr>
              <w:t>Persistent hiring pressure indicator</w:t>
            </w:r>
          </w:p>
        </w:tc>
        <w:tc>
          <w:tcPr>
            <w:tcW w:w="1126" w:type="dxa"/>
            <w:shd w:val="clear" w:color="auto" w:fill="DF5454"/>
            <w:vAlign w:val="center"/>
          </w:tcPr>
          <w:p w14:paraId="04A4738C" w14:textId="304A9E04" w:rsidR="00FD7861" w:rsidRPr="007414BD" w:rsidRDefault="00FD7861">
            <w:pPr>
              <w:pStyle w:val="TableBodyText"/>
              <w:jc w:val="center"/>
              <w:rPr>
                <w:rFonts w:cs="Arial"/>
                <w:noProof/>
                <w:sz w:val="21"/>
                <w:szCs w:val="21"/>
                <w14:ligatures w14:val="standardContextual"/>
              </w:rPr>
            </w:pPr>
            <w:r w:rsidRPr="007414BD">
              <w:rPr>
                <w:rFonts w:cs="Arial"/>
                <w:noProof/>
                <w:sz w:val="21"/>
                <w:szCs w:val="21"/>
                <w14:ligatures w14:val="standardContextual"/>
              </w:rPr>
              <w:t>36.8%</w:t>
            </w:r>
          </w:p>
        </w:tc>
        <w:tc>
          <w:tcPr>
            <w:tcW w:w="1126" w:type="dxa"/>
            <w:vAlign w:val="center"/>
          </w:tcPr>
          <w:p w14:paraId="77AA3C0E" w14:textId="4F2CB898" w:rsidR="00093791" w:rsidRPr="009749C4" w:rsidRDefault="009749C4">
            <w:pPr>
              <w:pStyle w:val="TableBodyText"/>
              <w:jc w:val="center"/>
              <w:rPr>
                <w:rFonts w:cs="Arial"/>
                <w:color w:val="FFFFFF" w:themeColor="background1"/>
                <w:sz w:val="21"/>
                <w:szCs w:val="21"/>
              </w:rPr>
            </w:pPr>
            <w:r w:rsidRPr="009749C4">
              <w:rPr>
                <w:rFonts w:cs="Arial"/>
                <w:color w:val="FFFFFF" w:themeColor="background1"/>
                <w:sz w:val="2"/>
                <w:szCs w:val="2"/>
              </w:rPr>
              <w:t>Deteriorating or significant gap</w:t>
            </w:r>
            <w:r w:rsidRPr="009749C4">
              <w:rPr>
                <w:rFonts w:cs="Arial"/>
                <w:noProof/>
                <w:color w:val="FFFFFF" w:themeColor="background1"/>
                <w:sz w:val="21"/>
                <w:szCs w:val="21"/>
                <w14:ligatures w14:val="standardContextual"/>
              </w:rPr>
              <w:t xml:space="preserve"> </w:t>
            </w:r>
          </w:p>
        </w:tc>
        <w:tc>
          <w:tcPr>
            <w:tcW w:w="1362" w:type="dxa"/>
            <w:vMerge/>
            <w:shd w:val="clear" w:color="auto" w:fill="FFAD4C"/>
          </w:tcPr>
          <w:p w14:paraId="58CECECF" w14:textId="77777777" w:rsidR="00093791" w:rsidRPr="007414BD" w:rsidRDefault="00093791">
            <w:pPr>
              <w:rPr>
                <w:rFonts w:cs="Arial"/>
                <w:sz w:val="20"/>
              </w:rPr>
            </w:pPr>
          </w:p>
        </w:tc>
      </w:tr>
      <w:tr w:rsidR="00093791" w14:paraId="7F60EDB2" w14:textId="77777777" w:rsidTr="007904AF">
        <w:trPr>
          <w:trHeight w:val="510"/>
        </w:trPr>
        <w:tc>
          <w:tcPr>
            <w:tcW w:w="1277" w:type="dxa"/>
            <w:vMerge/>
            <w:tcBorders>
              <w:bottom w:val="single" w:sz="4" w:space="0" w:color="auto"/>
            </w:tcBorders>
            <w:vAlign w:val="center"/>
          </w:tcPr>
          <w:p w14:paraId="1942FEA6" w14:textId="77777777" w:rsidR="00093791" w:rsidRPr="00566D4F" w:rsidRDefault="00093791">
            <w:pPr>
              <w:rPr>
                <w:rStyle w:val="Characterbold"/>
                <w:rFonts w:cs="Arial"/>
                <w:sz w:val="21"/>
                <w:szCs w:val="21"/>
              </w:rPr>
            </w:pPr>
          </w:p>
        </w:tc>
        <w:tc>
          <w:tcPr>
            <w:tcW w:w="1986" w:type="dxa"/>
            <w:vMerge/>
            <w:tcBorders>
              <w:bottom w:val="single" w:sz="4" w:space="0" w:color="auto"/>
            </w:tcBorders>
            <w:shd w:val="clear" w:color="auto" w:fill="F2F2F2" w:themeFill="background1" w:themeFillShade="F2"/>
            <w:vAlign w:val="center"/>
          </w:tcPr>
          <w:p w14:paraId="3A2FF31B" w14:textId="77777777" w:rsidR="00093791" w:rsidRPr="00566D4F" w:rsidRDefault="00093791">
            <w:pPr>
              <w:rPr>
                <w:rStyle w:val="Characteritalic"/>
                <w:rFonts w:cs="Arial"/>
                <w:sz w:val="21"/>
                <w:szCs w:val="21"/>
              </w:rPr>
            </w:pPr>
          </w:p>
        </w:tc>
        <w:tc>
          <w:tcPr>
            <w:tcW w:w="2921" w:type="dxa"/>
            <w:tcBorders>
              <w:bottom w:val="single" w:sz="4" w:space="0" w:color="auto"/>
            </w:tcBorders>
            <w:shd w:val="clear" w:color="auto" w:fill="F2F2F2" w:themeFill="background1" w:themeFillShade="F2"/>
            <w:vAlign w:val="center"/>
          </w:tcPr>
          <w:p w14:paraId="5C8E339D" w14:textId="1BE21525" w:rsidR="00093791" w:rsidRPr="00566D4F" w:rsidRDefault="006961FA">
            <w:pPr>
              <w:rPr>
                <w:rFonts w:cs="Arial"/>
                <w:sz w:val="21"/>
                <w:szCs w:val="21"/>
              </w:rPr>
            </w:pPr>
            <w:r>
              <w:rPr>
                <w:rFonts w:cs="Arial"/>
                <w:sz w:val="21"/>
                <w:szCs w:val="21"/>
              </w:rPr>
              <w:t>Business creation rate</w:t>
            </w:r>
          </w:p>
        </w:tc>
        <w:tc>
          <w:tcPr>
            <w:tcW w:w="1126" w:type="dxa"/>
            <w:tcBorders>
              <w:bottom w:val="single" w:sz="4" w:space="0" w:color="auto"/>
            </w:tcBorders>
            <w:shd w:val="clear" w:color="auto" w:fill="FFAD4C"/>
            <w:vAlign w:val="center"/>
          </w:tcPr>
          <w:p w14:paraId="5287E7B3" w14:textId="291DD3E4" w:rsidR="00FD7861" w:rsidRPr="007904AF" w:rsidRDefault="006961FA">
            <w:pPr>
              <w:jc w:val="center"/>
              <w:rPr>
                <w:rFonts w:cs="Arial"/>
                <w:noProof/>
                <w:sz w:val="21"/>
                <w:szCs w:val="21"/>
                <w14:ligatures w14:val="standardContextual"/>
              </w:rPr>
            </w:pPr>
            <w:r w:rsidRPr="007904AF">
              <w:rPr>
                <w:rFonts w:cs="Arial"/>
                <w:noProof/>
                <w:sz w:val="21"/>
                <w:szCs w:val="21"/>
                <w14:ligatures w14:val="standardContextual"/>
              </w:rPr>
              <w:t>2.2</w:t>
            </w:r>
            <w:r w:rsidR="00FD7861" w:rsidRPr="007904AF">
              <w:rPr>
                <w:rFonts w:cs="Arial"/>
                <w:noProof/>
                <w:sz w:val="21"/>
                <w:szCs w:val="21"/>
                <w14:ligatures w14:val="standardContextual"/>
              </w:rPr>
              <w:t>%</w:t>
            </w:r>
          </w:p>
        </w:tc>
        <w:tc>
          <w:tcPr>
            <w:tcW w:w="1126" w:type="dxa"/>
            <w:tcBorders>
              <w:bottom w:val="single" w:sz="4" w:space="0" w:color="auto"/>
            </w:tcBorders>
            <w:shd w:val="clear" w:color="auto" w:fill="F2F2F2" w:themeFill="background1" w:themeFillShade="F2"/>
            <w:vAlign w:val="center"/>
          </w:tcPr>
          <w:p w14:paraId="565F01F3" w14:textId="0FC10F33" w:rsidR="00093791" w:rsidRPr="009749C4" w:rsidRDefault="005977BD">
            <w:pPr>
              <w:jc w:val="center"/>
              <w:rPr>
                <w:rFonts w:cs="Arial"/>
                <w:color w:val="FFFFFF" w:themeColor="background1"/>
                <w:sz w:val="21"/>
                <w:szCs w:val="21"/>
              </w:rPr>
            </w:pPr>
            <w:r w:rsidRPr="009749C4">
              <w:rPr>
                <w:rFonts w:cs="Arial"/>
                <w:noProof/>
                <w:color w:val="FFFFFF" w:themeColor="background1"/>
                <w:sz w:val="21"/>
                <w:szCs w:val="21"/>
                <w14:ligatures w14:val="standardContextual"/>
              </w:rPr>
              <mc:AlternateContent>
                <mc:Choice Requires="wps">
                  <w:drawing>
                    <wp:anchor distT="0" distB="0" distL="114300" distR="114300" simplePos="0" relativeHeight="251912704" behindDoc="0" locked="0" layoutInCell="1" allowOverlap="1" wp14:anchorId="72FCDE09" wp14:editId="7C70D869">
                      <wp:simplePos x="0" y="0"/>
                      <wp:positionH relativeFrom="column">
                        <wp:posOffset>210185</wp:posOffset>
                      </wp:positionH>
                      <wp:positionV relativeFrom="paragraph">
                        <wp:posOffset>111760</wp:posOffset>
                      </wp:positionV>
                      <wp:extent cx="191135" cy="190500"/>
                      <wp:effectExtent l="0" t="0" r="18415" b="19050"/>
                      <wp:wrapNone/>
                      <wp:docPr id="140255675"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FFAD4C"/>
                              </a:solidFill>
                              <a:ln>
                                <a:solidFill>
                                  <a:srgbClr val="FFAD4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31ABC7" id="Oval 2" o:spid="_x0000_s1026" alt="&quot;&quot;" style="position:absolute;margin-left:16.55pt;margin-top:8.8pt;width:15.05pt;height:1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" fillcolor="#ffad4c" strokecolor="#ffad4c" strokeweight="1pt">
                      <v:stroke joinstyle="miter"/>
                    </v:oval>
                  </w:pict>
                </mc:Fallback>
              </mc:AlternateContent>
            </w:r>
          </w:p>
        </w:tc>
        <w:tc>
          <w:tcPr>
            <w:tcW w:w="1362" w:type="dxa"/>
            <w:vMerge/>
            <w:tcBorders>
              <w:bottom w:val="single" w:sz="4" w:space="0" w:color="auto"/>
            </w:tcBorders>
            <w:shd w:val="clear" w:color="auto" w:fill="FFAD4C"/>
          </w:tcPr>
          <w:p w14:paraId="15DAA10B" w14:textId="77777777" w:rsidR="00093791" w:rsidRPr="007414BD" w:rsidRDefault="00093791">
            <w:pPr>
              <w:rPr>
                <w:rFonts w:cs="Arial"/>
                <w:sz w:val="20"/>
              </w:rPr>
            </w:pPr>
          </w:p>
        </w:tc>
      </w:tr>
      <w:tr w:rsidR="00093791" w14:paraId="2E87F9F2" w14:textId="77777777" w:rsidTr="007904AF">
        <w:trPr>
          <w:cnfStyle w:val="000000010000" w:firstRow="0" w:lastRow="0" w:firstColumn="0" w:lastColumn="0" w:oddVBand="0" w:evenVBand="0" w:oddHBand="0" w:evenHBand="1" w:firstRowFirstColumn="0" w:firstRowLastColumn="0" w:lastRowFirstColumn="0" w:lastRowLastColumn="0"/>
          <w:trHeight w:val="510"/>
        </w:trPr>
        <w:tc>
          <w:tcPr>
            <w:tcW w:w="1277" w:type="dxa"/>
            <w:vMerge w:val="restart"/>
            <w:tcBorders>
              <w:top w:val="single" w:sz="4" w:space="0" w:color="auto"/>
              <w:bottom w:val="nil"/>
            </w:tcBorders>
            <w:shd w:val="clear" w:color="auto" w:fill="FFFFFF" w:themeFill="background1"/>
            <w:vAlign w:val="center"/>
          </w:tcPr>
          <w:p w14:paraId="448BC98A" w14:textId="77777777" w:rsidR="00093791" w:rsidRPr="00566D4F" w:rsidRDefault="00093791">
            <w:pPr>
              <w:rPr>
                <w:rStyle w:val="Characterbold"/>
                <w:rFonts w:cs="Arial"/>
                <w:sz w:val="21"/>
                <w:szCs w:val="21"/>
              </w:rPr>
            </w:pPr>
            <w:r w:rsidRPr="00566D4F">
              <w:rPr>
                <w:rStyle w:val="Characterbold"/>
                <w:rFonts w:cs="Arial"/>
                <w:sz w:val="21"/>
                <w:szCs w:val="21"/>
              </w:rPr>
              <w:t>Efficient matching</w:t>
            </w:r>
          </w:p>
        </w:tc>
        <w:tc>
          <w:tcPr>
            <w:tcW w:w="1986" w:type="dxa"/>
            <w:vMerge w:val="restart"/>
            <w:tcBorders>
              <w:top w:val="single" w:sz="4" w:space="0" w:color="auto"/>
              <w:bottom w:val="nil"/>
            </w:tcBorders>
            <w:shd w:val="clear" w:color="auto" w:fill="FFFFFF" w:themeFill="background1"/>
            <w:vAlign w:val="center"/>
          </w:tcPr>
          <w:p w14:paraId="41BF80FC" w14:textId="77777777" w:rsidR="00093791" w:rsidRPr="00566D4F" w:rsidRDefault="00093791">
            <w:pPr>
              <w:rPr>
                <w:rStyle w:val="Characteritalic"/>
                <w:rFonts w:cs="Arial"/>
                <w:sz w:val="21"/>
                <w:szCs w:val="21"/>
              </w:rPr>
            </w:pPr>
            <w:r w:rsidRPr="00566D4F">
              <w:rPr>
                <w:rStyle w:val="Characteritalic"/>
                <w:rFonts w:cs="Arial"/>
                <w:sz w:val="21"/>
                <w:szCs w:val="21"/>
              </w:rPr>
              <w:t>The labour market in Regional Australia efficiently matches labour demand with labour supply.</w:t>
            </w:r>
          </w:p>
        </w:tc>
        <w:tc>
          <w:tcPr>
            <w:tcW w:w="2921" w:type="dxa"/>
            <w:tcBorders>
              <w:top w:val="single" w:sz="4" w:space="0" w:color="auto"/>
              <w:bottom w:val="nil"/>
            </w:tcBorders>
            <w:shd w:val="clear" w:color="auto" w:fill="FFFFFF" w:themeFill="background1"/>
            <w:vAlign w:val="center"/>
          </w:tcPr>
          <w:p w14:paraId="6AC412D2" w14:textId="77777777" w:rsidR="00093791" w:rsidRPr="00566D4F" w:rsidRDefault="00093791">
            <w:pPr>
              <w:rPr>
                <w:rFonts w:cs="Arial"/>
                <w:sz w:val="21"/>
                <w:szCs w:val="21"/>
              </w:rPr>
            </w:pPr>
            <w:r w:rsidRPr="00566D4F">
              <w:rPr>
                <w:rFonts w:cs="Arial"/>
                <w:sz w:val="21"/>
                <w:szCs w:val="21"/>
              </w:rPr>
              <w:t>Beveridge Curve analysis</w:t>
            </w:r>
          </w:p>
        </w:tc>
        <w:tc>
          <w:tcPr>
            <w:tcW w:w="1126" w:type="dxa"/>
            <w:tcBorders>
              <w:top w:val="single" w:sz="4" w:space="0" w:color="auto"/>
              <w:bottom w:val="nil"/>
            </w:tcBorders>
            <w:shd w:val="clear" w:color="auto" w:fill="52BD7F"/>
            <w:vAlign w:val="center"/>
          </w:tcPr>
          <w:p w14:paraId="1E6211ED" w14:textId="18F6B1CA" w:rsidR="00FD7861" w:rsidRPr="007904AF" w:rsidRDefault="00FD7861">
            <w:pPr>
              <w:pStyle w:val="TableBodyText"/>
              <w:jc w:val="center"/>
              <w:rPr>
                <w:rFonts w:cs="Arial"/>
                <w:noProof/>
                <w:sz w:val="21"/>
                <w:szCs w:val="21"/>
                <w14:ligatures w14:val="standardContextual"/>
              </w:rPr>
            </w:pPr>
            <w:r w:rsidRPr="007904AF">
              <w:rPr>
                <w:rFonts w:cs="Arial"/>
                <w:noProof/>
                <w:sz w:val="21"/>
                <w:szCs w:val="21"/>
                <w14:ligatures w14:val="standardContextual"/>
              </w:rPr>
              <w:t>n/a</w:t>
            </w:r>
          </w:p>
        </w:tc>
        <w:tc>
          <w:tcPr>
            <w:tcW w:w="1126" w:type="dxa"/>
            <w:tcBorders>
              <w:top w:val="single" w:sz="4" w:space="0" w:color="auto"/>
              <w:bottom w:val="nil"/>
            </w:tcBorders>
            <w:shd w:val="clear" w:color="auto" w:fill="FFFFFF" w:themeFill="background1"/>
            <w:vAlign w:val="center"/>
          </w:tcPr>
          <w:p w14:paraId="7F12E2DE" w14:textId="7B5E576B" w:rsidR="00093791" w:rsidRPr="009749C4" w:rsidRDefault="007414BD">
            <w:pPr>
              <w:pStyle w:val="TableBodyText"/>
              <w:jc w:val="center"/>
              <w:rPr>
                <w:rFonts w:cs="Arial"/>
                <w:color w:val="FFFFFF" w:themeColor="background1"/>
                <w:sz w:val="21"/>
                <w:szCs w:val="21"/>
              </w:rPr>
            </w:pPr>
            <w:r w:rsidRPr="009749C4">
              <w:rPr>
                <w:rFonts w:cs="Arial"/>
                <w:noProof/>
                <w:color w:val="FFFFFF" w:themeColor="background1"/>
                <w:sz w:val="21"/>
                <w:szCs w:val="21"/>
                <w14:ligatures w14:val="standardContextual"/>
              </w:rPr>
              <mc:AlternateContent>
                <mc:Choice Requires="wps">
                  <w:drawing>
                    <wp:anchor distT="0" distB="0" distL="114300" distR="114300" simplePos="0" relativeHeight="251920896" behindDoc="0" locked="0" layoutInCell="1" allowOverlap="1" wp14:anchorId="298027C7" wp14:editId="0B5C5002">
                      <wp:simplePos x="0" y="0"/>
                      <wp:positionH relativeFrom="column">
                        <wp:posOffset>200660</wp:posOffset>
                      </wp:positionH>
                      <wp:positionV relativeFrom="paragraph">
                        <wp:posOffset>44450</wp:posOffset>
                      </wp:positionV>
                      <wp:extent cx="191135" cy="190500"/>
                      <wp:effectExtent l="0" t="0" r="18415" b="19050"/>
                      <wp:wrapNone/>
                      <wp:docPr id="1136217610"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52BD7F"/>
                              </a:solidFill>
                              <a:ln>
                                <a:solidFill>
                                  <a:srgbClr val="52BD7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20DFE6" id="Oval 2" o:spid="_x0000_s1026" alt="&quot;&quot;" style="position:absolute;margin-left:15.8pt;margin-top:3.5pt;width:15.05pt;height:1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" fillcolor="#52bd7f" strokecolor="#52bd7f" strokeweight="1pt">
                      <v:stroke joinstyle="miter"/>
                    </v:oval>
                  </w:pict>
                </mc:Fallback>
              </mc:AlternateContent>
            </w:r>
            <w:r w:rsidR="009749C4" w:rsidRPr="009749C4">
              <w:rPr>
                <w:rFonts w:cs="Arial"/>
                <w:noProof/>
                <w:color w:val="FFFFFF" w:themeColor="background1"/>
                <w:sz w:val="21"/>
                <w:szCs w:val="21"/>
                <w14:ligatures w14:val="standardContextual"/>
              </w:rPr>
              <mc:AlternateContent>
                <mc:Choice Requires="wps">
                  <w:drawing>
                    <wp:anchor distT="0" distB="0" distL="114300" distR="114300" simplePos="0" relativeHeight="251904512" behindDoc="0" locked="0" layoutInCell="1" allowOverlap="1" wp14:anchorId="0816CA7A" wp14:editId="663EB829">
                      <wp:simplePos x="0" y="0"/>
                      <wp:positionH relativeFrom="column">
                        <wp:posOffset>204470</wp:posOffset>
                      </wp:positionH>
                      <wp:positionV relativeFrom="paragraph">
                        <wp:posOffset>-616585</wp:posOffset>
                      </wp:positionV>
                      <wp:extent cx="191135" cy="190500"/>
                      <wp:effectExtent l="0" t="0" r="18415" b="19050"/>
                      <wp:wrapNone/>
                      <wp:docPr id="710115913"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DF5454"/>
                              </a:solidFill>
                              <a:ln>
                                <a:solidFill>
                                  <a:srgbClr val="DF545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69BF83" id="Oval 2" o:spid="_x0000_s1026" alt="&quot;&quot;" style="position:absolute;margin-left:16.1pt;margin-top:-48.55pt;width:15.05pt;height:1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" fillcolor="#df5454" strokecolor="#df5454" strokeweight="1pt">
                      <v:stroke joinstyle="miter"/>
                    </v:oval>
                  </w:pict>
                </mc:Fallback>
              </mc:AlternateContent>
            </w:r>
            <w:r w:rsidR="009749C4" w:rsidRPr="009749C4">
              <w:rPr>
                <w:rFonts w:cs="Arial"/>
                <w:color w:val="FFFFFF" w:themeColor="background1"/>
                <w:sz w:val="2"/>
                <w:szCs w:val="2"/>
              </w:rPr>
              <w:t>On track or performing at an appropriate level</w:t>
            </w:r>
            <w:r w:rsidR="009749C4" w:rsidRPr="009749C4">
              <w:rPr>
                <w:rFonts w:cs="Arial"/>
                <w:noProof/>
                <w:color w:val="FFFFFF" w:themeColor="background1"/>
                <w:sz w:val="21"/>
                <w:szCs w:val="21"/>
                <w14:ligatures w14:val="standardContextual"/>
              </w:rPr>
              <w:t xml:space="preserve"> </w:t>
            </w:r>
          </w:p>
        </w:tc>
        <w:tc>
          <w:tcPr>
            <w:tcW w:w="1362" w:type="dxa"/>
            <w:vMerge w:val="restart"/>
            <w:tcBorders>
              <w:top w:val="single" w:sz="4" w:space="0" w:color="auto"/>
              <w:bottom w:val="nil"/>
            </w:tcBorders>
            <w:shd w:val="clear" w:color="auto" w:fill="FFAD4C"/>
            <w:vAlign w:val="center"/>
          </w:tcPr>
          <w:p w14:paraId="12966406" w14:textId="77777777" w:rsidR="00093791" w:rsidRPr="007414BD" w:rsidRDefault="00093791">
            <w:pPr>
              <w:jc w:val="center"/>
              <w:rPr>
                <w:rFonts w:cs="Arial"/>
                <w:sz w:val="20"/>
              </w:rPr>
            </w:pPr>
            <w:r w:rsidRPr="007414BD">
              <w:rPr>
                <w:rFonts w:cs="Arial"/>
                <w:sz w:val="20"/>
              </w:rPr>
              <w:t>Slow progress, stagnating or moderate gap</w:t>
            </w:r>
          </w:p>
        </w:tc>
      </w:tr>
      <w:tr w:rsidR="00093791" w14:paraId="59C4D6FB" w14:textId="77777777" w:rsidTr="007904AF">
        <w:trPr>
          <w:trHeight w:val="510"/>
        </w:trPr>
        <w:tc>
          <w:tcPr>
            <w:tcW w:w="1277" w:type="dxa"/>
            <w:vMerge/>
            <w:tcBorders>
              <w:top w:val="nil"/>
            </w:tcBorders>
            <w:shd w:val="clear" w:color="auto" w:fill="FFFFFF" w:themeFill="background1"/>
          </w:tcPr>
          <w:p w14:paraId="318C827F" w14:textId="77777777" w:rsidR="00093791" w:rsidRPr="00566D4F" w:rsidRDefault="00093791">
            <w:pPr>
              <w:rPr>
                <w:rStyle w:val="Characterbold"/>
                <w:rFonts w:cs="Arial"/>
                <w:sz w:val="21"/>
                <w:szCs w:val="21"/>
              </w:rPr>
            </w:pPr>
          </w:p>
        </w:tc>
        <w:tc>
          <w:tcPr>
            <w:tcW w:w="1986" w:type="dxa"/>
            <w:vMerge/>
            <w:tcBorders>
              <w:top w:val="nil"/>
            </w:tcBorders>
            <w:shd w:val="clear" w:color="auto" w:fill="FFFFFF" w:themeFill="background1"/>
          </w:tcPr>
          <w:p w14:paraId="767703D9" w14:textId="77777777" w:rsidR="00093791" w:rsidRPr="00566D4F" w:rsidRDefault="00093791">
            <w:pPr>
              <w:rPr>
                <w:rStyle w:val="Characteritalic"/>
                <w:rFonts w:cs="Arial"/>
                <w:sz w:val="21"/>
                <w:szCs w:val="21"/>
              </w:rPr>
            </w:pPr>
          </w:p>
        </w:tc>
        <w:tc>
          <w:tcPr>
            <w:tcW w:w="2921" w:type="dxa"/>
            <w:tcBorders>
              <w:top w:val="nil"/>
            </w:tcBorders>
            <w:shd w:val="clear" w:color="auto" w:fill="FFFFFF" w:themeFill="background1"/>
            <w:vAlign w:val="center"/>
          </w:tcPr>
          <w:p w14:paraId="4EDB8122" w14:textId="77777777" w:rsidR="00093791" w:rsidRPr="00566D4F" w:rsidRDefault="00093791">
            <w:pPr>
              <w:rPr>
                <w:rFonts w:cs="Arial"/>
                <w:sz w:val="21"/>
                <w:szCs w:val="21"/>
              </w:rPr>
            </w:pPr>
            <w:r w:rsidRPr="00566D4F">
              <w:rPr>
                <w:rFonts w:cs="Arial"/>
                <w:sz w:val="21"/>
                <w:szCs w:val="21"/>
              </w:rPr>
              <w:t>Labour market matching efficiency</w:t>
            </w:r>
          </w:p>
        </w:tc>
        <w:tc>
          <w:tcPr>
            <w:tcW w:w="1126" w:type="dxa"/>
            <w:tcBorders>
              <w:top w:val="nil"/>
            </w:tcBorders>
            <w:shd w:val="clear" w:color="auto" w:fill="FFAD4C"/>
            <w:vAlign w:val="center"/>
          </w:tcPr>
          <w:p w14:paraId="399BC401" w14:textId="6DDF8F0B" w:rsidR="00FD7861" w:rsidRPr="007904AF" w:rsidRDefault="00FD7861">
            <w:pPr>
              <w:jc w:val="center"/>
              <w:rPr>
                <w:rFonts w:cs="Arial"/>
                <w:noProof/>
                <w:sz w:val="21"/>
                <w:szCs w:val="21"/>
                <w14:ligatures w14:val="standardContextual"/>
              </w:rPr>
            </w:pPr>
            <w:r w:rsidRPr="007904AF">
              <w:rPr>
                <w:rFonts w:cs="Arial"/>
                <w:noProof/>
                <w:sz w:val="21"/>
                <w:szCs w:val="21"/>
                <w14:ligatures w14:val="standardContextual"/>
              </w:rPr>
              <w:t>8</w:t>
            </w:r>
            <w:r w:rsidR="003C211C" w:rsidRPr="007904AF">
              <w:rPr>
                <w:rFonts w:cs="Arial"/>
                <w:noProof/>
                <w:sz w:val="21"/>
                <w:szCs w:val="21"/>
                <w14:ligatures w14:val="standardContextual"/>
              </w:rPr>
              <w:t>0.7</w:t>
            </w:r>
            <w:r w:rsidRPr="007904AF">
              <w:rPr>
                <w:rFonts w:cs="Arial"/>
                <w:noProof/>
                <w:sz w:val="21"/>
                <w:szCs w:val="21"/>
                <w14:ligatures w14:val="standardContextual"/>
              </w:rPr>
              <w:t>%</w:t>
            </w:r>
          </w:p>
        </w:tc>
        <w:tc>
          <w:tcPr>
            <w:tcW w:w="1126" w:type="dxa"/>
            <w:tcBorders>
              <w:top w:val="nil"/>
            </w:tcBorders>
            <w:shd w:val="clear" w:color="auto" w:fill="FFFFFF" w:themeFill="background1"/>
            <w:vAlign w:val="center"/>
          </w:tcPr>
          <w:p w14:paraId="55F5E55E" w14:textId="44A4A518" w:rsidR="00093791" w:rsidRPr="009749C4" w:rsidRDefault="009749C4">
            <w:pPr>
              <w:jc w:val="center"/>
              <w:rPr>
                <w:rFonts w:cs="Arial"/>
                <w:color w:val="FFFFFF" w:themeColor="background1"/>
                <w:sz w:val="21"/>
                <w:szCs w:val="21"/>
              </w:rPr>
            </w:pPr>
            <w:r w:rsidRPr="009749C4">
              <w:rPr>
                <w:rFonts w:cs="Arial"/>
                <w:noProof/>
                <w:color w:val="FFFFFF" w:themeColor="background1"/>
                <w:sz w:val="2"/>
                <w:szCs w:val="2"/>
                <w14:ligatures w14:val="standardContextual"/>
              </w:rPr>
              <w:t xml:space="preserve">Slow progress, stagnating or moderate gap </w:t>
            </w:r>
          </w:p>
        </w:tc>
        <w:tc>
          <w:tcPr>
            <w:tcW w:w="1362" w:type="dxa"/>
            <w:vMerge/>
            <w:tcBorders>
              <w:top w:val="nil"/>
            </w:tcBorders>
            <w:shd w:val="clear" w:color="auto" w:fill="FFAD4C"/>
          </w:tcPr>
          <w:p w14:paraId="556D3631" w14:textId="77777777" w:rsidR="00093791" w:rsidRDefault="00093791"/>
        </w:tc>
      </w:tr>
    </w:tbl>
    <w:p w14:paraId="5535D731" w14:textId="782D3207" w:rsidR="00EE01B0" w:rsidRDefault="009749C4" w:rsidP="00EE01B0">
      <w:r w:rsidRPr="009749C4">
        <w:rPr>
          <w:rFonts w:cs="Arial"/>
          <w:noProof/>
          <w:color w:val="FFFFFF" w:themeColor="background1"/>
          <w:sz w:val="21"/>
          <w:szCs w:val="21"/>
          <w14:ligatures w14:val="standardContextual"/>
        </w:rPr>
        <mc:AlternateContent>
          <mc:Choice Requires="wps">
            <w:drawing>
              <wp:anchor distT="0" distB="0" distL="114300" distR="114300" simplePos="0" relativeHeight="251929088" behindDoc="0" locked="0" layoutInCell="1" allowOverlap="1" wp14:anchorId="16C6D017" wp14:editId="23747275">
                <wp:simplePos x="0" y="0"/>
                <wp:positionH relativeFrom="column">
                  <wp:posOffset>4750798</wp:posOffset>
                </wp:positionH>
                <wp:positionV relativeFrom="paragraph">
                  <wp:posOffset>-409575</wp:posOffset>
                </wp:positionV>
                <wp:extent cx="191135" cy="190500"/>
                <wp:effectExtent l="0" t="0" r="18415" b="19050"/>
                <wp:wrapNone/>
                <wp:docPr id="1842955079"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135" cy="190500"/>
                        </a:xfrm>
                        <a:prstGeom prst="ellipse">
                          <a:avLst/>
                        </a:prstGeom>
                        <a:solidFill>
                          <a:srgbClr val="FFAD4C"/>
                        </a:solidFill>
                        <a:ln>
                          <a:solidFill>
                            <a:srgbClr val="FFAD4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D3D45C" id="Oval 2" o:spid="_x0000_s1026" alt="&quot;&quot;" style="position:absolute;margin-left:374.1pt;margin-top:-32.25pt;width:15.05pt;height:1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" fillcolor="#ffad4c" strokecolor="#ffad4c" strokeweight="1pt">
                <v:stroke joinstyle="miter"/>
              </v:oval>
            </w:pict>
          </mc:Fallback>
        </mc:AlternateContent>
      </w:r>
    </w:p>
    <w:p w14:paraId="0FED36F1" w14:textId="3BA31979" w:rsidR="0096573D" w:rsidRDefault="0096573D" w:rsidP="00BF6F33">
      <w:pPr>
        <w:pStyle w:val="BodyText"/>
      </w:pPr>
      <w:r>
        <w:t xml:space="preserve">An effective jobs and skills system in Regional Australia would see individuals working in a quality job that is safe, fair, rewarding and satisfying. It is therefore encouraging that high job satisfaction has been a relatively consistent feature of the labour market in Regional Australia, with the rate of satisfaction increasing in recent years. This may </w:t>
      </w:r>
      <w:r w:rsidR="003947A4">
        <w:t xml:space="preserve">be a </w:t>
      </w:r>
      <w:r w:rsidR="00FC7448">
        <w:t>reflect</w:t>
      </w:r>
      <w:r w:rsidR="003947A4">
        <w:t>ion</w:t>
      </w:r>
      <w:r>
        <w:t xml:space="preserve"> stronger labour market conditions in recent years that have allowed people to move closer to their preferred working hours. Additionally, it may also reflect remote and hybrid working arrangements that provide people with more choice regarding where they live and work. </w:t>
      </w:r>
    </w:p>
    <w:p w14:paraId="6C8583CE" w14:textId="6FFB8097" w:rsidR="00406A2B" w:rsidRDefault="00450EFA" w:rsidP="00BF6F33">
      <w:pPr>
        <w:pStyle w:val="BodyText"/>
      </w:pPr>
      <w:r>
        <w:t xml:space="preserve">Of particular concern, however, is the prevalence of barriers that hinder the participation of people living in Regional Australia in the labour market, particularly those from priority equity groups. While Regional Australia has been experiencing historically low levels of unemployment, with the unemployment rate reaching a recent low of 3.2% in late 2022, </w:t>
      </w:r>
      <w:r>
        <w:lastRenderedPageBreak/>
        <w:t>many young people face barriers, that are often complex and inter-related</w:t>
      </w:r>
      <w:r w:rsidR="008B38AB">
        <w:t>. Such barriers</w:t>
      </w:r>
      <w:r>
        <w:t xml:space="preserve"> hinder their participation in the </w:t>
      </w:r>
      <w:r w:rsidR="00FF578B">
        <w:t>jobs and skills system</w:t>
      </w:r>
      <w:r>
        <w:t xml:space="preserve"> altogether with around 1 in 6 young people in Regional Australia not in any form of employment, education or training in Regional Australia</w:t>
      </w:r>
      <w:r w:rsidR="008B38AB">
        <w:t>, well above the 1 in 10 young people in the Major Cities</w:t>
      </w:r>
      <w:r>
        <w:t xml:space="preserve">. </w:t>
      </w:r>
    </w:p>
    <w:p w14:paraId="4EB79054" w14:textId="31E3000B" w:rsidR="00450EFA" w:rsidRDefault="00450EFA" w:rsidP="00BF6F33">
      <w:pPr>
        <w:pStyle w:val="BodyText"/>
      </w:pPr>
      <w:r>
        <w:t>Furthermore, school attendance rates in Regional Australia have consistently lagged the rates recorded in Major Cities and remain well above their pre-COVID levels. This may reflect the incidence of key emerging barriers due to the disruptions to schooling caused by COVID (as well as other factors in those years, such as natural disasters in certain regions) or local labour market conditions, as well as other factors that are hindering participation in school.</w:t>
      </w:r>
    </w:p>
    <w:p w14:paraId="7D44D62D" w14:textId="77777777" w:rsidR="00406A2B" w:rsidRDefault="00450EFA" w:rsidP="00BF6F33">
      <w:pPr>
        <w:pStyle w:val="BodyText"/>
      </w:pPr>
      <w:r w:rsidRPr="00F37F11">
        <w:t>How people respond to opportunities in the labour market relies on investment in technical skills and knowledge, as well as the core transferable skills needed to be resilient and adaptable to changes in the labour market.</w:t>
      </w:r>
      <w:r>
        <w:t xml:space="preserve"> </w:t>
      </w:r>
      <w:r w:rsidRPr="00F37F11">
        <w:t>As employment in Regional Australia continues to shift towards jobs that require occupations where VET or higher education is the primary pathway, ensuring that participation in tertiary education in Regional Australia continues to grow is critical.</w:t>
      </w:r>
      <w:r>
        <w:t xml:space="preserve"> </w:t>
      </w:r>
    </w:p>
    <w:p w14:paraId="30AC23CA" w14:textId="77777777" w:rsidR="001C186C" w:rsidRDefault="00450EFA" w:rsidP="00045AD9">
      <w:pPr>
        <w:pStyle w:val="BodyText"/>
      </w:pPr>
      <w:r>
        <w:t xml:space="preserve">Against this backdrop, the youth tertiary </w:t>
      </w:r>
      <w:r w:rsidRPr="00F37F11">
        <w:t>participation rate in Regional Australia has been relatively stable over recent years at around 22%, although it is well below the rate in Major Cities</w:t>
      </w:r>
      <w:r w:rsidR="008B38AB">
        <w:t xml:space="preserve"> (37%)</w:t>
      </w:r>
      <w:r w:rsidRPr="00F37F11">
        <w:t xml:space="preserve">. </w:t>
      </w:r>
      <w:r w:rsidR="001C186C" w:rsidRPr="00F37F11">
        <w:t>Lower rates of tertiary study in Regional Australia could be due to a range of factors including access issues, financial barriers, family and community expectations.</w:t>
      </w:r>
      <w:r w:rsidR="001C186C">
        <w:t xml:space="preserve"> </w:t>
      </w:r>
    </w:p>
    <w:p w14:paraId="2B5E2E0C" w14:textId="2DD98477" w:rsidR="00045AD9" w:rsidRDefault="001C186C" w:rsidP="001C186C">
      <w:pPr>
        <w:pStyle w:val="BodyText"/>
        <w:numPr>
          <w:ilvl w:val="0"/>
          <w:numId w:val="60"/>
        </w:numPr>
      </w:pPr>
      <w:r>
        <w:t>It is important to note that w</w:t>
      </w:r>
      <w:r w:rsidR="00045AD9">
        <w:t xml:space="preserve">hile the average result can provide an indication of trends </w:t>
      </w:r>
      <w:r>
        <w:t xml:space="preserve">for </w:t>
      </w:r>
      <w:r w:rsidR="00045AD9">
        <w:t>Regional Australia</w:t>
      </w:r>
      <w:r>
        <w:t xml:space="preserve"> as whole</w:t>
      </w:r>
      <w:r w:rsidR="00045AD9">
        <w:t xml:space="preserve">, it </w:t>
      </w:r>
      <w:r>
        <w:t xml:space="preserve">can </w:t>
      </w:r>
      <w:r w:rsidR="00045AD9">
        <w:t xml:space="preserve">hide significant within Regional Australia. For instance, </w:t>
      </w:r>
      <w:r>
        <w:t>t</w:t>
      </w:r>
      <w:r w:rsidR="00045AD9">
        <w:t xml:space="preserve">he youth </w:t>
      </w:r>
      <w:r>
        <w:t>tertiary participation rate ranges from around 28% in Regional Western Australia, to just above 14% in Regional Victoria</w:t>
      </w:r>
      <w:r w:rsidR="00230930">
        <w:t xml:space="preserve"> </w:t>
      </w:r>
      <w:r w:rsidR="00230930">
        <w:rPr>
          <w:rFonts w:cs="Arial"/>
        </w:rPr>
        <w:t>(see Appendix 1 for state and territory metrics)</w:t>
      </w:r>
      <w:r>
        <w:t xml:space="preserve"> </w:t>
      </w:r>
    </w:p>
    <w:p w14:paraId="2B729242" w14:textId="3313C702" w:rsidR="00450EFA" w:rsidRDefault="00450EFA" w:rsidP="00BF6F33">
      <w:pPr>
        <w:pStyle w:val="BodyText"/>
      </w:pPr>
      <w:r w:rsidRPr="00F37F11">
        <w:t>Ensuring that students in Regional Australia have the same access to tertiary education opportunities as their Major City counterparts is critical, including by ensuring suitable students receive the support they need to meet associated entry requirements for Higher Education. Without this, Australia will face difficulties in developing the skills required for the future.</w:t>
      </w:r>
    </w:p>
    <w:p w14:paraId="4404617C" w14:textId="2F995ADB" w:rsidR="00317BF0" w:rsidRDefault="00317BF0" w:rsidP="00BF6F33">
      <w:pPr>
        <w:pStyle w:val="BodyText"/>
      </w:pPr>
      <w:r>
        <w:t>The prevalence of barriers that hinder participation in the labour market, including the acquisition of skill through the tertiary and higher education system, as well as completion of apprenticeship and traineeships, likely contributes to recruitment difficulty for employers in Regional Australia. Although recruitment difficulty appears to be showing some sign of easing, it continues to remain one of the greatest challenges for employers in Regional Australia</w:t>
      </w:r>
      <w:r w:rsidR="0081786B">
        <w:t>. This is</w:t>
      </w:r>
      <w:r>
        <w:t xml:space="preserve"> particularly</w:t>
      </w:r>
      <w:r w:rsidR="0081786B">
        <w:t xml:space="preserve"> true</w:t>
      </w:r>
      <w:r>
        <w:t xml:space="preserve"> for essential services where almost 1 in 10 essential service jobs remain vacant</w:t>
      </w:r>
      <w:r w:rsidR="0081786B">
        <w:t xml:space="preserve"> in Regional Australia, well above the 1 in 15 vacant essential service jobs in the Major Cities.</w:t>
      </w:r>
      <w:r>
        <w:t xml:space="preserve"> This highlights the urgent need for additional support to ensure the adequate provision of essential services in Regional Australia that is central to supporting a strong labour market and the wellbeing of the community.</w:t>
      </w:r>
    </w:p>
    <w:p w14:paraId="45B8DA9B" w14:textId="259111F4" w:rsidR="005932E3" w:rsidRPr="00093791" w:rsidRDefault="00450EFA" w:rsidP="00BF6F33">
      <w:pPr>
        <w:pStyle w:val="BodyText"/>
      </w:pPr>
      <w:r>
        <w:t xml:space="preserve">Importantly, these results echo the views stakeholders provided to JSA during discussions </w:t>
      </w:r>
      <w:r w:rsidR="00074246">
        <w:t>across Australia</w:t>
      </w:r>
      <w:r>
        <w:t xml:space="preserve"> – </w:t>
      </w:r>
      <w:r w:rsidR="00074246">
        <w:t>that,</w:t>
      </w:r>
      <w:r>
        <w:t xml:space="preserve"> at present, Regional Australia predominantly faces a people (or labour supply) issue rather than a jobs (or demand) issue. There is a very strong demand for labour with many jobs in chronic long-term shortage that are often left unfilled. And although employers often demonstrate an increased willingness to fill vacancies with available supply, with on-the-job training and support often enhancing the productivity of the employee over </w:t>
      </w:r>
      <w:r>
        <w:lastRenderedPageBreak/>
        <w:t xml:space="preserve">time, more progress must be made to addressing the prevalence of complex and inter-related barriers that prevent the necessary skill acquisition and participation in the labour market to enable Regional Australia to thrive. </w:t>
      </w:r>
      <w:r w:rsidR="005932E3">
        <w:rPr>
          <w:rFonts w:cs="Arial"/>
          <w:color w:val="FFFFFF" w:themeColor="background1"/>
        </w:rPr>
        <w:br w:type="page"/>
      </w:r>
    </w:p>
    <w:p w14:paraId="64F269AE" w14:textId="289CF007" w:rsidR="00D95E9A" w:rsidRPr="00AD6426" w:rsidRDefault="000901AD" w:rsidP="00AD6426">
      <w:pPr>
        <w:pStyle w:val="Heading1"/>
        <w:spacing w:before="960"/>
        <w:rPr>
          <w:rFonts w:cs="Arial"/>
          <w:bCs/>
          <w:color w:val="FFFFFF" w:themeColor="background1"/>
          <w:szCs w:val="56"/>
        </w:rPr>
      </w:pPr>
      <w:bookmarkStart w:id="158" w:name="_Toc202361881"/>
      <w:r w:rsidRPr="00211FD3">
        <w:rPr>
          <w:b w:val="0"/>
          <w:bCs/>
          <w:noProof/>
          <w:color w:val="FFFFFF" w:themeColor="background1"/>
          <w:szCs w:val="56"/>
        </w:rPr>
        <w:lastRenderedPageBreak/>
        <w:drawing>
          <wp:anchor distT="0" distB="0" distL="114300" distR="114300" simplePos="0" relativeHeight="251945472" behindDoc="1" locked="0" layoutInCell="1" allowOverlap="1" wp14:anchorId="5ABEC7FE" wp14:editId="4557B963">
            <wp:simplePos x="0" y="0"/>
            <wp:positionH relativeFrom="page">
              <wp:align>right</wp:align>
            </wp:positionH>
            <wp:positionV relativeFrom="paragraph">
              <wp:posOffset>-807596</wp:posOffset>
            </wp:positionV>
            <wp:extent cx="7547269" cy="10675917"/>
            <wp:effectExtent l="0" t="0" r="0" b="0"/>
            <wp:wrapNone/>
            <wp:docPr id="46262311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23110" name="Picture 6">
                      <a:extLst>
                        <a:ext uri="{C183D7F6-B498-43B3-948B-1728B52AA6E4}">
                          <adec:decorative xmlns:adec="http://schemas.microsoft.com/office/drawing/2017/decorative" val="1"/>
                        </a:ext>
                      </a:extLst>
                    </pic:cNvPr>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7547269" cy="10675917"/>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59" w:name="_Toc200637151"/>
      <w:bookmarkStart w:id="160" w:name="_Toc201070190"/>
      <w:bookmarkStart w:id="161" w:name="_Toc201919853"/>
      <w:r w:rsidR="00E27C64" w:rsidRPr="00AD6426">
        <w:rPr>
          <w:bCs/>
          <w:color w:val="FFFFFF" w:themeColor="background1"/>
        </w:rPr>
        <w:t xml:space="preserve">3. </w:t>
      </w:r>
      <w:r w:rsidR="00A8034B" w:rsidRPr="00AD6426">
        <w:rPr>
          <w:rFonts w:cs="Arial"/>
          <w:bCs/>
          <w:color w:val="FFFFFF" w:themeColor="background1"/>
          <w:szCs w:val="56"/>
        </w:rPr>
        <w:t>Making progress towards the vision for Regional Australia</w:t>
      </w:r>
      <w:bookmarkEnd w:id="158"/>
      <w:bookmarkEnd w:id="159"/>
      <w:bookmarkEnd w:id="160"/>
      <w:bookmarkEnd w:id="161"/>
    </w:p>
    <w:p w14:paraId="77A1B88A" w14:textId="59EB60DF" w:rsidR="0023406A" w:rsidRDefault="0023406A">
      <w:pPr>
        <w:spacing w:after="160" w:line="259" w:lineRule="auto"/>
        <w:rPr>
          <w:rFonts w:cs="Arial"/>
          <w:szCs w:val="20"/>
          <w:lang w:eastAsia="en-AU"/>
        </w:rPr>
      </w:pPr>
      <w:r>
        <w:rPr>
          <w:rFonts w:cs="Arial"/>
          <w:lang w:eastAsia="en-AU"/>
        </w:rPr>
        <w:br w:type="page"/>
      </w:r>
    </w:p>
    <w:p w14:paraId="47146444" w14:textId="77777777" w:rsidR="00D40DC4" w:rsidRPr="00E965A5" w:rsidRDefault="00D40DC4" w:rsidP="00E965A5">
      <w:pPr>
        <w:rPr>
          <w:b/>
          <w:sz w:val="32"/>
          <w:szCs w:val="32"/>
        </w:rPr>
      </w:pPr>
      <w:r w:rsidRPr="00E965A5">
        <w:rPr>
          <w:b/>
          <w:sz w:val="32"/>
          <w:szCs w:val="32"/>
        </w:rPr>
        <w:lastRenderedPageBreak/>
        <w:t>Introduction</w:t>
      </w:r>
    </w:p>
    <w:p w14:paraId="4B804E23" w14:textId="2E410D2D" w:rsidR="00380DE5" w:rsidRDefault="00240C1B" w:rsidP="00F8751D">
      <w:pPr>
        <w:pStyle w:val="BodyText"/>
      </w:pPr>
      <w:r>
        <w:t xml:space="preserve">Pursuing the vision for the jobs and skills system in Regional Australia will require deliberate action. Although many policies and initiatives are already in place to </w:t>
      </w:r>
      <w:r w:rsidR="00A43EE8">
        <w:t>improve</w:t>
      </w:r>
      <w:r>
        <w:t xml:space="preserve"> the equity, effectiveness and efficiency of the jobs and skills system in Regional Australia, </w:t>
      </w:r>
      <w:r w:rsidR="00CC646E">
        <w:t xml:space="preserve">additional steps can be taken to continue to pursue the vision. This includes specific actions targeting uplift in particular parts of the system, or in response to challenges and opportunities identified under a specific </w:t>
      </w:r>
      <w:r w:rsidR="007A42D0">
        <w:t>v</w:t>
      </w:r>
      <w:r w:rsidR="00CC646E">
        <w:t xml:space="preserve">ision </w:t>
      </w:r>
      <w:r w:rsidR="007A42D0">
        <w:t>p</w:t>
      </w:r>
      <w:r w:rsidR="00CC646E">
        <w:t xml:space="preserve">rinciple. </w:t>
      </w:r>
    </w:p>
    <w:p w14:paraId="0887B3D6" w14:textId="0FB469FB" w:rsidR="009B3EF6" w:rsidRDefault="00014294" w:rsidP="00F8751D">
      <w:pPr>
        <w:pStyle w:val="BodyText"/>
      </w:pPr>
      <w:r>
        <w:t xml:space="preserve">In </w:t>
      </w:r>
      <w:r w:rsidR="00031578">
        <w:t>considering</w:t>
      </w:r>
      <w:r>
        <w:t xml:space="preserve"> these proposed actions, there are </w:t>
      </w:r>
      <w:r w:rsidR="00285E8D">
        <w:t>3</w:t>
      </w:r>
      <w:r>
        <w:t xml:space="preserve"> key guiding </w:t>
      </w:r>
      <w:r w:rsidR="00B51EDD">
        <w:t>principles</w:t>
      </w:r>
      <w:r>
        <w:t xml:space="preserve"> to </w:t>
      </w:r>
      <w:r w:rsidR="00031578">
        <w:t>keep in mind</w:t>
      </w:r>
      <w:r>
        <w:t xml:space="preserve">. </w:t>
      </w:r>
    </w:p>
    <w:p w14:paraId="428E569A" w14:textId="14B0232A" w:rsidR="009B3EF6" w:rsidRDefault="009B3EF6" w:rsidP="00D16B99">
      <w:pPr>
        <w:pStyle w:val="BodyText"/>
        <w:numPr>
          <w:ilvl w:val="0"/>
          <w:numId w:val="41"/>
        </w:numPr>
      </w:pPr>
      <w:r>
        <w:t>I</w:t>
      </w:r>
      <w:r w:rsidR="008446FF" w:rsidRPr="009B3EF6">
        <w:t xml:space="preserve">n many regions and jurisdictions, there are already areas of existing strength or success in </w:t>
      </w:r>
      <w:r w:rsidR="00E35323">
        <w:t>enhancing</w:t>
      </w:r>
      <w:r w:rsidR="008446FF" w:rsidRPr="009B3EF6">
        <w:t xml:space="preserve"> the jobs and skills system in Regional Australia. </w:t>
      </w:r>
      <w:r w:rsidR="005817B3" w:rsidRPr="009B3EF6">
        <w:t xml:space="preserve">With this in mind, the opportunities highlighted below are not seeking to disrupt such areas of strength, but rather complement and build on them, including by enabling areas of success </w:t>
      </w:r>
      <w:r w:rsidR="008446FF" w:rsidRPr="009B3EF6">
        <w:t>to be shared and enacted more broadly</w:t>
      </w:r>
      <w:r w:rsidR="005817B3" w:rsidRPr="009B3EF6">
        <w:t xml:space="preserve"> across other parts of Regional Australia</w:t>
      </w:r>
      <w:r>
        <w:t>.</w:t>
      </w:r>
    </w:p>
    <w:p w14:paraId="0AECE550" w14:textId="7E769C70" w:rsidR="009B3EF6" w:rsidRDefault="009B3EF6" w:rsidP="00D16B99">
      <w:pPr>
        <w:pStyle w:val="BodyText"/>
        <w:numPr>
          <w:ilvl w:val="0"/>
          <w:numId w:val="41"/>
        </w:numPr>
      </w:pPr>
      <w:r>
        <w:t>T</w:t>
      </w:r>
      <w:r w:rsidR="00B51EDD" w:rsidRPr="009B3EF6">
        <w:t xml:space="preserve">he suggestions are provided as directional suggestions, rather than prescriptive </w:t>
      </w:r>
      <w:r w:rsidR="00074246">
        <w:t>proposals or</w:t>
      </w:r>
      <w:r w:rsidR="00B51EDD" w:rsidRPr="009B3EF6">
        <w:t xml:space="preserve"> requirements, reflecting the need for local tailoring and differences in approaches across jurisdictions. Given the vast and diverse differences between regions and communities with Regional Australia, such flexibility is critical to ensuring future success. </w:t>
      </w:r>
    </w:p>
    <w:p w14:paraId="4C356CDB" w14:textId="5EAA86AE" w:rsidR="0042097E" w:rsidRDefault="0042097E" w:rsidP="0042097E">
      <w:pPr>
        <w:pStyle w:val="BodyText"/>
        <w:numPr>
          <w:ilvl w:val="0"/>
          <w:numId w:val="41"/>
        </w:numPr>
      </w:pPr>
      <w:bookmarkStart w:id="162" w:name="_Hlk198718469"/>
      <w:r w:rsidRPr="0042097E">
        <w:t>The proposed actions will also continue to be informed and design</w:t>
      </w:r>
      <w:r>
        <w:t>ed</w:t>
      </w:r>
      <w:r w:rsidR="00FD6878">
        <w:t xml:space="preserve"> (in line with the spirit of co-design)</w:t>
      </w:r>
      <w:r w:rsidRPr="0042097E">
        <w:t xml:space="preserve"> with stakeholders, with further refinement and testing (such as through policy pilots and trials) potentially required.</w:t>
      </w:r>
    </w:p>
    <w:p w14:paraId="149945DF" w14:textId="2A244345" w:rsidR="003361D7" w:rsidRDefault="00D41EAE" w:rsidP="0042097E">
      <w:pPr>
        <w:pStyle w:val="BodyText"/>
        <w:ind w:left="360"/>
      </w:pPr>
      <w:r>
        <w:t xml:space="preserve">With these principles in mind, the following sub-sections present </w:t>
      </w:r>
      <w:r w:rsidR="00285E8D">
        <w:t>2</w:t>
      </w:r>
      <w:r>
        <w:t xml:space="preserve"> key areas of potential action, namely:</w:t>
      </w:r>
    </w:p>
    <w:p w14:paraId="571A2EF6" w14:textId="315D5B29" w:rsidR="003361D7" w:rsidRPr="008455D1" w:rsidRDefault="003361D7" w:rsidP="00D16B99">
      <w:pPr>
        <w:pStyle w:val="BodyText"/>
        <w:numPr>
          <w:ilvl w:val="0"/>
          <w:numId w:val="42"/>
        </w:numPr>
      </w:pPr>
      <w:r w:rsidRPr="008455D1">
        <w:t>Part 1: Policy checklist</w:t>
      </w:r>
      <w:r w:rsidR="00D41EAE" w:rsidRPr="008455D1">
        <w:t xml:space="preserve"> to guide future policy design for Regional Australia</w:t>
      </w:r>
    </w:p>
    <w:p w14:paraId="228880FD" w14:textId="67868C81" w:rsidR="003361D7" w:rsidRPr="008455D1" w:rsidRDefault="003361D7" w:rsidP="00D16B99">
      <w:pPr>
        <w:pStyle w:val="BodyText"/>
        <w:numPr>
          <w:ilvl w:val="0"/>
          <w:numId w:val="42"/>
        </w:numPr>
      </w:pPr>
      <w:r w:rsidRPr="008455D1">
        <w:t xml:space="preserve">Part 2: Emerging areas of focus </w:t>
      </w:r>
      <w:r w:rsidR="00D41EAE" w:rsidRPr="008455D1">
        <w:t xml:space="preserve">to </w:t>
      </w:r>
      <w:r w:rsidR="00421805">
        <w:t>enhance</w:t>
      </w:r>
      <w:r w:rsidR="00D41EAE" w:rsidRPr="008455D1">
        <w:t xml:space="preserve"> the jobs and skills system</w:t>
      </w:r>
    </w:p>
    <w:bookmarkEnd w:id="162"/>
    <w:p w14:paraId="2B7CC106" w14:textId="7227F4DA" w:rsidR="00470C00" w:rsidRDefault="00031578" w:rsidP="004D5A6F">
      <w:pPr>
        <w:pStyle w:val="BodyText"/>
        <w:rPr>
          <w:rFonts w:eastAsia="Arial" w:cs="Arial"/>
          <w:highlight w:val="yellow"/>
        </w:rPr>
      </w:pPr>
      <w:r w:rsidRPr="00163ABF">
        <w:t xml:space="preserve">Following this, a proposed approach </w:t>
      </w:r>
      <w:r w:rsidR="00074246">
        <w:t>for</w:t>
      </w:r>
      <w:r w:rsidRPr="00163ABF">
        <w:t xml:space="preserve"> </w:t>
      </w:r>
      <w:r w:rsidR="00A9105A">
        <w:t xml:space="preserve">further </w:t>
      </w:r>
      <w:r w:rsidRPr="00163ABF">
        <w:t xml:space="preserve">refining and enacting the roadmap is </w:t>
      </w:r>
      <w:r w:rsidR="00163ABF" w:rsidRPr="00163ABF">
        <w:t>presented</w:t>
      </w:r>
      <w:r w:rsidRPr="00163ABF">
        <w:t>, including</w:t>
      </w:r>
      <w:r w:rsidR="00163ABF" w:rsidRPr="00163ABF">
        <w:t xml:space="preserve"> in-person r</w:t>
      </w:r>
      <w:r w:rsidR="003361D7" w:rsidRPr="00163ABF">
        <w:t>oundtables</w:t>
      </w:r>
      <w:r w:rsidR="006637BD" w:rsidRPr="00163ABF">
        <w:t xml:space="preserve"> across Regional Australia</w:t>
      </w:r>
      <w:r w:rsidR="00163ABF" w:rsidRPr="00163ABF">
        <w:t xml:space="preserve"> and a public stakeholder submission process</w:t>
      </w:r>
      <w:r w:rsidR="003E5814">
        <w:t>. This will support the</w:t>
      </w:r>
      <w:r w:rsidR="00163ABF" w:rsidRPr="00163ABF">
        <w:t xml:space="preserve"> refin</w:t>
      </w:r>
      <w:r w:rsidR="003E5814">
        <w:t>ing of</w:t>
      </w:r>
      <w:r w:rsidR="00163ABF" w:rsidRPr="00163ABF">
        <w:t xml:space="preserve"> the Roadmap </w:t>
      </w:r>
      <w:r w:rsidR="003E5814">
        <w:t>between Phase 1 and Phase 2</w:t>
      </w:r>
      <w:r w:rsidR="00FB69C9">
        <w:t>,</w:t>
      </w:r>
      <w:r w:rsidR="00163ABF" w:rsidRPr="00163ABF">
        <w:t xml:space="preserve"> and support the development of State and Territory level </w:t>
      </w:r>
      <w:r w:rsidR="000C236E">
        <w:t xml:space="preserve">and other </w:t>
      </w:r>
      <w:r w:rsidR="00163ABF" w:rsidRPr="00163ABF">
        <w:t>regional roadmaps.</w:t>
      </w:r>
    </w:p>
    <w:p w14:paraId="3F4CDB82" w14:textId="77777777" w:rsidR="00E55AF8" w:rsidRDefault="00E55AF8">
      <w:pPr>
        <w:spacing w:after="160" w:line="259" w:lineRule="auto"/>
        <w:rPr>
          <w:rFonts w:eastAsiaTheme="majorEastAsia" w:cstheme="majorBidi"/>
          <w:b/>
          <w:sz w:val="32"/>
          <w:szCs w:val="26"/>
        </w:rPr>
      </w:pPr>
      <w:r>
        <w:br w:type="page"/>
      </w:r>
    </w:p>
    <w:p w14:paraId="22A13516" w14:textId="1F3DFE51" w:rsidR="00D95E9A" w:rsidRPr="007671DD" w:rsidRDefault="00FB7E2F" w:rsidP="00162D77">
      <w:pPr>
        <w:pStyle w:val="Heading1unnumbered"/>
      </w:pPr>
      <w:r w:rsidRPr="00FB7E2F">
        <w:rPr>
          <w:noProof/>
        </w:rPr>
        <w:lastRenderedPageBreak/>
        <w:drawing>
          <wp:anchor distT="0" distB="0" distL="114300" distR="114300" simplePos="0" relativeHeight="251962880" behindDoc="1" locked="0" layoutInCell="1" allowOverlap="1" wp14:anchorId="7462D244" wp14:editId="516FDE5C">
            <wp:simplePos x="0" y="0"/>
            <wp:positionH relativeFrom="page">
              <wp:align>left</wp:align>
            </wp:positionH>
            <wp:positionV relativeFrom="paragraph">
              <wp:posOffset>-843783</wp:posOffset>
            </wp:positionV>
            <wp:extent cx="7572488" cy="10711543"/>
            <wp:effectExtent l="0" t="0" r="0" b="0"/>
            <wp:wrapNone/>
            <wp:docPr id="207905075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50758" name="Picture 8">
                      <a:extLst>
                        <a:ext uri="{C183D7F6-B498-43B3-948B-1728B52AA6E4}">
                          <adec:decorative xmlns:adec="http://schemas.microsoft.com/office/drawing/2017/decorative" val="1"/>
                        </a:ext>
                      </a:extLst>
                    </pic:cNvPr>
                    <pic:cNvPicPr>
                      <a:picLocks noChangeAspect="1" noChangeArrowheads="1"/>
                    </pic:cNvPicPr>
                  </pic:nvPicPr>
                  <pic:blipFill>
                    <a:blip r:embed="rId82" cstate="email">
                      <a:extLst>
                        <a:ext uri="{28A0092B-C50C-407E-A947-70E740481C1C}">
                          <a14:useLocalDpi xmlns:a14="http://schemas.microsoft.com/office/drawing/2010/main" val="0"/>
                        </a:ext>
                      </a:extLst>
                    </a:blip>
                    <a:srcRect/>
                    <a:stretch>
                      <a:fillRect/>
                    </a:stretch>
                  </pic:blipFill>
                  <pic:spPr bwMode="auto">
                    <a:xfrm>
                      <a:off x="0" y="0"/>
                      <a:ext cx="7573563" cy="107130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68E">
        <w:t>10</w:t>
      </w:r>
      <w:r w:rsidR="007F4321" w:rsidRPr="00E55AF8">
        <w:t xml:space="preserve"> policy design </w:t>
      </w:r>
      <w:r w:rsidR="00D86707">
        <w:t>principles</w:t>
      </w:r>
      <w:r w:rsidR="00911F62" w:rsidRPr="00E55AF8">
        <w:t xml:space="preserve"> for </w:t>
      </w:r>
      <w:r w:rsidR="00380DE5" w:rsidRPr="00E55AF8">
        <w:t>R</w:t>
      </w:r>
      <w:r w:rsidR="00911F62" w:rsidRPr="00E55AF8">
        <w:t>egional Australia</w:t>
      </w:r>
    </w:p>
    <w:p w14:paraId="742A291C" w14:textId="5B25C101" w:rsidR="0088660E" w:rsidRPr="00162D77" w:rsidRDefault="00D86707" w:rsidP="007F4321">
      <w:pPr>
        <w:pStyle w:val="TOCHeading"/>
        <w:rPr>
          <w:rFonts w:eastAsiaTheme="minorHAnsi" w:cstheme="minorBidi"/>
          <w:b w:val="0"/>
          <w:color w:val="auto"/>
          <w:sz w:val="40"/>
          <w:szCs w:val="40"/>
          <w:lang w:val="en-AU"/>
        </w:rPr>
      </w:pPr>
      <w:r>
        <w:rPr>
          <w:rFonts w:eastAsiaTheme="minorHAnsi" w:cstheme="minorBidi"/>
          <w:b w:val="0"/>
          <w:color w:val="auto"/>
          <w:sz w:val="40"/>
          <w:szCs w:val="40"/>
          <w:lang w:val="en-AU"/>
        </w:rPr>
        <w:t>Guiding principles to</w:t>
      </w:r>
      <w:r w:rsidR="00D95E9A" w:rsidRPr="00264D37">
        <w:rPr>
          <w:rFonts w:eastAsiaTheme="minorHAnsi" w:cstheme="minorBidi"/>
          <w:b w:val="0"/>
          <w:color w:val="auto"/>
          <w:sz w:val="40"/>
          <w:szCs w:val="40"/>
          <w:lang w:val="en-AU"/>
        </w:rPr>
        <w:t xml:space="preserve"> </w:t>
      </w:r>
      <w:r w:rsidR="00421805">
        <w:rPr>
          <w:rFonts w:eastAsiaTheme="minorHAnsi" w:cstheme="minorBidi"/>
          <w:b w:val="0"/>
          <w:color w:val="auto"/>
          <w:sz w:val="40"/>
          <w:szCs w:val="40"/>
          <w:lang w:val="en-AU"/>
        </w:rPr>
        <w:t>enhance</w:t>
      </w:r>
      <w:r w:rsidR="00D95E9A" w:rsidRPr="00264D37">
        <w:rPr>
          <w:rFonts w:eastAsiaTheme="minorHAnsi" w:cstheme="minorBidi"/>
          <w:b w:val="0"/>
          <w:color w:val="auto"/>
          <w:sz w:val="40"/>
          <w:szCs w:val="40"/>
          <w:lang w:val="en-AU"/>
        </w:rPr>
        <w:t xml:space="preserve"> the jobs and skills system across Regional Australia</w:t>
      </w:r>
      <w:r w:rsidR="0088660E" w:rsidRPr="007F4321">
        <w:rPr>
          <w:rFonts w:eastAsiaTheme="minorHAnsi" w:cstheme="minorBidi"/>
          <w:b w:val="0"/>
          <w:color w:val="FFFFFF" w:themeColor="background1"/>
          <w:sz w:val="40"/>
          <w:szCs w:val="40"/>
          <w:lang w:val="en-AU"/>
        </w:rPr>
        <w:br w:type="page"/>
      </w:r>
    </w:p>
    <w:p w14:paraId="5890EED4" w14:textId="77881924" w:rsidR="00E55AF8" w:rsidRPr="00264D37" w:rsidRDefault="005D668E" w:rsidP="00E55AF8">
      <w:pPr>
        <w:pStyle w:val="Heading2"/>
      </w:pPr>
      <w:bookmarkStart w:id="163" w:name="_Toc200637152"/>
      <w:bookmarkStart w:id="164" w:name="_Toc201070191"/>
      <w:bookmarkStart w:id="165" w:name="_Toc201919854"/>
      <w:bookmarkStart w:id="166" w:name="_Toc202361882"/>
      <w:r>
        <w:lastRenderedPageBreak/>
        <w:t>10</w:t>
      </w:r>
      <w:r w:rsidR="00E55AF8" w:rsidRPr="00264D37">
        <w:t xml:space="preserve"> policy design </w:t>
      </w:r>
      <w:r w:rsidR="00D86707">
        <w:t>principles</w:t>
      </w:r>
      <w:r w:rsidR="00E55AF8" w:rsidRPr="00264D37">
        <w:t xml:space="preserve"> for </w:t>
      </w:r>
      <w:r w:rsidR="00E55AF8">
        <w:t>R</w:t>
      </w:r>
      <w:r w:rsidR="00E55AF8" w:rsidRPr="00264D37">
        <w:t>egional Australia</w:t>
      </w:r>
      <w:bookmarkEnd w:id="163"/>
      <w:bookmarkEnd w:id="164"/>
      <w:bookmarkEnd w:id="165"/>
      <w:bookmarkEnd w:id="166"/>
    </w:p>
    <w:p w14:paraId="180166BF" w14:textId="14B863C5" w:rsidR="004B2A12" w:rsidRDefault="004B2A12" w:rsidP="00756499">
      <w:pPr>
        <w:pStyle w:val="BodyText"/>
      </w:pPr>
      <w:r w:rsidRPr="00F81AFB">
        <w:t>Across Regional Australia, there are a number of prevailing factors and features that cause the fundamental context within which the jobs and skills system operates to differ when compared with the major capital cities. In particular, Regional Australia faces a more dispersed population that leads to higher costs of delivery and an enduring challenge to ensure equity of access to programs and services for individuals and employers</w:t>
      </w:r>
      <w:r w:rsidR="00276AD3">
        <w:t>.</w:t>
      </w:r>
      <w:r w:rsidRPr="00F81AFB">
        <w:t xml:space="preserve"> </w:t>
      </w:r>
    </w:p>
    <w:p w14:paraId="3C4A761D" w14:textId="7F7A466B" w:rsidR="004B2A12" w:rsidRDefault="004B2A12" w:rsidP="00756499">
      <w:pPr>
        <w:pStyle w:val="BodyText"/>
      </w:pPr>
      <w:r w:rsidRPr="00F81AFB">
        <w:t xml:space="preserve">To help account for and alleviate this pressure, there are a range of foundational policy </w:t>
      </w:r>
      <w:r w:rsidR="00CB1D11">
        <w:t>principles</w:t>
      </w:r>
      <w:r w:rsidRPr="00F81AFB">
        <w:t xml:space="preserve"> that can be </w:t>
      </w:r>
      <w:r>
        <w:t>used</w:t>
      </w:r>
      <w:r w:rsidRPr="00F81AFB">
        <w:t xml:space="preserve"> to support the jobs and skills system. Such </w:t>
      </w:r>
      <w:r w:rsidR="00CB1D11">
        <w:t>principles</w:t>
      </w:r>
      <w:r w:rsidRPr="00F81AFB">
        <w:t xml:space="preserve"> are often cross-cutting in that they can apply across sectors, including for schooling, vocational education and training, employment services and related skills programs. </w:t>
      </w:r>
    </w:p>
    <w:p w14:paraId="5BF44D16" w14:textId="5CA5103D" w:rsidR="004B2A12" w:rsidRDefault="00A568E5" w:rsidP="0079705C">
      <w:pPr>
        <w:pStyle w:val="BodyText"/>
      </w:pPr>
      <w:r>
        <w:t>Utilising</w:t>
      </w:r>
      <w:r w:rsidR="004B2A12" w:rsidRPr="00F81AFB">
        <w:t xml:space="preserve"> the following policy-design checklist both in new policy formation and in relation to existing policies and programs (including sectoral-based </w:t>
      </w:r>
      <w:r w:rsidR="00F60075" w:rsidRPr="00F60075">
        <w:t xml:space="preserve">and place-based </w:t>
      </w:r>
      <w:r w:rsidR="004B2A12" w:rsidRPr="00F81AFB">
        <w:t xml:space="preserve">approaches) provides a significant opportunity for impact. </w:t>
      </w:r>
    </w:p>
    <w:p w14:paraId="165E8D25" w14:textId="316B2329" w:rsidR="00F60075" w:rsidRDefault="00932487" w:rsidP="0079705C">
      <w:pPr>
        <w:pStyle w:val="BodyText"/>
      </w:pPr>
      <w:r>
        <w:t>When</w:t>
      </w:r>
      <w:r w:rsidR="00F60075">
        <w:t xml:space="preserve"> </w:t>
      </w:r>
      <w:r w:rsidR="00A26AF7">
        <w:t xml:space="preserve">considering </w:t>
      </w:r>
      <w:r w:rsidR="00F60075">
        <w:t xml:space="preserve">these </w:t>
      </w:r>
      <w:r w:rsidR="002F2180">
        <w:t xml:space="preserve">policy design </w:t>
      </w:r>
      <w:r w:rsidR="00F60075">
        <w:t>principles</w:t>
      </w:r>
      <w:r w:rsidR="00B377F3">
        <w:t>, users should</w:t>
      </w:r>
      <w:r w:rsidR="002F2180">
        <w:t>:</w:t>
      </w:r>
      <w:r w:rsidR="00F60075">
        <w:t xml:space="preserve"> </w:t>
      </w:r>
    </w:p>
    <w:p w14:paraId="57BFEA9C" w14:textId="4A149633" w:rsidR="002F2180" w:rsidRDefault="00B377F3" w:rsidP="00D16B99">
      <w:pPr>
        <w:pStyle w:val="BodyText"/>
        <w:numPr>
          <w:ilvl w:val="0"/>
          <w:numId w:val="51"/>
        </w:numPr>
      </w:pPr>
      <w:r w:rsidRPr="00C77355">
        <w:rPr>
          <w:b/>
        </w:rPr>
        <w:t>Hold the principles</w:t>
      </w:r>
      <w:r w:rsidR="00A26AF7" w:rsidRPr="00C77355">
        <w:rPr>
          <w:b/>
        </w:rPr>
        <w:t xml:space="preserve"> together concurrently</w:t>
      </w:r>
      <w:r>
        <w:t xml:space="preserve"> (rather than individually or in isolation)</w:t>
      </w:r>
      <w:r w:rsidR="00A26AF7">
        <w:t>, noting the interrelations between the principles and the possibilities for trade-offs between them.</w:t>
      </w:r>
    </w:p>
    <w:p w14:paraId="18FD138E" w14:textId="2EAD9643" w:rsidR="00A26AF7" w:rsidRDefault="00B377F3" w:rsidP="00D16B99">
      <w:pPr>
        <w:pStyle w:val="BodyText"/>
        <w:numPr>
          <w:ilvl w:val="0"/>
          <w:numId w:val="51"/>
        </w:numPr>
      </w:pPr>
      <w:r w:rsidRPr="0010563E">
        <w:rPr>
          <w:b/>
        </w:rPr>
        <w:t xml:space="preserve">Consider the principles as directional and </w:t>
      </w:r>
      <w:r w:rsidR="00633F42" w:rsidRPr="0010563E">
        <w:rPr>
          <w:b/>
        </w:rPr>
        <w:t>a starting point</w:t>
      </w:r>
      <w:r>
        <w:t xml:space="preserve"> to stimulate policy thinking</w:t>
      </w:r>
      <w:r w:rsidR="00717316">
        <w:t>, rather than being prescriptive or limiting</w:t>
      </w:r>
      <w:r>
        <w:t>.</w:t>
      </w:r>
    </w:p>
    <w:p w14:paraId="1C87229C" w14:textId="314757B5" w:rsidR="00B377F3" w:rsidRDefault="0010563E" w:rsidP="00D16B99">
      <w:pPr>
        <w:pStyle w:val="BodyText"/>
        <w:numPr>
          <w:ilvl w:val="0"/>
          <w:numId w:val="51"/>
        </w:numPr>
      </w:pPr>
      <w:r w:rsidRPr="0010563E">
        <w:rPr>
          <w:b/>
          <w:bCs/>
        </w:rPr>
        <w:t>Use the</w:t>
      </w:r>
      <w:r w:rsidR="00717316" w:rsidRPr="0010563E">
        <w:rPr>
          <w:b/>
        </w:rPr>
        <w:t xml:space="preserve"> guide to support, rather than constrain</w:t>
      </w:r>
      <w:r w:rsidR="00717316">
        <w:t>, possibilities for future reform.</w:t>
      </w:r>
    </w:p>
    <w:p w14:paraId="7F05F139" w14:textId="3DF30CFC" w:rsidR="00633F42" w:rsidRDefault="004B2A12" w:rsidP="0079705C">
      <w:pPr>
        <w:pStyle w:val="BodyText"/>
      </w:pPr>
      <w:r w:rsidRPr="4502C1DD">
        <w:t>JSA intends to work with policy makers across all levels of government to refine th</w:t>
      </w:r>
      <w:r w:rsidR="00633F42">
        <w:t>ese design principles</w:t>
      </w:r>
      <w:r w:rsidRPr="4502C1DD">
        <w:t xml:space="preserve"> and test </w:t>
      </w:r>
      <w:r w:rsidR="00633F42">
        <w:t>their</w:t>
      </w:r>
      <w:r w:rsidRPr="4502C1DD">
        <w:t xml:space="preserve"> usefulness in Phase 2 of the </w:t>
      </w:r>
      <w:r w:rsidR="00932487">
        <w:t>R</w:t>
      </w:r>
      <w:r w:rsidR="00932487" w:rsidRPr="4502C1DD">
        <w:t>oadmap</w:t>
      </w:r>
      <w:r w:rsidRPr="4502C1DD">
        <w:t>.</w:t>
      </w:r>
      <w:r w:rsidR="001F5A3A">
        <w:t xml:space="preserve"> This may include developing </w:t>
      </w:r>
      <w:r w:rsidR="009F1E4C">
        <w:t xml:space="preserve">illustrative </w:t>
      </w:r>
      <w:r w:rsidR="001F5A3A">
        <w:t xml:space="preserve">examples of how the design principles could be pursued for different sectors </w:t>
      </w:r>
      <w:r w:rsidR="009F1E4C">
        <w:t>within the jobs and skills system and for localised place-based approaches</w:t>
      </w:r>
      <w:r w:rsidR="00EE7A25">
        <w:t xml:space="preserve"> (including across different types of regions)</w:t>
      </w:r>
      <w:r w:rsidR="009F1E4C">
        <w:t>.</w:t>
      </w:r>
    </w:p>
    <w:p w14:paraId="578DC611" w14:textId="77777777" w:rsidR="005E6DFA" w:rsidRDefault="005E6DFA">
      <w:pPr>
        <w:spacing w:after="160" w:line="259" w:lineRule="auto"/>
        <w:rPr>
          <w:rFonts w:eastAsia="Aptos" w:cs="Arial"/>
          <w:b/>
          <w:sz w:val="20"/>
          <w:szCs w:val="20"/>
        </w:rPr>
      </w:pPr>
      <w:bookmarkStart w:id="167" w:name="_Hlk195686488"/>
      <w:r>
        <w:rPr>
          <w:rFonts w:eastAsia="Aptos" w:cs="Arial"/>
          <w:b/>
          <w:sz w:val="20"/>
          <w:szCs w:val="20"/>
        </w:rPr>
        <w:br w:type="page"/>
      </w:r>
    </w:p>
    <w:p w14:paraId="7E7077B1" w14:textId="021AB1A1" w:rsidR="004B2A12" w:rsidRPr="00B601E5" w:rsidRDefault="00AD0C68" w:rsidP="00AD0C68">
      <w:pPr>
        <w:pStyle w:val="Caption"/>
        <w:rPr>
          <w:rFonts w:cs="Arial"/>
          <w:b w:val="0"/>
          <w:color w:val="FFFFFF" w:themeColor="background1"/>
          <w:sz w:val="20"/>
          <w:szCs w:val="20"/>
        </w:rPr>
      </w:pPr>
      <w:r>
        <w:lastRenderedPageBreak/>
        <w:t xml:space="preserve">Table </w:t>
      </w:r>
      <w:r>
        <w:fldChar w:fldCharType="begin"/>
      </w:r>
      <w:r>
        <w:instrText xml:space="preserve"> SEQ Table \* ARABIC </w:instrText>
      </w:r>
      <w:r>
        <w:fldChar w:fldCharType="separate"/>
      </w:r>
      <w:r w:rsidR="00471863">
        <w:rPr>
          <w:noProof/>
        </w:rPr>
        <w:t>31</w:t>
      </w:r>
      <w:r>
        <w:fldChar w:fldCharType="end"/>
      </w:r>
      <w:r w:rsidR="004B2A12" w:rsidRPr="00B601E5">
        <w:rPr>
          <w:rFonts w:eastAsia="Aptos" w:cs="Arial"/>
          <w:b w:val="0"/>
          <w:sz w:val="20"/>
          <w:szCs w:val="20"/>
        </w:rPr>
        <w:t xml:space="preserve">: </w:t>
      </w:r>
      <w:r w:rsidR="004B2A12" w:rsidRPr="00AD0C68">
        <w:rPr>
          <w:rFonts w:eastAsia="Aptos" w:cs="Arial"/>
          <w:bCs w:val="0"/>
          <w:sz w:val="20"/>
          <w:szCs w:val="20"/>
        </w:rPr>
        <w:t xml:space="preserve">Proposed policy design </w:t>
      </w:r>
      <w:r w:rsidR="004C4E26" w:rsidRPr="00AD0C68">
        <w:rPr>
          <w:rFonts w:eastAsia="Aptos" w:cs="Arial"/>
          <w:bCs w:val="0"/>
          <w:sz w:val="20"/>
          <w:szCs w:val="20"/>
        </w:rPr>
        <w:t>principles</w:t>
      </w:r>
      <w:r w:rsidR="004B2A12" w:rsidRPr="00AD0C68">
        <w:rPr>
          <w:rFonts w:eastAsia="Aptos" w:cs="Arial"/>
          <w:bCs w:val="0"/>
          <w:sz w:val="20"/>
          <w:szCs w:val="20"/>
        </w:rPr>
        <w:t xml:space="preserve"> to </w:t>
      </w:r>
      <w:r w:rsidR="00633F42" w:rsidRPr="00AD0C68">
        <w:rPr>
          <w:rFonts w:eastAsia="Aptos" w:cs="Arial"/>
          <w:bCs w:val="0"/>
          <w:sz w:val="20"/>
          <w:szCs w:val="20"/>
        </w:rPr>
        <w:t>support policy formation that</w:t>
      </w:r>
      <w:r w:rsidR="004B2A12" w:rsidRPr="00AD0C68">
        <w:rPr>
          <w:rFonts w:eastAsia="Aptos" w:cs="Arial"/>
          <w:bCs w:val="0"/>
          <w:sz w:val="20"/>
          <w:szCs w:val="20"/>
        </w:rPr>
        <w:t xml:space="preserve"> e</w:t>
      </w:r>
      <w:r w:rsidR="00633F42" w:rsidRPr="00AD0C68">
        <w:rPr>
          <w:rFonts w:eastAsia="Aptos" w:cs="Arial"/>
          <w:bCs w:val="0"/>
          <w:sz w:val="20"/>
          <w:szCs w:val="20"/>
        </w:rPr>
        <w:t>nhances</w:t>
      </w:r>
      <w:r w:rsidR="004B2A12" w:rsidRPr="00AD0C68">
        <w:rPr>
          <w:rFonts w:eastAsia="Aptos" w:cs="Arial"/>
          <w:bCs w:val="0"/>
          <w:sz w:val="20"/>
          <w:szCs w:val="20"/>
        </w:rPr>
        <w:t xml:space="preserve"> the jobs and skills system across Regional Australia</w:t>
      </w:r>
    </w:p>
    <w:tbl>
      <w:tblPr>
        <w:tblStyle w:val="CustomTablebasic"/>
        <w:tblW w:w="0" w:type="auto"/>
        <w:tblLook w:val="04A0" w:firstRow="1" w:lastRow="0" w:firstColumn="1" w:lastColumn="0" w:noHBand="0" w:noVBand="1"/>
      </w:tblPr>
      <w:tblGrid>
        <w:gridCol w:w="9027"/>
      </w:tblGrid>
      <w:tr w:rsidR="00A13456" w14:paraId="4D0984C6" w14:textId="77777777" w:rsidTr="00493284">
        <w:trPr>
          <w:cnfStyle w:val="100000000000" w:firstRow="1" w:lastRow="0" w:firstColumn="0" w:lastColumn="0" w:oddVBand="0" w:evenVBand="0" w:oddHBand="0" w:evenHBand="0" w:firstRowFirstColumn="0" w:firstRowLastColumn="0" w:lastRowFirstColumn="0" w:lastRowLastColumn="0"/>
        </w:trPr>
        <w:tc>
          <w:tcPr>
            <w:tcW w:w="0" w:type="auto"/>
          </w:tcPr>
          <w:bookmarkEnd w:id="167"/>
          <w:p w14:paraId="07FA7A0C" w14:textId="5D784552" w:rsidR="00356204" w:rsidRPr="00C24AA9" w:rsidRDefault="00B134B1">
            <w:pPr>
              <w:pStyle w:val="TableHeading1"/>
            </w:pPr>
            <w:r>
              <w:t>10</w:t>
            </w:r>
            <w:r w:rsidR="00356204" w:rsidRPr="00C24AA9">
              <w:t xml:space="preserve"> Design Principles for the Jobs and Skills System in Regional Australia</w:t>
            </w:r>
          </w:p>
        </w:tc>
      </w:tr>
      <w:tr w:rsidR="004C4E26" w:rsidRPr="00940ADC" w14:paraId="09FBC5CB" w14:textId="77777777" w:rsidTr="00F0176A">
        <w:tc>
          <w:tcPr>
            <w:tcW w:w="0" w:type="auto"/>
            <w:vAlign w:val="center"/>
          </w:tcPr>
          <w:p w14:paraId="1B0CCE0F" w14:textId="77777777" w:rsidR="004C4E26" w:rsidRPr="00940ADC" w:rsidRDefault="004C4E26">
            <w:pPr>
              <w:pStyle w:val="TableBodyText"/>
              <w:rPr>
                <w:b/>
                <w:bCs w:val="0"/>
              </w:rPr>
            </w:pPr>
            <w:r w:rsidRPr="00940ADC">
              <w:rPr>
                <w:b/>
                <w:bCs w:val="0"/>
              </w:rPr>
              <w:t>Consultation and alignment principles</w:t>
            </w:r>
          </w:p>
        </w:tc>
      </w:tr>
      <w:tr w:rsidR="002A38A9" w14:paraId="6A36CDAE" w14:textId="77777777" w:rsidTr="00493284">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09325014" w14:textId="717983E2" w:rsidR="005F2E72" w:rsidRPr="00C847E6" w:rsidRDefault="005F2E72" w:rsidP="00D16B99">
            <w:pPr>
              <w:pStyle w:val="TableListNumber"/>
              <w:numPr>
                <w:ilvl w:val="0"/>
                <w:numId w:val="52"/>
              </w:numPr>
            </w:pPr>
            <w:r w:rsidRPr="00C847E6">
              <w:t xml:space="preserve">Are local communities being supported to develop and deliver solutions </w:t>
            </w:r>
            <w:r w:rsidR="00471947">
              <w:t>including by</w:t>
            </w:r>
            <w:r w:rsidR="0070274B" w:rsidRPr="0070274B">
              <w:t xml:space="preserve"> empowering</w:t>
            </w:r>
            <w:r w:rsidR="0069731E" w:rsidRPr="0070274B">
              <w:t xml:space="preserve"> </w:t>
            </w:r>
            <w:r w:rsidR="0069731E" w:rsidRPr="0070274B">
              <w:rPr>
                <w:lang w:val="en-AU"/>
              </w:rPr>
              <w:t>the people</w:t>
            </w:r>
            <w:r w:rsidR="0070274B" w:rsidRPr="0070274B">
              <w:rPr>
                <w:lang w:val="en-AU"/>
              </w:rPr>
              <w:t xml:space="preserve"> and communities</w:t>
            </w:r>
            <w:r w:rsidR="0069731E" w:rsidRPr="0070274B">
              <w:rPr>
                <w:lang w:val="en-AU"/>
              </w:rPr>
              <w:t xml:space="preserve"> most affected by a</w:t>
            </w:r>
            <w:r w:rsidR="001150A2">
              <w:rPr>
                <w:lang w:val="en-AU"/>
              </w:rPr>
              <w:t>n issue or opportunity</w:t>
            </w:r>
            <w:r w:rsidRPr="0070274B">
              <w:rPr>
                <w:lang w:val="en-AU"/>
              </w:rPr>
              <w:t>?</w:t>
            </w:r>
          </w:p>
        </w:tc>
      </w:tr>
      <w:tr w:rsidR="001150A2" w14:paraId="56F18345" w14:textId="77777777">
        <w:tc>
          <w:tcPr>
            <w:tcW w:w="0" w:type="auto"/>
            <w:vAlign w:val="center"/>
          </w:tcPr>
          <w:p w14:paraId="72BCFAE1" w14:textId="5DD0FBE6" w:rsidR="001150A2" w:rsidRPr="00F22EA8" w:rsidRDefault="001150A2" w:rsidP="00D16B99">
            <w:pPr>
              <w:pStyle w:val="TableListNumber"/>
              <w:numPr>
                <w:ilvl w:val="0"/>
                <w:numId w:val="52"/>
              </w:numPr>
            </w:pPr>
            <w:r w:rsidRPr="00C847E6">
              <w:t xml:space="preserve">Has the policy been developed </w:t>
            </w:r>
            <w:bookmarkStart w:id="168" w:name="_Hlk201675322"/>
            <w:r w:rsidR="00B134B1">
              <w:t>in line with the spirit of co-design</w:t>
            </w:r>
            <w:r w:rsidRPr="00C847E6">
              <w:t xml:space="preserve"> </w:t>
            </w:r>
            <w:bookmarkEnd w:id="168"/>
            <w:r w:rsidRPr="00C847E6">
              <w:t xml:space="preserve">with stakeholders </w:t>
            </w:r>
            <w:r>
              <w:t xml:space="preserve">in Regional Australia </w:t>
            </w:r>
            <w:r w:rsidRPr="00C847E6">
              <w:t>(including by ensuring any steering committees have appropriate representation of stakeholders from Regional Australia) and genuinely refined in response to feedback?</w:t>
            </w:r>
          </w:p>
        </w:tc>
      </w:tr>
      <w:tr w:rsidR="001B53AA" w14:paraId="22948A4F" w14:textId="77777777" w:rsidTr="00F0176A">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1ADFA2BD" w14:textId="00A4B7C0" w:rsidR="004C4E26" w:rsidRDefault="0070270A" w:rsidP="00D16B99">
            <w:pPr>
              <w:pStyle w:val="TableListNumber"/>
              <w:numPr>
                <w:ilvl w:val="0"/>
                <w:numId w:val="52"/>
              </w:numPr>
            </w:pPr>
            <w:r w:rsidRPr="00F22EA8">
              <w:t xml:space="preserve">Does the policy </w:t>
            </w:r>
            <w:r>
              <w:t>align with,</w:t>
            </w:r>
            <w:r w:rsidRPr="00F22EA8">
              <w:t xml:space="preserve"> </w:t>
            </w:r>
            <w:r>
              <w:t xml:space="preserve">and complement, </w:t>
            </w:r>
            <w:r w:rsidRPr="00F22EA8">
              <w:t xml:space="preserve">existing </w:t>
            </w:r>
            <w:r>
              <w:t xml:space="preserve">initiatives </w:t>
            </w:r>
            <w:r w:rsidRPr="00F22EA8">
              <w:t>in Regional Australia</w:t>
            </w:r>
            <w:r>
              <w:t>, including by leveraging existing areas of success and strength</w:t>
            </w:r>
            <w:r w:rsidR="005E6DFA">
              <w:t xml:space="preserve"> and fostering collaboration </w:t>
            </w:r>
            <w:r w:rsidR="009E5D1E">
              <w:t>in the system</w:t>
            </w:r>
            <w:r w:rsidRPr="00F22EA8">
              <w:t>?</w:t>
            </w:r>
          </w:p>
        </w:tc>
      </w:tr>
      <w:tr w:rsidR="004D5CA0" w14:paraId="19F492E3" w14:textId="77777777" w:rsidTr="005D4890">
        <w:tc>
          <w:tcPr>
            <w:tcW w:w="0" w:type="auto"/>
            <w:vAlign w:val="center"/>
          </w:tcPr>
          <w:p w14:paraId="4C920C74" w14:textId="38E8AB33" w:rsidR="004D5CA0" w:rsidRDefault="004D5CA0" w:rsidP="00D16B99">
            <w:pPr>
              <w:pStyle w:val="TableListNumber"/>
              <w:numPr>
                <w:ilvl w:val="0"/>
                <w:numId w:val="52"/>
              </w:numPr>
            </w:pPr>
            <w:r w:rsidRPr="004736AA">
              <w:t xml:space="preserve">Does the policy </w:t>
            </w:r>
            <w:r>
              <w:t>recognise</w:t>
            </w:r>
            <w:r w:rsidRPr="004736AA">
              <w:t xml:space="preserve"> the differing workforce and skills needs of Regional Australia, </w:t>
            </w:r>
            <w:r>
              <w:t xml:space="preserve">including </w:t>
            </w:r>
            <w:r w:rsidR="001020E0">
              <w:t>the local needs of individual</w:t>
            </w:r>
            <w:r w:rsidRPr="004736AA">
              <w:t xml:space="preserve"> regions</w:t>
            </w:r>
            <w:r w:rsidR="00CC6DBA">
              <w:t>, and provide appropriate flexibility to adapt and respond accordingly</w:t>
            </w:r>
            <w:r w:rsidRPr="004736AA">
              <w:t>?</w:t>
            </w:r>
          </w:p>
        </w:tc>
      </w:tr>
      <w:tr w:rsidR="003A55E3" w:rsidRPr="00940ADC" w14:paraId="5DE64168" w14:textId="77777777" w:rsidTr="00B364A7">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1DD70BA3" w14:textId="4B2595EF" w:rsidR="003A55E3" w:rsidRPr="00940ADC" w:rsidRDefault="003A55E3">
            <w:pPr>
              <w:pStyle w:val="TableBodyText"/>
              <w:rPr>
                <w:b/>
                <w:bCs w:val="0"/>
              </w:rPr>
            </w:pPr>
            <w:r>
              <w:rPr>
                <w:b/>
                <w:bCs w:val="0"/>
              </w:rPr>
              <w:t xml:space="preserve">Service </w:t>
            </w:r>
            <w:r w:rsidR="00C77355">
              <w:rPr>
                <w:b/>
                <w:bCs w:val="0"/>
              </w:rPr>
              <w:t>design</w:t>
            </w:r>
            <w:r>
              <w:rPr>
                <w:b/>
                <w:bCs w:val="0"/>
              </w:rPr>
              <w:t xml:space="preserve"> </w:t>
            </w:r>
            <w:r w:rsidR="00E449A9">
              <w:rPr>
                <w:b/>
                <w:bCs w:val="0"/>
              </w:rPr>
              <w:t>principles</w:t>
            </w:r>
          </w:p>
        </w:tc>
      </w:tr>
      <w:tr w:rsidR="00C77355" w14:paraId="22878809" w14:textId="77777777">
        <w:tc>
          <w:tcPr>
            <w:tcW w:w="0" w:type="auto"/>
            <w:vAlign w:val="center"/>
          </w:tcPr>
          <w:p w14:paraId="32452ACB" w14:textId="2CCC092F" w:rsidR="00C77355" w:rsidRDefault="00C77355" w:rsidP="00D16B99">
            <w:pPr>
              <w:pStyle w:val="TableListNumber"/>
              <w:numPr>
                <w:ilvl w:val="0"/>
                <w:numId w:val="52"/>
              </w:numPr>
            </w:pPr>
            <w:r w:rsidRPr="000676C7">
              <w:t xml:space="preserve">Does the policy </w:t>
            </w:r>
            <w:r>
              <w:t xml:space="preserve">seek to </w:t>
            </w:r>
            <w:r w:rsidR="00987DD0">
              <w:t xml:space="preserve">initially </w:t>
            </w:r>
            <w:r>
              <w:t>pilot</w:t>
            </w:r>
            <w:r w:rsidR="00987DD0">
              <w:t xml:space="preserve"> or </w:t>
            </w:r>
            <w:r>
              <w:t xml:space="preserve">trial new approaches or initiatives </w:t>
            </w:r>
            <w:r w:rsidR="00E37819">
              <w:t>(including undertaking evaluation</w:t>
            </w:r>
            <w:r w:rsidR="00987DD0">
              <w:t>s</w:t>
            </w:r>
            <w:r w:rsidR="00E37819">
              <w:t>)</w:t>
            </w:r>
            <w:r w:rsidR="00AB5002">
              <w:t>,</w:t>
            </w:r>
            <w:r w:rsidR="00E37819">
              <w:t xml:space="preserve"> </w:t>
            </w:r>
            <w:r>
              <w:t xml:space="preserve">and </w:t>
            </w:r>
            <w:r w:rsidRPr="000676C7">
              <w:t>provide long-term funding</w:t>
            </w:r>
            <w:r>
              <w:t xml:space="preserve"> (</w:t>
            </w:r>
            <w:r w:rsidRPr="000676C7">
              <w:t xml:space="preserve">preferably for a minimum of </w:t>
            </w:r>
            <w:r w:rsidR="00285E8D">
              <w:t xml:space="preserve">4 </w:t>
            </w:r>
            <w:r w:rsidRPr="000676C7">
              <w:t>years</w:t>
            </w:r>
            <w:r>
              <w:t>) for known models of success</w:t>
            </w:r>
            <w:r w:rsidRPr="000676C7">
              <w:t>?</w:t>
            </w:r>
          </w:p>
        </w:tc>
      </w:tr>
      <w:tr w:rsidR="00405A35" w14:paraId="2B761D4E" w14:textId="77777777" w:rsidTr="00493284">
        <w:trPr>
          <w:cnfStyle w:val="000000010000" w:firstRow="0" w:lastRow="0" w:firstColumn="0" w:lastColumn="0" w:oddVBand="0" w:evenVBand="0" w:oddHBand="0" w:evenHBand="1" w:firstRowFirstColumn="0" w:firstRowLastColumn="0" w:lastRowFirstColumn="0" w:lastRowLastColumn="0"/>
          <w:trHeight w:val="634"/>
        </w:trPr>
        <w:tc>
          <w:tcPr>
            <w:tcW w:w="0" w:type="auto"/>
            <w:vAlign w:val="center"/>
          </w:tcPr>
          <w:p w14:paraId="66BE3EA5" w14:textId="16A9617B" w:rsidR="003A55E3" w:rsidRPr="00E4278D" w:rsidRDefault="003A55E3" w:rsidP="00D16B99">
            <w:pPr>
              <w:pStyle w:val="TableListNumber"/>
              <w:numPr>
                <w:ilvl w:val="0"/>
                <w:numId w:val="52"/>
              </w:numPr>
            </w:pPr>
            <w:r w:rsidRPr="00E4278D">
              <w:t xml:space="preserve">Does the policy ensure </w:t>
            </w:r>
            <w:r>
              <w:t>continuity</w:t>
            </w:r>
            <w:r w:rsidRPr="00E4278D">
              <w:t xml:space="preserve"> of access to quality services</w:t>
            </w:r>
            <w:r>
              <w:t>,</w:t>
            </w:r>
            <w:r w:rsidRPr="00E4278D">
              <w:t xml:space="preserve"> and </w:t>
            </w:r>
            <w:r>
              <w:t>allow</w:t>
            </w:r>
            <w:r w:rsidRPr="00E4278D">
              <w:t xml:space="preserve"> government to deliver services where </w:t>
            </w:r>
            <w:r w:rsidR="00AB5002">
              <w:t>appropriate</w:t>
            </w:r>
            <w:r w:rsidR="00F0176A" w:rsidRPr="00F0176A">
              <w:t xml:space="preserve"> (such as through </w:t>
            </w:r>
            <w:r w:rsidR="00093D75" w:rsidRPr="00F0176A">
              <w:t>TAFE</w:t>
            </w:r>
            <w:r w:rsidR="00093D75">
              <w:t>s</w:t>
            </w:r>
            <w:r w:rsidR="00F0176A" w:rsidRPr="00F0176A">
              <w:t>, local governments, Government-Business Enterprises and so forth)</w:t>
            </w:r>
            <w:r w:rsidRPr="00F0176A">
              <w:t>?</w:t>
            </w:r>
          </w:p>
        </w:tc>
      </w:tr>
      <w:tr w:rsidR="00493284" w14:paraId="75029B53" w14:textId="77777777" w:rsidTr="00493284">
        <w:trPr>
          <w:trHeight w:val="634"/>
        </w:trPr>
        <w:tc>
          <w:tcPr>
            <w:tcW w:w="0" w:type="auto"/>
            <w:vAlign w:val="center"/>
          </w:tcPr>
          <w:p w14:paraId="20DA6287" w14:textId="4C6EB130" w:rsidR="00493284" w:rsidRPr="00F0176A" w:rsidRDefault="00AF6DCF" w:rsidP="00D16B99">
            <w:pPr>
              <w:pStyle w:val="TableListNumber"/>
              <w:numPr>
                <w:ilvl w:val="0"/>
                <w:numId w:val="52"/>
              </w:numPr>
            </w:pPr>
            <w:r w:rsidRPr="00B2349F">
              <w:t xml:space="preserve">Does the </w:t>
            </w:r>
            <w:r w:rsidRPr="003A55E3">
              <w:t xml:space="preserve">policy consider </w:t>
            </w:r>
            <w:r>
              <w:t xml:space="preserve">using </w:t>
            </w:r>
            <w:r w:rsidRPr="003A55E3">
              <w:t>block-grant funding</w:t>
            </w:r>
            <w:r>
              <w:t xml:space="preserve"> to support service delivery </w:t>
            </w:r>
            <w:r w:rsidRPr="003A55E3">
              <w:t>in situations where it is difficult to achieve viable cohort</w:t>
            </w:r>
            <w:r>
              <w:t>s</w:t>
            </w:r>
            <w:r w:rsidRPr="003A55E3">
              <w:t xml:space="preserve"> of participants</w:t>
            </w:r>
            <w:r>
              <w:t xml:space="preserve"> (</w:t>
            </w:r>
            <w:r w:rsidRPr="003A55E3">
              <w:t xml:space="preserve">rather than </w:t>
            </w:r>
            <w:r>
              <w:t xml:space="preserve">using </w:t>
            </w:r>
            <w:r w:rsidRPr="003A55E3">
              <w:t>activity</w:t>
            </w:r>
            <w:r>
              <w:t xml:space="preserve"> or outcome-</w:t>
            </w:r>
            <w:r w:rsidRPr="003A55E3">
              <w:t>based funding</w:t>
            </w:r>
            <w:r>
              <w:t>)</w:t>
            </w:r>
            <w:r w:rsidRPr="003A55E3">
              <w:t>?</w:t>
            </w:r>
          </w:p>
        </w:tc>
      </w:tr>
      <w:tr w:rsidR="001150A2" w14:paraId="496B13B0" w14:textId="77777777" w:rsidTr="00847FEE">
        <w:trPr>
          <w:cnfStyle w:val="000000010000" w:firstRow="0" w:lastRow="0" w:firstColumn="0" w:lastColumn="0" w:oddVBand="0" w:evenVBand="0" w:oddHBand="0" w:evenHBand="1" w:firstRowFirstColumn="0" w:firstRowLastColumn="0" w:lastRowFirstColumn="0" w:lastRowLastColumn="0"/>
          <w:trHeight w:val="537"/>
        </w:trPr>
        <w:tc>
          <w:tcPr>
            <w:tcW w:w="0" w:type="auto"/>
            <w:vAlign w:val="center"/>
          </w:tcPr>
          <w:p w14:paraId="66AE57CC" w14:textId="6DC3AD78" w:rsidR="001150A2" w:rsidRPr="004D5CA0" w:rsidRDefault="001150A2" w:rsidP="001150A2">
            <w:pPr>
              <w:pStyle w:val="TableListNumber"/>
              <w:rPr>
                <w:highlight w:val="yellow"/>
              </w:rPr>
            </w:pPr>
            <w:r w:rsidRPr="00940ADC">
              <w:rPr>
                <w:b/>
                <w:bCs w:val="0"/>
              </w:rPr>
              <w:t>Funding principles</w:t>
            </w:r>
          </w:p>
        </w:tc>
      </w:tr>
      <w:tr w:rsidR="001150A2" w14:paraId="31A878D1" w14:textId="77777777" w:rsidTr="00493284">
        <w:trPr>
          <w:trHeight w:val="537"/>
        </w:trPr>
        <w:tc>
          <w:tcPr>
            <w:tcW w:w="0" w:type="auto"/>
            <w:vAlign w:val="center"/>
          </w:tcPr>
          <w:p w14:paraId="280DBA15" w14:textId="06E2C9A3" w:rsidR="001150A2" w:rsidRPr="0010563E" w:rsidRDefault="001150A2" w:rsidP="00D16B99">
            <w:pPr>
              <w:pStyle w:val="TableListNumber"/>
              <w:numPr>
                <w:ilvl w:val="0"/>
                <w:numId w:val="52"/>
              </w:numPr>
            </w:pPr>
            <w:r w:rsidRPr="0010563E">
              <w:t>Does the policy provide higher levels of funding to Regional Australia – including for remote areas – in response to higher costs of delivery and thin markets?</w:t>
            </w:r>
          </w:p>
        </w:tc>
      </w:tr>
      <w:tr w:rsidR="001150A2" w14:paraId="48F2C03C" w14:textId="77777777" w:rsidTr="00847FEE">
        <w:trPr>
          <w:cnfStyle w:val="000000010000" w:firstRow="0" w:lastRow="0" w:firstColumn="0" w:lastColumn="0" w:oddVBand="0" w:evenVBand="0" w:oddHBand="0" w:evenHBand="1" w:firstRowFirstColumn="0" w:firstRowLastColumn="0" w:lastRowFirstColumn="0" w:lastRowLastColumn="0"/>
          <w:trHeight w:val="537"/>
        </w:trPr>
        <w:tc>
          <w:tcPr>
            <w:tcW w:w="0" w:type="auto"/>
            <w:vAlign w:val="center"/>
          </w:tcPr>
          <w:p w14:paraId="6E9E4610" w14:textId="1221F940" w:rsidR="001150A2" w:rsidRPr="0010563E" w:rsidRDefault="001150A2" w:rsidP="00D16B99">
            <w:pPr>
              <w:pStyle w:val="TableListNumber"/>
              <w:numPr>
                <w:ilvl w:val="0"/>
                <w:numId w:val="52"/>
              </w:numPr>
            </w:pPr>
            <w:r w:rsidRPr="0010563E">
              <w:t>Does the funding incorporate periodic (or annual) uplifts in funding in response to changes in the cost of delivery</w:t>
            </w:r>
            <w:r w:rsidR="00926521">
              <w:t xml:space="preserve"> in Regional Australia</w:t>
            </w:r>
            <w:r w:rsidRPr="0010563E">
              <w:t>?</w:t>
            </w:r>
          </w:p>
        </w:tc>
      </w:tr>
      <w:tr w:rsidR="001150A2" w14:paraId="6F6E3409" w14:textId="77777777" w:rsidTr="00493284">
        <w:trPr>
          <w:trHeight w:val="537"/>
        </w:trPr>
        <w:tc>
          <w:tcPr>
            <w:tcW w:w="0" w:type="auto"/>
            <w:vAlign w:val="center"/>
          </w:tcPr>
          <w:p w14:paraId="6D65A4BF" w14:textId="46465B14" w:rsidR="001150A2" w:rsidRPr="0010563E" w:rsidRDefault="001150A2" w:rsidP="00D16B99">
            <w:pPr>
              <w:pStyle w:val="TableListNumber"/>
              <w:numPr>
                <w:ilvl w:val="0"/>
                <w:numId w:val="52"/>
              </w:numPr>
            </w:pPr>
            <w:r w:rsidRPr="0010563E">
              <w:t xml:space="preserve">Does the policy ensure any substantial changes to funding or service delivery in Regional Australia (including cessations or extensions) occur progressively over time and with sufficient notice for regions to adapt? </w:t>
            </w:r>
          </w:p>
        </w:tc>
      </w:tr>
    </w:tbl>
    <w:p w14:paraId="415E99DD" w14:textId="77777777" w:rsidR="00806C26" w:rsidRDefault="00806C26">
      <w:pPr>
        <w:spacing w:after="160" w:line="259" w:lineRule="auto"/>
        <w:rPr>
          <w:rFonts w:eastAsia="Arial" w:cs="Arial"/>
          <w:highlight w:val="yellow"/>
        </w:rPr>
      </w:pPr>
      <w:r>
        <w:rPr>
          <w:rFonts w:eastAsia="Arial" w:cs="Arial"/>
          <w:highlight w:val="yellow"/>
        </w:rPr>
        <w:br w:type="page"/>
      </w:r>
    </w:p>
    <w:p w14:paraId="7A7CFFF0" w14:textId="5FBCAD30" w:rsidR="00B517FA" w:rsidRPr="00162D77" w:rsidRDefault="00FB7E2F" w:rsidP="00162D77">
      <w:pPr>
        <w:pStyle w:val="Heading1unnumbered"/>
        <w:rPr>
          <w:rFonts w:eastAsia="Arial" w:cs="Arial"/>
          <w:color w:val="auto"/>
          <w:sz w:val="22"/>
          <w:szCs w:val="22"/>
          <w:highlight w:val="yellow"/>
        </w:rPr>
      </w:pPr>
      <w:r w:rsidRPr="00FB7E2F">
        <w:rPr>
          <w:noProof/>
        </w:rPr>
        <w:lastRenderedPageBreak/>
        <w:drawing>
          <wp:anchor distT="0" distB="0" distL="114300" distR="114300" simplePos="0" relativeHeight="251964928" behindDoc="1" locked="0" layoutInCell="1" allowOverlap="1" wp14:anchorId="5F6247CE" wp14:editId="4BB24FA1">
            <wp:simplePos x="0" y="0"/>
            <wp:positionH relativeFrom="page">
              <wp:align>left</wp:align>
            </wp:positionH>
            <wp:positionV relativeFrom="paragraph">
              <wp:posOffset>-808157</wp:posOffset>
            </wp:positionV>
            <wp:extent cx="7564046" cy="10699602"/>
            <wp:effectExtent l="0" t="0" r="0" b="6985"/>
            <wp:wrapNone/>
            <wp:docPr id="176160658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06581" name="Picture 8">
                      <a:extLst>
                        <a:ext uri="{C183D7F6-B498-43B3-948B-1728B52AA6E4}">
                          <adec:decorative xmlns:adec="http://schemas.microsoft.com/office/drawing/2017/decorative" val="1"/>
                        </a:ext>
                      </a:extLst>
                    </pic:cNvPr>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7564046" cy="106996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862" w:rsidRPr="00564E58">
        <w:t>Emergin</w:t>
      </w:r>
      <w:r w:rsidR="00022E0F" w:rsidRPr="00564E58">
        <w:t>g</w:t>
      </w:r>
      <w:r w:rsidR="00CE0862" w:rsidRPr="00564E58">
        <w:t xml:space="preserve"> </w:t>
      </w:r>
      <w:r w:rsidR="00705ED9" w:rsidRPr="00564E58">
        <w:t>priorities</w:t>
      </w:r>
      <w:r w:rsidR="00111596" w:rsidRPr="00564E58">
        <w:t xml:space="preserve"> to </w:t>
      </w:r>
      <w:r w:rsidR="00421805">
        <w:t>enhance</w:t>
      </w:r>
      <w:r w:rsidR="00111596" w:rsidRPr="00564E58">
        <w:t xml:space="preserve"> the jobs and skills system in Regional Australia</w:t>
      </w:r>
    </w:p>
    <w:p w14:paraId="2873A63B" w14:textId="71F5DD0D" w:rsidR="00B517FA" w:rsidRPr="00264D37" w:rsidRDefault="00400704" w:rsidP="00B517FA">
      <w:pPr>
        <w:pStyle w:val="TOCHeading"/>
        <w:rPr>
          <w:rFonts w:eastAsiaTheme="minorHAnsi" w:cstheme="minorBidi"/>
          <w:b w:val="0"/>
          <w:color w:val="auto"/>
          <w:sz w:val="40"/>
          <w:szCs w:val="40"/>
          <w:lang w:val="en-AU"/>
        </w:rPr>
      </w:pPr>
      <w:r>
        <w:rPr>
          <w:rFonts w:eastAsiaTheme="minorHAnsi" w:cstheme="minorBidi"/>
          <w:b w:val="0"/>
          <w:color w:val="auto"/>
          <w:sz w:val="40"/>
          <w:szCs w:val="40"/>
          <w:lang w:val="en-AU"/>
        </w:rPr>
        <w:t>Opportunities for impact and examples of models already making a difference in Regional Australia</w:t>
      </w:r>
    </w:p>
    <w:p w14:paraId="430DB1D2" w14:textId="3ED13221" w:rsidR="00806C26" w:rsidRPr="00111596" w:rsidRDefault="00806C26" w:rsidP="00564E58">
      <w:r w:rsidRPr="007F4321">
        <w:rPr>
          <w:color w:val="FFFFFF" w:themeColor="background1"/>
          <w:sz w:val="40"/>
          <w:szCs w:val="40"/>
        </w:rPr>
        <w:br w:type="page"/>
      </w:r>
    </w:p>
    <w:p w14:paraId="726BE72C" w14:textId="6240C932" w:rsidR="00564E58" w:rsidRPr="00111596" w:rsidRDefault="00564E58" w:rsidP="0079705C">
      <w:pPr>
        <w:pStyle w:val="Heading11"/>
      </w:pPr>
      <w:bookmarkStart w:id="169" w:name="_Toc200637153"/>
      <w:bookmarkStart w:id="170" w:name="_Toc201070192"/>
      <w:bookmarkStart w:id="171" w:name="_Toc201919855"/>
      <w:bookmarkStart w:id="172" w:name="_Toc202361883"/>
      <w:r w:rsidRPr="00564E58">
        <w:lastRenderedPageBreak/>
        <w:t xml:space="preserve">Emerging priorities to </w:t>
      </w:r>
      <w:r w:rsidR="00A43EE8">
        <w:t>enhance</w:t>
      </w:r>
      <w:r w:rsidRPr="00564E58">
        <w:t xml:space="preserve"> the jobs and skills system in Regional Australia</w:t>
      </w:r>
      <w:bookmarkEnd w:id="169"/>
      <w:bookmarkEnd w:id="170"/>
      <w:bookmarkEnd w:id="171"/>
      <w:bookmarkEnd w:id="172"/>
    </w:p>
    <w:p w14:paraId="668BDA58" w14:textId="77777777" w:rsidR="00CC46E8" w:rsidRDefault="00CC46E8" w:rsidP="0079705C">
      <w:pPr>
        <w:pStyle w:val="BodyText"/>
      </w:pPr>
      <w:r>
        <w:t xml:space="preserve">In addition to the cross-cutting policy settings incorporated in the checklist above, there are also a range of emerging areas of focus and opportunity. These areas represent more focused and deliberate actions that should be explored with stakeholders to determine their feasibility and options for co-designing specific policy responses. </w:t>
      </w:r>
    </w:p>
    <w:p w14:paraId="1E4456EF" w14:textId="226CF350" w:rsidR="00CC46E8" w:rsidRDefault="00CC46E8" w:rsidP="0079705C">
      <w:pPr>
        <w:pStyle w:val="BodyText"/>
      </w:pPr>
      <w:r>
        <w:t>In many regions and jurisdictions, the proposed areas of focus draw on existing strengths or successes in Regional Australia</w:t>
      </w:r>
      <w:r w:rsidR="00400704">
        <w:t xml:space="preserve">, a number of which are highlighted in the subsequent section below </w:t>
      </w:r>
      <w:r w:rsidR="00A83D96">
        <w:t>via a series of case studies</w:t>
      </w:r>
      <w:r>
        <w:t xml:space="preserve">. There are opportunities for these approaches to be shared more broadly to enable other regions to learn from and build on the successes. </w:t>
      </w:r>
    </w:p>
    <w:p w14:paraId="3EC7D70E" w14:textId="77777777" w:rsidR="00CC46E8" w:rsidRDefault="00CC46E8" w:rsidP="0079705C">
      <w:pPr>
        <w:pStyle w:val="BodyText"/>
        <w:rPr>
          <w:b/>
          <w:bCs/>
        </w:rPr>
      </w:pPr>
      <w:r>
        <w:t xml:space="preserve">The list below is a starting point for the proposed Roundtables and Stakeholder Submission Process to inform Phase 2 of the Roadmap. </w:t>
      </w:r>
    </w:p>
    <w:p w14:paraId="37DE55B7" w14:textId="77777777" w:rsidR="00CC46E8" w:rsidRPr="0051744B" w:rsidRDefault="00CC46E8" w:rsidP="0079705C">
      <w:pPr>
        <w:pStyle w:val="Heading4"/>
      </w:pPr>
      <w:r w:rsidRPr="4502C1DD">
        <w:t>Cross-cutting strategies and approaches</w:t>
      </w:r>
    </w:p>
    <w:p w14:paraId="65C2880B" w14:textId="77777777" w:rsidR="00CC46E8" w:rsidRDefault="00CC46E8" w:rsidP="00D16B99">
      <w:pPr>
        <w:pStyle w:val="BodyText"/>
        <w:numPr>
          <w:ilvl w:val="0"/>
          <w:numId w:val="47"/>
        </w:numPr>
      </w:pPr>
      <w:r w:rsidRPr="4502C1DD">
        <w:t>All future workforce</w:t>
      </w:r>
      <w:r>
        <w:t>, capacity and cohort</w:t>
      </w:r>
      <w:r w:rsidRPr="4502C1DD">
        <w:t xml:space="preserve"> studies </w:t>
      </w:r>
      <w:r>
        <w:t xml:space="preserve">progressed </w:t>
      </w:r>
      <w:r w:rsidRPr="4502C1DD">
        <w:t xml:space="preserve">by Jobs and Skills Australia should </w:t>
      </w:r>
      <w:r>
        <w:t xml:space="preserve">explicitly </w:t>
      </w:r>
      <w:r w:rsidRPr="4502C1DD">
        <w:t>consider Regional Australia.</w:t>
      </w:r>
    </w:p>
    <w:p w14:paraId="615EDBBA" w14:textId="5EDAF4AE" w:rsidR="00CC46E8" w:rsidRDefault="00CC46E8" w:rsidP="00D16B99">
      <w:pPr>
        <w:pStyle w:val="BodyText"/>
        <w:numPr>
          <w:ilvl w:val="0"/>
          <w:numId w:val="47"/>
        </w:numPr>
        <w:rPr>
          <w:rFonts w:cs="Arial"/>
        </w:rPr>
      </w:pPr>
      <w:r w:rsidRPr="4502C1DD">
        <w:rPr>
          <w:rFonts w:cs="Arial"/>
        </w:rPr>
        <w:t>The skills needs of regional and remote areas of</w:t>
      </w:r>
      <w:r>
        <w:rPr>
          <w:rFonts w:cs="Arial"/>
        </w:rPr>
        <w:t>t</w:t>
      </w:r>
      <w:r w:rsidRPr="4502C1DD">
        <w:rPr>
          <w:rFonts w:cs="Arial"/>
        </w:rPr>
        <w:t>e</w:t>
      </w:r>
      <w:r>
        <w:rPr>
          <w:rFonts w:cs="Arial"/>
        </w:rPr>
        <w:t>n</w:t>
      </w:r>
      <w:r w:rsidRPr="4502C1DD">
        <w:rPr>
          <w:rFonts w:cs="Arial"/>
        </w:rPr>
        <w:t xml:space="preserve"> differ to those of the </w:t>
      </w:r>
      <w:r w:rsidR="003A7518">
        <w:rPr>
          <w:rFonts w:cs="Arial"/>
        </w:rPr>
        <w:t>Major Cities</w:t>
      </w:r>
      <w:r w:rsidRPr="4502C1DD">
        <w:rPr>
          <w:rFonts w:cs="Arial"/>
        </w:rPr>
        <w:t xml:space="preserve">. Commonwealth and State and Territory Governments (where applicable) should work towards identifying such differences in all future skills needs lists. </w:t>
      </w:r>
    </w:p>
    <w:p w14:paraId="0F204B2F" w14:textId="5A7FC5CE" w:rsidR="00CC46E8" w:rsidRDefault="00CC46E8" w:rsidP="00D16B99">
      <w:pPr>
        <w:pStyle w:val="BodyText"/>
        <w:numPr>
          <w:ilvl w:val="0"/>
          <w:numId w:val="47"/>
        </w:numPr>
      </w:pPr>
      <w:r w:rsidRPr="4502C1DD">
        <w:rPr>
          <w:color w:val="181A05"/>
        </w:rPr>
        <w:t xml:space="preserve">More comprehensive, frequent and </w:t>
      </w:r>
      <w:r w:rsidR="00D46434">
        <w:rPr>
          <w:color w:val="181A05"/>
        </w:rPr>
        <w:t>useful</w:t>
      </w:r>
      <w:r w:rsidRPr="4502C1DD">
        <w:rPr>
          <w:color w:val="181A05"/>
        </w:rPr>
        <w:t xml:space="preserve"> data for Regional Australia is needed in relation to:</w:t>
      </w:r>
    </w:p>
    <w:p w14:paraId="22F7C760" w14:textId="234B5B4B" w:rsidR="00CC46E8" w:rsidRDefault="00CC46E8" w:rsidP="00D16B99">
      <w:pPr>
        <w:pStyle w:val="BodyText"/>
        <w:numPr>
          <w:ilvl w:val="0"/>
          <w:numId w:val="48"/>
        </w:numPr>
      </w:pPr>
      <w:r>
        <w:t>f</w:t>
      </w:r>
      <w:r w:rsidRPr="4502C1DD">
        <w:t>oundation</w:t>
      </w:r>
      <w:r>
        <w:t>al</w:t>
      </w:r>
      <w:r w:rsidRPr="4502C1DD">
        <w:t xml:space="preserve"> skills</w:t>
      </w:r>
      <w:r w:rsidR="001E7F8E">
        <w:t xml:space="preserve"> </w:t>
      </w:r>
      <w:r w:rsidRPr="4502C1DD">
        <w:t>– particularly among adults</w:t>
      </w:r>
    </w:p>
    <w:p w14:paraId="16A87C8D" w14:textId="77777777" w:rsidR="00CC46E8" w:rsidRDefault="00CC46E8" w:rsidP="00D16B99">
      <w:pPr>
        <w:pStyle w:val="BodyText"/>
        <w:numPr>
          <w:ilvl w:val="0"/>
          <w:numId w:val="48"/>
        </w:numPr>
      </w:pPr>
      <w:r w:rsidRPr="4502C1DD">
        <w:rPr>
          <w:color w:val="181A05"/>
        </w:rPr>
        <w:t>workforce and skills needs</w:t>
      </w:r>
      <w:r>
        <w:rPr>
          <w:color w:val="181A05"/>
        </w:rPr>
        <w:t>, particularly in</w:t>
      </w:r>
      <w:r w:rsidRPr="4502C1DD">
        <w:rPr>
          <w:color w:val="181A05"/>
        </w:rPr>
        <w:t xml:space="preserve"> remote Australia</w:t>
      </w:r>
    </w:p>
    <w:p w14:paraId="6EF34527" w14:textId="04DAF5C5" w:rsidR="00CC46E8" w:rsidRPr="00C92256" w:rsidRDefault="00CC46E8" w:rsidP="00D16B99">
      <w:pPr>
        <w:pStyle w:val="BodyText"/>
        <w:numPr>
          <w:ilvl w:val="0"/>
          <w:numId w:val="48"/>
        </w:numPr>
      </w:pPr>
      <w:r w:rsidRPr="00C92256">
        <w:t xml:space="preserve">education and employment pathways of </w:t>
      </w:r>
      <w:r w:rsidR="00371F44" w:rsidRPr="00C92256">
        <w:t xml:space="preserve">students and </w:t>
      </w:r>
      <w:r w:rsidRPr="00C92256">
        <w:t xml:space="preserve">youth, including </w:t>
      </w:r>
      <w:r w:rsidR="002D7CAD">
        <w:t xml:space="preserve">through the continuing integration of linked datasets </w:t>
      </w:r>
      <w:r w:rsidRPr="00C92256">
        <w:t>to enable more effective evaluation of outcomes over time</w:t>
      </w:r>
    </w:p>
    <w:p w14:paraId="78024F65" w14:textId="77777777" w:rsidR="0045645E" w:rsidRPr="0045645E" w:rsidRDefault="0045645E" w:rsidP="00D16B99">
      <w:pPr>
        <w:pStyle w:val="BodyText"/>
        <w:numPr>
          <w:ilvl w:val="0"/>
          <w:numId w:val="48"/>
        </w:numPr>
      </w:pPr>
      <w:r w:rsidRPr="0045645E">
        <w:rPr>
          <w:color w:val="181A05"/>
        </w:rPr>
        <w:t xml:space="preserve">economic activity by region, to support insights into </w:t>
      </w:r>
      <w:r w:rsidR="00CC46E8" w:rsidRPr="0045645E">
        <w:rPr>
          <w:color w:val="181A05"/>
        </w:rPr>
        <w:t>labour productivity</w:t>
      </w:r>
    </w:p>
    <w:p w14:paraId="6A91C5BF" w14:textId="723F65DC" w:rsidR="00CC46E8" w:rsidRPr="0045645E" w:rsidRDefault="00CC46E8" w:rsidP="00D16B99">
      <w:pPr>
        <w:pStyle w:val="BodyText"/>
        <w:numPr>
          <w:ilvl w:val="0"/>
          <w:numId w:val="48"/>
        </w:numPr>
      </w:pPr>
      <w:r w:rsidRPr="0045645E">
        <w:t>barriers to participation in education</w:t>
      </w:r>
      <w:r w:rsidR="009701EF">
        <w:t xml:space="preserve"> and employment</w:t>
      </w:r>
      <w:r w:rsidRPr="0045645E">
        <w:t xml:space="preserve"> faced by young pe</w:t>
      </w:r>
      <w:r w:rsidR="009701EF">
        <w:t xml:space="preserve">ople </w:t>
      </w:r>
      <w:r w:rsidRPr="0045645E">
        <w:t>under the age of 18</w:t>
      </w:r>
    </w:p>
    <w:p w14:paraId="4F4ECB89" w14:textId="2B7E8207" w:rsidR="00493771" w:rsidRDefault="00493771" w:rsidP="00D16B99">
      <w:pPr>
        <w:pStyle w:val="BodyText"/>
        <w:numPr>
          <w:ilvl w:val="0"/>
          <w:numId w:val="48"/>
        </w:numPr>
      </w:pPr>
      <w:r w:rsidRPr="00493771">
        <w:t>greater collection of qualitative data to enhance and complement quantitative data including those related to people’s experiences and wellbeing.</w:t>
      </w:r>
    </w:p>
    <w:p w14:paraId="3C81D79F" w14:textId="77777777" w:rsidR="00486BC3" w:rsidRPr="00541A1B" w:rsidRDefault="00486BC3" w:rsidP="00486BC3">
      <w:pPr>
        <w:pStyle w:val="BodyText"/>
        <w:numPr>
          <w:ilvl w:val="0"/>
          <w:numId w:val="47"/>
        </w:numPr>
      </w:pPr>
      <w:r>
        <w:t>Using</w:t>
      </w:r>
      <w:r w:rsidRPr="4502C1DD">
        <w:t xml:space="preserve"> place-based and centralised points-of-contact (‘hubs’) for students and jobseekers alike has proven successful in some regions</w:t>
      </w:r>
      <w:r>
        <w:t xml:space="preserve"> (including cross-government initiatives), noting the need to ensure access to services for those who are more isolated from transport links</w:t>
      </w:r>
      <w:r w:rsidRPr="4502C1DD">
        <w:t>.</w:t>
      </w:r>
    </w:p>
    <w:p w14:paraId="175F1D0F" w14:textId="55B5C7E8" w:rsidR="00347E61" w:rsidRPr="00541A1B" w:rsidRDefault="00347E61" w:rsidP="00D16B99">
      <w:pPr>
        <w:pStyle w:val="BodyText"/>
        <w:numPr>
          <w:ilvl w:val="0"/>
          <w:numId w:val="47"/>
        </w:numPr>
      </w:pPr>
      <w:r w:rsidRPr="4502C1DD">
        <w:t xml:space="preserve">Supporting roles that focus on fostering collaboration and partnerships in the jobs and skills system are proving effective, including through the </w:t>
      </w:r>
      <w:r w:rsidR="00877778">
        <w:t>Jobs Coordinators (</w:t>
      </w:r>
      <w:r w:rsidRPr="4502C1DD">
        <w:t>Employment Facilitators</w:t>
      </w:r>
      <w:r w:rsidR="00877778">
        <w:t>)</w:t>
      </w:r>
      <w:r w:rsidRPr="4502C1DD">
        <w:t xml:space="preserve"> under the Local Jobs Program and other related initiatives.</w:t>
      </w:r>
    </w:p>
    <w:p w14:paraId="36EA757B" w14:textId="77777777" w:rsidR="00347E61" w:rsidRDefault="00347E61" w:rsidP="00877778">
      <w:pPr>
        <w:pStyle w:val="Heading4"/>
        <w:keepNext/>
      </w:pPr>
      <w:r w:rsidRPr="4502C1DD">
        <w:t>Reducing Barriers</w:t>
      </w:r>
    </w:p>
    <w:p w14:paraId="16E5BCEC" w14:textId="77777777" w:rsidR="0012426B" w:rsidRPr="0012426B" w:rsidRDefault="00347E61" w:rsidP="00D16B99">
      <w:pPr>
        <w:pStyle w:val="BodyText"/>
        <w:numPr>
          <w:ilvl w:val="0"/>
          <w:numId w:val="47"/>
        </w:numPr>
        <w:rPr>
          <w:rFonts w:asciiTheme="minorHAnsi" w:hAnsiTheme="minorHAnsi"/>
        </w:rPr>
      </w:pPr>
      <w:r>
        <w:t xml:space="preserve">Individuals who face complex barriers to employment require intensive case-managed strategies that incorporate work components and other targeted forms of </w:t>
      </w:r>
      <w:r>
        <w:lastRenderedPageBreak/>
        <w:t xml:space="preserve">social and wrap-around support. Such strategies should be developed </w:t>
      </w:r>
      <w:r w:rsidRPr="4502C1DD">
        <w:rPr>
          <w:rFonts w:asciiTheme="minorHAnsi" w:hAnsiTheme="minorHAnsi"/>
        </w:rPr>
        <w:t>on</w:t>
      </w:r>
      <w:r>
        <w:t xml:space="preserve"> a personalised and individualised basis. </w:t>
      </w:r>
      <w:r w:rsidR="0012426B">
        <w:t>Additionally:</w:t>
      </w:r>
    </w:p>
    <w:p w14:paraId="7A293C2C" w14:textId="77777777" w:rsidR="0012426B" w:rsidRPr="0012426B" w:rsidRDefault="00347E61" w:rsidP="00D16B99">
      <w:pPr>
        <w:pStyle w:val="BodyText"/>
        <w:numPr>
          <w:ilvl w:val="0"/>
          <w:numId w:val="49"/>
        </w:numPr>
        <w:rPr>
          <w:rFonts w:asciiTheme="minorHAnsi" w:hAnsiTheme="minorHAnsi"/>
        </w:rPr>
      </w:pPr>
      <w:r>
        <w:t xml:space="preserve">Work connection activities are a priority but must be not hinder the provision of necessary social services and support. </w:t>
      </w:r>
    </w:p>
    <w:p w14:paraId="5BA9CFE4" w14:textId="068D6A07" w:rsidR="00347E61" w:rsidRDefault="00347E61" w:rsidP="00D16B99">
      <w:pPr>
        <w:pStyle w:val="BodyText"/>
        <w:numPr>
          <w:ilvl w:val="0"/>
          <w:numId w:val="49"/>
        </w:numPr>
        <w:rPr>
          <w:rFonts w:asciiTheme="minorHAnsi" w:hAnsiTheme="minorHAnsi"/>
        </w:rPr>
      </w:pPr>
      <w:r>
        <w:t>Long-term income support reliant recipients may be better provided for through a predominantly social-support focussed program.</w:t>
      </w:r>
    </w:p>
    <w:p w14:paraId="1C99405C" w14:textId="77777777" w:rsidR="00347E61" w:rsidRPr="00541161" w:rsidRDefault="00347E61" w:rsidP="00D16B99">
      <w:pPr>
        <w:pStyle w:val="BodyText"/>
        <w:numPr>
          <w:ilvl w:val="0"/>
          <w:numId w:val="47"/>
        </w:numPr>
        <w:rPr>
          <w:rFonts w:asciiTheme="minorHAnsi" w:hAnsiTheme="minorHAnsi"/>
        </w:rPr>
      </w:pPr>
      <w:r w:rsidRPr="4502C1DD">
        <w:rPr>
          <w:rFonts w:asciiTheme="minorHAnsi" w:hAnsiTheme="minorHAnsi"/>
        </w:rPr>
        <w:t xml:space="preserve">Adults who previously disengaged from schooling often face significant barriers to participation in further education or employment. Ongoing access to appropriate </w:t>
      </w:r>
      <w:r w:rsidRPr="00541161">
        <w:rPr>
          <w:rFonts w:asciiTheme="minorHAnsi" w:hAnsiTheme="minorHAnsi"/>
        </w:rPr>
        <w:t>foundation skills development programs and initiatives is essential.</w:t>
      </w:r>
    </w:p>
    <w:p w14:paraId="65D3A3CD" w14:textId="1CE4679A" w:rsidR="00480F63" w:rsidRPr="00541161" w:rsidRDefault="00480F63" w:rsidP="00D16B99">
      <w:pPr>
        <w:pStyle w:val="BodyText"/>
        <w:numPr>
          <w:ilvl w:val="0"/>
          <w:numId w:val="47"/>
        </w:numPr>
        <w:rPr>
          <w:rFonts w:cs="Arial"/>
        </w:rPr>
      </w:pPr>
      <w:r w:rsidRPr="00541161">
        <w:rPr>
          <w:rFonts w:cs="Arial"/>
        </w:rPr>
        <w:t xml:space="preserve">Where lack of aspiration </w:t>
      </w:r>
      <w:r>
        <w:rPr>
          <w:rFonts w:cs="Arial"/>
        </w:rPr>
        <w:t xml:space="preserve">or </w:t>
      </w:r>
      <w:r w:rsidRPr="00541161">
        <w:rPr>
          <w:rFonts w:cs="Arial"/>
        </w:rPr>
        <w:t xml:space="preserve">motivation is a key barrier (particularly in cases of intergenerational disadvantage or disengagement from schooling), consideration should be given to trialling </w:t>
      </w:r>
      <w:r>
        <w:rPr>
          <w:rFonts w:cs="Arial"/>
        </w:rPr>
        <w:t xml:space="preserve">a </w:t>
      </w:r>
      <w:r w:rsidRPr="00541161">
        <w:rPr>
          <w:rFonts w:cs="Arial"/>
        </w:rPr>
        <w:t xml:space="preserve">program </w:t>
      </w:r>
      <w:r>
        <w:rPr>
          <w:rFonts w:cs="Arial"/>
        </w:rPr>
        <w:t>targeting this particular barrier</w:t>
      </w:r>
      <w:r w:rsidR="002F74CE">
        <w:rPr>
          <w:rFonts w:cs="Arial"/>
        </w:rPr>
        <w:t xml:space="preserve"> (leveraging areas of existing success)</w:t>
      </w:r>
      <w:r w:rsidRPr="00541161">
        <w:rPr>
          <w:rFonts w:cs="Arial"/>
        </w:rPr>
        <w:t>. Such a program could work closely with local employers across a diverse range of industries to provide students with the opportunity to visit a variety of workplaces to inspire career aspirations.</w:t>
      </w:r>
    </w:p>
    <w:p w14:paraId="033FE0B1" w14:textId="77777777" w:rsidR="00480F63" w:rsidRDefault="00480F63" w:rsidP="009F5475">
      <w:pPr>
        <w:pStyle w:val="Heading4"/>
        <w:rPr>
          <w:rFonts w:asciiTheme="minorHAnsi" w:hAnsiTheme="minorHAnsi" w:cstheme="minorHAnsi"/>
          <w:b w:val="0"/>
          <w:bCs w:val="0"/>
        </w:rPr>
      </w:pPr>
      <w:r>
        <w:t>Skills and education</w:t>
      </w:r>
    </w:p>
    <w:p w14:paraId="799500C7" w14:textId="35937BAC" w:rsidR="00F25DF5" w:rsidRPr="00F25DF5" w:rsidRDefault="00F25DF5" w:rsidP="00D16B99">
      <w:pPr>
        <w:pStyle w:val="BodyText"/>
        <w:numPr>
          <w:ilvl w:val="0"/>
          <w:numId w:val="47"/>
        </w:numPr>
        <w:rPr>
          <w:rFonts w:asciiTheme="minorHAnsi" w:hAnsiTheme="minorHAnsi"/>
        </w:rPr>
      </w:pPr>
      <w:r w:rsidRPr="00F25DF5">
        <w:rPr>
          <w:rFonts w:cs="Arial"/>
        </w:rPr>
        <w:t>The Commonwealth Government should work with State and Territory Governments to explore additional reporting focused on Regional Australia (as a whole, at the national level), to support performance reporting around the National Skills Agreement (NSA). Governments should also work together to support each individual jurisdiction to monitor performance across the regional areas of their own State/Territory as an additional identified priority area</w:t>
      </w:r>
      <w:r>
        <w:rPr>
          <w:rFonts w:cs="Arial"/>
        </w:rPr>
        <w:t>.</w:t>
      </w:r>
    </w:p>
    <w:p w14:paraId="230ABA94" w14:textId="1C1329C2" w:rsidR="00480F63" w:rsidRPr="00C63593" w:rsidRDefault="00295218" w:rsidP="00D16B99">
      <w:pPr>
        <w:pStyle w:val="BodyText"/>
        <w:numPr>
          <w:ilvl w:val="0"/>
          <w:numId w:val="47"/>
        </w:numPr>
        <w:rPr>
          <w:rFonts w:asciiTheme="minorHAnsi" w:hAnsiTheme="minorHAnsi"/>
        </w:rPr>
      </w:pPr>
      <w:r>
        <w:rPr>
          <w:rFonts w:cs="Arial"/>
        </w:rPr>
        <w:t>The Australian Tertiary Education Commission (ATEC)</w:t>
      </w:r>
      <w:r w:rsidRPr="4502C1DD">
        <w:rPr>
          <w:rFonts w:cs="Arial"/>
        </w:rPr>
        <w:t>, when established</w:t>
      </w:r>
      <w:r>
        <w:rPr>
          <w:rFonts w:cs="Arial"/>
        </w:rPr>
        <w:t>,</w:t>
      </w:r>
      <w:r w:rsidRPr="4502C1DD">
        <w:rPr>
          <w:rFonts w:cs="Arial"/>
        </w:rPr>
        <w:t xml:space="preserve"> should work with regional universities</w:t>
      </w:r>
      <w:r>
        <w:rPr>
          <w:rFonts w:cs="Arial"/>
        </w:rPr>
        <w:t xml:space="preserve"> (including those who have a regional presence)</w:t>
      </w:r>
      <w:r w:rsidRPr="4502C1DD">
        <w:rPr>
          <w:rFonts w:cs="Arial"/>
        </w:rPr>
        <w:t xml:space="preserve"> to </w:t>
      </w:r>
      <w:r>
        <w:rPr>
          <w:rFonts w:cs="Arial"/>
        </w:rPr>
        <w:t xml:space="preserve">explore </w:t>
      </w:r>
      <w:r w:rsidRPr="4502C1DD">
        <w:rPr>
          <w:rFonts w:cs="Arial"/>
        </w:rPr>
        <w:t>incorporat</w:t>
      </w:r>
      <w:r>
        <w:rPr>
          <w:rFonts w:cs="Arial"/>
        </w:rPr>
        <w:t>ing</w:t>
      </w:r>
      <w:r w:rsidRPr="4502C1DD">
        <w:rPr>
          <w:rFonts w:cs="Arial"/>
        </w:rPr>
        <w:t xml:space="preserve"> </w:t>
      </w:r>
      <w:r>
        <w:rPr>
          <w:rFonts w:cs="Arial"/>
        </w:rPr>
        <w:t xml:space="preserve">regional focussed </w:t>
      </w:r>
      <w:r w:rsidRPr="4502C1DD">
        <w:rPr>
          <w:rFonts w:cs="Arial"/>
        </w:rPr>
        <w:t xml:space="preserve">performance </w:t>
      </w:r>
      <w:r w:rsidRPr="00543CB9">
        <w:rPr>
          <w:rFonts w:cs="Arial"/>
        </w:rPr>
        <w:t xml:space="preserve">indicators into Mission Based Compacts. </w:t>
      </w:r>
      <w:r w:rsidR="00480F63" w:rsidRPr="00543CB9">
        <w:t xml:space="preserve">If the </w:t>
      </w:r>
      <w:r w:rsidR="00480F63">
        <w:t xml:space="preserve">Higher Education </w:t>
      </w:r>
      <w:r w:rsidR="00480F63" w:rsidRPr="00476009">
        <w:t xml:space="preserve">Accord’s recommendations pertaining to regional higher education are adopted and </w:t>
      </w:r>
      <w:r w:rsidR="00440B93" w:rsidRPr="00476009">
        <w:t xml:space="preserve">effectively </w:t>
      </w:r>
      <w:r w:rsidR="00480F63" w:rsidRPr="00476009">
        <w:t>implemented</w:t>
      </w:r>
      <w:r w:rsidR="008D25D0" w:rsidRPr="00476009">
        <w:t>,</w:t>
      </w:r>
      <w:r w:rsidR="00480F63" w:rsidRPr="00476009">
        <w:t xml:space="preserve"> that will greatly increase the ability of regional universities to drive up these indicators.  </w:t>
      </w:r>
    </w:p>
    <w:p w14:paraId="598F6E5B" w14:textId="58B45210" w:rsidR="00082ACD" w:rsidRPr="00476009" w:rsidRDefault="00DA01EC" w:rsidP="00D16B99">
      <w:pPr>
        <w:pStyle w:val="BodyText"/>
        <w:numPr>
          <w:ilvl w:val="0"/>
          <w:numId w:val="47"/>
        </w:numPr>
        <w:rPr>
          <w:rFonts w:asciiTheme="minorHAnsi" w:hAnsiTheme="minorHAnsi"/>
        </w:rPr>
      </w:pPr>
      <w:r w:rsidRPr="00476009">
        <w:rPr>
          <w:rFonts w:asciiTheme="minorHAnsi" w:hAnsiTheme="minorHAnsi"/>
        </w:rPr>
        <w:t xml:space="preserve">The </w:t>
      </w:r>
      <w:r w:rsidR="00AC7EAB" w:rsidRPr="00476009">
        <w:rPr>
          <w:rFonts w:asciiTheme="minorHAnsi" w:hAnsiTheme="minorHAnsi"/>
        </w:rPr>
        <w:t>jobs and</w:t>
      </w:r>
      <w:r w:rsidRPr="00476009">
        <w:rPr>
          <w:rFonts w:asciiTheme="minorHAnsi" w:hAnsiTheme="minorHAnsi"/>
        </w:rPr>
        <w:t xml:space="preserve"> skills system </w:t>
      </w:r>
      <w:r w:rsidR="00AC7EAB" w:rsidRPr="00476009">
        <w:rPr>
          <w:rFonts w:asciiTheme="minorHAnsi" w:hAnsiTheme="minorHAnsi"/>
        </w:rPr>
        <w:t xml:space="preserve">in Regional Australia </w:t>
      </w:r>
      <w:r w:rsidRPr="00476009">
        <w:rPr>
          <w:rFonts w:asciiTheme="minorHAnsi" w:hAnsiTheme="minorHAnsi"/>
        </w:rPr>
        <w:t>would benefit</w:t>
      </w:r>
      <w:r w:rsidR="006E4E27" w:rsidRPr="00476009">
        <w:rPr>
          <w:rFonts w:asciiTheme="minorHAnsi" w:hAnsiTheme="minorHAnsi"/>
        </w:rPr>
        <w:t xml:space="preserve"> from improved strategic alignment, coordination and cooperation </w:t>
      </w:r>
      <w:r w:rsidR="00A34F61" w:rsidRPr="00476009">
        <w:rPr>
          <w:rFonts w:asciiTheme="minorHAnsi" w:hAnsiTheme="minorHAnsi"/>
        </w:rPr>
        <w:t>between</w:t>
      </w:r>
      <w:r w:rsidR="006E4E27" w:rsidRPr="00476009">
        <w:rPr>
          <w:rFonts w:asciiTheme="minorHAnsi" w:hAnsiTheme="minorHAnsi"/>
        </w:rPr>
        <w:t xml:space="preserve"> the Higher Education and Vocational Education and Training (VET) sectors</w:t>
      </w:r>
      <w:r w:rsidR="005B403E" w:rsidRPr="00476009">
        <w:rPr>
          <w:rFonts w:asciiTheme="minorHAnsi" w:hAnsiTheme="minorHAnsi"/>
        </w:rPr>
        <w:t xml:space="preserve">. Enabling </w:t>
      </w:r>
      <w:r w:rsidR="00EB504C" w:rsidRPr="00476009">
        <w:rPr>
          <w:rFonts w:asciiTheme="minorHAnsi" w:hAnsiTheme="minorHAnsi"/>
        </w:rPr>
        <w:t>the development and effective implementation of</w:t>
      </w:r>
      <w:r w:rsidR="005B403E" w:rsidRPr="00476009">
        <w:rPr>
          <w:rFonts w:asciiTheme="minorHAnsi" w:hAnsiTheme="minorHAnsi"/>
        </w:rPr>
        <w:t xml:space="preserve"> </w:t>
      </w:r>
      <w:r w:rsidR="00442A8E" w:rsidRPr="00476009">
        <w:rPr>
          <w:rFonts w:asciiTheme="minorHAnsi" w:hAnsiTheme="minorHAnsi"/>
        </w:rPr>
        <w:t xml:space="preserve">a </w:t>
      </w:r>
      <w:r w:rsidR="005B403E" w:rsidRPr="00476009">
        <w:rPr>
          <w:rFonts w:asciiTheme="minorHAnsi" w:hAnsiTheme="minorHAnsi"/>
        </w:rPr>
        <w:t xml:space="preserve">tertiary harmonisation roadmap </w:t>
      </w:r>
      <w:r w:rsidR="00442A8E" w:rsidRPr="00476009">
        <w:rPr>
          <w:rFonts w:asciiTheme="minorHAnsi" w:hAnsiTheme="minorHAnsi"/>
        </w:rPr>
        <w:t>of the kind</w:t>
      </w:r>
      <w:r w:rsidR="00EB504C" w:rsidRPr="00476009">
        <w:rPr>
          <w:rFonts w:asciiTheme="minorHAnsi" w:hAnsiTheme="minorHAnsi"/>
        </w:rPr>
        <w:t xml:space="preserve"> proposed by JSA </w:t>
      </w:r>
      <w:r w:rsidR="00442A8E" w:rsidRPr="00476009">
        <w:rPr>
          <w:rFonts w:asciiTheme="minorHAnsi" w:hAnsiTheme="minorHAnsi"/>
        </w:rPr>
        <w:t xml:space="preserve">in its report </w:t>
      </w:r>
      <w:r w:rsidR="00442A8E" w:rsidRPr="00476009">
        <w:rPr>
          <w:rFonts w:asciiTheme="minorHAnsi" w:hAnsiTheme="minorHAnsi"/>
          <w:i/>
          <w:iCs/>
        </w:rPr>
        <w:t>Opportunity and Productivity</w:t>
      </w:r>
      <w:r w:rsidR="00E0083A" w:rsidRPr="00476009">
        <w:rPr>
          <w:rFonts w:asciiTheme="minorHAnsi" w:hAnsiTheme="minorHAnsi"/>
          <w:i/>
          <w:iCs/>
        </w:rPr>
        <w:t xml:space="preserve">: </w:t>
      </w:r>
      <w:r w:rsidR="00442A8E" w:rsidRPr="00476009">
        <w:rPr>
          <w:rFonts w:asciiTheme="minorHAnsi" w:hAnsiTheme="minorHAnsi"/>
          <w:i/>
          <w:iCs/>
        </w:rPr>
        <w:t>Towards a Tertiary Harmonisation Roadmap</w:t>
      </w:r>
      <w:r w:rsidR="00442A8E" w:rsidRPr="00476009">
        <w:rPr>
          <w:rFonts w:asciiTheme="minorHAnsi" w:hAnsiTheme="minorHAnsi"/>
        </w:rPr>
        <w:t xml:space="preserve"> </w:t>
      </w:r>
      <w:r w:rsidR="005B403E" w:rsidRPr="00476009">
        <w:rPr>
          <w:rFonts w:asciiTheme="minorHAnsi" w:hAnsiTheme="minorHAnsi"/>
        </w:rPr>
        <w:t xml:space="preserve">would </w:t>
      </w:r>
      <w:r w:rsidR="00AC7EAB" w:rsidRPr="00476009">
        <w:rPr>
          <w:rFonts w:asciiTheme="minorHAnsi" w:hAnsiTheme="minorHAnsi"/>
        </w:rPr>
        <w:t>go some way to realising this opportunity.</w:t>
      </w:r>
    </w:p>
    <w:p w14:paraId="6DA4806D" w14:textId="77777777" w:rsidR="00480F63" w:rsidRPr="00584DEA" w:rsidRDefault="00480F63" w:rsidP="00D16B99">
      <w:pPr>
        <w:pStyle w:val="BodyText"/>
        <w:numPr>
          <w:ilvl w:val="0"/>
          <w:numId w:val="47"/>
        </w:numPr>
        <w:rPr>
          <w:rFonts w:asciiTheme="minorHAnsi" w:hAnsiTheme="minorHAnsi"/>
        </w:rPr>
      </w:pPr>
      <w:bookmarkStart w:id="173" w:name="_Hlk201843322"/>
      <w:r w:rsidRPr="4502C1DD">
        <w:rPr>
          <w:rFonts w:asciiTheme="minorHAnsi" w:hAnsiTheme="minorHAnsi"/>
        </w:rPr>
        <w:t xml:space="preserve">Ensure that all secondary students have access to high quality careers education in school that is broadly based, well researched and deeply connected to local community and its businesses.  </w:t>
      </w:r>
    </w:p>
    <w:bookmarkEnd w:id="173"/>
    <w:p w14:paraId="5ADFCC6F" w14:textId="1ADAEB5D" w:rsidR="00480F63" w:rsidRPr="005D2A83" w:rsidRDefault="00480F63" w:rsidP="00D16B99">
      <w:pPr>
        <w:pStyle w:val="BodyText"/>
        <w:numPr>
          <w:ilvl w:val="0"/>
          <w:numId w:val="47"/>
        </w:numPr>
        <w:rPr>
          <w:rFonts w:asciiTheme="minorHAnsi" w:hAnsiTheme="minorHAnsi"/>
        </w:rPr>
      </w:pPr>
      <w:r w:rsidRPr="4502C1DD">
        <w:rPr>
          <w:rFonts w:asciiTheme="minorHAnsi" w:hAnsiTheme="minorHAnsi"/>
        </w:rPr>
        <w:t xml:space="preserve">Secondary school students in Regional Australia need access to a broad range of education and employment pathways.  Provision of vocational and trade-based opportunities in senior secondary schooling is essential, </w:t>
      </w:r>
      <w:r w:rsidR="00E3014F" w:rsidRPr="4502C1DD">
        <w:rPr>
          <w:rFonts w:asciiTheme="minorHAnsi" w:hAnsiTheme="minorHAnsi"/>
        </w:rPr>
        <w:t xml:space="preserve">including </w:t>
      </w:r>
      <w:r w:rsidR="00E3014F">
        <w:rPr>
          <w:rFonts w:asciiTheme="minorHAnsi" w:hAnsiTheme="minorHAnsi"/>
        </w:rPr>
        <w:t xml:space="preserve">by exploring opportunities to enhance </w:t>
      </w:r>
      <w:r w:rsidR="00E3014F" w:rsidRPr="4502C1DD">
        <w:rPr>
          <w:rFonts w:asciiTheme="minorHAnsi" w:hAnsiTheme="minorHAnsi"/>
        </w:rPr>
        <w:t>access to dedicated trade colleges.</w:t>
      </w:r>
    </w:p>
    <w:p w14:paraId="56B29B76" w14:textId="77777777" w:rsidR="00480F63" w:rsidRPr="00074433" w:rsidRDefault="00480F63" w:rsidP="00D16B99">
      <w:pPr>
        <w:pStyle w:val="BodyText"/>
        <w:numPr>
          <w:ilvl w:val="0"/>
          <w:numId w:val="47"/>
        </w:numPr>
        <w:rPr>
          <w:rFonts w:asciiTheme="minorHAnsi" w:hAnsiTheme="minorHAnsi"/>
        </w:rPr>
      </w:pPr>
      <w:r w:rsidRPr="4502C1DD">
        <w:rPr>
          <w:rFonts w:asciiTheme="minorHAnsi" w:hAnsiTheme="minorHAnsi"/>
        </w:rPr>
        <w:t>The availability of accommodation in Regional Australia for VET students needs to be examined to support access to in-person training blocks for vocational students in regional centres.</w:t>
      </w:r>
    </w:p>
    <w:p w14:paraId="1D02CF3E" w14:textId="3AD92456" w:rsidR="00480F63" w:rsidRPr="00480F63" w:rsidRDefault="00480F63" w:rsidP="00D16B99">
      <w:pPr>
        <w:pStyle w:val="BodyText"/>
        <w:numPr>
          <w:ilvl w:val="0"/>
          <w:numId w:val="47"/>
        </w:numPr>
        <w:rPr>
          <w:rFonts w:cs="Arial"/>
        </w:rPr>
      </w:pPr>
      <w:r w:rsidRPr="00480F63">
        <w:rPr>
          <w:rFonts w:asciiTheme="minorHAnsi" w:hAnsiTheme="minorHAnsi"/>
        </w:rPr>
        <w:lastRenderedPageBreak/>
        <w:t>Jobs and Skills Councils, in developing the Workforce Plans and their products, including training packages and training materials, should explicitly consider how regional needs have been accommodated, including </w:t>
      </w:r>
      <w:r w:rsidR="000E4A7F">
        <w:rPr>
          <w:rFonts w:asciiTheme="minorHAnsi" w:hAnsiTheme="minorHAnsi"/>
        </w:rPr>
        <w:t>Aboriginal</w:t>
      </w:r>
      <w:r w:rsidR="00764D13">
        <w:rPr>
          <w:rFonts w:asciiTheme="minorHAnsi" w:hAnsiTheme="minorHAnsi"/>
        </w:rPr>
        <w:t xml:space="preserve"> and Torres Strait Islander </w:t>
      </w:r>
      <w:r w:rsidRPr="00480F63">
        <w:rPr>
          <w:rFonts w:asciiTheme="minorHAnsi" w:hAnsiTheme="minorHAnsi"/>
        </w:rPr>
        <w:t>perspectives.  </w:t>
      </w:r>
    </w:p>
    <w:p w14:paraId="37313C45" w14:textId="77777777" w:rsidR="003832B9" w:rsidRPr="009C0A86" w:rsidRDefault="003832B9" w:rsidP="003832B9">
      <w:pPr>
        <w:pStyle w:val="BodyText"/>
        <w:numPr>
          <w:ilvl w:val="0"/>
          <w:numId w:val="47"/>
        </w:numPr>
      </w:pPr>
      <w:bookmarkStart w:id="174" w:name="_Hlk201843377"/>
      <w:r w:rsidRPr="003832B9">
        <w:t>Improvements to visa processing and skills accreditation (or recognition) processes for skilled migrants could unlock important productivity benefits in Regional Australia. This should be complemented by ensuring visa types and related support help meet the needs of Regional Australia.</w:t>
      </w:r>
    </w:p>
    <w:tbl>
      <w:tblPr>
        <w:tblStyle w:val="CustomTablepulloutbox"/>
        <w:tblW w:w="0" w:type="auto"/>
        <w:tblLook w:val="04A0" w:firstRow="1" w:lastRow="0" w:firstColumn="1" w:lastColumn="0" w:noHBand="0" w:noVBand="1"/>
      </w:tblPr>
      <w:tblGrid>
        <w:gridCol w:w="8997"/>
      </w:tblGrid>
      <w:tr w:rsidR="00B26228" w14:paraId="4C29DA0D" w14:textId="77777777" w:rsidTr="00720647">
        <w:tc>
          <w:tcPr>
            <w:tcW w:w="8997" w:type="dxa"/>
          </w:tcPr>
          <w:bookmarkEnd w:id="174"/>
          <w:p w14:paraId="7B8EFCE9" w14:textId="77777777" w:rsidR="00B26228" w:rsidRPr="00884F96" w:rsidRDefault="00B26228" w:rsidP="00720647">
            <w:pPr>
              <w:pStyle w:val="BoxHeading"/>
            </w:pPr>
            <w:r w:rsidRPr="00884F96">
              <w:t xml:space="preserve">Box: </w:t>
            </w:r>
            <w:r>
              <w:t xml:space="preserve">Examples of other visions for Regional Australia – the </w:t>
            </w:r>
            <w:r w:rsidRPr="00884F96">
              <w:t>Regional Australia Institute’s Re</w:t>
            </w:r>
            <w:r>
              <w:t>gion</w:t>
            </w:r>
            <w:r w:rsidRPr="00884F96">
              <w:t>alisation Ambition to 2032</w:t>
            </w:r>
          </w:p>
          <w:p w14:paraId="37896C95" w14:textId="77777777" w:rsidR="00B26228" w:rsidRPr="00C44963" w:rsidRDefault="00B26228" w:rsidP="00720647">
            <w:pPr>
              <w:pStyle w:val="BodyText"/>
              <w:rPr>
                <w:sz w:val="22"/>
                <w:szCs w:val="22"/>
              </w:rPr>
            </w:pPr>
            <w:r w:rsidRPr="00C44963">
              <w:rPr>
                <w:sz w:val="22"/>
                <w:szCs w:val="22"/>
              </w:rPr>
              <w:t xml:space="preserve">In September 2022, the Regional Australia Institute (RAI) launched its Regionalisation Ambition 2032, a framework designed to help direct the actions of government, industry and the community towards achieving a greater proportion of Australians living prosperously in the regions by 2032 and beyond. The framework is based on </w:t>
            </w:r>
            <w:r>
              <w:rPr>
                <w:sz w:val="22"/>
                <w:szCs w:val="22"/>
              </w:rPr>
              <w:t>5</w:t>
            </w:r>
            <w:r w:rsidRPr="00C44963">
              <w:rPr>
                <w:sz w:val="22"/>
                <w:szCs w:val="22"/>
              </w:rPr>
              <w:t xml:space="preserve"> cross-cutting themes, including population, liveability, productivity and innovation, sustainability and resilience and importantly, jobs and skills.</w:t>
            </w:r>
          </w:p>
          <w:p w14:paraId="2E17665F" w14:textId="77777777" w:rsidR="00B26228" w:rsidRPr="00C44963" w:rsidRDefault="00B26228" w:rsidP="00720647">
            <w:pPr>
              <w:pStyle w:val="BodyText"/>
              <w:rPr>
                <w:sz w:val="22"/>
                <w:szCs w:val="22"/>
              </w:rPr>
            </w:pPr>
            <w:r w:rsidRPr="00C44963">
              <w:rPr>
                <w:sz w:val="22"/>
                <w:szCs w:val="22"/>
              </w:rPr>
              <w:t xml:space="preserve">The framework sets out </w:t>
            </w:r>
            <w:r>
              <w:rPr>
                <w:sz w:val="22"/>
                <w:szCs w:val="22"/>
              </w:rPr>
              <w:t>4</w:t>
            </w:r>
            <w:r w:rsidRPr="00C44963">
              <w:rPr>
                <w:sz w:val="22"/>
                <w:szCs w:val="22"/>
              </w:rPr>
              <w:t xml:space="preserve"> targets or ambitions to be achieved by 2032</w:t>
            </w:r>
            <w:r>
              <w:rPr>
                <w:sz w:val="22"/>
                <w:szCs w:val="22"/>
              </w:rPr>
              <w:t xml:space="preserve"> </w:t>
            </w:r>
            <w:r w:rsidRPr="00C44963">
              <w:rPr>
                <w:sz w:val="22"/>
                <w:szCs w:val="22"/>
              </w:rPr>
              <w:t>for the regional jobs and skills system, namely:</w:t>
            </w:r>
          </w:p>
          <w:p w14:paraId="52BF26F9" w14:textId="77777777" w:rsidR="00B26228" w:rsidRPr="00CE622A" w:rsidRDefault="00B26228" w:rsidP="00720647">
            <w:pPr>
              <w:pStyle w:val="ListNumber"/>
              <w:numPr>
                <w:ilvl w:val="0"/>
                <w:numId w:val="21"/>
              </w:numPr>
              <w:rPr>
                <w:sz w:val="22"/>
                <w:szCs w:val="22"/>
              </w:rPr>
            </w:pPr>
            <w:r w:rsidRPr="00CE622A">
              <w:rPr>
                <w:sz w:val="22"/>
                <w:szCs w:val="22"/>
              </w:rPr>
              <w:t xml:space="preserve">Reduce the recruitment difficulty in Regional Australia to below 40%. </w:t>
            </w:r>
          </w:p>
          <w:p w14:paraId="0A46FDD8" w14:textId="77777777" w:rsidR="00B26228" w:rsidRPr="00C44963" w:rsidRDefault="00B26228" w:rsidP="00720647">
            <w:pPr>
              <w:pStyle w:val="ListNumber"/>
              <w:numPr>
                <w:ilvl w:val="0"/>
                <w:numId w:val="21"/>
              </w:numPr>
              <w:rPr>
                <w:sz w:val="22"/>
                <w:szCs w:val="22"/>
              </w:rPr>
            </w:pPr>
            <w:r w:rsidRPr="00C44963">
              <w:rPr>
                <w:sz w:val="22"/>
                <w:szCs w:val="22"/>
              </w:rPr>
              <w:t>Increase the share of skilled workers employed in Regional Australia to 80% of the regional workforce.</w:t>
            </w:r>
          </w:p>
          <w:p w14:paraId="608503B6" w14:textId="77777777" w:rsidR="00B26228" w:rsidRPr="00C44963" w:rsidRDefault="00B26228" w:rsidP="00720647">
            <w:pPr>
              <w:pStyle w:val="ListNumber"/>
              <w:numPr>
                <w:ilvl w:val="0"/>
                <w:numId w:val="21"/>
              </w:numPr>
              <w:rPr>
                <w:sz w:val="22"/>
                <w:szCs w:val="22"/>
              </w:rPr>
            </w:pPr>
            <w:r w:rsidRPr="00C44963">
              <w:rPr>
                <w:sz w:val="22"/>
                <w:szCs w:val="22"/>
              </w:rPr>
              <w:t>Increase the school attainment rate of young people in Regional Australia to 75% or above.</w:t>
            </w:r>
          </w:p>
          <w:p w14:paraId="69EC3874" w14:textId="77777777" w:rsidR="00B26228" w:rsidRPr="00C44963" w:rsidRDefault="00B26228" w:rsidP="00720647">
            <w:pPr>
              <w:pStyle w:val="ListNumber"/>
              <w:numPr>
                <w:ilvl w:val="0"/>
                <w:numId w:val="21"/>
              </w:numPr>
              <w:rPr>
                <w:sz w:val="22"/>
                <w:szCs w:val="22"/>
              </w:rPr>
            </w:pPr>
            <w:r w:rsidRPr="00C44963">
              <w:rPr>
                <w:sz w:val="22"/>
                <w:szCs w:val="22"/>
              </w:rPr>
              <w:t>Boost post-school qualification completion in Regional Australia to 65% or above.</w:t>
            </w:r>
          </w:p>
          <w:p w14:paraId="263EA417" w14:textId="77777777" w:rsidR="00B26228" w:rsidRPr="007B2434" w:rsidRDefault="00B26228" w:rsidP="00720647">
            <w:pPr>
              <w:pStyle w:val="ListNumber"/>
              <w:ind w:left="0" w:firstLine="0"/>
              <w:rPr>
                <w:sz w:val="22"/>
                <w:szCs w:val="22"/>
              </w:rPr>
            </w:pPr>
            <w:r w:rsidRPr="00C44963">
              <w:rPr>
                <w:sz w:val="22"/>
                <w:szCs w:val="22"/>
              </w:rPr>
              <w:t xml:space="preserve">Each year, RAI releases an annual report detailing progress towards the targets aligned to each of the </w:t>
            </w:r>
            <w:r>
              <w:rPr>
                <w:sz w:val="22"/>
                <w:szCs w:val="22"/>
              </w:rPr>
              <w:t>5</w:t>
            </w:r>
            <w:r w:rsidRPr="00C44963">
              <w:rPr>
                <w:sz w:val="22"/>
                <w:szCs w:val="22"/>
              </w:rPr>
              <w:t xml:space="preserve"> main pillars of its regionalisation framework. </w:t>
            </w:r>
          </w:p>
        </w:tc>
      </w:tr>
    </w:tbl>
    <w:p w14:paraId="28597A99" w14:textId="77777777" w:rsidR="00D64596" w:rsidRPr="00622F89" w:rsidRDefault="00D64596" w:rsidP="00D64596">
      <w:pPr>
        <w:pStyle w:val="Heading11"/>
      </w:pPr>
      <w:bookmarkStart w:id="175" w:name="_Toc200637141"/>
      <w:bookmarkStart w:id="176" w:name="_Toc201070193"/>
      <w:bookmarkStart w:id="177" w:name="_Toc201919856"/>
      <w:bookmarkStart w:id="178" w:name="_Toc202361884"/>
      <w:r>
        <w:t>Examples of models that are already making a difference</w:t>
      </w:r>
      <w:bookmarkEnd w:id="175"/>
      <w:bookmarkEnd w:id="176"/>
      <w:bookmarkEnd w:id="177"/>
      <w:bookmarkEnd w:id="178"/>
    </w:p>
    <w:p w14:paraId="7EC89C78" w14:textId="51DF1A93" w:rsidR="00FD70C6" w:rsidRDefault="00D64596" w:rsidP="00D64596">
      <w:pPr>
        <w:pStyle w:val="BodyText"/>
      </w:pPr>
      <w:r>
        <w:t>I</w:t>
      </w:r>
      <w:r w:rsidRPr="000A48AB">
        <w:t xml:space="preserve">n many regions there are already areas of existing strength or success in </w:t>
      </w:r>
      <w:r w:rsidR="00E35323">
        <w:t>enhancing</w:t>
      </w:r>
      <w:r w:rsidRPr="000A48AB">
        <w:t xml:space="preserve"> the jobs and skills system in Regional Australia. </w:t>
      </w:r>
      <w:r>
        <w:t xml:space="preserve">In such cases, opportunities exist to leverage areas of strength, both by continuing to extend programs or through the emulation of such programs in other regions. </w:t>
      </w:r>
    </w:p>
    <w:p w14:paraId="15F05661" w14:textId="77777777" w:rsidR="00FD70C6" w:rsidRDefault="00D64596" w:rsidP="00D64596">
      <w:pPr>
        <w:pStyle w:val="BodyText"/>
      </w:pPr>
      <w:r>
        <w:t xml:space="preserve">Given the non-homogenous nature of Regional Australia, what works in one region might not work in other, which is why trialling and piloting is essential, although this must not come at the expense long-term funding for service delivery. </w:t>
      </w:r>
    </w:p>
    <w:p w14:paraId="0BC103D8" w14:textId="75FECA24" w:rsidR="00D64596" w:rsidRDefault="00D64596" w:rsidP="00D64596">
      <w:pPr>
        <w:pStyle w:val="BodyText"/>
      </w:pPr>
      <w:r>
        <w:t xml:space="preserve">There nonetheless remains </w:t>
      </w:r>
      <w:r w:rsidRPr="000A48AB">
        <w:t xml:space="preserve">opportunities </w:t>
      </w:r>
      <w:r>
        <w:t xml:space="preserve">to enable </w:t>
      </w:r>
      <w:r w:rsidRPr="000A48AB">
        <w:t>areas of success to be shared across other parts of Regional Australia.</w:t>
      </w:r>
      <w:r>
        <w:t xml:space="preserve"> In essence, this is about connecti</w:t>
      </w:r>
      <w:r w:rsidR="00E148FC">
        <w:t>ng</w:t>
      </w:r>
      <w:r>
        <w:t xml:space="preserve"> regions facing challenges with other regions that </w:t>
      </w:r>
      <w:r w:rsidR="00E148FC">
        <w:t xml:space="preserve">have </w:t>
      </w:r>
      <w:r>
        <w:t xml:space="preserve">identified </w:t>
      </w:r>
      <w:r w:rsidR="00E148FC">
        <w:t xml:space="preserve">and developed </w:t>
      </w:r>
      <w:r>
        <w:t xml:space="preserve">potential models to address them. </w:t>
      </w:r>
    </w:p>
    <w:p w14:paraId="06BD3B28" w14:textId="6B868A33" w:rsidR="00D64596" w:rsidRDefault="00D64596" w:rsidP="00D64596">
      <w:pPr>
        <w:pStyle w:val="BodyText"/>
        <w:rPr>
          <w:rFonts w:eastAsia="Arial"/>
        </w:rPr>
      </w:pPr>
      <w:r>
        <w:lastRenderedPageBreak/>
        <w:t xml:space="preserve">The case studies below provide a range of examples of models that are making a difference in the jobs and skills system </w:t>
      </w:r>
      <w:r>
        <w:rPr>
          <w:rFonts w:eastAsia="Arial"/>
        </w:rPr>
        <w:t>across Regional Australia</w:t>
      </w:r>
      <w:r w:rsidR="00E148FC">
        <w:rPr>
          <w:rFonts w:eastAsia="Arial"/>
        </w:rPr>
        <w:t>, that have already been shared with JSA</w:t>
      </w:r>
      <w:r>
        <w:t xml:space="preserve">. </w:t>
      </w:r>
      <w:r>
        <w:rPr>
          <w:rFonts w:eastAsia="Arial"/>
        </w:rPr>
        <w:t xml:space="preserve">These models have helped put a spotlight on potential opportunities for action to </w:t>
      </w:r>
      <w:r w:rsidR="00A43EE8">
        <w:rPr>
          <w:rFonts w:eastAsia="Arial"/>
        </w:rPr>
        <w:t>enhance</w:t>
      </w:r>
      <w:r>
        <w:rPr>
          <w:rFonts w:eastAsia="Arial"/>
        </w:rPr>
        <w:t xml:space="preserve"> the jobs and skills system in Regional Australia, including through resultant policy design principles (see Section 3 for more details).</w:t>
      </w:r>
    </w:p>
    <w:p w14:paraId="24931E29" w14:textId="77777777" w:rsidR="00D64596" w:rsidRPr="00695CC7" w:rsidRDefault="00D64596" w:rsidP="00D64596">
      <w:pPr>
        <w:pStyle w:val="Heading3"/>
        <w:rPr>
          <w:bCs/>
          <w:sz w:val="28"/>
        </w:rPr>
      </w:pPr>
      <w:r w:rsidRPr="007D1860">
        <w:t>Local Jobs Program – Employment Facilitators</w:t>
      </w:r>
    </w:p>
    <w:p w14:paraId="3AF8E050" w14:textId="35108F43" w:rsidR="00D64596" w:rsidRPr="00BA67E0" w:rsidRDefault="00D64596" w:rsidP="00D64596">
      <w:pPr>
        <w:pStyle w:val="BodyText"/>
      </w:pPr>
      <w:r w:rsidRPr="00BA67E0">
        <w:t xml:space="preserve">The Local Jobs Program is a collaborative place-based initiative designed to ensure local labour markets work well for all Australians in partnership with business and communities. The program was established in 2020 and </w:t>
      </w:r>
      <w:r w:rsidR="004471A2">
        <w:t xml:space="preserve">is </w:t>
      </w:r>
      <w:r w:rsidRPr="00BA67E0">
        <w:t>administered by the Commonwealth Department of Employment and Workplace Relations</w:t>
      </w:r>
      <w:r w:rsidR="004471A2">
        <w:t xml:space="preserve"> </w:t>
      </w:r>
      <w:r w:rsidRPr="00BA67E0">
        <w:t xml:space="preserve">to 51 Employment Regions across Australia. It plays a valuable role in supporting communities to strengthen their local labour markets, address workforce shortages and structural or systemic barriers to employment.  </w:t>
      </w:r>
    </w:p>
    <w:p w14:paraId="78C23999" w14:textId="77777777" w:rsidR="00D64596" w:rsidRDefault="00D64596" w:rsidP="00D64596">
      <w:pPr>
        <w:pStyle w:val="BodyText"/>
      </w:pPr>
      <w:r w:rsidRPr="00BA67E0">
        <w:t xml:space="preserve">Central to the program are </w:t>
      </w:r>
      <w:r>
        <w:t xml:space="preserve">Job Coordinators (previously called </w:t>
      </w:r>
      <w:r w:rsidRPr="00625BBC">
        <w:t>Employment Facilitators</w:t>
      </w:r>
      <w:r>
        <w:t>)</w:t>
      </w:r>
      <w:r w:rsidRPr="00BA67E0">
        <w:t xml:space="preserve">, </w:t>
      </w:r>
      <w:r w:rsidRPr="00625BBC">
        <w:t xml:space="preserve"> bringing together businesses, employment and skill services and community organisations in each of the 51 regions, providing connections to training, jobs and support services. Other key elements of the program include a local jobs and skills taskforce, local jobs plan and a local recovery fund. </w:t>
      </w:r>
    </w:p>
    <w:p w14:paraId="4E2888EF" w14:textId="77777777" w:rsidR="00D64596" w:rsidRPr="00625BBC" w:rsidRDefault="00D64596" w:rsidP="00D64596">
      <w:pPr>
        <w:pStyle w:val="BodyText"/>
      </w:pPr>
      <w:r w:rsidRPr="00625BBC">
        <w:t xml:space="preserve">As part of its commitment to place-based approaches, the Australian Government recently extended funding for the Local Jobs Program to 30 June 2027 and made changes to enhance flexibility in helping individuals, businesses and communities. </w:t>
      </w:r>
    </w:p>
    <w:p w14:paraId="041A1776" w14:textId="77777777" w:rsidR="00D64596" w:rsidRDefault="00D64596" w:rsidP="00D64596">
      <w:pPr>
        <w:pStyle w:val="BodyText"/>
      </w:pPr>
      <w:r w:rsidRPr="00625BBC">
        <w:t xml:space="preserve">Feedback on the Local Jobs Program gathered through JSA’s engagement indicates that the Local Jobs Program is highly regarded by communities across Regional Australia. The feedback was particularly important in highlighting the value placed on </w:t>
      </w:r>
      <w:r>
        <w:t>Job Coordinators</w:t>
      </w:r>
      <w:r w:rsidRPr="00625BBC">
        <w:t xml:space="preserve"> in driving the success of the program.</w:t>
      </w:r>
    </w:p>
    <w:p w14:paraId="7802CD26" w14:textId="77777777" w:rsidR="00D64596" w:rsidRPr="00B8526E" w:rsidRDefault="00D64596" w:rsidP="00D64596">
      <w:pPr>
        <w:pStyle w:val="BodyText"/>
      </w:pPr>
      <w:r w:rsidRPr="00625BBC">
        <w:t xml:space="preserve">The key insight being that while program design is important, the people that implement the program on the ground are even more important. Their understanding and connections across various elements of the jobs and skills systems in their communities is what matters most and is key in driving successful place-based initiatives like the Local Jobs Program. For more information visit the Local Jobs Program webpage at </w:t>
      </w:r>
      <w:hyperlink r:id="rId83" w:history="1">
        <w:r w:rsidRPr="00625BBC">
          <w:rPr>
            <w:rStyle w:val="Hyperlink"/>
          </w:rPr>
          <w:t>https://www.dewr.gov.au/local-jobs</w:t>
        </w:r>
      </w:hyperlink>
      <w:r w:rsidRPr="00625BBC">
        <w:t>.</w:t>
      </w:r>
      <w:r w:rsidRPr="00FC206B">
        <w:t xml:space="preserve"> </w:t>
      </w:r>
    </w:p>
    <w:p w14:paraId="1E852F5B" w14:textId="77777777" w:rsidR="00D64596" w:rsidRPr="009F5094" w:rsidRDefault="00D64596" w:rsidP="00D64596">
      <w:pPr>
        <w:pStyle w:val="Heading3"/>
        <w:rPr>
          <w:bCs/>
          <w:sz w:val="28"/>
        </w:rPr>
      </w:pPr>
      <w:r w:rsidRPr="00B269E4">
        <w:t xml:space="preserve">Regional University </w:t>
      </w:r>
      <w:r>
        <w:t xml:space="preserve">Study </w:t>
      </w:r>
      <w:r w:rsidRPr="00B269E4">
        <w:t>Hub</w:t>
      </w:r>
      <w:r>
        <w:t>s</w:t>
      </w:r>
      <w:r w:rsidRPr="00B269E4">
        <w:t xml:space="preserve">: </w:t>
      </w:r>
      <w:r>
        <w:t xml:space="preserve">Uni </w:t>
      </w:r>
      <w:r w:rsidRPr="00B269E4">
        <w:t>Hub Spencer Gulf</w:t>
      </w:r>
    </w:p>
    <w:p w14:paraId="767675F8" w14:textId="77777777" w:rsidR="00D64596" w:rsidRPr="00B269E4" w:rsidRDefault="00D64596" w:rsidP="00D64596">
      <w:pPr>
        <w:pStyle w:val="BodyText"/>
      </w:pPr>
      <w:hyperlink r:id="rId84" w:history="1">
        <w:r w:rsidRPr="00441D22">
          <w:rPr>
            <w:rStyle w:val="Hyperlink"/>
          </w:rPr>
          <w:t>Uni Hub Spencer Gulf</w:t>
        </w:r>
      </w:hyperlink>
      <w:r w:rsidRPr="00B269E4">
        <w:t xml:space="preserve"> is a not-for-profit, community-owned and driven tertiary education facility that brings educational opportunities to people in the Spencer Gulf region. It is funded as part of the </w:t>
      </w:r>
      <w:hyperlink r:id="rId85" w:history="1">
        <w:r w:rsidRPr="00B269E4">
          <w:rPr>
            <w:rStyle w:val="Hyperlink"/>
          </w:rPr>
          <w:t>Regional University Study Hubs</w:t>
        </w:r>
      </w:hyperlink>
      <w:r w:rsidRPr="00B269E4">
        <w:t xml:space="preserve"> program administered by the federal Department of Education. </w:t>
      </w:r>
    </w:p>
    <w:p w14:paraId="3998A8F9" w14:textId="77777777" w:rsidR="00D64596" w:rsidRPr="00B269E4" w:rsidRDefault="00D64596" w:rsidP="00D64596">
      <w:pPr>
        <w:pStyle w:val="BodyText"/>
      </w:pPr>
      <w:r w:rsidRPr="00B269E4">
        <w:t xml:space="preserve">Uni Hub Spencer Gulf was first established in Port Pirie in 2019 and has since branched out with additional centres established in Port Augusta, Port Lincoln, Kadina and Roxby Downs. The hubs provide students with the support, space, and technology to study individually or in groups and for those studying with Uni Hub’s university partners there is also face-to-face mentoring and tutorials to assist them achieve their academic goals. UniHub Spencer Gulf works closely with industry, the community, schools and tertiary providers, to offer tertiary courses that address </w:t>
      </w:r>
      <w:r>
        <w:t>labour</w:t>
      </w:r>
      <w:r w:rsidRPr="00B269E4">
        <w:t xml:space="preserve"> shortages in the region, with a vision to grow a competitive, vibrant and self-reliant economy and community. </w:t>
      </w:r>
    </w:p>
    <w:p w14:paraId="3097384B" w14:textId="77777777" w:rsidR="00D64596" w:rsidRPr="00B269E4" w:rsidRDefault="00D64596" w:rsidP="00D64596">
      <w:pPr>
        <w:pStyle w:val="BodyText"/>
      </w:pPr>
      <w:r w:rsidRPr="00B269E4">
        <w:lastRenderedPageBreak/>
        <w:t xml:space="preserve">Key features of the Uni Hub Spencer Gulf’s operations are the partnerships it has developed with local employers, universities and schools. While the Hub provides support to students regardless of the course or degree an individual may be studying, the Hub is particularly focused on addressing local workforce needs. This comes from early recognition that buy-in from local employers would be essential to the success of Uni Hub in lifting university completion rates across the region. </w:t>
      </w:r>
    </w:p>
    <w:p w14:paraId="345754F0" w14:textId="32C7D7E2" w:rsidR="00D64596" w:rsidRPr="000523D5" w:rsidRDefault="005977BD" w:rsidP="00D64596">
      <w:pPr>
        <w:pStyle w:val="Heading3"/>
      </w:pPr>
      <w:r>
        <w:rPr>
          <w:noProof/>
        </w:rPr>
        <mc:AlternateContent>
          <mc:Choice Requires="wps">
            <w:drawing>
              <wp:anchor distT="0" distB="0" distL="114300" distR="114300" simplePos="0" relativeHeight="251796992" behindDoc="0" locked="0" layoutInCell="1" allowOverlap="1" wp14:anchorId="123A5AFB" wp14:editId="1D8A33A3">
                <wp:simplePos x="0" y="0"/>
                <wp:positionH relativeFrom="column">
                  <wp:posOffset>3265170</wp:posOffset>
                </wp:positionH>
                <wp:positionV relativeFrom="paragraph">
                  <wp:posOffset>287713</wp:posOffset>
                </wp:positionV>
                <wp:extent cx="1920240" cy="635"/>
                <wp:effectExtent l="0" t="0" r="0" b="0"/>
                <wp:wrapSquare wrapText="bothSides"/>
                <wp:docPr id="1469846908" name="Text Box 1"/>
                <wp:cNvGraphicFramePr/>
                <a:graphic xmlns:a="http://schemas.openxmlformats.org/drawingml/2006/main">
                  <a:graphicData uri="http://schemas.microsoft.com/office/word/2010/wordprocessingShape">
                    <wps:wsp>
                      <wps:cNvSpPr txBox="1"/>
                      <wps:spPr>
                        <a:xfrm>
                          <a:off x="0" y="0"/>
                          <a:ext cx="1920240" cy="635"/>
                        </a:xfrm>
                        <a:prstGeom prst="rect">
                          <a:avLst/>
                        </a:prstGeom>
                        <a:solidFill>
                          <a:prstClr val="white"/>
                        </a:solidFill>
                        <a:ln>
                          <a:noFill/>
                        </a:ln>
                      </wps:spPr>
                      <wps:txbx>
                        <w:txbxContent>
                          <w:p w14:paraId="2E464DDD" w14:textId="38281B87" w:rsidR="002026A6" w:rsidRPr="00965460" w:rsidRDefault="002026A6" w:rsidP="002026A6">
                            <w:pPr>
                              <w:pStyle w:val="Caption"/>
                              <w:rPr>
                                <w:noProof/>
                                <w:color w:val="4B0885" w:themeColor="text2"/>
                                <w:sz w:val="26"/>
                                <w:szCs w:val="24"/>
                              </w:rPr>
                            </w:pPr>
                            <w:bookmarkStart w:id="179" w:name="_Toc201916615"/>
                            <w:r>
                              <w:t xml:space="preserve">Figure </w:t>
                            </w:r>
                            <w:r>
                              <w:fldChar w:fldCharType="begin"/>
                            </w:r>
                            <w:r>
                              <w:instrText xml:space="preserve"> SEQ Figure \* ARABIC </w:instrText>
                            </w:r>
                            <w:r>
                              <w:fldChar w:fldCharType="separate"/>
                            </w:r>
                            <w:r w:rsidR="00471863">
                              <w:rPr>
                                <w:noProof/>
                              </w:rPr>
                              <w:t>49</w:t>
                            </w:r>
                            <w:r>
                              <w:fldChar w:fldCharType="end"/>
                            </w:r>
                            <w:r>
                              <w:t>: Tasmanian Jobs Hub</w:t>
                            </w:r>
                            <w:bookmarkEnd w:id="1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23A5AFB" id="_x0000_t202" coordsize="21600,21600" o:spt="202" path="m,l,21600r21600,l21600,xe">
                <v:stroke joinstyle="miter"/>
                <v:path gradientshapeok="t" o:connecttype="rect"/>
              </v:shapetype>
              <v:shape id="Text Box 1" o:spid="_x0000_s1110" type="#_x0000_t202" style="position:absolute;margin-left:257.1pt;margin-top:22.65pt;width:151.2pt;height:.05pt;z-index:25179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" stroked="f">
                <v:textbox style="mso-fit-shape-to-text:t" inset="0,0,0,0">
                  <w:txbxContent>
                    <w:p w14:paraId="2E464DDD" w14:textId="38281B87" w:rsidR="002026A6" w:rsidRPr="00965460" w:rsidRDefault="002026A6" w:rsidP="002026A6">
                      <w:pPr>
                        <w:pStyle w:val="Caption"/>
                        <w:rPr>
                          <w:noProof/>
                          <w:color w:val="4B0885" w:themeColor="text2"/>
                          <w:sz w:val="26"/>
                          <w:szCs w:val="24"/>
                        </w:rPr>
                      </w:pPr>
                      <w:bookmarkStart w:id="180" w:name="_Toc201916615"/>
                      <w:r>
                        <w:t xml:space="preserve">Figure </w:t>
                      </w:r>
                      <w:r>
                        <w:fldChar w:fldCharType="begin"/>
                      </w:r>
                      <w:r>
                        <w:instrText xml:space="preserve"> SEQ Figure \* ARABIC </w:instrText>
                      </w:r>
                      <w:r>
                        <w:fldChar w:fldCharType="separate"/>
                      </w:r>
                      <w:r w:rsidR="00471863">
                        <w:rPr>
                          <w:noProof/>
                        </w:rPr>
                        <w:t>49</w:t>
                      </w:r>
                      <w:r>
                        <w:fldChar w:fldCharType="end"/>
                      </w:r>
                      <w:r>
                        <w:t>: Tasmanian Jobs Hub</w:t>
                      </w:r>
                      <w:bookmarkEnd w:id="180"/>
                    </w:p>
                  </w:txbxContent>
                </v:textbox>
                <w10:wrap type="square"/>
              </v:shape>
            </w:pict>
          </mc:Fallback>
        </mc:AlternateContent>
      </w:r>
      <w:r w:rsidR="00D64596">
        <w:rPr>
          <w:noProof/>
        </w:rPr>
        <mc:AlternateContent>
          <mc:Choice Requires="wps">
            <w:drawing>
              <wp:anchor distT="0" distB="0" distL="114300" distR="114300" simplePos="0" relativeHeight="251739648" behindDoc="0" locked="0" layoutInCell="1" allowOverlap="1" wp14:anchorId="5AFD39B6" wp14:editId="37B1C933">
                <wp:simplePos x="0" y="0"/>
                <wp:positionH relativeFrom="column">
                  <wp:posOffset>3016631</wp:posOffset>
                </wp:positionH>
                <wp:positionV relativeFrom="paragraph">
                  <wp:posOffset>97155</wp:posOffset>
                </wp:positionV>
                <wp:extent cx="1920240" cy="389890"/>
                <wp:effectExtent l="0" t="0" r="3810" b="0"/>
                <wp:wrapSquare wrapText="bothSides"/>
                <wp:docPr id="1461127286" name="Text Box 1"/>
                <wp:cNvGraphicFramePr/>
                <a:graphic xmlns:a="http://schemas.openxmlformats.org/drawingml/2006/main">
                  <a:graphicData uri="http://schemas.microsoft.com/office/word/2010/wordprocessingShape">
                    <wps:wsp>
                      <wps:cNvSpPr txBox="1"/>
                      <wps:spPr>
                        <a:xfrm>
                          <a:off x="0" y="0"/>
                          <a:ext cx="1920240" cy="389890"/>
                        </a:xfrm>
                        <a:prstGeom prst="rect">
                          <a:avLst/>
                        </a:prstGeom>
                        <a:solidFill>
                          <a:prstClr val="white"/>
                        </a:solidFill>
                        <a:ln>
                          <a:noFill/>
                        </a:ln>
                      </wps:spPr>
                      <wps:txbx>
                        <w:txbxContent>
                          <w:p w14:paraId="7B4BDC90" w14:textId="0C37216C" w:rsidR="00D64596" w:rsidRPr="005921EE" w:rsidRDefault="00D64596" w:rsidP="00D64596">
                            <w:pPr>
                              <w:pStyle w:val="Caption"/>
                              <w:rPr>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D39B6" id="_x0000_s1111" type="#_x0000_t202" style="position:absolute;margin-left:237.55pt;margin-top:7.65pt;width:151.2pt;height:30.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" stroked="f">
                <v:textbox inset="0,0,0,0">
                  <w:txbxContent>
                    <w:p w14:paraId="7B4BDC90" w14:textId="0C37216C" w:rsidR="00D64596" w:rsidRPr="005921EE" w:rsidRDefault="00D64596" w:rsidP="00D64596">
                      <w:pPr>
                        <w:pStyle w:val="Caption"/>
                        <w:rPr>
                          <w:noProof/>
                          <w:sz w:val="22"/>
                          <w:szCs w:val="22"/>
                        </w:rPr>
                      </w:pPr>
                    </w:p>
                  </w:txbxContent>
                </v:textbox>
                <w10:wrap type="square"/>
              </v:shape>
            </w:pict>
          </mc:Fallback>
        </mc:AlternateContent>
      </w:r>
      <w:r w:rsidR="00D64596" w:rsidRPr="000523D5">
        <w:t>Tasmania’s Regional Jobs Hubs</w:t>
      </w:r>
    </w:p>
    <w:p w14:paraId="15623DCD" w14:textId="59FA917C" w:rsidR="00D64596" w:rsidRDefault="00D64596" w:rsidP="00D64596">
      <w:pPr>
        <w:pStyle w:val="BodyText"/>
      </w:pPr>
      <w:r w:rsidRPr="00E07E2A">
        <w:rPr>
          <w:noProof/>
        </w:rPr>
        <w:drawing>
          <wp:anchor distT="0" distB="0" distL="114300" distR="114300" simplePos="0" relativeHeight="251731456" behindDoc="0" locked="0" layoutInCell="1" allowOverlap="1" wp14:anchorId="5BD1E3CF" wp14:editId="197EDBED">
            <wp:simplePos x="0" y="0"/>
            <wp:positionH relativeFrom="margin">
              <wp:posOffset>2310384</wp:posOffset>
            </wp:positionH>
            <wp:positionV relativeFrom="paragraph">
              <wp:posOffset>54864</wp:posOffset>
            </wp:positionV>
            <wp:extent cx="3939540" cy="3623945"/>
            <wp:effectExtent l="0" t="0" r="3810" b="0"/>
            <wp:wrapSquare wrapText="bothSides"/>
            <wp:docPr id="1079678435" name="Picture 2" descr="A map of the Tasmanian Jobs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78435" name="Picture 2" descr="A map of the Tasmanian Jobs Hub."/>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939540" cy="3623945"/>
                    </a:xfrm>
                    <a:prstGeom prst="rect">
                      <a:avLst/>
                    </a:prstGeom>
                    <a:noFill/>
                  </pic:spPr>
                </pic:pic>
              </a:graphicData>
            </a:graphic>
            <wp14:sizeRelH relativeFrom="page">
              <wp14:pctWidth>0</wp14:pctWidth>
            </wp14:sizeRelH>
            <wp14:sizeRelV relativeFrom="page">
              <wp14:pctHeight>0</wp14:pctHeight>
            </wp14:sizeRelV>
          </wp:anchor>
        </w:drawing>
      </w:r>
      <w:r w:rsidRPr="000523D5">
        <w:t xml:space="preserve">Tasmania’s Regional Jobs Hub (RJH) initiative is a state-led community-driven employment, education and training program that connects local people to local jobs and develops lasting workforce solutions for employers and industry. There are currently eight Regional Jobs Hubs that work with their </w:t>
      </w:r>
      <w:r>
        <w:t xml:space="preserve">local </w:t>
      </w:r>
      <w:r w:rsidRPr="000523D5">
        <w:t>Advisory Boards and Jobs Tasmania as a state-wide network, advancing regional issues to collectively inform statewide policy and program</w:t>
      </w:r>
      <w:r>
        <w:t xml:space="preserve"> </w:t>
      </w:r>
      <w:r w:rsidRPr="000523D5">
        <w:t xml:space="preserve">implementation. </w:t>
      </w:r>
    </w:p>
    <w:p w14:paraId="74E9A74E" w14:textId="77777777" w:rsidR="00D64596" w:rsidRPr="00E07E2A" w:rsidRDefault="00D64596" w:rsidP="00D64596">
      <w:pPr>
        <w:pStyle w:val="BodyText"/>
      </w:pPr>
      <w:r w:rsidRPr="00E07E2A">
        <w:t xml:space="preserve">A </w:t>
      </w:r>
      <w:hyperlink r:id="rId87" w:history="1">
        <w:r w:rsidRPr="00E07E2A">
          <w:rPr>
            <w:rStyle w:val="Hyperlink"/>
            <w:rFonts w:cs="Arial"/>
          </w:rPr>
          <w:t>recent evaluation of the RJH initiative</w:t>
        </w:r>
      </w:hyperlink>
      <w:r w:rsidRPr="00E07E2A">
        <w:t>, conducted by the Social Policy and Research Centre at the Brotherhood of St Laurence</w:t>
      </w:r>
      <w:r>
        <w:t>,</w:t>
      </w:r>
      <w:r w:rsidRPr="00E07E2A">
        <w:t xml:space="preserve"> found that the RJH initiative is driving effective and efficient individual and state wide results. Emerging findings </w:t>
      </w:r>
      <w:r>
        <w:t>indicate that the</w:t>
      </w:r>
      <w:r w:rsidRPr="00E07E2A">
        <w:t xml:space="preserve"> RJH initiative has led to strong training and employment outcomes, innovative workforce solutions for priority industries and jobseekers and greater alignment of policy, programs and resources across state government departments. The evaluation detailed a number of key learning</w:t>
      </w:r>
      <w:r>
        <w:t>s:</w:t>
      </w:r>
    </w:p>
    <w:p w14:paraId="42C44044" w14:textId="77777777" w:rsidR="00D64596" w:rsidRPr="00E07E2A" w:rsidRDefault="00D64596" w:rsidP="00D16B99">
      <w:pPr>
        <w:pStyle w:val="BodyText"/>
        <w:numPr>
          <w:ilvl w:val="0"/>
          <w:numId w:val="29"/>
        </w:numPr>
      </w:pPr>
      <w:r w:rsidRPr="00E07E2A">
        <w:t>To establish a genuine place-based, networked model, government must change its stewardship role through for example devolving power to community to drive the work and by adopting funding models that are non-competitive between HUB providers to reduce overlap between jurisdictions</w:t>
      </w:r>
      <w:r>
        <w:t xml:space="preserve"> (regions)</w:t>
      </w:r>
      <w:r w:rsidRPr="00E07E2A">
        <w:t xml:space="preserve"> and incentive collaboration.</w:t>
      </w:r>
    </w:p>
    <w:p w14:paraId="7DE23DF3" w14:textId="77777777" w:rsidR="00D64596" w:rsidRPr="00E07E2A" w:rsidRDefault="00D64596" w:rsidP="00D16B99">
      <w:pPr>
        <w:pStyle w:val="BodyText"/>
        <w:numPr>
          <w:ilvl w:val="0"/>
          <w:numId w:val="29"/>
        </w:numPr>
      </w:pPr>
      <w:r>
        <w:t>Being embedded in the community</w:t>
      </w:r>
      <w:r w:rsidRPr="00E07E2A">
        <w:t xml:space="preserve"> is important for developing a strategic outlook of a region’s workforce challenges and opportunities, as well as community trust borne of their familiarity and visibility in community as a single point of contact. </w:t>
      </w:r>
    </w:p>
    <w:p w14:paraId="6B6F9DE4" w14:textId="77777777" w:rsidR="00D64596" w:rsidRPr="00E07E2A" w:rsidRDefault="00D64596" w:rsidP="00D16B99">
      <w:pPr>
        <w:pStyle w:val="BodyText"/>
        <w:numPr>
          <w:ilvl w:val="0"/>
          <w:numId w:val="29"/>
        </w:numPr>
      </w:pPr>
      <w:r w:rsidRPr="00E07E2A">
        <w:t xml:space="preserve">A person-centred approach to supporting individual job seekers and employers, unbound from time constraints or compliance requirements, is key to delivering meaningful, lasting education, training and employment outcomes. </w:t>
      </w:r>
    </w:p>
    <w:p w14:paraId="34093588" w14:textId="77777777" w:rsidR="00D64596" w:rsidRDefault="00D64596" w:rsidP="00D16B99">
      <w:pPr>
        <w:pStyle w:val="BodyText"/>
        <w:numPr>
          <w:ilvl w:val="0"/>
          <w:numId w:val="29"/>
        </w:numPr>
      </w:pPr>
      <w:r w:rsidRPr="00AB6F23">
        <w:t xml:space="preserve">Hubs and state government have the employer and industry connections to work effectively on the demand-side and as a bridge between job seekers and businesses. </w:t>
      </w:r>
    </w:p>
    <w:p w14:paraId="60576611" w14:textId="77777777" w:rsidR="00D64596" w:rsidRDefault="00D64596" w:rsidP="00D64596">
      <w:pPr>
        <w:pStyle w:val="BodyText"/>
      </w:pPr>
      <w:r w:rsidRPr="00AB6F23">
        <w:lastRenderedPageBreak/>
        <w:t>Engaging with stakeholders for the Roadmap, JSA heard that Tasmania’s RJH initiative is highly regarded and is being used as a prototype for the development of place-based initiatives in other parts of the regional jobs and skills system, particularly Whyalla</w:t>
      </w:r>
      <w:r>
        <w:t xml:space="preserve"> in South Australia</w:t>
      </w:r>
      <w:r w:rsidRPr="00AB6F23">
        <w:t>. This is a great example of parts of Regional Australia, learning from and leveraging innovation from elsewhere in the jobs and skills system.</w:t>
      </w:r>
    </w:p>
    <w:p w14:paraId="13F374D8" w14:textId="77777777" w:rsidR="00D64596" w:rsidRPr="00B630EE" w:rsidRDefault="00D64596" w:rsidP="00D64596">
      <w:pPr>
        <w:pStyle w:val="Heading3"/>
      </w:pPr>
      <w:r w:rsidRPr="00B630EE">
        <w:t>University of Tasmania – studying health and medicine in Burnie</w:t>
      </w:r>
    </w:p>
    <w:p w14:paraId="7DD62DB3" w14:textId="77777777" w:rsidR="00D64596" w:rsidRDefault="00D64596" w:rsidP="00D64596">
      <w:pPr>
        <w:pStyle w:val="BodyText"/>
      </w:pPr>
      <w:r w:rsidRPr="00B630EE">
        <w:t>The University of Tasmania (UT</w:t>
      </w:r>
      <w:r>
        <w:t>AS</w:t>
      </w:r>
      <w:r w:rsidRPr="00B630EE">
        <w:t>) is the predominant higher education provider in Tasmania. Such a positioning brings with it both unique opportunities and responsibilities. UT</w:t>
      </w:r>
      <w:r>
        <w:t>AS</w:t>
      </w:r>
      <w:r w:rsidRPr="00B630EE">
        <w:t xml:space="preserve"> is naturally inclined to be more responsive to local needs for training, tailor offerings to align with local cohorts and steward the system effectively as the primary provider for a key pillar of the system. UT</w:t>
      </w:r>
      <w:r>
        <w:t>AS</w:t>
      </w:r>
      <w:r w:rsidRPr="00B630EE">
        <w:t xml:space="preserve"> also seeks to act strategically and systematically across sectors and regions to help contribute to the future success of Tasmania. An example of this in pra</w:t>
      </w:r>
      <w:r>
        <w:t>c</w:t>
      </w:r>
      <w:r w:rsidRPr="00B630EE">
        <w:t>tice is the expansion of the UT</w:t>
      </w:r>
      <w:r>
        <w:t>AS</w:t>
      </w:r>
      <w:r w:rsidRPr="00B630EE">
        <w:t xml:space="preserve"> medical school to Burnie</w:t>
      </w:r>
      <w:r>
        <w:t xml:space="preserve"> in North West Tasmania</w:t>
      </w:r>
      <w:r w:rsidRPr="00B630EE">
        <w:t xml:space="preserve">. </w:t>
      </w:r>
    </w:p>
    <w:p w14:paraId="1CA424D0" w14:textId="4FB27A80" w:rsidR="00D64596" w:rsidRDefault="00D64596" w:rsidP="00D64596">
      <w:pPr>
        <w:pStyle w:val="BodyText"/>
      </w:pPr>
      <w:r w:rsidRPr="00B630EE">
        <w:t xml:space="preserve">As a result of this, the University of Tasmania’s rural medical school program now enables students to start and finish a medical degree at its Cradle Coast campus. Previously, such students were required to spend </w:t>
      </w:r>
      <w:r w:rsidR="00285E8D">
        <w:t>3</w:t>
      </w:r>
      <w:r w:rsidRPr="00B630EE">
        <w:t xml:space="preserve"> years in Hobart before electing to complete their final </w:t>
      </w:r>
      <w:r w:rsidR="00285E8D">
        <w:t>2</w:t>
      </w:r>
      <w:r w:rsidRPr="00B630EE">
        <w:t xml:space="preserve"> years of study on the northwest coast of Tasmania. Through the expansion of its offering, UT</w:t>
      </w:r>
      <w:r>
        <w:t>AS</w:t>
      </w:r>
      <w:r w:rsidRPr="00B630EE">
        <w:t xml:space="preserve"> is now providing greater access and opportunities for people to pursue a medical career, while also helping to meet the current and future workforce needs of North-West and West Coast of Tasmania. </w:t>
      </w:r>
    </w:p>
    <w:p w14:paraId="602511E8" w14:textId="5C920178" w:rsidR="00D64596" w:rsidRPr="00150A4F" w:rsidRDefault="00D64596" w:rsidP="00D16B99">
      <w:pPr>
        <w:pStyle w:val="BodyText"/>
        <w:numPr>
          <w:ilvl w:val="0"/>
          <w:numId w:val="30"/>
        </w:numPr>
        <w:rPr>
          <w:rFonts w:ascii="Aptos" w:hAnsi="Aptos"/>
        </w:rPr>
      </w:pPr>
      <w:r>
        <w:t xml:space="preserve">The ‘Rural Clinical School’ reputation has grown to the point where it is the preferred destination for the final </w:t>
      </w:r>
      <w:r w:rsidR="00285E8D">
        <w:t>2</w:t>
      </w:r>
      <w:r>
        <w:t xml:space="preserve"> years over placements at the Royal Hobart Hospital. The partnership with the community has been pivotal to the medical students feeling welcomed and valued by the community. </w:t>
      </w:r>
    </w:p>
    <w:p w14:paraId="092CE307" w14:textId="77777777" w:rsidR="00D64596" w:rsidRPr="0072334D" w:rsidRDefault="00D64596" w:rsidP="00D16B99">
      <w:pPr>
        <w:pStyle w:val="BodyText"/>
        <w:numPr>
          <w:ilvl w:val="0"/>
          <w:numId w:val="30"/>
        </w:numPr>
        <w:rPr>
          <w:rFonts w:ascii="Aptos" w:hAnsi="Aptos"/>
        </w:rPr>
      </w:pPr>
      <w:r>
        <w:t>Ahead of doing the full course, the Rural Clinical School ran a pilot with a small cohort (who for practical reasons couldn’t have done their first 3 years in Hobart) so the model was well tested launching. In the first cohort, 5 of the 20 students are Aboriginal.</w:t>
      </w:r>
    </w:p>
    <w:p w14:paraId="1A0E2CAE" w14:textId="77777777" w:rsidR="00D64596" w:rsidRPr="00B630EE" w:rsidRDefault="00D64596" w:rsidP="00D64596">
      <w:pPr>
        <w:pStyle w:val="BodyText"/>
      </w:pPr>
      <w:r w:rsidRPr="00B630EE">
        <w:t>Developing such an offering required an intentional investment. Expanding training and education delivery to smaller markets, such as in Regional Australia, requires a different perspective given the implications for the size and timing of expected returns. This goes beyond just establishing staff and teaching facilities, to also developing curriculum and ensuring that the program will be viable in the long-term. Planning beyond typical funding cycles or investment horizons is often required, with collaborative action and long-term thinking a precursor to success.</w:t>
      </w:r>
    </w:p>
    <w:p w14:paraId="2CD4DE56" w14:textId="77777777" w:rsidR="00D64596" w:rsidRPr="0023287D" w:rsidRDefault="00D64596" w:rsidP="00D64596">
      <w:pPr>
        <w:pStyle w:val="Heading3"/>
        <w:rPr>
          <w:bCs/>
          <w:sz w:val="28"/>
          <w:szCs w:val="28"/>
        </w:rPr>
      </w:pPr>
      <w:r w:rsidRPr="00B062BE">
        <w:t>VET student accommodation: Batchelor Institute</w:t>
      </w:r>
    </w:p>
    <w:p w14:paraId="7D625BE2" w14:textId="77777777" w:rsidR="00D64596" w:rsidRPr="00B062BE" w:rsidRDefault="00D64596" w:rsidP="00D64596">
      <w:pPr>
        <w:pStyle w:val="BodyText"/>
      </w:pPr>
      <w:r w:rsidRPr="00B062BE">
        <w:t xml:space="preserve">In March 2025, the Australian Government announced funding to provide more First Nations students in Central Australia with greater access to quality education, including $5.1 million to support construction of a new culturally safe and supported accommodation centre at the Batchelor Institute of Indigenous Tertiary Education in the Desert Knowledge Precinct in Alice Springs. </w:t>
      </w:r>
    </w:p>
    <w:p w14:paraId="416BFAB7" w14:textId="56D383C4" w:rsidR="00D64596" w:rsidRPr="00B062BE" w:rsidRDefault="00D64596" w:rsidP="00D64596">
      <w:pPr>
        <w:pStyle w:val="BodyText"/>
      </w:pPr>
      <w:r w:rsidRPr="00B062BE">
        <w:t xml:space="preserve">The Institute is a leader in </w:t>
      </w:r>
      <w:r w:rsidR="00FA0FBC">
        <w:t>Aboriginal and T</w:t>
      </w:r>
      <w:r w:rsidR="00E45394">
        <w:t>orres Strait Islander</w:t>
      </w:r>
      <w:r w:rsidRPr="00B062BE">
        <w:t xml:space="preserve"> tertiary education, committed to empowering Aboriginal and Torres Strait Islander peoples through education and ensuring students from remote communities have the support they need to succeed. The new </w:t>
      </w:r>
      <w:r w:rsidRPr="00B062BE">
        <w:lastRenderedPageBreak/>
        <w:t xml:space="preserve">accommodation will support students enrolled in the Institute’s diverse range of programmes, from vocational certificates to higher education degrees, enabling them to focus on their education without the challenges of unsuitable accommodation. </w:t>
      </w:r>
    </w:p>
    <w:p w14:paraId="667E2402" w14:textId="77777777" w:rsidR="00D64596" w:rsidRPr="00B062BE" w:rsidRDefault="00D64596" w:rsidP="00D64596">
      <w:pPr>
        <w:pStyle w:val="BodyText"/>
      </w:pPr>
      <w:r w:rsidRPr="00B062BE">
        <w:t xml:space="preserve">Expressing gratitude for the funding, the Institute’s Executive Dean of Higher Education, Professor Kathryn Gilbey, noted that the new accommodation will create a home away from home for its students, many of whom travel vast </w:t>
      </w:r>
      <w:r>
        <w:t>distances</w:t>
      </w:r>
      <w:r w:rsidRPr="00B062BE">
        <w:t xml:space="preserve"> to study at the Institute. </w:t>
      </w:r>
      <w:r>
        <w:t xml:space="preserve">Professor Gilbey </w:t>
      </w:r>
      <w:r w:rsidRPr="00B062BE">
        <w:t xml:space="preserve">added that the funding will be particularly important in supporting the Institute’s ‘both ways’ philosophy, which positions First Nations people as knowledge holders. </w:t>
      </w:r>
    </w:p>
    <w:p w14:paraId="10383F4A" w14:textId="598C34A6" w:rsidR="00D64596" w:rsidRDefault="00D64596" w:rsidP="00D64596">
      <w:pPr>
        <w:pStyle w:val="BodyText"/>
      </w:pPr>
      <w:r w:rsidRPr="00B062BE">
        <w:t xml:space="preserve">The Australian Government’s funding of student accommodation at the Batchelor Institute provides an example of delivering education that respects Indigenous </w:t>
      </w:r>
      <w:r w:rsidR="00E45394">
        <w:t xml:space="preserve">and/or Torres Strait Islander </w:t>
      </w:r>
      <w:r w:rsidRPr="00B062BE">
        <w:t xml:space="preserve">ways of learning, helping students build futures, whilst preserving their cultural identities. </w:t>
      </w:r>
    </w:p>
    <w:p w14:paraId="58E0B633" w14:textId="77777777" w:rsidR="00D64596" w:rsidRPr="00CB0C7A" w:rsidRDefault="00D64596" w:rsidP="00D64596">
      <w:pPr>
        <w:pStyle w:val="Heading3"/>
        <w:rPr>
          <w:bCs/>
          <w:sz w:val="28"/>
          <w:szCs w:val="28"/>
        </w:rPr>
      </w:pPr>
      <w:r w:rsidRPr="00B269E4">
        <w:t>University of Newcastle – University Pathway Programs</w:t>
      </w:r>
    </w:p>
    <w:p w14:paraId="3FBAA4D5" w14:textId="77777777" w:rsidR="00D64596" w:rsidRDefault="00D64596" w:rsidP="00D64596">
      <w:pPr>
        <w:pStyle w:val="BodyText"/>
      </w:pPr>
      <w:r w:rsidRPr="00B269E4">
        <w:t xml:space="preserve">The University of Newcastle has a strong history of success in running supporting pathway programs to enable people to prepare for and access further study opportunities, including those who may not follow typical education pathways. </w:t>
      </w:r>
    </w:p>
    <w:p w14:paraId="76526534" w14:textId="77777777" w:rsidR="00D64596" w:rsidRDefault="00D64596" w:rsidP="00D64596">
      <w:pPr>
        <w:pStyle w:val="BodyText"/>
      </w:pPr>
      <w:r w:rsidRPr="00B269E4">
        <w:t xml:space="preserve">Open Foundation is a free pathway program offered at the University of Newcastle for people who do not have the preparation or qualifications required for direct entry into their desired undergraduate degree. Support includes academic advice, career advice, counselling and in-depth support around key subject areas including mathematics, science and health science, English language, academic writing and study skills. </w:t>
      </w:r>
    </w:p>
    <w:p w14:paraId="52017653" w14:textId="77777777" w:rsidR="00D64596" w:rsidRDefault="00D64596" w:rsidP="00D64596">
      <w:pPr>
        <w:pStyle w:val="BodyText"/>
      </w:pPr>
      <w:r w:rsidRPr="00B269E4">
        <w:t xml:space="preserve">The first pathway program in Australia, Open Foundation has seen tens of thousands of students set out on their educational journeys, helping them to realise their dreams and achieve their goals. This includes high school students doing non-award courses at the university to assist with preparing them for a future career.  </w:t>
      </w:r>
    </w:p>
    <w:p w14:paraId="1D252080" w14:textId="77777777" w:rsidR="00D64596" w:rsidRDefault="00D64596" w:rsidP="00D64596">
      <w:pPr>
        <w:pStyle w:val="BodyText"/>
      </w:pPr>
      <w:r w:rsidRPr="00B269E4">
        <w:t xml:space="preserve">In addition, the University of Newcastle Yapug program is a pathway program specifically designed to enable to Aboriginal and Torres Strait Islander people to gain skills for entry into university while immersing them in Indigenous knowledge, history and culture. </w:t>
      </w:r>
    </w:p>
    <w:p w14:paraId="345C99E1" w14:textId="277269C6" w:rsidR="00D64596" w:rsidRPr="00B269E4" w:rsidRDefault="00D64596" w:rsidP="00D64596">
      <w:pPr>
        <w:pStyle w:val="BodyText"/>
      </w:pPr>
      <w:r w:rsidRPr="00B269E4">
        <w:t xml:space="preserve">Aboriginal and Torres Strait Islander students can also draw on a range of programs and social activities through the Wollotuka Institute – a dedicated support and research centre for </w:t>
      </w:r>
      <w:r w:rsidR="003B4475">
        <w:t>Aboriginal and Torres Strait Islander</w:t>
      </w:r>
      <w:r w:rsidRPr="00B269E4">
        <w:t xml:space="preserve"> students. Some of the key services offered by the Wollotuka Institute include counselling, tutorial assistance, a well-equipped resource centre, audio and visual materials on Indigenous topics and issues, health support and cultural programs.</w:t>
      </w:r>
    </w:p>
    <w:p w14:paraId="5F881C3C" w14:textId="77777777" w:rsidR="00D64596" w:rsidRPr="002156A7" w:rsidRDefault="00D64596" w:rsidP="00D64596">
      <w:pPr>
        <w:pStyle w:val="Heading3"/>
        <w:rPr>
          <w:bCs/>
          <w:sz w:val="28"/>
          <w:szCs w:val="28"/>
        </w:rPr>
      </w:pPr>
      <w:r w:rsidRPr="00535FD8">
        <w:t>Transition to Work</w:t>
      </w:r>
    </w:p>
    <w:p w14:paraId="03B01F4A" w14:textId="77777777" w:rsidR="00D64596" w:rsidRPr="00BA67E0" w:rsidRDefault="00D64596" w:rsidP="00D64596">
      <w:pPr>
        <w:pStyle w:val="BodyText"/>
      </w:pPr>
      <w:r w:rsidRPr="00BA67E0">
        <w:t xml:space="preserve">Transition to Work (TtW) is a youth-focused pre-employment service that operates alongside the Australian Government’s mainstream employment service. It targets </w:t>
      </w:r>
      <w:r>
        <w:t>young people aged 15-24 years old who may not have completed school, have limited or no work experience, identify as Aboriginal or Torres Strait Islander, or are experiencing challenges that impact the ability to work or study.</w:t>
      </w:r>
      <w:r w:rsidRPr="00BA67E0">
        <w:t xml:space="preserve"> By design, the TtW cohort have very low labour market competitiveness, facing both vocational and non-vocational barriers in their transition from school to work.</w:t>
      </w:r>
    </w:p>
    <w:p w14:paraId="16AD062B" w14:textId="77777777" w:rsidR="00D64596" w:rsidRDefault="00D64596" w:rsidP="00D64596">
      <w:pPr>
        <w:pStyle w:val="BodyText"/>
      </w:pPr>
      <w:r w:rsidRPr="00BA67E0">
        <w:lastRenderedPageBreak/>
        <w:t>Participants in TtW (now Workforce Australia – Transition to Work) receive intensive</w:t>
      </w:r>
      <w:r>
        <w:t>, pre-employment</w:t>
      </w:r>
      <w:r w:rsidRPr="00BA67E0">
        <w:t xml:space="preserve"> support from youth-specialist providers to </w:t>
      </w:r>
      <w:r>
        <w:t xml:space="preserve">develop practical skills to get a job, connect with education or training, find local job opportunities and </w:t>
      </w:r>
      <w:r w:rsidRPr="00BA67E0">
        <w:t xml:space="preserve">connect with </w:t>
      </w:r>
      <w:r>
        <w:t xml:space="preserve">relevant local </w:t>
      </w:r>
      <w:r w:rsidRPr="00BA67E0">
        <w:t xml:space="preserve">community organisations and other government agencies. The TtW model services young people who are at risk of long-term unemployment in a more holistic way than the mainstream employment program, in recognition of the fact it takes time for young people experiencing vocational and non-vocational barriers to employment to build the skills and personal capabilities they need to move into sustainable work. </w:t>
      </w:r>
    </w:p>
    <w:p w14:paraId="06D26083" w14:textId="77777777" w:rsidR="00D64596" w:rsidRPr="00BA67E0" w:rsidRDefault="00D64596" w:rsidP="00D64596">
      <w:pPr>
        <w:pStyle w:val="BodyText"/>
      </w:pPr>
      <w:r w:rsidRPr="00BA67E0">
        <w:t>Key features of the program design include:</w:t>
      </w:r>
    </w:p>
    <w:p w14:paraId="4FCD409B" w14:textId="77777777" w:rsidR="00D64596" w:rsidRPr="00BA67E0" w:rsidRDefault="00D64596" w:rsidP="00605FE1">
      <w:pPr>
        <w:pStyle w:val="BodyText"/>
        <w:numPr>
          <w:ilvl w:val="0"/>
          <w:numId w:val="43"/>
        </w:numPr>
        <w:tabs>
          <w:tab w:val="clear" w:pos="714"/>
        </w:tabs>
      </w:pPr>
      <w:r w:rsidRPr="006A48A4">
        <w:t>a stronger focus on human capability development and less of a ‘work-first’ focus than typical mainstream services</w:t>
      </w:r>
    </w:p>
    <w:p w14:paraId="10344AEF" w14:textId="77777777" w:rsidR="00D64596" w:rsidRDefault="00D64596" w:rsidP="00605FE1">
      <w:pPr>
        <w:pStyle w:val="BodyText"/>
        <w:numPr>
          <w:ilvl w:val="0"/>
          <w:numId w:val="43"/>
        </w:numPr>
        <w:tabs>
          <w:tab w:val="clear" w:pos="714"/>
        </w:tabs>
      </w:pPr>
      <w:r>
        <w:t xml:space="preserve">an equal focus on education and employment outcomes </w:t>
      </w:r>
    </w:p>
    <w:p w14:paraId="412B7762" w14:textId="77777777" w:rsidR="00D64596" w:rsidRPr="00535FD8" w:rsidRDefault="00D64596" w:rsidP="00605FE1">
      <w:pPr>
        <w:pStyle w:val="BodyText"/>
        <w:numPr>
          <w:ilvl w:val="0"/>
          <w:numId w:val="43"/>
        </w:numPr>
        <w:tabs>
          <w:tab w:val="clear" w:pos="714"/>
        </w:tabs>
      </w:pPr>
      <w:r w:rsidRPr="00535FD8">
        <w:t>limiting the number of providers to one per region to reduce competition in delivery, ensure sufficient caseload sizes and provide a central point of contact for disengaged youth</w:t>
      </w:r>
    </w:p>
    <w:p w14:paraId="3B8FCC29" w14:textId="77777777" w:rsidR="00D64596" w:rsidRPr="00BA67E0" w:rsidRDefault="00D64596" w:rsidP="00605FE1">
      <w:pPr>
        <w:pStyle w:val="BodyText"/>
        <w:numPr>
          <w:ilvl w:val="0"/>
          <w:numId w:val="43"/>
        </w:numPr>
        <w:tabs>
          <w:tab w:val="clear" w:pos="714"/>
        </w:tabs>
      </w:pPr>
      <w:r>
        <w:t>time-limited with young people able to access the program for up to 18 months (or 24 months where more complex barriers are recognised)</w:t>
      </w:r>
    </w:p>
    <w:p w14:paraId="16980768" w14:textId="16202B0A" w:rsidR="00D64596" w:rsidRPr="00BA67E0" w:rsidRDefault="00D64596" w:rsidP="00605FE1">
      <w:pPr>
        <w:pStyle w:val="BodyText"/>
        <w:numPr>
          <w:ilvl w:val="0"/>
          <w:numId w:val="43"/>
        </w:numPr>
        <w:tabs>
          <w:tab w:val="clear" w:pos="714"/>
        </w:tabs>
      </w:pPr>
      <w:r w:rsidRPr="006A48A4">
        <w:t xml:space="preserve">higher up-front payments for providers, including the provision of funding on a quarterly basis </w:t>
      </w:r>
      <w:r>
        <w:t>based on</w:t>
      </w:r>
      <w:r w:rsidRPr="006A48A4">
        <w:t xml:space="preserve"> the number of allocated </w:t>
      </w:r>
      <w:r w:rsidR="00306785">
        <w:t>‘</w:t>
      </w:r>
      <w:r w:rsidRPr="006A48A4">
        <w:t>places</w:t>
      </w:r>
      <w:r w:rsidR="00306785">
        <w:t>’</w:t>
      </w:r>
      <w:r w:rsidRPr="006A48A4">
        <w:t xml:space="preserve"> (or expected participants).</w:t>
      </w:r>
    </w:p>
    <w:p w14:paraId="6160D155" w14:textId="77777777" w:rsidR="00D64596" w:rsidRPr="00535FD8" w:rsidRDefault="00D64596" w:rsidP="00D64596">
      <w:pPr>
        <w:pStyle w:val="BodyText"/>
      </w:pPr>
      <w:r w:rsidRPr="00535FD8">
        <w:t xml:space="preserve">The </w:t>
      </w:r>
      <w:hyperlink r:id="rId88" w:history="1">
        <w:r w:rsidRPr="00535FD8">
          <w:rPr>
            <w:rStyle w:val="Hyperlink"/>
            <w:rFonts w:cs="Arial"/>
          </w:rPr>
          <w:t>Supplementary Evaluation Report</w:t>
        </w:r>
      </w:hyperlink>
      <w:r w:rsidRPr="00535FD8">
        <w:t xml:space="preserve"> for Transition to Work (published December 2024) demonstrated the success of the program, with </w:t>
      </w:r>
      <w:r>
        <w:t xml:space="preserve">a </w:t>
      </w:r>
      <w:r w:rsidRPr="00535FD8">
        <w:t>key highlight being the demonstrated validity of focussing on human capability building and less of a ‘work-first’ focus than mainstream services for disadvantaged young people. In addition, some of the impacts achieved for targeted cohorts were also substantial. For example, TtW participants who were ex-offenders at referral were 11.5 percentage points less likely than ex-offenders in the matched comparison group to reoffend in the 4 years from commencement.</w:t>
      </w:r>
    </w:p>
    <w:p w14:paraId="5A4B9EB1" w14:textId="77777777" w:rsidR="00D64596" w:rsidRPr="001F47C3" w:rsidRDefault="00D64596" w:rsidP="00D64596">
      <w:pPr>
        <w:pStyle w:val="Heading3"/>
      </w:pPr>
      <w:r w:rsidRPr="001F47C3">
        <w:t>Hunter Trade College</w:t>
      </w:r>
    </w:p>
    <w:p w14:paraId="2213CCF6" w14:textId="77777777" w:rsidR="00D64596" w:rsidRPr="005367BF" w:rsidRDefault="00D64596" w:rsidP="00D64596">
      <w:pPr>
        <w:pStyle w:val="BodyText"/>
      </w:pPr>
      <w:r w:rsidRPr="005367BF">
        <w:t xml:space="preserve">Hunter Trade College is an Independent school that is an accredited RTO and senior school (years 11 and 12). Hunter Trade College provides the opportunity for students to complete their Higher School Certificate (including core subjects in Maths, English and Computing Studies), undertake key work readiness training (such as First Aid, White Card, Working at Heights) and engage in trade-focussed vocational education and training. </w:t>
      </w:r>
    </w:p>
    <w:p w14:paraId="6CAAB8FB" w14:textId="77777777" w:rsidR="00D64596" w:rsidRPr="005367BF" w:rsidRDefault="00D64596" w:rsidP="00D64596">
      <w:pPr>
        <w:pStyle w:val="BodyText"/>
      </w:pPr>
      <w:r w:rsidRPr="005367BF">
        <w:t xml:space="preserve">Trades encompass the automotive, construction, electrical, plumbing and metals/engineering fields, with students either completing or achieving a Statement of Attainment towards a Certificate I, II or III qualification. Students develop their trade skills under the leadership of qualified, experienced and caring staff who provide expert training in vocational skills and supporting academic skills. </w:t>
      </w:r>
    </w:p>
    <w:p w14:paraId="6C875730" w14:textId="77777777" w:rsidR="00D64596" w:rsidRPr="005367BF" w:rsidRDefault="00D64596" w:rsidP="00D64596">
      <w:pPr>
        <w:pStyle w:val="BodyText"/>
      </w:pPr>
      <w:r w:rsidRPr="005367BF">
        <w:t>Students also work in purpose-built, modern education facilities featuring current and industry-standard equipment and undertake up to 144 days of industry experience across a range of employers (including small businesses) and industries, with around 400 regional employers engaging in the work placement program. A Student Wellbeing Program also provides students with well-being and support services, alongside dedicated learning support where needed.</w:t>
      </w:r>
    </w:p>
    <w:p w14:paraId="1F28BCC2" w14:textId="58C3B7D3" w:rsidR="00D64596" w:rsidRPr="005367BF" w:rsidRDefault="00D64596" w:rsidP="00D64596">
      <w:pPr>
        <w:pStyle w:val="BodyText"/>
      </w:pPr>
      <w:r w:rsidRPr="005367BF">
        <w:lastRenderedPageBreak/>
        <w:t xml:space="preserve">Hunter Trade College offers a successful model of education and skills development that simultaneously addresses multiple challenges and opportunities. Hunter Trade College helps increase youth engagement in education and training, supports students through appropriate job readiness and wellbeing support, and provides a clear pathway to completing a trade via an apprenticeship with an employer in key skill priority areas. Around 80% of Hunter Trade College students progress to a paid apprenticeship or other employment, with the school also supporting a growing cohort of young women and </w:t>
      </w:r>
      <w:r w:rsidR="000C05F0">
        <w:t>Aboriginal and Torres Strait Islander</w:t>
      </w:r>
      <w:r w:rsidRPr="005367BF">
        <w:t xml:space="preserve"> students among its approximately 270 or so students.</w:t>
      </w:r>
    </w:p>
    <w:p w14:paraId="78DE1CBD" w14:textId="77777777" w:rsidR="00D64596" w:rsidRPr="00CB0C7A" w:rsidRDefault="00D64596" w:rsidP="00D64596">
      <w:pPr>
        <w:pStyle w:val="Heading3"/>
        <w:rPr>
          <w:bCs/>
          <w:sz w:val="28"/>
          <w:szCs w:val="28"/>
        </w:rPr>
      </w:pPr>
      <w:r w:rsidRPr="00A47DC7">
        <w:t>Incat – Model of apprenticeships support and development</w:t>
      </w:r>
    </w:p>
    <w:p w14:paraId="7C017CB0" w14:textId="77777777" w:rsidR="00D64596" w:rsidRPr="00A47DC7" w:rsidRDefault="00D64596" w:rsidP="00D64596">
      <w:pPr>
        <w:pStyle w:val="BodyText"/>
      </w:pPr>
      <w:r w:rsidRPr="00A47DC7">
        <w:t>Incat Tasmania is working towards the transition to zero emission passenger and vehicle ferries. Incat offers trade pathways in fabrication, welding, engineering, electrical, electronics and instrumentation in partnership with TasTAFE and other specialist RTOs.</w:t>
      </w:r>
    </w:p>
    <w:p w14:paraId="601959DB" w14:textId="77777777" w:rsidR="00D64596" w:rsidRDefault="00D64596" w:rsidP="00D64596">
      <w:pPr>
        <w:pStyle w:val="BodyText"/>
      </w:pPr>
      <w:r w:rsidRPr="00A47DC7">
        <w:t xml:space="preserve">Incat’s industry-leading apprentice training program blends hands-on experience with theoretical learning. First-year apprentices spend </w:t>
      </w:r>
      <w:r>
        <w:t>up to</w:t>
      </w:r>
      <w:r w:rsidRPr="00A47DC7">
        <w:t xml:space="preserve"> six months in the shipyard’s dedicated training centre, where they develop foundational skills before transitioning to the production floor – ensuring they are well-prepared for the challenges ahead. Incat engages external organisations to ensure holistic support is available to apprentices throughout their training journey, including exercise physiology services, financial advice and targeted mentoring. </w:t>
      </w:r>
    </w:p>
    <w:p w14:paraId="47991261" w14:textId="6462A122" w:rsidR="00D64596" w:rsidRPr="00A47DC7" w:rsidRDefault="00D64596" w:rsidP="00D64596">
      <w:pPr>
        <w:pStyle w:val="BodyText"/>
      </w:pPr>
      <w:r>
        <w:t>Seven</w:t>
      </w:r>
      <w:r w:rsidRPr="00A47DC7">
        <w:t xml:space="preserve"> dedicated training staff are employed at Incat, including an </w:t>
      </w:r>
      <w:r>
        <w:t>A</w:t>
      </w:r>
      <w:r w:rsidRPr="00A47DC7">
        <w:t xml:space="preserve">pprentice </w:t>
      </w:r>
      <w:r>
        <w:t>S</w:t>
      </w:r>
      <w:r w:rsidRPr="00A47DC7">
        <w:t xml:space="preserve">upervisor </w:t>
      </w:r>
      <w:r>
        <w:t xml:space="preserve">and a Training Support Officer </w:t>
      </w:r>
      <w:r w:rsidRPr="00A47DC7">
        <w:t xml:space="preserve">who </w:t>
      </w:r>
      <w:r>
        <w:t xml:space="preserve">are </w:t>
      </w:r>
      <w:r w:rsidRPr="00A47DC7">
        <w:t>responsible for the wellbeing and educational requirements of every apprentice. This approach is highly effective in engaging students who may otherwise drop out of schooling (noting the very low school completion rate in Tasmania), who may prefer more hands-on learning, or who lack the work-readiness or language, literacy and numeracy skills to move immediately into an apprenticeship.</w:t>
      </w:r>
    </w:p>
    <w:p w14:paraId="2E5E70B8" w14:textId="37A12883" w:rsidR="00D64596" w:rsidRDefault="002026A6" w:rsidP="004A4F8E">
      <w:pPr>
        <w:pStyle w:val="Caption"/>
        <w:rPr>
          <w:rFonts w:cs="Arial"/>
          <w:b w:val="0"/>
          <w:bCs w:val="0"/>
          <w:noProof/>
          <w:sz w:val="36"/>
          <w:szCs w:val="36"/>
          <w14:ligatures w14:val="standardContextual"/>
        </w:rPr>
      </w:pPr>
      <w:bookmarkStart w:id="181" w:name="_Toc201916616"/>
      <w:r>
        <w:lastRenderedPageBreak/>
        <w:t xml:space="preserve">Figure </w:t>
      </w:r>
      <w:r>
        <w:fldChar w:fldCharType="begin"/>
      </w:r>
      <w:r>
        <w:instrText xml:space="preserve"> SEQ Figure \* ARABIC </w:instrText>
      </w:r>
      <w:r>
        <w:fldChar w:fldCharType="separate"/>
      </w:r>
      <w:r w:rsidR="00471863">
        <w:rPr>
          <w:noProof/>
        </w:rPr>
        <w:t>50</w:t>
      </w:r>
      <w:r>
        <w:fldChar w:fldCharType="end"/>
      </w:r>
      <w:r w:rsidR="00D64596">
        <w:t xml:space="preserve">: </w:t>
      </w:r>
      <w:r w:rsidR="00D64596" w:rsidRPr="00321EA9">
        <w:t>Overview of Incat Tasmania’s model of engaging and supporting apprentices</w:t>
      </w:r>
      <w:bookmarkEnd w:id="181"/>
      <w:r w:rsidR="00D64596">
        <w:t xml:space="preserve"> </w:t>
      </w:r>
    </w:p>
    <w:p w14:paraId="125BAC07" w14:textId="2B92FD4B" w:rsidR="009F36B6" w:rsidRDefault="00343557" w:rsidP="009F36B6">
      <w:pPr>
        <w:rPr>
          <w:highlight w:val="yellow"/>
        </w:rPr>
      </w:pPr>
      <w:r>
        <w:rPr>
          <w:noProof/>
        </w:rPr>
        <w:drawing>
          <wp:inline distT="0" distB="0" distL="0" distR="0" wp14:anchorId="6EE2CD46" wp14:editId="0DB1BE34">
            <wp:extent cx="5732145" cy="4601845"/>
            <wp:effectExtent l="0" t="0" r="0" b="0"/>
            <wp:docPr id="1007046787" name="Picture 7" descr="A diagram of Incat Tasmania's model of engaging and supporting apprentices. Incat Tasmania's model of engaging and supporting apprentices includes community engagement and school visits, advertisement of apprenticeship opportunities, six month wrap - around support program, rotations across different trade groups and an offer of employment into a permanent job at Inc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46787" name="Picture 7" descr="A diagram of Incat Tasmania's model of engaging and supporting apprentices. Incat Tasmania's model of engaging and supporting apprentices includes community engagement and school visits, advertisement of apprenticeship opportunities, six month wrap - around support program, rotations across different trade groups and an offer of employment into a permanent job at Incat. "/>
                    <pic:cNvPicPr/>
                  </pic:nvPicPr>
                  <pic:blipFill>
                    <a:blip r:embed="rId89">
                      <a:extLst>
                        <a:ext uri="{28A0092B-C50C-407E-A947-70E740481C1C}">
                          <a14:useLocalDpi xmlns:a14="http://schemas.microsoft.com/office/drawing/2010/main" val="0"/>
                        </a:ext>
                      </a:extLst>
                    </a:blip>
                    <a:stretch>
                      <a:fillRect/>
                    </a:stretch>
                  </pic:blipFill>
                  <pic:spPr>
                    <a:xfrm>
                      <a:off x="0" y="0"/>
                      <a:ext cx="5732145" cy="4601845"/>
                    </a:xfrm>
                    <a:prstGeom prst="rect">
                      <a:avLst/>
                    </a:prstGeom>
                  </pic:spPr>
                </pic:pic>
              </a:graphicData>
            </a:graphic>
          </wp:inline>
        </w:drawing>
      </w:r>
    </w:p>
    <w:p w14:paraId="31ED4854" w14:textId="77777777" w:rsidR="00C82E1C" w:rsidRPr="009F36B6" w:rsidRDefault="00C82E1C" w:rsidP="009F36B6">
      <w:pPr>
        <w:rPr>
          <w:highlight w:val="yellow"/>
        </w:rPr>
      </w:pPr>
    </w:p>
    <w:p w14:paraId="78171E41" w14:textId="77777777" w:rsidR="00D64596" w:rsidRPr="002156A7" w:rsidRDefault="00D64596" w:rsidP="00D64596">
      <w:pPr>
        <w:pStyle w:val="Heading3"/>
        <w:rPr>
          <w:bCs/>
          <w:sz w:val="28"/>
          <w:szCs w:val="28"/>
        </w:rPr>
      </w:pPr>
      <w:r w:rsidRPr="002156A7">
        <w:t xml:space="preserve">Skills for Education and Employment (SEE) Program </w:t>
      </w:r>
    </w:p>
    <w:p w14:paraId="29F09488" w14:textId="5E2B6F68" w:rsidR="00D64596" w:rsidRPr="005367BF" w:rsidRDefault="00D64596" w:rsidP="00D64596">
      <w:pPr>
        <w:pStyle w:val="BodyText"/>
      </w:pPr>
      <w:r w:rsidRPr="005367BF">
        <w:t xml:space="preserve">The Skills for Education and Employment (SEE) Program is an Australian Government initiative that delivers free language, literacy, numeracy and digital skills training to eligible Australians. The SEE Program is delivered by a national network of training providers across </w:t>
      </w:r>
      <w:r w:rsidR="003A7518">
        <w:t>the Major Cities and</w:t>
      </w:r>
      <w:r w:rsidRPr="005367BF">
        <w:t xml:space="preserve"> regional and remote Australia. It is delivered in </w:t>
      </w:r>
      <w:r w:rsidR="00285E8D">
        <w:t>2</w:t>
      </w:r>
      <w:r w:rsidRPr="005367BF">
        <w:t xml:space="preserve"> distinct and complementary streams.</w:t>
      </w:r>
    </w:p>
    <w:p w14:paraId="0D7EF50F" w14:textId="77777777" w:rsidR="00D64596" w:rsidRPr="00BA67E0" w:rsidRDefault="00D64596" w:rsidP="00D16B99">
      <w:pPr>
        <w:pStyle w:val="BodyText"/>
        <w:numPr>
          <w:ilvl w:val="0"/>
          <w:numId w:val="31"/>
        </w:numPr>
      </w:pPr>
      <w:r w:rsidRPr="00B71D4F">
        <w:rPr>
          <w:b/>
          <w:bCs/>
        </w:rPr>
        <w:t>General SEE Delivery</w:t>
      </w:r>
      <w:r>
        <w:rPr>
          <w:b/>
          <w:bCs/>
        </w:rPr>
        <w:t>:</w:t>
      </w:r>
      <w:r w:rsidRPr="006A48A4">
        <w:t xml:space="preserve"> </w:t>
      </w:r>
      <w:r>
        <w:t xml:space="preserve">skills training </w:t>
      </w:r>
      <w:r w:rsidRPr="006A48A4">
        <w:t>delivered by contracted training providers, offering both accredited and non-accredited training, providing more support for learners and includes workplace-based training options.</w:t>
      </w:r>
    </w:p>
    <w:p w14:paraId="5A8BF725" w14:textId="66A52D48" w:rsidR="00D64596" w:rsidRPr="00BA67E0" w:rsidRDefault="00D64596" w:rsidP="00D16B99">
      <w:pPr>
        <w:pStyle w:val="BodyText"/>
        <w:numPr>
          <w:ilvl w:val="0"/>
          <w:numId w:val="31"/>
        </w:numPr>
      </w:pPr>
      <w:r w:rsidRPr="00B71D4F">
        <w:rPr>
          <w:b/>
          <w:bCs/>
        </w:rPr>
        <w:t>SEE First Nations</w:t>
      </w:r>
      <w:r>
        <w:rPr>
          <w:b/>
          <w:bCs/>
        </w:rPr>
        <w:t>:</w:t>
      </w:r>
      <w:r w:rsidRPr="006A48A4">
        <w:t xml:space="preserve"> dedicated to whole of community skills training delivery to First Nations people. SEE First Nations grants fund First Nations organisations including Aboriginal Community Controlled Organisations (ACCOs), registered training organisations (RTOs), Adult Community Education (ACE) providers or peak bodies (applying on behalf of their eligible members) to design appropriate training to suit their needs.</w:t>
      </w:r>
    </w:p>
    <w:p w14:paraId="46953735" w14:textId="77777777" w:rsidR="00D64596" w:rsidRPr="005367BF" w:rsidRDefault="00D64596" w:rsidP="00D64596">
      <w:pPr>
        <w:pStyle w:val="BodyText"/>
      </w:pPr>
      <w:r w:rsidRPr="005367BF">
        <w:t>Both SEE delivery models are critical to addressing barriers to participation in education, training and employment across Regional Australia through strengthening foundation skills. Key elements include:</w:t>
      </w:r>
    </w:p>
    <w:p w14:paraId="6573D441" w14:textId="77777777" w:rsidR="00D64596" w:rsidRPr="00BA67E0" w:rsidRDefault="00D64596" w:rsidP="00D16B99">
      <w:pPr>
        <w:pStyle w:val="BodyText"/>
        <w:numPr>
          <w:ilvl w:val="0"/>
          <w:numId w:val="32"/>
        </w:numPr>
      </w:pPr>
      <w:r w:rsidRPr="006A48A4">
        <w:lastRenderedPageBreak/>
        <w:t>In-person</w:t>
      </w:r>
      <w:r>
        <w:t>,</w:t>
      </w:r>
      <w:r w:rsidRPr="006A48A4">
        <w:t xml:space="preserve"> in-community</w:t>
      </w:r>
      <w:r>
        <w:t xml:space="preserve"> or online</w:t>
      </w:r>
    </w:p>
    <w:p w14:paraId="27A29FF3" w14:textId="77777777" w:rsidR="00D64596" w:rsidRPr="00BA67E0" w:rsidRDefault="00D64596" w:rsidP="00D16B99">
      <w:pPr>
        <w:pStyle w:val="BodyText"/>
        <w:numPr>
          <w:ilvl w:val="0"/>
          <w:numId w:val="32"/>
        </w:numPr>
      </w:pPr>
      <w:r>
        <w:t>Flexible training, t</w:t>
      </w:r>
      <w:r w:rsidRPr="006A48A4">
        <w:t>ailored to the individual needs of participants</w:t>
      </w:r>
    </w:p>
    <w:p w14:paraId="24DEFB0E" w14:textId="77777777" w:rsidR="00D64596" w:rsidRPr="00BA67E0" w:rsidRDefault="00D64596" w:rsidP="00D16B99">
      <w:pPr>
        <w:pStyle w:val="BodyText"/>
        <w:numPr>
          <w:ilvl w:val="0"/>
          <w:numId w:val="32"/>
        </w:numPr>
      </w:pPr>
      <w:r>
        <w:t>Training is available full-time or part-time, up to 25 hours a week</w:t>
      </w:r>
    </w:p>
    <w:p w14:paraId="19521065" w14:textId="77777777" w:rsidR="00D64596" w:rsidRDefault="00D64596" w:rsidP="00D16B99">
      <w:pPr>
        <w:pStyle w:val="BodyText"/>
        <w:numPr>
          <w:ilvl w:val="0"/>
          <w:numId w:val="32"/>
        </w:numPr>
      </w:pPr>
      <w:r>
        <w:t xml:space="preserve">Accredited and </w:t>
      </w:r>
      <w:r w:rsidRPr="006A48A4">
        <w:t>non-accredited</w:t>
      </w:r>
      <w:r>
        <w:t xml:space="preserve"> training options</w:t>
      </w:r>
    </w:p>
    <w:p w14:paraId="7C4BB107" w14:textId="77777777" w:rsidR="00D64596" w:rsidRPr="00BA67E0" w:rsidRDefault="00D64596" w:rsidP="00D16B99">
      <w:pPr>
        <w:pStyle w:val="BodyText"/>
        <w:numPr>
          <w:ilvl w:val="0"/>
          <w:numId w:val="32"/>
        </w:numPr>
      </w:pPr>
      <w:r>
        <w:t>Participants can begin at their own level and learn at their own pace</w:t>
      </w:r>
    </w:p>
    <w:p w14:paraId="7ED35E8A" w14:textId="77777777" w:rsidR="00D64596" w:rsidRDefault="00D64596" w:rsidP="00D64596">
      <w:pPr>
        <w:pStyle w:val="BodyText"/>
      </w:pPr>
      <w:r w:rsidRPr="00535FD8">
        <w:t>For more information</w:t>
      </w:r>
      <w:r>
        <w:t>, including participant success stories</w:t>
      </w:r>
      <w:r w:rsidRPr="00535FD8">
        <w:t xml:space="preserve">, visit the SEE Program webpage at </w:t>
      </w:r>
      <w:hyperlink r:id="rId90" w:history="1">
        <w:r w:rsidRPr="006A48A4">
          <w:rPr>
            <w:rStyle w:val="Hyperlink"/>
          </w:rPr>
          <w:t>https://www.dewr.gov.au/skills-education-and-employment</w:t>
        </w:r>
      </w:hyperlink>
      <w:r w:rsidRPr="006A48A4">
        <w:t>.</w:t>
      </w:r>
    </w:p>
    <w:p w14:paraId="0DDEBDDC" w14:textId="77777777" w:rsidR="00D64596" w:rsidRPr="00CB0C7A" w:rsidRDefault="00D64596" w:rsidP="00D64596">
      <w:pPr>
        <w:pStyle w:val="Heading3"/>
        <w:rPr>
          <w:bCs/>
          <w:sz w:val="28"/>
          <w:szCs w:val="28"/>
        </w:rPr>
      </w:pPr>
      <w:r w:rsidRPr="00CB0C7A">
        <w:t>Jobs and Skills Australia’s Foundation Skills Study</w:t>
      </w:r>
      <w:r w:rsidRPr="00CB0C7A">
        <w:rPr>
          <w:rStyle w:val="FootnoteReference"/>
          <w:b w:val="0"/>
          <w:sz w:val="28"/>
          <w:szCs w:val="28"/>
        </w:rPr>
        <w:footnoteReference w:id="36"/>
      </w:r>
    </w:p>
    <w:p w14:paraId="35265FCA" w14:textId="77777777" w:rsidR="00D64596" w:rsidRPr="009E69AD" w:rsidRDefault="00D64596" w:rsidP="00D64596">
      <w:pPr>
        <w:pStyle w:val="BodyText"/>
      </w:pPr>
      <w:r w:rsidRPr="009E69AD">
        <w:t>Foundation skills are the competencies that underpin workforce participation, productivity and social inclusion. They include English language, literacy, numeracy and digital (LLND) and employability skills. Foundation skills are core ‘learning to learn’ skills, necessary to provide people access to an education system from which follows opportunities to develop careers and engage in lifelong learning.</w:t>
      </w:r>
    </w:p>
    <w:p w14:paraId="1C358B12" w14:textId="77777777" w:rsidR="00D64596" w:rsidRPr="009E69AD" w:rsidRDefault="00D64596" w:rsidP="00D64596">
      <w:pPr>
        <w:pStyle w:val="BodyText"/>
      </w:pPr>
      <w:r w:rsidRPr="009E69AD">
        <w:t xml:space="preserve">Currently there is no single data source measuring levels of foundation skills across Australia. School level data exist with both the Programme for International Student Assessment (PISA) and the National Assessment Program – Literacy and Numeracy (NAPLAN). However, the only national level adult data for Australia is from the Programme for International Assessment of Adult Competencies (PIAAC) survey, conducted in 2011-12. As a result, JSA is currently undertaking </w:t>
      </w:r>
      <w:r>
        <w:t>a number of</w:t>
      </w:r>
      <w:r w:rsidRPr="009E69AD">
        <w:t xml:space="preserve"> major pieces of work to address these data gaps and better understand the foundation skills levels of Australian adults. </w:t>
      </w:r>
    </w:p>
    <w:p w14:paraId="4D24FE57" w14:textId="77777777" w:rsidR="00D64596" w:rsidRPr="009E69AD" w:rsidRDefault="00D64596" w:rsidP="00D16B99">
      <w:pPr>
        <w:pStyle w:val="BodyText"/>
        <w:numPr>
          <w:ilvl w:val="0"/>
          <w:numId w:val="33"/>
        </w:numPr>
      </w:pPr>
      <w:r w:rsidRPr="009E69AD">
        <w:rPr>
          <w:b/>
          <w:i/>
        </w:rPr>
        <w:t>National Survey of Adult Literacy and Numeracy Skills</w:t>
      </w:r>
      <w:r w:rsidRPr="009E69AD">
        <w:t xml:space="preserve"> also known as </w:t>
      </w:r>
      <w:r w:rsidRPr="009E69AD">
        <w:rPr>
          <w:i/>
        </w:rPr>
        <w:t>Understanding Skills Across Australia</w:t>
      </w:r>
      <w:r w:rsidRPr="009E69AD">
        <w:t xml:space="preserve"> will measure adult literacy and numeracy levels to assist researchers, policy makers and program managers to improve services related to foundation skills. </w:t>
      </w:r>
    </w:p>
    <w:p w14:paraId="1F3E306A" w14:textId="77777777" w:rsidR="00D64596" w:rsidRPr="009E69AD" w:rsidRDefault="00D64596" w:rsidP="00D16B99">
      <w:pPr>
        <w:pStyle w:val="BodyText"/>
        <w:numPr>
          <w:ilvl w:val="0"/>
          <w:numId w:val="33"/>
        </w:numPr>
      </w:pPr>
      <w:r w:rsidRPr="009E69AD">
        <w:rPr>
          <w:b/>
          <w:i/>
        </w:rPr>
        <w:t>Murtu Yayngiliyn – Walking Together</w:t>
      </w:r>
      <w:r w:rsidRPr="009E69AD">
        <w:t xml:space="preserve"> is a feasibility study being conducted in consultation with the National Indigenous Australians Agency to determine how best to assess the literacy, numeracy, and digital literacy levels of First Nations people, including those living in regional and remote areas. </w:t>
      </w:r>
    </w:p>
    <w:p w14:paraId="2FD4200F" w14:textId="77777777" w:rsidR="00D64596" w:rsidRPr="00602F77" w:rsidRDefault="00D64596" w:rsidP="00D16B99">
      <w:pPr>
        <w:pStyle w:val="BodyText"/>
        <w:numPr>
          <w:ilvl w:val="0"/>
          <w:numId w:val="33"/>
        </w:numPr>
      </w:pPr>
      <w:r w:rsidRPr="009E69AD">
        <w:rPr>
          <w:b/>
          <w:i/>
        </w:rPr>
        <w:t>Administrative Data Project</w:t>
      </w:r>
      <w:r w:rsidRPr="009E69AD">
        <w:t xml:space="preserve"> explores personal </w:t>
      </w:r>
      <w:r w:rsidRPr="00602F77">
        <w:t xml:space="preserve">and </w:t>
      </w:r>
      <w:r w:rsidRPr="00602F77">
        <w:rPr>
          <w:i/>
          <w:iCs/>
        </w:rPr>
        <w:t>aggregate</w:t>
      </w:r>
      <w:r w:rsidRPr="00602F77">
        <w:t xml:space="preserve"> level</w:t>
      </w:r>
      <w:r w:rsidRPr="009E69AD">
        <w:t xml:space="preserve"> data to uncover new insights on the literacy and numeracy levels of priority groups of interest.</w:t>
      </w:r>
    </w:p>
    <w:p w14:paraId="77DEB936" w14:textId="77777777" w:rsidR="00D64596" w:rsidRPr="00602F77" w:rsidRDefault="00D64596" w:rsidP="00D16B99">
      <w:pPr>
        <w:pStyle w:val="BodyText"/>
        <w:numPr>
          <w:ilvl w:val="0"/>
          <w:numId w:val="33"/>
        </w:numPr>
        <w:rPr>
          <w:b/>
          <w:i/>
        </w:rPr>
      </w:pPr>
      <w:r w:rsidRPr="00602F77">
        <w:rPr>
          <w:b/>
          <w:i/>
        </w:rPr>
        <w:t xml:space="preserve">Defining Digital Literacy </w:t>
      </w:r>
      <w:r w:rsidRPr="00602F77">
        <w:rPr>
          <w:bCs/>
          <w:iCs/>
        </w:rPr>
        <w:t>aims to define digital literacy as a foundation skill for the Australian context, through a comprehensive review of national and international frameworks, stakeholder consultation, and integration into the broader National Skills Taxonomy initiative</w:t>
      </w:r>
    </w:p>
    <w:p w14:paraId="36743DAF" w14:textId="77777777" w:rsidR="00D64596" w:rsidRDefault="00D64596" w:rsidP="00D64596">
      <w:pPr>
        <w:pStyle w:val="BodyText"/>
        <w:rPr>
          <w:rFonts w:cs="Arial"/>
        </w:rPr>
      </w:pPr>
      <w:r w:rsidRPr="009E69AD">
        <w:t>JSA is committed to ensuring the study delivers on the promise of building an evidence base for foundation skills in Australia.</w:t>
      </w:r>
    </w:p>
    <w:p w14:paraId="08B9393D" w14:textId="77777777" w:rsidR="007671DD" w:rsidRDefault="007671DD">
      <w:pPr>
        <w:spacing w:after="160" w:line="259" w:lineRule="auto"/>
      </w:pPr>
      <w:r>
        <w:br w:type="page"/>
      </w:r>
    </w:p>
    <w:p w14:paraId="6A7AA1E7" w14:textId="2CBF15F8" w:rsidR="00E6607D" w:rsidRPr="00564E58" w:rsidRDefault="00FB7E2F" w:rsidP="00F32D23">
      <w:pPr>
        <w:pStyle w:val="Heading1unnumbered"/>
      </w:pPr>
      <w:r w:rsidRPr="00FB7E2F">
        <w:rPr>
          <w:noProof/>
        </w:rPr>
        <w:lastRenderedPageBreak/>
        <w:drawing>
          <wp:anchor distT="0" distB="0" distL="114300" distR="114300" simplePos="0" relativeHeight="251966976" behindDoc="1" locked="0" layoutInCell="1" allowOverlap="1" wp14:anchorId="3AA67831" wp14:editId="3A808A09">
            <wp:simplePos x="0" y="0"/>
            <wp:positionH relativeFrom="page">
              <wp:align>left</wp:align>
            </wp:positionH>
            <wp:positionV relativeFrom="paragraph">
              <wp:posOffset>-808157</wp:posOffset>
            </wp:positionV>
            <wp:extent cx="7564046" cy="10699602"/>
            <wp:effectExtent l="0" t="0" r="0" b="6985"/>
            <wp:wrapNone/>
            <wp:docPr id="101585990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59903" name="Picture 8">
                      <a:extLst>
                        <a:ext uri="{C183D7F6-B498-43B3-948B-1728B52AA6E4}">
                          <adec:decorative xmlns:adec="http://schemas.microsoft.com/office/drawing/2017/decorative" val="1"/>
                        </a:ext>
                      </a:extLst>
                    </pic:cNvPr>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7564046" cy="106996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07D">
        <w:t>Path to enacting the Roadmap</w:t>
      </w:r>
    </w:p>
    <w:p w14:paraId="7DA213C6" w14:textId="5891B7ED" w:rsidR="00E6607D" w:rsidRPr="00264D37" w:rsidRDefault="00E6607D" w:rsidP="00E6607D">
      <w:pPr>
        <w:pStyle w:val="TOCHeading"/>
        <w:rPr>
          <w:rFonts w:eastAsiaTheme="minorHAnsi" w:cstheme="minorBidi"/>
          <w:b w:val="0"/>
          <w:color w:val="auto"/>
          <w:sz w:val="40"/>
          <w:szCs w:val="40"/>
          <w:lang w:val="en-AU"/>
        </w:rPr>
      </w:pPr>
      <w:r>
        <w:rPr>
          <w:rFonts w:eastAsiaTheme="minorHAnsi" w:cstheme="minorBidi"/>
          <w:b w:val="0"/>
          <w:color w:val="auto"/>
          <w:sz w:val="40"/>
          <w:szCs w:val="40"/>
          <w:lang w:val="en-AU"/>
        </w:rPr>
        <w:t>Forthcoming stakeholder consultation process</w:t>
      </w:r>
      <w:r w:rsidR="00064DB4">
        <w:rPr>
          <w:rFonts w:eastAsiaTheme="minorHAnsi" w:cstheme="minorBidi"/>
          <w:b w:val="0"/>
          <w:color w:val="auto"/>
          <w:sz w:val="40"/>
          <w:szCs w:val="40"/>
          <w:lang w:val="en-AU"/>
        </w:rPr>
        <w:t xml:space="preserve"> and roundtables</w:t>
      </w:r>
      <w:r>
        <w:rPr>
          <w:rFonts w:eastAsiaTheme="minorHAnsi" w:cstheme="minorBidi"/>
          <w:b w:val="0"/>
          <w:color w:val="auto"/>
          <w:sz w:val="40"/>
          <w:szCs w:val="40"/>
          <w:lang w:val="en-AU"/>
        </w:rPr>
        <w:t xml:space="preserve"> to </w:t>
      </w:r>
      <w:r w:rsidR="00FC0B48">
        <w:rPr>
          <w:rFonts w:eastAsiaTheme="minorHAnsi" w:cstheme="minorBidi"/>
          <w:b w:val="0"/>
          <w:color w:val="auto"/>
          <w:sz w:val="40"/>
          <w:szCs w:val="40"/>
          <w:lang w:val="en-AU"/>
        </w:rPr>
        <w:t>support the development of local and</w:t>
      </w:r>
      <w:r>
        <w:rPr>
          <w:rFonts w:eastAsiaTheme="minorHAnsi" w:cstheme="minorBidi"/>
          <w:b w:val="0"/>
          <w:color w:val="auto"/>
          <w:sz w:val="40"/>
          <w:szCs w:val="40"/>
          <w:lang w:val="en-AU"/>
        </w:rPr>
        <w:t xml:space="preserve"> State/Territory based regional roadmaps</w:t>
      </w:r>
    </w:p>
    <w:p w14:paraId="4DDD929B" w14:textId="77777777" w:rsidR="00E6607D" w:rsidRPr="00632531" w:rsidRDefault="00E6607D" w:rsidP="00E6607D">
      <w:pPr>
        <w:pStyle w:val="TOCHeading"/>
        <w:rPr>
          <w:rFonts w:eastAsiaTheme="minorHAnsi" w:cstheme="minorBidi"/>
          <w:b w:val="0"/>
          <w:color w:val="auto"/>
          <w:sz w:val="40"/>
          <w:szCs w:val="40"/>
          <w:lang w:val="en-AU"/>
        </w:rPr>
      </w:pPr>
      <w:r w:rsidRPr="00632531">
        <w:rPr>
          <w:rFonts w:eastAsiaTheme="minorHAnsi" w:cstheme="minorBidi"/>
          <w:b w:val="0"/>
          <w:color w:val="auto"/>
          <w:sz w:val="40"/>
          <w:szCs w:val="40"/>
          <w:lang w:val="en-AU"/>
        </w:rPr>
        <w:br w:type="page"/>
      </w:r>
    </w:p>
    <w:p w14:paraId="1517460E" w14:textId="32C40AF1" w:rsidR="007671DD" w:rsidRPr="0079705C" w:rsidRDefault="007671DD" w:rsidP="00865A12">
      <w:pPr>
        <w:pStyle w:val="Heading2"/>
      </w:pPr>
      <w:bookmarkStart w:id="182" w:name="_Toc201070194"/>
      <w:bookmarkStart w:id="183" w:name="_Toc201919857"/>
      <w:bookmarkStart w:id="184" w:name="_Toc202361885"/>
      <w:r w:rsidRPr="0079705C">
        <w:lastRenderedPageBreak/>
        <w:t xml:space="preserve">Supporting </w:t>
      </w:r>
      <w:r w:rsidR="00F50917" w:rsidRPr="0079705C">
        <w:t>s</w:t>
      </w:r>
      <w:r w:rsidRPr="0079705C">
        <w:t xml:space="preserve">tate and </w:t>
      </w:r>
      <w:r w:rsidR="00F50917" w:rsidRPr="0079705C">
        <w:t>t</w:t>
      </w:r>
      <w:r w:rsidRPr="0079705C">
        <w:t>erritory based regional roadmaps</w:t>
      </w:r>
      <w:bookmarkEnd w:id="182"/>
      <w:bookmarkEnd w:id="183"/>
      <w:bookmarkEnd w:id="184"/>
    </w:p>
    <w:p w14:paraId="36E763E9" w14:textId="6193CA46" w:rsidR="002B7EC9" w:rsidRPr="00DA78E5" w:rsidRDefault="002B7EC9" w:rsidP="0079705C">
      <w:pPr>
        <w:pStyle w:val="BodyText"/>
      </w:pPr>
      <w:r w:rsidRPr="00DA78E5">
        <w:t>In Phase 1, JSA has developed this overarching Regional Roadmap</w:t>
      </w:r>
      <w:r>
        <w:t>, focusing on Regional Australia</w:t>
      </w:r>
      <w:r w:rsidRPr="00DA78E5">
        <w:t xml:space="preserve"> at the </w:t>
      </w:r>
      <w:r>
        <w:t xml:space="preserve">broad, </w:t>
      </w:r>
      <w:r w:rsidRPr="00DA78E5">
        <w:t>national level</w:t>
      </w:r>
      <w:r>
        <w:t>,</w:t>
      </w:r>
      <w:r w:rsidRPr="00DA78E5">
        <w:t xml:space="preserve"> in consultation with key stakeholders</w:t>
      </w:r>
      <w:r>
        <w:t xml:space="preserve"> across the country</w:t>
      </w:r>
      <w:r w:rsidRPr="00DA78E5">
        <w:t xml:space="preserve">. This has </w:t>
      </w:r>
      <w:r>
        <w:t xml:space="preserve">been underpinned by meetings in person </w:t>
      </w:r>
      <w:r w:rsidRPr="00DA78E5">
        <w:t xml:space="preserve">in </w:t>
      </w:r>
      <w:r>
        <w:t xml:space="preserve">a range of </w:t>
      </w:r>
      <w:r w:rsidRPr="00DA78E5">
        <w:t xml:space="preserve">regions across the states and territories. We have sought to identify the cross-cutting themes, develop performance indicators and provide an overall assessment of the way forward. We have also </w:t>
      </w:r>
      <w:r>
        <w:t xml:space="preserve">considered </w:t>
      </w:r>
      <w:r w:rsidRPr="00DA78E5">
        <w:t xml:space="preserve">how this </w:t>
      </w:r>
      <w:r>
        <w:t xml:space="preserve">can </w:t>
      </w:r>
      <w:r w:rsidRPr="00DA78E5">
        <w:t xml:space="preserve">vary across states and territories. </w:t>
      </w:r>
    </w:p>
    <w:p w14:paraId="6133EE3E" w14:textId="6AFB9496" w:rsidR="002B7EC9" w:rsidRPr="00DA78E5" w:rsidRDefault="002B7EC9" w:rsidP="0079705C">
      <w:pPr>
        <w:pStyle w:val="BodyText"/>
      </w:pPr>
      <w:r w:rsidRPr="00DA78E5">
        <w:t>Reforming the jobs and skills system, and harmonising its various components (e.g</w:t>
      </w:r>
      <w:r w:rsidR="00FA04A5">
        <w:t>.</w:t>
      </w:r>
      <w:r w:rsidRPr="00DA78E5">
        <w:t xml:space="preserve">, VET and Higher Education) for the benefit of individual regions, will require collaboration between the tiers of government. In Phase 2, JSA will seek to work with each state and territory to </w:t>
      </w:r>
      <w:r>
        <w:t xml:space="preserve">support them as they </w:t>
      </w:r>
      <w:r w:rsidRPr="00DA78E5">
        <w:t xml:space="preserve">lay the groundwork for establishing Regional Jobs and Skills Roadmaps for </w:t>
      </w:r>
      <w:r>
        <w:t xml:space="preserve">their own </w:t>
      </w:r>
      <w:r w:rsidRPr="00DA78E5">
        <w:t xml:space="preserve">state and territory. This will commence with a </w:t>
      </w:r>
      <w:r>
        <w:t>series</w:t>
      </w:r>
      <w:r w:rsidRPr="00DA78E5">
        <w:t xml:space="preserve"> of roundtables in regional locations across </w:t>
      </w:r>
      <w:r>
        <w:t>Regional Australia in the second half of 2025</w:t>
      </w:r>
      <w:r w:rsidRPr="00DA78E5">
        <w:t>.</w:t>
      </w:r>
    </w:p>
    <w:p w14:paraId="38E7346B" w14:textId="12E7C9C3" w:rsidR="007671DD" w:rsidRPr="0079705C" w:rsidRDefault="007671DD" w:rsidP="00865A12">
      <w:pPr>
        <w:pStyle w:val="Heading3"/>
      </w:pPr>
      <w:r w:rsidRPr="0079705C">
        <w:t>Partnership between Commonwealth and State/Territory Governments</w:t>
      </w:r>
    </w:p>
    <w:p w14:paraId="18D2C297" w14:textId="77777777" w:rsidR="007671DD" w:rsidRPr="005D247D" w:rsidRDefault="007671DD" w:rsidP="0079705C">
      <w:pPr>
        <w:pStyle w:val="BodyText"/>
      </w:pPr>
      <w:r w:rsidRPr="005D247D">
        <w:t xml:space="preserve">Commonwealth and state </w:t>
      </w:r>
      <w:r>
        <w:t xml:space="preserve">and territory </w:t>
      </w:r>
      <w:r w:rsidRPr="005D247D">
        <w:t xml:space="preserve">governments </w:t>
      </w:r>
      <w:r>
        <w:t>share</w:t>
      </w:r>
      <w:r w:rsidRPr="005D247D">
        <w:t xml:space="preserve"> responsibilities for education and training. State governments have primary responsibility for </w:t>
      </w:r>
      <w:r>
        <w:t xml:space="preserve">primary and secondary </w:t>
      </w:r>
      <w:r w:rsidRPr="005D247D">
        <w:t xml:space="preserve">schooling and </w:t>
      </w:r>
      <w:r>
        <w:t>vocational education and training (</w:t>
      </w:r>
      <w:r w:rsidRPr="005D247D">
        <w:t>VET</w:t>
      </w:r>
      <w:r>
        <w:t>)</w:t>
      </w:r>
      <w:r w:rsidRPr="005D247D">
        <w:t>, and the Commonwealth ha</w:t>
      </w:r>
      <w:r>
        <w:t>s</w:t>
      </w:r>
      <w:r w:rsidRPr="005D247D">
        <w:t xml:space="preserve"> primary responsibility for higher education. </w:t>
      </w:r>
    </w:p>
    <w:p w14:paraId="687FECE6" w14:textId="77777777" w:rsidR="007671DD" w:rsidRPr="005D247D" w:rsidRDefault="007671DD" w:rsidP="0079705C">
      <w:pPr>
        <w:pStyle w:val="BodyText"/>
      </w:pPr>
      <w:r>
        <w:t>T</w:t>
      </w:r>
      <w:r w:rsidRPr="005D247D">
        <w:t xml:space="preserve">he Commonwealth provides major funding support for VET and for schools, especially non-government schools, and there are key national regulatory frameworks and regulations, and national bodies like </w:t>
      </w:r>
      <w:r>
        <w:t>the Australian Curriculum Assessment</w:t>
      </w:r>
      <w:r w:rsidRPr="005D247D">
        <w:t xml:space="preserve"> and </w:t>
      </w:r>
      <w:r>
        <w:t>Reporting Authority (</w:t>
      </w:r>
      <w:r w:rsidRPr="005D247D">
        <w:t>ACARA</w:t>
      </w:r>
      <w:r>
        <w:t>)</w:t>
      </w:r>
      <w:r w:rsidRPr="005D247D">
        <w:t xml:space="preserve">, </w:t>
      </w:r>
      <w:r>
        <w:t>the Australian Skills Quality Authority (</w:t>
      </w:r>
      <w:r w:rsidRPr="005D247D">
        <w:t>ASQA</w:t>
      </w:r>
      <w:r>
        <w:t xml:space="preserve">), and the Tertiary Education Quality and Standards Agency (TEQSA) </w:t>
      </w:r>
      <w:r w:rsidRPr="005D247D">
        <w:t>, giv</w:t>
      </w:r>
      <w:r>
        <w:t>ing</w:t>
      </w:r>
      <w:r w:rsidRPr="005D247D">
        <w:t xml:space="preserve"> the Commonwealth major roles in school education, </w:t>
      </w:r>
      <w:r>
        <w:t>VET and higher education respectively</w:t>
      </w:r>
      <w:r w:rsidRPr="005D247D">
        <w:t xml:space="preserve">. </w:t>
      </w:r>
    </w:p>
    <w:p w14:paraId="0EB02FCA" w14:textId="77777777" w:rsidR="007671DD" w:rsidRPr="005D247D" w:rsidRDefault="007671DD" w:rsidP="0079705C">
      <w:pPr>
        <w:pStyle w:val="BodyText"/>
      </w:pPr>
      <w:r>
        <w:t>I</w:t>
      </w:r>
      <w:r w:rsidRPr="005D247D">
        <w:t xml:space="preserve">n higher education, although funding comes primarily from the Commonwealth, universities are mostly established under state legislation and their governance shaped by state governments. </w:t>
      </w:r>
    </w:p>
    <w:p w14:paraId="18261201" w14:textId="4DA0D379" w:rsidR="007671DD" w:rsidRPr="0051663D" w:rsidRDefault="007671DD" w:rsidP="0079705C">
      <w:pPr>
        <w:pStyle w:val="BodyText"/>
      </w:pPr>
      <w:r w:rsidRPr="005D247D">
        <w:t xml:space="preserve">The establishment of JSA and </w:t>
      </w:r>
      <w:r>
        <w:t xml:space="preserve">the </w:t>
      </w:r>
      <w:r w:rsidRPr="005D247D">
        <w:t xml:space="preserve">proposed establishment of </w:t>
      </w:r>
      <w:r>
        <w:t>the Australian Tertiary Education Commission (</w:t>
      </w:r>
      <w:r w:rsidRPr="005D247D">
        <w:t>ATEC</w:t>
      </w:r>
      <w:r>
        <w:t>)</w:t>
      </w:r>
      <w:r w:rsidRPr="005D247D">
        <w:t xml:space="preserve"> under Commonwealth legislation, are </w:t>
      </w:r>
      <w:r w:rsidR="00285E8D">
        <w:t>2</w:t>
      </w:r>
      <w:r w:rsidRPr="005D247D">
        <w:t xml:space="preserve"> more important developments at the national level</w:t>
      </w:r>
      <w:r>
        <w:t>. To</w:t>
      </w:r>
      <w:r w:rsidRPr="005D247D">
        <w:t xml:space="preserve"> be effective they need to work closely with state governments.</w:t>
      </w:r>
    </w:p>
    <w:p w14:paraId="078D7DFE" w14:textId="77777777" w:rsidR="007671DD" w:rsidRPr="0079705C" w:rsidRDefault="007671DD" w:rsidP="00865A12">
      <w:pPr>
        <w:pStyle w:val="Heading3"/>
      </w:pPr>
      <w:r w:rsidRPr="0079705C">
        <w:t>Development of state and territory Regional Roadmaps</w:t>
      </w:r>
    </w:p>
    <w:p w14:paraId="0BD3AF51" w14:textId="4EC1B282" w:rsidR="00DC070D" w:rsidRDefault="007671DD" w:rsidP="0079705C">
      <w:pPr>
        <w:pStyle w:val="BodyText"/>
      </w:pPr>
      <w:r>
        <w:t>This Roadmap (‘Phase 1 Report’)</w:t>
      </w:r>
      <w:r w:rsidRPr="005D247D">
        <w:t xml:space="preserve"> provides a national framework with a national vision for </w:t>
      </w:r>
      <w:r>
        <w:t>R</w:t>
      </w:r>
      <w:r w:rsidRPr="005D247D">
        <w:t>egional Australia</w:t>
      </w:r>
      <w:r>
        <w:t xml:space="preserve">. It is underpinned by </w:t>
      </w:r>
      <w:r w:rsidR="00285E8D">
        <w:t xml:space="preserve">5 </w:t>
      </w:r>
      <w:r w:rsidRPr="005D247D">
        <w:t>vision principles and progress measures.</w:t>
      </w:r>
      <w:r>
        <w:t xml:space="preserve"> </w:t>
      </w:r>
    </w:p>
    <w:p w14:paraId="44975DA5" w14:textId="2553CCCE" w:rsidR="00DC070D" w:rsidRDefault="007671DD" w:rsidP="0079705C">
      <w:pPr>
        <w:pStyle w:val="BodyText"/>
      </w:pPr>
      <w:r w:rsidRPr="0023750A">
        <w:t xml:space="preserve">This work has identified a number of important common challenges for Regional Australia that </w:t>
      </w:r>
      <w:r>
        <w:t>exist</w:t>
      </w:r>
      <w:r w:rsidRPr="0023750A">
        <w:t xml:space="preserve"> across the states and territories. However, these challenges have different levels of importance – higher</w:t>
      </w:r>
      <w:r>
        <w:t xml:space="preserve"> or lower - </w:t>
      </w:r>
      <w:r w:rsidRPr="005D247D">
        <w:t>for different state</w:t>
      </w:r>
      <w:r>
        <w:t>s</w:t>
      </w:r>
      <w:r w:rsidRPr="005D247D">
        <w:t xml:space="preserve"> and territories and their various regions</w:t>
      </w:r>
      <w:r>
        <w:t xml:space="preserve">. How they seek to </w:t>
      </w:r>
      <w:r w:rsidRPr="005D247D">
        <w:t>mee</w:t>
      </w:r>
      <w:r>
        <w:t>t</w:t>
      </w:r>
      <w:r w:rsidRPr="005D247D">
        <w:t xml:space="preserve"> these challenges will often require Commonwealth-State collaboration</w:t>
      </w:r>
      <w:r>
        <w:t xml:space="preserve"> with s</w:t>
      </w:r>
      <w:r w:rsidRPr="005D247D">
        <w:t xml:space="preserve">ome </w:t>
      </w:r>
      <w:r w:rsidR="00CB1D11">
        <w:t>principles</w:t>
      </w:r>
      <w:r w:rsidRPr="005D247D">
        <w:t xml:space="preserve"> in the hands of the Commonwealth and some in the hands of the states and territories. </w:t>
      </w:r>
    </w:p>
    <w:p w14:paraId="5A2733A4" w14:textId="5A38C5FF" w:rsidR="007671DD" w:rsidRDefault="007671DD" w:rsidP="0079705C">
      <w:pPr>
        <w:pStyle w:val="BodyText"/>
      </w:pPr>
      <w:r>
        <w:t xml:space="preserve">A </w:t>
      </w:r>
      <w:r w:rsidRPr="0023750A">
        <w:t xml:space="preserve">second Roadmap </w:t>
      </w:r>
      <w:r>
        <w:t>(</w:t>
      </w:r>
      <w:r w:rsidRPr="0023750A">
        <w:t>‘Phase 2 Report’</w:t>
      </w:r>
      <w:r>
        <w:t xml:space="preserve">) will be developed which </w:t>
      </w:r>
      <w:r w:rsidRPr="005D247D">
        <w:t xml:space="preserve">will test </w:t>
      </w:r>
      <w:r>
        <w:t xml:space="preserve">the national framework </w:t>
      </w:r>
      <w:r w:rsidRPr="005D247D">
        <w:t>at the state and territory level</w:t>
      </w:r>
      <w:r>
        <w:t xml:space="preserve"> (for example, </w:t>
      </w:r>
      <w:r w:rsidR="00D276F0">
        <w:t xml:space="preserve">for </w:t>
      </w:r>
      <w:r>
        <w:t xml:space="preserve">Regional </w:t>
      </w:r>
      <w:r w:rsidR="00D276F0">
        <w:t>Victoria</w:t>
      </w:r>
      <w:r>
        <w:t>)</w:t>
      </w:r>
      <w:r w:rsidRPr="005D247D">
        <w:t>.</w:t>
      </w:r>
      <w:r w:rsidRPr="00CA3530">
        <w:t xml:space="preserve"> </w:t>
      </w:r>
      <w:r w:rsidRPr="00E81750">
        <w:t xml:space="preserve">Such an </w:t>
      </w:r>
      <w:r w:rsidRPr="00E81750">
        <w:lastRenderedPageBreak/>
        <w:t xml:space="preserve">approach </w:t>
      </w:r>
      <w:r>
        <w:t xml:space="preserve">would </w:t>
      </w:r>
      <w:r w:rsidRPr="00E81750">
        <w:t>also be informed by public submissions provided in response to this Roadmap.</w:t>
      </w:r>
    </w:p>
    <w:p w14:paraId="69790986" w14:textId="334E91A7" w:rsidR="00CA07D2" w:rsidRDefault="00CA07D2" w:rsidP="0079705C">
      <w:pPr>
        <w:pStyle w:val="BodyText"/>
      </w:pPr>
      <w:r w:rsidRPr="005D247D">
        <w:t xml:space="preserve">In </w:t>
      </w:r>
      <w:r>
        <w:t>the Phase 2 Report</w:t>
      </w:r>
      <w:r w:rsidRPr="005D247D">
        <w:t xml:space="preserve">, </w:t>
      </w:r>
      <w:r>
        <w:t>JSA</w:t>
      </w:r>
      <w:r w:rsidRPr="005D247D">
        <w:t xml:space="preserve"> will </w:t>
      </w:r>
      <w:r>
        <w:t>highlight</w:t>
      </w:r>
      <w:r w:rsidRPr="005D247D">
        <w:t xml:space="preserve"> more state and territory specific interventions that </w:t>
      </w:r>
      <w:r>
        <w:t xml:space="preserve">could </w:t>
      </w:r>
      <w:r w:rsidRPr="005D247D">
        <w:t xml:space="preserve">be useful for other jurisdictions to </w:t>
      </w:r>
      <w:r>
        <w:t xml:space="preserve">consider </w:t>
      </w:r>
      <w:r w:rsidRPr="005D247D">
        <w:t xml:space="preserve">in pursuit of the shared vision for the jobs and skills system in Regional Australia. </w:t>
      </w:r>
      <w:r w:rsidR="00B30CAC">
        <w:t>Appendix 1</w:t>
      </w:r>
      <w:r w:rsidR="009F175A">
        <w:t xml:space="preserve"> of this Report</w:t>
      </w:r>
      <w:r w:rsidR="00B30CAC">
        <w:t xml:space="preserve"> includes a range of State and Territory level data relevant to the overarching framework of the Roadmap</w:t>
      </w:r>
      <w:r w:rsidR="009F175A">
        <w:t xml:space="preserve"> as a starting point. </w:t>
      </w:r>
      <w:r>
        <w:t xml:space="preserve">JSA welcomes partnering with </w:t>
      </w:r>
      <w:r w:rsidRPr="00E81750">
        <w:t xml:space="preserve">individual states and territories </w:t>
      </w:r>
      <w:r>
        <w:t>with</w:t>
      </w:r>
      <w:r w:rsidRPr="00E81750">
        <w:t xml:space="preserve"> an interest in </w:t>
      </w:r>
      <w:r>
        <w:t xml:space="preserve">developing </w:t>
      </w:r>
      <w:r w:rsidRPr="00E81750">
        <w:t xml:space="preserve">jurisdiction roadmaps </w:t>
      </w:r>
      <w:r>
        <w:t xml:space="preserve">as </w:t>
      </w:r>
      <w:r w:rsidRPr="00E81750">
        <w:t>an output of Phase 2</w:t>
      </w:r>
      <w:r>
        <w:t xml:space="preserve">. </w:t>
      </w:r>
    </w:p>
    <w:p w14:paraId="571E7D65" w14:textId="3A65176C" w:rsidR="007671DD" w:rsidRPr="00AA22E6" w:rsidRDefault="002026A6" w:rsidP="00AA22E6">
      <w:pPr>
        <w:pStyle w:val="Caption"/>
        <w:rPr>
          <w:rFonts w:cs="Arial"/>
          <w:b w:val="0"/>
        </w:rPr>
      </w:pPr>
      <w:bookmarkStart w:id="185" w:name="_Toc201916617"/>
      <w:r>
        <w:t xml:space="preserve">Figure </w:t>
      </w:r>
      <w:r>
        <w:fldChar w:fldCharType="begin"/>
      </w:r>
      <w:r>
        <w:instrText xml:space="preserve"> SEQ Figure \* ARABIC </w:instrText>
      </w:r>
      <w:r>
        <w:fldChar w:fldCharType="separate"/>
      </w:r>
      <w:r w:rsidR="00471863">
        <w:rPr>
          <w:noProof/>
        </w:rPr>
        <w:t>51</w:t>
      </w:r>
      <w:r>
        <w:fldChar w:fldCharType="end"/>
      </w:r>
      <w:r w:rsidR="007671DD" w:rsidRPr="001344A6">
        <w:t xml:space="preserve">: </w:t>
      </w:r>
      <w:r w:rsidR="007671DD" w:rsidRPr="001344A6">
        <w:rPr>
          <w:rFonts w:cs="Arial"/>
        </w:rPr>
        <w:t>Overview of JSA Regional Roadmap</w:t>
      </w:r>
      <w:r w:rsidR="00B63351">
        <w:rPr>
          <w:rFonts w:cs="Arial"/>
        </w:rPr>
        <w:t xml:space="preserve"> </w:t>
      </w:r>
      <w:r w:rsidR="007671DD" w:rsidRPr="001344A6">
        <w:rPr>
          <w:rFonts w:cs="Arial"/>
        </w:rPr>
        <w:t>- Phase 1 and Phase 2</w:t>
      </w:r>
      <w:bookmarkEnd w:id="185"/>
    </w:p>
    <w:p w14:paraId="420156B8" w14:textId="715A9966" w:rsidR="00AA22E6" w:rsidRPr="00C82E1C" w:rsidRDefault="00AA22E6" w:rsidP="00C82E1C">
      <w:r>
        <w:rPr>
          <w:noProof/>
        </w:rPr>
        <w:drawing>
          <wp:inline distT="0" distB="0" distL="0" distR="0" wp14:anchorId="3BBBE18E" wp14:editId="2EEF34CB">
            <wp:extent cx="5732145" cy="2255520"/>
            <wp:effectExtent l="0" t="0" r="0" b="0"/>
            <wp:docPr id="1345035855" name="Picture 8" descr="An image that provides an overview of JSA's Regional Roadmap - Phase 1 and Phase 2. In phase 2, JSA will seek to work with states and territories to lay the groundwork for establishing Regional Jobs and Skills Roadmaps for each state and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35855" name="Picture 8" descr="An image that provides an overview of JSA's Regional Roadmap - Phase 1 and Phase 2. In phase 2, JSA will seek to work with states and territories to lay the groundwork for establishing Regional Jobs and Skills Roadmaps for each state and territory. "/>
                    <pic:cNvPicPr/>
                  </pic:nvPicPr>
                  <pic:blipFill>
                    <a:blip r:embed="rId19">
                      <a:extLst>
                        <a:ext uri="{28A0092B-C50C-407E-A947-70E740481C1C}">
                          <a14:useLocalDpi xmlns:a14="http://schemas.microsoft.com/office/drawing/2010/main" val="0"/>
                        </a:ext>
                      </a:extLst>
                    </a:blip>
                    <a:stretch>
                      <a:fillRect/>
                    </a:stretch>
                  </pic:blipFill>
                  <pic:spPr>
                    <a:xfrm>
                      <a:off x="0" y="0"/>
                      <a:ext cx="5732145" cy="2255520"/>
                    </a:xfrm>
                    <a:prstGeom prst="rect">
                      <a:avLst/>
                    </a:prstGeom>
                  </pic:spPr>
                </pic:pic>
              </a:graphicData>
            </a:graphic>
          </wp:inline>
        </w:drawing>
      </w:r>
    </w:p>
    <w:tbl>
      <w:tblPr>
        <w:tblStyle w:val="CustomTablepulloutbox"/>
        <w:tblW w:w="0" w:type="auto"/>
        <w:tblLook w:val="04A0" w:firstRow="1" w:lastRow="0" w:firstColumn="1" w:lastColumn="0" w:noHBand="0" w:noVBand="1"/>
      </w:tblPr>
      <w:tblGrid>
        <w:gridCol w:w="8997"/>
      </w:tblGrid>
      <w:tr w:rsidR="003044E8" w14:paraId="6093E373" w14:textId="77777777">
        <w:tc>
          <w:tcPr>
            <w:tcW w:w="9027" w:type="dxa"/>
          </w:tcPr>
          <w:p w14:paraId="4EBC63A1" w14:textId="77777777" w:rsidR="003044E8" w:rsidRPr="00FD1018" w:rsidRDefault="003044E8">
            <w:pPr>
              <w:pStyle w:val="BoxHeading"/>
            </w:pPr>
            <w:r w:rsidRPr="00D8307A">
              <w:lastRenderedPageBreak/>
              <w:t>Box: Tasmanian Government’s Youth Jobs Strategy 2024-2030</w:t>
            </w:r>
          </w:p>
          <w:p w14:paraId="2C46F3CD" w14:textId="77777777" w:rsidR="003044E8" w:rsidRPr="003044E8" w:rsidRDefault="003044E8">
            <w:pPr>
              <w:pStyle w:val="BodyText"/>
              <w:rPr>
                <w:sz w:val="22"/>
                <w:szCs w:val="22"/>
              </w:rPr>
            </w:pPr>
            <w:r w:rsidRPr="003044E8">
              <w:rPr>
                <w:sz w:val="22"/>
                <w:szCs w:val="22"/>
              </w:rPr>
              <w:t xml:space="preserve">The Tasmanian Government’s Youth Jobs Strategy 2024-2030 aims to increase youth engagement and participation in employment, further education or training by aligning effort across governments, industry, the education and training sector, and community to help young Tasmanians live fulfilling and productive lives. </w:t>
            </w:r>
          </w:p>
          <w:p w14:paraId="3903D0EC" w14:textId="77777777" w:rsidR="003044E8" w:rsidRPr="003044E8" w:rsidRDefault="003044E8">
            <w:pPr>
              <w:pStyle w:val="BodyText"/>
              <w:rPr>
                <w:sz w:val="22"/>
                <w:szCs w:val="22"/>
              </w:rPr>
            </w:pPr>
            <w:r w:rsidRPr="003044E8">
              <w:rPr>
                <w:sz w:val="22"/>
                <w:szCs w:val="22"/>
              </w:rPr>
              <w:t xml:space="preserve">The Strategy will build on existing efforts in place to ensure that all young people in Tasmania can access opportunities for employment in decent, meaningful work, and employers and industry can attract, develop and retain skilled young employees for a thriving community and productive economy. </w:t>
            </w:r>
          </w:p>
          <w:p w14:paraId="6272B238" w14:textId="2C05CEE9" w:rsidR="003044E8" w:rsidRPr="003044E8" w:rsidRDefault="003044E8">
            <w:pPr>
              <w:pStyle w:val="BodyText"/>
              <w:rPr>
                <w:sz w:val="22"/>
                <w:szCs w:val="22"/>
              </w:rPr>
            </w:pPr>
            <w:r w:rsidRPr="003044E8">
              <w:rPr>
                <w:sz w:val="22"/>
                <w:szCs w:val="22"/>
              </w:rPr>
              <w:t xml:space="preserve">It was informed by an extensive consultation process with input from industry, community, and – most importantly – young people. It will be supported by successive </w:t>
            </w:r>
            <w:r w:rsidR="00285E8D">
              <w:rPr>
                <w:sz w:val="22"/>
                <w:szCs w:val="22"/>
              </w:rPr>
              <w:t>2</w:t>
            </w:r>
            <w:r w:rsidRPr="003044E8">
              <w:rPr>
                <w:sz w:val="22"/>
                <w:szCs w:val="22"/>
              </w:rPr>
              <w:t xml:space="preserve">-year actions plans that will detail the specific activities, initiatives, and policies that will collectively work towards achieving the strategy’s ambition. This includes activating the systems, policy and program </w:t>
            </w:r>
            <w:r w:rsidR="00CB1D11">
              <w:rPr>
                <w:sz w:val="22"/>
                <w:szCs w:val="22"/>
              </w:rPr>
              <w:t>principles</w:t>
            </w:r>
            <w:r w:rsidRPr="003044E8">
              <w:rPr>
                <w:sz w:val="22"/>
                <w:szCs w:val="22"/>
              </w:rPr>
              <w:t xml:space="preserve"> across the employment, education and training ecosystem, and joining up efforts both in place and across government, industry and community.</w:t>
            </w:r>
          </w:p>
          <w:p w14:paraId="652BE8EE" w14:textId="77777777" w:rsidR="003044E8" w:rsidRPr="00FD1018" w:rsidRDefault="003044E8">
            <w:pPr>
              <w:pStyle w:val="BodyText"/>
            </w:pPr>
            <w:r w:rsidRPr="003044E8">
              <w:rPr>
                <w:sz w:val="22"/>
                <w:szCs w:val="22"/>
              </w:rPr>
              <w:t>Tasmanian Government’s Youth Jobs Strategy 2024-2030 provides an example of stakeholders working together to develop a place-based response to a key jobs and skills issues facing the local community. While the strategy is centred on youth, this nonetheless is a strong example of the types of strategies and roadmaps JSA’s Regional Roadmap seeks to support and inspire.</w:t>
            </w:r>
          </w:p>
        </w:tc>
      </w:tr>
    </w:tbl>
    <w:p w14:paraId="47BD6E26" w14:textId="57FEC317" w:rsidR="007671DD" w:rsidRDefault="007671DD" w:rsidP="007671DD">
      <w:pPr>
        <w:spacing w:after="160" w:line="259" w:lineRule="auto"/>
        <w:rPr>
          <w:rFonts w:eastAsiaTheme="majorEastAsia" w:cstheme="majorBidi"/>
          <w:b/>
          <w:sz w:val="32"/>
          <w:szCs w:val="26"/>
        </w:rPr>
      </w:pPr>
      <w:r>
        <w:br w:type="page"/>
      </w:r>
    </w:p>
    <w:p w14:paraId="49377535" w14:textId="77777777" w:rsidR="007671DD" w:rsidRPr="00AF1A82" w:rsidRDefault="007671DD" w:rsidP="00865A12">
      <w:pPr>
        <w:pStyle w:val="Heading2"/>
      </w:pPr>
      <w:bookmarkStart w:id="186" w:name="_Toc201070195"/>
      <w:bookmarkStart w:id="187" w:name="_Toc201919858"/>
      <w:bookmarkStart w:id="188" w:name="_Toc202361886"/>
      <w:r>
        <w:lastRenderedPageBreak/>
        <w:t>Supporting local place-based strategies</w:t>
      </w:r>
      <w:bookmarkEnd w:id="186"/>
      <w:bookmarkEnd w:id="187"/>
      <w:bookmarkEnd w:id="188"/>
    </w:p>
    <w:p w14:paraId="3E927E93" w14:textId="2E96BBC7" w:rsidR="007671DD" w:rsidRDefault="007671DD" w:rsidP="004D5FFF">
      <w:pPr>
        <w:pStyle w:val="BodyText"/>
      </w:pPr>
      <w:r w:rsidRPr="009E747F">
        <w:t xml:space="preserve">The relationship between Regional Australia and the rest of the country is not uniform. </w:t>
      </w:r>
      <w:r>
        <w:t xml:space="preserve">The </w:t>
      </w:r>
      <w:r w:rsidRPr="009E747F">
        <w:t>connection</w:t>
      </w:r>
      <w:r>
        <w:t>s</w:t>
      </w:r>
      <w:r w:rsidRPr="009E747F">
        <w:t xml:space="preserve"> and interaction</w:t>
      </w:r>
      <w:r>
        <w:t>s</w:t>
      </w:r>
      <w:r w:rsidRPr="009E747F">
        <w:t xml:space="preserve"> </w:t>
      </w:r>
      <w:r>
        <w:t>with Major Cities and other parts of R</w:t>
      </w:r>
      <w:r w:rsidRPr="009E747F">
        <w:t>egi</w:t>
      </w:r>
      <w:r>
        <w:t>onal Australia vary</w:t>
      </w:r>
      <w:r w:rsidRPr="009E747F">
        <w:t xml:space="preserve"> </w:t>
      </w:r>
      <w:r>
        <w:t xml:space="preserve">by region, </w:t>
      </w:r>
      <w:r w:rsidRPr="009E747F">
        <w:t xml:space="preserve">depending on its degree of remoteness, industry composition, transport links, population flows and mobility and many other factors. </w:t>
      </w:r>
    </w:p>
    <w:p w14:paraId="7AF7FB04" w14:textId="77777777" w:rsidR="005E2A59" w:rsidRDefault="007671DD" w:rsidP="004D5FFF">
      <w:pPr>
        <w:pStyle w:val="BodyText"/>
      </w:pPr>
      <w:r>
        <w:t>J</w:t>
      </w:r>
      <w:r w:rsidRPr="00CE0C43">
        <w:t xml:space="preserve">SA's Regional Roadmap can also be </w:t>
      </w:r>
      <w:r w:rsidR="005E2A59">
        <w:t>used</w:t>
      </w:r>
      <w:r w:rsidRPr="00CE0C43">
        <w:t xml:space="preserve"> in the development of further roadmaps at the local </w:t>
      </w:r>
      <w:r>
        <w:t xml:space="preserve">community </w:t>
      </w:r>
      <w:r w:rsidRPr="00CE0C43">
        <w:t xml:space="preserve">level. Given the wide range of education and training outcomes </w:t>
      </w:r>
      <w:r>
        <w:t>seen</w:t>
      </w:r>
      <w:r w:rsidRPr="00CE0C43">
        <w:t xml:space="preserve"> across Australia and the varying structure and operation of the jobs and skills system across regional areas, in many cases the development of a more localised roadmap will be appropriate and advantageous. </w:t>
      </w:r>
    </w:p>
    <w:p w14:paraId="150EAA3E" w14:textId="5D8E8F5A" w:rsidR="007671DD" w:rsidRDefault="007671DD" w:rsidP="004D5FFF">
      <w:pPr>
        <w:pStyle w:val="BodyText"/>
        <w:rPr>
          <w:noProof/>
        </w:rPr>
      </w:pPr>
      <w:r>
        <w:t xml:space="preserve">There are </w:t>
      </w:r>
      <w:r w:rsidRPr="00CE0C43">
        <w:t>strategies and roadmaps already in place or in development</w:t>
      </w:r>
      <w:r>
        <w:t xml:space="preserve"> at the local level</w:t>
      </w:r>
      <w:r w:rsidRPr="00CE0C43">
        <w:t xml:space="preserve">. However, there also remains substantial opportunities to develop </w:t>
      </w:r>
      <w:r>
        <w:t xml:space="preserve">jobs and skills </w:t>
      </w:r>
      <w:r w:rsidRPr="00CE0C43">
        <w:t xml:space="preserve">roadmaps for different groups or clusters of regions, such as for remote Australia and for Northern Australia. </w:t>
      </w:r>
      <w:r>
        <w:t>JSA welcomes engagement with organisations involved in developing regional-level roadmaps</w:t>
      </w:r>
      <w:r w:rsidRPr="00E81750">
        <w:t xml:space="preserve"> </w:t>
      </w:r>
      <w:r>
        <w:t xml:space="preserve">to help inform </w:t>
      </w:r>
      <w:r w:rsidRPr="00E81750">
        <w:t>Phase 2</w:t>
      </w:r>
      <w:r>
        <w:t>.</w:t>
      </w:r>
      <w:r w:rsidRPr="00CA3530">
        <w:rPr>
          <w:noProof/>
        </w:rPr>
        <w:t xml:space="preserve"> </w:t>
      </w:r>
    </w:p>
    <w:tbl>
      <w:tblPr>
        <w:tblStyle w:val="CustomTablepulloutbox2"/>
        <w:tblW w:w="0" w:type="auto"/>
        <w:tblLook w:val="04A0" w:firstRow="1" w:lastRow="0" w:firstColumn="1" w:lastColumn="0" w:noHBand="0" w:noVBand="1"/>
      </w:tblPr>
      <w:tblGrid>
        <w:gridCol w:w="8997"/>
      </w:tblGrid>
      <w:tr w:rsidR="00076E2B" w14:paraId="0F26485B" w14:textId="77777777" w:rsidTr="00865A12">
        <w:trPr>
          <w:trHeight w:val="1713"/>
        </w:trPr>
        <w:tc>
          <w:tcPr>
            <w:tcW w:w="8997" w:type="dxa"/>
          </w:tcPr>
          <w:p w14:paraId="3B2B061F" w14:textId="77777777" w:rsidR="00076E2B" w:rsidRPr="001A51F1" w:rsidRDefault="00076E2B">
            <w:pPr>
              <w:pStyle w:val="BoxHeading"/>
              <w:jc w:val="center"/>
              <w:rPr>
                <w:sz w:val="24"/>
                <w:szCs w:val="24"/>
              </w:rPr>
            </w:pPr>
            <w:r w:rsidRPr="001A51F1">
              <w:rPr>
                <w:sz w:val="24"/>
                <w:szCs w:val="24"/>
              </w:rPr>
              <w:t>Stakeholder insight</w:t>
            </w:r>
          </w:p>
          <w:p w14:paraId="7C969F9C" w14:textId="5C3BBFD7" w:rsidR="00076E2B" w:rsidRPr="005C3243" w:rsidRDefault="00306785">
            <w:pPr>
              <w:jc w:val="center"/>
              <w:rPr>
                <w:rFonts w:cs="Arial"/>
                <w:b/>
                <w:bCs/>
                <w:i/>
                <w:iCs/>
                <w:sz w:val="22"/>
                <w:szCs w:val="22"/>
                <w:lang w:val="en-AU"/>
              </w:rPr>
            </w:pPr>
            <w:r>
              <w:rPr>
                <w:rFonts w:cs="Arial"/>
                <w:i/>
                <w:iCs/>
                <w:sz w:val="22"/>
                <w:szCs w:val="22"/>
                <w:lang w:val="en-AU"/>
              </w:rPr>
              <w:t>‘</w:t>
            </w:r>
            <w:r w:rsidR="00076E2B" w:rsidRPr="005C3243">
              <w:rPr>
                <w:rFonts w:cs="Arial"/>
                <w:i/>
                <w:iCs/>
                <w:sz w:val="22"/>
                <w:szCs w:val="22"/>
                <w:lang w:val="en-AU"/>
              </w:rPr>
              <w:t>As regional people are well aware, what is needed in regional, rural and remote Australia is different to what is needed in the cities. To take these differences into account we need a local approach, not one-size-fits-all, and we need to listen to people on the ground in the regions and their homegrown solutions to challenges.</w:t>
            </w:r>
            <w:r>
              <w:rPr>
                <w:rFonts w:cs="Arial"/>
                <w:i/>
                <w:iCs/>
                <w:sz w:val="22"/>
                <w:szCs w:val="22"/>
                <w:lang w:val="en-AU"/>
              </w:rPr>
              <w:t>’</w:t>
            </w:r>
          </w:p>
          <w:p w14:paraId="39762766" w14:textId="77777777" w:rsidR="00076E2B" w:rsidRPr="001A51F1" w:rsidRDefault="00076E2B">
            <w:pPr>
              <w:jc w:val="center"/>
              <w:rPr>
                <w:rFonts w:cs="Arial"/>
                <w:b/>
                <w:sz w:val="24"/>
                <w:szCs w:val="24"/>
              </w:rPr>
            </w:pPr>
            <w:r w:rsidRPr="001A51F1">
              <w:rPr>
                <w:rFonts w:cs="Arial"/>
                <w:b/>
                <w:sz w:val="24"/>
                <w:szCs w:val="24"/>
              </w:rPr>
              <w:t>Fiona Nash</w:t>
            </w:r>
          </w:p>
          <w:p w14:paraId="04D2341F" w14:textId="77777777" w:rsidR="00076E2B" w:rsidRPr="00602657" w:rsidRDefault="00076E2B">
            <w:pPr>
              <w:jc w:val="center"/>
              <w:rPr>
                <w:rFonts w:cs="Arial"/>
              </w:rPr>
            </w:pPr>
            <w:r w:rsidRPr="00D804EF">
              <w:rPr>
                <w:rFonts w:cs="Arial"/>
                <w:sz w:val="22"/>
                <w:szCs w:val="22"/>
              </w:rPr>
              <w:t>Regional Education Commissioner</w:t>
            </w:r>
          </w:p>
        </w:tc>
      </w:tr>
    </w:tbl>
    <w:p w14:paraId="3F72A1A2" w14:textId="77777777" w:rsidR="00865A12" w:rsidRDefault="00865A12" w:rsidP="00865A12">
      <w:pPr>
        <w:spacing w:before="120" w:after="120"/>
        <w:rPr>
          <w:noProof/>
        </w:rPr>
      </w:pPr>
    </w:p>
    <w:tbl>
      <w:tblPr>
        <w:tblStyle w:val="CustomTablepulloutbox2"/>
        <w:tblW w:w="0" w:type="auto"/>
        <w:tblLook w:val="04A0" w:firstRow="1" w:lastRow="0" w:firstColumn="1" w:lastColumn="0" w:noHBand="0" w:noVBand="1"/>
      </w:tblPr>
      <w:tblGrid>
        <w:gridCol w:w="8997"/>
      </w:tblGrid>
      <w:tr w:rsidR="00865A12" w14:paraId="7965D750" w14:textId="77777777">
        <w:trPr>
          <w:trHeight w:val="1713"/>
        </w:trPr>
        <w:tc>
          <w:tcPr>
            <w:tcW w:w="9027" w:type="dxa"/>
          </w:tcPr>
          <w:p w14:paraId="2BAF8950" w14:textId="77777777" w:rsidR="00865A12" w:rsidRPr="00FA43C2" w:rsidRDefault="00865A12">
            <w:pPr>
              <w:pStyle w:val="BoxHeading"/>
              <w:jc w:val="center"/>
              <w:rPr>
                <w:sz w:val="24"/>
                <w:szCs w:val="24"/>
              </w:rPr>
            </w:pPr>
            <w:r w:rsidRPr="00FA43C2">
              <w:rPr>
                <w:sz w:val="24"/>
                <w:szCs w:val="24"/>
              </w:rPr>
              <w:t>Stakeholder insight</w:t>
            </w:r>
          </w:p>
          <w:p w14:paraId="08338427" w14:textId="77777777" w:rsidR="00865A12" w:rsidRPr="00D804EF" w:rsidRDefault="00865A12">
            <w:pPr>
              <w:spacing w:before="120" w:after="120"/>
              <w:jc w:val="center"/>
              <w:rPr>
                <w:rFonts w:cs="Arial"/>
                <w:i/>
                <w:iCs/>
                <w:sz w:val="22"/>
                <w:szCs w:val="22"/>
              </w:rPr>
            </w:pPr>
            <w:r>
              <w:rPr>
                <w:rFonts w:cs="Arial"/>
                <w:i/>
                <w:sz w:val="22"/>
                <w:szCs w:val="22"/>
              </w:rPr>
              <w:t>‘</w:t>
            </w:r>
            <w:r w:rsidRPr="00D804EF">
              <w:rPr>
                <w:rFonts w:cs="Arial"/>
                <w:i/>
                <w:iCs/>
                <w:sz w:val="22"/>
                <w:szCs w:val="22"/>
                <w:lang w:val="en-AU"/>
              </w:rPr>
              <w:t>Capturing data that reflects the strengths, voices and realities of regional and remote Australia—particularly First Nations communities—is essential to shaping a more responsive and inclusive jobs and skills system for the future</w:t>
            </w:r>
            <w:r w:rsidRPr="00D804EF">
              <w:rPr>
                <w:rFonts w:cs="Arial"/>
                <w:i/>
                <w:iCs/>
                <w:sz w:val="22"/>
                <w:szCs w:val="22"/>
              </w:rPr>
              <w:t>.</w:t>
            </w:r>
            <w:r>
              <w:rPr>
                <w:rFonts w:cs="Arial"/>
                <w:i/>
                <w:iCs/>
                <w:sz w:val="22"/>
                <w:szCs w:val="22"/>
              </w:rPr>
              <w:t>’</w:t>
            </w:r>
          </w:p>
          <w:p w14:paraId="3B618796" w14:textId="77777777" w:rsidR="00865A12" w:rsidRPr="00FA43C2" w:rsidRDefault="00865A12">
            <w:pPr>
              <w:jc w:val="center"/>
              <w:rPr>
                <w:rFonts w:cs="Arial"/>
                <w:b/>
                <w:bCs/>
                <w:sz w:val="24"/>
                <w:szCs w:val="24"/>
              </w:rPr>
            </w:pPr>
            <w:r w:rsidRPr="00FA43C2">
              <w:rPr>
                <w:rFonts w:cs="Arial"/>
                <w:b/>
                <w:sz w:val="24"/>
                <w:szCs w:val="24"/>
              </w:rPr>
              <w:t>Natasha Storey</w:t>
            </w:r>
          </w:p>
          <w:p w14:paraId="279B60E8" w14:textId="77777777" w:rsidR="00865A12" w:rsidRDefault="00865A12">
            <w:pPr>
              <w:jc w:val="center"/>
              <w:rPr>
                <w:rFonts w:cs="Arial"/>
                <w:sz w:val="22"/>
                <w:szCs w:val="22"/>
              </w:rPr>
            </w:pPr>
            <w:r w:rsidRPr="00D804EF">
              <w:rPr>
                <w:rFonts w:cs="Arial"/>
                <w:sz w:val="22"/>
                <w:szCs w:val="22"/>
              </w:rPr>
              <w:t>Project Manager</w:t>
            </w:r>
            <w:r>
              <w:rPr>
                <w:rFonts w:cs="Arial"/>
                <w:sz w:val="22"/>
                <w:szCs w:val="22"/>
              </w:rPr>
              <w:t xml:space="preserve"> </w:t>
            </w:r>
          </w:p>
          <w:p w14:paraId="0EE16ED7" w14:textId="77777777" w:rsidR="00865A12" w:rsidRPr="00C2773B" w:rsidRDefault="00865A12">
            <w:pPr>
              <w:jc w:val="center"/>
              <w:rPr>
                <w:rFonts w:cs="Arial"/>
                <w:sz w:val="22"/>
                <w:szCs w:val="22"/>
              </w:rPr>
            </w:pPr>
            <w:r w:rsidRPr="00D804EF">
              <w:rPr>
                <w:rFonts w:cs="Arial"/>
                <w:sz w:val="22"/>
                <w:szCs w:val="22"/>
              </w:rPr>
              <w:t>Mount Isa Regional Jobs Committee</w:t>
            </w:r>
          </w:p>
        </w:tc>
      </w:tr>
    </w:tbl>
    <w:p w14:paraId="53021484" w14:textId="77777777" w:rsidR="00865A12" w:rsidRDefault="00865A12" w:rsidP="00865A12">
      <w:pPr>
        <w:spacing w:before="120" w:after="120"/>
        <w:rPr>
          <w:noProof/>
        </w:rPr>
      </w:pPr>
    </w:p>
    <w:p w14:paraId="6D7AD926" w14:textId="77777777" w:rsidR="00076E2B" w:rsidRDefault="00076E2B" w:rsidP="004D5FFF">
      <w:pPr>
        <w:pStyle w:val="BodyText"/>
        <w:rPr>
          <w:noProof/>
        </w:rPr>
      </w:pPr>
    </w:p>
    <w:tbl>
      <w:tblPr>
        <w:tblStyle w:val="CustomTablepulloutbox"/>
        <w:tblW w:w="0" w:type="auto"/>
        <w:tblLook w:val="04A0" w:firstRow="1" w:lastRow="0" w:firstColumn="1" w:lastColumn="0" w:noHBand="0" w:noVBand="1"/>
      </w:tblPr>
      <w:tblGrid>
        <w:gridCol w:w="8997"/>
      </w:tblGrid>
      <w:tr w:rsidR="002A02EA" w14:paraId="080502E4" w14:textId="77777777">
        <w:tc>
          <w:tcPr>
            <w:tcW w:w="8997" w:type="dxa"/>
          </w:tcPr>
          <w:p w14:paraId="7E20A9ED" w14:textId="77777777" w:rsidR="002A02EA" w:rsidRPr="000D04AA" w:rsidRDefault="002A02EA">
            <w:pPr>
              <w:pStyle w:val="BoxHeading"/>
            </w:pPr>
            <w:r w:rsidRPr="00CA49FC">
              <w:lastRenderedPageBreak/>
              <w:t>Box: Mount Isa: Future Ready Economy Roadmap</w:t>
            </w:r>
          </w:p>
          <w:p w14:paraId="4623EBD9" w14:textId="31295083" w:rsidR="002A02EA" w:rsidRPr="002A02EA" w:rsidRDefault="002A02EA">
            <w:pPr>
              <w:pStyle w:val="BodyText"/>
              <w:rPr>
                <w:sz w:val="22"/>
                <w:szCs w:val="22"/>
              </w:rPr>
            </w:pPr>
            <w:r w:rsidRPr="002A02EA">
              <w:rPr>
                <w:sz w:val="22"/>
                <w:szCs w:val="22"/>
              </w:rPr>
              <w:t>In February 2025, Mount Isa City Council released Mount Isa Future Ready Economy Roadmap.</w:t>
            </w:r>
            <w:r w:rsidR="00086E77">
              <w:rPr>
                <w:rStyle w:val="FootnoteReference"/>
                <w:rFonts w:cs="Arial"/>
              </w:rPr>
              <w:t xml:space="preserve"> </w:t>
            </w:r>
            <w:r w:rsidR="00086E77">
              <w:rPr>
                <w:rStyle w:val="FootnoteReference"/>
                <w:rFonts w:cs="Arial"/>
              </w:rPr>
              <w:footnoteReference w:id="37"/>
            </w:r>
            <w:r w:rsidRPr="002A02EA">
              <w:rPr>
                <w:sz w:val="22"/>
                <w:szCs w:val="22"/>
              </w:rPr>
              <w:t xml:space="preserve"> This Roadmap formulates a plan to transform and diversify the local economy while delivering immediate jobs and long-term benefits for Mount Isa residents. Mount Isa City Council initiated development of the Roadmap to take advantage of opportunities associated with the net zero transformation and in response to the announcement by Glencore, the town’s biggest employer as owner of Mount Isa Mines, that its underground copper operations would close. </w:t>
            </w:r>
          </w:p>
          <w:p w14:paraId="6B1BBC52" w14:textId="77777777" w:rsidR="002A02EA" w:rsidRPr="002A02EA" w:rsidRDefault="002A02EA">
            <w:pPr>
              <w:pStyle w:val="BodyText"/>
              <w:rPr>
                <w:sz w:val="22"/>
                <w:szCs w:val="22"/>
              </w:rPr>
            </w:pPr>
            <w:r w:rsidRPr="002A02EA">
              <w:rPr>
                <w:sz w:val="22"/>
                <w:szCs w:val="22"/>
              </w:rPr>
              <w:t xml:space="preserve">The roadmap presents 28 pathways and nearly 400 potential actions for local stakeholders, industry, government and community to strengthen and diversify the Mount Isa economy across energy, mining and minerals, transport, agriculture, and tourism. The roadmap highlights a number of key initiatives to diversify the local economy, including memorandums of understanding to support innovative regional energy and transport solutions, such as Green Gravity’s energy storage system and Flying Whales’ airship for cargo transport. </w:t>
            </w:r>
          </w:p>
          <w:p w14:paraId="2214837C" w14:textId="77777777" w:rsidR="002A02EA" w:rsidRPr="000D04AA" w:rsidRDefault="002A02EA">
            <w:pPr>
              <w:pStyle w:val="BodyText"/>
            </w:pPr>
            <w:r w:rsidRPr="002A02EA">
              <w:rPr>
                <w:sz w:val="22"/>
                <w:szCs w:val="22"/>
              </w:rPr>
              <w:t>The recommendations put forward in Mount Isa’s Future Ready Economy Roadmap, accord with the recommendations in JSA’s Clean Energy Generation report. This report highlighted the need for Government support and leadership in regions where economic diversity and adaptability are relatively low. In particular, it points to the need for local investment in new industries and in ensuring that impacted workers receive targeted training and other forms of support to transition into roles that build on their existing skills.</w:t>
            </w:r>
          </w:p>
        </w:tc>
      </w:tr>
    </w:tbl>
    <w:p w14:paraId="66E09B31" w14:textId="77777777" w:rsidR="003D08CA" w:rsidRPr="00902758" w:rsidRDefault="003D08CA" w:rsidP="00902758"/>
    <w:p w14:paraId="31F0DE11" w14:textId="77777777" w:rsidR="003D08CA" w:rsidRPr="00902758" w:rsidRDefault="003D08CA" w:rsidP="00902758">
      <w:r w:rsidRPr="00902758">
        <w:br w:type="page"/>
      </w:r>
    </w:p>
    <w:p w14:paraId="68112E2E" w14:textId="3E8AD302" w:rsidR="007671DD" w:rsidRPr="00D26A95" w:rsidRDefault="007671DD" w:rsidP="00865A12">
      <w:pPr>
        <w:pStyle w:val="Heading2"/>
      </w:pPr>
      <w:bookmarkStart w:id="189" w:name="_Toc201070196"/>
      <w:bookmarkStart w:id="190" w:name="_Toc201919859"/>
      <w:bookmarkStart w:id="191" w:name="_Toc202361887"/>
      <w:r w:rsidRPr="00D26A95">
        <w:lastRenderedPageBreak/>
        <w:t xml:space="preserve">Public consultation </w:t>
      </w:r>
      <w:r w:rsidR="00FC0B48">
        <w:t>and submission</w:t>
      </w:r>
      <w:r w:rsidRPr="00D26A95">
        <w:t xml:space="preserve"> process</w:t>
      </w:r>
      <w:bookmarkEnd w:id="189"/>
      <w:r w:rsidR="002D00DF">
        <w:t xml:space="preserve"> – including guiding questions</w:t>
      </w:r>
      <w:bookmarkEnd w:id="190"/>
      <w:bookmarkEnd w:id="191"/>
    </w:p>
    <w:p w14:paraId="46ADE3DA" w14:textId="0F81D816" w:rsidR="00865A12" w:rsidRPr="00865A12" w:rsidRDefault="00865A12" w:rsidP="00865A12">
      <w:pPr>
        <w:rPr>
          <w:rFonts w:cs="Arial"/>
        </w:rPr>
      </w:pPr>
      <w:r w:rsidRPr="008B7D4A">
        <w:rPr>
          <w:rFonts w:cs="Arial"/>
        </w:rPr>
        <w:t xml:space="preserve">To date, Jobs and Skills Australia (JSA) has consulted with a range of organisations from Regional Australia through meetings, roundtables, field trips to Regional Australia, the JSA Regional Advisory Group, the JSA Ministerial Advisory Board, correspondence and other means and forums. This includes engaging with higher education providers, vocational education and training institutions, schools, employment service providers, industry bodies, businesses, trade unions, other social service organisations, academics, government agencies across Commonwealth, State/Territory and local levels, and other non-government organisations. </w:t>
      </w:r>
    </w:p>
    <w:tbl>
      <w:tblPr>
        <w:tblStyle w:val="CustomTablepulloutbox2"/>
        <w:tblW w:w="0" w:type="auto"/>
        <w:tblLook w:val="04A0" w:firstRow="1" w:lastRow="0" w:firstColumn="1" w:lastColumn="0" w:noHBand="0" w:noVBand="1"/>
      </w:tblPr>
      <w:tblGrid>
        <w:gridCol w:w="8997"/>
      </w:tblGrid>
      <w:tr w:rsidR="00865A12" w14:paraId="1225D579" w14:textId="77777777">
        <w:tc>
          <w:tcPr>
            <w:tcW w:w="8997" w:type="dxa"/>
          </w:tcPr>
          <w:p w14:paraId="180AF1FF" w14:textId="77777777" w:rsidR="00865A12" w:rsidRPr="00DE0848" w:rsidRDefault="00865A12">
            <w:pPr>
              <w:pStyle w:val="BoxHeading"/>
              <w:jc w:val="center"/>
              <w:rPr>
                <w:sz w:val="24"/>
                <w:szCs w:val="24"/>
              </w:rPr>
            </w:pPr>
            <w:r w:rsidRPr="00DE0848">
              <w:rPr>
                <w:sz w:val="24"/>
                <w:szCs w:val="24"/>
              </w:rPr>
              <w:t>Stakeholder insight</w:t>
            </w:r>
          </w:p>
          <w:p w14:paraId="76F28845" w14:textId="77777777" w:rsidR="00865A12" w:rsidRPr="004D5FFF" w:rsidRDefault="00865A12">
            <w:pPr>
              <w:jc w:val="center"/>
              <w:rPr>
                <w:i/>
                <w:iCs/>
                <w:sz w:val="22"/>
                <w:szCs w:val="22"/>
              </w:rPr>
            </w:pPr>
            <w:r>
              <w:rPr>
                <w:i/>
                <w:iCs/>
                <w:sz w:val="22"/>
                <w:szCs w:val="22"/>
              </w:rPr>
              <w:t>‘</w:t>
            </w:r>
            <w:r w:rsidRPr="004D5FFF">
              <w:rPr>
                <w:i/>
                <w:iCs/>
                <w:sz w:val="22"/>
                <w:szCs w:val="22"/>
              </w:rPr>
              <w:t>People and their connections to community are integral to the success of the regional jobs and skills system. Genuine progress can only be made through collaboration and shared ownership among stakeholders. Having the right people to deliver collaborative change is just as critical as having the right policies and programs.</w:t>
            </w:r>
            <w:r>
              <w:rPr>
                <w:i/>
                <w:iCs/>
                <w:sz w:val="22"/>
                <w:szCs w:val="22"/>
              </w:rPr>
              <w:t>’</w:t>
            </w:r>
          </w:p>
          <w:p w14:paraId="5162A797" w14:textId="77777777" w:rsidR="00865A12" w:rsidRPr="00F30D62" w:rsidRDefault="00865A12">
            <w:pPr>
              <w:pStyle w:val="BodyText"/>
              <w:jc w:val="center"/>
              <w:rPr>
                <w:b/>
                <w:sz w:val="24"/>
                <w:szCs w:val="24"/>
              </w:rPr>
            </w:pPr>
            <w:r w:rsidRPr="00F30D62">
              <w:rPr>
                <w:b/>
                <w:sz w:val="24"/>
                <w:szCs w:val="24"/>
              </w:rPr>
              <w:t>Justin Page</w:t>
            </w:r>
          </w:p>
          <w:p w14:paraId="50C434AE" w14:textId="77777777" w:rsidR="00865A12" w:rsidRPr="00CC191D" w:rsidRDefault="00865A12">
            <w:pPr>
              <w:pStyle w:val="BodyText"/>
              <w:jc w:val="center"/>
            </w:pPr>
            <w:r w:rsidRPr="004D5FFF">
              <w:rPr>
                <w:sz w:val="22"/>
                <w:szCs w:val="22"/>
              </w:rPr>
              <w:t>Hunter Jobs Alliance</w:t>
            </w:r>
          </w:p>
        </w:tc>
      </w:tr>
    </w:tbl>
    <w:p w14:paraId="1E2442AC" w14:textId="77777777" w:rsidR="00865A12" w:rsidRDefault="00865A12" w:rsidP="00140765"/>
    <w:p w14:paraId="57C405DD" w14:textId="354EAAAB" w:rsidR="00140765" w:rsidRDefault="007671DD" w:rsidP="00140765">
      <w:r>
        <w:t>JSA</w:t>
      </w:r>
      <w:r w:rsidRPr="00BF4830">
        <w:t xml:space="preserve"> is seeking insights and feedback from stakeholders to help support the refinement and implementation of the Regional Roadmap. JSA’s Jobs and Skills Roadmap </w:t>
      </w:r>
      <w:r w:rsidR="00250CA3">
        <w:t xml:space="preserve">for Regional Australia </w:t>
      </w:r>
      <w:r w:rsidRPr="00BF4830">
        <w:t xml:space="preserve">– Phase </w:t>
      </w:r>
      <w:r>
        <w:t>1</w:t>
      </w:r>
      <w:r w:rsidRPr="00BF4830">
        <w:t xml:space="preserve"> seeks to provide an overarching framework that can be shared by stakeholders as they work together to </w:t>
      </w:r>
      <w:r w:rsidR="00A43EE8">
        <w:t>enhance</w:t>
      </w:r>
      <w:r w:rsidRPr="00BF4830">
        <w:t xml:space="preserve"> the equity, effectiveness and efficiency of the jobs and skills system across Regional Australia. </w:t>
      </w:r>
    </w:p>
    <w:p w14:paraId="49A857F1" w14:textId="4DA34F96" w:rsidR="00B046A1" w:rsidRPr="00D26A95" w:rsidRDefault="007671DD" w:rsidP="00865A12">
      <w:pPr>
        <w:pStyle w:val="BodyText"/>
      </w:pPr>
      <w:r w:rsidRPr="00BF4830">
        <w:t>Further consultation and engagement via this stakeholder submission process will help to refine and strengthen the Regional Roadmap and enhance its usefulness for stakeholders across Regional Australia.</w:t>
      </w:r>
    </w:p>
    <w:p w14:paraId="35A9BD5A" w14:textId="77777777" w:rsidR="00140765" w:rsidRPr="003D08CA" w:rsidRDefault="00140765" w:rsidP="003D08CA">
      <w:pPr>
        <w:pStyle w:val="Heading3"/>
      </w:pPr>
      <w:r w:rsidRPr="006B4131">
        <w:t>How will the submissions and responses be used by JSA?</w:t>
      </w:r>
    </w:p>
    <w:p w14:paraId="5313F321" w14:textId="15852FDC" w:rsidR="00140765" w:rsidRDefault="00140765" w:rsidP="00140765">
      <w:pPr>
        <w:rPr>
          <w:rFonts w:cs="Arial"/>
        </w:rPr>
      </w:pPr>
      <w:r w:rsidRPr="008B7D4A">
        <w:rPr>
          <w:rFonts w:cs="Arial"/>
        </w:rPr>
        <w:t xml:space="preserve">Following the receipt of submissions from stakeholders, JSA will review and consider all submissions. The submissions will be </w:t>
      </w:r>
      <w:r w:rsidR="00B11BE2">
        <w:rPr>
          <w:rFonts w:cs="Arial"/>
        </w:rPr>
        <w:t>used</w:t>
      </w:r>
      <w:r w:rsidRPr="008B7D4A">
        <w:rPr>
          <w:rFonts w:cs="Arial"/>
        </w:rPr>
        <w:t xml:space="preserve"> by JSA to help inform Phase 2 of JSA’s Regional Roadmap, which will include refined Phase </w:t>
      </w:r>
      <w:r w:rsidR="00B11BE2">
        <w:rPr>
          <w:rFonts w:cs="Arial"/>
        </w:rPr>
        <w:t>1</w:t>
      </w:r>
      <w:r w:rsidRPr="008B7D4A">
        <w:rPr>
          <w:rFonts w:cs="Arial"/>
        </w:rPr>
        <w:t xml:space="preserve"> content (in response to feedback from stakeholders)</w:t>
      </w:r>
      <w:r w:rsidR="00B11BE2">
        <w:rPr>
          <w:rFonts w:cs="Arial"/>
        </w:rPr>
        <w:t xml:space="preserve"> and outline potential pathways to enacting the Roadmap at the local, jurisdictional and sectoral level</w:t>
      </w:r>
      <w:r w:rsidRPr="008B7D4A">
        <w:rPr>
          <w:rFonts w:cs="Arial"/>
        </w:rPr>
        <w:t xml:space="preserve">. JSA plans to publish the Phase 2 – Regional Roadmap in late 2025 or early 2026. </w:t>
      </w:r>
    </w:p>
    <w:p w14:paraId="6F729F1C" w14:textId="77777777" w:rsidR="00140765" w:rsidRPr="00865A12" w:rsidRDefault="00140765" w:rsidP="00865A12">
      <w:pPr>
        <w:pStyle w:val="Heading3"/>
      </w:pPr>
      <w:r w:rsidRPr="00CB0C7A">
        <w:t>What are the key guiding questions to help inform submissions?</w:t>
      </w:r>
    </w:p>
    <w:p w14:paraId="3EF757E5" w14:textId="092F61B5" w:rsidR="00140765" w:rsidRPr="00946C9E" w:rsidRDefault="00140765" w:rsidP="00140765">
      <w:pPr>
        <w:rPr>
          <w:rFonts w:cs="Arial"/>
        </w:rPr>
      </w:pPr>
      <w:r w:rsidRPr="00B23971">
        <w:rPr>
          <w:rFonts w:cs="Arial"/>
        </w:rPr>
        <w:t xml:space="preserve">The list below provides an indication of the key questions JSA is seeking to hear stakeholder views on through this public consultation process. The questions are not intended to be prescriptive, however the list below nonetheless provides </w:t>
      </w:r>
      <w:r w:rsidR="00DA6061">
        <w:rPr>
          <w:rFonts w:cs="Arial"/>
        </w:rPr>
        <w:t>guidance</w:t>
      </w:r>
      <w:r w:rsidRPr="00B23971">
        <w:rPr>
          <w:rFonts w:cs="Arial"/>
        </w:rPr>
        <w:t xml:space="preserve"> to help inform responses. Respondents can also provide further information or insights that they consider relevant to the Regional Roadmap or Regional Australia more broadly.</w:t>
      </w:r>
    </w:p>
    <w:p w14:paraId="013EBF10" w14:textId="445D7738" w:rsidR="00140765" w:rsidRPr="008B3283" w:rsidRDefault="00140765" w:rsidP="00140765">
      <w:pPr>
        <w:pStyle w:val="ListParagraph"/>
        <w:numPr>
          <w:ilvl w:val="0"/>
          <w:numId w:val="6"/>
        </w:numPr>
        <w:ind w:left="357" w:hanging="357"/>
        <w:contextualSpacing w:val="0"/>
        <w:rPr>
          <w:rFonts w:cs="Arial"/>
        </w:rPr>
      </w:pPr>
      <w:r w:rsidRPr="008B3283">
        <w:rPr>
          <w:rFonts w:cs="Arial"/>
        </w:rPr>
        <w:t xml:space="preserve">To what extent do the underpinning vision principles </w:t>
      </w:r>
      <w:r w:rsidR="00DA6061" w:rsidRPr="008B3283">
        <w:rPr>
          <w:rFonts w:cs="Arial"/>
        </w:rPr>
        <w:t xml:space="preserve">of the Roadmap </w:t>
      </w:r>
      <w:r w:rsidRPr="008B3283">
        <w:rPr>
          <w:rFonts w:cs="Arial"/>
        </w:rPr>
        <w:t xml:space="preserve">provide a comprehensive vision for the jobs and skills system in Regional Australia?  Are these vision principles a useful framework to help consider the jobs and skills system? </w:t>
      </w:r>
      <w:r w:rsidR="000C3931">
        <w:rPr>
          <w:rFonts w:cs="Arial"/>
        </w:rPr>
        <w:t xml:space="preserve">Do they </w:t>
      </w:r>
      <w:r w:rsidR="000C3931">
        <w:rPr>
          <w:rFonts w:cs="Arial"/>
        </w:rPr>
        <w:lastRenderedPageBreak/>
        <w:t xml:space="preserve">support an appropriate consideration of the jobs and skills system for all groups of people? </w:t>
      </w:r>
    </w:p>
    <w:p w14:paraId="775B3DD7" w14:textId="52BB7EAE" w:rsidR="00140765" w:rsidRPr="008B3283" w:rsidRDefault="00140765" w:rsidP="00865A12">
      <w:pPr>
        <w:pStyle w:val="ListParagraph"/>
        <w:numPr>
          <w:ilvl w:val="0"/>
          <w:numId w:val="6"/>
        </w:numPr>
        <w:ind w:left="357" w:hanging="357"/>
        <w:contextualSpacing w:val="0"/>
        <w:rPr>
          <w:rFonts w:cs="Arial"/>
        </w:rPr>
      </w:pPr>
      <w:r w:rsidRPr="008B3283">
        <w:rPr>
          <w:rFonts w:cs="Arial"/>
        </w:rPr>
        <w:t xml:space="preserve">Do the evaluative metrics included in the Roadmap sufficiently reflect the jobs and skills system in Regional Australia?  Do the ratings included in the Roadmap reflect your current experience or perspective of the jobs and skills system in Regional Australia? </w:t>
      </w:r>
    </w:p>
    <w:p w14:paraId="67E8D7C8" w14:textId="1C9ACCDD" w:rsidR="00140765" w:rsidRPr="008B3283" w:rsidRDefault="00140765" w:rsidP="00865A12">
      <w:pPr>
        <w:pStyle w:val="ListParagraph"/>
        <w:numPr>
          <w:ilvl w:val="0"/>
          <w:numId w:val="6"/>
        </w:numPr>
        <w:ind w:left="357" w:hanging="357"/>
        <w:contextualSpacing w:val="0"/>
        <w:rPr>
          <w:rFonts w:cs="Arial"/>
        </w:rPr>
      </w:pPr>
      <w:r w:rsidRPr="008B3283">
        <w:rPr>
          <w:rFonts w:cs="Arial"/>
        </w:rPr>
        <w:t xml:space="preserve">How relevant and useful are the </w:t>
      </w:r>
      <w:r w:rsidR="005D668E">
        <w:rPr>
          <w:rFonts w:cs="Arial"/>
        </w:rPr>
        <w:t>10</w:t>
      </w:r>
      <w:r w:rsidRPr="008B3283">
        <w:rPr>
          <w:rFonts w:cs="Arial"/>
        </w:rPr>
        <w:t xml:space="preserve"> policy design principles? Are the </w:t>
      </w:r>
      <w:r w:rsidR="004613E2" w:rsidRPr="008B3283">
        <w:rPr>
          <w:rFonts w:cs="Arial"/>
        </w:rPr>
        <w:t xml:space="preserve">other </w:t>
      </w:r>
      <w:r w:rsidRPr="008B3283">
        <w:rPr>
          <w:rFonts w:cs="Arial"/>
        </w:rPr>
        <w:t>emerging</w:t>
      </w:r>
      <w:r w:rsidR="004613E2" w:rsidRPr="008B3283">
        <w:rPr>
          <w:rFonts w:cs="Arial"/>
        </w:rPr>
        <w:t xml:space="preserve"> policy</w:t>
      </w:r>
      <w:r w:rsidRPr="008B3283">
        <w:rPr>
          <w:rFonts w:cs="Arial"/>
        </w:rPr>
        <w:t xml:space="preserve"> priorities to enhance the jobs and skills system in Regional Australia consistent with your perspective of priority needs and actions</w:t>
      </w:r>
      <w:r w:rsidR="00352FF9" w:rsidRPr="008B3283">
        <w:rPr>
          <w:rFonts w:cs="Arial"/>
        </w:rPr>
        <w:t xml:space="preserve"> for your region/sector</w:t>
      </w:r>
      <w:r w:rsidRPr="008B3283">
        <w:rPr>
          <w:rFonts w:cs="Arial"/>
        </w:rPr>
        <w:t>?</w:t>
      </w:r>
    </w:p>
    <w:p w14:paraId="7759D801" w14:textId="750C6F2C" w:rsidR="00DA6061" w:rsidRPr="008B3283" w:rsidRDefault="00DA6061" w:rsidP="00DA6061">
      <w:pPr>
        <w:pStyle w:val="ListParagraph"/>
        <w:numPr>
          <w:ilvl w:val="0"/>
          <w:numId w:val="6"/>
        </w:numPr>
        <w:ind w:left="357" w:hanging="357"/>
        <w:contextualSpacing w:val="0"/>
        <w:rPr>
          <w:rFonts w:cs="Arial"/>
        </w:rPr>
      </w:pPr>
      <w:r w:rsidRPr="008B3283">
        <w:rPr>
          <w:rFonts w:cs="Arial"/>
        </w:rPr>
        <w:t xml:space="preserve">How likely are you to </w:t>
      </w:r>
      <w:r w:rsidR="004613E2" w:rsidRPr="008B3283">
        <w:rPr>
          <w:rFonts w:cs="Arial"/>
        </w:rPr>
        <w:t>use</w:t>
      </w:r>
      <w:r w:rsidRPr="008B3283">
        <w:rPr>
          <w:rFonts w:cs="Arial"/>
        </w:rPr>
        <w:t xml:space="preserve"> the </w:t>
      </w:r>
      <w:r w:rsidR="004613E2" w:rsidRPr="008B3283">
        <w:rPr>
          <w:rFonts w:cs="Arial"/>
        </w:rPr>
        <w:t xml:space="preserve">JSA Regional </w:t>
      </w:r>
      <w:r w:rsidRPr="008B3283">
        <w:rPr>
          <w:rFonts w:cs="Arial"/>
        </w:rPr>
        <w:t xml:space="preserve">Roadmap </w:t>
      </w:r>
      <w:r w:rsidR="004613E2" w:rsidRPr="008B3283">
        <w:rPr>
          <w:rFonts w:cs="Arial"/>
        </w:rPr>
        <w:t>as an initial framework to guide the development of a regional roadmap for your specific region or sector</w:t>
      </w:r>
      <w:r w:rsidRPr="008B3283">
        <w:rPr>
          <w:rFonts w:cs="Arial"/>
        </w:rPr>
        <w:t xml:space="preserve">? What would make </w:t>
      </w:r>
      <w:r w:rsidR="004613E2" w:rsidRPr="008B3283">
        <w:rPr>
          <w:rFonts w:cs="Arial"/>
        </w:rPr>
        <w:t>JSA’s</w:t>
      </w:r>
      <w:r w:rsidRPr="008B3283">
        <w:rPr>
          <w:rFonts w:cs="Arial"/>
        </w:rPr>
        <w:t xml:space="preserve"> Roadmap more useful and impactful? </w:t>
      </w:r>
    </w:p>
    <w:p w14:paraId="364114BD" w14:textId="6926D9D9" w:rsidR="00713E7E" w:rsidRPr="00A41995" w:rsidRDefault="00140765" w:rsidP="00A41995">
      <w:pPr>
        <w:pStyle w:val="ListParagraph"/>
        <w:numPr>
          <w:ilvl w:val="0"/>
          <w:numId w:val="6"/>
        </w:numPr>
        <w:ind w:left="357" w:hanging="357"/>
        <w:contextualSpacing w:val="0"/>
        <w:rPr>
          <w:rFonts w:cs="Arial"/>
        </w:rPr>
      </w:pPr>
      <w:r w:rsidRPr="008B3283">
        <w:rPr>
          <w:rFonts w:cs="Arial"/>
        </w:rPr>
        <w:t xml:space="preserve">How can stakeholders work together </w:t>
      </w:r>
      <w:r w:rsidR="004613E2" w:rsidRPr="008B3283">
        <w:rPr>
          <w:rFonts w:cs="Arial"/>
        </w:rPr>
        <w:t xml:space="preserve">and commit </w:t>
      </w:r>
      <w:r w:rsidRPr="008B3283">
        <w:rPr>
          <w:rFonts w:cs="Arial"/>
        </w:rPr>
        <w:t xml:space="preserve">to </w:t>
      </w:r>
      <w:r w:rsidR="008B3283" w:rsidRPr="008B3283">
        <w:rPr>
          <w:rFonts w:cs="Arial"/>
        </w:rPr>
        <w:t>enhancing</w:t>
      </w:r>
      <w:r w:rsidRPr="008B3283">
        <w:rPr>
          <w:rFonts w:cs="Arial"/>
        </w:rPr>
        <w:t xml:space="preserve"> the </w:t>
      </w:r>
      <w:r w:rsidR="008B3283" w:rsidRPr="008B3283">
        <w:rPr>
          <w:rFonts w:cs="Arial"/>
        </w:rPr>
        <w:t>jobs and skills system</w:t>
      </w:r>
      <w:r w:rsidRPr="008B3283">
        <w:rPr>
          <w:rFonts w:cs="Arial"/>
        </w:rPr>
        <w:t xml:space="preserve"> in </w:t>
      </w:r>
      <w:r w:rsidR="008B3283" w:rsidRPr="008B3283">
        <w:rPr>
          <w:rFonts w:cs="Arial"/>
        </w:rPr>
        <w:t>Regional Australia</w:t>
      </w:r>
      <w:r w:rsidRPr="008B3283">
        <w:rPr>
          <w:rFonts w:cs="Arial"/>
        </w:rPr>
        <w:t xml:space="preserve">? How can JSA </w:t>
      </w:r>
      <w:r w:rsidR="008B3283" w:rsidRPr="008B3283">
        <w:rPr>
          <w:rFonts w:cs="Arial"/>
        </w:rPr>
        <w:t xml:space="preserve">help facilitate and </w:t>
      </w:r>
      <w:r w:rsidRPr="008B3283">
        <w:rPr>
          <w:rFonts w:cs="Arial"/>
        </w:rPr>
        <w:t>support this?</w:t>
      </w:r>
    </w:p>
    <w:p w14:paraId="6137A766" w14:textId="6EA28BF3" w:rsidR="00A41995" w:rsidRPr="00865A12" w:rsidRDefault="00A41995" w:rsidP="00A41995">
      <w:pPr>
        <w:pStyle w:val="Heading3"/>
      </w:pPr>
      <w:r>
        <w:t>Where can I find out more about h</w:t>
      </w:r>
      <w:r w:rsidRPr="006B4131">
        <w:t xml:space="preserve">ow </w:t>
      </w:r>
      <w:r>
        <w:t xml:space="preserve">to </w:t>
      </w:r>
      <w:r w:rsidRPr="006B4131">
        <w:t>make a submission?</w:t>
      </w:r>
    </w:p>
    <w:p w14:paraId="2A2DA54A" w14:textId="29C5B555" w:rsidR="00A41995" w:rsidRDefault="002D00DF" w:rsidP="00A41995">
      <w:pPr>
        <w:rPr>
          <w:rFonts w:cs="Arial"/>
        </w:rPr>
      </w:pPr>
      <w:r>
        <w:rPr>
          <w:rFonts w:cs="Arial"/>
        </w:rPr>
        <w:t xml:space="preserve">Further information about the submission and consultation process, including how to make a submission, can be found at </w:t>
      </w:r>
      <w:hyperlink r:id="rId91" w:history="1">
        <w:r w:rsidRPr="00950E9B">
          <w:rPr>
            <w:rStyle w:val="Hyperlink"/>
            <w:rFonts w:cs="Arial"/>
          </w:rPr>
          <w:t>https://www.jobsandskills.gov.au/consultations/</w:t>
        </w:r>
      </w:hyperlink>
      <w:r>
        <w:rPr>
          <w:rFonts w:cs="Arial"/>
        </w:rPr>
        <w:t xml:space="preserve"> </w:t>
      </w:r>
    </w:p>
    <w:p w14:paraId="628E0DA6" w14:textId="20CA4D28" w:rsidR="00865A12" w:rsidRDefault="00140765" w:rsidP="00140765">
      <w:pPr>
        <w:rPr>
          <w:rFonts w:cs="Arial"/>
        </w:rPr>
      </w:pPr>
      <w:r w:rsidRPr="00B23971">
        <w:rPr>
          <w:rFonts w:cs="Arial"/>
        </w:rPr>
        <w:t xml:space="preserve">For questions or assistance, please email: </w:t>
      </w:r>
      <w:hyperlink r:id="rId92" w:history="1">
        <w:r w:rsidRPr="00B23971">
          <w:rPr>
            <w:rStyle w:val="Hyperlink"/>
            <w:rFonts w:cs="Arial"/>
          </w:rPr>
          <w:t>RegionalWorkforceAssessment@jobsandskills.gov.au</w:t>
        </w:r>
      </w:hyperlink>
    </w:p>
    <w:p w14:paraId="44F5F1C2" w14:textId="77777777" w:rsidR="002D00DF" w:rsidRPr="002D00DF" w:rsidRDefault="002D00DF" w:rsidP="00140765">
      <w:pPr>
        <w:rPr>
          <w:rFonts w:cs="Arial"/>
        </w:rPr>
      </w:pPr>
    </w:p>
    <w:p w14:paraId="5599867C" w14:textId="77777777" w:rsidR="00A41995" w:rsidRPr="00A41995" w:rsidRDefault="00A41995" w:rsidP="00A41995">
      <w:pPr>
        <w:spacing w:after="160" w:line="259" w:lineRule="auto"/>
        <w:rPr>
          <w:rFonts w:cs="Arial"/>
          <w:b/>
        </w:rPr>
      </w:pPr>
      <w:r w:rsidRPr="00A41995">
        <w:rPr>
          <w:rFonts w:cs="Arial"/>
          <w:b/>
          <w:bCs/>
        </w:rPr>
        <w:t>Privacy Statement &amp; Disclaimer</w:t>
      </w:r>
    </w:p>
    <w:p w14:paraId="7DC914F1" w14:textId="77777777" w:rsidR="00A41995" w:rsidRPr="00A41995" w:rsidRDefault="00A41995" w:rsidP="00A41995">
      <w:pPr>
        <w:spacing w:after="160" w:line="259" w:lineRule="auto"/>
        <w:rPr>
          <w:rFonts w:cs="Arial"/>
          <w:bCs/>
        </w:rPr>
      </w:pPr>
      <w:r w:rsidRPr="00A41995">
        <w:rPr>
          <w:rFonts w:cs="Arial"/>
          <w:bCs/>
        </w:rPr>
        <w:t xml:space="preserve">Jobs and Skills Australia (JSA) may use the information provided to help inform further iterations of the Roadmap, policy and research, but any quotes or direct references will only be used with your permission. JSA reserves the right to not review or utilise any material submitted as part of this stakeholder consultation process. This includes (but is not limited to) material that is offensive, potentially defamatory, or clearly out of scope. All submissions are confidential and will not be published. If JSA wishes to quote any part of your submission, we will contact you via the email address you have provided. Information provided, including personal details, will only be used for the purpose for which they have been provided, as per JSA’s </w:t>
      </w:r>
      <w:hyperlink r:id="rId93" w:tgtFrame="_blank" w:tooltip="https://www.jobsandskills.gov.au/privacy" w:history="1">
        <w:r w:rsidRPr="00A41995">
          <w:rPr>
            <w:rStyle w:val="Hyperlink"/>
            <w:rFonts w:cs="Arial"/>
            <w:bCs/>
          </w:rPr>
          <w:t>Privacy Policy</w:t>
        </w:r>
      </w:hyperlink>
      <w:r w:rsidRPr="00A41995">
        <w:rPr>
          <w:rFonts w:cs="Arial"/>
          <w:bCs/>
        </w:rPr>
        <w:t>.</w:t>
      </w:r>
    </w:p>
    <w:p w14:paraId="67D3E3C8" w14:textId="7C048CC6" w:rsidR="007671DD" w:rsidRDefault="007671DD" w:rsidP="00140765">
      <w:pPr>
        <w:spacing w:after="160" w:line="259" w:lineRule="auto"/>
        <w:rPr>
          <w:b/>
          <w:bCs/>
          <w:sz w:val="32"/>
          <w:szCs w:val="32"/>
          <w:highlight w:val="yellow"/>
        </w:rPr>
      </w:pPr>
      <w:r>
        <w:rPr>
          <w:b/>
          <w:bCs/>
          <w:sz w:val="32"/>
          <w:szCs w:val="32"/>
          <w:highlight w:val="yellow"/>
        </w:rPr>
        <w:br w:type="page"/>
      </w:r>
    </w:p>
    <w:p w14:paraId="388671D6" w14:textId="50B0D8C4" w:rsidR="005F6D84" w:rsidRPr="00B92BC3" w:rsidRDefault="000901AD" w:rsidP="00B92BC3">
      <w:pPr>
        <w:pStyle w:val="Heading1unnumbered"/>
        <w:rPr>
          <w:color w:val="FFFFFF" w:themeColor="background1"/>
        </w:rPr>
      </w:pPr>
      <w:r w:rsidRPr="00B92BC3">
        <w:rPr>
          <w:bCs/>
          <w:noProof/>
          <w:color w:val="FFFFFF" w:themeColor="background1"/>
        </w:rPr>
        <w:lastRenderedPageBreak/>
        <w:drawing>
          <wp:anchor distT="0" distB="0" distL="114300" distR="114300" simplePos="0" relativeHeight="251947520" behindDoc="1" locked="0" layoutInCell="1" allowOverlap="1" wp14:anchorId="1A356CDF" wp14:editId="703C534F">
            <wp:simplePos x="0" y="0"/>
            <wp:positionH relativeFrom="page">
              <wp:align>right</wp:align>
            </wp:positionH>
            <wp:positionV relativeFrom="paragraph">
              <wp:posOffset>-808157</wp:posOffset>
            </wp:positionV>
            <wp:extent cx="7547269" cy="10675917"/>
            <wp:effectExtent l="0" t="0" r="0" b="0"/>
            <wp:wrapNone/>
            <wp:docPr id="178793151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31517" name="Picture 6">
                      <a:extLst>
                        <a:ext uri="{C183D7F6-B498-43B3-948B-1728B52AA6E4}">
                          <adec:decorative xmlns:adec="http://schemas.microsoft.com/office/drawing/2017/decorative" val="1"/>
                        </a:ext>
                      </a:extLst>
                    </pic:cNvPr>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7547269" cy="10675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6D84" w:rsidRPr="00B92BC3">
        <w:rPr>
          <w:color w:val="FFFFFF" w:themeColor="background1"/>
        </w:rPr>
        <w:t>Appendi</w:t>
      </w:r>
      <w:r w:rsidR="00FC0B48" w:rsidRPr="00B92BC3">
        <w:rPr>
          <w:color w:val="FFFFFF" w:themeColor="background1"/>
        </w:rPr>
        <w:t>ces</w:t>
      </w:r>
    </w:p>
    <w:p w14:paraId="2F444E9C" w14:textId="0268BEAD" w:rsidR="00FC0B48" w:rsidRPr="00E319C8" w:rsidRDefault="00FC0B48" w:rsidP="00B92BC3">
      <w:pPr>
        <w:pStyle w:val="Heading1unnumbered"/>
      </w:pPr>
      <w:r>
        <w:br w:type="page"/>
      </w:r>
      <w:r w:rsidR="00FB7E2F" w:rsidRPr="00FB7E2F">
        <w:rPr>
          <w:noProof/>
        </w:rPr>
        <w:lastRenderedPageBreak/>
        <w:drawing>
          <wp:anchor distT="0" distB="0" distL="114300" distR="114300" simplePos="0" relativeHeight="251969024" behindDoc="1" locked="0" layoutInCell="1" allowOverlap="1" wp14:anchorId="07679445" wp14:editId="5554E7F2">
            <wp:simplePos x="0" y="0"/>
            <wp:positionH relativeFrom="page">
              <wp:posOffset>-35626</wp:posOffset>
            </wp:positionH>
            <wp:positionV relativeFrom="paragraph">
              <wp:posOffset>-843783</wp:posOffset>
            </wp:positionV>
            <wp:extent cx="7564046" cy="10699602"/>
            <wp:effectExtent l="0" t="0" r="0" b="6985"/>
            <wp:wrapNone/>
            <wp:docPr id="145953971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39717" name="Picture 8">
                      <a:extLst>
                        <a:ext uri="{C183D7F6-B498-43B3-948B-1728B52AA6E4}">
                          <adec:decorative xmlns:adec="http://schemas.microsoft.com/office/drawing/2017/decorative" val="1"/>
                        </a:ext>
                      </a:extLst>
                    </pic:cNvPr>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7564046" cy="106996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19C8">
        <w:t xml:space="preserve">Appendix 1: </w:t>
      </w:r>
      <w:r w:rsidR="006F2FCE">
        <w:t>Roadmap metrics by State and Territory</w:t>
      </w:r>
    </w:p>
    <w:p w14:paraId="18C9E6AD" w14:textId="4D554514" w:rsidR="005F6D84" w:rsidRPr="00632531" w:rsidRDefault="006F2FCE" w:rsidP="005F6D84">
      <w:pPr>
        <w:pStyle w:val="TOCHeading"/>
        <w:rPr>
          <w:rFonts w:eastAsiaTheme="minorHAnsi" w:cstheme="minorBidi"/>
          <w:b w:val="0"/>
          <w:color w:val="auto"/>
          <w:sz w:val="40"/>
          <w:szCs w:val="40"/>
          <w:lang w:val="en-AU"/>
        </w:rPr>
      </w:pPr>
      <w:r>
        <w:rPr>
          <w:rFonts w:eastAsiaTheme="minorHAnsi" w:cstheme="minorBidi"/>
          <w:b w:val="0"/>
          <w:color w:val="auto"/>
          <w:sz w:val="40"/>
          <w:szCs w:val="40"/>
          <w:lang w:val="en-AU"/>
        </w:rPr>
        <w:t xml:space="preserve">An initial assessment of the current state of the jobs and skills system </w:t>
      </w:r>
      <w:r w:rsidR="00FB36D7">
        <w:rPr>
          <w:rFonts w:eastAsiaTheme="minorHAnsi" w:cstheme="minorBidi"/>
          <w:b w:val="0"/>
          <w:color w:val="auto"/>
          <w:sz w:val="40"/>
          <w:szCs w:val="40"/>
          <w:lang w:val="en-AU"/>
        </w:rPr>
        <w:t>across the regional areas of each State and Territory, utilising the framework of the Roadmap</w:t>
      </w:r>
      <w:r w:rsidR="00FC0B48" w:rsidRPr="00632531">
        <w:rPr>
          <w:rFonts w:eastAsiaTheme="minorHAnsi" w:cstheme="minorBidi"/>
          <w:b w:val="0"/>
          <w:color w:val="auto"/>
          <w:sz w:val="40"/>
          <w:szCs w:val="40"/>
          <w:lang w:val="en-AU"/>
        </w:rPr>
        <w:br w:type="page"/>
      </w:r>
    </w:p>
    <w:p w14:paraId="36BA9A02" w14:textId="26B431BB" w:rsidR="003D38EF" w:rsidRPr="00A54285" w:rsidRDefault="003D38EF" w:rsidP="00615975">
      <w:pPr>
        <w:pStyle w:val="Heading1"/>
      </w:pPr>
      <w:bookmarkStart w:id="192" w:name="_Toc200637155"/>
      <w:bookmarkStart w:id="193" w:name="_Toc201070197"/>
      <w:bookmarkStart w:id="194" w:name="_Toc201919860"/>
      <w:bookmarkStart w:id="195" w:name="_Toc202361888"/>
      <w:r w:rsidRPr="003D38EF">
        <w:lastRenderedPageBreak/>
        <w:t>Appendix 1: Roadmap metrics by State and Territory</w:t>
      </w:r>
      <w:bookmarkEnd w:id="192"/>
      <w:bookmarkEnd w:id="193"/>
      <w:bookmarkEnd w:id="194"/>
      <w:bookmarkEnd w:id="195"/>
    </w:p>
    <w:p w14:paraId="67B67BA3" w14:textId="77777777" w:rsidR="0045196E" w:rsidRPr="004A3C70" w:rsidRDefault="0045196E" w:rsidP="004D5FFF">
      <w:pPr>
        <w:pStyle w:val="Heading3"/>
      </w:pPr>
      <w:r w:rsidRPr="004A3C70">
        <w:t>Evaluative metrics by State and Territory</w:t>
      </w:r>
    </w:p>
    <w:p w14:paraId="34C251B1" w14:textId="651955CC" w:rsidR="00967EA9" w:rsidRDefault="00D96BF0" w:rsidP="004D5FFF">
      <w:pPr>
        <w:pStyle w:val="BodyText"/>
      </w:pPr>
      <w:r>
        <w:t>The Regional</w:t>
      </w:r>
      <w:r w:rsidR="00361D80">
        <w:t xml:space="preserve"> Roadmap</w:t>
      </w:r>
      <w:r w:rsidR="00361D80" w:rsidRPr="005D247D">
        <w:t xml:space="preserve"> provides a national framework with a national vision for </w:t>
      </w:r>
      <w:r w:rsidR="00361D80">
        <w:t>R</w:t>
      </w:r>
      <w:r w:rsidR="00361D80" w:rsidRPr="005D247D">
        <w:t>egional Australia</w:t>
      </w:r>
      <w:r w:rsidR="00361D80">
        <w:t xml:space="preserve">. It is underpinned by </w:t>
      </w:r>
      <w:r w:rsidR="00285E8D">
        <w:t>5</w:t>
      </w:r>
      <w:r w:rsidR="00454327">
        <w:t xml:space="preserve"> </w:t>
      </w:r>
      <w:r w:rsidR="00361D80" w:rsidRPr="005D247D">
        <w:t>vision principles and progress measures.</w:t>
      </w:r>
      <w:r w:rsidR="00361D80">
        <w:t xml:space="preserve"> </w:t>
      </w:r>
      <w:r w:rsidR="00361D80" w:rsidRPr="0023750A">
        <w:t xml:space="preserve">This work has identified a number of important common challenges for Regional Australia that </w:t>
      </w:r>
      <w:r w:rsidR="00361D80">
        <w:t>exist</w:t>
      </w:r>
      <w:r w:rsidR="00361D80" w:rsidRPr="0023750A">
        <w:t xml:space="preserve"> across the states and </w:t>
      </w:r>
      <w:r w:rsidR="005D6008" w:rsidRPr="0023750A">
        <w:t>territories.</w:t>
      </w:r>
      <w:r w:rsidR="005D6008">
        <w:t xml:space="preserve"> </w:t>
      </w:r>
    </w:p>
    <w:p w14:paraId="16C2BE65" w14:textId="64DDA3A4" w:rsidR="009D33F6" w:rsidRDefault="005D6008" w:rsidP="004D5FFF">
      <w:pPr>
        <w:pStyle w:val="BodyText"/>
      </w:pPr>
      <w:r w:rsidRPr="00DC2756">
        <w:t>The</w:t>
      </w:r>
      <w:r w:rsidR="00690C44" w:rsidRPr="00DC2756">
        <w:t xml:space="preserve"> </w:t>
      </w:r>
      <w:r w:rsidR="00361D80" w:rsidRPr="00DC2756">
        <w:t>Phase 2 Report will test the national framework at the state and territory level</w:t>
      </w:r>
      <w:r w:rsidR="00690C44" w:rsidRPr="00DC2756">
        <w:t xml:space="preserve"> and </w:t>
      </w:r>
      <w:r w:rsidR="006B7280" w:rsidRPr="00DC2756">
        <w:t xml:space="preserve">allow for </w:t>
      </w:r>
      <w:r w:rsidR="00690C44" w:rsidRPr="00DC2756">
        <w:t xml:space="preserve">sub-state </w:t>
      </w:r>
      <w:r w:rsidRPr="00DC2756">
        <w:t>analysis to be targeted to specific regions or types of regions</w:t>
      </w:r>
      <w:r w:rsidR="009D5ACB" w:rsidRPr="00DC2756">
        <w:t>.</w:t>
      </w:r>
      <w:r w:rsidR="00967EA9" w:rsidRPr="00DC2756">
        <w:t xml:space="preserve"> In Phase 2, </w:t>
      </w:r>
      <w:r w:rsidR="006937B7" w:rsidRPr="00DC2756">
        <w:t>where possible, each indicator will be assessed on the current rate (</w:t>
      </w:r>
      <w:r w:rsidR="00DC2756" w:rsidRPr="00DC2756">
        <w:t xml:space="preserve">how it compares to historical outcomes, outcomes for </w:t>
      </w:r>
      <w:r w:rsidR="003A7518">
        <w:t>the Major Cities of</w:t>
      </w:r>
      <w:r w:rsidR="00DC2756" w:rsidRPr="00DC2756">
        <w:t xml:space="preserve"> Australia and other useful benchmarks) and direction of trend (is whether the indicator is improving, weakening or relatively stable)</w:t>
      </w:r>
      <w:r w:rsidR="00DC2756">
        <w:t xml:space="preserve"> and a overall rating or assessment will be provided for each vision principle</w:t>
      </w:r>
      <w:r w:rsidR="00164F0A">
        <w:t xml:space="preserve">. </w:t>
      </w:r>
      <w:r w:rsidR="00DC2756">
        <w:t xml:space="preserve">The tables below </w:t>
      </w:r>
      <w:r w:rsidR="00AD0255">
        <w:t>highlight a</w:t>
      </w:r>
      <w:r w:rsidR="00DC2756">
        <w:t xml:space="preserve"> </w:t>
      </w:r>
      <w:r w:rsidR="007966DB">
        <w:t xml:space="preserve">snapshot of </w:t>
      </w:r>
      <w:r w:rsidR="00B93692">
        <w:t>evaluative framework from the current rate perspective</w:t>
      </w:r>
      <w:r w:rsidR="00164F0A">
        <w:t xml:space="preserve">, by state and territory. </w:t>
      </w:r>
    </w:p>
    <w:p w14:paraId="72736B3B" w14:textId="77777777" w:rsidR="00E22FAE" w:rsidRDefault="00E22FAE" w:rsidP="00B93692">
      <w:pPr>
        <w:spacing w:afterLines="100" w:after="240"/>
        <w:rPr>
          <w:rFonts w:cs="Arial"/>
        </w:rPr>
        <w:sectPr w:rsidR="00E22FAE" w:rsidSect="001F3311">
          <w:headerReference w:type="first" r:id="rId94"/>
          <w:footerReference w:type="first" r:id="rId95"/>
          <w:footnotePr>
            <w:pos w:val="beneathText"/>
          </w:footnotePr>
          <w:pgSz w:w="11907" w:h="16839" w:code="9"/>
          <w:pgMar w:top="1270" w:right="1440" w:bottom="1270" w:left="1440" w:header="0" w:footer="539" w:gutter="0"/>
          <w:pgBorders w:offsetFrom="page">
            <w:top w:val="single" w:sz="4" w:space="24" w:color="A6A6A6" w:themeColor="background1" w:themeShade="A6"/>
            <w:left w:val="single" w:sz="4" w:space="24" w:color="A6A6A6" w:themeColor="background1" w:themeShade="A6"/>
            <w:bottom w:val="single" w:sz="4" w:space="24" w:color="A6A6A6" w:themeColor="background1" w:themeShade="A6"/>
            <w:right w:val="single" w:sz="4" w:space="24" w:color="A6A6A6" w:themeColor="background1" w:themeShade="A6"/>
          </w:pgBorders>
          <w:cols w:space="720"/>
          <w:docGrid w:linePitch="360"/>
        </w:sectPr>
      </w:pPr>
    </w:p>
    <w:p w14:paraId="2F9A2BB3" w14:textId="3CA035CD" w:rsidR="00134CDE" w:rsidRDefault="00F111BD" w:rsidP="00A27EC5">
      <w:pPr>
        <w:pStyle w:val="Heading2"/>
      </w:pPr>
      <w:bookmarkStart w:id="196" w:name="_Toc198811066"/>
      <w:bookmarkStart w:id="197" w:name="_Toc200637156"/>
      <w:bookmarkStart w:id="198" w:name="_Toc201070198"/>
      <w:bookmarkStart w:id="199" w:name="_Toc201919861"/>
      <w:bookmarkStart w:id="200" w:name="_Toc202361889"/>
      <w:r>
        <w:lastRenderedPageBreak/>
        <w:t xml:space="preserve">Summary of </w:t>
      </w:r>
      <w:r w:rsidR="00C8224F">
        <w:t xml:space="preserve">Roadmap indicators by </w:t>
      </w:r>
      <w:r w:rsidR="0015084C">
        <w:t>s</w:t>
      </w:r>
      <w:r w:rsidR="00C8224F">
        <w:t xml:space="preserve">tate and </w:t>
      </w:r>
      <w:bookmarkEnd w:id="196"/>
      <w:bookmarkEnd w:id="197"/>
      <w:r w:rsidR="0015084C">
        <w:t>t</w:t>
      </w:r>
      <w:r w:rsidR="00C8224F">
        <w:t>erritory</w:t>
      </w:r>
      <w:bookmarkEnd w:id="198"/>
      <w:bookmarkEnd w:id="199"/>
      <w:bookmarkEnd w:id="200"/>
    </w:p>
    <w:p w14:paraId="4A0EAD3B" w14:textId="704FA825" w:rsidR="00134CDE" w:rsidRPr="00DF40DF" w:rsidRDefault="00AD0C68" w:rsidP="00AD0C68">
      <w:pPr>
        <w:pStyle w:val="Caption"/>
      </w:pPr>
      <w:r>
        <w:t xml:space="preserve">Table </w:t>
      </w:r>
      <w:r>
        <w:fldChar w:fldCharType="begin"/>
      </w:r>
      <w:r>
        <w:instrText xml:space="preserve"> SEQ Table \* ARABIC </w:instrText>
      </w:r>
      <w:r>
        <w:fldChar w:fldCharType="separate"/>
      </w:r>
      <w:r w:rsidR="00471863">
        <w:rPr>
          <w:noProof/>
        </w:rPr>
        <w:t>32</w:t>
      </w:r>
      <w:r>
        <w:fldChar w:fldCharType="end"/>
      </w:r>
      <w:r w:rsidR="00134CDE" w:rsidRPr="0048438C">
        <w:rPr>
          <w:b w:val="0"/>
          <w:bCs w:val="0"/>
        </w:rPr>
        <w:t>:</w:t>
      </w:r>
      <w:r w:rsidR="00AB7FF1">
        <w:rPr>
          <w:b w:val="0"/>
          <w:bCs w:val="0"/>
        </w:rPr>
        <w:t xml:space="preserve"> </w:t>
      </w:r>
      <w:r w:rsidR="00AB7FF1" w:rsidRPr="00DF40DF">
        <w:t xml:space="preserve">Summary </w:t>
      </w:r>
      <w:r w:rsidR="00437BED" w:rsidRPr="00DF40DF">
        <w:t xml:space="preserve">of Roadmap indicators </w:t>
      </w:r>
      <w:r w:rsidR="0015084C" w:rsidRPr="00DF40DF">
        <w:t>state and territory</w:t>
      </w:r>
    </w:p>
    <w:tbl>
      <w:tblPr>
        <w:tblStyle w:val="PlainTable4"/>
        <w:tblW w:w="15168" w:type="dxa"/>
        <w:tblInd w:w="-567" w:type="dxa"/>
        <w:tblLook w:val="02A0" w:firstRow="1" w:lastRow="0" w:firstColumn="1" w:lastColumn="0" w:noHBand="1" w:noVBand="0"/>
      </w:tblPr>
      <w:tblGrid>
        <w:gridCol w:w="6547"/>
        <w:gridCol w:w="683"/>
        <w:gridCol w:w="843"/>
        <w:gridCol w:w="811"/>
        <w:gridCol w:w="811"/>
        <w:gridCol w:w="811"/>
        <w:gridCol w:w="808"/>
        <w:gridCol w:w="808"/>
        <w:gridCol w:w="1072"/>
        <w:gridCol w:w="809"/>
        <w:gridCol w:w="1165"/>
      </w:tblGrid>
      <w:tr w:rsidR="00EC7FBD" w:rsidRPr="00653483" w14:paraId="4F251B60" w14:textId="59DF149A" w:rsidTr="001376A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547" w:type="dxa"/>
            <w:shd w:val="clear" w:color="auto" w:fill="370663"/>
            <w:vAlign w:val="center"/>
          </w:tcPr>
          <w:p w14:paraId="6F01EFDD" w14:textId="69B316B7" w:rsidR="007F0C54" w:rsidRPr="00A35BC7" w:rsidRDefault="00082DC4">
            <w:pPr>
              <w:spacing w:before="120" w:after="120"/>
              <w:rPr>
                <w:rFonts w:cs="Arial"/>
                <w:color w:val="FFFFFF" w:themeColor="background1"/>
                <w:sz w:val="20"/>
                <w:szCs w:val="20"/>
              </w:rPr>
            </w:pPr>
            <w:r>
              <w:rPr>
                <w:rFonts w:cs="Arial"/>
                <w:color w:val="FFFFFF" w:themeColor="background1"/>
                <w:sz w:val="20"/>
                <w:szCs w:val="20"/>
              </w:rPr>
              <w:t xml:space="preserve">Roadmap </w:t>
            </w:r>
            <w:r w:rsidR="00C014B8">
              <w:rPr>
                <w:rFonts w:cs="Arial"/>
                <w:color w:val="FFFFFF" w:themeColor="background1"/>
                <w:sz w:val="20"/>
                <w:szCs w:val="20"/>
              </w:rPr>
              <w:t>Indicators</w:t>
            </w:r>
          </w:p>
        </w:tc>
        <w:tc>
          <w:tcPr>
            <w:cnfStyle w:val="000010000000" w:firstRow="0" w:lastRow="0" w:firstColumn="0" w:lastColumn="0" w:oddVBand="1" w:evenVBand="0" w:oddHBand="0" w:evenHBand="0" w:firstRowFirstColumn="0" w:firstRowLastColumn="0" w:lastRowFirstColumn="0" w:lastRowLastColumn="0"/>
            <w:tcW w:w="683" w:type="dxa"/>
            <w:shd w:val="clear" w:color="auto" w:fill="370663"/>
            <w:vAlign w:val="center"/>
          </w:tcPr>
          <w:p w14:paraId="385BF037" w14:textId="3EBF5F71" w:rsidR="007F0C54" w:rsidRPr="00A35BC7" w:rsidRDefault="007F0C54">
            <w:pPr>
              <w:spacing w:before="120" w:after="120"/>
              <w:jc w:val="center"/>
              <w:rPr>
                <w:rFonts w:cs="Arial"/>
                <w:color w:val="FFFFFF" w:themeColor="background1"/>
                <w:sz w:val="20"/>
                <w:szCs w:val="20"/>
              </w:rPr>
            </w:pPr>
            <w:r w:rsidRPr="00A35BC7">
              <w:rPr>
                <w:rFonts w:cs="Arial"/>
                <w:color w:val="FFFFFF" w:themeColor="background1"/>
                <w:sz w:val="20"/>
                <w:szCs w:val="20"/>
              </w:rPr>
              <w:t>Re</w:t>
            </w:r>
            <w:r w:rsidR="00BF4764">
              <w:rPr>
                <w:rFonts w:cs="Arial"/>
                <w:color w:val="FFFFFF" w:themeColor="background1"/>
                <w:sz w:val="20"/>
                <w:szCs w:val="20"/>
              </w:rPr>
              <w:t>g</w:t>
            </w:r>
            <w:r w:rsidR="00E33555">
              <w:rPr>
                <w:rFonts w:cs="Arial"/>
                <w:color w:val="FFFFFF" w:themeColor="background1"/>
                <w:sz w:val="20"/>
                <w:szCs w:val="20"/>
              </w:rPr>
              <w:t>.</w:t>
            </w:r>
            <w:r w:rsidRPr="00A35BC7">
              <w:rPr>
                <w:rFonts w:cs="Arial"/>
                <w:color w:val="FFFFFF" w:themeColor="background1"/>
                <w:sz w:val="20"/>
                <w:szCs w:val="20"/>
              </w:rPr>
              <w:t xml:space="preserve"> NSW</w:t>
            </w:r>
          </w:p>
        </w:tc>
        <w:tc>
          <w:tcPr>
            <w:tcW w:w="843" w:type="dxa"/>
            <w:shd w:val="clear" w:color="auto" w:fill="370663"/>
            <w:vAlign w:val="center"/>
          </w:tcPr>
          <w:p w14:paraId="3A1B3C6E" w14:textId="57AF202A" w:rsidR="007F0C54" w:rsidRPr="00A35BC7" w:rsidRDefault="007F0C54">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A35BC7">
              <w:rPr>
                <w:rFonts w:cs="Arial"/>
                <w:color w:val="FFFFFF" w:themeColor="background1"/>
                <w:sz w:val="20"/>
                <w:szCs w:val="20"/>
              </w:rPr>
              <w:t>Reg</w:t>
            </w:r>
            <w:r w:rsidR="00E33555">
              <w:rPr>
                <w:rFonts w:cs="Arial"/>
                <w:color w:val="FFFFFF" w:themeColor="background1"/>
                <w:sz w:val="20"/>
                <w:szCs w:val="20"/>
              </w:rPr>
              <w:t xml:space="preserve">. </w:t>
            </w:r>
            <w:r w:rsidRPr="00A35BC7">
              <w:rPr>
                <w:rFonts w:cs="Arial"/>
                <w:color w:val="FFFFFF" w:themeColor="background1"/>
                <w:sz w:val="20"/>
                <w:szCs w:val="20"/>
              </w:rPr>
              <w:t>Vic</w:t>
            </w:r>
          </w:p>
        </w:tc>
        <w:tc>
          <w:tcPr>
            <w:cnfStyle w:val="000010000000" w:firstRow="0" w:lastRow="0" w:firstColumn="0" w:lastColumn="0" w:oddVBand="1" w:evenVBand="0" w:oddHBand="0" w:evenHBand="0" w:firstRowFirstColumn="0" w:firstRowLastColumn="0" w:lastRowFirstColumn="0" w:lastRowLastColumn="0"/>
            <w:tcW w:w="811" w:type="dxa"/>
            <w:shd w:val="clear" w:color="auto" w:fill="370663"/>
          </w:tcPr>
          <w:p w14:paraId="67F96209" w14:textId="4EF31B9A" w:rsidR="007F0C54" w:rsidRPr="00A35BC7" w:rsidRDefault="007F0C54">
            <w:pPr>
              <w:spacing w:before="120" w:after="120"/>
              <w:jc w:val="center"/>
              <w:rPr>
                <w:rFonts w:cs="Arial"/>
                <w:color w:val="FFFFFF" w:themeColor="background1"/>
                <w:sz w:val="20"/>
                <w:szCs w:val="20"/>
              </w:rPr>
            </w:pPr>
            <w:r w:rsidRPr="00A35BC7">
              <w:rPr>
                <w:rFonts w:cs="Arial"/>
                <w:color w:val="FFFFFF" w:themeColor="background1"/>
                <w:sz w:val="20"/>
                <w:szCs w:val="20"/>
              </w:rPr>
              <w:t>Reg</w:t>
            </w:r>
            <w:r w:rsidR="00E33555">
              <w:rPr>
                <w:rFonts w:cs="Arial"/>
                <w:color w:val="FFFFFF" w:themeColor="background1"/>
                <w:sz w:val="20"/>
                <w:szCs w:val="20"/>
              </w:rPr>
              <w:t>.</w:t>
            </w:r>
            <w:r w:rsidRPr="00A35BC7">
              <w:rPr>
                <w:rFonts w:cs="Arial"/>
                <w:color w:val="FFFFFF" w:themeColor="background1"/>
                <w:sz w:val="20"/>
                <w:szCs w:val="20"/>
              </w:rPr>
              <w:t xml:space="preserve"> QLD</w:t>
            </w:r>
          </w:p>
        </w:tc>
        <w:tc>
          <w:tcPr>
            <w:tcW w:w="811" w:type="dxa"/>
            <w:shd w:val="clear" w:color="auto" w:fill="370663"/>
          </w:tcPr>
          <w:p w14:paraId="0F3E7B22" w14:textId="6AEFE8C6" w:rsidR="007F0C54" w:rsidRPr="00A35BC7" w:rsidRDefault="007F0C54">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A35BC7">
              <w:rPr>
                <w:rFonts w:cs="Arial"/>
                <w:color w:val="FFFFFF" w:themeColor="background1"/>
                <w:sz w:val="20"/>
                <w:szCs w:val="20"/>
              </w:rPr>
              <w:t>Reg</w:t>
            </w:r>
            <w:r w:rsidR="00E33555">
              <w:rPr>
                <w:rFonts w:cs="Arial"/>
                <w:color w:val="FFFFFF" w:themeColor="background1"/>
                <w:sz w:val="20"/>
                <w:szCs w:val="20"/>
              </w:rPr>
              <w:t>.</w:t>
            </w:r>
            <w:r w:rsidRPr="00A35BC7">
              <w:rPr>
                <w:rFonts w:cs="Arial"/>
                <w:color w:val="FFFFFF" w:themeColor="background1"/>
                <w:sz w:val="20"/>
                <w:szCs w:val="20"/>
              </w:rPr>
              <w:t xml:space="preserve"> SA</w:t>
            </w:r>
          </w:p>
        </w:tc>
        <w:tc>
          <w:tcPr>
            <w:cnfStyle w:val="000010000000" w:firstRow="0" w:lastRow="0" w:firstColumn="0" w:lastColumn="0" w:oddVBand="1" w:evenVBand="0" w:oddHBand="0" w:evenHBand="0" w:firstRowFirstColumn="0" w:firstRowLastColumn="0" w:lastRowFirstColumn="0" w:lastRowLastColumn="0"/>
            <w:tcW w:w="811" w:type="dxa"/>
            <w:shd w:val="clear" w:color="auto" w:fill="370663"/>
          </w:tcPr>
          <w:p w14:paraId="3F6D50D4" w14:textId="289DBC7E" w:rsidR="007F0C54" w:rsidRPr="00A35BC7" w:rsidRDefault="007F0C54">
            <w:pPr>
              <w:spacing w:before="120" w:after="120"/>
              <w:jc w:val="center"/>
              <w:rPr>
                <w:rFonts w:cs="Arial"/>
                <w:color w:val="FFFFFF" w:themeColor="background1"/>
                <w:sz w:val="20"/>
                <w:szCs w:val="20"/>
              </w:rPr>
            </w:pPr>
            <w:r w:rsidRPr="00A35BC7">
              <w:rPr>
                <w:rFonts w:cs="Arial"/>
                <w:color w:val="FFFFFF" w:themeColor="background1"/>
                <w:sz w:val="20"/>
                <w:szCs w:val="20"/>
              </w:rPr>
              <w:t>Reg</w:t>
            </w:r>
            <w:r w:rsidR="00E33555">
              <w:rPr>
                <w:rFonts w:cs="Arial"/>
                <w:color w:val="FFFFFF" w:themeColor="background1"/>
                <w:sz w:val="20"/>
                <w:szCs w:val="20"/>
              </w:rPr>
              <w:t>.</w:t>
            </w:r>
            <w:r w:rsidRPr="00A35BC7">
              <w:rPr>
                <w:rFonts w:cs="Arial"/>
                <w:color w:val="FFFFFF" w:themeColor="background1"/>
                <w:sz w:val="20"/>
                <w:szCs w:val="20"/>
              </w:rPr>
              <w:t xml:space="preserve"> WA</w:t>
            </w:r>
          </w:p>
        </w:tc>
        <w:tc>
          <w:tcPr>
            <w:tcW w:w="808" w:type="dxa"/>
            <w:shd w:val="clear" w:color="auto" w:fill="370663"/>
          </w:tcPr>
          <w:p w14:paraId="78076774" w14:textId="5F17471A" w:rsidR="007F0C54" w:rsidRPr="00A35BC7" w:rsidRDefault="007F0C54">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A35BC7">
              <w:rPr>
                <w:rFonts w:cs="Arial"/>
                <w:color w:val="FFFFFF" w:themeColor="background1"/>
                <w:sz w:val="20"/>
                <w:szCs w:val="20"/>
              </w:rPr>
              <w:t>TAS</w:t>
            </w:r>
          </w:p>
        </w:tc>
        <w:tc>
          <w:tcPr>
            <w:cnfStyle w:val="000010000000" w:firstRow="0" w:lastRow="0" w:firstColumn="0" w:lastColumn="0" w:oddVBand="1" w:evenVBand="0" w:oddHBand="0" w:evenHBand="0" w:firstRowFirstColumn="0" w:firstRowLastColumn="0" w:lastRowFirstColumn="0" w:lastRowLastColumn="0"/>
            <w:tcW w:w="808" w:type="dxa"/>
            <w:shd w:val="clear" w:color="auto" w:fill="370663"/>
          </w:tcPr>
          <w:p w14:paraId="625DACAC" w14:textId="7A98B825" w:rsidR="007F0C54" w:rsidRPr="00A35BC7" w:rsidRDefault="007F0C54">
            <w:pPr>
              <w:spacing w:before="120" w:after="120"/>
              <w:jc w:val="center"/>
              <w:rPr>
                <w:rFonts w:cs="Arial"/>
                <w:color w:val="FFFFFF" w:themeColor="background1"/>
                <w:sz w:val="20"/>
                <w:szCs w:val="20"/>
              </w:rPr>
            </w:pPr>
            <w:r w:rsidRPr="00A35BC7">
              <w:rPr>
                <w:rFonts w:cs="Arial"/>
                <w:color w:val="FFFFFF" w:themeColor="background1"/>
                <w:sz w:val="20"/>
                <w:szCs w:val="20"/>
              </w:rPr>
              <w:t>NT</w:t>
            </w:r>
          </w:p>
        </w:tc>
        <w:tc>
          <w:tcPr>
            <w:tcW w:w="1072" w:type="dxa"/>
            <w:shd w:val="clear" w:color="auto" w:fill="370663"/>
          </w:tcPr>
          <w:p w14:paraId="0C7528CE" w14:textId="008DFAC5" w:rsidR="00D31AA7" w:rsidRPr="00A35BC7" w:rsidRDefault="00D31AA7" w:rsidP="00D31AA7">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A35BC7">
              <w:rPr>
                <w:rFonts w:cs="Arial"/>
                <w:color w:val="FFFFFF" w:themeColor="background1"/>
                <w:sz w:val="20"/>
                <w:szCs w:val="20"/>
              </w:rPr>
              <w:t>Regional Australia</w:t>
            </w:r>
          </w:p>
        </w:tc>
        <w:tc>
          <w:tcPr>
            <w:cnfStyle w:val="000010000000" w:firstRow="0" w:lastRow="0" w:firstColumn="0" w:lastColumn="0" w:oddVBand="1" w:evenVBand="0" w:oddHBand="0" w:evenHBand="0" w:firstRowFirstColumn="0" w:firstRowLastColumn="0" w:lastRowFirstColumn="0" w:lastRowLastColumn="0"/>
            <w:tcW w:w="809" w:type="dxa"/>
            <w:shd w:val="clear" w:color="auto" w:fill="370663"/>
          </w:tcPr>
          <w:p w14:paraId="1BEBC426" w14:textId="4F9B45DF" w:rsidR="007F0C54" w:rsidRPr="009A5CF4" w:rsidRDefault="009A5CF4">
            <w:pPr>
              <w:spacing w:before="120" w:after="120"/>
              <w:jc w:val="center"/>
              <w:rPr>
                <w:rFonts w:cs="Arial"/>
                <w:i/>
                <w:color w:val="FFFFFF" w:themeColor="background1"/>
                <w:sz w:val="20"/>
                <w:szCs w:val="20"/>
              </w:rPr>
            </w:pPr>
            <w:r w:rsidRPr="009A5CF4">
              <w:rPr>
                <w:rFonts w:cs="Arial"/>
                <w:i/>
                <w:iCs/>
                <w:color w:val="FFFFFF" w:themeColor="background1"/>
                <w:sz w:val="20"/>
                <w:szCs w:val="20"/>
              </w:rPr>
              <w:t>ACT</w:t>
            </w:r>
          </w:p>
        </w:tc>
        <w:tc>
          <w:tcPr>
            <w:tcW w:w="1165" w:type="dxa"/>
            <w:shd w:val="clear" w:color="auto" w:fill="370663"/>
          </w:tcPr>
          <w:p w14:paraId="352CD4F6" w14:textId="231D98AD" w:rsidR="009A5CF4" w:rsidRDefault="009A5CF4" w:rsidP="009A5CF4">
            <w:pPr>
              <w:spacing w:before="120" w:after="120"/>
              <w:jc w:val="center"/>
              <w:cnfStyle w:val="100000000000" w:firstRow="1" w:lastRow="0" w:firstColumn="0" w:lastColumn="0" w:oddVBand="0" w:evenVBand="0" w:oddHBand="0" w:evenHBand="0" w:firstRowFirstColumn="0" w:firstRowLastColumn="0" w:lastRowFirstColumn="0" w:lastRowLastColumn="0"/>
              <w:rPr>
                <w:rFonts w:cs="Arial"/>
                <w:i/>
                <w:iCs/>
                <w:color w:val="FFFFFF" w:themeColor="background1"/>
                <w:sz w:val="20"/>
                <w:szCs w:val="20"/>
              </w:rPr>
            </w:pPr>
            <w:r>
              <w:rPr>
                <w:rFonts w:cs="Arial"/>
                <w:i/>
                <w:iCs/>
                <w:color w:val="FFFFFF" w:themeColor="background1"/>
                <w:sz w:val="20"/>
                <w:szCs w:val="20"/>
              </w:rPr>
              <w:t>Major Capitals</w:t>
            </w:r>
          </w:p>
        </w:tc>
      </w:tr>
      <w:tr w:rsidR="00B600BA" w:rsidRPr="00653483" w14:paraId="22BB2B2D" w14:textId="7881F37A" w:rsidTr="001376AC">
        <w:trPr>
          <w:trHeight w:val="397"/>
        </w:trPr>
        <w:tc>
          <w:tcPr>
            <w:cnfStyle w:val="001000000000" w:firstRow="0" w:lastRow="0" w:firstColumn="1" w:lastColumn="0" w:oddVBand="0" w:evenVBand="0" w:oddHBand="0" w:evenHBand="0" w:firstRowFirstColumn="0" w:firstRowLastColumn="0" w:lastRowFirstColumn="0" w:lastRowLastColumn="0"/>
            <w:tcW w:w="6547" w:type="dxa"/>
            <w:vAlign w:val="center"/>
          </w:tcPr>
          <w:p w14:paraId="6CA5AE39" w14:textId="77777777" w:rsidR="00EB152E" w:rsidRPr="00842605" w:rsidRDefault="00EB152E" w:rsidP="0025479A">
            <w:pPr>
              <w:pStyle w:val="ListParagraph"/>
              <w:numPr>
                <w:ilvl w:val="0"/>
                <w:numId w:val="11"/>
              </w:numPr>
              <w:spacing w:before="40" w:after="40" w:line="240" w:lineRule="auto"/>
              <w:ind w:left="357" w:hanging="357"/>
              <w:rPr>
                <w:rFonts w:cs="Arial"/>
                <w:b w:val="0"/>
                <w:bCs w:val="0"/>
              </w:rPr>
            </w:pPr>
            <w:r w:rsidRPr="00842605">
              <w:rPr>
                <w:rFonts w:cs="Arial"/>
                <w:b w:val="0"/>
                <w:bCs w:val="0"/>
              </w:rPr>
              <w:t>School non-attendance rate (%)</w:t>
            </w:r>
          </w:p>
        </w:tc>
        <w:tc>
          <w:tcPr>
            <w:cnfStyle w:val="000010000000" w:firstRow="0" w:lastRow="0" w:firstColumn="0" w:lastColumn="0" w:oddVBand="1" w:evenVBand="0" w:oddHBand="0" w:evenHBand="0" w:firstRowFirstColumn="0" w:firstRowLastColumn="0" w:lastRowFirstColumn="0" w:lastRowLastColumn="0"/>
            <w:tcW w:w="683" w:type="dxa"/>
            <w:vAlign w:val="center"/>
          </w:tcPr>
          <w:p w14:paraId="2B19ADF5" w14:textId="0379744B" w:rsidR="00EB152E" w:rsidRPr="007F0C54" w:rsidRDefault="00EB152E" w:rsidP="00EB152E">
            <w:pPr>
              <w:spacing w:after="0"/>
              <w:jc w:val="center"/>
              <w:rPr>
                <w:rFonts w:asciiTheme="minorHAnsi" w:hAnsiTheme="minorHAnsi" w:cstheme="minorHAnsi"/>
              </w:rPr>
            </w:pPr>
            <w:r w:rsidRPr="007F0C54">
              <w:rPr>
                <w:rFonts w:asciiTheme="minorHAnsi" w:hAnsiTheme="minorHAnsi" w:cstheme="minorHAnsi"/>
              </w:rPr>
              <w:t>14.</w:t>
            </w:r>
            <w:r w:rsidR="00E70643">
              <w:rPr>
                <w:rFonts w:asciiTheme="minorHAnsi" w:hAnsiTheme="minorHAnsi" w:cstheme="minorHAnsi"/>
              </w:rPr>
              <w:t>0</w:t>
            </w:r>
          </w:p>
        </w:tc>
        <w:tc>
          <w:tcPr>
            <w:tcW w:w="843" w:type="dxa"/>
            <w:vAlign w:val="center"/>
          </w:tcPr>
          <w:p w14:paraId="1333541E" w14:textId="0B522673" w:rsidR="00EB152E" w:rsidRPr="007F0C54" w:rsidRDefault="00B811E5"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13.0</w:t>
            </w:r>
          </w:p>
        </w:tc>
        <w:tc>
          <w:tcPr>
            <w:cnfStyle w:val="000010000000" w:firstRow="0" w:lastRow="0" w:firstColumn="0" w:lastColumn="0" w:oddVBand="1" w:evenVBand="0" w:oddHBand="0" w:evenHBand="0" w:firstRowFirstColumn="0" w:firstRowLastColumn="0" w:lastRowFirstColumn="0" w:lastRowLastColumn="0"/>
            <w:tcW w:w="811" w:type="dxa"/>
            <w:vAlign w:val="center"/>
          </w:tcPr>
          <w:p w14:paraId="4E95E941" w14:textId="7CE69D29" w:rsidR="00EB152E" w:rsidRPr="007F0C54" w:rsidRDefault="00B811E5" w:rsidP="00EB152E">
            <w:pPr>
              <w:spacing w:after="0"/>
              <w:jc w:val="center"/>
              <w:rPr>
                <w:rFonts w:asciiTheme="minorHAnsi" w:hAnsiTheme="minorHAnsi" w:cstheme="minorHAnsi"/>
              </w:rPr>
            </w:pPr>
            <w:r>
              <w:rPr>
                <w:rFonts w:asciiTheme="minorHAnsi" w:hAnsiTheme="minorHAnsi" w:cstheme="minorHAnsi"/>
              </w:rPr>
              <w:t>13.7</w:t>
            </w:r>
          </w:p>
        </w:tc>
        <w:tc>
          <w:tcPr>
            <w:tcW w:w="811" w:type="dxa"/>
            <w:vAlign w:val="center"/>
          </w:tcPr>
          <w:p w14:paraId="336D614F" w14:textId="2471AFF7" w:rsidR="00EB152E" w:rsidRPr="007F0C54" w:rsidRDefault="00B811E5"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15.0</w:t>
            </w:r>
          </w:p>
        </w:tc>
        <w:tc>
          <w:tcPr>
            <w:cnfStyle w:val="000010000000" w:firstRow="0" w:lastRow="0" w:firstColumn="0" w:lastColumn="0" w:oddVBand="1" w:evenVBand="0" w:oddHBand="0" w:evenHBand="0" w:firstRowFirstColumn="0" w:firstRowLastColumn="0" w:lastRowFirstColumn="0" w:lastRowLastColumn="0"/>
            <w:tcW w:w="811" w:type="dxa"/>
            <w:vAlign w:val="center"/>
          </w:tcPr>
          <w:p w14:paraId="26E6F49F" w14:textId="3550CCFD" w:rsidR="00EB152E" w:rsidRPr="007F0C54" w:rsidRDefault="00B811E5" w:rsidP="00EB152E">
            <w:pPr>
              <w:spacing w:after="0"/>
              <w:jc w:val="center"/>
              <w:rPr>
                <w:rFonts w:asciiTheme="minorHAnsi" w:hAnsiTheme="minorHAnsi" w:cstheme="minorHAnsi"/>
              </w:rPr>
            </w:pPr>
            <w:r>
              <w:rPr>
                <w:rFonts w:asciiTheme="minorHAnsi" w:hAnsiTheme="minorHAnsi" w:cstheme="minorHAnsi"/>
              </w:rPr>
              <w:t>17.1</w:t>
            </w:r>
          </w:p>
        </w:tc>
        <w:tc>
          <w:tcPr>
            <w:tcW w:w="808" w:type="dxa"/>
            <w:vAlign w:val="center"/>
          </w:tcPr>
          <w:p w14:paraId="5CB634A3" w14:textId="1AB0B5C8" w:rsidR="00EB152E" w:rsidRPr="007F0C54" w:rsidRDefault="00B811E5"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13.9</w:t>
            </w:r>
          </w:p>
        </w:tc>
        <w:tc>
          <w:tcPr>
            <w:cnfStyle w:val="000010000000" w:firstRow="0" w:lastRow="0" w:firstColumn="0" w:lastColumn="0" w:oddVBand="1" w:evenVBand="0" w:oddHBand="0" w:evenHBand="0" w:firstRowFirstColumn="0" w:firstRowLastColumn="0" w:lastRowFirstColumn="0" w:lastRowLastColumn="0"/>
            <w:tcW w:w="808" w:type="dxa"/>
            <w:vAlign w:val="center"/>
          </w:tcPr>
          <w:p w14:paraId="0F97E026" w14:textId="094C3F77" w:rsidR="00EB152E" w:rsidRPr="007F0C54" w:rsidRDefault="008C43D0" w:rsidP="00EB152E">
            <w:pPr>
              <w:spacing w:after="0"/>
              <w:jc w:val="center"/>
              <w:rPr>
                <w:rFonts w:asciiTheme="minorHAnsi" w:hAnsiTheme="minorHAnsi" w:cstheme="minorHAnsi"/>
              </w:rPr>
            </w:pPr>
            <w:r>
              <w:rPr>
                <w:rFonts w:asciiTheme="minorHAnsi" w:hAnsiTheme="minorHAnsi" w:cstheme="minorHAnsi"/>
              </w:rPr>
              <w:t>26.0</w:t>
            </w:r>
          </w:p>
        </w:tc>
        <w:tc>
          <w:tcPr>
            <w:tcW w:w="1072" w:type="dxa"/>
            <w:shd w:val="clear" w:color="auto" w:fill="CEE9FB" w:themeFill="accent5" w:themeFillTint="33"/>
            <w:vAlign w:val="center"/>
          </w:tcPr>
          <w:p w14:paraId="6B5C04D6" w14:textId="6A93AF64" w:rsidR="00D31AA7" w:rsidRPr="001D3785" w:rsidRDefault="008C43D0" w:rsidP="00D31AA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Pr>
                <w:rFonts w:asciiTheme="minorHAnsi" w:hAnsiTheme="minorHAnsi" w:cstheme="minorHAnsi"/>
                <w:b/>
              </w:rPr>
              <w:t>14.6</w:t>
            </w:r>
          </w:p>
        </w:tc>
        <w:tc>
          <w:tcPr>
            <w:cnfStyle w:val="000010000000" w:firstRow="0" w:lastRow="0" w:firstColumn="0" w:lastColumn="0" w:oddVBand="1" w:evenVBand="0" w:oddHBand="0" w:evenHBand="0" w:firstRowFirstColumn="0" w:firstRowLastColumn="0" w:lastRowFirstColumn="0" w:lastRowLastColumn="0"/>
            <w:tcW w:w="809" w:type="dxa"/>
            <w:vAlign w:val="center"/>
          </w:tcPr>
          <w:p w14:paraId="5E5BA858" w14:textId="5C9E3CC1" w:rsidR="00EB152E" w:rsidRPr="00A77655" w:rsidRDefault="009A5CF4" w:rsidP="00EB152E">
            <w:pPr>
              <w:spacing w:after="0"/>
              <w:jc w:val="center"/>
              <w:rPr>
                <w:rFonts w:asciiTheme="minorHAnsi" w:hAnsiTheme="minorHAnsi" w:cstheme="minorHAnsi"/>
                <w:i/>
              </w:rPr>
            </w:pPr>
            <w:r w:rsidRPr="00A77655">
              <w:rPr>
                <w:rFonts w:asciiTheme="minorHAnsi" w:hAnsiTheme="minorHAnsi" w:cstheme="minorHAnsi"/>
                <w:i/>
              </w:rPr>
              <w:t>11.</w:t>
            </w:r>
            <w:r w:rsidR="008C43D0" w:rsidRPr="00A77655">
              <w:rPr>
                <w:rFonts w:asciiTheme="minorHAnsi" w:hAnsiTheme="minorHAnsi" w:cstheme="minorHAnsi"/>
                <w:i/>
              </w:rPr>
              <w:t>4</w:t>
            </w:r>
          </w:p>
        </w:tc>
        <w:tc>
          <w:tcPr>
            <w:tcW w:w="1165" w:type="dxa"/>
            <w:vAlign w:val="center"/>
          </w:tcPr>
          <w:p w14:paraId="17AA0AD4" w14:textId="009273E4" w:rsidR="009A5CF4" w:rsidRPr="001D3785" w:rsidRDefault="00E42614" w:rsidP="009A5CF4">
            <w:pPr>
              <w:spacing w:after="0"/>
              <w:jc w:val="center"/>
              <w:cnfStyle w:val="000000000000" w:firstRow="0" w:lastRow="0" w:firstColumn="0" w:lastColumn="0" w:oddVBand="0" w:evenVBand="0" w:oddHBand="0" w:evenHBand="0" w:firstRowFirstColumn="0" w:firstRowLastColumn="0" w:lastRowFirstColumn="0" w:lastRowLastColumn="0"/>
              <w:rPr>
                <w:b/>
              </w:rPr>
            </w:pPr>
            <w:r w:rsidRPr="001D3785">
              <w:rPr>
                <w:rFonts w:cs="Arial"/>
                <w:b/>
              </w:rPr>
              <w:t>1</w:t>
            </w:r>
            <w:r w:rsidR="00F327AF">
              <w:rPr>
                <w:rFonts w:cs="Arial"/>
                <w:b/>
              </w:rPr>
              <w:t>0</w:t>
            </w:r>
            <w:r w:rsidRPr="001D3785">
              <w:rPr>
                <w:rFonts w:cs="Arial"/>
                <w:b/>
              </w:rPr>
              <w:t>.</w:t>
            </w:r>
            <w:r w:rsidR="00F327AF">
              <w:rPr>
                <w:rFonts w:cs="Arial"/>
                <w:b/>
              </w:rPr>
              <w:t>5</w:t>
            </w:r>
          </w:p>
        </w:tc>
      </w:tr>
      <w:tr w:rsidR="00B600BA" w:rsidRPr="00653483" w14:paraId="36D330D5" w14:textId="77777777" w:rsidTr="001376AC">
        <w:trPr>
          <w:trHeight w:val="397"/>
        </w:trPr>
        <w:tc>
          <w:tcPr>
            <w:cnfStyle w:val="001000000000" w:firstRow="0" w:lastRow="0" w:firstColumn="1" w:lastColumn="0" w:oddVBand="0" w:evenVBand="0" w:oddHBand="0" w:evenHBand="0" w:firstRowFirstColumn="0" w:firstRowLastColumn="0" w:lastRowFirstColumn="0" w:lastRowLastColumn="0"/>
            <w:tcW w:w="6547" w:type="dxa"/>
            <w:vAlign w:val="center"/>
          </w:tcPr>
          <w:p w14:paraId="3C511835" w14:textId="6512024E" w:rsidR="001376AC" w:rsidRPr="001376AC" w:rsidRDefault="001376AC" w:rsidP="0025479A">
            <w:pPr>
              <w:pStyle w:val="ListParagraph"/>
              <w:numPr>
                <w:ilvl w:val="0"/>
                <w:numId w:val="11"/>
              </w:numPr>
              <w:spacing w:before="40" w:after="40" w:line="240" w:lineRule="auto"/>
              <w:ind w:left="357" w:hanging="357"/>
              <w:rPr>
                <w:rFonts w:cs="Arial"/>
                <w:b w:val="0"/>
                <w:bCs w:val="0"/>
              </w:rPr>
            </w:pPr>
            <w:r w:rsidRPr="001376AC">
              <w:rPr>
                <w:rFonts w:cs="Arial"/>
                <w:b w:val="0"/>
                <w:bCs w:val="0"/>
              </w:rPr>
              <w:t>Youth not in education, employment, training (%)</w:t>
            </w:r>
          </w:p>
        </w:tc>
        <w:tc>
          <w:tcPr>
            <w:cnfStyle w:val="000010000000" w:firstRow="0" w:lastRow="0" w:firstColumn="0" w:lastColumn="0" w:oddVBand="1" w:evenVBand="0" w:oddHBand="0" w:evenHBand="0" w:firstRowFirstColumn="0" w:firstRowLastColumn="0" w:lastRowFirstColumn="0" w:lastRowLastColumn="0"/>
            <w:tcW w:w="683" w:type="dxa"/>
            <w:vAlign w:val="center"/>
          </w:tcPr>
          <w:p w14:paraId="0E1A6C8B" w14:textId="04B1DE2F" w:rsidR="001376AC" w:rsidRPr="007F0C54" w:rsidRDefault="001376AC" w:rsidP="001376AC">
            <w:pPr>
              <w:spacing w:after="0"/>
              <w:jc w:val="center"/>
              <w:rPr>
                <w:rFonts w:asciiTheme="minorHAnsi" w:hAnsiTheme="minorHAnsi" w:cstheme="minorHAnsi"/>
              </w:rPr>
            </w:pPr>
            <w:r w:rsidRPr="007F0C54">
              <w:rPr>
                <w:rFonts w:asciiTheme="minorHAnsi" w:hAnsiTheme="minorHAnsi" w:cstheme="minorHAnsi"/>
              </w:rPr>
              <w:t>13.</w:t>
            </w:r>
            <w:r w:rsidR="00A42864">
              <w:rPr>
                <w:rFonts w:asciiTheme="minorHAnsi" w:hAnsiTheme="minorHAnsi" w:cstheme="minorHAnsi"/>
              </w:rPr>
              <w:t>8</w:t>
            </w:r>
          </w:p>
        </w:tc>
        <w:tc>
          <w:tcPr>
            <w:tcW w:w="843" w:type="dxa"/>
            <w:vAlign w:val="center"/>
          </w:tcPr>
          <w:p w14:paraId="26C2C852" w14:textId="798D0E1D" w:rsidR="001376AC" w:rsidRPr="007F0C54" w:rsidRDefault="001376AC" w:rsidP="001376A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0C54">
              <w:rPr>
                <w:rFonts w:asciiTheme="minorHAnsi" w:hAnsiTheme="minorHAnsi" w:cstheme="minorHAnsi"/>
              </w:rPr>
              <w:t>17.</w:t>
            </w:r>
            <w:r w:rsidR="001F017B">
              <w:rPr>
                <w:rFonts w:asciiTheme="minorHAnsi" w:hAnsiTheme="minorHAnsi" w:cstheme="minorHAnsi"/>
              </w:rPr>
              <w:t>4</w:t>
            </w:r>
          </w:p>
        </w:tc>
        <w:tc>
          <w:tcPr>
            <w:cnfStyle w:val="000010000000" w:firstRow="0" w:lastRow="0" w:firstColumn="0" w:lastColumn="0" w:oddVBand="1" w:evenVBand="0" w:oddHBand="0" w:evenHBand="0" w:firstRowFirstColumn="0" w:firstRowLastColumn="0" w:lastRowFirstColumn="0" w:lastRowLastColumn="0"/>
            <w:tcW w:w="811" w:type="dxa"/>
            <w:vAlign w:val="center"/>
          </w:tcPr>
          <w:p w14:paraId="198BB1A1" w14:textId="59026DBD" w:rsidR="001376AC" w:rsidRPr="007F0C54" w:rsidRDefault="001376AC" w:rsidP="001376AC">
            <w:pPr>
              <w:spacing w:after="0"/>
              <w:jc w:val="center"/>
              <w:rPr>
                <w:rFonts w:asciiTheme="minorHAnsi" w:hAnsiTheme="minorHAnsi" w:cstheme="minorHAnsi"/>
              </w:rPr>
            </w:pPr>
            <w:r w:rsidRPr="007F0C54">
              <w:rPr>
                <w:rFonts w:asciiTheme="minorHAnsi" w:hAnsiTheme="minorHAnsi" w:cstheme="minorHAnsi"/>
              </w:rPr>
              <w:t>1</w:t>
            </w:r>
            <w:r w:rsidR="001F017B">
              <w:rPr>
                <w:rFonts w:asciiTheme="minorHAnsi" w:hAnsiTheme="minorHAnsi" w:cstheme="minorHAnsi"/>
              </w:rPr>
              <w:t>8.1</w:t>
            </w:r>
          </w:p>
        </w:tc>
        <w:tc>
          <w:tcPr>
            <w:tcW w:w="811" w:type="dxa"/>
            <w:vAlign w:val="center"/>
          </w:tcPr>
          <w:p w14:paraId="1F2A3E0A" w14:textId="4F600BDF" w:rsidR="001376AC" w:rsidRPr="007F0C54" w:rsidRDefault="001376AC" w:rsidP="001376A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0C54">
              <w:rPr>
                <w:rFonts w:asciiTheme="minorHAnsi" w:hAnsiTheme="minorHAnsi" w:cstheme="minorHAnsi"/>
              </w:rPr>
              <w:t>19.</w:t>
            </w:r>
            <w:r w:rsidR="00F33FF3">
              <w:rPr>
                <w:rFonts w:asciiTheme="minorHAnsi" w:hAnsiTheme="minorHAnsi" w:cstheme="minorHAnsi"/>
              </w:rPr>
              <w:t>3</w:t>
            </w:r>
          </w:p>
        </w:tc>
        <w:tc>
          <w:tcPr>
            <w:cnfStyle w:val="000010000000" w:firstRow="0" w:lastRow="0" w:firstColumn="0" w:lastColumn="0" w:oddVBand="1" w:evenVBand="0" w:oddHBand="0" w:evenHBand="0" w:firstRowFirstColumn="0" w:firstRowLastColumn="0" w:lastRowFirstColumn="0" w:lastRowLastColumn="0"/>
            <w:tcW w:w="811" w:type="dxa"/>
            <w:vAlign w:val="center"/>
          </w:tcPr>
          <w:p w14:paraId="329AC33A" w14:textId="55C888BE" w:rsidR="001376AC" w:rsidRPr="007F0C54" w:rsidRDefault="001376AC" w:rsidP="001376AC">
            <w:pPr>
              <w:spacing w:after="0"/>
              <w:jc w:val="center"/>
              <w:rPr>
                <w:rFonts w:asciiTheme="minorHAnsi" w:hAnsiTheme="minorHAnsi" w:cstheme="minorHAnsi"/>
              </w:rPr>
            </w:pPr>
            <w:r w:rsidRPr="007F0C54">
              <w:rPr>
                <w:rFonts w:asciiTheme="minorHAnsi" w:hAnsiTheme="minorHAnsi" w:cstheme="minorHAnsi"/>
              </w:rPr>
              <w:t>9.</w:t>
            </w:r>
            <w:r w:rsidR="00727257">
              <w:rPr>
                <w:rFonts w:asciiTheme="minorHAnsi" w:hAnsiTheme="minorHAnsi" w:cstheme="minorHAnsi"/>
              </w:rPr>
              <w:t>2</w:t>
            </w:r>
          </w:p>
        </w:tc>
        <w:tc>
          <w:tcPr>
            <w:tcW w:w="808" w:type="dxa"/>
            <w:vAlign w:val="center"/>
          </w:tcPr>
          <w:p w14:paraId="76404762" w14:textId="59681454" w:rsidR="001376AC" w:rsidRPr="007F0C54" w:rsidRDefault="001376AC" w:rsidP="001376A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0C54">
              <w:rPr>
                <w:rFonts w:asciiTheme="minorHAnsi" w:hAnsiTheme="minorHAnsi" w:cstheme="minorHAnsi"/>
              </w:rPr>
              <w:t>1</w:t>
            </w:r>
            <w:r w:rsidR="00727257">
              <w:rPr>
                <w:rFonts w:asciiTheme="minorHAnsi" w:hAnsiTheme="minorHAnsi" w:cstheme="minorHAnsi"/>
              </w:rPr>
              <w:t>3.4</w:t>
            </w:r>
          </w:p>
        </w:tc>
        <w:tc>
          <w:tcPr>
            <w:cnfStyle w:val="000010000000" w:firstRow="0" w:lastRow="0" w:firstColumn="0" w:lastColumn="0" w:oddVBand="1" w:evenVBand="0" w:oddHBand="0" w:evenHBand="0" w:firstRowFirstColumn="0" w:firstRowLastColumn="0" w:lastRowFirstColumn="0" w:lastRowLastColumn="0"/>
            <w:tcW w:w="808" w:type="dxa"/>
            <w:vAlign w:val="center"/>
          </w:tcPr>
          <w:p w14:paraId="1AFF671A" w14:textId="2A3A221F" w:rsidR="001376AC" w:rsidRPr="007F0C54" w:rsidRDefault="001376AC" w:rsidP="001376AC">
            <w:pPr>
              <w:spacing w:after="0"/>
              <w:jc w:val="center"/>
              <w:rPr>
                <w:rFonts w:asciiTheme="minorHAnsi" w:hAnsiTheme="minorHAnsi" w:cstheme="minorHAnsi"/>
              </w:rPr>
            </w:pPr>
            <w:r w:rsidRPr="007F0C54">
              <w:rPr>
                <w:rFonts w:asciiTheme="minorHAnsi" w:hAnsiTheme="minorHAnsi" w:cstheme="minorHAnsi"/>
              </w:rPr>
              <w:t>1</w:t>
            </w:r>
            <w:r w:rsidR="009D71EC">
              <w:rPr>
                <w:rFonts w:asciiTheme="minorHAnsi" w:hAnsiTheme="minorHAnsi" w:cstheme="minorHAnsi"/>
              </w:rPr>
              <w:t>3.7</w:t>
            </w:r>
          </w:p>
        </w:tc>
        <w:tc>
          <w:tcPr>
            <w:tcW w:w="1072" w:type="dxa"/>
            <w:shd w:val="clear" w:color="auto" w:fill="CEE9FB" w:themeFill="accent5" w:themeFillTint="33"/>
            <w:vAlign w:val="center"/>
          </w:tcPr>
          <w:p w14:paraId="53230485" w14:textId="759E3A27" w:rsidR="001376AC" w:rsidRPr="001D3785" w:rsidRDefault="001376AC" w:rsidP="001376A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1D3785">
              <w:rPr>
                <w:rFonts w:asciiTheme="minorHAnsi" w:hAnsiTheme="minorHAnsi" w:cstheme="minorHAnsi"/>
                <w:b/>
              </w:rPr>
              <w:t>15.</w:t>
            </w:r>
            <w:r w:rsidR="00012BD0">
              <w:rPr>
                <w:rFonts w:asciiTheme="minorHAnsi" w:hAnsiTheme="minorHAnsi" w:cstheme="minorHAnsi"/>
                <w:b/>
              </w:rPr>
              <w:t>3</w:t>
            </w:r>
          </w:p>
        </w:tc>
        <w:tc>
          <w:tcPr>
            <w:cnfStyle w:val="000010000000" w:firstRow="0" w:lastRow="0" w:firstColumn="0" w:lastColumn="0" w:oddVBand="1" w:evenVBand="0" w:oddHBand="0" w:evenHBand="0" w:firstRowFirstColumn="0" w:firstRowLastColumn="0" w:lastRowFirstColumn="0" w:lastRowLastColumn="0"/>
            <w:tcW w:w="809" w:type="dxa"/>
            <w:vAlign w:val="center"/>
          </w:tcPr>
          <w:p w14:paraId="01714560" w14:textId="3F54840D" w:rsidR="001376AC" w:rsidRPr="00A77655" w:rsidRDefault="001376AC" w:rsidP="001376AC">
            <w:pPr>
              <w:spacing w:after="0"/>
              <w:jc w:val="center"/>
              <w:rPr>
                <w:rFonts w:asciiTheme="minorHAnsi" w:hAnsiTheme="minorHAnsi" w:cstheme="minorHAnsi"/>
                <w:i/>
              </w:rPr>
            </w:pPr>
            <w:r w:rsidRPr="00A77655">
              <w:rPr>
                <w:rFonts w:asciiTheme="minorHAnsi" w:hAnsiTheme="minorHAnsi" w:cstheme="minorHAnsi"/>
                <w:i/>
              </w:rPr>
              <w:t>5.6</w:t>
            </w:r>
          </w:p>
        </w:tc>
        <w:tc>
          <w:tcPr>
            <w:tcW w:w="1165" w:type="dxa"/>
            <w:vAlign w:val="center"/>
          </w:tcPr>
          <w:p w14:paraId="717F2C4B" w14:textId="2C6A57C3" w:rsidR="001376AC" w:rsidRPr="001D3785" w:rsidRDefault="002E6F05" w:rsidP="001376AC">
            <w:pPr>
              <w:spacing w:after="0"/>
              <w:jc w:val="center"/>
              <w:cnfStyle w:val="000000000000" w:firstRow="0" w:lastRow="0" w:firstColumn="0" w:lastColumn="0" w:oddVBand="0" w:evenVBand="0" w:oddHBand="0" w:evenHBand="0" w:firstRowFirstColumn="0" w:firstRowLastColumn="0" w:lastRowFirstColumn="0" w:lastRowLastColumn="0"/>
              <w:rPr>
                <w:rFonts w:cs="Arial"/>
                <w:b/>
              </w:rPr>
            </w:pPr>
            <w:r w:rsidRPr="001D3785">
              <w:rPr>
                <w:rFonts w:cs="Arial"/>
                <w:b/>
              </w:rPr>
              <w:t>9.</w:t>
            </w:r>
            <w:r w:rsidR="00012BD0">
              <w:rPr>
                <w:rFonts w:cs="Arial"/>
                <w:b/>
              </w:rPr>
              <w:t>4</w:t>
            </w:r>
          </w:p>
        </w:tc>
      </w:tr>
      <w:tr w:rsidR="00B600BA" w:rsidRPr="00653483" w14:paraId="357950D6" w14:textId="4C39EC26" w:rsidTr="001376AC">
        <w:trPr>
          <w:trHeight w:val="397"/>
        </w:trPr>
        <w:tc>
          <w:tcPr>
            <w:cnfStyle w:val="001000000000" w:firstRow="0" w:lastRow="0" w:firstColumn="1" w:lastColumn="0" w:oddVBand="0" w:evenVBand="0" w:oddHBand="0" w:evenHBand="0" w:firstRowFirstColumn="0" w:firstRowLastColumn="0" w:lastRowFirstColumn="0" w:lastRowLastColumn="0"/>
            <w:tcW w:w="6547" w:type="dxa"/>
            <w:vAlign w:val="center"/>
          </w:tcPr>
          <w:p w14:paraId="259F8D2C" w14:textId="77777777" w:rsidR="00EB152E" w:rsidRPr="00842605" w:rsidRDefault="00EB152E" w:rsidP="0025479A">
            <w:pPr>
              <w:pStyle w:val="ListParagraph"/>
              <w:numPr>
                <w:ilvl w:val="0"/>
                <w:numId w:val="11"/>
              </w:numPr>
              <w:spacing w:before="40" w:after="40" w:line="240" w:lineRule="auto"/>
              <w:ind w:left="357" w:hanging="357"/>
              <w:rPr>
                <w:rFonts w:cs="Arial"/>
                <w:b w:val="0"/>
                <w:bCs w:val="0"/>
              </w:rPr>
            </w:pPr>
            <w:r w:rsidRPr="00842605">
              <w:rPr>
                <w:rFonts w:cs="Arial"/>
                <w:b w:val="0"/>
                <w:bCs w:val="0"/>
              </w:rPr>
              <w:t>Prime age participation rate (%)</w:t>
            </w:r>
          </w:p>
        </w:tc>
        <w:tc>
          <w:tcPr>
            <w:cnfStyle w:val="000010000000" w:firstRow="0" w:lastRow="0" w:firstColumn="0" w:lastColumn="0" w:oddVBand="1" w:evenVBand="0" w:oddHBand="0" w:evenHBand="0" w:firstRowFirstColumn="0" w:firstRowLastColumn="0" w:lastRowFirstColumn="0" w:lastRowLastColumn="0"/>
            <w:tcW w:w="683" w:type="dxa"/>
            <w:vAlign w:val="center"/>
          </w:tcPr>
          <w:p w14:paraId="74F79BC3" w14:textId="29CC6D9A" w:rsidR="00EB152E" w:rsidRPr="007F0C54" w:rsidRDefault="00EB152E" w:rsidP="00EB152E">
            <w:pPr>
              <w:spacing w:after="0"/>
              <w:jc w:val="center"/>
              <w:rPr>
                <w:rFonts w:asciiTheme="minorHAnsi" w:hAnsiTheme="minorHAnsi" w:cstheme="minorHAnsi"/>
              </w:rPr>
            </w:pPr>
            <w:r w:rsidRPr="007F0C54">
              <w:rPr>
                <w:rFonts w:asciiTheme="minorHAnsi" w:hAnsiTheme="minorHAnsi" w:cstheme="minorHAnsi"/>
              </w:rPr>
              <w:t>85.</w:t>
            </w:r>
            <w:r w:rsidR="00B951E3">
              <w:rPr>
                <w:rFonts w:asciiTheme="minorHAnsi" w:hAnsiTheme="minorHAnsi" w:cstheme="minorHAnsi"/>
              </w:rPr>
              <w:t>0</w:t>
            </w:r>
          </w:p>
        </w:tc>
        <w:tc>
          <w:tcPr>
            <w:tcW w:w="843" w:type="dxa"/>
            <w:vAlign w:val="center"/>
          </w:tcPr>
          <w:p w14:paraId="5A1F6C51" w14:textId="38F9E875" w:rsidR="00EB152E" w:rsidRPr="007F0C54" w:rsidRDefault="00EB152E"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0C54">
              <w:rPr>
                <w:rFonts w:asciiTheme="minorHAnsi" w:hAnsiTheme="minorHAnsi" w:cstheme="minorHAnsi"/>
              </w:rPr>
              <w:t>86.1</w:t>
            </w:r>
          </w:p>
        </w:tc>
        <w:tc>
          <w:tcPr>
            <w:cnfStyle w:val="000010000000" w:firstRow="0" w:lastRow="0" w:firstColumn="0" w:lastColumn="0" w:oddVBand="1" w:evenVBand="0" w:oddHBand="0" w:evenHBand="0" w:firstRowFirstColumn="0" w:firstRowLastColumn="0" w:lastRowFirstColumn="0" w:lastRowLastColumn="0"/>
            <w:tcW w:w="811" w:type="dxa"/>
            <w:vAlign w:val="center"/>
          </w:tcPr>
          <w:p w14:paraId="79CFDD14" w14:textId="1B126A9E" w:rsidR="00EB152E" w:rsidRPr="007F0C54" w:rsidRDefault="00EB152E" w:rsidP="00EB152E">
            <w:pPr>
              <w:spacing w:after="0"/>
              <w:jc w:val="center"/>
              <w:rPr>
                <w:rFonts w:asciiTheme="minorHAnsi" w:hAnsiTheme="minorHAnsi" w:cstheme="minorHAnsi"/>
              </w:rPr>
            </w:pPr>
            <w:r w:rsidRPr="007F0C54">
              <w:rPr>
                <w:rFonts w:asciiTheme="minorHAnsi" w:hAnsiTheme="minorHAnsi" w:cstheme="minorHAnsi"/>
              </w:rPr>
              <w:t>86.</w:t>
            </w:r>
            <w:r w:rsidR="0047305A">
              <w:rPr>
                <w:rFonts w:asciiTheme="minorHAnsi" w:hAnsiTheme="minorHAnsi" w:cstheme="minorHAnsi"/>
              </w:rPr>
              <w:t>6</w:t>
            </w:r>
          </w:p>
        </w:tc>
        <w:tc>
          <w:tcPr>
            <w:tcW w:w="811" w:type="dxa"/>
            <w:vAlign w:val="center"/>
          </w:tcPr>
          <w:p w14:paraId="35857ACB" w14:textId="1A3716EB" w:rsidR="00EB152E" w:rsidRPr="007F0C54" w:rsidRDefault="00EB152E"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0C54">
              <w:rPr>
                <w:rFonts w:asciiTheme="minorHAnsi" w:hAnsiTheme="minorHAnsi" w:cstheme="minorHAnsi"/>
              </w:rPr>
              <w:t>81.6</w:t>
            </w:r>
          </w:p>
        </w:tc>
        <w:tc>
          <w:tcPr>
            <w:cnfStyle w:val="000010000000" w:firstRow="0" w:lastRow="0" w:firstColumn="0" w:lastColumn="0" w:oddVBand="1" w:evenVBand="0" w:oddHBand="0" w:evenHBand="0" w:firstRowFirstColumn="0" w:firstRowLastColumn="0" w:lastRowFirstColumn="0" w:lastRowLastColumn="0"/>
            <w:tcW w:w="811" w:type="dxa"/>
            <w:vAlign w:val="center"/>
          </w:tcPr>
          <w:p w14:paraId="21AB2BE8" w14:textId="72F2A922" w:rsidR="00EB152E" w:rsidRPr="007F0C54" w:rsidRDefault="00EB152E" w:rsidP="00EB152E">
            <w:pPr>
              <w:spacing w:after="0"/>
              <w:jc w:val="center"/>
              <w:rPr>
                <w:rFonts w:asciiTheme="minorHAnsi" w:hAnsiTheme="minorHAnsi" w:cstheme="minorHAnsi"/>
              </w:rPr>
            </w:pPr>
            <w:r w:rsidRPr="007F0C54">
              <w:rPr>
                <w:rFonts w:asciiTheme="minorHAnsi" w:hAnsiTheme="minorHAnsi" w:cstheme="minorHAnsi"/>
              </w:rPr>
              <w:t>84.</w:t>
            </w:r>
            <w:r w:rsidR="0047305A">
              <w:rPr>
                <w:rFonts w:asciiTheme="minorHAnsi" w:hAnsiTheme="minorHAnsi" w:cstheme="minorHAnsi"/>
              </w:rPr>
              <w:t>5</w:t>
            </w:r>
          </w:p>
        </w:tc>
        <w:tc>
          <w:tcPr>
            <w:tcW w:w="808" w:type="dxa"/>
            <w:vAlign w:val="center"/>
          </w:tcPr>
          <w:p w14:paraId="3AAC82A3" w14:textId="655AED25" w:rsidR="00EB152E" w:rsidRPr="007F0C54" w:rsidRDefault="00EB152E"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0C54">
              <w:rPr>
                <w:rFonts w:asciiTheme="minorHAnsi" w:hAnsiTheme="minorHAnsi" w:cstheme="minorHAnsi"/>
              </w:rPr>
              <w:t>8</w:t>
            </w:r>
            <w:r w:rsidR="002F40B2">
              <w:rPr>
                <w:rFonts w:asciiTheme="minorHAnsi" w:hAnsiTheme="minorHAnsi" w:cstheme="minorHAnsi"/>
              </w:rPr>
              <w:t>3</w:t>
            </w:r>
            <w:r w:rsidRPr="007F0C54">
              <w:rPr>
                <w:rFonts w:asciiTheme="minorHAnsi" w:hAnsiTheme="minorHAnsi" w:cstheme="minorHAnsi"/>
              </w:rPr>
              <w:t>.</w:t>
            </w:r>
            <w:r w:rsidR="002F40B2">
              <w:rPr>
                <w:rFonts w:asciiTheme="minorHAnsi" w:hAnsiTheme="minorHAnsi" w:cstheme="minorHAnsi"/>
              </w:rPr>
              <w:t>9</w:t>
            </w:r>
          </w:p>
        </w:tc>
        <w:tc>
          <w:tcPr>
            <w:cnfStyle w:val="000010000000" w:firstRow="0" w:lastRow="0" w:firstColumn="0" w:lastColumn="0" w:oddVBand="1" w:evenVBand="0" w:oddHBand="0" w:evenHBand="0" w:firstRowFirstColumn="0" w:firstRowLastColumn="0" w:lastRowFirstColumn="0" w:lastRowLastColumn="0"/>
            <w:tcW w:w="808" w:type="dxa"/>
            <w:vAlign w:val="center"/>
          </w:tcPr>
          <w:p w14:paraId="1C3231C4" w14:textId="366327D6" w:rsidR="00EB152E" w:rsidRPr="007F0C54" w:rsidRDefault="00EB152E" w:rsidP="00EB152E">
            <w:pPr>
              <w:spacing w:after="0"/>
              <w:jc w:val="center"/>
              <w:rPr>
                <w:rFonts w:asciiTheme="minorHAnsi" w:hAnsiTheme="minorHAnsi" w:cstheme="minorHAnsi"/>
              </w:rPr>
            </w:pPr>
            <w:r w:rsidRPr="007F0C54">
              <w:rPr>
                <w:rFonts w:asciiTheme="minorHAnsi" w:hAnsiTheme="minorHAnsi" w:cstheme="minorHAnsi"/>
              </w:rPr>
              <w:t>83.</w:t>
            </w:r>
            <w:r w:rsidR="002F40B2">
              <w:rPr>
                <w:rFonts w:asciiTheme="minorHAnsi" w:hAnsiTheme="minorHAnsi" w:cstheme="minorHAnsi"/>
              </w:rPr>
              <w:t>3</w:t>
            </w:r>
          </w:p>
        </w:tc>
        <w:tc>
          <w:tcPr>
            <w:tcW w:w="1072" w:type="dxa"/>
            <w:shd w:val="clear" w:color="auto" w:fill="CEE9FB" w:themeFill="accent5" w:themeFillTint="33"/>
            <w:vAlign w:val="center"/>
          </w:tcPr>
          <w:p w14:paraId="217535F4" w14:textId="22BFA30B" w:rsidR="00D31AA7" w:rsidRPr="001D3785" w:rsidRDefault="00D31AA7" w:rsidP="00D31AA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1D3785">
              <w:rPr>
                <w:rFonts w:asciiTheme="minorHAnsi" w:hAnsiTheme="minorHAnsi" w:cstheme="minorHAnsi"/>
                <w:b/>
              </w:rPr>
              <w:t>85.4</w:t>
            </w:r>
          </w:p>
        </w:tc>
        <w:tc>
          <w:tcPr>
            <w:cnfStyle w:val="000010000000" w:firstRow="0" w:lastRow="0" w:firstColumn="0" w:lastColumn="0" w:oddVBand="1" w:evenVBand="0" w:oddHBand="0" w:evenHBand="0" w:firstRowFirstColumn="0" w:firstRowLastColumn="0" w:lastRowFirstColumn="0" w:lastRowLastColumn="0"/>
            <w:tcW w:w="809" w:type="dxa"/>
            <w:vAlign w:val="center"/>
          </w:tcPr>
          <w:p w14:paraId="55CA2192" w14:textId="72889AF4" w:rsidR="00EB152E" w:rsidRPr="00A77655" w:rsidRDefault="009A5CF4" w:rsidP="00EB152E">
            <w:pPr>
              <w:spacing w:after="0"/>
              <w:jc w:val="center"/>
              <w:rPr>
                <w:rFonts w:asciiTheme="minorHAnsi" w:hAnsiTheme="minorHAnsi" w:cstheme="minorHAnsi"/>
                <w:i/>
              </w:rPr>
            </w:pPr>
            <w:r w:rsidRPr="00A77655">
              <w:rPr>
                <w:rFonts w:asciiTheme="minorHAnsi" w:hAnsiTheme="minorHAnsi" w:cstheme="minorHAnsi"/>
                <w:i/>
              </w:rPr>
              <w:t>90.</w:t>
            </w:r>
            <w:r w:rsidR="00914361" w:rsidRPr="00A77655">
              <w:rPr>
                <w:rFonts w:asciiTheme="minorHAnsi" w:hAnsiTheme="minorHAnsi" w:cstheme="minorHAnsi"/>
                <w:i/>
              </w:rPr>
              <w:t>8</w:t>
            </w:r>
          </w:p>
        </w:tc>
        <w:tc>
          <w:tcPr>
            <w:tcW w:w="1165" w:type="dxa"/>
            <w:vAlign w:val="center"/>
          </w:tcPr>
          <w:p w14:paraId="1FF1C18F" w14:textId="58380FE0" w:rsidR="009A5CF4" w:rsidRPr="001D3785" w:rsidRDefault="0062608B" w:rsidP="009A5CF4">
            <w:pPr>
              <w:spacing w:after="0"/>
              <w:jc w:val="center"/>
              <w:cnfStyle w:val="000000000000" w:firstRow="0" w:lastRow="0" w:firstColumn="0" w:lastColumn="0" w:oddVBand="0" w:evenVBand="0" w:oddHBand="0" w:evenHBand="0" w:firstRowFirstColumn="0" w:firstRowLastColumn="0" w:lastRowFirstColumn="0" w:lastRowLastColumn="0"/>
              <w:rPr>
                <w:b/>
              </w:rPr>
            </w:pPr>
            <w:r w:rsidRPr="001D3785">
              <w:rPr>
                <w:rFonts w:cs="Arial"/>
                <w:b/>
              </w:rPr>
              <w:t>87.</w:t>
            </w:r>
            <w:r w:rsidR="00721EF4">
              <w:rPr>
                <w:rFonts w:cs="Arial"/>
                <w:b/>
              </w:rPr>
              <w:t>3</w:t>
            </w:r>
          </w:p>
        </w:tc>
      </w:tr>
      <w:tr w:rsidR="00B600BA" w:rsidRPr="00653483" w14:paraId="22EA18BB" w14:textId="77777777" w:rsidTr="001376AC">
        <w:trPr>
          <w:trHeight w:val="397"/>
        </w:trPr>
        <w:tc>
          <w:tcPr>
            <w:cnfStyle w:val="001000000000" w:firstRow="0" w:lastRow="0" w:firstColumn="1" w:lastColumn="0" w:oddVBand="0" w:evenVBand="0" w:oddHBand="0" w:evenHBand="0" w:firstRowFirstColumn="0" w:firstRowLastColumn="0" w:lastRowFirstColumn="0" w:lastRowLastColumn="0"/>
            <w:tcW w:w="6547" w:type="dxa"/>
            <w:vAlign w:val="center"/>
          </w:tcPr>
          <w:p w14:paraId="4CFB8BAD" w14:textId="4FA67B31" w:rsidR="001376AC" w:rsidRPr="001376AC" w:rsidRDefault="001376AC" w:rsidP="0025479A">
            <w:pPr>
              <w:pStyle w:val="ListParagraph"/>
              <w:numPr>
                <w:ilvl w:val="0"/>
                <w:numId w:val="11"/>
              </w:numPr>
              <w:spacing w:before="40" w:after="40" w:line="240" w:lineRule="auto"/>
              <w:ind w:left="357" w:hanging="357"/>
              <w:rPr>
                <w:rFonts w:cs="Arial"/>
                <w:b w:val="0"/>
                <w:bCs w:val="0"/>
              </w:rPr>
            </w:pPr>
            <w:r w:rsidRPr="001376AC">
              <w:rPr>
                <w:rFonts w:cs="Arial"/>
                <w:b w:val="0"/>
                <w:bCs w:val="0"/>
              </w:rPr>
              <w:t>Unemployment rate (%)</w:t>
            </w:r>
          </w:p>
        </w:tc>
        <w:tc>
          <w:tcPr>
            <w:cnfStyle w:val="000010000000" w:firstRow="0" w:lastRow="0" w:firstColumn="0" w:lastColumn="0" w:oddVBand="1" w:evenVBand="0" w:oddHBand="0" w:evenHBand="0" w:firstRowFirstColumn="0" w:firstRowLastColumn="0" w:lastRowFirstColumn="0" w:lastRowLastColumn="0"/>
            <w:tcW w:w="683" w:type="dxa"/>
            <w:vAlign w:val="center"/>
          </w:tcPr>
          <w:p w14:paraId="692A4FE0" w14:textId="6063D6EA" w:rsidR="001376AC" w:rsidRPr="007F0C54" w:rsidRDefault="001376AC" w:rsidP="001376AC">
            <w:pPr>
              <w:spacing w:after="0"/>
              <w:jc w:val="center"/>
              <w:rPr>
                <w:rFonts w:asciiTheme="minorHAnsi" w:hAnsiTheme="minorHAnsi" w:cstheme="minorHAnsi"/>
              </w:rPr>
            </w:pPr>
            <w:r w:rsidRPr="007F0C54">
              <w:rPr>
                <w:rFonts w:asciiTheme="minorHAnsi" w:hAnsiTheme="minorHAnsi" w:cstheme="minorHAnsi"/>
              </w:rPr>
              <w:t>4.</w:t>
            </w:r>
            <w:r w:rsidR="00F42096">
              <w:rPr>
                <w:rFonts w:asciiTheme="minorHAnsi" w:hAnsiTheme="minorHAnsi" w:cstheme="minorHAnsi"/>
              </w:rPr>
              <w:t>1</w:t>
            </w:r>
          </w:p>
        </w:tc>
        <w:tc>
          <w:tcPr>
            <w:tcW w:w="843" w:type="dxa"/>
            <w:vAlign w:val="center"/>
          </w:tcPr>
          <w:p w14:paraId="17473106" w14:textId="2749D0A2" w:rsidR="001376AC" w:rsidRPr="007F0C54" w:rsidRDefault="001376AC" w:rsidP="001376A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0C54">
              <w:rPr>
                <w:rFonts w:asciiTheme="minorHAnsi" w:hAnsiTheme="minorHAnsi" w:cstheme="minorHAnsi"/>
              </w:rPr>
              <w:t>3.6</w:t>
            </w:r>
          </w:p>
        </w:tc>
        <w:tc>
          <w:tcPr>
            <w:cnfStyle w:val="000010000000" w:firstRow="0" w:lastRow="0" w:firstColumn="0" w:lastColumn="0" w:oddVBand="1" w:evenVBand="0" w:oddHBand="0" w:evenHBand="0" w:firstRowFirstColumn="0" w:firstRowLastColumn="0" w:lastRowFirstColumn="0" w:lastRowLastColumn="0"/>
            <w:tcW w:w="811" w:type="dxa"/>
            <w:vAlign w:val="center"/>
          </w:tcPr>
          <w:p w14:paraId="21307532" w14:textId="551DCE99" w:rsidR="001376AC" w:rsidRPr="007F0C54" w:rsidRDefault="001376AC" w:rsidP="001376AC">
            <w:pPr>
              <w:spacing w:after="0"/>
              <w:jc w:val="center"/>
              <w:rPr>
                <w:rFonts w:asciiTheme="minorHAnsi" w:hAnsiTheme="minorHAnsi" w:cstheme="minorHAnsi"/>
              </w:rPr>
            </w:pPr>
            <w:r w:rsidRPr="007F0C54">
              <w:rPr>
                <w:rFonts w:asciiTheme="minorHAnsi" w:hAnsiTheme="minorHAnsi" w:cstheme="minorHAnsi"/>
              </w:rPr>
              <w:t>4.</w:t>
            </w:r>
            <w:r w:rsidR="008A3261">
              <w:rPr>
                <w:rFonts w:asciiTheme="minorHAnsi" w:hAnsiTheme="minorHAnsi" w:cstheme="minorHAnsi"/>
              </w:rPr>
              <w:t>1</w:t>
            </w:r>
          </w:p>
        </w:tc>
        <w:tc>
          <w:tcPr>
            <w:tcW w:w="811" w:type="dxa"/>
            <w:vAlign w:val="center"/>
          </w:tcPr>
          <w:p w14:paraId="5B0CB39D" w14:textId="7EB22CF5" w:rsidR="001376AC" w:rsidRPr="007F0C54" w:rsidRDefault="001376AC" w:rsidP="001376A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0C54">
              <w:rPr>
                <w:rFonts w:asciiTheme="minorHAnsi" w:hAnsiTheme="minorHAnsi" w:cstheme="minorHAnsi"/>
              </w:rPr>
              <w:t>4.3</w:t>
            </w:r>
          </w:p>
        </w:tc>
        <w:tc>
          <w:tcPr>
            <w:cnfStyle w:val="000010000000" w:firstRow="0" w:lastRow="0" w:firstColumn="0" w:lastColumn="0" w:oddVBand="1" w:evenVBand="0" w:oddHBand="0" w:evenHBand="0" w:firstRowFirstColumn="0" w:firstRowLastColumn="0" w:lastRowFirstColumn="0" w:lastRowLastColumn="0"/>
            <w:tcW w:w="811" w:type="dxa"/>
            <w:vAlign w:val="center"/>
          </w:tcPr>
          <w:p w14:paraId="11536D92" w14:textId="1473A81F" w:rsidR="001376AC" w:rsidRPr="007F0C54" w:rsidRDefault="001376AC" w:rsidP="001376AC">
            <w:pPr>
              <w:spacing w:after="0"/>
              <w:jc w:val="center"/>
              <w:rPr>
                <w:rFonts w:asciiTheme="minorHAnsi" w:hAnsiTheme="minorHAnsi" w:cstheme="minorHAnsi"/>
              </w:rPr>
            </w:pPr>
            <w:r w:rsidRPr="007F0C54">
              <w:rPr>
                <w:rFonts w:asciiTheme="minorHAnsi" w:hAnsiTheme="minorHAnsi" w:cstheme="minorHAnsi"/>
              </w:rPr>
              <w:t>3.6</w:t>
            </w:r>
          </w:p>
        </w:tc>
        <w:tc>
          <w:tcPr>
            <w:tcW w:w="808" w:type="dxa"/>
            <w:vAlign w:val="center"/>
          </w:tcPr>
          <w:p w14:paraId="489F4438" w14:textId="34055D24" w:rsidR="001376AC" w:rsidRPr="007F0C54" w:rsidRDefault="001376AC" w:rsidP="001376A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0C54">
              <w:rPr>
                <w:rFonts w:asciiTheme="minorHAnsi" w:hAnsiTheme="minorHAnsi" w:cstheme="minorHAnsi"/>
              </w:rPr>
              <w:t>3.8</w:t>
            </w:r>
          </w:p>
        </w:tc>
        <w:tc>
          <w:tcPr>
            <w:cnfStyle w:val="000010000000" w:firstRow="0" w:lastRow="0" w:firstColumn="0" w:lastColumn="0" w:oddVBand="1" w:evenVBand="0" w:oddHBand="0" w:evenHBand="0" w:firstRowFirstColumn="0" w:firstRowLastColumn="0" w:lastRowFirstColumn="0" w:lastRowLastColumn="0"/>
            <w:tcW w:w="808" w:type="dxa"/>
            <w:vAlign w:val="center"/>
          </w:tcPr>
          <w:p w14:paraId="2108EB71" w14:textId="5DC7EF86" w:rsidR="001376AC" w:rsidRPr="007F0C54" w:rsidRDefault="00CB2F32" w:rsidP="001376AC">
            <w:pPr>
              <w:spacing w:after="0"/>
              <w:jc w:val="center"/>
              <w:rPr>
                <w:rFonts w:asciiTheme="minorHAnsi" w:hAnsiTheme="minorHAnsi" w:cstheme="minorHAnsi"/>
              </w:rPr>
            </w:pPr>
            <w:r>
              <w:rPr>
                <w:rFonts w:asciiTheme="minorHAnsi" w:hAnsiTheme="minorHAnsi" w:cstheme="minorHAnsi"/>
              </w:rPr>
              <w:t>4.2</w:t>
            </w:r>
          </w:p>
        </w:tc>
        <w:tc>
          <w:tcPr>
            <w:tcW w:w="1072" w:type="dxa"/>
            <w:shd w:val="clear" w:color="auto" w:fill="CEE9FB" w:themeFill="accent5" w:themeFillTint="33"/>
            <w:vAlign w:val="center"/>
          </w:tcPr>
          <w:p w14:paraId="6E3D1262" w14:textId="57482F84" w:rsidR="001376AC" w:rsidRPr="001D3785" w:rsidRDefault="001376AC" w:rsidP="001376A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1D3785">
              <w:rPr>
                <w:rFonts w:asciiTheme="minorHAnsi" w:hAnsiTheme="minorHAnsi" w:cstheme="minorHAnsi"/>
                <w:b/>
              </w:rPr>
              <w:t>4.0</w:t>
            </w:r>
          </w:p>
        </w:tc>
        <w:tc>
          <w:tcPr>
            <w:cnfStyle w:val="000010000000" w:firstRow="0" w:lastRow="0" w:firstColumn="0" w:lastColumn="0" w:oddVBand="1" w:evenVBand="0" w:oddHBand="0" w:evenHBand="0" w:firstRowFirstColumn="0" w:firstRowLastColumn="0" w:lastRowFirstColumn="0" w:lastRowLastColumn="0"/>
            <w:tcW w:w="809" w:type="dxa"/>
            <w:vAlign w:val="center"/>
          </w:tcPr>
          <w:p w14:paraId="37F72C9E" w14:textId="302BB506" w:rsidR="001376AC" w:rsidRPr="00A77655" w:rsidRDefault="00F9009D" w:rsidP="001376AC">
            <w:pPr>
              <w:spacing w:after="0"/>
              <w:jc w:val="center"/>
              <w:rPr>
                <w:rFonts w:asciiTheme="minorHAnsi" w:hAnsiTheme="minorHAnsi" w:cstheme="minorHAnsi"/>
                <w:i/>
              </w:rPr>
            </w:pPr>
            <w:r w:rsidRPr="00A77655">
              <w:rPr>
                <w:rFonts w:asciiTheme="minorHAnsi" w:hAnsiTheme="minorHAnsi" w:cstheme="minorHAnsi"/>
                <w:i/>
              </w:rPr>
              <w:t>3.3</w:t>
            </w:r>
          </w:p>
        </w:tc>
        <w:tc>
          <w:tcPr>
            <w:tcW w:w="1165" w:type="dxa"/>
            <w:vAlign w:val="center"/>
          </w:tcPr>
          <w:p w14:paraId="20777C59" w14:textId="04136651" w:rsidR="001376AC" w:rsidRPr="001D3785" w:rsidRDefault="0062608B" w:rsidP="001376AC">
            <w:pPr>
              <w:spacing w:after="0"/>
              <w:jc w:val="center"/>
              <w:cnfStyle w:val="000000000000" w:firstRow="0" w:lastRow="0" w:firstColumn="0" w:lastColumn="0" w:oddVBand="0" w:evenVBand="0" w:oddHBand="0" w:evenHBand="0" w:firstRowFirstColumn="0" w:firstRowLastColumn="0" w:lastRowFirstColumn="0" w:lastRowLastColumn="0"/>
              <w:rPr>
                <w:rFonts w:cs="Arial"/>
                <w:b/>
              </w:rPr>
            </w:pPr>
            <w:r w:rsidRPr="001D3785">
              <w:rPr>
                <w:rFonts w:cs="Arial"/>
                <w:b/>
              </w:rPr>
              <w:t>4.4</w:t>
            </w:r>
          </w:p>
        </w:tc>
      </w:tr>
      <w:tr w:rsidR="00B600BA" w:rsidRPr="00653483" w14:paraId="39E0A2CF" w14:textId="560DD296" w:rsidTr="001376AC">
        <w:trPr>
          <w:trHeight w:val="397"/>
        </w:trPr>
        <w:tc>
          <w:tcPr>
            <w:cnfStyle w:val="001000000000" w:firstRow="0" w:lastRow="0" w:firstColumn="1" w:lastColumn="0" w:oddVBand="0" w:evenVBand="0" w:oddHBand="0" w:evenHBand="0" w:firstRowFirstColumn="0" w:firstRowLastColumn="0" w:lastRowFirstColumn="0" w:lastRowLastColumn="0"/>
            <w:tcW w:w="6547" w:type="dxa"/>
            <w:tcBorders>
              <w:bottom w:val="single" w:sz="4" w:space="0" w:color="auto"/>
            </w:tcBorders>
            <w:vAlign w:val="center"/>
          </w:tcPr>
          <w:p w14:paraId="5F296D59" w14:textId="09E09EBF" w:rsidR="00EB152E" w:rsidRPr="00842605" w:rsidRDefault="00EB152E" w:rsidP="0025479A">
            <w:pPr>
              <w:pStyle w:val="ListParagraph"/>
              <w:numPr>
                <w:ilvl w:val="0"/>
                <w:numId w:val="11"/>
              </w:numPr>
              <w:spacing w:before="40" w:after="40" w:line="240" w:lineRule="auto"/>
              <w:ind w:left="357" w:hanging="357"/>
              <w:rPr>
                <w:rFonts w:cs="Arial"/>
                <w:b w:val="0"/>
                <w:bCs w:val="0"/>
              </w:rPr>
            </w:pPr>
            <w:r w:rsidRPr="00842605">
              <w:rPr>
                <w:rFonts w:cs="Arial"/>
                <w:b w:val="0"/>
                <w:bCs w:val="0"/>
              </w:rPr>
              <w:t>Prop</w:t>
            </w:r>
            <w:r w:rsidR="003F2975">
              <w:rPr>
                <w:rFonts w:cs="Arial"/>
                <w:b w:val="0"/>
                <w:bCs w:val="0"/>
              </w:rPr>
              <w:t>.</w:t>
            </w:r>
            <w:r w:rsidRPr="00842605">
              <w:rPr>
                <w:rFonts w:cs="Arial"/>
                <w:b w:val="0"/>
                <w:bCs w:val="0"/>
              </w:rPr>
              <w:t xml:space="preserve"> of population on long-term income support (%)</w:t>
            </w:r>
          </w:p>
        </w:tc>
        <w:tc>
          <w:tcPr>
            <w:cnfStyle w:val="000010000000" w:firstRow="0" w:lastRow="0" w:firstColumn="0" w:lastColumn="0" w:oddVBand="1" w:evenVBand="0" w:oddHBand="0" w:evenHBand="0" w:firstRowFirstColumn="0" w:firstRowLastColumn="0" w:lastRowFirstColumn="0" w:lastRowLastColumn="0"/>
            <w:tcW w:w="683" w:type="dxa"/>
            <w:tcBorders>
              <w:bottom w:val="single" w:sz="4" w:space="0" w:color="auto"/>
            </w:tcBorders>
            <w:vAlign w:val="center"/>
          </w:tcPr>
          <w:p w14:paraId="5354E438" w14:textId="77777777" w:rsidR="00EB152E" w:rsidRPr="007F0C54" w:rsidRDefault="00EB152E" w:rsidP="00EB152E">
            <w:pPr>
              <w:spacing w:after="0"/>
              <w:jc w:val="center"/>
              <w:rPr>
                <w:rFonts w:asciiTheme="minorHAnsi" w:hAnsiTheme="minorHAnsi" w:cstheme="minorHAnsi"/>
              </w:rPr>
            </w:pPr>
            <w:r w:rsidRPr="007F0C54">
              <w:rPr>
                <w:rFonts w:asciiTheme="minorHAnsi" w:hAnsiTheme="minorHAnsi" w:cstheme="minorHAnsi"/>
              </w:rPr>
              <w:t>2.3</w:t>
            </w:r>
          </w:p>
        </w:tc>
        <w:tc>
          <w:tcPr>
            <w:tcW w:w="843" w:type="dxa"/>
            <w:tcBorders>
              <w:bottom w:val="single" w:sz="4" w:space="0" w:color="auto"/>
            </w:tcBorders>
            <w:vAlign w:val="center"/>
          </w:tcPr>
          <w:p w14:paraId="7AC41FF7" w14:textId="00F0DC27" w:rsidR="00EB152E" w:rsidRPr="007F0C54" w:rsidRDefault="00EB152E"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0C54">
              <w:rPr>
                <w:rFonts w:asciiTheme="minorHAnsi" w:hAnsiTheme="minorHAnsi" w:cstheme="minorHAnsi"/>
              </w:rPr>
              <w:t>2.3</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4" w:space="0" w:color="auto"/>
            </w:tcBorders>
            <w:vAlign w:val="center"/>
          </w:tcPr>
          <w:p w14:paraId="1F8BE08B" w14:textId="28A1CEF2" w:rsidR="00EB152E" w:rsidRPr="007F0C54" w:rsidRDefault="003D4651" w:rsidP="00EB152E">
            <w:pPr>
              <w:spacing w:after="0"/>
              <w:jc w:val="center"/>
              <w:rPr>
                <w:rFonts w:asciiTheme="minorHAnsi" w:hAnsiTheme="minorHAnsi" w:cstheme="minorHAnsi"/>
              </w:rPr>
            </w:pPr>
            <w:r>
              <w:rPr>
                <w:rFonts w:asciiTheme="minorHAnsi" w:hAnsiTheme="minorHAnsi" w:cstheme="minorHAnsi"/>
              </w:rPr>
              <w:t>2.1</w:t>
            </w:r>
          </w:p>
        </w:tc>
        <w:tc>
          <w:tcPr>
            <w:tcW w:w="811" w:type="dxa"/>
            <w:tcBorders>
              <w:bottom w:val="single" w:sz="4" w:space="0" w:color="auto"/>
            </w:tcBorders>
            <w:vAlign w:val="center"/>
          </w:tcPr>
          <w:p w14:paraId="76D9DDF3" w14:textId="41DE295E" w:rsidR="00EB152E" w:rsidRPr="007F0C54" w:rsidRDefault="00EB152E"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0C54">
              <w:rPr>
                <w:rFonts w:asciiTheme="minorHAnsi" w:hAnsiTheme="minorHAnsi" w:cstheme="minorHAnsi"/>
              </w:rPr>
              <w:t>3.8</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4" w:space="0" w:color="auto"/>
            </w:tcBorders>
            <w:vAlign w:val="center"/>
          </w:tcPr>
          <w:p w14:paraId="40C7C8B5" w14:textId="4114A1A2" w:rsidR="00EB152E" w:rsidRPr="007F0C54" w:rsidRDefault="00EB152E" w:rsidP="00EB152E">
            <w:pPr>
              <w:spacing w:after="0"/>
              <w:jc w:val="center"/>
              <w:rPr>
                <w:rFonts w:asciiTheme="minorHAnsi" w:hAnsiTheme="minorHAnsi" w:cstheme="minorHAnsi"/>
              </w:rPr>
            </w:pPr>
            <w:r w:rsidRPr="00DE15E4">
              <w:rPr>
                <w:rFonts w:asciiTheme="minorHAnsi" w:hAnsiTheme="minorHAnsi" w:cstheme="minorHAnsi"/>
              </w:rPr>
              <w:t>2.8</w:t>
            </w:r>
          </w:p>
        </w:tc>
        <w:tc>
          <w:tcPr>
            <w:tcW w:w="808" w:type="dxa"/>
            <w:tcBorders>
              <w:bottom w:val="single" w:sz="4" w:space="0" w:color="auto"/>
            </w:tcBorders>
            <w:vAlign w:val="center"/>
          </w:tcPr>
          <w:p w14:paraId="4748D0B4" w14:textId="7B3AA725" w:rsidR="00EB152E" w:rsidRPr="007F0C54" w:rsidRDefault="00EB152E"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0C54">
              <w:rPr>
                <w:rFonts w:asciiTheme="minorHAnsi" w:hAnsiTheme="minorHAnsi" w:cstheme="minorHAnsi"/>
              </w:rPr>
              <w:t>2.6</w:t>
            </w:r>
          </w:p>
        </w:tc>
        <w:tc>
          <w:tcPr>
            <w:cnfStyle w:val="000010000000" w:firstRow="0" w:lastRow="0" w:firstColumn="0" w:lastColumn="0" w:oddVBand="1" w:evenVBand="0" w:oddHBand="0" w:evenHBand="0" w:firstRowFirstColumn="0" w:firstRowLastColumn="0" w:lastRowFirstColumn="0" w:lastRowLastColumn="0"/>
            <w:tcW w:w="808" w:type="dxa"/>
            <w:tcBorders>
              <w:bottom w:val="single" w:sz="4" w:space="0" w:color="auto"/>
            </w:tcBorders>
            <w:vAlign w:val="center"/>
          </w:tcPr>
          <w:p w14:paraId="53949612" w14:textId="3E0F7FF4" w:rsidR="00EB152E" w:rsidRPr="007F0C54" w:rsidRDefault="00EB152E" w:rsidP="00EB152E">
            <w:pPr>
              <w:spacing w:after="0"/>
              <w:jc w:val="center"/>
              <w:rPr>
                <w:rFonts w:asciiTheme="minorHAnsi" w:hAnsiTheme="minorHAnsi" w:cstheme="minorHAnsi"/>
              </w:rPr>
            </w:pPr>
            <w:r w:rsidRPr="007F0C54">
              <w:rPr>
                <w:rFonts w:asciiTheme="minorHAnsi" w:hAnsiTheme="minorHAnsi" w:cstheme="minorHAnsi"/>
              </w:rPr>
              <w:t>5.0</w:t>
            </w:r>
          </w:p>
        </w:tc>
        <w:tc>
          <w:tcPr>
            <w:tcW w:w="1072" w:type="dxa"/>
            <w:tcBorders>
              <w:bottom w:val="single" w:sz="4" w:space="0" w:color="auto"/>
            </w:tcBorders>
            <w:shd w:val="clear" w:color="auto" w:fill="CEE9FB" w:themeFill="accent5" w:themeFillTint="33"/>
            <w:vAlign w:val="center"/>
          </w:tcPr>
          <w:p w14:paraId="7BFBED55" w14:textId="45B8A23F" w:rsidR="00D31AA7" w:rsidRPr="001D3785" w:rsidRDefault="00D31AA7" w:rsidP="00D31AA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1D3785">
              <w:rPr>
                <w:rFonts w:asciiTheme="minorHAnsi" w:hAnsiTheme="minorHAnsi" w:cstheme="minorHAnsi"/>
                <w:b/>
              </w:rPr>
              <w:t>2.</w:t>
            </w:r>
            <w:r w:rsidR="00F905A6">
              <w:rPr>
                <w:rFonts w:asciiTheme="minorHAnsi" w:hAnsiTheme="minorHAnsi" w:cstheme="minorHAnsi"/>
                <w:b/>
              </w:rPr>
              <w:t>4</w:t>
            </w:r>
          </w:p>
        </w:tc>
        <w:tc>
          <w:tcPr>
            <w:cnfStyle w:val="000010000000" w:firstRow="0" w:lastRow="0" w:firstColumn="0" w:lastColumn="0" w:oddVBand="1" w:evenVBand="0" w:oddHBand="0" w:evenHBand="0" w:firstRowFirstColumn="0" w:firstRowLastColumn="0" w:lastRowFirstColumn="0" w:lastRowLastColumn="0"/>
            <w:tcW w:w="809" w:type="dxa"/>
            <w:tcBorders>
              <w:bottom w:val="single" w:sz="4" w:space="0" w:color="auto"/>
            </w:tcBorders>
            <w:vAlign w:val="center"/>
          </w:tcPr>
          <w:p w14:paraId="6B141EBB" w14:textId="05F4F9C5" w:rsidR="00EB152E" w:rsidRPr="00A77655" w:rsidRDefault="009A5CF4" w:rsidP="00EB152E">
            <w:pPr>
              <w:spacing w:after="0"/>
              <w:jc w:val="center"/>
              <w:rPr>
                <w:rFonts w:asciiTheme="minorHAnsi" w:hAnsiTheme="minorHAnsi" w:cstheme="minorHAnsi"/>
                <w:i/>
              </w:rPr>
            </w:pPr>
            <w:r w:rsidRPr="00A77655">
              <w:rPr>
                <w:rFonts w:asciiTheme="minorHAnsi" w:hAnsiTheme="minorHAnsi" w:cstheme="minorHAnsi"/>
                <w:i/>
              </w:rPr>
              <w:t>0.7</w:t>
            </w:r>
          </w:p>
        </w:tc>
        <w:tc>
          <w:tcPr>
            <w:tcW w:w="1165" w:type="dxa"/>
            <w:tcBorders>
              <w:bottom w:val="single" w:sz="4" w:space="0" w:color="auto"/>
            </w:tcBorders>
            <w:vAlign w:val="center"/>
          </w:tcPr>
          <w:p w14:paraId="46313BA8" w14:textId="0D3C0291" w:rsidR="009A5CF4" w:rsidRPr="001D3785" w:rsidRDefault="0062608B" w:rsidP="009A5CF4">
            <w:pPr>
              <w:spacing w:after="0"/>
              <w:jc w:val="center"/>
              <w:cnfStyle w:val="000000000000" w:firstRow="0" w:lastRow="0" w:firstColumn="0" w:lastColumn="0" w:oddVBand="0" w:evenVBand="0" w:oddHBand="0" w:evenHBand="0" w:firstRowFirstColumn="0" w:firstRowLastColumn="0" w:lastRowFirstColumn="0" w:lastRowLastColumn="0"/>
              <w:rPr>
                <w:b/>
              </w:rPr>
            </w:pPr>
            <w:r w:rsidRPr="001D3785">
              <w:rPr>
                <w:rFonts w:cs="Arial"/>
                <w:b/>
              </w:rPr>
              <w:t>1.3</w:t>
            </w:r>
          </w:p>
        </w:tc>
      </w:tr>
      <w:tr w:rsidR="00B600BA" w:rsidRPr="00653483" w14:paraId="0ED0DD25" w14:textId="0B6198EC" w:rsidTr="001376AC">
        <w:trPr>
          <w:trHeight w:val="397"/>
        </w:trPr>
        <w:tc>
          <w:tcPr>
            <w:cnfStyle w:val="001000000000" w:firstRow="0" w:lastRow="0" w:firstColumn="1" w:lastColumn="0" w:oddVBand="0" w:evenVBand="0" w:oddHBand="0" w:evenHBand="0" w:firstRowFirstColumn="0" w:firstRowLastColumn="0" w:lastRowFirstColumn="0" w:lastRowLastColumn="0"/>
            <w:tcW w:w="6547" w:type="dxa"/>
            <w:vAlign w:val="center"/>
          </w:tcPr>
          <w:p w14:paraId="559FE106" w14:textId="13ADB4AC" w:rsidR="004509B1" w:rsidRPr="00842605" w:rsidRDefault="001126CF" w:rsidP="0025479A">
            <w:pPr>
              <w:pStyle w:val="ListParagraph"/>
              <w:numPr>
                <w:ilvl w:val="0"/>
                <w:numId w:val="11"/>
              </w:numPr>
              <w:spacing w:before="40" w:after="40" w:line="240" w:lineRule="auto"/>
              <w:ind w:left="357" w:hanging="357"/>
              <w:rPr>
                <w:rFonts w:cs="Arial"/>
                <w:b w:val="0"/>
                <w:bCs w:val="0"/>
              </w:rPr>
            </w:pPr>
            <w:r>
              <w:rPr>
                <w:rFonts w:cs="Arial"/>
                <w:b w:val="0"/>
                <w:bCs w:val="0"/>
              </w:rPr>
              <w:t>C</w:t>
            </w:r>
            <w:r w:rsidR="004509B1" w:rsidRPr="00842605">
              <w:rPr>
                <w:rFonts w:cs="Arial"/>
                <w:b w:val="0"/>
                <w:bCs w:val="0"/>
              </w:rPr>
              <w:t>ompletion rates</w:t>
            </w:r>
            <w:r>
              <w:rPr>
                <w:rFonts w:cs="Arial"/>
                <w:b w:val="0"/>
                <w:bCs w:val="0"/>
              </w:rPr>
              <w:t xml:space="preserve"> for apprentices and trainees </w:t>
            </w:r>
            <w:r w:rsidR="004509B1" w:rsidRPr="00842605">
              <w:rPr>
                <w:rFonts w:cs="Arial"/>
                <w:b w:val="0"/>
                <w:bCs w:val="0"/>
              </w:rPr>
              <w:t>(%)</w:t>
            </w:r>
          </w:p>
        </w:tc>
        <w:tc>
          <w:tcPr>
            <w:cnfStyle w:val="000010000000" w:firstRow="0" w:lastRow="0" w:firstColumn="0" w:lastColumn="0" w:oddVBand="1" w:evenVBand="0" w:oddHBand="0" w:evenHBand="0" w:firstRowFirstColumn="0" w:firstRowLastColumn="0" w:lastRowFirstColumn="0" w:lastRowLastColumn="0"/>
            <w:tcW w:w="683" w:type="dxa"/>
            <w:vAlign w:val="center"/>
          </w:tcPr>
          <w:p w14:paraId="718891EC" w14:textId="0DC7CC02" w:rsidR="004509B1" w:rsidRPr="007B01A0" w:rsidRDefault="00F32AF1" w:rsidP="004509B1">
            <w:pPr>
              <w:spacing w:after="0"/>
              <w:jc w:val="center"/>
              <w:rPr>
                <w:rFonts w:asciiTheme="minorHAnsi" w:hAnsiTheme="minorHAnsi" w:cstheme="minorHAnsi"/>
              </w:rPr>
            </w:pPr>
            <w:r w:rsidRPr="007B01A0">
              <w:rPr>
                <w:rFonts w:asciiTheme="minorHAnsi" w:hAnsiTheme="minorHAnsi" w:cstheme="minorHAnsi"/>
              </w:rPr>
              <w:t>62.0</w:t>
            </w:r>
          </w:p>
        </w:tc>
        <w:tc>
          <w:tcPr>
            <w:tcW w:w="843" w:type="dxa"/>
            <w:vAlign w:val="center"/>
          </w:tcPr>
          <w:p w14:paraId="1F52F669" w14:textId="5BDAA7D6" w:rsidR="004509B1" w:rsidRPr="007B01A0" w:rsidRDefault="00F32AF1" w:rsidP="004509B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B01A0">
              <w:rPr>
                <w:rFonts w:asciiTheme="minorHAnsi" w:hAnsiTheme="minorHAnsi" w:cstheme="minorHAnsi"/>
              </w:rPr>
              <w:t>53.8</w:t>
            </w:r>
          </w:p>
        </w:tc>
        <w:tc>
          <w:tcPr>
            <w:cnfStyle w:val="000010000000" w:firstRow="0" w:lastRow="0" w:firstColumn="0" w:lastColumn="0" w:oddVBand="1" w:evenVBand="0" w:oddHBand="0" w:evenHBand="0" w:firstRowFirstColumn="0" w:firstRowLastColumn="0" w:lastRowFirstColumn="0" w:lastRowLastColumn="0"/>
            <w:tcW w:w="811" w:type="dxa"/>
            <w:vAlign w:val="center"/>
          </w:tcPr>
          <w:p w14:paraId="71EB2EA7" w14:textId="7F393F6F" w:rsidR="004509B1" w:rsidRPr="007B01A0" w:rsidRDefault="00F32AF1" w:rsidP="004509B1">
            <w:pPr>
              <w:spacing w:after="0"/>
              <w:jc w:val="center"/>
              <w:rPr>
                <w:rFonts w:asciiTheme="minorHAnsi" w:hAnsiTheme="minorHAnsi" w:cstheme="minorHAnsi"/>
              </w:rPr>
            </w:pPr>
            <w:r w:rsidRPr="007B01A0">
              <w:rPr>
                <w:rFonts w:asciiTheme="minorHAnsi" w:hAnsiTheme="minorHAnsi" w:cstheme="minorHAnsi"/>
              </w:rPr>
              <w:t>57.6</w:t>
            </w:r>
          </w:p>
        </w:tc>
        <w:tc>
          <w:tcPr>
            <w:tcW w:w="811" w:type="dxa"/>
            <w:vAlign w:val="center"/>
          </w:tcPr>
          <w:p w14:paraId="6FD403FD" w14:textId="0EEE6A54" w:rsidR="004509B1" w:rsidRPr="007B01A0" w:rsidRDefault="00F32AF1" w:rsidP="004509B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B01A0">
              <w:rPr>
                <w:rFonts w:asciiTheme="minorHAnsi" w:hAnsiTheme="minorHAnsi" w:cstheme="minorHAnsi"/>
              </w:rPr>
              <w:t>55.3</w:t>
            </w:r>
          </w:p>
        </w:tc>
        <w:tc>
          <w:tcPr>
            <w:cnfStyle w:val="000010000000" w:firstRow="0" w:lastRow="0" w:firstColumn="0" w:lastColumn="0" w:oddVBand="1" w:evenVBand="0" w:oddHBand="0" w:evenHBand="0" w:firstRowFirstColumn="0" w:firstRowLastColumn="0" w:lastRowFirstColumn="0" w:lastRowLastColumn="0"/>
            <w:tcW w:w="811" w:type="dxa"/>
            <w:vAlign w:val="center"/>
          </w:tcPr>
          <w:p w14:paraId="122334D0" w14:textId="6E3220C7" w:rsidR="004509B1" w:rsidRPr="007B01A0" w:rsidRDefault="00D904EC" w:rsidP="004509B1">
            <w:pPr>
              <w:spacing w:after="0"/>
              <w:jc w:val="center"/>
              <w:rPr>
                <w:rFonts w:asciiTheme="minorHAnsi" w:hAnsiTheme="minorHAnsi" w:cstheme="minorHAnsi"/>
              </w:rPr>
            </w:pPr>
            <w:r w:rsidRPr="007B01A0">
              <w:rPr>
                <w:rFonts w:asciiTheme="minorHAnsi" w:hAnsiTheme="minorHAnsi" w:cstheme="minorHAnsi"/>
              </w:rPr>
              <w:t>57.4</w:t>
            </w:r>
          </w:p>
        </w:tc>
        <w:tc>
          <w:tcPr>
            <w:tcW w:w="808" w:type="dxa"/>
            <w:vAlign w:val="center"/>
          </w:tcPr>
          <w:p w14:paraId="33C0E18F" w14:textId="223404C1" w:rsidR="004509B1" w:rsidRPr="007B01A0" w:rsidRDefault="00D904EC" w:rsidP="004509B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B01A0">
              <w:rPr>
                <w:rFonts w:asciiTheme="minorHAnsi" w:hAnsiTheme="minorHAnsi" w:cstheme="minorHAnsi"/>
              </w:rPr>
              <w:t>61.3</w:t>
            </w:r>
          </w:p>
        </w:tc>
        <w:tc>
          <w:tcPr>
            <w:cnfStyle w:val="000010000000" w:firstRow="0" w:lastRow="0" w:firstColumn="0" w:lastColumn="0" w:oddVBand="1" w:evenVBand="0" w:oddHBand="0" w:evenHBand="0" w:firstRowFirstColumn="0" w:firstRowLastColumn="0" w:lastRowFirstColumn="0" w:lastRowLastColumn="0"/>
            <w:tcW w:w="808" w:type="dxa"/>
            <w:vAlign w:val="center"/>
          </w:tcPr>
          <w:p w14:paraId="3936D6B3" w14:textId="5BA72E61" w:rsidR="004509B1" w:rsidRPr="007B01A0" w:rsidRDefault="00D904EC" w:rsidP="004509B1">
            <w:pPr>
              <w:spacing w:after="0"/>
              <w:jc w:val="center"/>
              <w:rPr>
                <w:rFonts w:asciiTheme="minorHAnsi" w:hAnsiTheme="minorHAnsi" w:cstheme="minorHAnsi"/>
              </w:rPr>
            </w:pPr>
            <w:r w:rsidRPr="007B01A0">
              <w:rPr>
                <w:rFonts w:asciiTheme="minorHAnsi" w:hAnsiTheme="minorHAnsi" w:cstheme="minorHAnsi"/>
              </w:rPr>
              <w:t>50.6</w:t>
            </w:r>
          </w:p>
        </w:tc>
        <w:tc>
          <w:tcPr>
            <w:tcW w:w="1072" w:type="dxa"/>
            <w:shd w:val="clear" w:color="auto" w:fill="CEE9FB" w:themeFill="accent5" w:themeFillTint="33"/>
            <w:vAlign w:val="center"/>
          </w:tcPr>
          <w:p w14:paraId="57E12A18" w14:textId="76BEC90B" w:rsidR="004509B1" w:rsidRPr="00A77655" w:rsidRDefault="00D904EC" w:rsidP="004509B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A77655">
              <w:rPr>
                <w:rFonts w:asciiTheme="minorHAnsi" w:hAnsiTheme="minorHAnsi" w:cstheme="minorHAnsi"/>
                <w:b/>
                <w:bCs/>
              </w:rPr>
              <w:t>56.7</w:t>
            </w:r>
          </w:p>
        </w:tc>
        <w:tc>
          <w:tcPr>
            <w:cnfStyle w:val="000010000000" w:firstRow="0" w:lastRow="0" w:firstColumn="0" w:lastColumn="0" w:oddVBand="1" w:evenVBand="0" w:oddHBand="0" w:evenHBand="0" w:firstRowFirstColumn="0" w:firstRowLastColumn="0" w:lastRowFirstColumn="0" w:lastRowLastColumn="0"/>
            <w:tcW w:w="809" w:type="dxa"/>
            <w:vAlign w:val="center"/>
          </w:tcPr>
          <w:p w14:paraId="43E97722" w14:textId="1603928D" w:rsidR="004509B1" w:rsidRPr="00A77655" w:rsidRDefault="00D904EC" w:rsidP="004509B1">
            <w:pPr>
              <w:spacing w:after="0"/>
              <w:jc w:val="center"/>
              <w:rPr>
                <w:rFonts w:asciiTheme="minorHAnsi" w:hAnsiTheme="minorHAnsi" w:cstheme="minorHAnsi"/>
                <w:i/>
              </w:rPr>
            </w:pPr>
            <w:r w:rsidRPr="00A77655">
              <w:rPr>
                <w:rFonts w:asciiTheme="minorHAnsi" w:hAnsiTheme="minorHAnsi" w:cstheme="minorHAnsi"/>
                <w:i/>
                <w:iCs/>
              </w:rPr>
              <w:t>50.4</w:t>
            </w:r>
          </w:p>
        </w:tc>
        <w:tc>
          <w:tcPr>
            <w:tcW w:w="1165" w:type="dxa"/>
            <w:vAlign w:val="center"/>
          </w:tcPr>
          <w:p w14:paraId="41F9DAD6" w14:textId="718EEA81" w:rsidR="004509B1" w:rsidRPr="007B01A0" w:rsidRDefault="00D904EC" w:rsidP="004509B1">
            <w:pPr>
              <w:spacing w:after="0"/>
              <w:jc w:val="center"/>
              <w:cnfStyle w:val="000000000000" w:firstRow="0" w:lastRow="0" w:firstColumn="0" w:lastColumn="0" w:oddVBand="0" w:evenVBand="0" w:oddHBand="0" w:evenHBand="0" w:firstRowFirstColumn="0" w:firstRowLastColumn="0" w:lastRowFirstColumn="0" w:lastRowLastColumn="0"/>
              <w:rPr>
                <w:rFonts w:cs="Arial"/>
                <w:b/>
              </w:rPr>
            </w:pPr>
            <w:r w:rsidRPr="007B01A0">
              <w:rPr>
                <w:rFonts w:asciiTheme="minorHAnsi" w:hAnsiTheme="minorHAnsi" w:cstheme="minorHAnsi"/>
              </w:rPr>
              <w:t>52.8</w:t>
            </w:r>
          </w:p>
        </w:tc>
      </w:tr>
      <w:tr w:rsidR="00B600BA" w:rsidRPr="00653483" w14:paraId="74FAA219" w14:textId="5A36EF2D" w:rsidTr="001376AC">
        <w:trPr>
          <w:trHeight w:val="397"/>
        </w:trPr>
        <w:tc>
          <w:tcPr>
            <w:cnfStyle w:val="001000000000" w:firstRow="0" w:lastRow="0" w:firstColumn="1" w:lastColumn="0" w:oddVBand="0" w:evenVBand="0" w:oddHBand="0" w:evenHBand="0" w:firstRowFirstColumn="0" w:firstRowLastColumn="0" w:lastRowFirstColumn="0" w:lastRowLastColumn="0"/>
            <w:tcW w:w="6547" w:type="dxa"/>
            <w:vAlign w:val="center"/>
          </w:tcPr>
          <w:p w14:paraId="7DC0849E" w14:textId="77777777" w:rsidR="00EB152E" w:rsidRPr="00842605" w:rsidRDefault="00EB152E" w:rsidP="0025479A">
            <w:pPr>
              <w:pStyle w:val="ListParagraph"/>
              <w:numPr>
                <w:ilvl w:val="0"/>
                <w:numId w:val="11"/>
              </w:numPr>
              <w:spacing w:before="40" w:after="40" w:line="240" w:lineRule="auto"/>
              <w:ind w:left="357" w:hanging="357"/>
              <w:rPr>
                <w:rFonts w:cs="Arial"/>
                <w:b w:val="0"/>
                <w:bCs w:val="0"/>
              </w:rPr>
            </w:pPr>
            <w:r w:rsidRPr="00842605">
              <w:rPr>
                <w:rFonts w:cs="Arial"/>
                <w:b w:val="0"/>
                <w:bCs w:val="0"/>
              </w:rPr>
              <w:t>Youth tertiary participation rate (%)</w:t>
            </w:r>
          </w:p>
        </w:tc>
        <w:tc>
          <w:tcPr>
            <w:cnfStyle w:val="000010000000" w:firstRow="0" w:lastRow="0" w:firstColumn="0" w:lastColumn="0" w:oddVBand="1" w:evenVBand="0" w:oddHBand="0" w:evenHBand="0" w:firstRowFirstColumn="0" w:firstRowLastColumn="0" w:lastRowFirstColumn="0" w:lastRowLastColumn="0"/>
            <w:tcW w:w="683" w:type="dxa"/>
            <w:vAlign w:val="center"/>
          </w:tcPr>
          <w:p w14:paraId="5DAC99BB" w14:textId="61FDDAE0" w:rsidR="00EB152E" w:rsidRPr="007F0C54" w:rsidRDefault="00EB152E" w:rsidP="00EB152E">
            <w:pPr>
              <w:spacing w:after="0"/>
              <w:jc w:val="center"/>
              <w:rPr>
                <w:rFonts w:asciiTheme="minorHAnsi" w:hAnsiTheme="minorHAnsi" w:cstheme="minorHAnsi"/>
              </w:rPr>
            </w:pPr>
            <w:r w:rsidRPr="007F0C54">
              <w:rPr>
                <w:rFonts w:asciiTheme="minorHAnsi" w:hAnsiTheme="minorHAnsi" w:cstheme="minorHAnsi"/>
              </w:rPr>
              <w:t>27.</w:t>
            </w:r>
            <w:r w:rsidR="0075321D">
              <w:rPr>
                <w:rFonts w:asciiTheme="minorHAnsi" w:hAnsiTheme="minorHAnsi" w:cstheme="minorHAnsi"/>
              </w:rPr>
              <w:t>5</w:t>
            </w:r>
          </w:p>
        </w:tc>
        <w:tc>
          <w:tcPr>
            <w:tcW w:w="843" w:type="dxa"/>
            <w:vAlign w:val="center"/>
          </w:tcPr>
          <w:p w14:paraId="41929059" w14:textId="2E16015C" w:rsidR="00EB152E" w:rsidRPr="007F0C54" w:rsidRDefault="0075321D"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14.1</w:t>
            </w:r>
          </w:p>
        </w:tc>
        <w:tc>
          <w:tcPr>
            <w:cnfStyle w:val="000010000000" w:firstRow="0" w:lastRow="0" w:firstColumn="0" w:lastColumn="0" w:oddVBand="1" w:evenVBand="0" w:oddHBand="0" w:evenHBand="0" w:firstRowFirstColumn="0" w:firstRowLastColumn="0" w:lastRowFirstColumn="0" w:lastRowLastColumn="0"/>
            <w:tcW w:w="811" w:type="dxa"/>
            <w:vAlign w:val="center"/>
          </w:tcPr>
          <w:p w14:paraId="2A1F6894" w14:textId="324C1711" w:rsidR="00EB152E" w:rsidRPr="007F0C54" w:rsidRDefault="00CF71EF" w:rsidP="00EB152E">
            <w:pPr>
              <w:spacing w:after="0"/>
              <w:jc w:val="center"/>
              <w:rPr>
                <w:rFonts w:asciiTheme="minorHAnsi" w:hAnsiTheme="minorHAnsi" w:cstheme="minorHAnsi"/>
              </w:rPr>
            </w:pPr>
            <w:r>
              <w:rPr>
                <w:rFonts w:asciiTheme="minorHAnsi" w:hAnsiTheme="minorHAnsi" w:cstheme="minorHAnsi"/>
              </w:rPr>
              <w:t>21.4</w:t>
            </w:r>
          </w:p>
        </w:tc>
        <w:tc>
          <w:tcPr>
            <w:tcW w:w="811" w:type="dxa"/>
            <w:vAlign w:val="center"/>
          </w:tcPr>
          <w:p w14:paraId="16551549" w14:textId="126A1625" w:rsidR="00EB152E" w:rsidRPr="007F0C54" w:rsidRDefault="00EB152E"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0C54">
              <w:rPr>
                <w:rFonts w:asciiTheme="minorHAnsi" w:hAnsiTheme="minorHAnsi" w:cstheme="minorHAnsi"/>
              </w:rPr>
              <w:t>14.</w:t>
            </w:r>
            <w:r w:rsidR="00CF71EF">
              <w:rPr>
                <w:rFonts w:asciiTheme="minorHAnsi" w:hAnsiTheme="minorHAnsi" w:cstheme="minorHAnsi"/>
              </w:rPr>
              <w:t>5</w:t>
            </w:r>
          </w:p>
        </w:tc>
        <w:tc>
          <w:tcPr>
            <w:cnfStyle w:val="000010000000" w:firstRow="0" w:lastRow="0" w:firstColumn="0" w:lastColumn="0" w:oddVBand="1" w:evenVBand="0" w:oddHBand="0" w:evenHBand="0" w:firstRowFirstColumn="0" w:firstRowLastColumn="0" w:lastRowFirstColumn="0" w:lastRowLastColumn="0"/>
            <w:tcW w:w="811" w:type="dxa"/>
            <w:vAlign w:val="center"/>
          </w:tcPr>
          <w:p w14:paraId="3DE6FF8D" w14:textId="5F81B43D" w:rsidR="00EB152E" w:rsidRPr="007F0C54" w:rsidRDefault="007F05CA" w:rsidP="00EB152E">
            <w:pPr>
              <w:spacing w:after="0"/>
              <w:jc w:val="center"/>
              <w:rPr>
                <w:rFonts w:asciiTheme="minorHAnsi" w:hAnsiTheme="minorHAnsi" w:cstheme="minorHAnsi"/>
              </w:rPr>
            </w:pPr>
            <w:r>
              <w:rPr>
                <w:rFonts w:asciiTheme="minorHAnsi" w:hAnsiTheme="minorHAnsi" w:cstheme="minorHAnsi"/>
              </w:rPr>
              <w:t>28.2</w:t>
            </w:r>
          </w:p>
        </w:tc>
        <w:tc>
          <w:tcPr>
            <w:tcW w:w="808" w:type="dxa"/>
            <w:vAlign w:val="center"/>
          </w:tcPr>
          <w:p w14:paraId="60394DB8" w14:textId="73A686C2" w:rsidR="00EB152E" w:rsidRPr="007F0C54" w:rsidRDefault="007F05CA"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19.0</w:t>
            </w:r>
          </w:p>
        </w:tc>
        <w:tc>
          <w:tcPr>
            <w:cnfStyle w:val="000010000000" w:firstRow="0" w:lastRow="0" w:firstColumn="0" w:lastColumn="0" w:oddVBand="1" w:evenVBand="0" w:oddHBand="0" w:evenHBand="0" w:firstRowFirstColumn="0" w:firstRowLastColumn="0" w:lastRowFirstColumn="0" w:lastRowLastColumn="0"/>
            <w:tcW w:w="808" w:type="dxa"/>
            <w:vAlign w:val="center"/>
          </w:tcPr>
          <w:p w14:paraId="10494E20" w14:textId="598C8379" w:rsidR="00EB152E" w:rsidRPr="007F0C54" w:rsidRDefault="00EB7850" w:rsidP="00EB152E">
            <w:pPr>
              <w:spacing w:after="0"/>
              <w:jc w:val="center"/>
              <w:rPr>
                <w:rFonts w:asciiTheme="minorHAnsi" w:hAnsiTheme="minorHAnsi" w:cstheme="minorHAnsi"/>
              </w:rPr>
            </w:pPr>
            <w:r>
              <w:rPr>
                <w:rFonts w:asciiTheme="minorHAnsi" w:hAnsiTheme="minorHAnsi" w:cstheme="minorHAnsi"/>
              </w:rPr>
              <w:t>17.8</w:t>
            </w:r>
          </w:p>
        </w:tc>
        <w:tc>
          <w:tcPr>
            <w:tcW w:w="1072" w:type="dxa"/>
            <w:shd w:val="clear" w:color="auto" w:fill="CEE9FB" w:themeFill="accent5" w:themeFillTint="33"/>
            <w:vAlign w:val="center"/>
          </w:tcPr>
          <w:p w14:paraId="5BAF20D8" w14:textId="76CE4F7B" w:rsidR="00D31AA7" w:rsidRPr="007F0C54" w:rsidRDefault="00D01C3D" w:rsidP="00D31AA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b/>
                <w:bCs/>
              </w:rPr>
              <w:t>22.2</w:t>
            </w:r>
          </w:p>
        </w:tc>
        <w:tc>
          <w:tcPr>
            <w:cnfStyle w:val="000010000000" w:firstRow="0" w:lastRow="0" w:firstColumn="0" w:lastColumn="0" w:oddVBand="1" w:evenVBand="0" w:oddHBand="0" w:evenHBand="0" w:firstRowFirstColumn="0" w:firstRowLastColumn="0" w:lastRowFirstColumn="0" w:lastRowLastColumn="0"/>
            <w:tcW w:w="809" w:type="dxa"/>
            <w:vAlign w:val="center"/>
          </w:tcPr>
          <w:p w14:paraId="7D20B469" w14:textId="4AA9C4F6" w:rsidR="00EB152E" w:rsidRPr="009A5CF4" w:rsidRDefault="00EB7850" w:rsidP="00EB152E">
            <w:pPr>
              <w:spacing w:after="0"/>
              <w:jc w:val="center"/>
              <w:rPr>
                <w:rFonts w:asciiTheme="minorHAnsi" w:hAnsiTheme="minorHAnsi" w:cstheme="minorHAnsi"/>
                <w:i/>
              </w:rPr>
            </w:pPr>
            <w:r>
              <w:rPr>
                <w:i/>
                <w:iCs/>
              </w:rPr>
              <w:t>36.1</w:t>
            </w:r>
          </w:p>
        </w:tc>
        <w:tc>
          <w:tcPr>
            <w:tcW w:w="1165" w:type="dxa"/>
            <w:vAlign w:val="center"/>
          </w:tcPr>
          <w:p w14:paraId="08E8AC29" w14:textId="11CFB0CC" w:rsidR="009A5CF4" w:rsidRPr="001D3785" w:rsidRDefault="0062608B" w:rsidP="009A5CF4">
            <w:pPr>
              <w:spacing w:after="0"/>
              <w:jc w:val="center"/>
              <w:cnfStyle w:val="000000000000" w:firstRow="0" w:lastRow="0" w:firstColumn="0" w:lastColumn="0" w:oddVBand="0" w:evenVBand="0" w:oddHBand="0" w:evenHBand="0" w:firstRowFirstColumn="0" w:firstRowLastColumn="0" w:lastRowFirstColumn="0" w:lastRowLastColumn="0"/>
              <w:rPr>
                <w:b/>
              </w:rPr>
            </w:pPr>
            <w:r w:rsidRPr="001D3785">
              <w:rPr>
                <w:rFonts w:cs="Arial"/>
                <w:b/>
              </w:rPr>
              <w:t>37.</w:t>
            </w:r>
            <w:r w:rsidR="00D01C3D">
              <w:rPr>
                <w:rFonts w:cs="Arial"/>
                <w:b/>
              </w:rPr>
              <w:t>5</w:t>
            </w:r>
          </w:p>
        </w:tc>
      </w:tr>
      <w:tr w:rsidR="00B600BA" w:rsidRPr="00653483" w14:paraId="6C856F59" w14:textId="60FAA77C" w:rsidTr="001376AC">
        <w:trPr>
          <w:trHeight w:val="397"/>
        </w:trPr>
        <w:tc>
          <w:tcPr>
            <w:cnfStyle w:val="001000000000" w:firstRow="0" w:lastRow="0" w:firstColumn="1" w:lastColumn="0" w:oddVBand="0" w:evenVBand="0" w:oddHBand="0" w:evenHBand="0" w:firstRowFirstColumn="0" w:firstRowLastColumn="0" w:lastRowFirstColumn="0" w:lastRowLastColumn="0"/>
            <w:tcW w:w="6547" w:type="dxa"/>
            <w:vAlign w:val="center"/>
          </w:tcPr>
          <w:p w14:paraId="4E297E16" w14:textId="14645C31" w:rsidR="00EB152E" w:rsidRPr="00842605" w:rsidRDefault="00EB152E" w:rsidP="0025479A">
            <w:pPr>
              <w:pStyle w:val="ListParagraph"/>
              <w:numPr>
                <w:ilvl w:val="0"/>
                <w:numId w:val="11"/>
              </w:numPr>
              <w:spacing w:before="40" w:after="40" w:line="240" w:lineRule="auto"/>
              <w:ind w:left="357" w:hanging="357"/>
              <w:rPr>
                <w:rFonts w:cs="Arial"/>
                <w:b w:val="0"/>
                <w:bCs w:val="0"/>
              </w:rPr>
            </w:pPr>
            <w:r w:rsidRPr="00842605">
              <w:rPr>
                <w:rFonts w:cs="Arial"/>
                <w:b w:val="0"/>
                <w:bCs w:val="0"/>
              </w:rPr>
              <w:t>Prop</w:t>
            </w:r>
            <w:r w:rsidR="003F2975">
              <w:rPr>
                <w:rFonts w:cs="Arial"/>
                <w:b w:val="0"/>
                <w:bCs w:val="0"/>
              </w:rPr>
              <w:t>.</w:t>
            </w:r>
            <w:r w:rsidRPr="00842605">
              <w:rPr>
                <w:rFonts w:cs="Arial"/>
                <w:b w:val="0"/>
                <w:bCs w:val="0"/>
              </w:rPr>
              <w:t xml:space="preserve"> working in lower skill level than qualification level (%)</w:t>
            </w:r>
          </w:p>
        </w:tc>
        <w:tc>
          <w:tcPr>
            <w:cnfStyle w:val="000010000000" w:firstRow="0" w:lastRow="0" w:firstColumn="0" w:lastColumn="0" w:oddVBand="1" w:evenVBand="0" w:oddHBand="0" w:evenHBand="0" w:firstRowFirstColumn="0" w:firstRowLastColumn="0" w:lastRowFirstColumn="0" w:lastRowLastColumn="0"/>
            <w:tcW w:w="683" w:type="dxa"/>
            <w:vAlign w:val="center"/>
          </w:tcPr>
          <w:p w14:paraId="28D6E623" w14:textId="77777777" w:rsidR="00EB152E" w:rsidRPr="007F0C54" w:rsidRDefault="00EB152E" w:rsidP="00EB152E">
            <w:pPr>
              <w:spacing w:after="0"/>
              <w:jc w:val="center"/>
              <w:rPr>
                <w:rFonts w:asciiTheme="minorHAnsi" w:hAnsiTheme="minorHAnsi" w:cstheme="minorHAnsi"/>
              </w:rPr>
            </w:pPr>
            <w:r w:rsidRPr="007F0C54">
              <w:rPr>
                <w:rFonts w:asciiTheme="minorHAnsi" w:hAnsiTheme="minorHAnsi" w:cstheme="minorHAnsi"/>
              </w:rPr>
              <w:t>23.8</w:t>
            </w:r>
          </w:p>
        </w:tc>
        <w:tc>
          <w:tcPr>
            <w:tcW w:w="843" w:type="dxa"/>
            <w:vAlign w:val="center"/>
          </w:tcPr>
          <w:p w14:paraId="5747A5E1" w14:textId="1A1C942E" w:rsidR="00EB152E" w:rsidRPr="007F0C54" w:rsidRDefault="00EB152E"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0C54">
              <w:rPr>
                <w:rFonts w:asciiTheme="minorHAnsi" w:hAnsiTheme="minorHAnsi" w:cstheme="minorHAnsi"/>
              </w:rPr>
              <w:t>26.6</w:t>
            </w:r>
          </w:p>
        </w:tc>
        <w:tc>
          <w:tcPr>
            <w:cnfStyle w:val="000010000000" w:firstRow="0" w:lastRow="0" w:firstColumn="0" w:lastColumn="0" w:oddVBand="1" w:evenVBand="0" w:oddHBand="0" w:evenHBand="0" w:firstRowFirstColumn="0" w:firstRowLastColumn="0" w:lastRowFirstColumn="0" w:lastRowLastColumn="0"/>
            <w:tcW w:w="811" w:type="dxa"/>
            <w:vAlign w:val="center"/>
          </w:tcPr>
          <w:p w14:paraId="5C7E9BE0" w14:textId="3883D5F9" w:rsidR="00EB152E" w:rsidRPr="007F0C54" w:rsidRDefault="00EB152E" w:rsidP="00EB152E">
            <w:pPr>
              <w:spacing w:after="0"/>
              <w:jc w:val="center"/>
              <w:rPr>
                <w:rFonts w:asciiTheme="minorHAnsi" w:hAnsiTheme="minorHAnsi" w:cstheme="minorHAnsi"/>
              </w:rPr>
            </w:pPr>
            <w:r w:rsidRPr="007F0C54">
              <w:rPr>
                <w:rFonts w:asciiTheme="minorHAnsi" w:hAnsiTheme="minorHAnsi" w:cstheme="minorHAnsi"/>
              </w:rPr>
              <w:t>27.9</w:t>
            </w:r>
          </w:p>
        </w:tc>
        <w:tc>
          <w:tcPr>
            <w:tcW w:w="811" w:type="dxa"/>
            <w:vAlign w:val="center"/>
          </w:tcPr>
          <w:p w14:paraId="2D48EDDB" w14:textId="39F10BDE" w:rsidR="00EB152E" w:rsidRPr="007F0C54" w:rsidRDefault="00EB152E"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0C54">
              <w:rPr>
                <w:rFonts w:asciiTheme="minorHAnsi" w:hAnsiTheme="minorHAnsi" w:cstheme="minorHAnsi"/>
              </w:rPr>
              <w:t>19.8</w:t>
            </w:r>
          </w:p>
        </w:tc>
        <w:tc>
          <w:tcPr>
            <w:cnfStyle w:val="000010000000" w:firstRow="0" w:lastRow="0" w:firstColumn="0" w:lastColumn="0" w:oddVBand="1" w:evenVBand="0" w:oddHBand="0" w:evenHBand="0" w:firstRowFirstColumn="0" w:firstRowLastColumn="0" w:lastRowFirstColumn="0" w:lastRowLastColumn="0"/>
            <w:tcW w:w="811" w:type="dxa"/>
            <w:vAlign w:val="center"/>
          </w:tcPr>
          <w:p w14:paraId="69161936" w14:textId="3B81B3C0" w:rsidR="00EB152E" w:rsidRPr="007F0C54" w:rsidRDefault="00EB152E" w:rsidP="00EB152E">
            <w:pPr>
              <w:spacing w:after="0"/>
              <w:jc w:val="center"/>
              <w:rPr>
                <w:rFonts w:asciiTheme="minorHAnsi" w:hAnsiTheme="minorHAnsi" w:cstheme="minorHAnsi"/>
              </w:rPr>
            </w:pPr>
            <w:r w:rsidRPr="007F0C54">
              <w:rPr>
                <w:rFonts w:asciiTheme="minorHAnsi" w:hAnsiTheme="minorHAnsi" w:cstheme="minorHAnsi"/>
              </w:rPr>
              <w:t>18.4</w:t>
            </w:r>
          </w:p>
        </w:tc>
        <w:tc>
          <w:tcPr>
            <w:tcW w:w="808" w:type="dxa"/>
            <w:vAlign w:val="center"/>
          </w:tcPr>
          <w:p w14:paraId="4610CBA6" w14:textId="3E6C000C" w:rsidR="00EB152E" w:rsidRPr="007F0C54" w:rsidRDefault="00EB152E"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0C54">
              <w:rPr>
                <w:rFonts w:asciiTheme="minorHAnsi" w:hAnsiTheme="minorHAnsi" w:cstheme="minorHAnsi"/>
              </w:rPr>
              <w:t>26.4</w:t>
            </w:r>
          </w:p>
        </w:tc>
        <w:tc>
          <w:tcPr>
            <w:cnfStyle w:val="000010000000" w:firstRow="0" w:lastRow="0" w:firstColumn="0" w:lastColumn="0" w:oddVBand="1" w:evenVBand="0" w:oddHBand="0" w:evenHBand="0" w:firstRowFirstColumn="0" w:firstRowLastColumn="0" w:lastRowFirstColumn="0" w:lastRowLastColumn="0"/>
            <w:tcW w:w="808" w:type="dxa"/>
            <w:vAlign w:val="center"/>
          </w:tcPr>
          <w:p w14:paraId="3A65A822" w14:textId="534E9599" w:rsidR="00EB152E" w:rsidRPr="007F0C54" w:rsidRDefault="00EB152E" w:rsidP="00EB152E">
            <w:pPr>
              <w:spacing w:after="0"/>
              <w:jc w:val="center"/>
              <w:rPr>
                <w:rFonts w:asciiTheme="minorHAnsi" w:hAnsiTheme="minorHAnsi" w:cstheme="minorHAnsi"/>
              </w:rPr>
            </w:pPr>
            <w:r w:rsidRPr="007F0C54">
              <w:rPr>
                <w:rFonts w:asciiTheme="minorHAnsi" w:hAnsiTheme="minorHAnsi" w:cstheme="minorHAnsi"/>
              </w:rPr>
              <w:t>31.3</w:t>
            </w:r>
          </w:p>
        </w:tc>
        <w:tc>
          <w:tcPr>
            <w:tcW w:w="1072" w:type="dxa"/>
            <w:shd w:val="clear" w:color="auto" w:fill="CEE9FB" w:themeFill="accent5" w:themeFillTint="33"/>
            <w:vAlign w:val="center"/>
          </w:tcPr>
          <w:p w14:paraId="090232E1" w14:textId="0A89C344" w:rsidR="00D31AA7" w:rsidRPr="007F0C54" w:rsidRDefault="00D31AA7" w:rsidP="00D31AA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82DC4">
              <w:rPr>
                <w:rFonts w:asciiTheme="minorHAnsi" w:hAnsiTheme="minorHAnsi" w:cstheme="minorHAnsi"/>
                <w:b/>
                <w:bCs/>
              </w:rPr>
              <w:t>25.7</w:t>
            </w:r>
          </w:p>
        </w:tc>
        <w:tc>
          <w:tcPr>
            <w:cnfStyle w:val="000010000000" w:firstRow="0" w:lastRow="0" w:firstColumn="0" w:lastColumn="0" w:oddVBand="1" w:evenVBand="0" w:oddHBand="0" w:evenHBand="0" w:firstRowFirstColumn="0" w:firstRowLastColumn="0" w:lastRowFirstColumn="0" w:lastRowLastColumn="0"/>
            <w:tcW w:w="809" w:type="dxa"/>
            <w:vAlign w:val="center"/>
          </w:tcPr>
          <w:p w14:paraId="5E404D9B" w14:textId="76E65F47" w:rsidR="00EB152E" w:rsidRPr="009A5CF4" w:rsidRDefault="009A5CF4" w:rsidP="00EB152E">
            <w:pPr>
              <w:spacing w:after="0"/>
              <w:jc w:val="center"/>
              <w:rPr>
                <w:rFonts w:asciiTheme="minorHAnsi" w:hAnsiTheme="minorHAnsi" w:cstheme="minorHAnsi"/>
                <w:i/>
              </w:rPr>
            </w:pPr>
            <w:r w:rsidRPr="009A5CF4">
              <w:rPr>
                <w:rFonts w:cs="Arial"/>
                <w:i/>
                <w:iCs/>
              </w:rPr>
              <w:t>28.8</w:t>
            </w:r>
          </w:p>
        </w:tc>
        <w:tc>
          <w:tcPr>
            <w:tcW w:w="1165" w:type="dxa"/>
            <w:vAlign w:val="center"/>
          </w:tcPr>
          <w:p w14:paraId="4576C1EF" w14:textId="3CD931F6" w:rsidR="009A5CF4" w:rsidRPr="001D3785" w:rsidRDefault="0062608B" w:rsidP="009A5CF4">
            <w:pPr>
              <w:spacing w:after="0"/>
              <w:jc w:val="center"/>
              <w:cnfStyle w:val="000000000000" w:firstRow="0" w:lastRow="0" w:firstColumn="0" w:lastColumn="0" w:oddVBand="0" w:evenVBand="0" w:oddHBand="0" w:evenHBand="0" w:firstRowFirstColumn="0" w:firstRowLastColumn="0" w:lastRowFirstColumn="0" w:lastRowLastColumn="0"/>
              <w:rPr>
                <w:rFonts w:cs="Arial"/>
                <w:b/>
              </w:rPr>
            </w:pPr>
            <w:r w:rsidRPr="001D3785">
              <w:rPr>
                <w:rFonts w:cs="Arial"/>
                <w:b/>
              </w:rPr>
              <w:t>30.9</w:t>
            </w:r>
          </w:p>
        </w:tc>
      </w:tr>
      <w:tr w:rsidR="00B600BA" w:rsidRPr="00653483" w14:paraId="03F5E507" w14:textId="06461451" w:rsidTr="001376AC">
        <w:trPr>
          <w:trHeight w:val="397"/>
        </w:trPr>
        <w:tc>
          <w:tcPr>
            <w:cnfStyle w:val="001000000000" w:firstRow="0" w:lastRow="0" w:firstColumn="1" w:lastColumn="0" w:oddVBand="0" w:evenVBand="0" w:oddHBand="0" w:evenHBand="0" w:firstRowFirstColumn="0" w:firstRowLastColumn="0" w:lastRowFirstColumn="0" w:lastRowLastColumn="0"/>
            <w:tcW w:w="6547" w:type="dxa"/>
            <w:tcBorders>
              <w:bottom w:val="single" w:sz="4" w:space="0" w:color="auto"/>
            </w:tcBorders>
            <w:vAlign w:val="center"/>
          </w:tcPr>
          <w:p w14:paraId="560D9A8C" w14:textId="2C1B0340" w:rsidR="00EB152E" w:rsidRPr="00842605" w:rsidRDefault="003F2975" w:rsidP="0025479A">
            <w:pPr>
              <w:pStyle w:val="ListParagraph"/>
              <w:numPr>
                <w:ilvl w:val="0"/>
                <w:numId w:val="11"/>
              </w:numPr>
              <w:spacing w:before="40" w:after="40" w:line="240" w:lineRule="auto"/>
              <w:ind w:left="357" w:hanging="357"/>
              <w:rPr>
                <w:rFonts w:cs="Arial"/>
                <w:b w:val="0"/>
                <w:bCs w:val="0"/>
              </w:rPr>
            </w:pPr>
            <w:r w:rsidRPr="003F2975">
              <w:rPr>
                <w:rFonts w:cs="Arial"/>
                <w:b w:val="0"/>
                <w:bCs w:val="0"/>
              </w:rPr>
              <w:t>Prop</w:t>
            </w:r>
            <w:r>
              <w:rPr>
                <w:rFonts w:cs="Arial"/>
                <w:b w:val="0"/>
                <w:bCs w:val="0"/>
              </w:rPr>
              <w:t>.</w:t>
            </w:r>
            <w:r w:rsidRPr="003F2975">
              <w:rPr>
                <w:rFonts w:cs="Arial"/>
                <w:b w:val="0"/>
                <w:bCs w:val="0"/>
              </w:rPr>
              <w:t xml:space="preserve"> working in same field as most relevant qualification (%)</w:t>
            </w:r>
          </w:p>
        </w:tc>
        <w:tc>
          <w:tcPr>
            <w:cnfStyle w:val="000010000000" w:firstRow="0" w:lastRow="0" w:firstColumn="0" w:lastColumn="0" w:oddVBand="1" w:evenVBand="0" w:oddHBand="0" w:evenHBand="0" w:firstRowFirstColumn="0" w:firstRowLastColumn="0" w:lastRowFirstColumn="0" w:lastRowLastColumn="0"/>
            <w:tcW w:w="683" w:type="dxa"/>
            <w:tcBorders>
              <w:bottom w:val="single" w:sz="4" w:space="0" w:color="auto"/>
            </w:tcBorders>
            <w:vAlign w:val="center"/>
          </w:tcPr>
          <w:p w14:paraId="62EED861" w14:textId="77777777" w:rsidR="00EB152E" w:rsidRPr="007F0C54" w:rsidRDefault="00EB152E" w:rsidP="00EB152E">
            <w:pPr>
              <w:spacing w:after="0"/>
              <w:jc w:val="center"/>
              <w:rPr>
                <w:rFonts w:asciiTheme="minorHAnsi" w:hAnsiTheme="minorHAnsi" w:cstheme="minorHAnsi"/>
              </w:rPr>
            </w:pPr>
            <w:r w:rsidRPr="007F0C54">
              <w:rPr>
                <w:rFonts w:asciiTheme="minorHAnsi" w:hAnsiTheme="minorHAnsi" w:cstheme="minorHAnsi"/>
              </w:rPr>
              <w:t>70.1</w:t>
            </w:r>
          </w:p>
        </w:tc>
        <w:tc>
          <w:tcPr>
            <w:tcW w:w="843" w:type="dxa"/>
            <w:tcBorders>
              <w:bottom w:val="single" w:sz="4" w:space="0" w:color="auto"/>
            </w:tcBorders>
            <w:vAlign w:val="center"/>
          </w:tcPr>
          <w:p w14:paraId="7FEFF42D" w14:textId="556D5AB0" w:rsidR="00EB152E" w:rsidRPr="007F0C54" w:rsidRDefault="00EB152E"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0C54">
              <w:rPr>
                <w:rFonts w:asciiTheme="minorHAnsi" w:hAnsiTheme="minorHAnsi" w:cstheme="minorHAnsi"/>
              </w:rPr>
              <w:t>74.4</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4" w:space="0" w:color="auto"/>
            </w:tcBorders>
            <w:vAlign w:val="center"/>
          </w:tcPr>
          <w:p w14:paraId="3D7E0708" w14:textId="34B48D8B" w:rsidR="00EB152E" w:rsidRPr="007F0C54" w:rsidRDefault="00EB152E" w:rsidP="00EB152E">
            <w:pPr>
              <w:spacing w:after="0"/>
              <w:jc w:val="center"/>
              <w:rPr>
                <w:rFonts w:asciiTheme="minorHAnsi" w:hAnsiTheme="minorHAnsi" w:cstheme="minorHAnsi"/>
              </w:rPr>
            </w:pPr>
            <w:r w:rsidRPr="007F0C54">
              <w:rPr>
                <w:rFonts w:asciiTheme="minorHAnsi" w:hAnsiTheme="minorHAnsi" w:cstheme="minorHAnsi"/>
              </w:rPr>
              <w:t>74.8</w:t>
            </w:r>
          </w:p>
        </w:tc>
        <w:tc>
          <w:tcPr>
            <w:tcW w:w="811" w:type="dxa"/>
            <w:tcBorders>
              <w:bottom w:val="single" w:sz="4" w:space="0" w:color="auto"/>
            </w:tcBorders>
            <w:vAlign w:val="center"/>
          </w:tcPr>
          <w:p w14:paraId="1717ABA4" w14:textId="6F6104C2" w:rsidR="00EB152E" w:rsidRPr="007F0C54" w:rsidRDefault="00EB152E"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0C54">
              <w:rPr>
                <w:rFonts w:asciiTheme="minorHAnsi" w:hAnsiTheme="minorHAnsi" w:cstheme="minorHAnsi"/>
              </w:rPr>
              <w:t>63.0</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4" w:space="0" w:color="auto"/>
            </w:tcBorders>
            <w:vAlign w:val="center"/>
          </w:tcPr>
          <w:p w14:paraId="32D665F4" w14:textId="79D9AD2E" w:rsidR="00EB152E" w:rsidRPr="007F0C54" w:rsidRDefault="00EB152E" w:rsidP="00EB152E">
            <w:pPr>
              <w:spacing w:after="0"/>
              <w:jc w:val="center"/>
              <w:rPr>
                <w:rFonts w:asciiTheme="minorHAnsi" w:hAnsiTheme="minorHAnsi" w:cstheme="minorHAnsi"/>
              </w:rPr>
            </w:pPr>
            <w:r w:rsidRPr="007F0C54">
              <w:rPr>
                <w:rFonts w:asciiTheme="minorHAnsi" w:hAnsiTheme="minorHAnsi" w:cstheme="minorHAnsi"/>
              </w:rPr>
              <w:t>69.7</w:t>
            </w:r>
          </w:p>
        </w:tc>
        <w:tc>
          <w:tcPr>
            <w:tcW w:w="808" w:type="dxa"/>
            <w:tcBorders>
              <w:bottom w:val="single" w:sz="4" w:space="0" w:color="auto"/>
            </w:tcBorders>
            <w:vAlign w:val="center"/>
          </w:tcPr>
          <w:p w14:paraId="6C237A3A" w14:textId="504AA872" w:rsidR="00EB152E" w:rsidRPr="007F0C54" w:rsidRDefault="00EB152E"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0C54">
              <w:rPr>
                <w:rFonts w:asciiTheme="minorHAnsi" w:hAnsiTheme="minorHAnsi" w:cstheme="minorHAnsi"/>
              </w:rPr>
              <w:t>72.3</w:t>
            </w:r>
          </w:p>
        </w:tc>
        <w:tc>
          <w:tcPr>
            <w:cnfStyle w:val="000010000000" w:firstRow="0" w:lastRow="0" w:firstColumn="0" w:lastColumn="0" w:oddVBand="1" w:evenVBand="0" w:oddHBand="0" w:evenHBand="0" w:firstRowFirstColumn="0" w:firstRowLastColumn="0" w:lastRowFirstColumn="0" w:lastRowLastColumn="0"/>
            <w:tcW w:w="808" w:type="dxa"/>
            <w:tcBorders>
              <w:bottom w:val="single" w:sz="4" w:space="0" w:color="auto"/>
            </w:tcBorders>
            <w:vAlign w:val="center"/>
          </w:tcPr>
          <w:p w14:paraId="21977376" w14:textId="08CE0306" w:rsidR="00EB152E" w:rsidRPr="007F0C54" w:rsidRDefault="00EB152E" w:rsidP="00EB152E">
            <w:pPr>
              <w:spacing w:after="0"/>
              <w:jc w:val="center"/>
              <w:rPr>
                <w:rFonts w:asciiTheme="minorHAnsi" w:hAnsiTheme="minorHAnsi" w:cstheme="minorHAnsi"/>
              </w:rPr>
            </w:pPr>
            <w:r w:rsidRPr="007F0C54">
              <w:rPr>
                <w:rFonts w:asciiTheme="minorHAnsi" w:hAnsiTheme="minorHAnsi" w:cstheme="minorHAnsi"/>
              </w:rPr>
              <w:t>72.9</w:t>
            </w:r>
          </w:p>
        </w:tc>
        <w:tc>
          <w:tcPr>
            <w:tcW w:w="1072" w:type="dxa"/>
            <w:tcBorders>
              <w:bottom w:val="single" w:sz="4" w:space="0" w:color="auto"/>
            </w:tcBorders>
            <w:shd w:val="clear" w:color="auto" w:fill="CEE9FB" w:themeFill="accent5" w:themeFillTint="33"/>
            <w:vAlign w:val="center"/>
          </w:tcPr>
          <w:p w14:paraId="16E34D83" w14:textId="6214ABBE" w:rsidR="00D31AA7" w:rsidRPr="007F0C54" w:rsidRDefault="00D31AA7" w:rsidP="00D31AA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82DC4">
              <w:rPr>
                <w:rFonts w:asciiTheme="minorHAnsi" w:hAnsiTheme="minorHAnsi" w:cstheme="minorHAnsi"/>
                <w:b/>
                <w:bCs/>
              </w:rPr>
              <w:t>72.7</w:t>
            </w:r>
          </w:p>
        </w:tc>
        <w:tc>
          <w:tcPr>
            <w:cnfStyle w:val="000010000000" w:firstRow="0" w:lastRow="0" w:firstColumn="0" w:lastColumn="0" w:oddVBand="1" w:evenVBand="0" w:oddHBand="0" w:evenHBand="0" w:firstRowFirstColumn="0" w:firstRowLastColumn="0" w:lastRowFirstColumn="0" w:lastRowLastColumn="0"/>
            <w:tcW w:w="809" w:type="dxa"/>
            <w:tcBorders>
              <w:bottom w:val="single" w:sz="4" w:space="0" w:color="auto"/>
            </w:tcBorders>
            <w:vAlign w:val="center"/>
          </w:tcPr>
          <w:p w14:paraId="1D64A0EA" w14:textId="7EE22259" w:rsidR="00EB152E" w:rsidRPr="009A5CF4" w:rsidRDefault="009A5CF4" w:rsidP="00EB152E">
            <w:pPr>
              <w:spacing w:after="0"/>
              <w:jc w:val="center"/>
              <w:rPr>
                <w:rFonts w:asciiTheme="minorHAnsi" w:hAnsiTheme="minorHAnsi" w:cstheme="minorHAnsi"/>
                <w:i/>
              </w:rPr>
            </w:pPr>
            <w:r w:rsidRPr="009A5CF4">
              <w:rPr>
                <w:rFonts w:cs="Arial"/>
                <w:i/>
                <w:iCs/>
              </w:rPr>
              <w:t>73.4</w:t>
            </w:r>
          </w:p>
        </w:tc>
        <w:tc>
          <w:tcPr>
            <w:tcW w:w="1165" w:type="dxa"/>
            <w:tcBorders>
              <w:bottom w:val="single" w:sz="4" w:space="0" w:color="auto"/>
            </w:tcBorders>
            <w:vAlign w:val="center"/>
          </w:tcPr>
          <w:p w14:paraId="7E20CEEE" w14:textId="29F6540D" w:rsidR="009A5CF4" w:rsidRPr="001D3785" w:rsidRDefault="0062608B" w:rsidP="009A5CF4">
            <w:pPr>
              <w:spacing w:after="0"/>
              <w:jc w:val="center"/>
              <w:cnfStyle w:val="000000000000" w:firstRow="0" w:lastRow="0" w:firstColumn="0" w:lastColumn="0" w:oddVBand="0" w:evenVBand="0" w:oddHBand="0" w:evenHBand="0" w:firstRowFirstColumn="0" w:firstRowLastColumn="0" w:lastRowFirstColumn="0" w:lastRowLastColumn="0"/>
              <w:rPr>
                <w:rFonts w:cs="Arial"/>
                <w:b/>
              </w:rPr>
            </w:pPr>
            <w:r w:rsidRPr="001D3785">
              <w:rPr>
                <w:rFonts w:cs="Arial"/>
                <w:b/>
              </w:rPr>
              <w:t>70.9</w:t>
            </w:r>
          </w:p>
        </w:tc>
      </w:tr>
      <w:tr w:rsidR="00B600BA" w:rsidRPr="00653483" w14:paraId="0E93C6F3" w14:textId="1C43463F" w:rsidTr="001376AC">
        <w:trPr>
          <w:trHeight w:val="397"/>
        </w:trPr>
        <w:tc>
          <w:tcPr>
            <w:cnfStyle w:val="001000000000" w:firstRow="0" w:lastRow="0" w:firstColumn="1" w:lastColumn="0" w:oddVBand="0" w:evenVBand="0" w:oddHBand="0" w:evenHBand="0" w:firstRowFirstColumn="0" w:firstRowLastColumn="0" w:lastRowFirstColumn="0" w:lastRowLastColumn="0"/>
            <w:tcW w:w="6547" w:type="dxa"/>
            <w:vAlign w:val="center"/>
          </w:tcPr>
          <w:p w14:paraId="15946E1A" w14:textId="791479D1" w:rsidR="00EB152E" w:rsidRPr="00842605" w:rsidRDefault="00F04F8E" w:rsidP="0025479A">
            <w:pPr>
              <w:pStyle w:val="ListParagraph"/>
              <w:numPr>
                <w:ilvl w:val="0"/>
                <w:numId w:val="11"/>
              </w:numPr>
              <w:spacing w:before="40" w:after="40" w:line="240" w:lineRule="auto"/>
              <w:ind w:left="357" w:hanging="357"/>
              <w:rPr>
                <w:rFonts w:cs="Arial"/>
                <w:b w:val="0"/>
                <w:bCs w:val="0"/>
              </w:rPr>
            </w:pPr>
            <w:r>
              <w:rPr>
                <w:rFonts w:cs="Arial"/>
                <w:b w:val="0"/>
                <w:bCs w:val="0"/>
              </w:rPr>
              <w:t>High j</w:t>
            </w:r>
            <w:r w:rsidR="00EB152E" w:rsidRPr="00842605">
              <w:rPr>
                <w:rFonts w:cs="Arial"/>
                <w:b w:val="0"/>
                <w:bCs w:val="0"/>
              </w:rPr>
              <w:t>ob satisfaction (%)</w:t>
            </w:r>
          </w:p>
        </w:tc>
        <w:tc>
          <w:tcPr>
            <w:cnfStyle w:val="000010000000" w:firstRow="0" w:lastRow="0" w:firstColumn="0" w:lastColumn="0" w:oddVBand="1" w:evenVBand="0" w:oddHBand="0" w:evenHBand="0" w:firstRowFirstColumn="0" w:firstRowLastColumn="0" w:lastRowFirstColumn="0" w:lastRowLastColumn="0"/>
            <w:tcW w:w="683" w:type="dxa"/>
            <w:vAlign w:val="center"/>
          </w:tcPr>
          <w:p w14:paraId="7A50894C" w14:textId="77777777" w:rsidR="00EB152E" w:rsidRPr="007F0C54" w:rsidRDefault="00EB152E" w:rsidP="00EB152E">
            <w:pPr>
              <w:spacing w:after="0"/>
              <w:jc w:val="center"/>
              <w:rPr>
                <w:rFonts w:asciiTheme="minorHAnsi" w:hAnsiTheme="minorHAnsi" w:cstheme="minorHAnsi"/>
              </w:rPr>
            </w:pPr>
            <w:r w:rsidRPr="007F0C54">
              <w:rPr>
                <w:rFonts w:asciiTheme="minorHAnsi" w:hAnsiTheme="minorHAnsi" w:cstheme="minorHAnsi"/>
              </w:rPr>
              <w:t>n/a</w:t>
            </w:r>
          </w:p>
        </w:tc>
        <w:tc>
          <w:tcPr>
            <w:tcW w:w="843" w:type="dxa"/>
            <w:vAlign w:val="center"/>
          </w:tcPr>
          <w:p w14:paraId="7EB02F1A" w14:textId="2E5308ED" w:rsidR="00EB152E" w:rsidRPr="007F0C54" w:rsidRDefault="00EB152E"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0C54">
              <w:rPr>
                <w:rFonts w:asciiTheme="minorHAnsi" w:hAnsiTheme="minorHAnsi" w:cstheme="minorHAnsi"/>
              </w:rPr>
              <w:t>n/a</w:t>
            </w:r>
          </w:p>
        </w:tc>
        <w:tc>
          <w:tcPr>
            <w:cnfStyle w:val="000010000000" w:firstRow="0" w:lastRow="0" w:firstColumn="0" w:lastColumn="0" w:oddVBand="1" w:evenVBand="0" w:oddHBand="0" w:evenHBand="0" w:firstRowFirstColumn="0" w:firstRowLastColumn="0" w:lastRowFirstColumn="0" w:lastRowLastColumn="0"/>
            <w:tcW w:w="811" w:type="dxa"/>
            <w:vAlign w:val="center"/>
          </w:tcPr>
          <w:p w14:paraId="717DE2B5" w14:textId="0DA6F068" w:rsidR="00EB152E" w:rsidRPr="007F0C54" w:rsidRDefault="00EB152E" w:rsidP="00EB152E">
            <w:pPr>
              <w:spacing w:after="0"/>
              <w:jc w:val="center"/>
              <w:rPr>
                <w:rFonts w:asciiTheme="minorHAnsi" w:hAnsiTheme="minorHAnsi" w:cstheme="minorHAnsi"/>
              </w:rPr>
            </w:pPr>
            <w:r w:rsidRPr="007F0C54">
              <w:rPr>
                <w:rFonts w:asciiTheme="minorHAnsi" w:hAnsiTheme="minorHAnsi" w:cstheme="minorHAnsi"/>
              </w:rPr>
              <w:t>n/a</w:t>
            </w:r>
          </w:p>
        </w:tc>
        <w:tc>
          <w:tcPr>
            <w:tcW w:w="811" w:type="dxa"/>
            <w:vAlign w:val="center"/>
          </w:tcPr>
          <w:p w14:paraId="25BB0DA4" w14:textId="780080C2" w:rsidR="00EB152E" w:rsidRPr="007F0C54" w:rsidRDefault="00EB152E"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0C54">
              <w:rPr>
                <w:rFonts w:asciiTheme="minorHAnsi" w:hAnsiTheme="minorHAnsi" w:cstheme="minorHAnsi"/>
              </w:rPr>
              <w:t>n/a</w:t>
            </w:r>
          </w:p>
        </w:tc>
        <w:tc>
          <w:tcPr>
            <w:cnfStyle w:val="000010000000" w:firstRow="0" w:lastRow="0" w:firstColumn="0" w:lastColumn="0" w:oddVBand="1" w:evenVBand="0" w:oddHBand="0" w:evenHBand="0" w:firstRowFirstColumn="0" w:firstRowLastColumn="0" w:lastRowFirstColumn="0" w:lastRowLastColumn="0"/>
            <w:tcW w:w="811" w:type="dxa"/>
            <w:vAlign w:val="center"/>
          </w:tcPr>
          <w:p w14:paraId="17146EC4" w14:textId="2ED5B526" w:rsidR="00EB152E" w:rsidRPr="007F0C54" w:rsidRDefault="00EB152E" w:rsidP="00EB152E">
            <w:pPr>
              <w:spacing w:after="0"/>
              <w:jc w:val="center"/>
              <w:rPr>
                <w:rFonts w:asciiTheme="minorHAnsi" w:hAnsiTheme="minorHAnsi" w:cstheme="minorHAnsi"/>
              </w:rPr>
            </w:pPr>
            <w:r w:rsidRPr="007F0C54">
              <w:rPr>
                <w:rFonts w:asciiTheme="minorHAnsi" w:hAnsiTheme="minorHAnsi" w:cstheme="minorHAnsi"/>
              </w:rPr>
              <w:t>n/a</w:t>
            </w:r>
          </w:p>
        </w:tc>
        <w:tc>
          <w:tcPr>
            <w:tcW w:w="808" w:type="dxa"/>
            <w:vAlign w:val="center"/>
          </w:tcPr>
          <w:p w14:paraId="694E72AA" w14:textId="5B2D0051" w:rsidR="00EB152E" w:rsidRPr="007F0C54" w:rsidRDefault="00EB152E"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0C54">
              <w:rPr>
                <w:rFonts w:asciiTheme="minorHAnsi" w:hAnsiTheme="minorHAnsi" w:cstheme="minorHAnsi"/>
              </w:rPr>
              <w:t>n/a</w:t>
            </w:r>
          </w:p>
        </w:tc>
        <w:tc>
          <w:tcPr>
            <w:cnfStyle w:val="000010000000" w:firstRow="0" w:lastRow="0" w:firstColumn="0" w:lastColumn="0" w:oddVBand="1" w:evenVBand="0" w:oddHBand="0" w:evenHBand="0" w:firstRowFirstColumn="0" w:firstRowLastColumn="0" w:lastRowFirstColumn="0" w:lastRowLastColumn="0"/>
            <w:tcW w:w="808" w:type="dxa"/>
            <w:vAlign w:val="center"/>
          </w:tcPr>
          <w:p w14:paraId="73793F3C" w14:textId="6256BAFE" w:rsidR="00EB152E" w:rsidRPr="007F0C54" w:rsidRDefault="00EB152E" w:rsidP="00EB152E">
            <w:pPr>
              <w:spacing w:after="0"/>
              <w:jc w:val="center"/>
              <w:rPr>
                <w:rFonts w:asciiTheme="minorHAnsi" w:hAnsiTheme="minorHAnsi" w:cstheme="minorHAnsi"/>
              </w:rPr>
            </w:pPr>
            <w:r w:rsidRPr="007F0C54">
              <w:rPr>
                <w:rFonts w:asciiTheme="minorHAnsi" w:hAnsiTheme="minorHAnsi" w:cstheme="minorHAnsi"/>
              </w:rPr>
              <w:t>n/a</w:t>
            </w:r>
          </w:p>
        </w:tc>
        <w:tc>
          <w:tcPr>
            <w:tcW w:w="1072" w:type="dxa"/>
            <w:shd w:val="clear" w:color="auto" w:fill="CEE9FB" w:themeFill="accent5" w:themeFillTint="33"/>
            <w:vAlign w:val="center"/>
          </w:tcPr>
          <w:p w14:paraId="418370FF" w14:textId="60B08BF3" w:rsidR="00D31AA7" w:rsidRPr="007F0C54" w:rsidRDefault="00003921" w:rsidP="00D31AA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b/>
                <w:bCs/>
              </w:rPr>
              <w:t>38.8</w:t>
            </w:r>
          </w:p>
        </w:tc>
        <w:tc>
          <w:tcPr>
            <w:cnfStyle w:val="000010000000" w:firstRow="0" w:lastRow="0" w:firstColumn="0" w:lastColumn="0" w:oddVBand="1" w:evenVBand="0" w:oddHBand="0" w:evenHBand="0" w:firstRowFirstColumn="0" w:firstRowLastColumn="0" w:lastRowFirstColumn="0" w:lastRowLastColumn="0"/>
            <w:tcW w:w="809" w:type="dxa"/>
            <w:vAlign w:val="center"/>
          </w:tcPr>
          <w:p w14:paraId="7A210A8D" w14:textId="444C9E67" w:rsidR="00EB152E" w:rsidRPr="009A5CF4" w:rsidRDefault="009A5CF4" w:rsidP="00EB152E">
            <w:pPr>
              <w:spacing w:after="0"/>
              <w:jc w:val="center"/>
              <w:rPr>
                <w:rFonts w:asciiTheme="minorHAnsi" w:hAnsiTheme="minorHAnsi" w:cstheme="minorHAnsi"/>
                <w:i/>
              </w:rPr>
            </w:pPr>
            <w:r w:rsidRPr="009A5CF4">
              <w:rPr>
                <w:rFonts w:cs="Arial"/>
                <w:i/>
                <w:iCs/>
              </w:rPr>
              <w:t>n/a</w:t>
            </w:r>
          </w:p>
        </w:tc>
        <w:tc>
          <w:tcPr>
            <w:tcW w:w="1165" w:type="dxa"/>
            <w:vAlign w:val="center"/>
          </w:tcPr>
          <w:p w14:paraId="4ABA599F" w14:textId="7F29FF45" w:rsidR="009A5CF4" w:rsidRPr="001D3785" w:rsidRDefault="0062608B" w:rsidP="009A5CF4">
            <w:pPr>
              <w:spacing w:after="0"/>
              <w:jc w:val="center"/>
              <w:cnfStyle w:val="000000000000" w:firstRow="0" w:lastRow="0" w:firstColumn="0" w:lastColumn="0" w:oddVBand="0" w:evenVBand="0" w:oddHBand="0" w:evenHBand="0" w:firstRowFirstColumn="0" w:firstRowLastColumn="0" w:lastRowFirstColumn="0" w:lastRowLastColumn="0"/>
              <w:rPr>
                <w:rFonts w:cs="Arial"/>
                <w:b/>
              </w:rPr>
            </w:pPr>
            <w:r w:rsidRPr="001D3785">
              <w:rPr>
                <w:rFonts w:cs="Arial"/>
                <w:b/>
              </w:rPr>
              <w:t>33.</w:t>
            </w:r>
            <w:r w:rsidR="00F579FB">
              <w:rPr>
                <w:rFonts w:cs="Arial"/>
                <w:b/>
              </w:rPr>
              <w:t>1</w:t>
            </w:r>
          </w:p>
        </w:tc>
      </w:tr>
      <w:tr w:rsidR="00B600BA" w:rsidRPr="00653483" w14:paraId="379B7712" w14:textId="537EEB69" w:rsidTr="001376AC">
        <w:trPr>
          <w:trHeight w:val="397"/>
        </w:trPr>
        <w:tc>
          <w:tcPr>
            <w:cnfStyle w:val="001000000000" w:firstRow="0" w:lastRow="0" w:firstColumn="1" w:lastColumn="0" w:oddVBand="0" w:evenVBand="0" w:oddHBand="0" w:evenHBand="0" w:firstRowFirstColumn="0" w:firstRowLastColumn="0" w:lastRowFirstColumn="0" w:lastRowLastColumn="0"/>
            <w:tcW w:w="6547" w:type="dxa"/>
            <w:vAlign w:val="center"/>
          </w:tcPr>
          <w:p w14:paraId="56442275" w14:textId="77777777" w:rsidR="00EB152E" w:rsidRPr="00842605" w:rsidRDefault="00EB152E" w:rsidP="0025479A">
            <w:pPr>
              <w:pStyle w:val="ListParagraph"/>
              <w:numPr>
                <w:ilvl w:val="0"/>
                <w:numId w:val="11"/>
              </w:numPr>
              <w:spacing w:before="40" w:after="40" w:line="240" w:lineRule="auto"/>
              <w:ind w:left="357" w:hanging="357"/>
              <w:rPr>
                <w:rFonts w:cs="Arial"/>
                <w:b w:val="0"/>
                <w:bCs w:val="0"/>
              </w:rPr>
            </w:pPr>
            <w:r w:rsidRPr="00842605">
              <w:rPr>
                <w:rFonts w:cs="Arial"/>
                <w:b w:val="0"/>
                <w:bCs w:val="0"/>
              </w:rPr>
              <w:t>Underemployment rate (%)</w:t>
            </w:r>
          </w:p>
        </w:tc>
        <w:tc>
          <w:tcPr>
            <w:cnfStyle w:val="000010000000" w:firstRow="0" w:lastRow="0" w:firstColumn="0" w:lastColumn="0" w:oddVBand="1" w:evenVBand="0" w:oddHBand="0" w:evenHBand="0" w:firstRowFirstColumn="0" w:firstRowLastColumn="0" w:lastRowFirstColumn="0" w:lastRowLastColumn="0"/>
            <w:tcW w:w="683" w:type="dxa"/>
            <w:vAlign w:val="center"/>
          </w:tcPr>
          <w:p w14:paraId="0EEAB59A" w14:textId="77777777" w:rsidR="00EB152E" w:rsidRPr="007F0C54" w:rsidRDefault="00EB152E" w:rsidP="00EB152E">
            <w:pPr>
              <w:spacing w:after="0"/>
              <w:jc w:val="center"/>
              <w:rPr>
                <w:rFonts w:asciiTheme="minorHAnsi" w:hAnsiTheme="minorHAnsi" w:cstheme="minorHAnsi"/>
              </w:rPr>
            </w:pPr>
            <w:r w:rsidRPr="007F0C54">
              <w:rPr>
                <w:rFonts w:asciiTheme="minorHAnsi" w:hAnsiTheme="minorHAnsi" w:cstheme="minorHAnsi"/>
              </w:rPr>
              <w:t>6.5</w:t>
            </w:r>
          </w:p>
        </w:tc>
        <w:tc>
          <w:tcPr>
            <w:tcW w:w="843" w:type="dxa"/>
            <w:vAlign w:val="center"/>
          </w:tcPr>
          <w:p w14:paraId="5D459947" w14:textId="7F9C485D" w:rsidR="00EB152E" w:rsidRPr="007F0C54" w:rsidRDefault="00465945"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5.8</w:t>
            </w:r>
          </w:p>
        </w:tc>
        <w:tc>
          <w:tcPr>
            <w:cnfStyle w:val="000010000000" w:firstRow="0" w:lastRow="0" w:firstColumn="0" w:lastColumn="0" w:oddVBand="1" w:evenVBand="0" w:oddHBand="0" w:evenHBand="0" w:firstRowFirstColumn="0" w:firstRowLastColumn="0" w:lastRowFirstColumn="0" w:lastRowLastColumn="0"/>
            <w:tcW w:w="811" w:type="dxa"/>
            <w:vAlign w:val="center"/>
          </w:tcPr>
          <w:p w14:paraId="18BA7CBA" w14:textId="7B43B795" w:rsidR="00EB152E" w:rsidRPr="007F0C54" w:rsidRDefault="00EB152E" w:rsidP="00EB152E">
            <w:pPr>
              <w:spacing w:after="0"/>
              <w:jc w:val="center"/>
              <w:rPr>
                <w:rFonts w:asciiTheme="minorHAnsi" w:hAnsiTheme="minorHAnsi" w:cstheme="minorHAnsi"/>
              </w:rPr>
            </w:pPr>
            <w:r w:rsidRPr="007F0C54">
              <w:rPr>
                <w:rFonts w:asciiTheme="minorHAnsi" w:hAnsiTheme="minorHAnsi" w:cstheme="minorHAnsi"/>
              </w:rPr>
              <w:t>6.</w:t>
            </w:r>
            <w:r w:rsidR="00465945">
              <w:rPr>
                <w:rFonts w:asciiTheme="minorHAnsi" w:hAnsiTheme="minorHAnsi" w:cstheme="minorHAnsi"/>
              </w:rPr>
              <w:t>4</w:t>
            </w:r>
          </w:p>
        </w:tc>
        <w:tc>
          <w:tcPr>
            <w:tcW w:w="811" w:type="dxa"/>
            <w:vAlign w:val="center"/>
          </w:tcPr>
          <w:p w14:paraId="07554D26" w14:textId="61784955" w:rsidR="00EB152E" w:rsidRPr="007F0C54" w:rsidRDefault="00EB152E"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0C54">
              <w:rPr>
                <w:rFonts w:asciiTheme="minorHAnsi" w:hAnsiTheme="minorHAnsi" w:cstheme="minorHAnsi"/>
              </w:rPr>
              <w:t>7.</w:t>
            </w:r>
            <w:r w:rsidR="00416331">
              <w:rPr>
                <w:rFonts w:asciiTheme="minorHAnsi" w:hAnsiTheme="minorHAnsi" w:cstheme="minorHAnsi"/>
              </w:rPr>
              <w:t>5</w:t>
            </w:r>
          </w:p>
        </w:tc>
        <w:tc>
          <w:tcPr>
            <w:cnfStyle w:val="000010000000" w:firstRow="0" w:lastRow="0" w:firstColumn="0" w:lastColumn="0" w:oddVBand="1" w:evenVBand="0" w:oddHBand="0" w:evenHBand="0" w:firstRowFirstColumn="0" w:firstRowLastColumn="0" w:lastRowFirstColumn="0" w:lastRowLastColumn="0"/>
            <w:tcW w:w="811" w:type="dxa"/>
            <w:vAlign w:val="center"/>
          </w:tcPr>
          <w:p w14:paraId="43DAC067" w14:textId="57933AF6" w:rsidR="00EB152E" w:rsidRPr="007F0C54" w:rsidRDefault="00EB152E" w:rsidP="00EB152E">
            <w:pPr>
              <w:spacing w:after="0"/>
              <w:jc w:val="center"/>
              <w:rPr>
                <w:rFonts w:asciiTheme="minorHAnsi" w:hAnsiTheme="minorHAnsi" w:cstheme="minorHAnsi"/>
              </w:rPr>
            </w:pPr>
            <w:r w:rsidRPr="007F0C54">
              <w:rPr>
                <w:rFonts w:asciiTheme="minorHAnsi" w:hAnsiTheme="minorHAnsi" w:cstheme="minorHAnsi"/>
              </w:rPr>
              <w:t>4.8</w:t>
            </w:r>
          </w:p>
        </w:tc>
        <w:tc>
          <w:tcPr>
            <w:tcW w:w="808" w:type="dxa"/>
            <w:vAlign w:val="center"/>
          </w:tcPr>
          <w:p w14:paraId="7EF4C7EF" w14:textId="1D811B29" w:rsidR="00EB152E" w:rsidRPr="007F0C54" w:rsidRDefault="00EB152E"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0C54">
              <w:rPr>
                <w:rFonts w:asciiTheme="minorHAnsi" w:hAnsiTheme="minorHAnsi" w:cstheme="minorHAnsi"/>
              </w:rPr>
              <w:t>7.</w:t>
            </w:r>
            <w:r w:rsidR="00416331">
              <w:rPr>
                <w:rFonts w:asciiTheme="minorHAnsi" w:hAnsiTheme="minorHAnsi" w:cstheme="minorHAnsi"/>
              </w:rPr>
              <w:t>4</w:t>
            </w:r>
          </w:p>
        </w:tc>
        <w:tc>
          <w:tcPr>
            <w:cnfStyle w:val="000010000000" w:firstRow="0" w:lastRow="0" w:firstColumn="0" w:lastColumn="0" w:oddVBand="1" w:evenVBand="0" w:oddHBand="0" w:evenHBand="0" w:firstRowFirstColumn="0" w:firstRowLastColumn="0" w:lastRowFirstColumn="0" w:lastRowLastColumn="0"/>
            <w:tcW w:w="808" w:type="dxa"/>
            <w:vAlign w:val="center"/>
          </w:tcPr>
          <w:p w14:paraId="4021C024" w14:textId="34509CDB" w:rsidR="00EB152E" w:rsidRPr="007F0C54" w:rsidRDefault="00EB152E" w:rsidP="00EB152E">
            <w:pPr>
              <w:spacing w:after="0"/>
              <w:jc w:val="center"/>
              <w:rPr>
                <w:rFonts w:asciiTheme="minorHAnsi" w:hAnsiTheme="minorHAnsi" w:cstheme="minorHAnsi"/>
              </w:rPr>
            </w:pPr>
            <w:r w:rsidRPr="007F0C54">
              <w:rPr>
                <w:rFonts w:asciiTheme="minorHAnsi" w:hAnsiTheme="minorHAnsi" w:cstheme="minorHAnsi"/>
              </w:rPr>
              <w:t>4.0</w:t>
            </w:r>
          </w:p>
        </w:tc>
        <w:tc>
          <w:tcPr>
            <w:tcW w:w="1072" w:type="dxa"/>
            <w:shd w:val="clear" w:color="auto" w:fill="CEE9FB" w:themeFill="accent5" w:themeFillTint="33"/>
            <w:vAlign w:val="center"/>
          </w:tcPr>
          <w:p w14:paraId="74BC270D" w14:textId="61037A3D" w:rsidR="00D31AA7" w:rsidRPr="007F0C54" w:rsidRDefault="00D31AA7" w:rsidP="00D31AA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82DC4">
              <w:rPr>
                <w:rFonts w:asciiTheme="minorHAnsi" w:hAnsiTheme="minorHAnsi" w:cstheme="minorHAnsi"/>
                <w:b/>
                <w:bCs/>
              </w:rPr>
              <w:t>6.</w:t>
            </w:r>
            <w:r w:rsidR="00052CC5">
              <w:rPr>
                <w:rFonts w:asciiTheme="minorHAnsi" w:hAnsiTheme="minorHAnsi" w:cstheme="minorHAnsi"/>
                <w:b/>
                <w:bCs/>
              </w:rPr>
              <w:t>1</w:t>
            </w:r>
          </w:p>
        </w:tc>
        <w:tc>
          <w:tcPr>
            <w:cnfStyle w:val="000010000000" w:firstRow="0" w:lastRow="0" w:firstColumn="0" w:lastColumn="0" w:oddVBand="1" w:evenVBand="0" w:oddHBand="0" w:evenHBand="0" w:firstRowFirstColumn="0" w:firstRowLastColumn="0" w:lastRowFirstColumn="0" w:lastRowLastColumn="0"/>
            <w:tcW w:w="809" w:type="dxa"/>
            <w:vAlign w:val="center"/>
          </w:tcPr>
          <w:p w14:paraId="083C4233" w14:textId="7BAEC181" w:rsidR="00EB152E" w:rsidRPr="009A5CF4" w:rsidRDefault="0055189A" w:rsidP="00EB152E">
            <w:pPr>
              <w:spacing w:after="0"/>
              <w:jc w:val="center"/>
              <w:rPr>
                <w:rFonts w:asciiTheme="minorHAnsi" w:hAnsiTheme="minorHAnsi" w:cstheme="minorHAnsi"/>
                <w:i/>
              </w:rPr>
            </w:pPr>
            <w:r>
              <w:rPr>
                <w:rFonts w:cs="Arial"/>
                <w:i/>
                <w:iCs/>
              </w:rPr>
              <w:t>4.9</w:t>
            </w:r>
          </w:p>
        </w:tc>
        <w:tc>
          <w:tcPr>
            <w:tcW w:w="1165" w:type="dxa"/>
            <w:vAlign w:val="center"/>
          </w:tcPr>
          <w:p w14:paraId="7E768124" w14:textId="663E216F" w:rsidR="009A5CF4" w:rsidRPr="001D3785" w:rsidRDefault="00D02A24" w:rsidP="009A5CF4">
            <w:pPr>
              <w:spacing w:after="0"/>
              <w:jc w:val="center"/>
              <w:cnfStyle w:val="000000000000" w:firstRow="0" w:lastRow="0" w:firstColumn="0" w:lastColumn="0" w:oddVBand="0" w:evenVBand="0" w:oddHBand="0" w:evenHBand="0" w:firstRowFirstColumn="0" w:firstRowLastColumn="0" w:lastRowFirstColumn="0" w:lastRowLastColumn="0"/>
              <w:rPr>
                <w:rFonts w:cs="Arial"/>
                <w:b/>
              </w:rPr>
            </w:pPr>
            <w:r w:rsidRPr="001D3785">
              <w:rPr>
                <w:rFonts w:cs="Arial"/>
                <w:b/>
              </w:rPr>
              <w:t>6.1</w:t>
            </w:r>
          </w:p>
        </w:tc>
      </w:tr>
      <w:tr w:rsidR="00B600BA" w:rsidRPr="00653483" w14:paraId="70878DD5" w14:textId="4E78FAB7" w:rsidTr="00DD7BC1">
        <w:trPr>
          <w:trHeight w:val="397"/>
        </w:trPr>
        <w:tc>
          <w:tcPr>
            <w:cnfStyle w:val="001000000000" w:firstRow="0" w:lastRow="0" w:firstColumn="1" w:lastColumn="0" w:oddVBand="0" w:evenVBand="0" w:oddHBand="0" w:evenHBand="0" w:firstRowFirstColumn="0" w:firstRowLastColumn="0" w:lastRowFirstColumn="0" w:lastRowLastColumn="0"/>
            <w:tcW w:w="6547" w:type="dxa"/>
            <w:vAlign w:val="center"/>
          </w:tcPr>
          <w:p w14:paraId="6233C355" w14:textId="284718B8" w:rsidR="00EB152E" w:rsidRPr="00842605" w:rsidRDefault="00EB152E" w:rsidP="0025479A">
            <w:pPr>
              <w:pStyle w:val="ListParagraph"/>
              <w:numPr>
                <w:ilvl w:val="0"/>
                <w:numId w:val="11"/>
              </w:numPr>
              <w:spacing w:before="40" w:after="40" w:line="240" w:lineRule="auto"/>
              <w:ind w:left="357" w:hanging="357"/>
              <w:rPr>
                <w:rFonts w:cs="Arial"/>
                <w:b w:val="0"/>
                <w:bCs w:val="0"/>
              </w:rPr>
            </w:pPr>
            <w:r w:rsidRPr="00842605">
              <w:rPr>
                <w:rFonts w:cs="Arial"/>
                <w:b w:val="0"/>
                <w:bCs w:val="0"/>
              </w:rPr>
              <w:t xml:space="preserve">Income </w:t>
            </w:r>
            <w:r w:rsidR="00D610E4">
              <w:rPr>
                <w:rFonts w:cs="Arial"/>
                <w:b w:val="0"/>
                <w:bCs w:val="0"/>
              </w:rPr>
              <w:t xml:space="preserve">inequality </w:t>
            </w:r>
            <w:r w:rsidRPr="00842605">
              <w:rPr>
                <w:rFonts w:cs="Arial"/>
                <w:b w:val="0"/>
                <w:bCs w:val="0"/>
              </w:rPr>
              <w:t>ratio</w:t>
            </w:r>
          </w:p>
        </w:tc>
        <w:tc>
          <w:tcPr>
            <w:cnfStyle w:val="000010000000" w:firstRow="0" w:lastRow="0" w:firstColumn="0" w:lastColumn="0" w:oddVBand="1" w:evenVBand="0" w:oddHBand="0" w:evenHBand="0" w:firstRowFirstColumn="0" w:firstRowLastColumn="0" w:lastRowFirstColumn="0" w:lastRowLastColumn="0"/>
            <w:tcW w:w="683" w:type="dxa"/>
            <w:vAlign w:val="center"/>
          </w:tcPr>
          <w:p w14:paraId="76D96CE4" w14:textId="77777777" w:rsidR="00EB152E" w:rsidRPr="007F0C54" w:rsidRDefault="00EB152E" w:rsidP="00EB152E">
            <w:pPr>
              <w:spacing w:after="0"/>
              <w:jc w:val="center"/>
              <w:rPr>
                <w:rFonts w:asciiTheme="minorHAnsi" w:hAnsiTheme="minorHAnsi" w:cstheme="minorHAnsi"/>
              </w:rPr>
            </w:pPr>
            <w:r w:rsidRPr="007F0C54">
              <w:rPr>
                <w:rFonts w:asciiTheme="minorHAnsi" w:hAnsiTheme="minorHAnsi" w:cstheme="minorHAnsi"/>
              </w:rPr>
              <w:t>3.3</w:t>
            </w:r>
          </w:p>
        </w:tc>
        <w:tc>
          <w:tcPr>
            <w:tcW w:w="843" w:type="dxa"/>
            <w:vAlign w:val="center"/>
          </w:tcPr>
          <w:p w14:paraId="0E335EF1" w14:textId="4E7310CE" w:rsidR="00EB152E" w:rsidRPr="007F0C54" w:rsidRDefault="00EB152E"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0C54">
              <w:rPr>
                <w:rFonts w:asciiTheme="minorHAnsi" w:hAnsiTheme="minorHAnsi" w:cstheme="minorHAnsi"/>
              </w:rPr>
              <w:t>3.2</w:t>
            </w:r>
          </w:p>
        </w:tc>
        <w:tc>
          <w:tcPr>
            <w:cnfStyle w:val="000010000000" w:firstRow="0" w:lastRow="0" w:firstColumn="0" w:lastColumn="0" w:oddVBand="1" w:evenVBand="0" w:oddHBand="0" w:evenHBand="0" w:firstRowFirstColumn="0" w:firstRowLastColumn="0" w:lastRowFirstColumn="0" w:lastRowLastColumn="0"/>
            <w:tcW w:w="811" w:type="dxa"/>
            <w:vAlign w:val="center"/>
          </w:tcPr>
          <w:p w14:paraId="428661CD" w14:textId="2D1CBA2B" w:rsidR="00EB152E" w:rsidRPr="007F0C54" w:rsidRDefault="00EB152E" w:rsidP="00EB152E">
            <w:pPr>
              <w:spacing w:after="0"/>
              <w:jc w:val="center"/>
              <w:rPr>
                <w:rFonts w:asciiTheme="minorHAnsi" w:hAnsiTheme="minorHAnsi" w:cstheme="minorHAnsi"/>
              </w:rPr>
            </w:pPr>
            <w:r w:rsidRPr="007F0C54">
              <w:rPr>
                <w:rFonts w:asciiTheme="minorHAnsi" w:hAnsiTheme="minorHAnsi" w:cstheme="minorHAnsi"/>
              </w:rPr>
              <w:t>3.5</w:t>
            </w:r>
          </w:p>
        </w:tc>
        <w:tc>
          <w:tcPr>
            <w:tcW w:w="811" w:type="dxa"/>
            <w:vAlign w:val="center"/>
          </w:tcPr>
          <w:p w14:paraId="2C6B84BE" w14:textId="4BC41434" w:rsidR="00EB152E" w:rsidRPr="007F0C54" w:rsidRDefault="00EB152E"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0C54">
              <w:rPr>
                <w:rFonts w:asciiTheme="minorHAnsi" w:hAnsiTheme="minorHAnsi" w:cstheme="minorHAnsi"/>
              </w:rPr>
              <w:t>3.4</w:t>
            </w:r>
          </w:p>
        </w:tc>
        <w:tc>
          <w:tcPr>
            <w:cnfStyle w:val="000010000000" w:firstRow="0" w:lastRow="0" w:firstColumn="0" w:lastColumn="0" w:oddVBand="1" w:evenVBand="0" w:oddHBand="0" w:evenHBand="0" w:firstRowFirstColumn="0" w:firstRowLastColumn="0" w:lastRowFirstColumn="0" w:lastRowLastColumn="0"/>
            <w:tcW w:w="811" w:type="dxa"/>
            <w:vAlign w:val="center"/>
          </w:tcPr>
          <w:p w14:paraId="5C7F4A17" w14:textId="4649C622" w:rsidR="00EB152E" w:rsidRPr="007F0C54" w:rsidRDefault="00EB152E" w:rsidP="00EB152E">
            <w:pPr>
              <w:spacing w:after="0"/>
              <w:jc w:val="center"/>
              <w:rPr>
                <w:rFonts w:asciiTheme="minorHAnsi" w:hAnsiTheme="minorHAnsi" w:cstheme="minorHAnsi"/>
              </w:rPr>
            </w:pPr>
            <w:r w:rsidRPr="007F0C54">
              <w:rPr>
                <w:rFonts w:asciiTheme="minorHAnsi" w:hAnsiTheme="minorHAnsi" w:cstheme="minorHAnsi"/>
              </w:rPr>
              <w:t>4.2</w:t>
            </w:r>
          </w:p>
        </w:tc>
        <w:tc>
          <w:tcPr>
            <w:tcW w:w="808" w:type="dxa"/>
            <w:vAlign w:val="center"/>
          </w:tcPr>
          <w:p w14:paraId="599CA662" w14:textId="4ADF72DB" w:rsidR="00EB152E" w:rsidRPr="007F0C54" w:rsidRDefault="00BB1087"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3.1</w:t>
            </w:r>
          </w:p>
        </w:tc>
        <w:tc>
          <w:tcPr>
            <w:cnfStyle w:val="000010000000" w:firstRow="0" w:lastRow="0" w:firstColumn="0" w:lastColumn="0" w:oddVBand="1" w:evenVBand="0" w:oddHBand="0" w:evenHBand="0" w:firstRowFirstColumn="0" w:firstRowLastColumn="0" w:lastRowFirstColumn="0" w:lastRowLastColumn="0"/>
            <w:tcW w:w="808" w:type="dxa"/>
            <w:vAlign w:val="center"/>
          </w:tcPr>
          <w:p w14:paraId="1BE631C9" w14:textId="5F14E6C6" w:rsidR="00EB152E" w:rsidRPr="007F0C54" w:rsidRDefault="00BB1087" w:rsidP="00EB152E">
            <w:pPr>
              <w:spacing w:after="0"/>
              <w:jc w:val="center"/>
              <w:rPr>
                <w:rFonts w:asciiTheme="minorHAnsi" w:hAnsiTheme="minorHAnsi" w:cstheme="minorHAnsi"/>
              </w:rPr>
            </w:pPr>
            <w:r>
              <w:rPr>
                <w:rFonts w:asciiTheme="minorHAnsi" w:hAnsiTheme="minorHAnsi" w:cstheme="minorHAnsi"/>
              </w:rPr>
              <w:t>3.8</w:t>
            </w:r>
          </w:p>
        </w:tc>
        <w:tc>
          <w:tcPr>
            <w:tcW w:w="1072" w:type="dxa"/>
            <w:shd w:val="clear" w:color="auto" w:fill="CEE9FB" w:themeFill="accent5" w:themeFillTint="33"/>
            <w:vAlign w:val="center"/>
          </w:tcPr>
          <w:p w14:paraId="4AE735F0" w14:textId="3A5249BB" w:rsidR="00D31AA7" w:rsidRPr="007F0C54" w:rsidRDefault="00D31AA7" w:rsidP="00D31AA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82DC4">
              <w:rPr>
                <w:rFonts w:asciiTheme="minorHAnsi" w:hAnsiTheme="minorHAnsi" w:cstheme="minorHAnsi"/>
                <w:b/>
                <w:bCs/>
              </w:rPr>
              <w:t>3.5</w:t>
            </w:r>
          </w:p>
        </w:tc>
        <w:tc>
          <w:tcPr>
            <w:cnfStyle w:val="000010000000" w:firstRow="0" w:lastRow="0" w:firstColumn="0" w:lastColumn="0" w:oddVBand="1" w:evenVBand="0" w:oddHBand="0" w:evenHBand="0" w:firstRowFirstColumn="0" w:firstRowLastColumn="0" w:lastRowFirstColumn="0" w:lastRowLastColumn="0"/>
            <w:tcW w:w="809" w:type="dxa"/>
            <w:vAlign w:val="center"/>
          </w:tcPr>
          <w:p w14:paraId="0EE69D9F" w14:textId="390A13C5" w:rsidR="00EB152E" w:rsidRPr="009A5CF4" w:rsidRDefault="009A5CF4" w:rsidP="00EB152E">
            <w:pPr>
              <w:spacing w:after="0"/>
              <w:jc w:val="center"/>
              <w:rPr>
                <w:rFonts w:asciiTheme="minorHAnsi" w:hAnsiTheme="minorHAnsi" w:cstheme="minorHAnsi"/>
                <w:i/>
              </w:rPr>
            </w:pPr>
            <w:r w:rsidRPr="009A5CF4">
              <w:rPr>
                <w:rFonts w:cs="Arial"/>
                <w:i/>
                <w:iCs/>
              </w:rPr>
              <w:t>2.7</w:t>
            </w:r>
          </w:p>
        </w:tc>
        <w:tc>
          <w:tcPr>
            <w:tcW w:w="1165" w:type="dxa"/>
            <w:vAlign w:val="center"/>
          </w:tcPr>
          <w:p w14:paraId="0237A5BD" w14:textId="0122BFA8" w:rsidR="009A5CF4" w:rsidRPr="001D3785" w:rsidRDefault="00D02A24" w:rsidP="009A5CF4">
            <w:pPr>
              <w:spacing w:after="0"/>
              <w:jc w:val="center"/>
              <w:cnfStyle w:val="000000000000" w:firstRow="0" w:lastRow="0" w:firstColumn="0" w:lastColumn="0" w:oddVBand="0" w:evenVBand="0" w:oddHBand="0" w:evenHBand="0" w:firstRowFirstColumn="0" w:firstRowLastColumn="0" w:lastRowFirstColumn="0" w:lastRowLastColumn="0"/>
              <w:rPr>
                <w:rFonts w:cs="Arial"/>
                <w:b/>
              </w:rPr>
            </w:pPr>
            <w:r w:rsidRPr="001D3785">
              <w:rPr>
                <w:rFonts w:cs="Arial"/>
                <w:b/>
              </w:rPr>
              <w:t>3.2</w:t>
            </w:r>
          </w:p>
        </w:tc>
      </w:tr>
      <w:tr w:rsidR="00B600BA" w:rsidRPr="00653483" w14:paraId="4EF0BF98" w14:textId="77777777" w:rsidTr="001376AC">
        <w:trPr>
          <w:trHeight w:val="397"/>
        </w:trPr>
        <w:tc>
          <w:tcPr>
            <w:cnfStyle w:val="001000000000" w:firstRow="0" w:lastRow="0" w:firstColumn="1" w:lastColumn="0" w:oddVBand="0" w:evenVBand="0" w:oddHBand="0" w:evenHBand="0" w:firstRowFirstColumn="0" w:firstRowLastColumn="0" w:lastRowFirstColumn="0" w:lastRowLastColumn="0"/>
            <w:tcW w:w="6547" w:type="dxa"/>
            <w:tcBorders>
              <w:bottom w:val="single" w:sz="4" w:space="0" w:color="auto"/>
            </w:tcBorders>
            <w:vAlign w:val="center"/>
          </w:tcPr>
          <w:p w14:paraId="6CD7B038" w14:textId="4523697C" w:rsidR="00DD7BC1" w:rsidRPr="00660157" w:rsidRDefault="00280256" w:rsidP="0025479A">
            <w:pPr>
              <w:pStyle w:val="ListParagraph"/>
              <w:numPr>
                <w:ilvl w:val="0"/>
                <w:numId w:val="11"/>
              </w:numPr>
              <w:spacing w:before="40" w:after="40" w:line="240" w:lineRule="auto"/>
              <w:ind w:left="357" w:hanging="357"/>
              <w:rPr>
                <w:rFonts w:cs="Arial"/>
                <w:b w:val="0"/>
                <w:bCs w:val="0"/>
              </w:rPr>
            </w:pPr>
            <w:r>
              <w:rPr>
                <w:rFonts w:cs="Arial"/>
                <w:b w:val="0"/>
                <w:bCs w:val="0"/>
              </w:rPr>
              <w:t>Workers’ compensation</w:t>
            </w:r>
            <w:r w:rsidR="00660157" w:rsidRPr="00660157">
              <w:rPr>
                <w:rFonts w:cs="Arial"/>
                <w:b w:val="0"/>
                <w:bCs w:val="0"/>
              </w:rPr>
              <w:t xml:space="preserve"> incidence rate </w:t>
            </w:r>
          </w:p>
        </w:tc>
        <w:tc>
          <w:tcPr>
            <w:cnfStyle w:val="000010000000" w:firstRow="0" w:lastRow="0" w:firstColumn="0" w:lastColumn="0" w:oddVBand="1" w:evenVBand="0" w:oddHBand="0" w:evenHBand="0" w:firstRowFirstColumn="0" w:firstRowLastColumn="0" w:lastRowFirstColumn="0" w:lastRowLastColumn="0"/>
            <w:tcW w:w="683" w:type="dxa"/>
            <w:tcBorders>
              <w:bottom w:val="single" w:sz="4" w:space="0" w:color="auto"/>
            </w:tcBorders>
            <w:vAlign w:val="center"/>
          </w:tcPr>
          <w:p w14:paraId="29904B2F" w14:textId="753D556B" w:rsidR="00DD7BC1" w:rsidRPr="007F0C54" w:rsidRDefault="0099535B" w:rsidP="00EB152E">
            <w:pPr>
              <w:spacing w:after="0"/>
              <w:jc w:val="center"/>
              <w:rPr>
                <w:rFonts w:asciiTheme="minorHAnsi" w:hAnsiTheme="minorHAnsi" w:cstheme="minorHAnsi"/>
              </w:rPr>
            </w:pPr>
            <w:r>
              <w:rPr>
                <w:rFonts w:asciiTheme="minorHAnsi" w:hAnsiTheme="minorHAnsi" w:cstheme="minorHAnsi"/>
              </w:rPr>
              <w:t>12.3</w:t>
            </w:r>
          </w:p>
        </w:tc>
        <w:tc>
          <w:tcPr>
            <w:tcW w:w="843" w:type="dxa"/>
            <w:tcBorders>
              <w:bottom w:val="single" w:sz="4" w:space="0" w:color="auto"/>
            </w:tcBorders>
            <w:vAlign w:val="center"/>
          </w:tcPr>
          <w:p w14:paraId="1FA100D9" w14:textId="76FC7E48" w:rsidR="00DD7BC1" w:rsidRPr="007F0C54" w:rsidRDefault="0099535B"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7.4</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4" w:space="0" w:color="auto"/>
            </w:tcBorders>
            <w:vAlign w:val="center"/>
          </w:tcPr>
          <w:p w14:paraId="7EAA5633" w14:textId="057D1A70" w:rsidR="00DD7BC1" w:rsidRPr="007F0C54" w:rsidRDefault="0099535B" w:rsidP="00EB152E">
            <w:pPr>
              <w:spacing w:after="0"/>
              <w:jc w:val="center"/>
              <w:rPr>
                <w:rFonts w:asciiTheme="minorHAnsi" w:hAnsiTheme="minorHAnsi" w:cstheme="minorHAnsi"/>
              </w:rPr>
            </w:pPr>
            <w:r>
              <w:rPr>
                <w:rFonts w:asciiTheme="minorHAnsi" w:hAnsiTheme="minorHAnsi" w:cstheme="minorHAnsi"/>
              </w:rPr>
              <w:t>7.4</w:t>
            </w:r>
          </w:p>
        </w:tc>
        <w:tc>
          <w:tcPr>
            <w:tcW w:w="811" w:type="dxa"/>
            <w:tcBorders>
              <w:bottom w:val="single" w:sz="4" w:space="0" w:color="auto"/>
            </w:tcBorders>
            <w:vAlign w:val="center"/>
          </w:tcPr>
          <w:p w14:paraId="67B9ECC5" w14:textId="19CAA773" w:rsidR="00DD7BC1" w:rsidRPr="007F0C54" w:rsidRDefault="0099535B"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6.2</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4" w:space="0" w:color="auto"/>
            </w:tcBorders>
            <w:vAlign w:val="center"/>
          </w:tcPr>
          <w:p w14:paraId="62BD2059" w14:textId="6279EDBE" w:rsidR="00DD7BC1" w:rsidRPr="007F0C54" w:rsidRDefault="0099535B" w:rsidP="00EB152E">
            <w:pPr>
              <w:spacing w:after="0"/>
              <w:jc w:val="center"/>
              <w:rPr>
                <w:rFonts w:asciiTheme="minorHAnsi" w:hAnsiTheme="minorHAnsi" w:cstheme="minorHAnsi"/>
              </w:rPr>
            </w:pPr>
            <w:r>
              <w:rPr>
                <w:rFonts w:asciiTheme="minorHAnsi" w:hAnsiTheme="minorHAnsi" w:cstheme="minorHAnsi"/>
              </w:rPr>
              <w:t>14.7</w:t>
            </w:r>
          </w:p>
        </w:tc>
        <w:tc>
          <w:tcPr>
            <w:tcW w:w="808" w:type="dxa"/>
            <w:tcBorders>
              <w:bottom w:val="single" w:sz="4" w:space="0" w:color="auto"/>
            </w:tcBorders>
            <w:vAlign w:val="center"/>
          </w:tcPr>
          <w:p w14:paraId="0C8EEDEC" w14:textId="066514CC" w:rsidR="00DD7BC1" w:rsidRDefault="00660157"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12.5</w:t>
            </w:r>
          </w:p>
        </w:tc>
        <w:tc>
          <w:tcPr>
            <w:cnfStyle w:val="000010000000" w:firstRow="0" w:lastRow="0" w:firstColumn="0" w:lastColumn="0" w:oddVBand="1" w:evenVBand="0" w:oddHBand="0" w:evenHBand="0" w:firstRowFirstColumn="0" w:firstRowLastColumn="0" w:lastRowFirstColumn="0" w:lastRowLastColumn="0"/>
            <w:tcW w:w="808" w:type="dxa"/>
            <w:tcBorders>
              <w:bottom w:val="single" w:sz="4" w:space="0" w:color="auto"/>
            </w:tcBorders>
            <w:vAlign w:val="center"/>
          </w:tcPr>
          <w:p w14:paraId="624A2650" w14:textId="288C51D9" w:rsidR="00DD7BC1" w:rsidRDefault="00660157" w:rsidP="00EB152E">
            <w:pPr>
              <w:spacing w:after="0"/>
              <w:jc w:val="center"/>
              <w:rPr>
                <w:rFonts w:asciiTheme="minorHAnsi" w:hAnsiTheme="minorHAnsi" w:cstheme="minorHAnsi"/>
              </w:rPr>
            </w:pPr>
            <w:r>
              <w:rPr>
                <w:rFonts w:asciiTheme="minorHAnsi" w:hAnsiTheme="minorHAnsi" w:cstheme="minorHAnsi"/>
              </w:rPr>
              <w:t>4.8</w:t>
            </w:r>
          </w:p>
        </w:tc>
        <w:tc>
          <w:tcPr>
            <w:tcW w:w="1072" w:type="dxa"/>
            <w:tcBorders>
              <w:bottom w:val="single" w:sz="4" w:space="0" w:color="auto"/>
            </w:tcBorders>
            <w:shd w:val="clear" w:color="auto" w:fill="CEE9FB" w:themeFill="accent5" w:themeFillTint="33"/>
            <w:vAlign w:val="center"/>
          </w:tcPr>
          <w:p w14:paraId="51ACB203" w14:textId="651AB554" w:rsidR="00DD7BC1" w:rsidRPr="00082DC4" w:rsidRDefault="00660157" w:rsidP="00D31AA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9.6</w:t>
            </w:r>
          </w:p>
        </w:tc>
        <w:tc>
          <w:tcPr>
            <w:cnfStyle w:val="000010000000" w:firstRow="0" w:lastRow="0" w:firstColumn="0" w:lastColumn="0" w:oddVBand="1" w:evenVBand="0" w:oddHBand="0" w:evenHBand="0" w:firstRowFirstColumn="0" w:firstRowLastColumn="0" w:lastRowFirstColumn="0" w:lastRowLastColumn="0"/>
            <w:tcW w:w="809" w:type="dxa"/>
            <w:tcBorders>
              <w:bottom w:val="single" w:sz="4" w:space="0" w:color="auto"/>
            </w:tcBorders>
            <w:vAlign w:val="center"/>
          </w:tcPr>
          <w:p w14:paraId="69360CF5" w14:textId="320510FF" w:rsidR="00DD7BC1" w:rsidRPr="009A5CF4" w:rsidRDefault="00660157" w:rsidP="00EB152E">
            <w:pPr>
              <w:spacing w:after="0"/>
              <w:jc w:val="center"/>
              <w:rPr>
                <w:rFonts w:cs="Arial"/>
                <w:i/>
                <w:iCs/>
              </w:rPr>
            </w:pPr>
            <w:r>
              <w:rPr>
                <w:rFonts w:cs="Arial"/>
                <w:i/>
                <w:iCs/>
              </w:rPr>
              <w:t>6.1</w:t>
            </w:r>
          </w:p>
        </w:tc>
        <w:tc>
          <w:tcPr>
            <w:tcW w:w="1165" w:type="dxa"/>
            <w:tcBorders>
              <w:bottom w:val="single" w:sz="4" w:space="0" w:color="auto"/>
            </w:tcBorders>
            <w:vAlign w:val="center"/>
          </w:tcPr>
          <w:p w14:paraId="599BF41C" w14:textId="3C49CB65" w:rsidR="00DD7BC1" w:rsidRPr="001D3785" w:rsidRDefault="00660157" w:rsidP="009A5CF4">
            <w:pPr>
              <w:spacing w:after="0"/>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9.2</w:t>
            </w:r>
          </w:p>
        </w:tc>
      </w:tr>
      <w:tr w:rsidR="00B600BA" w:rsidRPr="00653483" w14:paraId="3603085A" w14:textId="2FAAC9AD" w:rsidTr="001376AC">
        <w:trPr>
          <w:trHeight w:val="397"/>
        </w:trPr>
        <w:tc>
          <w:tcPr>
            <w:cnfStyle w:val="001000000000" w:firstRow="0" w:lastRow="0" w:firstColumn="1" w:lastColumn="0" w:oddVBand="0" w:evenVBand="0" w:oddHBand="0" w:evenHBand="0" w:firstRowFirstColumn="0" w:firstRowLastColumn="0" w:lastRowFirstColumn="0" w:lastRowLastColumn="0"/>
            <w:tcW w:w="6547" w:type="dxa"/>
            <w:vAlign w:val="center"/>
          </w:tcPr>
          <w:p w14:paraId="10EED3C7" w14:textId="77777777" w:rsidR="00EB152E" w:rsidRPr="00842605" w:rsidRDefault="00EB152E" w:rsidP="0025479A">
            <w:pPr>
              <w:pStyle w:val="ListParagraph"/>
              <w:numPr>
                <w:ilvl w:val="0"/>
                <w:numId w:val="11"/>
              </w:numPr>
              <w:spacing w:before="40" w:after="40" w:line="240" w:lineRule="auto"/>
              <w:ind w:left="357" w:hanging="357"/>
              <w:rPr>
                <w:rFonts w:cs="Arial"/>
                <w:b w:val="0"/>
                <w:bCs w:val="0"/>
              </w:rPr>
            </w:pPr>
            <w:r w:rsidRPr="00842605">
              <w:rPr>
                <w:rFonts w:cs="Arial"/>
                <w:b w:val="0"/>
                <w:bCs w:val="0"/>
              </w:rPr>
              <w:t>Vacancy fill rate (%)</w:t>
            </w:r>
          </w:p>
        </w:tc>
        <w:tc>
          <w:tcPr>
            <w:cnfStyle w:val="000010000000" w:firstRow="0" w:lastRow="0" w:firstColumn="0" w:lastColumn="0" w:oddVBand="1" w:evenVBand="0" w:oddHBand="0" w:evenHBand="0" w:firstRowFirstColumn="0" w:firstRowLastColumn="0" w:lastRowFirstColumn="0" w:lastRowLastColumn="0"/>
            <w:tcW w:w="683" w:type="dxa"/>
            <w:vAlign w:val="center"/>
          </w:tcPr>
          <w:p w14:paraId="353F3A68" w14:textId="141642E4" w:rsidR="00EB152E" w:rsidRPr="007F0C54" w:rsidRDefault="00D24D6C" w:rsidP="00EB152E">
            <w:pPr>
              <w:spacing w:after="0"/>
              <w:jc w:val="center"/>
              <w:rPr>
                <w:rFonts w:asciiTheme="minorHAnsi" w:hAnsiTheme="minorHAnsi" w:cstheme="minorHAnsi"/>
              </w:rPr>
            </w:pPr>
            <w:r>
              <w:rPr>
                <w:rFonts w:asciiTheme="minorHAnsi" w:hAnsiTheme="minorHAnsi" w:cstheme="minorHAnsi"/>
              </w:rPr>
              <w:t>63.0</w:t>
            </w:r>
          </w:p>
        </w:tc>
        <w:tc>
          <w:tcPr>
            <w:tcW w:w="843" w:type="dxa"/>
            <w:vAlign w:val="center"/>
          </w:tcPr>
          <w:p w14:paraId="55B07BB3" w14:textId="56B2080F" w:rsidR="00EB152E" w:rsidRPr="007F0C54" w:rsidRDefault="00D24D6C"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59.5</w:t>
            </w:r>
          </w:p>
        </w:tc>
        <w:tc>
          <w:tcPr>
            <w:cnfStyle w:val="000010000000" w:firstRow="0" w:lastRow="0" w:firstColumn="0" w:lastColumn="0" w:oddVBand="1" w:evenVBand="0" w:oddHBand="0" w:evenHBand="0" w:firstRowFirstColumn="0" w:firstRowLastColumn="0" w:lastRowFirstColumn="0" w:lastRowLastColumn="0"/>
            <w:tcW w:w="811" w:type="dxa"/>
            <w:vAlign w:val="center"/>
          </w:tcPr>
          <w:p w14:paraId="213D6923" w14:textId="6A746F62" w:rsidR="00EB152E" w:rsidRPr="007F0C54" w:rsidRDefault="00D24D6C" w:rsidP="00EB152E">
            <w:pPr>
              <w:spacing w:after="0"/>
              <w:jc w:val="center"/>
              <w:rPr>
                <w:rFonts w:asciiTheme="minorHAnsi" w:hAnsiTheme="minorHAnsi" w:cstheme="minorHAnsi"/>
              </w:rPr>
            </w:pPr>
            <w:r>
              <w:rPr>
                <w:rFonts w:asciiTheme="minorHAnsi" w:hAnsiTheme="minorHAnsi" w:cstheme="minorHAnsi"/>
              </w:rPr>
              <w:t>69.7</w:t>
            </w:r>
          </w:p>
        </w:tc>
        <w:tc>
          <w:tcPr>
            <w:tcW w:w="811" w:type="dxa"/>
            <w:vAlign w:val="center"/>
          </w:tcPr>
          <w:p w14:paraId="4C838952" w14:textId="0AE6FB81" w:rsidR="00EB152E" w:rsidRPr="007F0C54" w:rsidRDefault="00F309E0"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54.7</w:t>
            </w:r>
          </w:p>
        </w:tc>
        <w:tc>
          <w:tcPr>
            <w:cnfStyle w:val="000010000000" w:firstRow="0" w:lastRow="0" w:firstColumn="0" w:lastColumn="0" w:oddVBand="1" w:evenVBand="0" w:oddHBand="0" w:evenHBand="0" w:firstRowFirstColumn="0" w:firstRowLastColumn="0" w:lastRowFirstColumn="0" w:lastRowLastColumn="0"/>
            <w:tcW w:w="811" w:type="dxa"/>
            <w:vAlign w:val="center"/>
          </w:tcPr>
          <w:p w14:paraId="396C0CA4" w14:textId="793D4F9E" w:rsidR="00EB152E" w:rsidRPr="007F0C54" w:rsidRDefault="00F309E0" w:rsidP="00EB152E">
            <w:pPr>
              <w:spacing w:after="0"/>
              <w:jc w:val="center"/>
              <w:rPr>
                <w:rFonts w:asciiTheme="minorHAnsi" w:hAnsiTheme="minorHAnsi" w:cstheme="minorHAnsi"/>
              </w:rPr>
            </w:pPr>
            <w:r>
              <w:rPr>
                <w:rFonts w:asciiTheme="minorHAnsi" w:hAnsiTheme="minorHAnsi" w:cstheme="minorHAnsi"/>
              </w:rPr>
              <w:t>68.8</w:t>
            </w:r>
          </w:p>
        </w:tc>
        <w:tc>
          <w:tcPr>
            <w:tcW w:w="808" w:type="dxa"/>
            <w:vAlign w:val="center"/>
          </w:tcPr>
          <w:p w14:paraId="3C2AB327" w14:textId="6AF32DBF" w:rsidR="00EB152E" w:rsidRPr="007F0C54" w:rsidRDefault="00A92060"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70.1</w:t>
            </w:r>
          </w:p>
        </w:tc>
        <w:tc>
          <w:tcPr>
            <w:cnfStyle w:val="000010000000" w:firstRow="0" w:lastRow="0" w:firstColumn="0" w:lastColumn="0" w:oddVBand="1" w:evenVBand="0" w:oddHBand="0" w:evenHBand="0" w:firstRowFirstColumn="0" w:firstRowLastColumn="0" w:lastRowFirstColumn="0" w:lastRowLastColumn="0"/>
            <w:tcW w:w="808" w:type="dxa"/>
            <w:vAlign w:val="center"/>
          </w:tcPr>
          <w:p w14:paraId="32B134D3" w14:textId="6210491A" w:rsidR="00EB152E" w:rsidRPr="007F0C54" w:rsidRDefault="00A92060" w:rsidP="00EB152E">
            <w:pPr>
              <w:spacing w:after="0"/>
              <w:jc w:val="center"/>
              <w:rPr>
                <w:rFonts w:asciiTheme="minorHAnsi" w:hAnsiTheme="minorHAnsi" w:cstheme="minorHAnsi"/>
              </w:rPr>
            </w:pPr>
            <w:r>
              <w:rPr>
                <w:rFonts w:asciiTheme="minorHAnsi" w:hAnsiTheme="minorHAnsi" w:cstheme="minorHAnsi"/>
              </w:rPr>
              <w:t>60.8</w:t>
            </w:r>
          </w:p>
        </w:tc>
        <w:tc>
          <w:tcPr>
            <w:tcW w:w="1072" w:type="dxa"/>
            <w:shd w:val="clear" w:color="auto" w:fill="CEE9FB" w:themeFill="accent5" w:themeFillTint="33"/>
            <w:vAlign w:val="center"/>
          </w:tcPr>
          <w:p w14:paraId="2D141921" w14:textId="56FC24FC" w:rsidR="00D31AA7" w:rsidRPr="007F0C54" w:rsidRDefault="009B2DAA" w:rsidP="00D31AA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b/>
                <w:bCs/>
              </w:rPr>
              <w:t>64.7</w:t>
            </w:r>
          </w:p>
        </w:tc>
        <w:tc>
          <w:tcPr>
            <w:cnfStyle w:val="000010000000" w:firstRow="0" w:lastRow="0" w:firstColumn="0" w:lastColumn="0" w:oddVBand="1" w:evenVBand="0" w:oddHBand="0" w:evenHBand="0" w:firstRowFirstColumn="0" w:firstRowLastColumn="0" w:lastRowFirstColumn="0" w:lastRowLastColumn="0"/>
            <w:tcW w:w="809" w:type="dxa"/>
            <w:vAlign w:val="center"/>
          </w:tcPr>
          <w:p w14:paraId="5DB5A3E0" w14:textId="3AB0CDC6" w:rsidR="00EB152E" w:rsidRPr="009A5CF4" w:rsidRDefault="003169B1" w:rsidP="00EB152E">
            <w:pPr>
              <w:spacing w:after="0"/>
              <w:jc w:val="center"/>
              <w:rPr>
                <w:rFonts w:asciiTheme="minorHAnsi" w:hAnsiTheme="minorHAnsi" w:cstheme="minorHAnsi"/>
                <w:i/>
              </w:rPr>
            </w:pPr>
            <w:r>
              <w:rPr>
                <w:rFonts w:cs="Arial"/>
                <w:i/>
                <w:iCs/>
              </w:rPr>
              <w:t>71.4</w:t>
            </w:r>
          </w:p>
        </w:tc>
        <w:tc>
          <w:tcPr>
            <w:tcW w:w="1165" w:type="dxa"/>
            <w:vAlign w:val="center"/>
          </w:tcPr>
          <w:p w14:paraId="48FC6984" w14:textId="22C42D13" w:rsidR="009A5CF4" w:rsidRPr="001D3785" w:rsidRDefault="00776839" w:rsidP="009A5CF4">
            <w:pPr>
              <w:spacing w:after="0"/>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69.9</w:t>
            </w:r>
          </w:p>
        </w:tc>
      </w:tr>
      <w:tr w:rsidR="00B600BA" w:rsidRPr="00653483" w14:paraId="2F6F5592" w14:textId="257EE66F" w:rsidTr="001376AC">
        <w:trPr>
          <w:trHeight w:val="397"/>
        </w:trPr>
        <w:tc>
          <w:tcPr>
            <w:cnfStyle w:val="001000000000" w:firstRow="0" w:lastRow="0" w:firstColumn="1" w:lastColumn="0" w:oddVBand="0" w:evenVBand="0" w:oddHBand="0" w:evenHBand="0" w:firstRowFirstColumn="0" w:firstRowLastColumn="0" w:lastRowFirstColumn="0" w:lastRowLastColumn="0"/>
            <w:tcW w:w="6547" w:type="dxa"/>
            <w:vAlign w:val="center"/>
          </w:tcPr>
          <w:p w14:paraId="611A652D" w14:textId="09DC5B66" w:rsidR="00117500" w:rsidRPr="00842605" w:rsidRDefault="00117500" w:rsidP="0025479A">
            <w:pPr>
              <w:pStyle w:val="ListParagraph"/>
              <w:numPr>
                <w:ilvl w:val="0"/>
                <w:numId w:val="11"/>
              </w:numPr>
              <w:spacing w:before="40" w:after="40" w:line="240" w:lineRule="auto"/>
              <w:ind w:left="357" w:hanging="357"/>
              <w:rPr>
                <w:rFonts w:cs="Arial"/>
                <w:b w:val="0"/>
                <w:bCs w:val="0"/>
              </w:rPr>
            </w:pPr>
            <w:r>
              <w:rPr>
                <w:rFonts w:cs="Arial"/>
                <w:b w:val="0"/>
                <w:bCs w:val="0"/>
              </w:rPr>
              <w:t xml:space="preserve">Essential services </w:t>
            </w:r>
            <w:r w:rsidR="00573E76">
              <w:rPr>
                <w:rFonts w:cs="Arial"/>
                <w:b w:val="0"/>
                <w:bCs w:val="0"/>
              </w:rPr>
              <w:t>vacancy</w:t>
            </w:r>
            <w:r>
              <w:rPr>
                <w:rFonts w:cs="Arial"/>
                <w:b w:val="0"/>
                <w:bCs w:val="0"/>
              </w:rPr>
              <w:t xml:space="preserve"> rate (%)</w:t>
            </w:r>
          </w:p>
        </w:tc>
        <w:tc>
          <w:tcPr>
            <w:cnfStyle w:val="000010000000" w:firstRow="0" w:lastRow="0" w:firstColumn="0" w:lastColumn="0" w:oddVBand="1" w:evenVBand="0" w:oddHBand="0" w:evenHBand="0" w:firstRowFirstColumn="0" w:firstRowLastColumn="0" w:lastRowFirstColumn="0" w:lastRowLastColumn="0"/>
            <w:tcW w:w="683" w:type="dxa"/>
            <w:vAlign w:val="center"/>
          </w:tcPr>
          <w:p w14:paraId="4CA868BB" w14:textId="69FCC955" w:rsidR="00117500" w:rsidRPr="007F0C54" w:rsidRDefault="00F53F79" w:rsidP="00EB152E">
            <w:pPr>
              <w:spacing w:after="0"/>
              <w:jc w:val="center"/>
              <w:rPr>
                <w:rFonts w:asciiTheme="minorHAnsi" w:hAnsiTheme="minorHAnsi" w:cstheme="minorHAnsi"/>
              </w:rPr>
            </w:pPr>
            <w:r>
              <w:rPr>
                <w:rFonts w:asciiTheme="minorHAnsi" w:hAnsiTheme="minorHAnsi" w:cstheme="minorHAnsi"/>
              </w:rPr>
              <w:t>6.3</w:t>
            </w:r>
          </w:p>
        </w:tc>
        <w:tc>
          <w:tcPr>
            <w:tcW w:w="843" w:type="dxa"/>
            <w:vAlign w:val="center"/>
          </w:tcPr>
          <w:p w14:paraId="73C6B1A9" w14:textId="07B3DFB1" w:rsidR="00117500" w:rsidRPr="007F0C54" w:rsidRDefault="004E18D5"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7.1</w:t>
            </w:r>
          </w:p>
        </w:tc>
        <w:tc>
          <w:tcPr>
            <w:cnfStyle w:val="000010000000" w:firstRow="0" w:lastRow="0" w:firstColumn="0" w:lastColumn="0" w:oddVBand="1" w:evenVBand="0" w:oddHBand="0" w:evenHBand="0" w:firstRowFirstColumn="0" w:firstRowLastColumn="0" w:lastRowFirstColumn="0" w:lastRowLastColumn="0"/>
            <w:tcW w:w="811" w:type="dxa"/>
            <w:vAlign w:val="center"/>
          </w:tcPr>
          <w:p w14:paraId="289A9788" w14:textId="10B2DA44" w:rsidR="00117500" w:rsidRPr="007F0C54" w:rsidRDefault="004E18D5" w:rsidP="00EB152E">
            <w:pPr>
              <w:spacing w:after="0"/>
              <w:jc w:val="center"/>
              <w:rPr>
                <w:rFonts w:asciiTheme="minorHAnsi" w:hAnsiTheme="minorHAnsi" w:cstheme="minorHAnsi"/>
              </w:rPr>
            </w:pPr>
            <w:r>
              <w:rPr>
                <w:rFonts w:asciiTheme="minorHAnsi" w:hAnsiTheme="minorHAnsi" w:cstheme="minorHAnsi"/>
              </w:rPr>
              <w:t>6.3</w:t>
            </w:r>
          </w:p>
        </w:tc>
        <w:tc>
          <w:tcPr>
            <w:tcW w:w="811" w:type="dxa"/>
            <w:vAlign w:val="center"/>
          </w:tcPr>
          <w:p w14:paraId="4DB40F0D" w14:textId="1BA5BF24" w:rsidR="00117500" w:rsidRPr="007F0C54" w:rsidRDefault="004E18D5"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13.8</w:t>
            </w:r>
          </w:p>
        </w:tc>
        <w:tc>
          <w:tcPr>
            <w:cnfStyle w:val="000010000000" w:firstRow="0" w:lastRow="0" w:firstColumn="0" w:lastColumn="0" w:oddVBand="1" w:evenVBand="0" w:oddHBand="0" w:evenHBand="0" w:firstRowFirstColumn="0" w:firstRowLastColumn="0" w:lastRowFirstColumn="0" w:lastRowLastColumn="0"/>
            <w:tcW w:w="811" w:type="dxa"/>
            <w:vAlign w:val="center"/>
          </w:tcPr>
          <w:p w14:paraId="0FB24CFA" w14:textId="518EB0FC" w:rsidR="00117500" w:rsidRPr="007F0C54" w:rsidRDefault="004E18D5" w:rsidP="00EB152E">
            <w:pPr>
              <w:spacing w:after="0"/>
              <w:jc w:val="center"/>
              <w:rPr>
                <w:rFonts w:asciiTheme="minorHAnsi" w:hAnsiTheme="minorHAnsi" w:cstheme="minorHAnsi"/>
              </w:rPr>
            </w:pPr>
            <w:r>
              <w:rPr>
                <w:rFonts w:asciiTheme="minorHAnsi" w:hAnsiTheme="minorHAnsi" w:cstheme="minorHAnsi"/>
              </w:rPr>
              <w:t>7.1</w:t>
            </w:r>
          </w:p>
        </w:tc>
        <w:tc>
          <w:tcPr>
            <w:tcW w:w="808" w:type="dxa"/>
            <w:vAlign w:val="center"/>
          </w:tcPr>
          <w:p w14:paraId="463FD1D6" w14:textId="0465B973" w:rsidR="00117500" w:rsidRPr="007F0C54" w:rsidRDefault="004E18D5"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6.6</w:t>
            </w:r>
          </w:p>
        </w:tc>
        <w:tc>
          <w:tcPr>
            <w:cnfStyle w:val="000010000000" w:firstRow="0" w:lastRow="0" w:firstColumn="0" w:lastColumn="0" w:oddVBand="1" w:evenVBand="0" w:oddHBand="0" w:evenHBand="0" w:firstRowFirstColumn="0" w:firstRowLastColumn="0" w:lastRowFirstColumn="0" w:lastRowLastColumn="0"/>
            <w:tcW w:w="808" w:type="dxa"/>
            <w:vAlign w:val="center"/>
          </w:tcPr>
          <w:p w14:paraId="1961CF5E" w14:textId="7506B40E" w:rsidR="00117500" w:rsidRPr="007F0C54" w:rsidRDefault="00FE13FF" w:rsidP="00EB152E">
            <w:pPr>
              <w:spacing w:after="0"/>
              <w:jc w:val="center"/>
              <w:rPr>
                <w:rFonts w:asciiTheme="minorHAnsi" w:hAnsiTheme="minorHAnsi" w:cstheme="minorHAnsi"/>
              </w:rPr>
            </w:pPr>
            <w:r>
              <w:rPr>
                <w:rFonts w:asciiTheme="minorHAnsi" w:hAnsiTheme="minorHAnsi" w:cstheme="minorHAnsi"/>
              </w:rPr>
              <w:t>8.2</w:t>
            </w:r>
          </w:p>
        </w:tc>
        <w:tc>
          <w:tcPr>
            <w:tcW w:w="1072" w:type="dxa"/>
            <w:shd w:val="clear" w:color="auto" w:fill="CEE9FB" w:themeFill="accent5" w:themeFillTint="33"/>
            <w:vAlign w:val="center"/>
          </w:tcPr>
          <w:p w14:paraId="242D5E9A" w14:textId="52D1E8E5" w:rsidR="00D31AA7" w:rsidRPr="0068414D" w:rsidRDefault="00464B51" w:rsidP="00D31AA7">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Pr>
                <w:rFonts w:asciiTheme="minorHAnsi" w:hAnsiTheme="minorHAnsi" w:cstheme="minorHAnsi"/>
                <w:b/>
                <w:bCs/>
              </w:rPr>
              <w:t>8.5</w:t>
            </w:r>
          </w:p>
        </w:tc>
        <w:tc>
          <w:tcPr>
            <w:cnfStyle w:val="000010000000" w:firstRow="0" w:lastRow="0" w:firstColumn="0" w:lastColumn="0" w:oddVBand="1" w:evenVBand="0" w:oddHBand="0" w:evenHBand="0" w:firstRowFirstColumn="0" w:firstRowLastColumn="0" w:lastRowFirstColumn="0" w:lastRowLastColumn="0"/>
            <w:tcW w:w="809" w:type="dxa"/>
            <w:vAlign w:val="center"/>
          </w:tcPr>
          <w:p w14:paraId="585D0DB5" w14:textId="67DA1EFE" w:rsidR="00117500" w:rsidRPr="009A5CF4" w:rsidRDefault="00FE13FF" w:rsidP="00EB152E">
            <w:pPr>
              <w:spacing w:after="0"/>
              <w:jc w:val="center"/>
              <w:rPr>
                <w:rFonts w:cs="Arial"/>
                <w:i/>
              </w:rPr>
            </w:pPr>
            <w:r>
              <w:rPr>
                <w:rFonts w:cs="Arial"/>
                <w:i/>
                <w:iCs/>
              </w:rPr>
              <w:t>7.1</w:t>
            </w:r>
          </w:p>
        </w:tc>
        <w:tc>
          <w:tcPr>
            <w:tcW w:w="1165" w:type="dxa"/>
            <w:vAlign w:val="center"/>
          </w:tcPr>
          <w:p w14:paraId="21144769" w14:textId="62FBFECF" w:rsidR="009A5CF4" w:rsidRPr="001D3785" w:rsidRDefault="00464B51" w:rsidP="009A5CF4">
            <w:pPr>
              <w:spacing w:after="0"/>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6.1</w:t>
            </w:r>
          </w:p>
        </w:tc>
      </w:tr>
      <w:tr w:rsidR="00B600BA" w:rsidRPr="00653483" w14:paraId="03591223" w14:textId="64F8F529" w:rsidTr="001376AC">
        <w:trPr>
          <w:trHeight w:val="397"/>
        </w:trPr>
        <w:tc>
          <w:tcPr>
            <w:cnfStyle w:val="001000000000" w:firstRow="0" w:lastRow="0" w:firstColumn="1" w:lastColumn="0" w:oddVBand="0" w:evenVBand="0" w:oddHBand="0" w:evenHBand="0" w:firstRowFirstColumn="0" w:firstRowLastColumn="0" w:lastRowFirstColumn="0" w:lastRowLastColumn="0"/>
            <w:tcW w:w="6547" w:type="dxa"/>
            <w:vAlign w:val="center"/>
          </w:tcPr>
          <w:p w14:paraId="2D643BD7" w14:textId="77777777" w:rsidR="00A77655" w:rsidRPr="00842605" w:rsidRDefault="00A77655" w:rsidP="00A77655">
            <w:pPr>
              <w:pStyle w:val="ListParagraph"/>
              <w:numPr>
                <w:ilvl w:val="0"/>
                <w:numId w:val="11"/>
              </w:numPr>
              <w:spacing w:before="40" w:after="40" w:line="240" w:lineRule="auto"/>
              <w:ind w:left="357" w:hanging="357"/>
              <w:rPr>
                <w:rFonts w:cs="Arial"/>
                <w:b w:val="0"/>
                <w:bCs w:val="0"/>
              </w:rPr>
            </w:pPr>
            <w:r w:rsidRPr="00842605">
              <w:rPr>
                <w:rFonts w:cs="Arial"/>
                <w:b w:val="0"/>
                <w:bCs w:val="0"/>
              </w:rPr>
              <w:t>Incidence of persistent hiring pressures (%)</w:t>
            </w:r>
          </w:p>
        </w:tc>
        <w:tc>
          <w:tcPr>
            <w:cnfStyle w:val="000010000000" w:firstRow="0" w:lastRow="0" w:firstColumn="0" w:lastColumn="0" w:oddVBand="1" w:evenVBand="0" w:oddHBand="0" w:evenHBand="0" w:firstRowFirstColumn="0" w:firstRowLastColumn="0" w:lastRowFirstColumn="0" w:lastRowLastColumn="0"/>
            <w:tcW w:w="683" w:type="dxa"/>
            <w:vAlign w:val="center"/>
          </w:tcPr>
          <w:p w14:paraId="79586418" w14:textId="22696689" w:rsidR="00A77655" w:rsidRPr="008A107A" w:rsidRDefault="00A77655" w:rsidP="00A77655">
            <w:pPr>
              <w:spacing w:after="0"/>
              <w:jc w:val="center"/>
              <w:rPr>
                <w:rFonts w:asciiTheme="minorHAnsi" w:hAnsiTheme="minorHAnsi" w:cstheme="minorHAnsi"/>
                <w:highlight w:val="yellow"/>
              </w:rPr>
            </w:pPr>
            <w:r w:rsidRPr="007F0C54">
              <w:rPr>
                <w:rFonts w:asciiTheme="minorHAnsi" w:hAnsiTheme="minorHAnsi" w:cstheme="minorHAnsi"/>
              </w:rPr>
              <w:t>n/a</w:t>
            </w:r>
          </w:p>
        </w:tc>
        <w:tc>
          <w:tcPr>
            <w:tcW w:w="843" w:type="dxa"/>
            <w:vAlign w:val="center"/>
          </w:tcPr>
          <w:p w14:paraId="4F04E760" w14:textId="55A8F429" w:rsidR="00A77655" w:rsidRPr="008A107A" w:rsidRDefault="00A77655" w:rsidP="00A7765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7F0C54">
              <w:rPr>
                <w:rFonts w:asciiTheme="minorHAnsi" w:hAnsiTheme="minorHAnsi" w:cstheme="minorHAnsi"/>
              </w:rPr>
              <w:t>n/a</w:t>
            </w:r>
          </w:p>
        </w:tc>
        <w:tc>
          <w:tcPr>
            <w:cnfStyle w:val="000010000000" w:firstRow="0" w:lastRow="0" w:firstColumn="0" w:lastColumn="0" w:oddVBand="1" w:evenVBand="0" w:oddHBand="0" w:evenHBand="0" w:firstRowFirstColumn="0" w:firstRowLastColumn="0" w:lastRowFirstColumn="0" w:lastRowLastColumn="0"/>
            <w:tcW w:w="811" w:type="dxa"/>
            <w:vAlign w:val="center"/>
          </w:tcPr>
          <w:p w14:paraId="42D5DF43" w14:textId="4BD6E03F" w:rsidR="00A77655" w:rsidRPr="008A107A" w:rsidRDefault="00A77655" w:rsidP="00A77655">
            <w:pPr>
              <w:spacing w:after="0"/>
              <w:jc w:val="center"/>
              <w:rPr>
                <w:rFonts w:asciiTheme="minorHAnsi" w:hAnsiTheme="minorHAnsi" w:cstheme="minorHAnsi"/>
                <w:highlight w:val="yellow"/>
              </w:rPr>
            </w:pPr>
            <w:r w:rsidRPr="007F0C54">
              <w:rPr>
                <w:rFonts w:asciiTheme="minorHAnsi" w:hAnsiTheme="minorHAnsi" w:cstheme="minorHAnsi"/>
              </w:rPr>
              <w:t>n/a</w:t>
            </w:r>
          </w:p>
        </w:tc>
        <w:tc>
          <w:tcPr>
            <w:tcW w:w="811" w:type="dxa"/>
            <w:vAlign w:val="center"/>
          </w:tcPr>
          <w:p w14:paraId="7C120837" w14:textId="0F8A3C4C" w:rsidR="00A77655" w:rsidRPr="008A107A" w:rsidRDefault="00A77655" w:rsidP="00A7765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7F0C54">
              <w:rPr>
                <w:rFonts w:asciiTheme="minorHAnsi" w:hAnsiTheme="minorHAnsi" w:cstheme="minorHAnsi"/>
              </w:rPr>
              <w:t>n/a</w:t>
            </w:r>
          </w:p>
        </w:tc>
        <w:tc>
          <w:tcPr>
            <w:cnfStyle w:val="000010000000" w:firstRow="0" w:lastRow="0" w:firstColumn="0" w:lastColumn="0" w:oddVBand="1" w:evenVBand="0" w:oddHBand="0" w:evenHBand="0" w:firstRowFirstColumn="0" w:firstRowLastColumn="0" w:lastRowFirstColumn="0" w:lastRowLastColumn="0"/>
            <w:tcW w:w="811" w:type="dxa"/>
            <w:vAlign w:val="center"/>
          </w:tcPr>
          <w:p w14:paraId="0A4FC46D" w14:textId="0EFAF30B" w:rsidR="00A77655" w:rsidRPr="008A107A" w:rsidRDefault="00A77655" w:rsidP="00A77655">
            <w:pPr>
              <w:spacing w:after="0"/>
              <w:jc w:val="center"/>
              <w:rPr>
                <w:rFonts w:asciiTheme="minorHAnsi" w:hAnsiTheme="minorHAnsi" w:cstheme="minorHAnsi"/>
                <w:highlight w:val="yellow"/>
              </w:rPr>
            </w:pPr>
            <w:r w:rsidRPr="007F0C54">
              <w:rPr>
                <w:rFonts w:asciiTheme="minorHAnsi" w:hAnsiTheme="minorHAnsi" w:cstheme="minorHAnsi"/>
              </w:rPr>
              <w:t>n/a</w:t>
            </w:r>
          </w:p>
        </w:tc>
        <w:tc>
          <w:tcPr>
            <w:tcW w:w="808" w:type="dxa"/>
            <w:vAlign w:val="center"/>
          </w:tcPr>
          <w:p w14:paraId="7A506090" w14:textId="66514FBF" w:rsidR="00A77655" w:rsidRPr="008C06FF" w:rsidRDefault="00A77655" w:rsidP="00A7765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0C54">
              <w:rPr>
                <w:rFonts w:asciiTheme="minorHAnsi" w:hAnsiTheme="minorHAnsi" w:cstheme="minorHAnsi"/>
              </w:rPr>
              <w:t>n/a</w:t>
            </w:r>
          </w:p>
        </w:tc>
        <w:tc>
          <w:tcPr>
            <w:cnfStyle w:val="000010000000" w:firstRow="0" w:lastRow="0" w:firstColumn="0" w:lastColumn="0" w:oddVBand="1" w:evenVBand="0" w:oddHBand="0" w:evenHBand="0" w:firstRowFirstColumn="0" w:firstRowLastColumn="0" w:lastRowFirstColumn="0" w:lastRowLastColumn="0"/>
            <w:tcW w:w="808" w:type="dxa"/>
            <w:vAlign w:val="center"/>
          </w:tcPr>
          <w:p w14:paraId="38A4ED20" w14:textId="73AD4C0B" w:rsidR="00A77655" w:rsidRPr="008C06FF" w:rsidRDefault="00A77655" w:rsidP="00A77655">
            <w:pPr>
              <w:spacing w:after="0"/>
              <w:jc w:val="center"/>
              <w:rPr>
                <w:rFonts w:asciiTheme="minorHAnsi" w:hAnsiTheme="minorHAnsi" w:cstheme="minorHAnsi"/>
              </w:rPr>
            </w:pPr>
            <w:r w:rsidRPr="007F0C54">
              <w:rPr>
                <w:rFonts w:asciiTheme="minorHAnsi" w:hAnsiTheme="minorHAnsi" w:cstheme="minorHAnsi"/>
              </w:rPr>
              <w:t>n/a</w:t>
            </w:r>
          </w:p>
        </w:tc>
        <w:tc>
          <w:tcPr>
            <w:tcW w:w="1072" w:type="dxa"/>
            <w:shd w:val="clear" w:color="auto" w:fill="CEE9FB" w:themeFill="accent5" w:themeFillTint="33"/>
            <w:vAlign w:val="center"/>
          </w:tcPr>
          <w:p w14:paraId="324DB480" w14:textId="26188EF2" w:rsidR="00A77655" w:rsidRPr="007F0C54" w:rsidRDefault="00A77655" w:rsidP="00A7765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b/>
                <w:bCs/>
              </w:rPr>
              <w:t>36.8</w:t>
            </w:r>
          </w:p>
        </w:tc>
        <w:tc>
          <w:tcPr>
            <w:cnfStyle w:val="000010000000" w:firstRow="0" w:lastRow="0" w:firstColumn="0" w:lastColumn="0" w:oddVBand="1" w:evenVBand="0" w:oddHBand="0" w:evenHBand="0" w:firstRowFirstColumn="0" w:firstRowLastColumn="0" w:lastRowFirstColumn="0" w:lastRowLastColumn="0"/>
            <w:tcW w:w="809" w:type="dxa"/>
            <w:vAlign w:val="center"/>
          </w:tcPr>
          <w:p w14:paraId="48161A9E" w14:textId="0FB68C7C" w:rsidR="00A77655" w:rsidRPr="009A5CF4" w:rsidRDefault="00A77655" w:rsidP="00A77655">
            <w:pPr>
              <w:spacing w:after="0"/>
              <w:jc w:val="center"/>
              <w:rPr>
                <w:rFonts w:asciiTheme="minorHAnsi" w:hAnsiTheme="minorHAnsi" w:cstheme="minorHAnsi"/>
                <w:i/>
              </w:rPr>
            </w:pPr>
            <w:r w:rsidRPr="009A5CF4">
              <w:rPr>
                <w:rFonts w:cs="Arial"/>
                <w:i/>
                <w:iCs/>
              </w:rPr>
              <w:t>n/a</w:t>
            </w:r>
          </w:p>
        </w:tc>
        <w:tc>
          <w:tcPr>
            <w:tcW w:w="1165" w:type="dxa"/>
            <w:vAlign w:val="center"/>
          </w:tcPr>
          <w:p w14:paraId="3BC4924B" w14:textId="6E10B10A" w:rsidR="00A77655" w:rsidRPr="001D3785" w:rsidRDefault="00A77655" w:rsidP="00A77655">
            <w:pPr>
              <w:spacing w:after="0"/>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23.2</w:t>
            </w:r>
          </w:p>
        </w:tc>
      </w:tr>
      <w:tr w:rsidR="00B600BA" w:rsidRPr="00653483" w14:paraId="6504147B" w14:textId="1A02C549" w:rsidTr="001376AC">
        <w:trPr>
          <w:trHeight w:val="397"/>
        </w:trPr>
        <w:tc>
          <w:tcPr>
            <w:cnfStyle w:val="001000000000" w:firstRow="0" w:lastRow="0" w:firstColumn="1" w:lastColumn="0" w:oddVBand="0" w:evenVBand="0" w:oddHBand="0" w:evenHBand="0" w:firstRowFirstColumn="0" w:firstRowLastColumn="0" w:lastRowFirstColumn="0" w:lastRowLastColumn="0"/>
            <w:tcW w:w="6547" w:type="dxa"/>
            <w:tcBorders>
              <w:bottom w:val="single" w:sz="4" w:space="0" w:color="auto"/>
            </w:tcBorders>
            <w:vAlign w:val="center"/>
          </w:tcPr>
          <w:p w14:paraId="0B197719" w14:textId="7881ACDF" w:rsidR="00EB152E" w:rsidRPr="00D90245" w:rsidRDefault="006961FA" w:rsidP="0025479A">
            <w:pPr>
              <w:pStyle w:val="ListParagraph"/>
              <w:numPr>
                <w:ilvl w:val="0"/>
                <w:numId w:val="11"/>
              </w:numPr>
              <w:spacing w:before="40" w:after="40" w:line="240" w:lineRule="auto"/>
              <w:ind w:left="357" w:hanging="357"/>
              <w:rPr>
                <w:rFonts w:cs="Arial"/>
                <w:b w:val="0"/>
              </w:rPr>
            </w:pPr>
            <w:r>
              <w:rPr>
                <w:rFonts w:cs="Arial"/>
                <w:b w:val="0"/>
                <w:bCs w:val="0"/>
              </w:rPr>
              <w:t>Business creation rate</w:t>
            </w:r>
            <w:r w:rsidR="00EB152E" w:rsidRPr="00D90245">
              <w:rPr>
                <w:rFonts w:cs="Arial"/>
                <w:b w:val="0"/>
                <w:bCs w:val="0"/>
              </w:rPr>
              <w:t xml:space="preserve"> (%)</w:t>
            </w:r>
          </w:p>
        </w:tc>
        <w:tc>
          <w:tcPr>
            <w:cnfStyle w:val="000010000000" w:firstRow="0" w:lastRow="0" w:firstColumn="0" w:lastColumn="0" w:oddVBand="1" w:evenVBand="0" w:oddHBand="0" w:evenHBand="0" w:firstRowFirstColumn="0" w:firstRowLastColumn="0" w:lastRowFirstColumn="0" w:lastRowLastColumn="0"/>
            <w:tcW w:w="683" w:type="dxa"/>
            <w:tcBorders>
              <w:bottom w:val="single" w:sz="4" w:space="0" w:color="auto"/>
            </w:tcBorders>
            <w:vAlign w:val="center"/>
          </w:tcPr>
          <w:p w14:paraId="6AFABE44" w14:textId="5F940C73" w:rsidR="00EB152E" w:rsidRPr="007F0C54" w:rsidRDefault="003B6B53" w:rsidP="00EB152E">
            <w:pPr>
              <w:spacing w:after="0"/>
              <w:jc w:val="center"/>
              <w:rPr>
                <w:rFonts w:asciiTheme="minorHAnsi" w:hAnsiTheme="minorHAnsi" w:cstheme="minorHAnsi"/>
                <w:highlight w:val="yellow"/>
              </w:rPr>
            </w:pPr>
            <w:r>
              <w:rPr>
                <w:rFonts w:asciiTheme="minorHAnsi" w:hAnsiTheme="minorHAnsi" w:cstheme="minorHAnsi"/>
              </w:rPr>
              <w:t>2.2</w:t>
            </w:r>
          </w:p>
        </w:tc>
        <w:tc>
          <w:tcPr>
            <w:tcW w:w="843" w:type="dxa"/>
            <w:tcBorders>
              <w:bottom w:val="single" w:sz="4" w:space="0" w:color="auto"/>
            </w:tcBorders>
            <w:vAlign w:val="center"/>
          </w:tcPr>
          <w:p w14:paraId="30621BC8" w14:textId="59DC152E" w:rsidR="00EB152E" w:rsidRPr="007F0C54" w:rsidRDefault="003B6B53"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Pr>
                <w:rFonts w:asciiTheme="minorHAnsi" w:hAnsiTheme="minorHAnsi" w:cstheme="minorHAnsi"/>
              </w:rPr>
              <w:t>2.4</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4" w:space="0" w:color="auto"/>
            </w:tcBorders>
            <w:vAlign w:val="center"/>
          </w:tcPr>
          <w:p w14:paraId="6B30DE80" w14:textId="60194F66" w:rsidR="00EB152E" w:rsidRPr="007F0C54" w:rsidRDefault="003B6B53" w:rsidP="00EB152E">
            <w:pPr>
              <w:spacing w:after="0"/>
              <w:jc w:val="center"/>
              <w:rPr>
                <w:rFonts w:asciiTheme="minorHAnsi" w:hAnsiTheme="minorHAnsi" w:cstheme="minorHAnsi"/>
              </w:rPr>
            </w:pPr>
            <w:r>
              <w:rPr>
                <w:rFonts w:asciiTheme="minorHAnsi" w:hAnsiTheme="minorHAnsi" w:cstheme="minorHAnsi"/>
              </w:rPr>
              <w:t>2.5</w:t>
            </w:r>
          </w:p>
        </w:tc>
        <w:tc>
          <w:tcPr>
            <w:tcW w:w="811" w:type="dxa"/>
            <w:tcBorders>
              <w:bottom w:val="single" w:sz="4" w:space="0" w:color="auto"/>
            </w:tcBorders>
            <w:vAlign w:val="center"/>
          </w:tcPr>
          <w:p w14:paraId="6274041D" w14:textId="2CD6B592" w:rsidR="00EB152E" w:rsidRPr="007F0C54" w:rsidRDefault="003B6B53"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1.7</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4" w:space="0" w:color="auto"/>
            </w:tcBorders>
            <w:vAlign w:val="center"/>
          </w:tcPr>
          <w:p w14:paraId="4F8A037B" w14:textId="6A1BFA59" w:rsidR="00EB152E" w:rsidRPr="007F0C54" w:rsidRDefault="003B6B53" w:rsidP="00EB152E">
            <w:pPr>
              <w:spacing w:after="0"/>
              <w:jc w:val="center"/>
              <w:rPr>
                <w:rFonts w:asciiTheme="minorHAnsi" w:hAnsiTheme="minorHAnsi" w:cstheme="minorHAnsi"/>
              </w:rPr>
            </w:pPr>
            <w:r>
              <w:rPr>
                <w:rFonts w:asciiTheme="minorHAnsi" w:hAnsiTheme="minorHAnsi" w:cstheme="minorHAnsi"/>
              </w:rPr>
              <w:t>1.7</w:t>
            </w:r>
          </w:p>
        </w:tc>
        <w:tc>
          <w:tcPr>
            <w:tcW w:w="808" w:type="dxa"/>
            <w:tcBorders>
              <w:bottom w:val="single" w:sz="4" w:space="0" w:color="auto"/>
            </w:tcBorders>
            <w:vAlign w:val="center"/>
          </w:tcPr>
          <w:p w14:paraId="4ACCF742" w14:textId="507A0217" w:rsidR="00EB152E" w:rsidRPr="007F0C54" w:rsidRDefault="003B6B53" w:rsidP="00EB152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w:t>
            </w:r>
            <w:r w:rsidR="00D87A91">
              <w:rPr>
                <w:rFonts w:asciiTheme="minorHAnsi" w:hAnsiTheme="minorHAnsi" w:cstheme="minorHAnsi"/>
              </w:rPr>
              <w:t>7</w:t>
            </w:r>
          </w:p>
        </w:tc>
        <w:tc>
          <w:tcPr>
            <w:cnfStyle w:val="000010000000" w:firstRow="0" w:lastRow="0" w:firstColumn="0" w:lastColumn="0" w:oddVBand="1" w:evenVBand="0" w:oddHBand="0" w:evenHBand="0" w:firstRowFirstColumn="0" w:firstRowLastColumn="0" w:lastRowFirstColumn="0" w:lastRowLastColumn="0"/>
            <w:tcW w:w="808" w:type="dxa"/>
            <w:tcBorders>
              <w:bottom w:val="single" w:sz="4" w:space="0" w:color="auto"/>
            </w:tcBorders>
            <w:vAlign w:val="center"/>
          </w:tcPr>
          <w:p w14:paraId="385C52C3" w14:textId="0E7AFE73" w:rsidR="00EB152E" w:rsidRPr="007F0C54" w:rsidRDefault="00D87A91" w:rsidP="00EB152E">
            <w:pPr>
              <w:spacing w:after="0"/>
              <w:jc w:val="center"/>
              <w:rPr>
                <w:rFonts w:asciiTheme="minorHAnsi" w:hAnsiTheme="minorHAnsi" w:cstheme="minorHAnsi"/>
              </w:rPr>
            </w:pPr>
            <w:r>
              <w:rPr>
                <w:rFonts w:asciiTheme="minorHAnsi" w:hAnsiTheme="minorHAnsi" w:cstheme="minorHAnsi"/>
              </w:rPr>
              <w:t>1.6</w:t>
            </w:r>
          </w:p>
        </w:tc>
        <w:tc>
          <w:tcPr>
            <w:tcW w:w="1072" w:type="dxa"/>
            <w:tcBorders>
              <w:bottom w:val="single" w:sz="4" w:space="0" w:color="auto"/>
            </w:tcBorders>
            <w:shd w:val="clear" w:color="auto" w:fill="CEE9FB" w:themeFill="accent5" w:themeFillTint="33"/>
            <w:vAlign w:val="center"/>
          </w:tcPr>
          <w:p w14:paraId="731B8ECA" w14:textId="524E7711" w:rsidR="00D31AA7" w:rsidRPr="007F0C54" w:rsidRDefault="008B583F" w:rsidP="00D31AA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b/>
                <w:bCs/>
              </w:rPr>
              <w:t>2.2</w:t>
            </w:r>
          </w:p>
        </w:tc>
        <w:tc>
          <w:tcPr>
            <w:cnfStyle w:val="000010000000" w:firstRow="0" w:lastRow="0" w:firstColumn="0" w:lastColumn="0" w:oddVBand="1" w:evenVBand="0" w:oddHBand="0" w:evenHBand="0" w:firstRowFirstColumn="0" w:firstRowLastColumn="0" w:lastRowFirstColumn="0" w:lastRowLastColumn="0"/>
            <w:tcW w:w="809" w:type="dxa"/>
            <w:tcBorders>
              <w:bottom w:val="single" w:sz="4" w:space="0" w:color="auto"/>
            </w:tcBorders>
            <w:vAlign w:val="center"/>
          </w:tcPr>
          <w:p w14:paraId="50DEF274" w14:textId="1BAD8697" w:rsidR="00EB152E" w:rsidRPr="009A5CF4" w:rsidRDefault="00D87A91" w:rsidP="00EB152E">
            <w:pPr>
              <w:spacing w:after="0"/>
              <w:jc w:val="center"/>
              <w:rPr>
                <w:rFonts w:asciiTheme="minorHAnsi" w:hAnsiTheme="minorHAnsi" w:cstheme="minorHAnsi"/>
                <w:i/>
              </w:rPr>
            </w:pPr>
            <w:r>
              <w:rPr>
                <w:rFonts w:cs="Arial"/>
                <w:i/>
                <w:iCs/>
              </w:rPr>
              <w:t>2.2</w:t>
            </w:r>
          </w:p>
        </w:tc>
        <w:tc>
          <w:tcPr>
            <w:tcW w:w="1165" w:type="dxa"/>
            <w:tcBorders>
              <w:bottom w:val="single" w:sz="4" w:space="0" w:color="auto"/>
            </w:tcBorders>
            <w:vAlign w:val="center"/>
          </w:tcPr>
          <w:p w14:paraId="7E49A36C" w14:textId="63B8A160" w:rsidR="009A5CF4" w:rsidRPr="001D3785" w:rsidRDefault="008B583F" w:rsidP="009A5CF4">
            <w:pPr>
              <w:spacing w:after="0"/>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3.2</w:t>
            </w:r>
          </w:p>
        </w:tc>
      </w:tr>
      <w:tr w:rsidR="00B600BA" w:rsidRPr="00842605" w14:paraId="6EE1F819" w14:textId="0093D898" w:rsidTr="001376AC">
        <w:trPr>
          <w:trHeight w:val="397"/>
        </w:trPr>
        <w:tc>
          <w:tcPr>
            <w:cnfStyle w:val="001000000000" w:firstRow="0" w:lastRow="0" w:firstColumn="1" w:lastColumn="0" w:oddVBand="0" w:evenVBand="0" w:oddHBand="0" w:evenHBand="0" w:firstRowFirstColumn="0" w:firstRowLastColumn="0" w:lastRowFirstColumn="0" w:lastRowLastColumn="0"/>
            <w:tcW w:w="6547" w:type="dxa"/>
          </w:tcPr>
          <w:p w14:paraId="433BD7CB" w14:textId="24D4D25F" w:rsidR="004509B1" w:rsidRPr="00D90245" w:rsidRDefault="004509B1" w:rsidP="0025479A">
            <w:pPr>
              <w:pStyle w:val="ListParagraph"/>
              <w:numPr>
                <w:ilvl w:val="0"/>
                <w:numId w:val="11"/>
              </w:numPr>
              <w:spacing w:before="40" w:after="40" w:line="240" w:lineRule="auto"/>
              <w:ind w:left="357" w:hanging="357"/>
              <w:rPr>
                <w:rFonts w:cs="Arial"/>
                <w:b w:val="0"/>
              </w:rPr>
            </w:pPr>
            <w:r w:rsidRPr="00D90245">
              <w:rPr>
                <w:rFonts w:cs="Arial"/>
                <w:b w:val="0"/>
              </w:rPr>
              <w:t>Beveridge Curve analysis</w:t>
            </w:r>
          </w:p>
        </w:tc>
        <w:tc>
          <w:tcPr>
            <w:cnfStyle w:val="000010000000" w:firstRow="0" w:lastRow="0" w:firstColumn="0" w:lastColumn="0" w:oddVBand="1" w:evenVBand="0" w:oddHBand="0" w:evenHBand="0" w:firstRowFirstColumn="0" w:firstRowLastColumn="0" w:lastRowFirstColumn="0" w:lastRowLastColumn="0"/>
            <w:tcW w:w="683" w:type="dxa"/>
            <w:vAlign w:val="center"/>
          </w:tcPr>
          <w:p w14:paraId="69D2568B" w14:textId="758EA69E" w:rsidR="004509B1" w:rsidRPr="004509B1" w:rsidRDefault="00294095" w:rsidP="004509B1">
            <w:pPr>
              <w:spacing w:after="0"/>
              <w:jc w:val="center"/>
              <w:rPr>
                <w:rFonts w:asciiTheme="minorHAnsi" w:hAnsiTheme="minorHAnsi" w:cstheme="minorHAnsi"/>
                <w:highlight w:val="yellow"/>
              </w:rPr>
            </w:pPr>
            <w:r w:rsidRPr="007F0C54">
              <w:rPr>
                <w:rFonts w:asciiTheme="minorHAnsi" w:hAnsiTheme="minorHAnsi" w:cstheme="minorHAnsi"/>
              </w:rPr>
              <w:t>n/a</w:t>
            </w:r>
          </w:p>
        </w:tc>
        <w:tc>
          <w:tcPr>
            <w:tcW w:w="843" w:type="dxa"/>
            <w:vAlign w:val="center"/>
          </w:tcPr>
          <w:p w14:paraId="454EFD7E" w14:textId="5ED8CA1B" w:rsidR="004509B1" w:rsidRPr="004509B1" w:rsidRDefault="00294095" w:rsidP="004509B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7F0C54">
              <w:rPr>
                <w:rFonts w:asciiTheme="minorHAnsi" w:hAnsiTheme="minorHAnsi" w:cstheme="minorHAnsi"/>
              </w:rPr>
              <w:t>n/a</w:t>
            </w:r>
          </w:p>
        </w:tc>
        <w:tc>
          <w:tcPr>
            <w:cnfStyle w:val="000010000000" w:firstRow="0" w:lastRow="0" w:firstColumn="0" w:lastColumn="0" w:oddVBand="1" w:evenVBand="0" w:oddHBand="0" w:evenHBand="0" w:firstRowFirstColumn="0" w:firstRowLastColumn="0" w:lastRowFirstColumn="0" w:lastRowLastColumn="0"/>
            <w:tcW w:w="811" w:type="dxa"/>
            <w:vAlign w:val="center"/>
          </w:tcPr>
          <w:p w14:paraId="025FB34D" w14:textId="2E1277CE" w:rsidR="004509B1" w:rsidRPr="004509B1" w:rsidRDefault="00294095" w:rsidP="004509B1">
            <w:pPr>
              <w:spacing w:after="0"/>
              <w:jc w:val="center"/>
              <w:rPr>
                <w:rFonts w:asciiTheme="minorHAnsi" w:hAnsiTheme="minorHAnsi" w:cstheme="minorHAnsi"/>
                <w:highlight w:val="yellow"/>
              </w:rPr>
            </w:pPr>
            <w:r w:rsidRPr="007F0C54">
              <w:rPr>
                <w:rFonts w:asciiTheme="minorHAnsi" w:hAnsiTheme="minorHAnsi" w:cstheme="minorHAnsi"/>
              </w:rPr>
              <w:t>n/a</w:t>
            </w:r>
          </w:p>
        </w:tc>
        <w:tc>
          <w:tcPr>
            <w:tcW w:w="811" w:type="dxa"/>
            <w:vAlign w:val="center"/>
          </w:tcPr>
          <w:p w14:paraId="2C6E535C" w14:textId="0CECD9F5" w:rsidR="004509B1" w:rsidRPr="004509B1" w:rsidRDefault="00294095" w:rsidP="004509B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7F0C54">
              <w:rPr>
                <w:rFonts w:asciiTheme="minorHAnsi" w:hAnsiTheme="minorHAnsi" w:cstheme="minorHAnsi"/>
              </w:rPr>
              <w:t>n/a</w:t>
            </w:r>
          </w:p>
        </w:tc>
        <w:tc>
          <w:tcPr>
            <w:cnfStyle w:val="000010000000" w:firstRow="0" w:lastRow="0" w:firstColumn="0" w:lastColumn="0" w:oddVBand="1" w:evenVBand="0" w:oddHBand="0" w:evenHBand="0" w:firstRowFirstColumn="0" w:firstRowLastColumn="0" w:lastRowFirstColumn="0" w:lastRowLastColumn="0"/>
            <w:tcW w:w="811" w:type="dxa"/>
            <w:vAlign w:val="center"/>
          </w:tcPr>
          <w:p w14:paraId="1F80C7B8" w14:textId="3AC0A5F1" w:rsidR="004509B1" w:rsidRPr="004509B1" w:rsidRDefault="00294095" w:rsidP="004509B1">
            <w:pPr>
              <w:spacing w:after="0"/>
              <w:jc w:val="center"/>
              <w:rPr>
                <w:rFonts w:asciiTheme="minorHAnsi" w:hAnsiTheme="minorHAnsi" w:cstheme="minorHAnsi"/>
                <w:highlight w:val="yellow"/>
              </w:rPr>
            </w:pPr>
            <w:r w:rsidRPr="007F0C54">
              <w:rPr>
                <w:rFonts w:asciiTheme="minorHAnsi" w:hAnsiTheme="minorHAnsi" w:cstheme="minorHAnsi"/>
              </w:rPr>
              <w:t>n/a</w:t>
            </w:r>
          </w:p>
        </w:tc>
        <w:tc>
          <w:tcPr>
            <w:tcW w:w="808" w:type="dxa"/>
            <w:vAlign w:val="center"/>
          </w:tcPr>
          <w:p w14:paraId="2A7A996A" w14:textId="37710CB0" w:rsidR="004509B1" w:rsidRPr="004509B1" w:rsidRDefault="00294095" w:rsidP="004509B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7F0C54">
              <w:rPr>
                <w:rFonts w:asciiTheme="minorHAnsi" w:hAnsiTheme="minorHAnsi" w:cstheme="minorHAnsi"/>
              </w:rPr>
              <w:t>n/a</w:t>
            </w:r>
          </w:p>
        </w:tc>
        <w:tc>
          <w:tcPr>
            <w:cnfStyle w:val="000010000000" w:firstRow="0" w:lastRow="0" w:firstColumn="0" w:lastColumn="0" w:oddVBand="1" w:evenVBand="0" w:oddHBand="0" w:evenHBand="0" w:firstRowFirstColumn="0" w:firstRowLastColumn="0" w:lastRowFirstColumn="0" w:lastRowLastColumn="0"/>
            <w:tcW w:w="808" w:type="dxa"/>
            <w:vAlign w:val="center"/>
          </w:tcPr>
          <w:p w14:paraId="3C5C3A7F" w14:textId="3DF47427" w:rsidR="004509B1" w:rsidRPr="004509B1" w:rsidRDefault="00294095" w:rsidP="004509B1">
            <w:pPr>
              <w:spacing w:after="0"/>
              <w:jc w:val="center"/>
              <w:rPr>
                <w:rFonts w:asciiTheme="minorHAnsi" w:hAnsiTheme="minorHAnsi" w:cstheme="minorHAnsi"/>
                <w:highlight w:val="yellow"/>
              </w:rPr>
            </w:pPr>
            <w:r w:rsidRPr="007F0C54">
              <w:rPr>
                <w:rFonts w:asciiTheme="minorHAnsi" w:hAnsiTheme="minorHAnsi" w:cstheme="minorHAnsi"/>
              </w:rPr>
              <w:t>n/a</w:t>
            </w:r>
          </w:p>
        </w:tc>
        <w:tc>
          <w:tcPr>
            <w:tcW w:w="1072" w:type="dxa"/>
            <w:shd w:val="clear" w:color="auto" w:fill="CEE9FB" w:themeFill="accent5" w:themeFillTint="33"/>
            <w:vAlign w:val="center"/>
          </w:tcPr>
          <w:p w14:paraId="1992DBA9" w14:textId="6AF69071" w:rsidR="004509B1" w:rsidRPr="00A77655" w:rsidRDefault="00732E54" w:rsidP="004509B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highlight w:val="yellow"/>
              </w:rPr>
            </w:pPr>
            <w:r w:rsidRPr="00A77655">
              <w:rPr>
                <w:rFonts w:asciiTheme="minorHAnsi" w:hAnsiTheme="minorHAnsi" w:cstheme="minorHAnsi"/>
                <w:b/>
              </w:rPr>
              <w:t>n/a</w:t>
            </w:r>
          </w:p>
        </w:tc>
        <w:tc>
          <w:tcPr>
            <w:cnfStyle w:val="000010000000" w:firstRow="0" w:lastRow="0" w:firstColumn="0" w:lastColumn="0" w:oddVBand="1" w:evenVBand="0" w:oddHBand="0" w:evenHBand="0" w:firstRowFirstColumn="0" w:firstRowLastColumn="0" w:lastRowFirstColumn="0" w:lastRowLastColumn="0"/>
            <w:tcW w:w="809" w:type="dxa"/>
            <w:vAlign w:val="center"/>
          </w:tcPr>
          <w:p w14:paraId="1F1542DA" w14:textId="29D55ABE" w:rsidR="004509B1" w:rsidRPr="004509B1" w:rsidRDefault="00A77655" w:rsidP="004509B1">
            <w:pPr>
              <w:spacing w:after="0"/>
              <w:jc w:val="center"/>
              <w:rPr>
                <w:rFonts w:asciiTheme="minorHAnsi" w:hAnsiTheme="minorHAnsi" w:cstheme="minorHAnsi"/>
                <w:i/>
                <w:highlight w:val="yellow"/>
              </w:rPr>
            </w:pPr>
            <w:r w:rsidRPr="009A5CF4">
              <w:rPr>
                <w:rFonts w:cs="Arial"/>
                <w:i/>
              </w:rPr>
              <w:t>n/a</w:t>
            </w:r>
          </w:p>
        </w:tc>
        <w:tc>
          <w:tcPr>
            <w:tcW w:w="1165" w:type="dxa"/>
            <w:vAlign w:val="center"/>
          </w:tcPr>
          <w:p w14:paraId="0D1C908D" w14:textId="0636E403" w:rsidR="004509B1" w:rsidRPr="007F0C54" w:rsidRDefault="00732E54" w:rsidP="004509B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7F0C54">
              <w:rPr>
                <w:rFonts w:asciiTheme="minorHAnsi" w:hAnsiTheme="minorHAnsi" w:cstheme="minorHAnsi"/>
              </w:rPr>
              <w:t>n/a</w:t>
            </w:r>
          </w:p>
        </w:tc>
      </w:tr>
      <w:tr w:rsidR="00B600BA" w:rsidRPr="00842605" w14:paraId="37A25995" w14:textId="0F4A03DB" w:rsidTr="00A304E3">
        <w:trPr>
          <w:trHeight w:val="397"/>
        </w:trPr>
        <w:tc>
          <w:tcPr>
            <w:cnfStyle w:val="001000000000" w:firstRow="0" w:lastRow="0" w:firstColumn="1" w:lastColumn="0" w:oddVBand="0" w:evenVBand="0" w:oddHBand="0" w:evenHBand="0" w:firstRowFirstColumn="0" w:firstRowLastColumn="0" w:lastRowFirstColumn="0" w:lastRowLastColumn="0"/>
            <w:tcW w:w="6547" w:type="dxa"/>
          </w:tcPr>
          <w:p w14:paraId="6DF7CC7E" w14:textId="2F520B3F" w:rsidR="004509B1" w:rsidRPr="00D90245" w:rsidRDefault="004509B1" w:rsidP="0025479A">
            <w:pPr>
              <w:pStyle w:val="ListParagraph"/>
              <w:numPr>
                <w:ilvl w:val="0"/>
                <w:numId w:val="11"/>
              </w:numPr>
              <w:spacing w:before="40" w:after="40" w:line="240" w:lineRule="auto"/>
              <w:ind w:left="357" w:hanging="357"/>
              <w:rPr>
                <w:rFonts w:cs="Arial"/>
                <w:b w:val="0"/>
              </w:rPr>
            </w:pPr>
            <w:r w:rsidRPr="00D90245">
              <w:rPr>
                <w:rFonts w:cs="Arial"/>
                <w:b w:val="0"/>
              </w:rPr>
              <w:t>Efficiency of labour market matching</w:t>
            </w:r>
            <w:r w:rsidR="006B0A57">
              <w:rPr>
                <w:rFonts w:cs="Arial"/>
                <w:b w:val="0"/>
              </w:rPr>
              <w:t xml:space="preserve"> (%)</w:t>
            </w:r>
          </w:p>
        </w:tc>
        <w:tc>
          <w:tcPr>
            <w:cnfStyle w:val="000010000000" w:firstRow="0" w:lastRow="0" w:firstColumn="0" w:lastColumn="0" w:oddVBand="1" w:evenVBand="0" w:oddHBand="0" w:evenHBand="0" w:firstRowFirstColumn="0" w:firstRowLastColumn="0" w:lastRowFirstColumn="0" w:lastRowLastColumn="0"/>
            <w:tcW w:w="683" w:type="dxa"/>
            <w:vAlign w:val="center"/>
          </w:tcPr>
          <w:p w14:paraId="566CEFE3" w14:textId="59714CA2" w:rsidR="004509B1" w:rsidRPr="002F1CD2" w:rsidRDefault="007C2F80" w:rsidP="004509B1">
            <w:pPr>
              <w:spacing w:after="0"/>
              <w:jc w:val="center"/>
              <w:rPr>
                <w:rFonts w:cs="Arial"/>
              </w:rPr>
            </w:pPr>
            <w:r>
              <w:rPr>
                <w:rFonts w:cs="Arial"/>
              </w:rPr>
              <w:t>84.1</w:t>
            </w:r>
          </w:p>
        </w:tc>
        <w:tc>
          <w:tcPr>
            <w:tcW w:w="843" w:type="dxa"/>
            <w:vAlign w:val="center"/>
          </w:tcPr>
          <w:p w14:paraId="2C3BC9E2" w14:textId="5585E86A" w:rsidR="004509B1" w:rsidRPr="002F1CD2" w:rsidRDefault="007C2F80" w:rsidP="00A304E3">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83.4</w:t>
            </w:r>
          </w:p>
        </w:tc>
        <w:tc>
          <w:tcPr>
            <w:cnfStyle w:val="000010000000" w:firstRow="0" w:lastRow="0" w:firstColumn="0" w:lastColumn="0" w:oddVBand="1" w:evenVBand="0" w:oddHBand="0" w:evenHBand="0" w:firstRowFirstColumn="0" w:firstRowLastColumn="0" w:lastRowFirstColumn="0" w:lastRowLastColumn="0"/>
            <w:tcW w:w="811" w:type="dxa"/>
            <w:vAlign w:val="center"/>
          </w:tcPr>
          <w:p w14:paraId="0CBCA498" w14:textId="4550E31F" w:rsidR="004509B1" w:rsidRPr="002F1CD2" w:rsidRDefault="006D038A" w:rsidP="004509B1">
            <w:pPr>
              <w:spacing w:after="0"/>
              <w:jc w:val="center"/>
              <w:rPr>
                <w:rFonts w:cs="Arial"/>
              </w:rPr>
            </w:pPr>
            <w:r>
              <w:rPr>
                <w:rFonts w:cs="Arial"/>
              </w:rPr>
              <w:t>84.1</w:t>
            </w:r>
          </w:p>
        </w:tc>
        <w:tc>
          <w:tcPr>
            <w:tcW w:w="811" w:type="dxa"/>
            <w:vAlign w:val="center"/>
          </w:tcPr>
          <w:p w14:paraId="3C030541" w14:textId="5E8C7CBF" w:rsidR="004509B1" w:rsidRPr="002F1CD2" w:rsidRDefault="00484F8E" w:rsidP="004509B1">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69.8</w:t>
            </w:r>
          </w:p>
        </w:tc>
        <w:tc>
          <w:tcPr>
            <w:cnfStyle w:val="000010000000" w:firstRow="0" w:lastRow="0" w:firstColumn="0" w:lastColumn="0" w:oddVBand="1" w:evenVBand="0" w:oddHBand="0" w:evenHBand="0" w:firstRowFirstColumn="0" w:firstRowLastColumn="0" w:lastRowFirstColumn="0" w:lastRowLastColumn="0"/>
            <w:tcW w:w="811" w:type="dxa"/>
            <w:vAlign w:val="center"/>
          </w:tcPr>
          <w:p w14:paraId="5AED64A1" w14:textId="5ADA72D9" w:rsidR="004509B1" w:rsidRPr="002F1CD2" w:rsidRDefault="00484F8E" w:rsidP="004509B1">
            <w:pPr>
              <w:spacing w:after="0"/>
              <w:jc w:val="center"/>
              <w:rPr>
                <w:rFonts w:cs="Arial"/>
              </w:rPr>
            </w:pPr>
            <w:r>
              <w:rPr>
                <w:rFonts w:cs="Arial"/>
              </w:rPr>
              <w:t>63.5</w:t>
            </w:r>
          </w:p>
        </w:tc>
        <w:tc>
          <w:tcPr>
            <w:tcW w:w="808" w:type="dxa"/>
            <w:vAlign w:val="center"/>
          </w:tcPr>
          <w:p w14:paraId="603A6268" w14:textId="49DBCA86" w:rsidR="004509B1" w:rsidRPr="002F1CD2" w:rsidRDefault="00484F8E" w:rsidP="004509B1">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78.0</w:t>
            </w:r>
          </w:p>
        </w:tc>
        <w:tc>
          <w:tcPr>
            <w:cnfStyle w:val="000010000000" w:firstRow="0" w:lastRow="0" w:firstColumn="0" w:lastColumn="0" w:oddVBand="1" w:evenVBand="0" w:oddHBand="0" w:evenHBand="0" w:firstRowFirstColumn="0" w:firstRowLastColumn="0" w:lastRowFirstColumn="0" w:lastRowLastColumn="0"/>
            <w:tcW w:w="808" w:type="dxa"/>
            <w:vAlign w:val="center"/>
          </w:tcPr>
          <w:p w14:paraId="3ADE1B87" w14:textId="3DA71E97" w:rsidR="004509B1" w:rsidRPr="002F1CD2" w:rsidRDefault="009A2380" w:rsidP="004509B1">
            <w:pPr>
              <w:spacing w:after="0"/>
              <w:jc w:val="center"/>
              <w:rPr>
                <w:rFonts w:cs="Arial"/>
              </w:rPr>
            </w:pPr>
            <w:r>
              <w:rPr>
                <w:rFonts w:cs="Arial"/>
              </w:rPr>
              <w:t>80.4</w:t>
            </w:r>
          </w:p>
        </w:tc>
        <w:tc>
          <w:tcPr>
            <w:tcW w:w="1072" w:type="dxa"/>
            <w:shd w:val="clear" w:color="auto" w:fill="CEE9FB" w:themeFill="accent5" w:themeFillTint="33"/>
            <w:vAlign w:val="center"/>
          </w:tcPr>
          <w:p w14:paraId="7BFC574B" w14:textId="031174B0" w:rsidR="004509B1" w:rsidRPr="002F1CD2" w:rsidRDefault="00694CDC" w:rsidP="004509B1">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asciiTheme="minorHAnsi" w:hAnsiTheme="minorHAnsi" w:cstheme="minorHAnsi"/>
                <w:b/>
                <w:bCs/>
              </w:rPr>
              <w:t>80.7</w:t>
            </w:r>
          </w:p>
        </w:tc>
        <w:tc>
          <w:tcPr>
            <w:cnfStyle w:val="000010000000" w:firstRow="0" w:lastRow="0" w:firstColumn="0" w:lastColumn="0" w:oddVBand="1" w:evenVBand="0" w:oddHBand="0" w:evenHBand="0" w:firstRowFirstColumn="0" w:firstRowLastColumn="0" w:lastRowFirstColumn="0" w:lastRowLastColumn="0"/>
            <w:tcW w:w="809" w:type="dxa"/>
            <w:vAlign w:val="center"/>
          </w:tcPr>
          <w:p w14:paraId="15881E4D" w14:textId="6ADBFFD1" w:rsidR="004509B1" w:rsidRPr="002F1CD2" w:rsidRDefault="009A2380" w:rsidP="004509B1">
            <w:pPr>
              <w:spacing w:after="0"/>
              <w:jc w:val="center"/>
              <w:rPr>
                <w:rFonts w:cs="Arial"/>
                <w:i/>
              </w:rPr>
            </w:pPr>
            <w:r>
              <w:rPr>
                <w:rFonts w:cs="Arial"/>
                <w:i/>
              </w:rPr>
              <w:t>89.0</w:t>
            </w:r>
          </w:p>
        </w:tc>
        <w:tc>
          <w:tcPr>
            <w:tcW w:w="1165" w:type="dxa"/>
            <w:vAlign w:val="center"/>
          </w:tcPr>
          <w:p w14:paraId="4F506442" w14:textId="1096A521" w:rsidR="004509B1" w:rsidRPr="002F1CD2" w:rsidRDefault="00694CDC" w:rsidP="004509B1">
            <w:pPr>
              <w:spacing w:after="0"/>
              <w:jc w:val="center"/>
              <w:cnfStyle w:val="000000000000" w:firstRow="0" w:lastRow="0" w:firstColumn="0" w:lastColumn="0" w:oddVBand="0" w:evenVBand="0" w:oddHBand="0" w:evenHBand="0" w:firstRowFirstColumn="0" w:firstRowLastColumn="0" w:lastRowFirstColumn="0" w:lastRowLastColumn="0"/>
              <w:rPr>
                <w:rFonts w:cs="Arial"/>
                <w:b/>
              </w:rPr>
            </w:pPr>
            <w:r>
              <w:rPr>
                <w:rFonts w:asciiTheme="minorHAnsi" w:hAnsiTheme="minorHAnsi" w:cstheme="minorHAnsi"/>
                <w:b/>
                <w:bCs/>
              </w:rPr>
              <w:t>83.0</w:t>
            </w:r>
          </w:p>
        </w:tc>
      </w:tr>
    </w:tbl>
    <w:p w14:paraId="68928E9E" w14:textId="77777777" w:rsidR="00E22FAE" w:rsidRDefault="00E22FAE" w:rsidP="0045196E">
      <w:pPr>
        <w:spacing w:after="160" w:line="278" w:lineRule="auto"/>
        <w:rPr>
          <w:sz w:val="28"/>
          <w:szCs w:val="26"/>
        </w:rPr>
        <w:sectPr w:rsidR="00E22FAE" w:rsidSect="00463D09">
          <w:footnotePr>
            <w:pos w:val="beneathText"/>
          </w:footnotePr>
          <w:pgSz w:w="16839" w:h="11907" w:orient="landscape" w:code="9"/>
          <w:pgMar w:top="1134" w:right="1270" w:bottom="1276" w:left="1270" w:header="0" w:footer="539" w:gutter="0"/>
          <w:pgBorders w:offsetFrom="page">
            <w:top w:val="single" w:sz="4" w:space="24" w:color="A6A6A6" w:themeColor="background1" w:themeShade="A6"/>
            <w:left w:val="single" w:sz="4" w:space="24" w:color="A6A6A6" w:themeColor="background1" w:themeShade="A6"/>
            <w:bottom w:val="single" w:sz="4" w:space="24" w:color="A6A6A6" w:themeColor="background1" w:themeShade="A6"/>
            <w:right w:val="single" w:sz="4" w:space="24" w:color="A6A6A6" w:themeColor="background1" w:themeShade="A6"/>
          </w:pgBorders>
          <w:cols w:space="720"/>
          <w:docGrid w:linePitch="360"/>
        </w:sectPr>
      </w:pPr>
    </w:p>
    <w:p w14:paraId="6FBBF92E" w14:textId="77777777" w:rsidR="0045196E" w:rsidRPr="00744D96" w:rsidRDefault="0045196E" w:rsidP="00A27EC5">
      <w:pPr>
        <w:pStyle w:val="Heading2"/>
      </w:pPr>
      <w:bookmarkStart w:id="201" w:name="_Toc200637157"/>
      <w:bookmarkStart w:id="202" w:name="_Toc201070199"/>
      <w:bookmarkStart w:id="203" w:name="_Toc201919862"/>
      <w:bookmarkStart w:id="204" w:name="_Toc202361890"/>
      <w:r>
        <w:lastRenderedPageBreak/>
        <w:t xml:space="preserve">Regional </w:t>
      </w:r>
      <w:r w:rsidRPr="00744D96">
        <w:t>New South Wales</w:t>
      </w:r>
      <w:bookmarkEnd w:id="201"/>
      <w:bookmarkEnd w:id="202"/>
      <w:bookmarkEnd w:id="203"/>
      <w:bookmarkEnd w:id="204"/>
    </w:p>
    <w:p w14:paraId="19535725" w14:textId="2B0665E9" w:rsidR="0045196E" w:rsidRDefault="009D232C" w:rsidP="009D232C">
      <w:pPr>
        <w:pStyle w:val="Caption"/>
        <w:rPr>
          <w:b w:val="0"/>
          <w:bCs w:val="0"/>
        </w:rPr>
      </w:pPr>
      <w:r>
        <w:t xml:space="preserve">Table </w:t>
      </w:r>
      <w:r>
        <w:fldChar w:fldCharType="begin"/>
      </w:r>
      <w:r>
        <w:instrText xml:space="preserve"> SEQ Table \* ARABIC </w:instrText>
      </w:r>
      <w:r>
        <w:fldChar w:fldCharType="separate"/>
      </w:r>
      <w:r w:rsidR="00471863">
        <w:rPr>
          <w:noProof/>
        </w:rPr>
        <w:t>33</w:t>
      </w:r>
      <w:r>
        <w:fldChar w:fldCharType="end"/>
      </w:r>
      <w:r w:rsidR="0045196E" w:rsidRPr="0048438C">
        <w:rPr>
          <w:b w:val="0"/>
          <w:bCs w:val="0"/>
        </w:rPr>
        <w:t>:</w:t>
      </w:r>
      <w:r w:rsidR="00820B93">
        <w:rPr>
          <w:b w:val="0"/>
          <w:bCs w:val="0"/>
        </w:rPr>
        <w:t xml:space="preserve"> </w:t>
      </w:r>
      <w:r w:rsidR="00820B93" w:rsidRPr="00820B93">
        <w:t>Roadmap indicators for Regional New South Wales</w:t>
      </w:r>
      <w:r w:rsidR="00194A47">
        <w:t xml:space="preserve">, </w:t>
      </w:r>
      <w:r w:rsidR="00820B93" w:rsidRPr="00820B93">
        <w:t>Sydney</w:t>
      </w:r>
      <w:r w:rsidR="00194A47">
        <w:t xml:space="preserve"> and Regional Australia</w:t>
      </w:r>
    </w:p>
    <w:tbl>
      <w:tblPr>
        <w:tblStyle w:val="PlainTable4"/>
        <w:tblW w:w="9367" w:type="dxa"/>
        <w:tblLook w:val="04A0" w:firstRow="1" w:lastRow="0" w:firstColumn="1" w:lastColumn="0" w:noHBand="0" w:noVBand="1"/>
      </w:tblPr>
      <w:tblGrid>
        <w:gridCol w:w="5727"/>
        <w:gridCol w:w="1230"/>
        <w:gridCol w:w="1166"/>
        <w:gridCol w:w="1244"/>
      </w:tblGrid>
      <w:tr w:rsidR="003C5430" w:rsidRPr="00653483" w14:paraId="32B32DC5" w14:textId="77777777">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5727" w:type="dxa"/>
            <w:shd w:val="clear" w:color="auto" w:fill="370663"/>
            <w:vAlign w:val="center"/>
          </w:tcPr>
          <w:p w14:paraId="7F450833" w14:textId="77777777" w:rsidR="003C5430" w:rsidRPr="00DF1C3B" w:rsidRDefault="003C5430">
            <w:pPr>
              <w:spacing w:before="120" w:after="120"/>
              <w:rPr>
                <w:rFonts w:cs="Arial"/>
                <w:color w:val="FFFFFF" w:themeColor="background1"/>
                <w:sz w:val="24"/>
                <w:szCs w:val="24"/>
              </w:rPr>
            </w:pPr>
          </w:p>
        </w:tc>
        <w:tc>
          <w:tcPr>
            <w:tcW w:w="1230" w:type="dxa"/>
            <w:shd w:val="clear" w:color="auto" w:fill="370663"/>
            <w:vAlign w:val="center"/>
          </w:tcPr>
          <w:p w14:paraId="165892E0" w14:textId="77777777" w:rsidR="003C5430" w:rsidRPr="00DF1C3B" w:rsidRDefault="003C5430">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sidRPr="00DF1C3B">
              <w:rPr>
                <w:rFonts w:cs="Arial"/>
                <w:color w:val="FFFFFF" w:themeColor="background1"/>
                <w:sz w:val="24"/>
                <w:szCs w:val="24"/>
              </w:rPr>
              <w:t>Regional NSW</w:t>
            </w:r>
          </w:p>
        </w:tc>
        <w:tc>
          <w:tcPr>
            <w:tcW w:w="1166" w:type="dxa"/>
            <w:shd w:val="clear" w:color="auto" w:fill="370663"/>
            <w:vAlign w:val="center"/>
          </w:tcPr>
          <w:p w14:paraId="5F076913" w14:textId="77777777" w:rsidR="003C5430" w:rsidRPr="00DF1C3B" w:rsidRDefault="003C5430">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sidRPr="00DF1C3B">
              <w:rPr>
                <w:rFonts w:cs="Arial"/>
                <w:color w:val="FFFFFF" w:themeColor="background1"/>
                <w:sz w:val="24"/>
                <w:szCs w:val="24"/>
              </w:rPr>
              <w:t>Sydney</w:t>
            </w:r>
          </w:p>
        </w:tc>
        <w:tc>
          <w:tcPr>
            <w:tcW w:w="1244" w:type="dxa"/>
            <w:shd w:val="clear" w:color="auto" w:fill="370663"/>
          </w:tcPr>
          <w:p w14:paraId="3A56E59B" w14:textId="77777777" w:rsidR="003C5430" w:rsidRPr="00DF1C3B" w:rsidRDefault="003C5430">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sidRPr="00DF1C3B">
              <w:rPr>
                <w:rFonts w:cs="Arial"/>
                <w:color w:val="FFFFFF" w:themeColor="background1"/>
                <w:sz w:val="24"/>
                <w:szCs w:val="24"/>
              </w:rPr>
              <w:t>Regional Australia</w:t>
            </w:r>
          </w:p>
        </w:tc>
      </w:tr>
      <w:tr w:rsidR="00A13456" w:rsidRPr="000A4F04" w14:paraId="5D4D5660" w14:textId="77777777" w:rsidTr="00B042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727" w:type="dxa"/>
            <w:shd w:val="clear" w:color="auto" w:fill="FFFFFF" w:themeFill="background1"/>
            <w:vAlign w:val="center"/>
          </w:tcPr>
          <w:p w14:paraId="1EEFBCD4" w14:textId="77777777" w:rsidR="003C5430" w:rsidRPr="000A4F04" w:rsidRDefault="003C5430">
            <w:pPr>
              <w:spacing w:after="0"/>
              <w:rPr>
                <w:rFonts w:cs="Arial"/>
                <w:sz w:val="28"/>
                <w:szCs w:val="28"/>
              </w:rPr>
            </w:pPr>
            <w:r w:rsidRPr="000A4F04">
              <w:rPr>
                <w:rFonts w:cs="Arial"/>
                <w:color w:val="000000" w:themeColor="text1"/>
                <w:sz w:val="28"/>
                <w:szCs w:val="28"/>
              </w:rPr>
              <w:t>Vision Principle 1</w:t>
            </w:r>
          </w:p>
        </w:tc>
        <w:tc>
          <w:tcPr>
            <w:tcW w:w="1230" w:type="dxa"/>
            <w:shd w:val="clear" w:color="auto" w:fill="FFFFFF" w:themeFill="background1"/>
            <w:vAlign w:val="center"/>
          </w:tcPr>
          <w:p w14:paraId="6E2BD7D2" w14:textId="77777777" w:rsidR="003C5430" w:rsidRPr="000A4F04" w:rsidRDefault="003C5430">
            <w:pPr>
              <w:spacing w:after="0"/>
              <w:jc w:val="center"/>
              <w:cnfStyle w:val="000000100000" w:firstRow="0" w:lastRow="0" w:firstColumn="0" w:lastColumn="0" w:oddVBand="0" w:evenVBand="0" w:oddHBand="1" w:evenHBand="0" w:firstRowFirstColumn="0" w:firstRowLastColumn="0" w:lastRowFirstColumn="0" w:lastRowLastColumn="0"/>
              <w:rPr>
                <w:rFonts w:cs="Arial"/>
                <w:sz w:val="28"/>
                <w:szCs w:val="28"/>
              </w:rPr>
            </w:pPr>
          </w:p>
        </w:tc>
        <w:tc>
          <w:tcPr>
            <w:tcW w:w="1166" w:type="dxa"/>
            <w:shd w:val="clear" w:color="auto" w:fill="FFFFFF" w:themeFill="background1"/>
            <w:vAlign w:val="center"/>
          </w:tcPr>
          <w:p w14:paraId="23038615" w14:textId="77777777" w:rsidR="003C5430" w:rsidRPr="000A4F04" w:rsidRDefault="003C5430">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8"/>
                <w:szCs w:val="28"/>
              </w:rPr>
            </w:pPr>
          </w:p>
        </w:tc>
        <w:tc>
          <w:tcPr>
            <w:tcW w:w="1244" w:type="dxa"/>
            <w:shd w:val="clear" w:color="auto" w:fill="FFFFFF" w:themeFill="background1"/>
            <w:vAlign w:val="center"/>
          </w:tcPr>
          <w:p w14:paraId="593B9198" w14:textId="77777777" w:rsidR="003C5430" w:rsidRPr="000A4F04" w:rsidRDefault="003C5430">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8"/>
                <w:szCs w:val="28"/>
              </w:rPr>
            </w:pPr>
          </w:p>
        </w:tc>
      </w:tr>
      <w:tr w:rsidR="003C5430" w:rsidRPr="00653483" w14:paraId="44C95680" w14:textId="77777777" w:rsidTr="00D3045B">
        <w:trPr>
          <w:trHeight w:val="454"/>
        </w:trPr>
        <w:tc>
          <w:tcPr>
            <w:cnfStyle w:val="001000000000" w:firstRow="0" w:lastRow="0" w:firstColumn="1" w:lastColumn="0" w:oddVBand="0" w:evenVBand="0" w:oddHBand="0" w:evenHBand="0" w:firstRowFirstColumn="0" w:firstRowLastColumn="0" w:lastRowFirstColumn="0" w:lastRowLastColumn="0"/>
            <w:tcW w:w="5727" w:type="dxa"/>
            <w:shd w:val="clear" w:color="auto" w:fill="F2F2F2" w:themeFill="background1" w:themeFillShade="F2"/>
            <w:vAlign w:val="center"/>
          </w:tcPr>
          <w:p w14:paraId="7AF778C3" w14:textId="77777777" w:rsidR="003C5430" w:rsidRPr="000B631D" w:rsidRDefault="003C5430" w:rsidP="0025479A">
            <w:pPr>
              <w:pStyle w:val="ListParagraph"/>
              <w:numPr>
                <w:ilvl w:val="0"/>
                <w:numId w:val="12"/>
              </w:numPr>
              <w:spacing w:after="0" w:line="240" w:lineRule="auto"/>
              <w:ind w:left="314" w:hanging="284"/>
              <w:rPr>
                <w:rFonts w:cs="Arial"/>
                <w:b w:val="0"/>
                <w:bCs w:val="0"/>
              </w:rPr>
            </w:pPr>
            <w:r w:rsidRPr="000B631D">
              <w:rPr>
                <w:rFonts w:cs="Arial"/>
                <w:b w:val="0"/>
                <w:bCs w:val="0"/>
              </w:rPr>
              <w:t xml:space="preserve">School </w:t>
            </w:r>
            <w:r>
              <w:rPr>
                <w:rFonts w:cs="Arial"/>
                <w:b w:val="0"/>
                <w:bCs w:val="0"/>
              </w:rPr>
              <w:t>non-</w:t>
            </w:r>
            <w:r w:rsidRPr="000B631D">
              <w:rPr>
                <w:rFonts w:cs="Arial"/>
                <w:b w:val="0"/>
                <w:bCs w:val="0"/>
              </w:rPr>
              <w:t>attendance rate (%)</w:t>
            </w:r>
          </w:p>
        </w:tc>
        <w:tc>
          <w:tcPr>
            <w:tcW w:w="1230" w:type="dxa"/>
            <w:shd w:val="clear" w:color="auto" w:fill="F2F2F2" w:themeFill="background1" w:themeFillShade="F2"/>
            <w:vAlign w:val="center"/>
          </w:tcPr>
          <w:p w14:paraId="02E0D385" w14:textId="01D2DA91" w:rsidR="003C5430" w:rsidRPr="003705EA" w:rsidRDefault="003C5430">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3705EA">
              <w:rPr>
                <w:rFonts w:cs="Arial"/>
                <w:b/>
                <w:bCs/>
              </w:rPr>
              <w:t>14.</w:t>
            </w:r>
            <w:r w:rsidR="00886822">
              <w:rPr>
                <w:rFonts w:cs="Arial"/>
                <w:b/>
                <w:bCs/>
              </w:rPr>
              <w:t>0</w:t>
            </w:r>
          </w:p>
        </w:tc>
        <w:tc>
          <w:tcPr>
            <w:tcW w:w="1166" w:type="dxa"/>
            <w:shd w:val="clear" w:color="auto" w:fill="F2F2F2" w:themeFill="background1" w:themeFillShade="F2"/>
            <w:vAlign w:val="center"/>
          </w:tcPr>
          <w:p w14:paraId="061F4067" w14:textId="77777777" w:rsidR="003C5430" w:rsidRPr="003705EA" w:rsidRDefault="003C5430">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sidRPr="003705EA">
              <w:rPr>
                <w:rFonts w:cs="Arial"/>
              </w:rPr>
              <w:t>9.9</w:t>
            </w:r>
          </w:p>
        </w:tc>
        <w:tc>
          <w:tcPr>
            <w:tcW w:w="1244" w:type="dxa"/>
            <w:shd w:val="clear" w:color="auto" w:fill="F2F2F2" w:themeFill="background1" w:themeFillShade="F2"/>
            <w:vAlign w:val="center"/>
          </w:tcPr>
          <w:p w14:paraId="77F673E7" w14:textId="16CFB904" w:rsidR="003C5430" w:rsidRPr="003705EA" w:rsidRDefault="00E70643">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14.6</w:t>
            </w:r>
          </w:p>
        </w:tc>
      </w:tr>
      <w:tr w:rsidR="00A13456" w:rsidRPr="00653483" w14:paraId="27F6F590" w14:textId="77777777" w:rsidTr="00B042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727" w:type="dxa"/>
            <w:shd w:val="clear" w:color="auto" w:fill="FFFFFF" w:themeFill="background1"/>
            <w:vAlign w:val="center"/>
          </w:tcPr>
          <w:p w14:paraId="7B084549" w14:textId="77777777" w:rsidR="003C5430" w:rsidRPr="000B631D" w:rsidRDefault="003C5430" w:rsidP="0025479A">
            <w:pPr>
              <w:pStyle w:val="ListParagraph"/>
              <w:numPr>
                <w:ilvl w:val="0"/>
                <w:numId w:val="12"/>
              </w:numPr>
              <w:spacing w:after="0" w:line="240" w:lineRule="auto"/>
              <w:ind w:left="314" w:hanging="284"/>
              <w:rPr>
                <w:rFonts w:cs="Arial"/>
                <w:b w:val="0"/>
                <w:bCs w:val="0"/>
              </w:rPr>
            </w:pPr>
            <w:r w:rsidRPr="000B631D">
              <w:rPr>
                <w:rFonts w:cs="Arial"/>
                <w:b w:val="0"/>
                <w:bCs w:val="0"/>
              </w:rPr>
              <w:t>Youth not in education, employment</w:t>
            </w:r>
            <w:r>
              <w:rPr>
                <w:rFonts w:cs="Arial"/>
                <w:b w:val="0"/>
                <w:bCs w:val="0"/>
              </w:rPr>
              <w:t xml:space="preserve">, </w:t>
            </w:r>
            <w:r w:rsidRPr="000B631D">
              <w:rPr>
                <w:rFonts w:cs="Arial"/>
                <w:b w:val="0"/>
                <w:bCs w:val="0"/>
              </w:rPr>
              <w:t>training (%)</w:t>
            </w:r>
          </w:p>
        </w:tc>
        <w:tc>
          <w:tcPr>
            <w:tcW w:w="1230" w:type="dxa"/>
            <w:shd w:val="clear" w:color="auto" w:fill="FFFFFF" w:themeFill="background1"/>
            <w:vAlign w:val="center"/>
          </w:tcPr>
          <w:p w14:paraId="07570B17" w14:textId="0024842A" w:rsidR="003C5430" w:rsidRPr="003705EA" w:rsidRDefault="003C5430">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3705EA">
              <w:rPr>
                <w:rFonts w:cs="Arial"/>
                <w:b/>
                <w:bCs/>
              </w:rPr>
              <w:t>13.</w:t>
            </w:r>
            <w:r w:rsidR="00864F02">
              <w:rPr>
                <w:rFonts w:cs="Arial"/>
                <w:b/>
                <w:bCs/>
              </w:rPr>
              <w:t>8</w:t>
            </w:r>
          </w:p>
        </w:tc>
        <w:tc>
          <w:tcPr>
            <w:tcW w:w="1166" w:type="dxa"/>
            <w:shd w:val="clear" w:color="auto" w:fill="FFFFFF" w:themeFill="background1"/>
            <w:vAlign w:val="center"/>
          </w:tcPr>
          <w:p w14:paraId="315137B7" w14:textId="77777777" w:rsidR="003C5430" w:rsidRPr="003705EA" w:rsidRDefault="003C5430">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sidRPr="003705EA">
              <w:rPr>
                <w:rFonts w:cs="Arial"/>
              </w:rPr>
              <w:t>8.3</w:t>
            </w:r>
          </w:p>
        </w:tc>
        <w:tc>
          <w:tcPr>
            <w:tcW w:w="1244" w:type="dxa"/>
            <w:shd w:val="clear" w:color="auto" w:fill="FFFFFF" w:themeFill="background1"/>
            <w:vAlign w:val="center"/>
          </w:tcPr>
          <w:p w14:paraId="13D33077" w14:textId="7F624595" w:rsidR="003C5430" w:rsidRPr="003705EA" w:rsidRDefault="003C5430">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3705EA">
              <w:rPr>
                <w:rFonts w:cs="Arial"/>
                <w:b/>
                <w:bCs/>
              </w:rPr>
              <w:t>15.</w:t>
            </w:r>
            <w:r w:rsidR="00012BD0">
              <w:rPr>
                <w:rFonts w:cs="Arial"/>
                <w:b/>
                <w:bCs/>
              </w:rPr>
              <w:t>3</w:t>
            </w:r>
          </w:p>
        </w:tc>
      </w:tr>
      <w:tr w:rsidR="003C5430" w:rsidRPr="00653483" w14:paraId="5AE42693" w14:textId="77777777" w:rsidTr="00D3045B">
        <w:trPr>
          <w:trHeight w:val="454"/>
        </w:trPr>
        <w:tc>
          <w:tcPr>
            <w:cnfStyle w:val="001000000000" w:firstRow="0" w:lastRow="0" w:firstColumn="1" w:lastColumn="0" w:oddVBand="0" w:evenVBand="0" w:oddHBand="0" w:evenHBand="0" w:firstRowFirstColumn="0" w:firstRowLastColumn="0" w:lastRowFirstColumn="0" w:lastRowLastColumn="0"/>
            <w:tcW w:w="5727" w:type="dxa"/>
            <w:shd w:val="clear" w:color="auto" w:fill="F2F2F2" w:themeFill="background1" w:themeFillShade="F2"/>
            <w:vAlign w:val="center"/>
          </w:tcPr>
          <w:p w14:paraId="48374EDB" w14:textId="77777777" w:rsidR="003C5430" w:rsidRPr="00401F44" w:rsidRDefault="003C5430" w:rsidP="0025479A">
            <w:pPr>
              <w:pStyle w:val="ListParagraph"/>
              <w:numPr>
                <w:ilvl w:val="0"/>
                <w:numId w:val="12"/>
              </w:numPr>
              <w:spacing w:after="0" w:line="240" w:lineRule="auto"/>
              <w:ind w:left="314" w:hanging="284"/>
              <w:rPr>
                <w:rFonts w:cs="Arial"/>
                <w:b w:val="0"/>
                <w:bCs w:val="0"/>
              </w:rPr>
            </w:pPr>
            <w:r w:rsidRPr="00401F44">
              <w:rPr>
                <w:rFonts w:cs="Arial"/>
                <w:b w:val="0"/>
                <w:bCs w:val="0"/>
              </w:rPr>
              <w:t>Prime age participation rate (%)</w:t>
            </w:r>
          </w:p>
        </w:tc>
        <w:tc>
          <w:tcPr>
            <w:tcW w:w="1230" w:type="dxa"/>
            <w:shd w:val="clear" w:color="auto" w:fill="F2F2F2" w:themeFill="background1" w:themeFillShade="F2"/>
            <w:vAlign w:val="center"/>
          </w:tcPr>
          <w:p w14:paraId="0CD91495" w14:textId="1789DD9D" w:rsidR="003C5430" w:rsidRPr="003705EA" w:rsidRDefault="003C5430">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3705EA">
              <w:rPr>
                <w:rFonts w:cs="Arial"/>
                <w:b/>
                <w:bCs/>
              </w:rPr>
              <w:t>85.</w:t>
            </w:r>
            <w:r w:rsidR="003F60F2">
              <w:rPr>
                <w:rFonts w:cs="Arial"/>
                <w:b/>
                <w:bCs/>
              </w:rPr>
              <w:t>0</w:t>
            </w:r>
          </w:p>
        </w:tc>
        <w:tc>
          <w:tcPr>
            <w:tcW w:w="1166" w:type="dxa"/>
            <w:shd w:val="clear" w:color="auto" w:fill="F2F2F2" w:themeFill="background1" w:themeFillShade="F2"/>
            <w:vAlign w:val="center"/>
          </w:tcPr>
          <w:p w14:paraId="7EF7569E" w14:textId="1F8BFCFF" w:rsidR="003C5430" w:rsidRPr="003705EA" w:rsidRDefault="003F60F2">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87.0</w:t>
            </w:r>
          </w:p>
        </w:tc>
        <w:tc>
          <w:tcPr>
            <w:tcW w:w="1244" w:type="dxa"/>
            <w:shd w:val="clear" w:color="auto" w:fill="F2F2F2" w:themeFill="background1" w:themeFillShade="F2"/>
            <w:vAlign w:val="center"/>
          </w:tcPr>
          <w:p w14:paraId="71C2D7F8" w14:textId="77777777" w:rsidR="003C5430" w:rsidRPr="003705EA" w:rsidRDefault="003C5430">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3705EA">
              <w:rPr>
                <w:rFonts w:cs="Arial"/>
                <w:b/>
                <w:bCs/>
              </w:rPr>
              <w:t>85.4</w:t>
            </w:r>
          </w:p>
        </w:tc>
      </w:tr>
      <w:tr w:rsidR="00A13456" w:rsidRPr="00653483" w14:paraId="1E159C18" w14:textId="77777777" w:rsidTr="00B042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727" w:type="dxa"/>
            <w:shd w:val="clear" w:color="auto" w:fill="FFFFFF" w:themeFill="background1"/>
            <w:vAlign w:val="center"/>
          </w:tcPr>
          <w:p w14:paraId="7DA8BB60" w14:textId="77777777" w:rsidR="003C5430" w:rsidRPr="004605A4" w:rsidRDefault="003C5430" w:rsidP="0025479A">
            <w:pPr>
              <w:pStyle w:val="ListParagraph"/>
              <w:numPr>
                <w:ilvl w:val="0"/>
                <w:numId w:val="12"/>
              </w:numPr>
              <w:spacing w:after="0" w:line="240" w:lineRule="auto"/>
              <w:ind w:left="314" w:hanging="284"/>
              <w:rPr>
                <w:rFonts w:cs="Arial"/>
                <w:b w:val="0"/>
                <w:bCs w:val="0"/>
              </w:rPr>
            </w:pPr>
            <w:r w:rsidRPr="004605A4">
              <w:rPr>
                <w:rFonts w:cs="Arial"/>
                <w:b w:val="0"/>
                <w:bCs w:val="0"/>
              </w:rPr>
              <w:t>Unemployment rate (%)</w:t>
            </w:r>
          </w:p>
        </w:tc>
        <w:tc>
          <w:tcPr>
            <w:tcW w:w="1230" w:type="dxa"/>
            <w:shd w:val="clear" w:color="auto" w:fill="FFFFFF" w:themeFill="background1"/>
            <w:vAlign w:val="center"/>
          </w:tcPr>
          <w:p w14:paraId="4D295A3E" w14:textId="501A833D" w:rsidR="003C5430" w:rsidRPr="003705EA" w:rsidRDefault="003C5430">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3705EA">
              <w:rPr>
                <w:rFonts w:cs="Arial"/>
                <w:b/>
                <w:bCs/>
              </w:rPr>
              <w:t>4.</w:t>
            </w:r>
            <w:r w:rsidR="00BE0367">
              <w:rPr>
                <w:rFonts w:cs="Arial"/>
                <w:b/>
                <w:bCs/>
              </w:rPr>
              <w:t>1</w:t>
            </w:r>
          </w:p>
        </w:tc>
        <w:tc>
          <w:tcPr>
            <w:tcW w:w="1166" w:type="dxa"/>
            <w:shd w:val="clear" w:color="auto" w:fill="FFFFFF" w:themeFill="background1"/>
            <w:vAlign w:val="center"/>
          </w:tcPr>
          <w:p w14:paraId="4677ECD7" w14:textId="785CEB63" w:rsidR="003C5430" w:rsidRPr="003705EA" w:rsidRDefault="003C5430">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sidRPr="003705EA">
              <w:rPr>
                <w:rFonts w:cs="Arial"/>
              </w:rPr>
              <w:t>4.</w:t>
            </w:r>
            <w:r w:rsidR="00DD0F09">
              <w:rPr>
                <w:rFonts w:cs="Arial"/>
              </w:rPr>
              <w:t>3</w:t>
            </w:r>
          </w:p>
        </w:tc>
        <w:tc>
          <w:tcPr>
            <w:tcW w:w="1244" w:type="dxa"/>
            <w:shd w:val="clear" w:color="auto" w:fill="FFFFFF" w:themeFill="background1"/>
            <w:vAlign w:val="center"/>
          </w:tcPr>
          <w:p w14:paraId="01C5D8AA" w14:textId="77777777" w:rsidR="003C5430" w:rsidRPr="003705EA" w:rsidRDefault="003C5430">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3705EA">
              <w:rPr>
                <w:rFonts w:cs="Arial"/>
                <w:b/>
                <w:bCs/>
              </w:rPr>
              <w:t>4.0</w:t>
            </w:r>
          </w:p>
        </w:tc>
      </w:tr>
      <w:tr w:rsidR="003C5430" w:rsidRPr="00653483" w14:paraId="1B4E4938" w14:textId="77777777" w:rsidTr="00D3045B">
        <w:trPr>
          <w:trHeight w:val="454"/>
        </w:trPr>
        <w:tc>
          <w:tcPr>
            <w:cnfStyle w:val="001000000000" w:firstRow="0" w:lastRow="0" w:firstColumn="1" w:lastColumn="0" w:oddVBand="0" w:evenVBand="0" w:oddHBand="0" w:evenHBand="0" w:firstRowFirstColumn="0" w:firstRowLastColumn="0" w:lastRowFirstColumn="0" w:lastRowLastColumn="0"/>
            <w:tcW w:w="5727" w:type="dxa"/>
            <w:shd w:val="clear" w:color="auto" w:fill="F2F2F2" w:themeFill="background1" w:themeFillShade="F2"/>
            <w:vAlign w:val="center"/>
          </w:tcPr>
          <w:p w14:paraId="3E121040" w14:textId="77777777" w:rsidR="003C5430" w:rsidRPr="000B631D" w:rsidRDefault="003C5430" w:rsidP="0025479A">
            <w:pPr>
              <w:pStyle w:val="ListParagraph"/>
              <w:numPr>
                <w:ilvl w:val="0"/>
                <w:numId w:val="12"/>
              </w:numPr>
              <w:spacing w:after="0" w:line="240" w:lineRule="auto"/>
              <w:ind w:left="314" w:hanging="284"/>
              <w:rPr>
                <w:rFonts w:cs="Arial"/>
                <w:b w:val="0"/>
                <w:bCs w:val="0"/>
              </w:rPr>
            </w:pPr>
            <w:r w:rsidRPr="000B631D">
              <w:rPr>
                <w:rFonts w:cs="Arial"/>
                <w:b w:val="0"/>
                <w:bCs w:val="0"/>
              </w:rPr>
              <w:t xml:space="preserve">Proportion of population on </w:t>
            </w:r>
            <w:r>
              <w:rPr>
                <w:rFonts w:cs="Arial"/>
                <w:b w:val="0"/>
                <w:bCs w:val="0"/>
              </w:rPr>
              <w:t xml:space="preserve">long-term </w:t>
            </w:r>
            <w:r w:rsidRPr="000B631D">
              <w:rPr>
                <w:rFonts w:cs="Arial"/>
                <w:b w:val="0"/>
                <w:bCs w:val="0"/>
              </w:rPr>
              <w:t>income support (%)</w:t>
            </w:r>
          </w:p>
        </w:tc>
        <w:tc>
          <w:tcPr>
            <w:tcW w:w="1230" w:type="dxa"/>
            <w:shd w:val="clear" w:color="auto" w:fill="F2F2F2" w:themeFill="background1" w:themeFillShade="F2"/>
            <w:vAlign w:val="center"/>
          </w:tcPr>
          <w:p w14:paraId="56063553" w14:textId="77777777" w:rsidR="003C5430" w:rsidRPr="003705EA" w:rsidRDefault="003C5430">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3705EA">
              <w:rPr>
                <w:rFonts w:cs="Arial"/>
                <w:b/>
                <w:bCs/>
              </w:rPr>
              <w:t>2.3</w:t>
            </w:r>
          </w:p>
        </w:tc>
        <w:tc>
          <w:tcPr>
            <w:tcW w:w="1166" w:type="dxa"/>
            <w:shd w:val="clear" w:color="auto" w:fill="F2F2F2" w:themeFill="background1" w:themeFillShade="F2"/>
            <w:vAlign w:val="center"/>
          </w:tcPr>
          <w:p w14:paraId="47389555" w14:textId="77777777" w:rsidR="003C5430" w:rsidRPr="003705EA" w:rsidRDefault="003C5430">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sidRPr="003705EA">
              <w:rPr>
                <w:rFonts w:cs="Arial"/>
              </w:rPr>
              <w:t>1.2</w:t>
            </w:r>
          </w:p>
        </w:tc>
        <w:tc>
          <w:tcPr>
            <w:tcW w:w="1244" w:type="dxa"/>
            <w:shd w:val="clear" w:color="auto" w:fill="F2F2F2" w:themeFill="background1" w:themeFillShade="F2"/>
            <w:vAlign w:val="center"/>
          </w:tcPr>
          <w:p w14:paraId="60C5B219" w14:textId="2CFFA30C" w:rsidR="003C5430" w:rsidRPr="003705EA" w:rsidRDefault="003C5430">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3705EA">
              <w:rPr>
                <w:rFonts w:cs="Arial"/>
                <w:b/>
                <w:bCs/>
              </w:rPr>
              <w:t>2.</w:t>
            </w:r>
            <w:r w:rsidR="00F905A6">
              <w:rPr>
                <w:rFonts w:cs="Arial"/>
                <w:b/>
                <w:bCs/>
              </w:rPr>
              <w:t>4</w:t>
            </w:r>
          </w:p>
        </w:tc>
      </w:tr>
      <w:tr w:rsidR="003C5430" w:rsidRPr="000A4F04" w14:paraId="47EB2DA1" w14:textId="77777777" w:rsidTr="002F093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727" w:type="dxa"/>
            <w:tcBorders>
              <w:top w:val="single" w:sz="4" w:space="0" w:color="auto"/>
            </w:tcBorders>
            <w:shd w:val="clear" w:color="auto" w:fill="370663"/>
          </w:tcPr>
          <w:p w14:paraId="255B9E8B" w14:textId="77777777" w:rsidR="003C5430" w:rsidRPr="000A4F04" w:rsidRDefault="003C5430">
            <w:pPr>
              <w:spacing w:after="0"/>
              <w:rPr>
                <w:rFonts w:cs="Arial"/>
                <w:color w:val="000000" w:themeColor="text1"/>
                <w:sz w:val="12"/>
                <w:szCs w:val="12"/>
              </w:rPr>
            </w:pPr>
          </w:p>
        </w:tc>
        <w:tc>
          <w:tcPr>
            <w:tcW w:w="1230" w:type="dxa"/>
            <w:tcBorders>
              <w:top w:val="single" w:sz="4" w:space="0" w:color="auto"/>
            </w:tcBorders>
            <w:shd w:val="clear" w:color="auto" w:fill="370663"/>
            <w:vAlign w:val="center"/>
          </w:tcPr>
          <w:p w14:paraId="46DE12FC" w14:textId="77777777" w:rsidR="003C5430" w:rsidRPr="003705EA" w:rsidRDefault="003C5430">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p>
        </w:tc>
        <w:tc>
          <w:tcPr>
            <w:tcW w:w="1166" w:type="dxa"/>
            <w:tcBorders>
              <w:top w:val="single" w:sz="4" w:space="0" w:color="auto"/>
            </w:tcBorders>
            <w:shd w:val="clear" w:color="auto" w:fill="370663"/>
            <w:vAlign w:val="center"/>
          </w:tcPr>
          <w:p w14:paraId="508B3B3E" w14:textId="77777777" w:rsidR="003C5430" w:rsidRPr="003705EA" w:rsidRDefault="003C5430">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c>
          <w:tcPr>
            <w:tcW w:w="1244" w:type="dxa"/>
            <w:tcBorders>
              <w:top w:val="single" w:sz="4" w:space="0" w:color="auto"/>
            </w:tcBorders>
            <w:shd w:val="clear" w:color="auto" w:fill="370663"/>
            <w:vAlign w:val="center"/>
          </w:tcPr>
          <w:p w14:paraId="086C905E" w14:textId="77777777" w:rsidR="003C5430" w:rsidRPr="003705EA" w:rsidRDefault="003C5430">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r>
      <w:tr w:rsidR="003C5430" w:rsidRPr="000A4F04" w14:paraId="263BF64D" w14:textId="77777777" w:rsidTr="00D3045B">
        <w:trPr>
          <w:trHeight w:val="454"/>
        </w:trPr>
        <w:tc>
          <w:tcPr>
            <w:cnfStyle w:val="001000000000" w:firstRow="0" w:lastRow="0" w:firstColumn="1" w:lastColumn="0" w:oddVBand="0" w:evenVBand="0" w:oddHBand="0" w:evenHBand="0" w:firstRowFirstColumn="0" w:firstRowLastColumn="0" w:lastRowFirstColumn="0" w:lastRowLastColumn="0"/>
            <w:tcW w:w="5727" w:type="dxa"/>
            <w:vAlign w:val="center"/>
          </w:tcPr>
          <w:p w14:paraId="24425E45" w14:textId="77777777" w:rsidR="003C5430" w:rsidRPr="000A4F04" w:rsidRDefault="003C5430">
            <w:pPr>
              <w:spacing w:after="0"/>
              <w:rPr>
                <w:rFonts w:cs="Arial"/>
                <w:sz w:val="28"/>
                <w:szCs w:val="28"/>
              </w:rPr>
            </w:pPr>
            <w:r w:rsidRPr="000A4F04">
              <w:rPr>
                <w:rFonts w:cs="Arial"/>
                <w:color w:val="000000" w:themeColor="text1"/>
                <w:sz w:val="28"/>
                <w:szCs w:val="28"/>
              </w:rPr>
              <w:t>Vision Principle 2</w:t>
            </w:r>
          </w:p>
        </w:tc>
        <w:tc>
          <w:tcPr>
            <w:tcW w:w="1230" w:type="dxa"/>
            <w:vAlign w:val="center"/>
          </w:tcPr>
          <w:p w14:paraId="21273C4F" w14:textId="77777777" w:rsidR="003C5430" w:rsidRPr="003705EA" w:rsidRDefault="003C5430">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p>
        </w:tc>
        <w:tc>
          <w:tcPr>
            <w:tcW w:w="1166" w:type="dxa"/>
            <w:vAlign w:val="center"/>
          </w:tcPr>
          <w:p w14:paraId="794161DC" w14:textId="77777777" w:rsidR="003C5430" w:rsidRPr="003705EA" w:rsidRDefault="003C5430">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c>
          <w:tcPr>
            <w:tcW w:w="1244" w:type="dxa"/>
            <w:vAlign w:val="center"/>
          </w:tcPr>
          <w:p w14:paraId="5C5439D8" w14:textId="77777777" w:rsidR="003C5430" w:rsidRPr="003705EA" w:rsidRDefault="003C5430">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r>
      <w:tr w:rsidR="00A13456" w:rsidRPr="00653483" w14:paraId="0FBE07EB" w14:textId="77777777" w:rsidTr="00D304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727" w:type="dxa"/>
            <w:vAlign w:val="center"/>
          </w:tcPr>
          <w:p w14:paraId="6564B1DA" w14:textId="57E06F61" w:rsidR="003C5430" w:rsidRPr="000B631D" w:rsidRDefault="00A77655" w:rsidP="0025479A">
            <w:pPr>
              <w:pStyle w:val="ListParagraph"/>
              <w:numPr>
                <w:ilvl w:val="0"/>
                <w:numId w:val="12"/>
              </w:numPr>
              <w:spacing w:after="0" w:line="240" w:lineRule="auto"/>
              <w:ind w:left="314" w:hanging="284"/>
              <w:rPr>
                <w:rFonts w:cs="Arial"/>
                <w:b w:val="0"/>
                <w:bCs w:val="0"/>
              </w:rPr>
            </w:pPr>
            <w:r>
              <w:rPr>
                <w:rFonts w:cs="Arial"/>
                <w:b w:val="0"/>
                <w:bCs w:val="0"/>
              </w:rPr>
              <w:t>C</w:t>
            </w:r>
            <w:r w:rsidRPr="00842605">
              <w:rPr>
                <w:rFonts w:cs="Arial"/>
                <w:b w:val="0"/>
                <w:bCs w:val="0"/>
              </w:rPr>
              <w:t>ompletion rates</w:t>
            </w:r>
            <w:r>
              <w:rPr>
                <w:rFonts w:cs="Arial"/>
                <w:b w:val="0"/>
                <w:bCs w:val="0"/>
              </w:rPr>
              <w:t xml:space="preserve"> for apprentices and trainees </w:t>
            </w:r>
            <w:r w:rsidR="003C5430" w:rsidRPr="000B631D">
              <w:rPr>
                <w:rFonts w:cs="Arial"/>
                <w:b w:val="0"/>
                <w:bCs w:val="0"/>
              </w:rPr>
              <w:t>(%)</w:t>
            </w:r>
          </w:p>
        </w:tc>
        <w:tc>
          <w:tcPr>
            <w:tcW w:w="1230" w:type="dxa"/>
          </w:tcPr>
          <w:p w14:paraId="6307D5C7" w14:textId="79C309AB" w:rsidR="003C5430" w:rsidRPr="00A77655" w:rsidRDefault="00A77655">
            <w:pPr>
              <w:spacing w:after="0"/>
              <w:jc w:val="center"/>
              <w:cnfStyle w:val="000000100000" w:firstRow="0" w:lastRow="0" w:firstColumn="0" w:lastColumn="0" w:oddVBand="0" w:evenVBand="0" w:oddHBand="1" w:evenHBand="0" w:firstRowFirstColumn="0" w:firstRowLastColumn="0" w:lastRowFirstColumn="0" w:lastRowLastColumn="0"/>
              <w:rPr>
                <w:rFonts w:cs="Arial"/>
                <w:b/>
              </w:rPr>
            </w:pPr>
            <w:r w:rsidRPr="00A77655">
              <w:rPr>
                <w:rFonts w:cs="Arial"/>
                <w:b/>
                <w:bCs/>
              </w:rPr>
              <w:t>62.0</w:t>
            </w:r>
          </w:p>
        </w:tc>
        <w:tc>
          <w:tcPr>
            <w:tcW w:w="1166" w:type="dxa"/>
          </w:tcPr>
          <w:p w14:paraId="3EA12E7A" w14:textId="534494B6" w:rsidR="003C5430" w:rsidRPr="00A77655" w:rsidRDefault="00A77655">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sidRPr="00A77655">
              <w:rPr>
                <w:rFonts w:cs="Arial"/>
              </w:rPr>
              <w:t>50.2</w:t>
            </w:r>
          </w:p>
        </w:tc>
        <w:tc>
          <w:tcPr>
            <w:tcW w:w="1244" w:type="dxa"/>
          </w:tcPr>
          <w:p w14:paraId="4880C979" w14:textId="4EA1A2C2" w:rsidR="003C5430" w:rsidRPr="00A77655" w:rsidRDefault="00A77655">
            <w:pPr>
              <w:spacing w:after="0"/>
              <w:jc w:val="center"/>
              <w:cnfStyle w:val="000000100000" w:firstRow="0" w:lastRow="0" w:firstColumn="0" w:lastColumn="0" w:oddVBand="0" w:evenVBand="0" w:oddHBand="1" w:evenHBand="0" w:firstRowFirstColumn="0" w:firstRowLastColumn="0" w:lastRowFirstColumn="0" w:lastRowLastColumn="0"/>
              <w:rPr>
                <w:rFonts w:cs="Arial"/>
                <w:b/>
              </w:rPr>
            </w:pPr>
            <w:r w:rsidRPr="00A77655">
              <w:rPr>
                <w:rFonts w:cs="Arial"/>
                <w:b/>
                <w:bCs/>
              </w:rPr>
              <w:t>56.7</w:t>
            </w:r>
          </w:p>
        </w:tc>
      </w:tr>
      <w:tr w:rsidR="003C5430" w:rsidRPr="00653483" w14:paraId="2D7635D9" w14:textId="77777777" w:rsidTr="00D3045B">
        <w:trPr>
          <w:trHeight w:val="454"/>
        </w:trPr>
        <w:tc>
          <w:tcPr>
            <w:cnfStyle w:val="001000000000" w:firstRow="0" w:lastRow="0" w:firstColumn="1" w:lastColumn="0" w:oddVBand="0" w:evenVBand="0" w:oddHBand="0" w:evenHBand="0" w:firstRowFirstColumn="0" w:firstRowLastColumn="0" w:lastRowFirstColumn="0" w:lastRowLastColumn="0"/>
            <w:tcW w:w="5727" w:type="dxa"/>
            <w:vAlign w:val="center"/>
          </w:tcPr>
          <w:p w14:paraId="08427780" w14:textId="77777777" w:rsidR="003C5430" w:rsidRPr="000B631D" w:rsidRDefault="003C5430" w:rsidP="0025479A">
            <w:pPr>
              <w:pStyle w:val="ListParagraph"/>
              <w:numPr>
                <w:ilvl w:val="0"/>
                <w:numId w:val="12"/>
              </w:numPr>
              <w:spacing w:after="0" w:line="240" w:lineRule="auto"/>
              <w:ind w:left="314" w:hanging="284"/>
              <w:rPr>
                <w:rFonts w:cs="Arial"/>
                <w:b w:val="0"/>
                <w:bCs w:val="0"/>
              </w:rPr>
            </w:pPr>
            <w:r>
              <w:rPr>
                <w:rFonts w:cs="Arial"/>
                <w:b w:val="0"/>
                <w:bCs w:val="0"/>
              </w:rPr>
              <w:t>Youth tertiary</w:t>
            </w:r>
            <w:r w:rsidRPr="000B631D">
              <w:rPr>
                <w:rFonts w:cs="Arial"/>
                <w:b w:val="0"/>
                <w:bCs w:val="0"/>
              </w:rPr>
              <w:t xml:space="preserve"> participation rate (%)</w:t>
            </w:r>
          </w:p>
        </w:tc>
        <w:tc>
          <w:tcPr>
            <w:tcW w:w="1230" w:type="dxa"/>
            <w:vAlign w:val="center"/>
          </w:tcPr>
          <w:p w14:paraId="78EF14A8" w14:textId="6BE42881" w:rsidR="003C5430" w:rsidRPr="003705EA" w:rsidRDefault="003C5430">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3705EA">
              <w:rPr>
                <w:rFonts w:cs="Arial"/>
                <w:b/>
                <w:bCs/>
              </w:rPr>
              <w:t>27.</w:t>
            </w:r>
            <w:r w:rsidR="006E316B">
              <w:rPr>
                <w:rFonts w:cs="Arial"/>
                <w:b/>
                <w:bCs/>
              </w:rPr>
              <w:t>5</w:t>
            </w:r>
          </w:p>
        </w:tc>
        <w:tc>
          <w:tcPr>
            <w:tcW w:w="1166" w:type="dxa"/>
            <w:vAlign w:val="center"/>
          </w:tcPr>
          <w:p w14:paraId="06F862DA" w14:textId="1C5A62DC" w:rsidR="003C5430" w:rsidRPr="003705EA" w:rsidRDefault="003C5430">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sidRPr="003705EA">
              <w:rPr>
                <w:rFonts w:cs="Arial"/>
              </w:rPr>
              <w:t>39.</w:t>
            </w:r>
            <w:r w:rsidR="000F055F">
              <w:rPr>
                <w:rFonts w:cs="Arial"/>
              </w:rPr>
              <w:t>3</w:t>
            </w:r>
          </w:p>
        </w:tc>
        <w:tc>
          <w:tcPr>
            <w:tcW w:w="1244" w:type="dxa"/>
            <w:vAlign w:val="center"/>
          </w:tcPr>
          <w:p w14:paraId="01F4F561" w14:textId="76DB53CF" w:rsidR="003C5430" w:rsidRPr="003705EA" w:rsidRDefault="005857A5">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22.2</w:t>
            </w:r>
          </w:p>
        </w:tc>
      </w:tr>
      <w:tr w:rsidR="00A13456" w:rsidRPr="00653483" w14:paraId="751A387E" w14:textId="77777777" w:rsidTr="00D304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727" w:type="dxa"/>
            <w:vAlign w:val="center"/>
          </w:tcPr>
          <w:p w14:paraId="2AFC94BC" w14:textId="77777777" w:rsidR="003C5430" w:rsidRPr="000B631D" w:rsidRDefault="003C5430" w:rsidP="0025479A">
            <w:pPr>
              <w:pStyle w:val="ListParagraph"/>
              <w:numPr>
                <w:ilvl w:val="0"/>
                <w:numId w:val="12"/>
              </w:numPr>
              <w:spacing w:after="0" w:line="240" w:lineRule="auto"/>
              <w:ind w:left="314" w:hanging="284"/>
              <w:rPr>
                <w:rFonts w:cs="Arial"/>
                <w:b w:val="0"/>
                <w:bCs w:val="0"/>
              </w:rPr>
            </w:pPr>
            <w:r w:rsidRPr="000B631D">
              <w:rPr>
                <w:rFonts w:cs="Arial"/>
                <w:b w:val="0"/>
                <w:bCs w:val="0"/>
              </w:rPr>
              <w:t>Proportion working in lower skill level than qualification level (%)</w:t>
            </w:r>
          </w:p>
        </w:tc>
        <w:tc>
          <w:tcPr>
            <w:tcW w:w="1230" w:type="dxa"/>
            <w:vAlign w:val="center"/>
          </w:tcPr>
          <w:p w14:paraId="36E2C50B" w14:textId="77777777" w:rsidR="003C5430" w:rsidRPr="003705EA" w:rsidRDefault="003C5430">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3705EA">
              <w:rPr>
                <w:rFonts w:cs="Arial"/>
                <w:b/>
                <w:bCs/>
              </w:rPr>
              <w:t>23.8</w:t>
            </w:r>
          </w:p>
        </w:tc>
        <w:tc>
          <w:tcPr>
            <w:tcW w:w="1166" w:type="dxa"/>
            <w:vAlign w:val="center"/>
          </w:tcPr>
          <w:p w14:paraId="34ADFB2F" w14:textId="77777777" w:rsidR="003C5430" w:rsidRPr="003705EA" w:rsidRDefault="003C5430">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sidRPr="003705EA">
              <w:rPr>
                <w:rFonts w:cs="Arial"/>
              </w:rPr>
              <w:t>30.9</w:t>
            </w:r>
          </w:p>
        </w:tc>
        <w:tc>
          <w:tcPr>
            <w:tcW w:w="1244" w:type="dxa"/>
            <w:vAlign w:val="center"/>
          </w:tcPr>
          <w:p w14:paraId="1189F8CB" w14:textId="77777777" w:rsidR="003C5430" w:rsidRPr="003705EA" w:rsidRDefault="003C5430">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3705EA">
              <w:rPr>
                <w:rFonts w:cs="Arial"/>
                <w:b/>
                <w:bCs/>
              </w:rPr>
              <w:t>25.7</w:t>
            </w:r>
          </w:p>
        </w:tc>
      </w:tr>
      <w:tr w:rsidR="003C5430" w:rsidRPr="00653483" w14:paraId="5B03B263" w14:textId="77777777" w:rsidTr="00D3045B">
        <w:trPr>
          <w:trHeight w:val="454"/>
        </w:trPr>
        <w:tc>
          <w:tcPr>
            <w:cnfStyle w:val="001000000000" w:firstRow="0" w:lastRow="0" w:firstColumn="1" w:lastColumn="0" w:oddVBand="0" w:evenVBand="0" w:oddHBand="0" w:evenHBand="0" w:firstRowFirstColumn="0" w:firstRowLastColumn="0" w:lastRowFirstColumn="0" w:lastRowLastColumn="0"/>
            <w:tcW w:w="5727" w:type="dxa"/>
            <w:tcBorders>
              <w:bottom w:val="single" w:sz="4" w:space="0" w:color="auto"/>
            </w:tcBorders>
            <w:vAlign w:val="center"/>
          </w:tcPr>
          <w:p w14:paraId="09F6352F" w14:textId="77777777" w:rsidR="003C5430" w:rsidRPr="000B631D" w:rsidRDefault="003C5430" w:rsidP="0025479A">
            <w:pPr>
              <w:pStyle w:val="ListParagraph"/>
              <w:numPr>
                <w:ilvl w:val="0"/>
                <w:numId w:val="12"/>
              </w:numPr>
              <w:spacing w:after="0" w:line="240" w:lineRule="auto"/>
              <w:ind w:left="314" w:hanging="284"/>
              <w:rPr>
                <w:rFonts w:cs="Arial"/>
                <w:b w:val="0"/>
                <w:bCs w:val="0"/>
              </w:rPr>
            </w:pPr>
            <w:r w:rsidRPr="003F2975">
              <w:rPr>
                <w:rFonts w:cs="Arial"/>
                <w:b w:val="0"/>
                <w:bCs w:val="0"/>
              </w:rPr>
              <w:t>Proportion working in same field as most relevant qualification (%)</w:t>
            </w:r>
          </w:p>
        </w:tc>
        <w:tc>
          <w:tcPr>
            <w:tcW w:w="1230" w:type="dxa"/>
            <w:tcBorders>
              <w:bottom w:val="single" w:sz="4" w:space="0" w:color="auto"/>
            </w:tcBorders>
            <w:vAlign w:val="center"/>
          </w:tcPr>
          <w:p w14:paraId="456305D8" w14:textId="77777777" w:rsidR="003C5430" w:rsidRPr="003705EA" w:rsidRDefault="003C5430">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3705EA">
              <w:rPr>
                <w:rFonts w:cs="Arial"/>
                <w:b/>
                <w:bCs/>
              </w:rPr>
              <w:t>70.1</w:t>
            </w:r>
          </w:p>
        </w:tc>
        <w:tc>
          <w:tcPr>
            <w:tcW w:w="1166" w:type="dxa"/>
            <w:tcBorders>
              <w:bottom w:val="single" w:sz="4" w:space="0" w:color="auto"/>
            </w:tcBorders>
            <w:vAlign w:val="center"/>
          </w:tcPr>
          <w:p w14:paraId="02E40B09" w14:textId="77777777" w:rsidR="003C5430" w:rsidRPr="003705EA" w:rsidRDefault="003C5430">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sidRPr="003705EA">
              <w:rPr>
                <w:rFonts w:cs="Arial"/>
              </w:rPr>
              <w:t>68.8</w:t>
            </w:r>
          </w:p>
        </w:tc>
        <w:tc>
          <w:tcPr>
            <w:tcW w:w="1244" w:type="dxa"/>
            <w:tcBorders>
              <w:bottom w:val="single" w:sz="4" w:space="0" w:color="auto"/>
            </w:tcBorders>
            <w:vAlign w:val="center"/>
          </w:tcPr>
          <w:p w14:paraId="01880A67" w14:textId="77777777" w:rsidR="003C5430" w:rsidRPr="003705EA" w:rsidRDefault="003C5430">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3705EA">
              <w:rPr>
                <w:rFonts w:cs="Arial"/>
                <w:b/>
                <w:bCs/>
              </w:rPr>
              <w:t>72.7</w:t>
            </w:r>
          </w:p>
        </w:tc>
      </w:tr>
      <w:tr w:rsidR="003C5430" w:rsidRPr="000A4F04" w14:paraId="13AAD5E1" w14:textId="77777777" w:rsidTr="002F093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727" w:type="dxa"/>
            <w:tcBorders>
              <w:top w:val="single" w:sz="4" w:space="0" w:color="auto"/>
            </w:tcBorders>
            <w:shd w:val="clear" w:color="auto" w:fill="370663"/>
          </w:tcPr>
          <w:p w14:paraId="37DF6DCE" w14:textId="77777777" w:rsidR="003C5430" w:rsidRPr="000A4F04" w:rsidRDefault="003C5430">
            <w:pPr>
              <w:spacing w:after="0"/>
              <w:rPr>
                <w:rFonts w:cs="Arial"/>
                <w:color w:val="000000" w:themeColor="text1"/>
                <w:sz w:val="12"/>
                <w:szCs w:val="12"/>
              </w:rPr>
            </w:pPr>
          </w:p>
        </w:tc>
        <w:tc>
          <w:tcPr>
            <w:tcW w:w="1230" w:type="dxa"/>
            <w:tcBorders>
              <w:top w:val="single" w:sz="4" w:space="0" w:color="auto"/>
            </w:tcBorders>
            <w:shd w:val="clear" w:color="auto" w:fill="370663"/>
            <w:vAlign w:val="center"/>
          </w:tcPr>
          <w:p w14:paraId="11844983" w14:textId="77777777" w:rsidR="003C5430" w:rsidRPr="003705EA" w:rsidRDefault="003C5430">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p>
        </w:tc>
        <w:tc>
          <w:tcPr>
            <w:tcW w:w="1166" w:type="dxa"/>
            <w:tcBorders>
              <w:top w:val="single" w:sz="4" w:space="0" w:color="auto"/>
            </w:tcBorders>
            <w:shd w:val="clear" w:color="auto" w:fill="370663"/>
            <w:vAlign w:val="center"/>
          </w:tcPr>
          <w:p w14:paraId="1B04D99E" w14:textId="77777777" w:rsidR="003C5430" w:rsidRPr="003705EA" w:rsidRDefault="003C5430">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c>
          <w:tcPr>
            <w:tcW w:w="1244" w:type="dxa"/>
            <w:tcBorders>
              <w:top w:val="single" w:sz="4" w:space="0" w:color="auto"/>
            </w:tcBorders>
            <w:shd w:val="clear" w:color="auto" w:fill="370663"/>
            <w:vAlign w:val="center"/>
          </w:tcPr>
          <w:p w14:paraId="241D50A0" w14:textId="77777777" w:rsidR="003C5430" w:rsidRPr="003705EA" w:rsidRDefault="003C5430">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r>
      <w:tr w:rsidR="003C5430" w:rsidRPr="000A4F04" w14:paraId="0FC34244" w14:textId="77777777" w:rsidTr="00D3045B">
        <w:trPr>
          <w:trHeight w:val="454"/>
        </w:trPr>
        <w:tc>
          <w:tcPr>
            <w:cnfStyle w:val="001000000000" w:firstRow="0" w:lastRow="0" w:firstColumn="1" w:lastColumn="0" w:oddVBand="0" w:evenVBand="0" w:oddHBand="0" w:evenHBand="0" w:firstRowFirstColumn="0" w:firstRowLastColumn="0" w:lastRowFirstColumn="0" w:lastRowLastColumn="0"/>
            <w:tcW w:w="5727" w:type="dxa"/>
            <w:vAlign w:val="center"/>
          </w:tcPr>
          <w:p w14:paraId="1BDBE4B8" w14:textId="77777777" w:rsidR="003C5430" w:rsidRPr="000A4F04" w:rsidRDefault="003C5430">
            <w:pPr>
              <w:spacing w:after="0"/>
              <w:rPr>
                <w:rFonts w:cs="Arial"/>
                <w:sz w:val="28"/>
                <w:szCs w:val="28"/>
              </w:rPr>
            </w:pPr>
            <w:r>
              <w:rPr>
                <w:rFonts w:cs="Arial"/>
                <w:color w:val="000000" w:themeColor="text1"/>
                <w:sz w:val="28"/>
                <w:szCs w:val="28"/>
              </w:rPr>
              <w:t xml:space="preserve">Vision </w:t>
            </w:r>
            <w:r w:rsidRPr="000A4F04">
              <w:rPr>
                <w:rFonts w:cs="Arial"/>
                <w:color w:val="000000" w:themeColor="text1"/>
                <w:sz w:val="28"/>
                <w:szCs w:val="28"/>
              </w:rPr>
              <w:t>Principle 3</w:t>
            </w:r>
          </w:p>
        </w:tc>
        <w:tc>
          <w:tcPr>
            <w:tcW w:w="1230" w:type="dxa"/>
            <w:vAlign w:val="center"/>
          </w:tcPr>
          <w:p w14:paraId="5DE2215C" w14:textId="77777777" w:rsidR="003C5430" w:rsidRPr="003705EA" w:rsidRDefault="003C5430">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p>
        </w:tc>
        <w:tc>
          <w:tcPr>
            <w:tcW w:w="1166" w:type="dxa"/>
            <w:vAlign w:val="center"/>
          </w:tcPr>
          <w:p w14:paraId="4726C14E" w14:textId="77777777" w:rsidR="003C5430" w:rsidRPr="003705EA" w:rsidRDefault="003C5430">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c>
          <w:tcPr>
            <w:tcW w:w="1244" w:type="dxa"/>
            <w:vAlign w:val="center"/>
          </w:tcPr>
          <w:p w14:paraId="34D2A2FB" w14:textId="77777777" w:rsidR="003C5430" w:rsidRPr="003705EA" w:rsidRDefault="003C5430">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r>
      <w:tr w:rsidR="00A13456" w:rsidRPr="00653483" w14:paraId="4610E2FE" w14:textId="77777777" w:rsidTr="00D304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727" w:type="dxa"/>
            <w:vAlign w:val="center"/>
          </w:tcPr>
          <w:p w14:paraId="50D1DE54" w14:textId="77777777" w:rsidR="003C5430" w:rsidRPr="000B631D" w:rsidRDefault="003C5430" w:rsidP="0025479A">
            <w:pPr>
              <w:pStyle w:val="ListParagraph"/>
              <w:numPr>
                <w:ilvl w:val="0"/>
                <w:numId w:val="12"/>
              </w:numPr>
              <w:spacing w:after="0" w:line="240" w:lineRule="auto"/>
              <w:ind w:left="314" w:hanging="284"/>
              <w:rPr>
                <w:rFonts w:cs="Arial"/>
                <w:b w:val="0"/>
                <w:bCs w:val="0"/>
              </w:rPr>
            </w:pPr>
            <w:r w:rsidRPr="000B631D">
              <w:rPr>
                <w:rFonts w:cs="Arial"/>
                <w:b w:val="0"/>
                <w:bCs w:val="0"/>
              </w:rPr>
              <w:t>Job satisfaction (%)</w:t>
            </w:r>
          </w:p>
        </w:tc>
        <w:tc>
          <w:tcPr>
            <w:tcW w:w="1230" w:type="dxa"/>
            <w:vAlign w:val="center"/>
          </w:tcPr>
          <w:p w14:paraId="1E4B1C20" w14:textId="77777777" w:rsidR="003C5430" w:rsidRPr="003705EA" w:rsidRDefault="003C5430">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3705EA">
              <w:rPr>
                <w:rFonts w:cs="Arial"/>
                <w:b/>
                <w:bCs/>
              </w:rPr>
              <w:t>n/a</w:t>
            </w:r>
          </w:p>
        </w:tc>
        <w:tc>
          <w:tcPr>
            <w:tcW w:w="1166" w:type="dxa"/>
            <w:vAlign w:val="center"/>
          </w:tcPr>
          <w:p w14:paraId="4282C8C6" w14:textId="77777777" w:rsidR="003C5430" w:rsidRPr="003705EA" w:rsidRDefault="003C5430">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sidRPr="003705EA">
              <w:rPr>
                <w:rFonts w:cs="Arial"/>
              </w:rPr>
              <w:t>n/a</w:t>
            </w:r>
          </w:p>
        </w:tc>
        <w:tc>
          <w:tcPr>
            <w:tcW w:w="1244" w:type="dxa"/>
            <w:vAlign w:val="center"/>
          </w:tcPr>
          <w:p w14:paraId="2E5D22E8" w14:textId="2A9E0F29" w:rsidR="003C5430" w:rsidRPr="003705EA" w:rsidRDefault="00F579FB">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Pr>
                <w:rFonts w:cs="Arial"/>
                <w:b/>
                <w:bCs/>
              </w:rPr>
              <w:t>38.8</w:t>
            </w:r>
          </w:p>
        </w:tc>
      </w:tr>
      <w:tr w:rsidR="003C5430" w:rsidRPr="00653483" w14:paraId="74B4BA16" w14:textId="77777777" w:rsidTr="00D3045B">
        <w:trPr>
          <w:trHeight w:val="454"/>
        </w:trPr>
        <w:tc>
          <w:tcPr>
            <w:cnfStyle w:val="001000000000" w:firstRow="0" w:lastRow="0" w:firstColumn="1" w:lastColumn="0" w:oddVBand="0" w:evenVBand="0" w:oddHBand="0" w:evenHBand="0" w:firstRowFirstColumn="0" w:firstRowLastColumn="0" w:lastRowFirstColumn="0" w:lastRowLastColumn="0"/>
            <w:tcW w:w="5727" w:type="dxa"/>
            <w:vAlign w:val="center"/>
          </w:tcPr>
          <w:p w14:paraId="10E0F368" w14:textId="77777777" w:rsidR="003C5430" w:rsidRPr="000B631D" w:rsidRDefault="003C5430" w:rsidP="0025479A">
            <w:pPr>
              <w:pStyle w:val="ListParagraph"/>
              <w:numPr>
                <w:ilvl w:val="0"/>
                <w:numId w:val="12"/>
              </w:numPr>
              <w:spacing w:after="0" w:line="240" w:lineRule="auto"/>
              <w:ind w:left="314" w:hanging="284"/>
              <w:rPr>
                <w:rFonts w:cs="Arial"/>
                <w:b w:val="0"/>
                <w:bCs w:val="0"/>
              </w:rPr>
            </w:pPr>
            <w:r w:rsidRPr="000B631D">
              <w:rPr>
                <w:rFonts w:cs="Arial"/>
                <w:b w:val="0"/>
                <w:bCs w:val="0"/>
              </w:rPr>
              <w:t>Underemployment rate (%)</w:t>
            </w:r>
          </w:p>
        </w:tc>
        <w:tc>
          <w:tcPr>
            <w:tcW w:w="1230" w:type="dxa"/>
            <w:vAlign w:val="center"/>
          </w:tcPr>
          <w:p w14:paraId="20E69B0D" w14:textId="77777777" w:rsidR="003C5430" w:rsidRPr="003705EA" w:rsidRDefault="003C5430">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3705EA">
              <w:rPr>
                <w:rFonts w:cs="Arial"/>
                <w:b/>
                <w:bCs/>
              </w:rPr>
              <w:t>6.5</w:t>
            </w:r>
          </w:p>
        </w:tc>
        <w:tc>
          <w:tcPr>
            <w:tcW w:w="1166" w:type="dxa"/>
            <w:vAlign w:val="center"/>
          </w:tcPr>
          <w:p w14:paraId="49D6F306" w14:textId="10DBD277" w:rsidR="003C5430" w:rsidRPr="003705EA" w:rsidRDefault="00FF2A60">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5.8</w:t>
            </w:r>
          </w:p>
        </w:tc>
        <w:tc>
          <w:tcPr>
            <w:tcW w:w="1244" w:type="dxa"/>
            <w:vAlign w:val="center"/>
          </w:tcPr>
          <w:p w14:paraId="56361AF3" w14:textId="1E8B4B9A" w:rsidR="003C5430" w:rsidRPr="003705EA" w:rsidRDefault="003C5430">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3705EA">
              <w:rPr>
                <w:rFonts w:cs="Arial"/>
                <w:b/>
                <w:bCs/>
              </w:rPr>
              <w:t>6.</w:t>
            </w:r>
            <w:r w:rsidR="003A3E5F">
              <w:rPr>
                <w:rFonts w:cs="Arial"/>
                <w:b/>
                <w:bCs/>
              </w:rPr>
              <w:t>1</w:t>
            </w:r>
          </w:p>
        </w:tc>
      </w:tr>
      <w:tr w:rsidR="00A13456" w:rsidRPr="00653483" w14:paraId="0542C11A" w14:textId="77777777" w:rsidTr="0066015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727" w:type="dxa"/>
            <w:vAlign w:val="center"/>
          </w:tcPr>
          <w:p w14:paraId="5453C7B7" w14:textId="77777777" w:rsidR="003C5430" w:rsidRPr="000B631D" w:rsidRDefault="003C5430" w:rsidP="0025479A">
            <w:pPr>
              <w:pStyle w:val="ListParagraph"/>
              <w:numPr>
                <w:ilvl w:val="0"/>
                <w:numId w:val="12"/>
              </w:numPr>
              <w:spacing w:after="0" w:line="240" w:lineRule="auto"/>
              <w:ind w:left="314" w:hanging="284"/>
              <w:rPr>
                <w:rFonts w:cs="Arial"/>
                <w:b w:val="0"/>
                <w:bCs w:val="0"/>
              </w:rPr>
            </w:pPr>
            <w:r w:rsidRPr="000B631D">
              <w:rPr>
                <w:rFonts w:cs="Arial"/>
                <w:b w:val="0"/>
                <w:bCs w:val="0"/>
              </w:rPr>
              <w:t xml:space="preserve">Income </w:t>
            </w:r>
            <w:r>
              <w:rPr>
                <w:rFonts w:cs="Arial"/>
                <w:b w:val="0"/>
                <w:bCs w:val="0"/>
              </w:rPr>
              <w:t>inequality ratio</w:t>
            </w:r>
          </w:p>
        </w:tc>
        <w:tc>
          <w:tcPr>
            <w:tcW w:w="1230" w:type="dxa"/>
            <w:vAlign w:val="center"/>
          </w:tcPr>
          <w:p w14:paraId="2D219CB6" w14:textId="77777777" w:rsidR="003C5430" w:rsidRPr="003705EA" w:rsidRDefault="003C5430">
            <w:pPr>
              <w:spacing w:after="0"/>
              <w:jc w:val="center"/>
              <w:cnfStyle w:val="000000100000" w:firstRow="0" w:lastRow="0" w:firstColumn="0" w:lastColumn="0" w:oddVBand="0" w:evenVBand="0" w:oddHBand="1" w:evenHBand="0" w:firstRowFirstColumn="0" w:firstRowLastColumn="0" w:lastRowFirstColumn="0" w:lastRowLastColumn="0"/>
              <w:rPr>
                <w:rFonts w:cs="Arial"/>
                <w:b/>
              </w:rPr>
            </w:pPr>
            <w:r w:rsidRPr="003705EA">
              <w:rPr>
                <w:rFonts w:cs="Arial"/>
                <w:b/>
                <w:bCs/>
              </w:rPr>
              <w:t>3.3</w:t>
            </w:r>
          </w:p>
        </w:tc>
        <w:tc>
          <w:tcPr>
            <w:tcW w:w="1166" w:type="dxa"/>
            <w:vAlign w:val="center"/>
          </w:tcPr>
          <w:p w14:paraId="7D85B4CD" w14:textId="77777777" w:rsidR="003C5430" w:rsidRPr="003705EA" w:rsidRDefault="003C5430">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sidRPr="003705EA">
              <w:rPr>
                <w:rFonts w:cs="Arial"/>
              </w:rPr>
              <w:t>3.4</w:t>
            </w:r>
          </w:p>
        </w:tc>
        <w:tc>
          <w:tcPr>
            <w:tcW w:w="1244" w:type="dxa"/>
            <w:vAlign w:val="center"/>
          </w:tcPr>
          <w:p w14:paraId="0D760FA4" w14:textId="77777777" w:rsidR="003C5430" w:rsidRPr="003705EA" w:rsidRDefault="003C5430">
            <w:pPr>
              <w:spacing w:after="0"/>
              <w:jc w:val="center"/>
              <w:cnfStyle w:val="000000100000" w:firstRow="0" w:lastRow="0" w:firstColumn="0" w:lastColumn="0" w:oddVBand="0" w:evenVBand="0" w:oddHBand="1" w:evenHBand="0" w:firstRowFirstColumn="0" w:firstRowLastColumn="0" w:lastRowFirstColumn="0" w:lastRowLastColumn="0"/>
              <w:rPr>
                <w:rFonts w:cs="Arial"/>
                <w:b/>
              </w:rPr>
            </w:pPr>
            <w:r w:rsidRPr="003705EA">
              <w:rPr>
                <w:rFonts w:cs="Arial"/>
                <w:b/>
                <w:bCs/>
              </w:rPr>
              <w:t>3.5</w:t>
            </w:r>
          </w:p>
        </w:tc>
      </w:tr>
      <w:tr w:rsidR="00660157" w:rsidRPr="00653483" w14:paraId="0C1FF1FD" w14:textId="77777777" w:rsidTr="00D3045B">
        <w:trPr>
          <w:trHeight w:val="454"/>
        </w:trPr>
        <w:tc>
          <w:tcPr>
            <w:cnfStyle w:val="001000000000" w:firstRow="0" w:lastRow="0" w:firstColumn="1" w:lastColumn="0" w:oddVBand="0" w:evenVBand="0" w:oddHBand="0" w:evenHBand="0" w:firstRowFirstColumn="0" w:firstRowLastColumn="0" w:lastRowFirstColumn="0" w:lastRowLastColumn="0"/>
            <w:tcW w:w="5727" w:type="dxa"/>
            <w:tcBorders>
              <w:bottom w:val="single" w:sz="4" w:space="0" w:color="auto"/>
            </w:tcBorders>
            <w:vAlign w:val="center"/>
          </w:tcPr>
          <w:p w14:paraId="59D390EA" w14:textId="00CF6A9D" w:rsidR="00660157" w:rsidRPr="00660157" w:rsidRDefault="00280256" w:rsidP="0025479A">
            <w:pPr>
              <w:pStyle w:val="ListParagraph"/>
              <w:numPr>
                <w:ilvl w:val="0"/>
                <w:numId w:val="12"/>
              </w:numPr>
              <w:spacing w:after="0" w:line="240" w:lineRule="auto"/>
              <w:ind w:left="314" w:hanging="284"/>
              <w:rPr>
                <w:rFonts w:cs="Arial"/>
                <w:b w:val="0"/>
                <w:bCs w:val="0"/>
              </w:rPr>
            </w:pPr>
            <w:r>
              <w:rPr>
                <w:rFonts w:cs="Arial"/>
                <w:b w:val="0"/>
                <w:bCs w:val="0"/>
              </w:rPr>
              <w:t>Workers’ compensation</w:t>
            </w:r>
            <w:r w:rsidR="00660157" w:rsidRPr="00660157">
              <w:rPr>
                <w:rFonts w:cs="Arial"/>
                <w:b w:val="0"/>
                <w:bCs w:val="0"/>
              </w:rPr>
              <w:t xml:space="preserve"> incidence rate</w:t>
            </w:r>
          </w:p>
        </w:tc>
        <w:tc>
          <w:tcPr>
            <w:tcW w:w="1230" w:type="dxa"/>
            <w:tcBorders>
              <w:bottom w:val="single" w:sz="4" w:space="0" w:color="auto"/>
            </w:tcBorders>
            <w:vAlign w:val="center"/>
          </w:tcPr>
          <w:p w14:paraId="246B49AF" w14:textId="7BF86888" w:rsidR="00660157" w:rsidRPr="003705EA" w:rsidRDefault="00613972">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12.3</w:t>
            </w:r>
          </w:p>
        </w:tc>
        <w:tc>
          <w:tcPr>
            <w:tcW w:w="1166" w:type="dxa"/>
            <w:tcBorders>
              <w:bottom w:val="single" w:sz="4" w:space="0" w:color="auto"/>
            </w:tcBorders>
            <w:vAlign w:val="center"/>
          </w:tcPr>
          <w:p w14:paraId="42F68EE6" w14:textId="6C91BCF1" w:rsidR="00660157" w:rsidRPr="003705EA" w:rsidRDefault="00613972">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12.5</w:t>
            </w:r>
          </w:p>
        </w:tc>
        <w:tc>
          <w:tcPr>
            <w:tcW w:w="1244" w:type="dxa"/>
            <w:tcBorders>
              <w:bottom w:val="single" w:sz="4" w:space="0" w:color="auto"/>
            </w:tcBorders>
            <w:vAlign w:val="center"/>
          </w:tcPr>
          <w:p w14:paraId="07D4DC9C" w14:textId="406D55A3" w:rsidR="00660157" w:rsidRPr="003705EA" w:rsidRDefault="00613972">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9.6</w:t>
            </w:r>
          </w:p>
        </w:tc>
      </w:tr>
      <w:tr w:rsidR="003C5430" w:rsidRPr="000A4F04" w14:paraId="441B7710" w14:textId="77777777" w:rsidTr="002F093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727" w:type="dxa"/>
            <w:tcBorders>
              <w:top w:val="single" w:sz="4" w:space="0" w:color="auto"/>
            </w:tcBorders>
            <w:shd w:val="clear" w:color="auto" w:fill="370663"/>
          </w:tcPr>
          <w:p w14:paraId="6CF6B099" w14:textId="77777777" w:rsidR="003C5430" w:rsidRPr="000A4F04" w:rsidRDefault="003C5430">
            <w:pPr>
              <w:spacing w:after="0"/>
              <w:rPr>
                <w:rFonts w:cs="Arial"/>
                <w:color w:val="000000" w:themeColor="text1"/>
                <w:sz w:val="12"/>
                <w:szCs w:val="12"/>
              </w:rPr>
            </w:pPr>
          </w:p>
        </w:tc>
        <w:tc>
          <w:tcPr>
            <w:tcW w:w="1230" w:type="dxa"/>
            <w:tcBorders>
              <w:top w:val="single" w:sz="4" w:space="0" w:color="auto"/>
            </w:tcBorders>
            <w:shd w:val="clear" w:color="auto" w:fill="370663"/>
            <w:vAlign w:val="center"/>
          </w:tcPr>
          <w:p w14:paraId="4EE1D996" w14:textId="77777777" w:rsidR="003C5430" w:rsidRPr="003705EA" w:rsidRDefault="003C5430">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p>
        </w:tc>
        <w:tc>
          <w:tcPr>
            <w:tcW w:w="1166" w:type="dxa"/>
            <w:tcBorders>
              <w:top w:val="single" w:sz="4" w:space="0" w:color="auto"/>
            </w:tcBorders>
            <w:shd w:val="clear" w:color="auto" w:fill="370663"/>
            <w:vAlign w:val="center"/>
          </w:tcPr>
          <w:p w14:paraId="49654102" w14:textId="77777777" w:rsidR="003C5430" w:rsidRPr="003705EA" w:rsidRDefault="003C5430">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c>
          <w:tcPr>
            <w:tcW w:w="1244" w:type="dxa"/>
            <w:tcBorders>
              <w:top w:val="single" w:sz="4" w:space="0" w:color="auto"/>
            </w:tcBorders>
            <w:shd w:val="clear" w:color="auto" w:fill="370663"/>
            <w:vAlign w:val="center"/>
          </w:tcPr>
          <w:p w14:paraId="4C7BCAAF" w14:textId="77777777" w:rsidR="003C5430" w:rsidRPr="003705EA" w:rsidRDefault="003C5430">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r>
      <w:tr w:rsidR="00CD1924" w:rsidRPr="000A4F04" w14:paraId="741DA9F8" w14:textId="77777777" w:rsidTr="00D3045B">
        <w:trPr>
          <w:trHeight w:val="454"/>
        </w:trPr>
        <w:tc>
          <w:tcPr>
            <w:cnfStyle w:val="001000000000" w:firstRow="0" w:lastRow="0" w:firstColumn="1" w:lastColumn="0" w:oddVBand="0" w:evenVBand="0" w:oddHBand="0" w:evenHBand="0" w:firstRowFirstColumn="0" w:firstRowLastColumn="0" w:lastRowFirstColumn="0" w:lastRowLastColumn="0"/>
            <w:tcW w:w="5727" w:type="dxa"/>
            <w:vAlign w:val="center"/>
          </w:tcPr>
          <w:p w14:paraId="6CB37255" w14:textId="77777777" w:rsidR="003C5430" w:rsidRPr="000A4F04" w:rsidRDefault="003C5430">
            <w:pPr>
              <w:spacing w:after="0"/>
              <w:rPr>
                <w:rFonts w:cs="Arial"/>
                <w:sz w:val="28"/>
                <w:szCs w:val="28"/>
              </w:rPr>
            </w:pPr>
            <w:r w:rsidRPr="000A4F04">
              <w:rPr>
                <w:rFonts w:cs="Arial"/>
                <w:color w:val="000000" w:themeColor="text1"/>
                <w:sz w:val="28"/>
                <w:szCs w:val="28"/>
              </w:rPr>
              <w:t>Vision Principle 4</w:t>
            </w:r>
          </w:p>
        </w:tc>
        <w:tc>
          <w:tcPr>
            <w:tcW w:w="1230" w:type="dxa"/>
            <w:vAlign w:val="center"/>
          </w:tcPr>
          <w:p w14:paraId="3B3618B2" w14:textId="77777777" w:rsidR="003C5430" w:rsidRPr="003705EA" w:rsidRDefault="003C5430">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p>
        </w:tc>
        <w:tc>
          <w:tcPr>
            <w:tcW w:w="1166" w:type="dxa"/>
            <w:vAlign w:val="center"/>
          </w:tcPr>
          <w:p w14:paraId="255E3B35" w14:textId="77777777" w:rsidR="003C5430" w:rsidRPr="003705EA" w:rsidRDefault="003C5430">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c>
          <w:tcPr>
            <w:tcW w:w="1244" w:type="dxa"/>
            <w:vAlign w:val="center"/>
          </w:tcPr>
          <w:p w14:paraId="2B12323A" w14:textId="77777777" w:rsidR="003C5430" w:rsidRPr="003705EA" w:rsidRDefault="003C5430">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r>
      <w:tr w:rsidR="00A13456" w:rsidRPr="00653483" w14:paraId="02C36473" w14:textId="77777777" w:rsidTr="00D304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727" w:type="dxa"/>
            <w:vAlign w:val="center"/>
          </w:tcPr>
          <w:p w14:paraId="310E7333" w14:textId="77777777" w:rsidR="003C5430" w:rsidRPr="000B631D" w:rsidRDefault="003C5430" w:rsidP="0025479A">
            <w:pPr>
              <w:pStyle w:val="ListParagraph"/>
              <w:numPr>
                <w:ilvl w:val="0"/>
                <w:numId w:val="12"/>
              </w:numPr>
              <w:spacing w:after="0" w:line="240" w:lineRule="auto"/>
              <w:ind w:left="314" w:hanging="284"/>
              <w:rPr>
                <w:rFonts w:cs="Arial"/>
                <w:b w:val="0"/>
                <w:bCs w:val="0"/>
              </w:rPr>
            </w:pPr>
            <w:r w:rsidRPr="000B631D">
              <w:rPr>
                <w:rFonts w:cs="Arial"/>
                <w:b w:val="0"/>
                <w:bCs w:val="0"/>
              </w:rPr>
              <w:t>Vacancy fill rate (%)</w:t>
            </w:r>
          </w:p>
        </w:tc>
        <w:tc>
          <w:tcPr>
            <w:tcW w:w="1230" w:type="dxa"/>
            <w:vAlign w:val="center"/>
          </w:tcPr>
          <w:p w14:paraId="126638C8" w14:textId="4C6FCB6A" w:rsidR="003C5430" w:rsidRPr="003705EA" w:rsidRDefault="003C5430">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3705EA">
              <w:rPr>
                <w:rFonts w:cs="Arial"/>
                <w:b/>
                <w:bCs/>
              </w:rPr>
              <w:t>63.</w:t>
            </w:r>
            <w:r w:rsidR="00D11E5D">
              <w:rPr>
                <w:rFonts w:cs="Arial"/>
                <w:b/>
                <w:bCs/>
              </w:rPr>
              <w:t>0</w:t>
            </w:r>
          </w:p>
        </w:tc>
        <w:tc>
          <w:tcPr>
            <w:tcW w:w="1166" w:type="dxa"/>
            <w:vAlign w:val="center"/>
          </w:tcPr>
          <w:p w14:paraId="769D0E8B" w14:textId="010A1A13" w:rsidR="003C5430" w:rsidRPr="003705EA" w:rsidRDefault="00EC54E8">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68.6</w:t>
            </w:r>
          </w:p>
        </w:tc>
        <w:tc>
          <w:tcPr>
            <w:tcW w:w="1244" w:type="dxa"/>
            <w:vAlign w:val="center"/>
          </w:tcPr>
          <w:p w14:paraId="0243EC0D" w14:textId="77777777" w:rsidR="003C5430" w:rsidRPr="003705EA" w:rsidRDefault="003C5430">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3705EA">
              <w:rPr>
                <w:rFonts w:cs="Arial"/>
                <w:b/>
                <w:bCs/>
              </w:rPr>
              <w:t>64.7</w:t>
            </w:r>
          </w:p>
        </w:tc>
      </w:tr>
      <w:tr w:rsidR="00CD1924" w:rsidRPr="00653483" w14:paraId="0DA63EAB" w14:textId="77777777" w:rsidTr="00D3045B">
        <w:trPr>
          <w:trHeight w:val="454"/>
        </w:trPr>
        <w:tc>
          <w:tcPr>
            <w:cnfStyle w:val="001000000000" w:firstRow="0" w:lastRow="0" w:firstColumn="1" w:lastColumn="0" w:oddVBand="0" w:evenVBand="0" w:oddHBand="0" w:evenHBand="0" w:firstRowFirstColumn="0" w:firstRowLastColumn="0" w:lastRowFirstColumn="0" w:lastRowLastColumn="0"/>
            <w:tcW w:w="5727" w:type="dxa"/>
            <w:vAlign w:val="center"/>
          </w:tcPr>
          <w:p w14:paraId="1CF14C53" w14:textId="43DF3D29" w:rsidR="003C5430" w:rsidRPr="000B631D" w:rsidRDefault="003C5430" w:rsidP="0025479A">
            <w:pPr>
              <w:pStyle w:val="ListParagraph"/>
              <w:numPr>
                <w:ilvl w:val="0"/>
                <w:numId w:val="12"/>
              </w:numPr>
              <w:spacing w:after="0" w:line="240" w:lineRule="auto"/>
              <w:ind w:left="314" w:hanging="284"/>
              <w:rPr>
                <w:rFonts w:cs="Arial"/>
                <w:b w:val="0"/>
                <w:bCs w:val="0"/>
              </w:rPr>
            </w:pPr>
            <w:r>
              <w:rPr>
                <w:rFonts w:cs="Arial"/>
                <w:b w:val="0"/>
                <w:bCs w:val="0"/>
              </w:rPr>
              <w:t>Essential service</w:t>
            </w:r>
            <w:r w:rsidR="005F3A40">
              <w:rPr>
                <w:rFonts w:cs="Arial"/>
                <w:b w:val="0"/>
                <w:bCs w:val="0"/>
              </w:rPr>
              <w:t>s</w:t>
            </w:r>
            <w:r>
              <w:rPr>
                <w:rFonts w:cs="Arial"/>
                <w:b w:val="0"/>
                <w:bCs w:val="0"/>
              </w:rPr>
              <w:t xml:space="preserve"> </w:t>
            </w:r>
            <w:r w:rsidR="00464B51">
              <w:rPr>
                <w:rFonts w:cs="Arial"/>
                <w:b w:val="0"/>
                <w:bCs w:val="0"/>
              </w:rPr>
              <w:t>vacancy</w:t>
            </w:r>
            <w:r>
              <w:rPr>
                <w:rFonts w:cs="Arial"/>
                <w:b w:val="0"/>
                <w:bCs w:val="0"/>
              </w:rPr>
              <w:t xml:space="preserve"> rate (%)</w:t>
            </w:r>
          </w:p>
        </w:tc>
        <w:tc>
          <w:tcPr>
            <w:tcW w:w="1230" w:type="dxa"/>
            <w:vAlign w:val="center"/>
          </w:tcPr>
          <w:p w14:paraId="7009CDA2" w14:textId="66EA13A1" w:rsidR="003C5430" w:rsidRPr="003705EA" w:rsidRDefault="005C415A">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6.3</w:t>
            </w:r>
          </w:p>
        </w:tc>
        <w:tc>
          <w:tcPr>
            <w:tcW w:w="1166" w:type="dxa"/>
            <w:vAlign w:val="center"/>
          </w:tcPr>
          <w:p w14:paraId="4322AEF8" w14:textId="1B94595C" w:rsidR="003C5430" w:rsidRPr="003705EA" w:rsidRDefault="003C5430">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sidRPr="003705EA">
              <w:rPr>
                <w:rFonts w:cs="Arial"/>
              </w:rPr>
              <w:t>5.</w:t>
            </w:r>
            <w:r w:rsidR="00F53F79">
              <w:rPr>
                <w:rFonts w:cs="Arial"/>
              </w:rPr>
              <w:t>2</w:t>
            </w:r>
          </w:p>
        </w:tc>
        <w:tc>
          <w:tcPr>
            <w:tcW w:w="1244" w:type="dxa"/>
            <w:vAlign w:val="center"/>
          </w:tcPr>
          <w:p w14:paraId="249F4852" w14:textId="2E317E45" w:rsidR="003C5430" w:rsidRPr="003705EA" w:rsidRDefault="00464B51">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8.5</w:t>
            </w:r>
          </w:p>
        </w:tc>
      </w:tr>
      <w:tr w:rsidR="00A13456" w:rsidRPr="00653483" w14:paraId="7B2CFE3D" w14:textId="77777777" w:rsidTr="00D304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727" w:type="dxa"/>
            <w:vAlign w:val="center"/>
          </w:tcPr>
          <w:p w14:paraId="3DBEE789" w14:textId="77777777" w:rsidR="00A77655" w:rsidRPr="000B631D" w:rsidRDefault="00A77655" w:rsidP="00A77655">
            <w:pPr>
              <w:pStyle w:val="ListParagraph"/>
              <w:numPr>
                <w:ilvl w:val="0"/>
                <w:numId w:val="12"/>
              </w:numPr>
              <w:spacing w:after="0" w:line="240" w:lineRule="auto"/>
              <w:ind w:left="314" w:hanging="284"/>
              <w:rPr>
                <w:rFonts w:cs="Arial"/>
                <w:b w:val="0"/>
                <w:bCs w:val="0"/>
              </w:rPr>
            </w:pPr>
            <w:r w:rsidRPr="000B631D">
              <w:rPr>
                <w:rFonts w:cs="Arial"/>
                <w:b w:val="0"/>
                <w:bCs w:val="0"/>
              </w:rPr>
              <w:t>Incidence of persistent hiring pressures (%)</w:t>
            </w:r>
          </w:p>
        </w:tc>
        <w:tc>
          <w:tcPr>
            <w:tcW w:w="1230" w:type="dxa"/>
            <w:vAlign w:val="center"/>
          </w:tcPr>
          <w:p w14:paraId="5FC53C33" w14:textId="78A15BEF" w:rsidR="00A77655" w:rsidRPr="003705EA" w:rsidRDefault="00A77655" w:rsidP="00A77655">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3705EA">
              <w:rPr>
                <w:rFonts w:cs="Arial"/>
                <w:b/>
                <w:bCs/>
              </w:rPr>
              <w:t>n/a</w:t>
            </w:r>
          </w:p>
        </w:tc>
        <w:tc>
          <w:tcPr>
            <w:tcW w:w="1166" w:type="dxa"/>
            <w:vAlign w:val="center"/>
          </w:tcPr>
          <w:p w14:paraId="2CA34AAB" w14:textId="733FA5DC" w:rsidR="00A77655" w:rsidRPr="003705EA" w:rsidRDefault="00A77655" w:rsidP="00A77655">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sidRPr="003705EA">
              <w:rPr>
                <w:rFonts w:cs="Arial"/>
              </w:rPr>
              <w:t>n/a</w:t>
            </w:r>
          </w:p>
        </w:tc>
        <w:tc>
          <w:tcPr>
            <w:tcW w:w="1244" w:type="dxa"/>
            <w:vAlign w:val="center"/>
          </w:tcPr>
          <w:p w14:paraId="0F74494E" w14:textId="7F1FE598" w:rsidR="00A77655" w:rsidRPr="003705EA" w:rsidRDefault="00A77655" w:rsidP="00A77655">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Pr>
                <w:rFonts w:cs="Arial"/>
                <w:b/>
                <w:bCs/>
              </w:rPr>
              <w:t>36.8</w:t>
            </w:r>
          </w:p>
        </w:tc>
      </w:tr>
      <w:tr w:rsidR="00CD1924" w:rsidRPr="00653483" w14:paraId="5086FCCF" w14:textId="77777777" w:rsidTr="00D3045B">
        <w:trPr>
          <w:trHeight w:val="454"/>
        </w:trPr>
        <w:tc>
          <w:tcPr>
            <w:cnfStyle w:val="001000000000" w:firstRow="0" w:lastRow="0" w:firstColumn="1" w:lastColumn="0" w:oddVBand="0" w:evenVBand="0" w:oddHBand="0" w:evenHBand="0" w:firstRowFirstColumn="0" w:firstRowLastColumn="0" w:lastRowFirstColumn="0" w:lastRowLastColumn="0"/>
            <w:tcW w:w="5727" w:type="dxa"/>
            <w:vAlign w:val="center"/>
          </w:tcPr>
          <w:p w14:paraId="08226040" w14:textId="03456E55" w:rsidR="003C5430" w:rsidRPr="00AA270F" w:rsidRDefault="006961FA" w:rsidP="0025479A">
            <w:pPr>
              <w:pStyle w:val="ListParagraph"/>
              <w:numPr>
                <w:ilvl w:val="0"/>
                <w:numId w:val="12"/>
              </w:numPr>
              <w:spacing w:after="0" w:line="240" w:lineRule="auto"/>
              <w:ind w:left="314" w:hanging="284"/>
              <w:rPr>
                <w:rFonts w:cs="Arial"/>
                <w:b w:val="0"/>
              </w:rPr>
            </w:pPr>
            <w:r>
              <w:rPr>
                <w:rFonts w:cs="Arial"/>
                <w:b w:val="0"/>
                <w:bCs w:val="0"/>
              </w:rPr>
              <w:t>Business creation rate</w:t>
            </w:r>
            <w:r w:rsidR="003C5430" w:rsidRPr="000B631D">
              <w:rPr>
                <w:rFonts w:cs="Arial"/>
                <w:b w:val="0"/>
                <w:bCs w:val="0"/>
              </w:rPr>
              <w:t xml:space="preserve"> (%)</w:t>
            </w:r>
          </w:p>
        </w:tc>
        <w:tc>
          <w:tcPr>
            <w:tcW w:w="1230" w:type="dxa"/>
            <w:vAlign w:val="center"/>
          </w:tcPr>
          <w:p w14:paraId="29D334EB" w14:textId="39E7F07D" w:rsidR="003C5430" w:rsidRPr="003705EA" w:rsidRDefault="0082081D">
            <w:pPr>
              <w:spacing w:after="0"/>
              <w:jc w:val="center"/>
              <w:cnfStyle w:val="000000000000" w:firstRow="0" w:lastRow="0" w:firstColumn="0" w:lastColumn="0" w:oddVBand="0" w:evenVBand="0" w:oddHBand="0" w:evenHBand="0" w:firstRowFirstColumn="0" w:firstRowLastColumn="0" w:lastRowFirstColumn="0" w:lastRowLastColumn="0"/>
              <w:rPr>
                <w:rFonts w:cs="Arial"/>
                <w:b/>
                <w:bCs/>
                <w:highlight w:val="yellow"/>
              </w:rPr>
            </w:pPr>
            <w:r>
              <w:rPr>
                <w:rFonts w:cs="Arial"/>
                <w:b/>
                <w:bCs/>
              </w:rPr>
              <w:t>2.2</w:t>
            </w:r>
          </w:p>
        </w:tc>
        <w:tc>
          <w:tcPr>
            <w:tcW w:w="1166" w:type="dxa"/>
            <w:vAlign w:val="center"/>
          </w:tcPr>
          <w:p w14:paraId="26A1E1A8" w14:textId="03FFBCAD" w:rsidR="003C5430" w:rsidRPr="003705EA" w:rsidRDefault="0082081D">
            <w:pPr>
              <w:spacing w:after="0"/>
              <w:jc w:val="center"/>
              <w:cnfStyle w:val="000000000000" w:firstRow="0" w:lastRow="0" w:firstColumn="0" w:lastColumn="0" w:oddVBand="0" w:evenVBand="0" w:oddHBand="0" w:evenHBand="0" w:firstRowFirstColumn="0" w:firstRowLastColumn="0" w:lastRowFirstColumn="0" w:lastRowLastColumn="0"/>
              <w:rPr>
                <w:rFonts w:cs="Arial"/>
                <w:highlight w:val="yellow"/>
              </w:rPr>
            </w:pPr>
            <w:r>
              <w:rPr>
                <w:rFonts w:cs="Arial"/>
              </w:rPr>
              <w:t>3.3</w:t>
            </w:r>
          </w:p>
        </w:tc>
        <w:tc>
          <w:tcPr>
            <w:tcW w:w="1244" w:type="dxa"/>
            <w:vAlign w:val="center"/>
          </w:tcPr>
          <w:p w14:paraId="2B5AAC0B" w14:textId="2508864E" w:rsidR="003C5430" w:rsidRPr="003705EA" w:rsidRDefault="00D87A91">
            <w:pPr>
              <w:spacing w:after="0"/>
              <w:jc w:val="center"/>
              <w:cnfStyle w:val="000000000000" w:firstRow="0" w:lastRow="0" w:firstColumn="0" w:lastColumn="0" w:oddVBand="0" w:evenVBand="0" w:oddHBand="0" w:evenHBand="0" w:firstRowFirstColumn="0" w:firstRowLastColumn="0" w:lastRowFirstColumn="0" w:lastRowLastColumn="0"/>
              <w:rPr>
                <w:rFonts w:cs="Arial"/>
                <w:b/>
                <w:bCs/>
                <w:highlight w:val="yellow"/>
              </w:rPr>
            </w:pPr>
            <w:r>
              <w:rPr>
                <w:rFonts w:cs="Arial"/>
                <w:b/>
                <w:bCs/>
              </w:rPr>
              <w:t>2.2</w:t>
            </w:r>
          </w:p>
        </w:tc>
      </w:tr>
      <w:tr w:rsidR="003C5430" w:rsidRPr="000A4F04" w14:paraId="39E9A7E8" w14:textId="77777777" w:rsidTr="00D304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727" w:type="dxa"/>
            <w:tcBorders>
              <w:top w:val="single" w:sz="4" w:space="0" w:color="auto"/>
            </w:tcBorders>
            <w:shd w:val="clear" w:color="auto" w:fill="370663"/>
          </w:tcPr>
          <w:p w14:paraId="659D70BB" w14:textId="77777777" w:rsidR="003C5430" w:rsidRPr="000A4F04" w:rsidRDefault="003C5430">
            <w:pPr>
              <w:spacing w:after="0"/>
              <w:rPr>
                <w:rFonts w:cs="Arial"/>
                <w:color w:val="000000" w:themeColor="text1"/>
                <w:sz w:val="12"/>
                <w:szCs w:val="12"/>
              </w:rPr>
            </w:pPr>
          </w:p>
        </w:tc>
        <w:tc>
          <w:tcPr>
            <w:tcW w:w="1230" w:type="dxa"/>
            <w:tcBorders>
              <w:top w:val="single" w:sz="4" w:space="0" w:color="auto"/>
            </w:tcBorders>
            <w:shd w:val="clear" w:color="auto" w:fill="370663"/>
            <w:vAlign w:val="center"/>
          </w:tcPr>
          <w:p w14:paraId="63FAA679" w14:textId="77777777" w:rsidR="003C5430" w:rsidRPr="003705EA" w:rsidRDefault="003C5430">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p>
        </w:tc>
        <w:tc>
          <w:tcPr>
            <w:tcW w:w="1166" w:type="dxa"/>
            <w:tcBorders>
              <w:top w:val="single" w:sz="4" w:space="0" w:color="auto"/>
            </w:tcBorders>
            <w:shd w:val="clear" w:color="auto" w:fill="370663"/>
            <w:vAlign w:val="center"/>
          </w:tcPr>
          <w:p w14:paraId="21D1696B" w14:textId="77777777" w:rsidR="003C5430" w:rsidRPr="003705EA" w:rsidRDefault="003C5430">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c>
          <w:tcPr>
            <w:tcW w:w="1244" w:type="dxa"/>
            <w:tcBorders>
              <w:top w:val="single" w:sz="4" w:space="0" w:color="auto"/>
            </w:tcBorders>
            <w:shd w:val="clear" w:color="auto" w:fill="370663"/>
            <w:vAlign w:val="center"/>
          </w:tcPr>
          <w:p w14:paraId="79C5F234" w14:textId="77777777" w:rsidR="003C5430" w:rsidRPr="003705EA" w:rsidRDefault="003C5430">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r>
      <w:tr w:rsidR="00CD1924" w:rsidRPr="000A4F04" w14:paraId="0A591410" w14:textId="77777777" w:rsidTr="00D3045B">
        <w:trPr>
          <w:trHeight w:val="454"/>
        </w:trPr>
        <w:tc>
          <w:tcPr>
            <w:cnfStyle w:val="001000000000" w:firstRow="0" w:lastRow="0" w:firstColumn="1" w:lastColumn="0" w:oddVBand="0" w:evenVBand="0" w:oddHBand="0" w:evenHBand="0" w:firstRowFirstColumn="0" w:firstRowLastColumn="0" w:lastRowFirstColumn="0" w:lastRowLastColumn="0"/>
            <w:tcW w:w="5727" w:type="dxa"/>
          </w:tcPr>
          <w:p w14:paraId="53DB423A" w14:textId="77777777" w:rsidR="003C5430" w:rsidRPr="000A4F04" w:rsidRDefault="003C5430">
            <w:pPr>
              <w:spacing w:after="0"/>
              <w:rPr>
                <w:rFonts w:cs="Arial"/>
                <w:sz w:val="28"/>
                <w:szCs w:val="28"/>
              </w:rPr>
            </w:pPr>
            <w:r w:rsidRPr="000A4F04">
              <w:rPr>
                <w:rFonts w:cs="Arial"/>
                <w:color w:val="000000" w:themeColor="text1"/>
                <w:sz w:val="28"/>
                <w:szCs w:val="28"/>
              </w:rPr>
              <w:t xml:space="preserve">Vision Principle </w:t>
            </w:r>
            <w:r>
              <w:rPr>
                <w:rFonts w:cs="Arial"/>
                <w:color w:val="000000" w:themeColor="text1"/>
                <w:sz w:val="28"/>
                <w:szCs w:val="28"/>
              </w:rPr>
              <w:t>5</w:t>
            </w:r>
          </w:p>
        </w:tc>
        <w:tc>
          <w:tcPr>
            <w:tcW w:w="1230" w:type="dxa"/>
          </w:tcPr>
          <w:p w14:paraId="1D8887D5" w14:textId="77777777" w:rsidR="003C5430" w:rsidRPr="003705EA" w:rsidRDefault="003C5430">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p>
        </w:tc>
        <w:tc>
          <w:tcPr>
            <w:tcW w:w="1166" w:type="dxa"/>
          </w:tcPr>
          <w:p w14:paraId="19CFCB46" w14:textId="77777777" w:rsidR="003C5430" w:rsidRPr="003705EA" w:rsidRDefault="003C5430">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c>
          <w:tcPr>
            <w:tcW w:w="1244" w:type="dxa"/>
          </w:tcPr>
          <w:p w14:paraId="53B60E8D" w14:textId="77777777" w:rsidR="003C5430" w:rsidRPr="003705EA" w:rsidRDefault="003C5430">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r>
      <w:tr w:rsidR="00A13456" w:rsidRPr="00653483" w14:paraId="5332F526" w14:textId="777777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727" w:type="dxa"/>
          </w:tcPr>
          <w:p w14:paraId="16635F50" w14:textId="52D95DAD" w:rsidR="003C5430" w:rsidRPr="000B631D" w:rsidRDefault="00D14D29" w:rsidP="0025479A">
            <w:pPr>
              <w:pStyle w:val="ListParagraph"/>
              <w:numPr>
                <w:ilvl w:val="0"/>
                <w:numId w:val="12"/>
              </w:numPr>
              <w:spacing w:after="0" w:line="240" w:lineRule="auto"/>
              <w:ind w:left="314" w:hanging="284"/>
              <w:rPr>
                <w:rFonts w:cs="Arial"/>
                <w:b w:val="0"/>
                <w:bCs w:val="0"/>
              </w:rPr>
            </w:pPr>
            <w:r>
              <w:rPr>
                <w:rFonts w:cs="Arial"/>
                <w:b w:val="0"/>
                <w:bCs w:val="0"/>
              </w:rPr>
              <w:t>Beveridge Curve analysis</w:t>
            </w:r>
          </w:p>
        </w:tc>
        <w:tc>
          <w:tcPr>
            <w:tcW w:w="1230" w:type="dxa"/>
            <w:vAlign w:val="center"/>
          </w:tcPr>
          <w:p w14:paraId="7D4C4E0F" w14:textId="33EA5EF0" w:rsidR="003C5430" w:rsidRPr="003705EA" w:rsidRDefault="004E2BE7">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rPr>
              <w:t>n/a</w:t>
            </w:r>
          </w:p>
        </w:tc>
        <w:tc>
          <w:tcPr>
            <w:tcW w:w="1166" w:type="dxa"/>
            <w:vAlign w:val="center"/>
          </w:tcPr>
          <w:p w14:paraId="735B9905" w14:textId="22F26A7D" w:rsidR="003C5430" w:rsidRPr="003705EA" w:rsidRDefault="004E2BE7">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sidRPr="004D08E0">
              <w:rPr>
                <w:rFonts w:cs="Arial"/>
              </w:rPr>
              <w:t>n/a</w:t>
            </w:r>
          </w:p>
        </w:tc>
        <w:tc>
          <w:tcPr>
            <w:tcW w:w="1244" w:type="dxa"/>
            <w:vAlign w:val="center"/>
          </w:tcPr>
          <w:p w14:paraId="1C0A5386" w14:textId="23C9297C" w:rsidR="003C5430" w:rsidRPr="003705EA" w:rsidRDefault="004E2BE7">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rPr>
              <w:t>n/a</w:t>
            </w:r>
          </w:p>
        </w:tc>
      </w:tr>
      <w:tr w:rsidR="00CD1924" w:rsidRPr="00653483" w14:paraId="2049A58E" w14:textId="77777777" w:rsidTr="00D3045B">
        <w:trPr>
          <w:trHeight w:val="454"/>
        </w:trPr>
        <w:tc>
          <w:tcPr>
            <w:cnfStyle w:val="001000000000" w:firstRow="0" w:lastRow="0" w:firstColumn="1" w:lastColumn="0" w:oddVBand="0" w:evenVBand="0" w:oddHBand="0" w:evenHBand="0" w:firstRowFirstColumn="0" w:firstRowLastColumn="0" w:lastRowFirstColumn="0" w:lastRowLastColumn="0"/>
            <w:tcW w:w="5727" w:type="dxa"/>
          </w:tcPr>
          <w:p w14:paraId="64F398DB" w14:textId="0947AD18" w:rsidR="003C5430" w:rsidRPr="000B631D" w:rsidRDefault="00D14D29" w:rsidP="00F15C05">
            <w:pPr>
              <w:pStyle w:val="ListParagraph"/>
              <w:numPr>
                <w:ilvl w:val="0"/>
                <w:numId w:val="12"/>
              </w:numPr>
              <w:spacing w:after="0" w:line="240" w:lineRule="auto"/>
              <w:ind w:left="312" w:hanging="284"/>
              <w:rPr>
                <w:rFonts w:cs="Arial"/>
                <w:b w:val="0"/>
                <w:bCs w:val="0"/>
              </w:rPr>
            </w:pPr>
            <w:r>
              <w:rPr>
                <w:rFonts w:cs="Arial"/>
                <w:b w:val="0"/>
                <w:bCs w:val="0"/>
              </w:rPr>
              <w:t>Efficiency of labour market matching</w:t>
            </w:r>
            <w:r w:rsidR="00B45E0B">
              <w:rPr>
                <w:rFonts w:cs="Arial"/>
                <w:b w:val="0"/>
                <w:bCs w:val="0"/>
              </w:rPr>
              <w:t xml:space="preserve"> (%)</w:t>
            </w:r>
          </w:p>
        </w:tc>
        <w:tc>
          <w:tcPr>
            <w:tcW w:w="1230" w:type="dxa"/>
          </w:tcPr>
          <w:p w14:paraId="703BF288" w14:textId="37541398" w:rsidR="003C5430" w:rsidRPr="001D7DF4" w:rsidRDefault="00511C8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asciiTheme="minorHAnsi" w:hAnsiTheme="minorHAnsi" w:cstheme="minorHAnsi"/>
              </w:rPr>
              <w:t>84.1</w:t>
            </w:r>
          </w:p>
        </w:tc>
        <w:tc>
          <w:tcPr>
            <w:tcW w:w="1166" w:type="dxa"/>
          </w:tcPr>
          <w:p w14:paraId="46D4379A" w14:textId="390AEED5" w:rsidR="003C5430" w:rsidRPr="001D7DF4" w:rsidRDefault="00511C8E">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Pr>
                <w:rFonts w:asciiTheme="minorHAnsi" w:hAnsiTheme="minorHAnsi" w:cstheme="minorHAnsi"/>
              </w:rPr>
              <w:t>81.8</w:t>
            </w:r>
          </w:p>
        </w:tc>
        <w:tc>
          <w:tcPr>
            <w:tcW w:w="1244" w:type="dxa"/>
          </w:tcPr>
          <w:p w14:paraId="5665F3DF" w14:textId="0830ED49" w:rsidR="003C5430" w:rsidRPr="001D7DF4" w:rsidRDefault="0054010F">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80.7</w:t>
            </w:r>
          </w:p>
        </w:tc>
      </w:tr>
    </w:tbl>
    <w:p w14:paraId="015C407F" w14:textId="4FF09BFD" w:rsidR="0045196E" w:rsidRPr="008731B9" w:rsidRDefault="0045196E" w:rsidP="00A27EC5">
      <w:pPr>
        <w:pStyle w:val="Heading2"/>
      </w:pPr>
      <w:bookmarkStart w:id="205" w:name="_Toc200637158"/>
      <w:bookmarkStart w:id="206" w:name="_Toc201070200"/>
      <w:bookmarkStart w:id="207" w:name="_Toc201919863"/>
      <w:bookmarkStart w:id="208" w:name="_Toc202361891"/>
      <w:r w:rsidRPr="008731B9">
        <w:lastRenderedPageBreak/>
        <w:t>Regional Victoria</w:t>
      </w:r>
      <w:bookmarkEnd w:id="205"/>
      <w:bookmarkEnd w:id="206"/>
      <w:bookmarkEnd w:id="207"/>
      <w:bookmarkEnd w:id="208"/>
    </w:p>
    <w:p w14:paraId="4B22EA01" w14:textId="0035436A" w:rsidR="0045196E" w:rsidRPr="0048438C" w:rsidRDefault="009D232C" w:rsidP="009D232C">
      <w:pPr>
        <w:pStyle w:val="Caption"/>
        <w:rPr>
          <w:b w:val="0"/>
          <w:bCs w:val="0"/>
        </w:rPr>
      </w:pPr>
      <w:r>
        <w:t xml:space="preserve">Table </w:t>
      </w:r>
      <w:r>
        <w:fldChar w:fldCharType="begin"/>
      </w:r>
      <w:r>
        <w:instrText xml:space="preserve"> SEQ Table \* ARABIC </w:instrText>
      </w:r>
      <w:r>
        <w:fldChar w:fldCharType="separate"/>
      </w:r>
      <w:r w:rsidR="00471863">
        <w:rPr>
          <w:noProof/>
        </w:rPr>
        <w:t>34</w:t>
      </w:r>
      <w:r>
        <w:fldChar w:fldCharType="end"/>
      </w:r>
      <w:r w:rsidR="0045196E" w:rsidRPr="0048438C">
        <w:rPr>
          <w:b w:val="0"/>
          <w:bCs w:val="0"/>
        </w:rPr>
        <w:t>:</w:t>
      </w:r>
      <w:r w:rsidR="00820B93" w:rsidRPr="00820B93">
        <w:t xml:space="preserve"> Roadmap indicators for Regional </w:t>
      </w:r>
      <w:r w:rsidR="00820B93">
        <w:t>Victoria</w:t>
      </w:r>
      <w:r w:rsidR="00194A47">
        <w:t>,</w:t>
      </w:r>
      <w:r w:rsidR="00820B93" w:rsidRPr="00820B93">
        <w:t xml:space="preserve"> </w:t>
      </w:r>
      <w:r w:rsidR="00820B93">
        <w:t>Melbourne</w:t>
      </w:r>
      <w:r w:rsidR="00194A47">
        <w:t xml:space="preserve"> and Regional Australia</w:t>
      </w:r>
    </w:p>
    <w:tbl>
      <w:tblPr>
        <w:tblStyle w:val="PlainTable4"/>
        <w:tblW w:w="9367" w:type="dxa"/>
        <w:tblLook w:val="04A0" w:firstRow="1" w:lastRow="0" w:firstColumn="1" w:lastColumn="0" w:noHBand="0" w:noVBand="1"/>
      </w:tblPr>
      <w:tblGrid>
        <w:gridCol w:w="5463"/>
        <w:gridCol w:w="1230"/>
        <w:gridCol w:w="1430"/>
        <w:gridCol w:w="1244"/>
      </w:tblGrid>
      <w:tr w:rsidR="00062B02" w:rsidRPr="00653483" w14:paraId="7A1A1155" w14:textId="77777777">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5463" w:type="dxa"/>
            <w:shd w:val="clear" w:color="auto" w:fill="370663"/>
            <w:vAlign w:val="center"/>
          </w:tcPr>
          <w:p w14:paraId="3253E7CE" w14:textId="77777777" w:rsidR="00062B02" w:rsidRPr="00DF1C3B" w:rsidRDefault="00062B02">
            <w:pPr>
              <w:spacing w:before="120" w:after="120"/>
              <w:rPr>
                <w:rFonts w:cs="Arial"/>
                <w:color w:val="FFFFFF" w:themeColor="background1"/>
                <w:sz w:val="24"/>
                <w:szCs w:val="24"/>
              </w:rPr>
            </w:pPr>
          </w:p>
        </w:tc>
        <w:tc>
          <w:tcPr>
            <w:tcW w:w="1230" w:type="dxa"/>
            <w:shd w:val="clear" w:color="auto" w:fill="370663"/>
            <w:vAlign w:val="center"/>
          </w:tcPr>
          <w:p w14:paraId="57F09327" w14:textId="77777777" w:rsidR="00062B02" w:rsidRPr="00DF1C3B" w:rsidRDefault="00062B02">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sidRPr="00DF1C3B">
              <w:rPr>
                <w:rFonts w:cs="Arial"/>
                <w:color w:val="FFFFFF" w:themeColor="background1"/>
                <w:sz w:val="24"/>
                <w:szCs w:val="24"/>
              </w:rPr>
              <w:t xml:space="preserve">Regional </w:t>
            </w:r>
            <w:r>
              <w:rPr>
                <w:rFonts w:cs="Arial"/>
                <w:color w:val="FFFFFF" w:themeColor="background1"/>
                <w:sz w:val="24"/>
                <w:szCs w:val="24"/>
              </w:rPr>
              <w:t>VIC</w:t>
            </w:r>
          </w:p>
        </w:tc>
        <w:tc>
          <w:tcPr>
            <w:tcW w:w="1430" w:type="dxa"/>
            <w:shd w:val="clear" w:color="auto" w:fill="370663"/>
            <w:vAlign w:val="center"/>
          </w:tcPr>
          <w:p w14:paraId="434A2209" w14:textId="77777777" w:rsidR="00062B02" w:rsidRPr="00DF1C3B" w:rsidRDefault="00062B02">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Pr>
                <w:rFonts w:cs="Arial"/>
                <w:color w:val="FFFFFF" w:themeColor="background1"/>
                <w:sz w:val="24"/>
                <w:szCs w:val="24"/>
              </w:rPr>
              <w:t>Melbourne</w:t>
            </w:r>
          </w:p>
        </w:tc>
        <w:tc>
          <w:tcPr>
            <w:tcW w:w="1244" w:type="dxa"/>
            <w:shd w:val="clear" w:color="auto" w:fill="370663"/>
          </w:tcPr>
          <w:p w14:paraId="0E0893C8" w14:textId="77777777" w:rsidR="00062B02" w:rsidRPr="00DF1C3B" w:rsidRDefault="00062B02">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sidRPr="00DF1C3B">
              <w:rPr>
                <w:rFonts w:cs="Arial"/>
                <w:color w:val="FFFFFF" w:themeColor="background1"/>
                <w:sz w:val="24"/>
                <w:szCs w:val="24"/>
              </w:rPr>
              <w:t>Regional Australia</w:t>
            </w:r>
          </w:p>
        </w:tc>
      </w:tr>
      <w:tr w:rsidR="00A13456" w:rsidRPr="000A4F04" w14:paraId="6DAAFE21" w14:textId="77777777" w:rsidTr="00B042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shd w:val="clear" w:color="auto" w:fill="FFFFFF" w:themeFill="background1"/>
            <w:vAlign w:val="center"/>
          </w:tcPr>
          <w:p w14:paraId="5517D420" w14:textId="77777777" w:rsidR="00062B02" w:rsidRPr="000A4F04" w:rsidRDefault="00062B02">
            <w:pPr>
              <w:spacing w:after="0"/>
              <w:rPr>
                <w:rFonts w:cs="Arial"/>
                <w:sz w:val="28"/>
                <w:szCs w:val="28"/>
              </w:rPr>
            </w:pPr>
            <w:r w:rsidRPr="000A4F04">
              <w:rPr>
                <w:rFonts w:cs="Arial"/>
                <w:color w:val="000000" w:themeColor="text1"/>
                <w:sz w:val="28"/>
                <w:szCs w:val="28"/>
              </w:rPr>
              <w:t>Vision Principle 1</w:t>
            </w:r>
          </w:p>
        </w:tc>
        <w:tc>
          <w:tcPr>
            <w:tcW w:w="1230" w:type="dxa"/>
            <w:shd w:val="clear" w:color="auto" w:fill="FFFFFF" w:themeFill="background1"/>
            <w:vAlign w:val="center"/>
          </w:tcPr>
          <w:p w14:paraId="0E31BF59" w14:textId="77777777" w:rsidR="00062B02" w:rsidRPr="000A4F04" w:rsidRDefault="00062B02">
            <w:pPr>
              <w:spacing w:after="0"/>
              <w:jc w:val="center"/>
              <w:cnfStyle w:val="000000100000" w:firstRow="0" w:lastRow="0" w:firstColumn="0" w:lastColumn="0" w:oddVBand="0" w:evenVBand="0" w:oddHBand="1" w:evenHBand="0" w:firstRowFirstColumn="0" w:firstRowLastColumn="0" w:lastRowFirstColumn="0" w:lastRowLastColumn="0"/>
              <w:rPr>
                <w:rFonts w:cs="Arial"/>
                <w:sz w:val="28"/>
                <w:szCs w:val="28"/>
              </w:rPr>
            </w:pPr>
          </w:p>
        </w:tc>
        <w:tc>
          <w:tcPr>
            <w:tcW w:w="1430" w:type="dxa"/>
            <w:shd w:val="clear" w:color="auto" w:fill="FFFFFF" w:themeFill="background1"/>
            <w:vAlign w:val="center"/>
          </w:tcPr>
          <w:p w14:paraId="25866624" w14:textId="77777777" w:rsidR="00062B02" w:rsidRPr="000A4F04" w:rsidRDefault="00062B02">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8"/>
                <w:szCs w:val="28"/>
              </w:rPr>
            </w:pPr>
          </w:p>
        </w:tc>
        <w:tc>
          <w:tcPr>
            <w:tcW w:w="1244" w:type="dxa"/>
            <w:shd w:val="clear" w:color="auto" w:fill="FFFFFF" w:themeFill="background1"/>
            <w:vAlign w:val="center"/>
          </w:tcPr>
          <w:p w14:paraId="30093E62" w14:textId="77777777" w:rsidR="00062B02" w:rsidRPr="000A4F04" w:rsidRDefault="00062B02">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8"/>
                <w:szCs w:val="28"/>
              </w:rPr>
            </w:pPr>
          </w:p>
        </w:tc>
      </w:tr>
      <w:tr w:rsidR="00062B02" w:rsidRPr="00653483" w14:paraId="62E9ED2C" w14:textId="77777777" w:rsidTr="002F0933">
        <w:trPr>
          <w:trHeight w:val="454"/>
        </w:trPr>
        <w:tc>
          <w:tcPr>
            <w:cnfStyle w:val="001000000000" w:firstRow="0" w:lastRow="0" w:firstColumn="1" w:lastColumn="0" w:oddVBand="0" w:evenVBand="0" w:oddHBand="0" w:evenHBand="0" w:firstRowFirstColumn="0" w:firstRowLastColumn="0" w:lastRowFirstColumn="0" w:lastRowLastColumn="0"/>
            <w:tcW w:w="5463" w:type="dxa"/>
            <w:shd w:val="clear" w:color="auto" w:fill="F2F2F2" w:themeFill="background1" w:themeFillShade="F2"/>
            <w:vAlign w:val="center"/>
          </w:tcPr>
          <w:p w14:paraId="53E43199" w14:textId="1FCC04BE" w:rsidR="00062B02" w:rsidRPr="00F15C05" w:rsidRDefault="00062B02" w:rsidP="00F15C05">
            <w:pPr>
              <w:pStyle w:val="ListParagraph"/>
              <w:numPr>
                <w:ilvl w:val="0"/>
                <w:numId w:val="58"/>
              </w:numPr>
              <w:spacing w:after="0" w:line="240" w:lineRule="auto"/>
              <w:ind w:left="385" w:hanging="357"/>
              <w:rPr>
                <w:rFonts w:cs="Arial"/>
                <w:b w:val="0"/>
                <w:bCs w:val="0"/>
              </w:rPr>
            </w:pPr>
            <w:r w:rsidRPr="00F15C05">
              <w:rPr>
                <w:rFonts w:cs="Arial"/>
                <w:b w:val="0"/>
                <w:bCs w:val="0"/>
              </w:rPr>
              <w:t>School non-attendance rate (%)</w:t>
            </w:r>
          </w:p>
        </w:tc>
        <w:tc>
          <w:tcPr>
            <w:tcW w:w="1230" w:type="dxa"/>
            <w:shd w:val="clear" w:color="auto" w:fill="F2F2F2" w:themeFill="background1" w:themeFillShade="F2"/>
            <w:vAlign w:val="center"/>
          </w:tcPr>
          <w:p w14:paraId="744F8CED" w14:textId="5C22C16F" w:rsidR="00062B02" w:rsidRPr="004D08E0" w:rsidRDefault="00062B02">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b/>
                <w:bCs/>
              </w:rPr>
              <w:t>1</w:t>
            </w:r>
            <w:r w:rsidR="00886822">
              <w:rPr>
                <w:b/>
                <w:bCs/>
              </w:rPr>
              <w:t>3</w:t>
            </w:r>
            <w:r w:rsidRPr="004D08E0">
              <w:rPr>
                <w:b/>
                <w:bCs/>
              </w:rPr>
              <w:t>.0</w:t>
            </w:r>
          </w:p>
        </w:tc>
        <w:tc>
          <w:tcPr>
            <w:tcW w:w="1430" w:type="dxa"/>
            <w:shd w:val="clear" w:color="auto" w:fill="F2F2F2" w:themeFill="background1" w:themeFillShade="F2"/>
            <w:vAlign w:val="center"/>
          </w:tcPr>
          <w:p w14:paraId="2ADE51D7" w14:textId="110B8A61" w:rsidR="00062B02" w:rsidRPr="004D08E0" w:rsidRDefault="00886822">
            <w:pPr>
              <w:spacing w:after="0"/>
              <w:jc w:val="center"/>
              <w:cnfStyle w:val="000000000000" w:firstRow="0" w:lastRow="0" w:firstColumn="0" w:lastColumn="0" w:oddVBand="0" w:evenVBand="0" w:oddHBand="0" w:evenHBand="0" w:firstRowFirstColumn="0" w:firstRowLastColumn="0" w:lastRowFirstColumn="0" w:lastRowLastColumn="0"/>
              <w:rPr>
                <w:rFonts w:cs="Arial"/>
              </w:rPr>
            </w:pPr>
            <w:r>
              <w:t>10.9</w:t>
            </w:r>
          </w:p>
        </w:tc>
        <w:tc>
          <w:tcPr>
            <w:tcW w:w="1244" w:type="dxa"/>
            <w:shd w:val="clear" w:color="auto" w:fill="F2F2F2" w:themeFill="background1" w:themeFillShade="F2"/>
            <w:vAlign w:val="center"/>
          </w:tcPr>
          <w:p w14:paraId="2DF674C1" w14:textId="3F992BBC" w:rsidR="00062B02" w:rsidRPr="004D08E0" w:rsidRDefault="00E70643">
            <w:pPr>
              <w:spacing w:after="0"/>
              <w:jc w:val="center"/>
              <w:cnfStyle w:val="000000000000" w:firstRow="0" w:lastRow="0" w:firstColumn="0" w:lastColumn="0" w:oddVBand="0" w:evenVBand="0" w:oddHBand="0" w:evenHBand="0" w:firstRowFirstColumn="0" w:firstRowLastColumn="0" w:lastRowFirstColumn="0" w:lastRowLastColumn="0"/>
              <w:rPr>
                <w:rFonts w:cs="Arial"/>
                <w:b/>
                <w:bCs/>
                <w:highlight w:val="yellow"/>
              </w:rPr>
            </w:pPr>
            <w:r>
              <w:rPr>
                <w:rFonts w:cs="Arial"/>
                <w:b/>
                <w:bCs/>
              </w:rPr>
              <w:t>14.6</w:t>
            </w:r>
          </w:p>
        </w:tc>
      </w:tr>
      <w:tr w:rsidR="00A13456" w:rsidRPr="00653483" w14:paraId="58BDF8DF" w14:textId="77777777" w:rsidTr="00B042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shd w:val="clear" w:color="auto" w:fill="FFFFFF" w:themeFill="background1"/>
            <w:vAlign w:val="center"/>
          </w:tcPr>
          <w:p w14:paraId="433CA1C0" w14:textId="28ABD592" w:rsidR="00062B02" w:rsidRPr="000B631D" w:rsidRDefault="00062B02" w:rsidP="00F15C05">
            <w:pPr>
              <w:pStyle w:val="ListParagraph"/>
              <w:numPr>
                <w:ilvl w:val="0"/>
                <w:numId w:val="58"/>
              </w:numPr>
              <w:spacing w:after="0" w:line="240" w:lineRule="auto"/>
              <w:ind w:left="385" w:hanging="357"/>
              <w:rPr>
                <w:rFonts w:cs="Arial"/>
                <w:b w:val="0"/>
                <w:bCs w:val="0"/>
              </w:rPr>
            </w:pPr>
            <w:r w:rsidRPr="000B631D">
              <w:rPr>
                <w:rFonts w:cs="Arial"/>
                <w:b w:val="0"/>
                <w:bCs w:val="0"/>
              </w:rPr>
              <w:t>Youth not in education, employment</w:t>
            </w:r>
            <w:r>
              <w:rPr>
                <w:rFonts w:cs="Arial"/>
                <w:b w:val="0"/>
                <w:bCs w:val="0"/>
              </w:rPr>
              <w:t xml:space="preserve">, </w:t>
            </w:r>
            <w:r w:rsidRPr="000B631D">
              <w:rPr>
                <w:rFonts w:cs="Arial"/>
                <w:b w:val="0"/>
                <w:bCs w:val="0"/>
              </w:rPr>
              <w:t>training (%)</w:t>
            </w:r>
          </w:p>
        </w:tc>
        <w:tc>
          <w:tcPr>
            <w:tcW w:w="1230" w:type="dxa"/>
            <w:shd w:val="clear" w:color="auto" w:fill="FFFFFF" w:themeFill="background1"/>
            <w:vAlign w:val="center"/>
          </w:tcPr>
          <w:p w14:paraId="08162AC1" w14:textId="69803333" w:rsidR="00062B02" w:rsidRPr="004D08E0" w:rsidRDefault="00062B02">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b/>
                <w:bCs/>
              </w:rPr>
              <w:t>17.</w:t>
            </w:r>
            <w:r w:rsidR="001B5AD6">
              <w:rPr>
                <w:b/>
                <w:bCs/>
              </w:rPr>
              <w:t>4</w:t>
            </w:r>
          </w:p>
        </w:tc>
        <w:tc>
          <w:tcPr>
            <w:tcW w:w="1430" w:type="dxa"/>
            <w:shd w:val="clear" w:color="auto" w:fill="FFFFFF" w:themeFill="background1"/>
            <w:vAlign w:val="center"/>
          </w:tcPr>
          <w:p w14:paraId="5572E615" w14:textId="0A3877A5" w:rsidR="00062B02" w:rsidRPr="004D08E0" w:rsidRDefault="00062B02">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sidRPr="004D08E0">
              <w:t>8.</w:t>
            </w:r>
            <w:r w:rsidR="001B5AD6">
              <w:t>3</w:t>
            </w:r>
          </w:p>
        </w:tc>
        <w:tc>
          <w:tcPr>
            <w:tcW w:w="1244" w:type="dxa"/>
            <w:shd w:val="clear" w:color="auto" w:fill="FFFFFF" w:themeFill="background1"/>
            <w:vAlign w:val="center"/>
          </w:tcPr>
          <w:p w14:paraId="33F1A7C5" w14:textId="414F61E6" w:rsidR="00062B02" w:rsidRPr="004D08E0" w:rsidRDefault="00062B02">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15.</w:t>
            </w:r>
            <w:r w:rsidR="00012BD0">
              <w:rPr>
                <w:rFonts w:cs="Arial"/>
                <w:b/>
                <w:bCs/>
              </w:rPr>
              <w:t>3</w:t>
            </w:r>
          </w:p>
        </w:tc>
      </w:tr>
      <w:tr w:rsidR="00062B02" w:rsidRPr="00653483" w14:paraId="6226CF40" w14:textId="77777777" w:rsidTr="002F0933">
        <w:trPr>
          <w:trHeight w:val="454"/>
        </w:trPr>
        <w:tc>
          <w:tcPr>
            <w:cnfStyle w:val="001000000000" w:firstRow="0" w:lastRow="0" w:firstColumn="1" w:lastColumn="0" w:oddVBand="0" w:evenVBand="0" w:oddHBand="0" w:evenHBand="0" w:firstRowFirstColumn="0" w:firstRowLastColumn="0" w:lastRowFirstColumn="0" w:lastRowLastColumn="0"/>
            <w:tcW w:w="5463" w:type="dxa"/>
            <w:shd w:val="clear" w:color="auto" w:fill="F2F2F2" w:themeFill="background1" w:themeFillShade="F2"/>
            <w:vAlign w:val="center"/>
          </w:tcPr>
          <w:p w14:paraId="0B0167B8" w14:textId="4FDC0EBA" w:rsidR="00062B02" w:rsidRPr="00B26AE6" w:rsidRDefault="00062B02" w:rsidP="00F15C05">
            <w:pPr>
              <w:pStyle w:val="ListParagraph"/>
              <w:numPr>
                <w:ilvl w:val="0"/>
                <w:numId w:val="58"/>
              </w:numPr>
              <w:spacing w:after="0" w:line="240" w:lineRule="auto"/>
              <w:ind w:left="385" w:hanging="357"/>
              <w:rPr>
                <w:rFonts w:cs="Arial"/>
                <w:b w:val="0"/>
                <w:bCs w:val="0"/>
              </w:rPr>
            </w:pPr>
            <w:r w:rsidRPr="00B26AE6">
              <w:rPr>
                <w:rFonts w:cs="Arial"/>
                <w:b w:val="0"/>
                <w:bCs w:val="0"/>
              </w:rPr>
              <w:t>Prime age participation rate (%)</w:t>
            </w:r>
          </w:p>
        </w:tc>
        <w:tc>
          <w:tcPr>
            <w:tcW w:w="1230" w:type="dxa"/>
            <w:shd w:val="clear" w:color="auto" w:fill="F2F2F2" w:themeFill="background1" w:themeFillShade="F2"/>
            <w:vAlign w:val="center"/>
          </w:tcPr>
          <w:p w14:paraId="4FF4B61D" w14:textId="77777777" w:rsidR="00062B02" w:rsidRPr="004D08E0" w:rsidRDefault="00062B02">
            <w:pPr>
              <w:spacing w:after="0"/>
              <w:jc w:val="center"/>
              <w:cnfStyle w:val="000000000000" w:firstRow="0" w:lastRow="0" w:firstColumn="0" w:lastColumn="0" w:oddVBand="0" w:evenVBand="0" w:oddHBand="0" w:evenHBand="0" w:firstRowFirstColumn="0" w:firstRowLastColumn="0" w:lastRowFirstColumn="0" w:lastRowLastColumn="0"/>
              <w:rPr>
                <w:b/>
                <w:bCs/>
              </w:rPr>
            </w:pPr>
            <w:r w:rsidRPr="004D08E0">
              <w:rPr>
                <w:b/>
                <w:bCs/>
              </w:rPr>
              <w:t>86.1</w:t>
            </w:r>
          </w:p>
        </w:tc>
        <w:tc>
          <w:tcPr>
            <w:tcW w:w="1430" w:type="dxa"/>
            <w:shd w:val="clear" w:color="auto" w:fill="F2F2F2" w:themeFill="background1" w:themeFillShade="F2"/>
            <w:vAlign w:val="center"/>
          </w:tcPr>
          <w:p w14:paraId="79FB602E" w14:textId="2EBC7723" w:rsidR="00062B02" w:rsidRPr="004D08E0" w:rsidRDefault="00062B02">
            <w:pPr>
              <w:spacing w:after="0"/>
              <w:jc w:val="center"/>
              <w:cnfStyle w:val="000000000000" w:firstRow="0" w:lastRow="0" w:firstColumn="0" w:lastColumn="0" w:oddVBand="0" w:evenVBand="0" w:oddHBand="0" w:evenHBand="0" w:firstRowFirstColumn="0" w:firstRowLastColumn="0" w:lastRowFirstColumn="0" w:lastRowLastColumn="0"/>
            </w:pPr>
            <w:r w:rsidRPr="004D08E0">
              <w:t>87.</w:t>
            </w:r>
            <w:r w:rsidR="003F60F2">
              <w:t>8</w:t>
            </w:r>
          </w:p>
        </w:tc>
        <w:tc>
          <w:tcPr>
            <w:tcW w:w="1244" w:type="dxa"/>
            <w:shd w:val="clear" w:color="auto" w:fill="F2F2F2" w:themeFill="background1" w:themeFillShade="F2"/>
            <w:vAlign w:val="center"/>
          </w:tcPr>
          <w:p w14:paraId="3BA5C942" w14:textId="77777777" w:rsidR="00062B02" w:rsidRPr="004D08E0" w:rsidRDefault="00062B02">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rFonts w:cs="Arial"/>
                <w:b/>
                <w:bCs/>
              </w:rPr>
              <w:t>85.4</w:t>
            </w:r>
          </w:p>
        </w:tc>
      </w:tr>
      <w:tr w:rsidR="00A13456" w:rsidRPr="00653483" w14:paraId="1FB2EEB5" w14:textId="77777777" w:rsidTr="00B042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shd w:val="clear" w:color="auto" w:fill="FFFFFF" w:themeFill="background1"/>
            <w:vAlign w:val="center"/>
          </w:tcPr>
          <w:p w14:paraId="05E9C822" w14:textId="2115F9D6" w:rsidR="00062B02" w:rsidRPr="00DB3AC9" w:rsidRDefault="00062B02" w:rsidP="00F15C05">
            <w:pPr>
              <w:pStyle w:val="ListParagraph"/>
              <w:numPr>
                <w:ilvl w:val="0"/>
                <w:numId w:val="58"/>
              </w:numPr>
              <w:spacing w:after="0" w:line="240" w:lineRule="auto"/>
              <w:ind w:left="385" w:hanging="357"/>
              <w:rPr>
                <w:rFonts w:cs="Arial"/>
                <w:b w:val="0"/>
                <w:bCs w:val="0"/>
              </w:rPr>
            </w:pPr>
            <w:r w:rsidRPr="00DB3AC9">
              <w:rPr>
                <w:rFonts w:cs="Arial"/>
                <w:b w:val="0"/>
                <w:bCs w:val="0"/>
              </w:rPr>
              <w:t>Unemployment rate (%)</w:t>
            </w:r>
          </w:p>
        </w:tc>
        <w:tc>
          <w:tcPr>
            <w:tcW w:w="1230" w:type="dxa"/>
            <w:shd w:val="clear" w:color="auto" w:fill="FFFFFF" w:themeFill="background1"/>
            <w:vAlign w:val="center"/>
          </w:tcPr>
          <w:p w14:paraId="74AF79D2" w14:textId="77777777" w:rsidR="00062B02" w:rsidRPr="004D08E0" w:rsidRDefault="00062B02">
            <w:pPr>
              <w:spacing w:after="0"/>
              <w:jc w:val="center"/>
              <w:cnfStyle w:val="000000100000" w:firstRow="0" w:lastRow="0" w:firstColumn="0" w:lastColumn="0" w:oddVBand="0" w:evenVBand="0" w:oddHBand="1" w:evenHBand="0" w:firstRowFirstColumn="0" w:firstRowLastColumn="0" w:lastRowFirstColumn="0" w:lastRowLastColumn="0"/>
              <w:rPr>
                <w:b/>
                <w:bCs/>
              </w:rPr>
            </w:pPr>
            <w:r w:rsidRPr="004D08E0">
              <w:rPr>
                <w:b/>
                <w:bCs/>
              </w:rPr>
              <w:t>3.6</w:t>
            </w:r>
          </w:p>
        </w:tc>
        <w:tc>
          <w:tcPr>
            <w:tcW w:w="1430" w:type="dxa"/>
            <w:shd w:val="clear" w:color="auto" w:fill="FFFFFF" w:themeFill="background1"/>
            <w:vAlign w:val="center"/>
          </w:tcPr>
          <w:p w14:paraId="0AE15358" w14:textId="4CECF85B" w:rsidR="00062B02" w:rsidRPr="004D08E0" w:rsidRDefault="007E04E6">
            <w:pPr>
              <w:spacing w:after="0"/>
              <w:jc w:val="center"/>
              <w:cnfStyle w:val="000000100000" w:firstRow="0" w:lastRow="0" w:firstColumn="0" w:lastColumn="0" w:oddVBand="0" w:evenVBand="0" w:oddHBand="1" w:evenHBand="0" w:firstRowFirstColumn="0" w:firstRowLastColumn="0" w:lastRowFirstColumn="0" w:lastRowLastColumn="0"/>
            </w:pPr>
            <w:r>
              <w:t>5.0</w:t>
            </w:r>
          </w:p>
        </w:tc>
        <w:tc>
          <w:tcPr>
            <w:tcW w:w="1244" w:type="dxa"/>
            <w:shd w:val="clear" w:color="auto" w:fill="FFFFFF" w:themeFill="background1"/>
            <w:vAlign w:val="center"/>
          </w:tcPr>
          <w:p w14:paraId="014719BC" w14:textId="77777777" w:rsidR="00062B02" w:rsidRPr="004D08E0" w:rsidRDefault="00062B02">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4.0</w:t>
            </w:r>
          </w:p>
        </w:tc>
      </w:tr>
      <w:tr w:rsidR="00062B02" w:rsidRPr="00653483" w14:paraId="184933D2" w14:textId="77777777" w:rsidTr="002F0933">
        <w:trPr>
          <w:trHeight w:val="454"/>
        </w:trPr>
        <w:tc>
          <w:tcPr>
            <w:cnfStyle w:val="001000000000" w:firstRow="0" w:lastRow="0" w:firstColumn="1" w:lastColumn="0" w:oddVBand="0" w:evenVBand="0" w:oddHBand="0" w:evenHBand="0" w:firstRowFirstColumn="0" w:firstRowLastColumn="0" w:lastRowFirstColumn="0" w:lastRowLastColumn="0"/>
            <w:tcW w:w="5463" w:type="dxa"/>
            <w:shd w:val="clear" w:color="auto" w:fill="F2F2F2" w:themeFill="background1" w:themeFillShade="F2"/>
            <w:vAlign w:val="center"/>
          </w:tcPr>
          <w:p w14:paraId="2E7C4C14" w14:textId="1AC03B9A" w:rsidR="00062B02" w:rsidRPr="000B631D" w:rsidRDefault="00062B02" w:rsidP="00F15C05">
            <w:pPr>
              <w:pStyle w:val="ListParagraph"/>
              <w:numPr>
                <w:ilvl w:val="0"/>
                <w:numId w:val="58"/>
              </w:numPr>
              <w:spacing w:after="0" w:line="240" w:lineRule="auto"/>
              <w:ind w:left="385" w:hanging="357"/>
              <w:rPr>
                <w:rFonts w:cs="Arial"/>
                <w:b w:val="0"/>
                <w:bCs w:val="0"/>
              </w:rPr>
            </w:pPr>
            <w:r w:rsidRPr="000B631D">
              <w:rPr>
                <w:rFonts w:cs="Arial"/>
                <w:b w:val="0"/>
                <w:bCs w:val="0"/>
              </w:rPr>
              <w:t>Proportion of population on</w:t>
            </w:r>
            <w:r>
              <w:rPr>
                <w:rFonts w:cs="Arial"/>
                <w:b w:val="0"/>
                <w:bCs w:val="0"/>
              </w:rPr>
              <w:t xml:space="preserve"> long-term</w:t>
            </w:r>
            <w:r w:rsidRPr="000B631D">
              <w:rPr>
                <w:rFonts w:cs="Arial"/>
                <w:b w:val="0"/>
                <w:bCs w:val="0"/>
              </w:rPr>
              <w:t xml:space="preserve"> income support (%)</w:t>
            </w:r>
          </w:p>
        </w:tc>
        <w:tc>
          <w:tcPr>
            <w:tcW w:w="1230" w:type="dxa"/>
            <w:shd w:val="clear" w:color="auto" w:fill="F2F2F2" w:themeFill="background1" w:themeFillShade="F2"/>
            <w:vAlign w:val="center"/>
          </w:tcPr>
          <w:p w14:paraId="717F74B1" w14:textId="77777777" w:rsidR="00062B02" w:rsidRPr="004D08E0" w:rsidRDefault="00062B02">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b/>
                <w:bCs/>
              </w:rPr>
              <w:t>2.3</w:t>
            </w:r>
          </w:p>
        </w:tc>
        <w:tc>
          <w:tcPr>
            <w:tcW w:w="1430" w:type="dxa"/>
            <w:shd w:val="clear" w:color="auto" w:fill="F2F2F2" w:themeFill="background1" w:themeFillShade="F2"/>
            <w:vAlign w:val="center"/>
          </w:tcPr>
          <w:p w14:paraId="41AC8F31" w14:textId="77777777" w:rsidR="00062B02" w:rsidRPr="004D08E0" w:rsidRDefault="00062B02">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sidRPr="004D08E0">
              <w:t>1.2</w:t>
            </w:r>
          </w:p>
        </w:tc>
        <w:tc>
          <w:tcPr>
            <w:tcW w:w="1244" w:type="dxa"/>
            <w:shd w:val="clear" w:color="auto" w:fill="F2F2F2" w:themeFill="background1" w:themeFillShade="F2"/>
            <w:vAlign w:val="center"/>
          </w:tcPr>
          <w:p w14:paraId="13FE27CA" w14:textId="444796AE" w:rsidR="00062B02" w:rsidRPr="004D08E0" w:rsidRDefault="00062B02">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rFonts w:cs="Arial"/>
                <w:b/>
                <w:bCs/>
              </w:rPr>
              <w:t>2.</w:t>
            </w:r>
            <w:r w:rsidR="00F905A6">
              <w:rPr>
                <w:rFonts w:cs="Arial"/>
                <w:b/>
                <w:bCs/>
              </w:rPr>
              <w:t>4</w:t>
            </w:r>
          </w:p>
        </w:tc>
      </w:tr>
      <w:tr w:rsidR="00062B02" w:rsidRPr="000A4F04" w14:paraId="080562C1" w14:textId="77777777" w:rsidTr="002F093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463" w:type="dxa"/>
            <w:tcBorders>
              <w:top w:val="single" w:sz="4" w:space="0" w:color="auto"/>
            </w:tcBorders>
            <w:shd w:val="clear" w:color="auto" w:fill="370663"/>
          </w:tcPr>
          <w:p w14:paraId="4B55C50C" w14:textId="77777777" w:rsidR="00062B02" w:rsidRPr="000A4F04" w:rsidRDefault="00062B02">
            <w:pPr>
              <w:spacing w:after="0"/>
              <w:rPr>
                <w:rFonts w:cs="Arial"/>
                <w:color w:val="000000" w:themeColor="text1"/>
                <w:sz w:val="12"/>
                <w:szCs w:val="12"/>
              </w:rPr>
            </w:pPr>
          </w:p>
        </w:tc>
        <w:tc>
          <w:tcPr>
            <w:tcW w:w="1230" w:type="dxa"/>
            <w:tcBorders>
              <w:top w:val="single" w:sz="4" w:space="0" w:color="auto"/>
            </w:tcBorders>
            <w:shd w:val="clear" w:color="auto" w:fill="370663"/>
            <w:vAlign w:val="center"/>
          </w:tcPr>
          <w:p w14:paraId="34753B52" w14:textId="77777777" w:rsidR="00062B02" w:rsidRPr="004D08E0" w:rsidRDefault="00062B02">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p>
        </w:tc>
        <w:tc>
          <w:tcPr>
            <w:tcW w:w="1430" w:type="dxa"/>
            <w:tcBorders>
              <w:top w:val="single" w:sz="4" w:space="0" w:color="auto"/>
            </w:tcBorders>
            <w:shd w:val="clear" w:color="auto" w:fill="370663"/>
            <w:vAlign w:val="center"/>
          </w:tcPr>
          <w:p w14:paraId="10718A17" w14:textId="77777777" w:rsidR="00062B02" w:rsidRPr="004D08E0" w:rsidRDefault="00062B02">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c>
          <w:tcPr>
            <w:tcW w:w="1244" w:type="dxa"/>
            <w:tcBorders>
              <w:top w:val="single" w:sz="4" w:space="0" w:color="auto"/>
            </w:tcBorders>
            <w:shd w:val="clear" w:color="auto" w:fill="370663"/>
            <w:vAlign w:val="center"/>
          </w:tcPr>
          <w:p w14:paraId="6ECB4AE7" w14:textId="77777777" w:rsidR="00062B02" w:rsidRPr="004D08E0" w:rsidRDefault="00062B02">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r>
      <w:tr w:rsidR="00062B02" w:rsidRPr="000A4F04" w14:paraId="72A6B9BF" w14:textId="77777777" w:rsidTr="002F0933">
        <w:trPr>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51AA29B4" w14:textId="77777777" w:rsidR="00062B02" w:rsidRPr="000A4F04" w:rsidRDefault="00062B02">
            <w:pPr>
              <w:spacing w:after="0"/>
              <w:rPr>
                <w:rFonts w:cs="Arial"/>
                <w:sz w:val="28"/>
                <w:szCs w:val="28"/>
              </w:rPr>
            </w:pPr>
            <w:r w:rsidRPr="000A4F04">
              <w:rPr>
                <w:rFonts w:cs="Arial"/>
                <w:color w:val="000000" w:themeColor="text1"/>
                <w:sz w:val="28"/>
                <w:szCs w:val="28"/>
              </w:rPr>
              <w:t>Vision Principle 2</w:t>
            </w:r>
          </w:p>
        </w:tc>
        <w:tc>
          <w:tcPr>
            <w:tcW w:w="1230" w:type="dxa"/>
            <w:vAlign w:val="center"/>
          </w:tcPr>
          <w:p w14:paraId="080EC2F3" w14:textId="77777777" w:rsidR="00062B02" w:rsidRPr="004D08E0" w:rsidRDefault="00062B02">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p>
        </w:tc>
        <w:tc>
          <w:tcPr>
            <w:tcW w:w="1430" w:type="dxa"/>
            <w:vAlign w:val="center"/>
          </w:tcPr>
          <w:p w14:paraId="39598E9D" w14:textId="77777777" w:rsidR="00062B02" w:rsidRPr="004D08E0" w:rsidRDefault="00062B02">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c>
          <w:tcPr>
            <w:tcW w:w="1244" w:type="dxa"/>
            <w:vAlign w:val="center"/>
          </w:tcPr>
          <w:p w14:paraId="3BC0E890" w14:textId="77777777" w:rsidR="00062B02" w:rsidRPr="004D08E0" w:rsidRDefault="00062B02">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r>
      <w:tr w:rsidR="00A13456" w:rsidRPr="00653483" w14:paraId="4076333D" w14:textId="77777777" w:rsidTr="00F8746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0130C1A3" w14:textId="1B97D438" w:rsidR="00A77655" w:rsidRPr="000B631D" w:rsidRDefault="00A77655" w:rsidP="00F15C05">
            <w:pPr>
              <w:pStyle w:val="ListParagraph"/>
              <w:numPr>
                <w:ilvl w:val="0"/>
                <w:numId w:val="58"/>
              </w:numPr>
              <w:spacing w:after="0" w:line="240" w:lineRule="auto"/>
              <w:ind w:left="385" w:hanging="357"/>
              <w:rPr>
                <w:rFonts w:cs="Arial"/>
                <w:b w:val="0"/>
                <w:bCs w:val="0"/>
              </w:rPr>
            </w:pPr>
            <w:r>
              <w:rPr>
                <w:rFonts w:cs="Arial"/>
                <w:b w:val="0"/>
                <w:bCs w:val="0"/>
              </w:rPr>
              <w:t>C</w:t>
            </w:r>
            <w:r w:rsidRPr="00842605">
              <w:rPr>
                <w:rFonts w:cs="Arial"/>
                <w:b w:val="0"/>
                <w:bCs w:val="0"/>
              </w:rPr>
              <w:t>ompletion rates</w:t>
            </w:r>
            <w:r>
              <w:rPr>
                <w:rFonts w:cs="Arial"/>
                <w:b w:val="0"/>
                <w:bCs w:val="0"/>
              </w:rPr>
              <w:t xml:space="preserve"> for apprentices and trainees </w:t>
            </w:r>
            <w:r w:rsidRPr="000B631D">
              <w:rPr>
                <w:rFonts w:cs="Arial"/>
                <w:b w:val="0"/>
                <w:bCs w:val="0"/>
              </w:rPr>
              <w:t>(%)</w:t>
            </w:r>
          </w:p>
        </w:tc>
        <w:tc>
          <w:tcPr>
            <w:tcW w:w="1230" w:type="dxa"/>
            <w:vAlign w:val="center"/>
          </w:tcPr>
          <w:p w14:paraId="46813766" w14:textId="6306DF10" w:rsidR="00A77655" w:rsidRPr="004D08E0" w:rsidRDefault="00F8746D" w:rsidP="00F8746D">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Pr>
                <w:rFonts w:cs="Arial"/>
                <w:b/>
                <w:bCs/>
              </w:rPr>
              <w:t>53.8</w:t>
            </w:r>
          </w:p>
        </w:tc>
        <w:tc>
          <w:tcPr>
            <w:tcW w:w="1430" w:type="dxa"/>
            <w:vAlign w:val="center"/>
          </w:tcPr>
          <w:p w14:paraId="66370BD6" w14:textId="21AACDD2" w:rsidR="00A77655" w:rsidRPr="004D08E0" w:rsidRDefault="00F8746D" w:rsidP="00F8746D">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52.4</w:t>
            </w:r>
          </w:p>
        </w:tc>
        <w:tc>
          <w:tcPr>
            <w:tcW w:w="1244" w:type="dxa"/>
            <w:vAlign w:val="center"/>
          </w:tcPr>
          <w:p w14:paraId="68CDF67E" w14:textId="35FBCC44" w:rsidR="00A77655" w:rsidRPr="004D08E0" w:rsidRDefault="00A77655" w:rsidP="00F8746D">
            <w:pPr>
              <w:spacing w:after="0"/>
              <w:jc w:val="center"/>
              <w:cnfStyle w:val="000000100000" w:firstRow="0" w:lastRow="0" w:firstColumn="0" w:lastColumn="0" w:oddVBand="0" w:evenVBand="0" w:oddHBand="1" w:evenHBand="0" w:firstRowFirstColumn="0" w:firstRowLastColumn="0" w:lastRowFirstColumn="0" w:lastRowLastColumn="0"/>
              <w:rPr>
                <w:rFonts w:cs="Arial"/>
                <w:b/>
                <w:bCs/>
                <w:highlight w:val="yellow"/>
              </w:rPr>
            </w:pPr>
            <w:r w:rsidRPr="00A77655">
              <w:rPr>
                <w:rFonts w:cs="Arial"/>
                <w:b/>
                <w:bCs/>
              </w:rPr>
              <w:t>56.7</w:t>
            </w:r>
          </w:p>
        </w:tc>
      </w:tr>
      <w:tr w:rsidR="00062B02" w:rsidRPr="00653483" w14:paraId="43D4595B" w14:textId="77777777" w:rsidTr="002F0933">
        <w:trPr>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1198817B" w14:textId="77777777" w:rsidR="00062B02" w:rsidRPr="000B631D" w:rsidRDefault="00062B02" w:rsidP="00F15C05">
            <w:pPr>
              <w:pStyle w:val="ListParagraph"/>
              <w:numPr>
                <w:ilvl w:val="0"/>
                <w:numId w:val="58"/>
              </w:numPr>
              <w:spacing w:after="0" w:line="240" w:lineRule="auto"/>
              <w:ind w:left="385" w:hanging="357"/>
              <w:rPr>
                <w:rFonts w:cs="Arial"/>
                <w:b w:val="0"/>
                <w:bCs w:val="0"/>
              </w:rPr>
            </w:pPr>
            <w:r>
              <w:rPr>
                <w:rFonts w:cs="Arial"/>
                <w:b w:val="0"/>
                <w:bCs w:val="0"/>
              </w:rPr>
              <w:t>Youth tertiary</w:t>
            </w:r>
            <w:r w:rsidRPr="000B631D">
              <w:rPr>
                <w:rFonts w:cs="Arial"/>
                <w:b w:val="0"/>
                <w:bCs w:val="0"/>
              </w:rPr>
              <w:t xml:space="preserve"> participation rate (%)</w:t>
            </w:r>
          </w:p>
        </w:tc>
        <w:tc>
          <w:tcPr>
            <w:tcW w:w="1230" w:type="dxa"/>
            <w:vAlign w:val="center"/>
          </w:tcPr>
          <w:p w14:paraId="22AC08C1" w14:textId="4EE801EA" w:rsidR="00062B02" w:rsidRPr="004D08E0" w:rsidRDefault="00E11F19">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14.1</w:t>
            </w:r>
          </w:p>
        </w:tc>
        <w:tc>
          <w:tcPr>
            <w:tcW w:w="1430" w:type="dxa"/>
            <w:vAlign w:val="center"/>
          </w:tcPr>
          <w:p w14:paraId="3CD88903" w14:textId="30AC7942" w:rsidR="00062B02" w:rsidRPr="004D08E0" w:rsidRDefault="00062B02">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sidRPr="004D08E0">
              <w:rPr>
                <w:rFonts w:cs="Arial"/>
              </w:rPr>
              <w:t>39.</w:t>
            </w:r>
            <w:r w:rsidR="006E316B">
              <w:rPr>
                <w:rFonts w:cs="Arial"/>
              </w:rPr>
              <w:t>6</w:t>
            </w:r>
          </w:p>
        </w:tc>
        <w:tc>
          <w:tcPr>
            <w:tcW w:w="1244" w:type="dxa"/>
            <w:vAlign w:val="center"/>
          </w:tcPr>
          <w:p w14:paraId="5A0D1B12" w14:textId="343180D9" w:rsidR="00062B02" w:rsidRPr="004D08E0" w:rsidRDefault="005857A5">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22.2</w:t>
            </w:r>
          </w:p>
        </w:tc>
      </w:tr>
      <w:tr w:rsidR="00A13456" w:rsidRPr="00653483" w14:paraId="3634BB55" w14:textId="77777777" w:rsidTr="002F093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4474CD67" w14:textId="77777777" w:rsidR="00062B02" w:rsidRPr="000B631D" w:rsidRDefault="00062B02" w:rsidP="00F15C05">
            <w:pPr>
              <w:pStyle w:val="ListParagraph"/>
              <w:numPr>
                <w:ilvl w:val="0"/>
                <w:numId w:val="58"/>
              </w:numPr>
              <w:spacing w:after="0" w:line="240" w:lineRule="auto"/>
              <w:ind w:left="385" w:hanging="357"/>
              <w:rPr>
                <w:rFonts w:cs="Arial"/>
                <w:b w:val="0"/>
                <w:bCs w:val="0"/>
              </w:rPr>
            </w:pPr>
            <w:r w:rsidRPr="000B631D">
              <w:rPr>
                <w:rFonts w:cs="Arial"/>
                <w:b w:val="0"/>
                <w:bCs w:val="0"/>
              </w:rPr>
              <w:t>Proportion working in lower skill level than qualification level (%)</w:t>
            </w:r>
          </w:p>
        </w:tc>
        <w:tc>
          <w:tcPr>
            <w:tcW w:w="1230" w:type="dxa"/>
            <w:vAlign w:val="center"/>
          </w:tcPr>
          <w:p w14:paraId="4FF8BDFC" w14:textId="77777777" w:rsidR="00062B02" w:rsidRPr="004D08E0" w:rsidRDefault="00062B02">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26.6</w:t>
            </w:r>
          </w:p>
        </w:tc>
        <w:tc>
          <w:tcPr>
            <w:tcW w:w="1430" w:type="dxa"/>
            <w:vAlign w:val="center"/>
          </w:tcPr>
          <w:p w14:paraId="149D5706" w14:textId="77777777" w:rsidR="00062B02" w:rsidRPr="004D08E0" w:rsidRDefault="00062B02">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sidRPr="004D08E0">
              <w:rPr>
                <w:rFonts w:cs="Arial"/>
              </w:rPr>
              <w:t>32.9</w:t>
            </w:r>
          </w:p>
        </w:tc>
        <w:tc>
          <w:tcPr>
            <w:tcW w:w="1244" w:type="dxa"/>
            <w:vAlign w:val="center"/>
          </w:tcPr>
          <w:p w14:paraId="732038EC" w14:textId="77777777" w:rsidR="00062B02" w:rsidRPr="004D08E0" w:rsidRDefault="00062B02">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25.7</w:t>
            </w:r>
          </w:p>
        </w:tc>
      </w:tr>
      <w:tr w:rsidR="00062B02" w:rsidRPr="00653483" w14:paraId="3E484CD3" w14:textId="77777777" w:rsidTr="002F0933">
        <w:trPr>
          <w:trHeight w:val="454"/>
        </w:trPr>
        <w:tc>
          <w:tcPr>
            <w:cnfStyle w:val="001000000000" w:firstRow="0" w:lastRow="0" w:firstColumn="1" w:lastColumn="0" w:oddVBand="0" w:evenVBand="0" w:oddHBand="0" w:evenHBand="0" w:firstRowFirstColumn="0" w:firstRowLastColumn="0" w:lastRowFirstColumn="0" w:lastRowLastColumn="0"/>
            <w:tcW w:w="5463" w:type="dxa"/>
            <w:tcBorders>
              <w:bottom w:val="single" w:sz="4" w:space="0" w:color="auto"/>
            </w:tcBorders>
            <w:vAlign w:val="center"/>
          </w:tcPr>
          <w:p w14:paraId="200380A0" w14:textId="77777777" w:rsidR="00062B02" w:rsidRPr="000B631D" w:rsidRDefault="00062B02" w:rsidP="00F15C05">
            <w:pPr>
              <w:pStyle w:val="ListParagraph"/>
              <w:numPr>
                <w:ilvl w:val="0"/>
                <w:numId w:val="58"/>
              </w:numPr>
              <w:spacing w:after="0" w:line="240" w:lineRule="auto"/>
              <w:ind w:left="385" w:hanging="357"/>
              <w:rPr>
                <w:rFonts w:cs="Arial"/>
                <w:b w:val="0"/>
                <w:bCs w:val="0"/>
              </w:rPr>
            </w:pPr>
            <w:r w:rsidRPr="003F2975">
              <w:rPr>
                <w:rFonts w:cs="Arial"/>
                <w:b w:val="0"/>
                <w:bCs w:val="0"/>
              </w:rPr>
              <w:t>Proportion working in same field as most relevant qualification (%)</w:t>
            </w:r>
          </w:p>
        </w:tc>
        <w:tc>
          <w:tcPr>
            <w:tcW w:w="1230" w:type="dxa"/>
            <w:tcBorders>
              <w:bottom w:val="single" w:sz="4" w:space="0" w:color="auto"/>
            </w:tcBorders>
            <w:vAlign w:val="center"/>
          </w:tcPr>
          <w:p w14:paraId="416A3E4F" w14:textId="77777777" w:rsidR="00062B02" w:rsidRPr="004D08E0" w:rsidRDefault="00062B02">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rFonts w:cs="Arial"/>
                <w:b/>
                <w:bCs/>
              </w:rPr>
              <w:t>74.4</w:t>
            </w:r>
          </w:p>
        </w:tc>
        <w:tc>
          <w:tcPr>
            <w:tcW w:w="1430" w:type="dxa"/>
            <w:tcBorders>
              <w:bottom w:val="single" w:sz="4" w:space="0" w:color="auto"/>
            </w:tcBorders>
            <w:vAlign w:val="center"/>
          </w:tcPr>
          <w:p w14:paraId="23E541C8" w14:textId="77777777" w:rsidR="00062B02" w:rsidRPr="004D08E0" w:rsidRDefault="00062B02">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sidRPr="004D08E0">
              <w:rPr>
                <w:rFonts w:cs="Arial"/>
              </w:rPr>
              <w:t>71.0</w:t>
            </w:r>
          </w:p>
        </w:tc>
        <w:tc>
          <w:tcPr>
            <w:tcW w:w="1244" w:type="dxa"/>
            <w:tcBorders>
              <w:bottom w:val="single" w:sz="4" w:space="0" w:color="auto"/>
            </w:tcBorders>
            <w:vAlign w:val="center"/>
          </w:tcPr>
          <w:p w14:paraId="2D194A68" w14:textId="77777777" w:rsidR="00062B02" w:rsidRPr="004D08E0" w:rsidRDefault="00062B02">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rFonts w:cs="Arial"/>
                <w:b/>
                <w:bCs/>
              </w:rPr>
              <w:t>72.7</w:t>
            </w:r>
          </w:p>
        </w:tc>
      </w:tr>
      <w:tr w:rsidR="00062B02" w:rsidRPr="000A4F04" w14:paraId="5007F915" w14:textId="77777777" w:rsidTr="002F093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463" w:type="dxa"/>
            <w:tcBorders>
              <w:top w:val="single" w:sz="4" w:space="0" w:color="auto"/>
            </w:tcBorders>
            <w:shd w:val="clear" w:color="auto" w:fill="370663"/>
          </w:tcPr>
          <w:p w14:paraId="76B81AB5" w14:textId="77777777" w:rsidR="00062B02" w:rsidRPr="000A4F04" w:rsidRDefault="00062B02">
            <w:pPr>
              <w:spacing w:after="0"/>
              <w:rPr>
                <w:rFonts w:cs="Arial"/>
                <w:color w:val="000000" w:themeColor="text1"/>
                <w:sz w:val="12"/>
                <w:szCs w:val="12"/>
              </w:rPr>
            </w:pPr>
          </w:p>
        </w:tc>
        <w:tc>
          <w:tcPr>
            <w:tcW w:w="1230" w:type="dxa"/>
            <w:tcBorders>
              <w:top w:val="single" w:sz="4" w:space="0" w:color="auto"/>
            </w:tcBorders>
            <w:shd w:val="clear" w:color="auto" w:fill="370663"/>
            <w:vAlign w:val="center"/>
          </w:tcPr>
          <w:p w14:paraId="0FE58CB7" w14:textId="77777777" w:rsidR="00062B02" w:rsidRPr="004D08E0" w:rsidRDefault="00062B02">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p>
        </w:tc>
        <w:tc>
          <w:tcPr>
            <w:tcW w:w="1430" w:type="dxa"/>
            <w:tcBorders>
              <w:top w:val="single" w:sz="4" w:space="0" w:color="auto"/>
            </w:tcBorders>
            <w:shd w:val="clear" w:color="auto" w:fill="370663"/>
            <w:vAlign w:val="center"/>
          </w:tcPr>
          <w:p w14:paraId="7453FECD" w14:textId="77777777" w:rsidR="00062B02" w:rsidRPr="004D08E0" w:rsidRDefault="00062B02">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c>
          <w:tcPr>
            <w:tcW w:w="1244" w:type="dxa"/>
            <w:tcBorders>
              <w:top w:val="single" w:sz="4" w:space="0" w:color="auto"/>
            </w:tcBorders>
            <w:shd w:val="clear" w:color="auto" w:fill="370663"/>
            <w:vAlign w:val="center"/>
          </w:tcPr>
          <w:p w14:paraId="5562F2C3" w14:textId="77777777" w:rsidR="00062B02" w:rsidRPr="004D08E0" w:rsidRDefault="00062B02">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r>
      <w:tr w:rsidR="00062B02" w:rsidRPr="000A4F04" w14:paraId="2B681EA8" w14:textId="77777777" w:rsidTr="002F0933">
        <w:trPr>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5CEB7717" w14:textId="77777777" w:rsidR="00062B02" w:rsidRPr="000A4F04" w:rsidRDefault="00062B02">
            <w:pPr>
              <w:spacing w:after="0"/>
              <w:rPr>
                <w:rFonts w:cs="Arial"/>
                <w:sz w:val="28"/>
                <w:szCs w:val="28"/>
              </w:rPr>
            </w:pPr>
            <w:r w:rsidRPr="000A4F04">
              <w:rPr>
                <w:rFonts w:cs="Arial"/>
                <w:color w:val="000000" w:themeColor="text1"/>
                <w:sz w:val="28"/>
                <w:szCs w:val="28"/>
              </w:rPr>
              <w:t>Vision Principle 3</w:t>
            </w:r>
          </w:p>
        </w:tc>
        <w:tc>
          <w:tcPr>
            <w:tcW w:w="1230" w:type="dxa"/>
            <w:vAlign w:val="center"/>
          </w:tcPr>
          <w:p w14:paraId="50448CBD" w14:textId="77777777" w:rsidR="00062B02" w:rsidRPr="004D08E0" w:rsidRDefault="00062B02">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p>
        </w:tc>
        <w:tc>
          <w:tcPr>
            <w:tcW w:w="1430" w:type="dxa"/>
            <w:vAlign w:val="center"/>
          </w:tcPr>
          <w:p w14:paraId="70D81143" w14:textId="77777777" w:rsidR="00062B02" w:rsidRPr="004D08E0" w:rsidRDefault="00062B02">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c>
          <w:tcPr>
            <w:tcW w:w="1244" w:type="dxa"/>
            <w:vAlign w:val="center"/>
          </w:tcPr>
          <w:p w14:paraId="2C1B390B" w14:textId="77777777" w:rsidR="00062B02" w:rsidRPr="004D08E0" w:rsidRDefault="00062B02">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r>
      <w:tr w:rsidR="00A13456" w:rsidRPr="00653483" w14:paraId="1CD8AAD1" w14:textId="77777777" w:rsidTr="002F093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546CEDB2" w14:textId="77777777" w:rsidR="00062B02" w:rsidRPr="000B631D" w:rsidRDefault="00062B02" w:rsidP="00F15C05">
            <w:pPr>
              <w:pStyle w:val="ListParagraph"/>
              <w:numPr>
                <w:ilvl w:val="0"/>
                <w:numId w:val="58"/>
              </w:numPr>
              <w:spacing w:after="0" w:line="240" w:lineRule="auto"/>
              <w:ind w:left="385" w:hanging="357"/>
              <w:rPr>
                <w:rFonts w:cs="Arial"/>
                <w:b w:val="0"/>
                <w:bCs w:val="0"/>
              </w:rPr>
            </w:pPr>
            <w:r w:rsidRPr="000B631D">
              <w:rPr>
                <w:rFonts w:cs="Arial"/>
                <w:b w:val="0"/>
                <w:bCs w:val="0"/>
              </w:rPr>
              <w:t>Job satisfaction (%)</w:t>
            </w:r>
          </w:p>
        </w:tc>
        <w:tc>
          <w:tcPr>
            <w:tcW w:w="1230" w:type="dxa"/>
            <w:vAlign w:val="center"/>
          </w:tcPr>
          <w:p w14:paraId="71E79742" w14:textId="77777777" w:rsidR="00062B02" w:rsidRPr="004D08E0" w:rsidRDefault="00062B02">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rPr>
              <w:t>n/a</w:t>
            </w:r>
          </w:p>
        </w:tc>
        <w:tc>
          <w:tcPr>
            <w:tcW w:w="1430" w:type="dxa"/>
            <w:vAlign w:val="center"/>
          </w:tcPr>
          <w:p w14:paraId="5CA2B7C2" w14:textId="77777777" w:rsidR="00062B02" w:rsidRPr="004D08E0" w:rsidRDefault="00062B02">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sidRPr="004D08E0">
              <w:rPr>
                <w:rFonts w:cs="Arial"/>
              </w:rPr>
              <w:t>n/a</w:t>
            </w:r>
          </w:p>
        </w:tc>
        <w:tc>
          <w:tcPr>
            <w:tcW w:w="1244" w:type="dxa"/>
            <w:vAlign w:val="center"/>
          </w:tcPr>
          <w:p w14:paraId="6970862F" w14:textId="3EE452CC" w:rsidR="00062B02" w:rsidRPr="004D08E0" w:rsidRDefault="00F579FB">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Pr>
                <w:rFonts w:cs="Arial"/>
                <w:b/>
                <w:bCs/>
              </w:rPr>
              <w:t>38.8</w:t>
            </w:r>
          </w:p>
        </w:tc>
      </w:tr>
      <w:tr w:rsidR="00062B02" w:rsidRPr="00653483" w14:paraId="1A3C0EAA" w14:textId="77777777" w:rsidTr="002F0933">
        <w:trPr>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3F1DE36D" w14:textId="77777777" w:rsidR="00062B02" w:rsidRPr="000B631D" w:rsidRDefault="00062B02" w:rsidP="00F15C05">
            <w:pPr>
              <w:pStyle w:val="ListParagraph"/>
              <w:numPr>
                <w:ilvl w:val="0"/>
                <w:numId w:val="58"/>
              </w:numPr>
              <w:spacing w:after="0" w:line="240" w:lineRule="auto"/>
              <w:ind w:left="385" w:hanging="357"/>
              <w:rPr>
                <w:rFonts w:cs="Arial"/>
                <w:b w:val="0"/>
                <w:bCs w:val="0"/>
              </w:rPr>
            </w:pPr>
            <w:r w:rsidRPr="000B631D">
              <w:rPr>
                <w:rFonts w:cs="Arial"/>
                <w:b w:val="0"/>
                <w:bCs w:val="0"/>
              </w:rPr>
              <w:t>Underemployment rate (%)</w:t>
            </w:r>
          </w:p>
        </w:tc>
        <w:tc>
          <w:tcPr>
            <w:tcW w:w="1230" w:type="dxa"/>
            <w:vAlign w:val="center"/>
          </w:tcPr>
          <w:p w14:paraId="78AA9BB8" w14:textId="68C541E6" w:rsidR="00062B02" w:rsidRPr="004D08E0" w:rsidRDefault="00E86D56">
            <w:pPr>
              <w:spacing w:after="0"/>
              <w:jc w:val="center"/>
              <w:cnfStyle w:val="000000000000" w:firstRow="0" w:lastRow="0" w:firstColumn="0" w:lastColumn="0" w:oddVBand="0" w:evenVBand="0" w:oddHBand="0" w:evenHBand="0" w:firstRowFirstColumn="0" w:firstRowLastColumn="0" w:lastRowFirstColumn="0" w:lastRowLastColumn="0"/>
              <w:rPr>
                <w:b/>
                <w:bCs/>
              </w:rPr>
            </w:pPr>
            <w:r>
              <w:rPr>
                <w:b/>
                <w:bCs/>
              </w:rPr>
              <w:t>5.8</w:t>
            </w:r>
          </w:p>
        </w:tc>
        <w:tc>
          <w:tcPr>
            <w:tcW w:w="1430" w:type="dxa"/>
            <w:vAlign w:val="center"/>
          </w:tcPr>
          <w:p w14:paraId="4424DADA" w14:textId="50E9914D" w:rsidR="00062B02" w:rsidRPr="004D08E0" w:rsidRDefault="00062B02">
            <w:pPr>
              <w:spacing w:after="0"/>
              <w:jc w:val="center"/>
              <w:cnfStyle w:val="000000000000" w:firstRow="0" w:lastRow="0" w:firstColumn="0" w:lastColumn="0" w:oddVBand="0" w:evenVBand="0" w:oddHBand="0" w:evenHBand="0" w:firstRowFirstColumn="0" w:firstRowLastColumn="0" w:lastRowFirstColumn="0" w:lastRowLastColumn="0"/>
            </w:pPr>
            <w:r w:rsidRPr="004D08E0">
              <w:t>6.</w:t>
            </w:r>
            <w:r w:rsidR="00FF2A60">
              <w:t>7</w:t>
            </w:r>
          </w:p>
        </w:tc>
        <w:tc>
          <w:tcPr>
            <w:tcW w:w="1244" w:type="dxa"/>
            <w:vAlign w:val="center"/>
          </w:tcPr>
          <w:p w14:paraId="54ECC485" w14:textId="304DEFBB" w:rsidR="00062B02" w:rsidRPr="004D08E0" w:rsidRDefault="00062B02">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rFonts w:cs="Arial"/>
                <w:b/>
                <w:bCs/>
              </w:rPr>
              <w:t>6.</w:t>
            </w:r>
            <w:r w:rsidR="00FF2A60">
              <w:rPr>
                <w:rFonts w:cs="Arial"/>
                <w:b/>
                <w:bCs/>
              </w:rPr>
              <w:t>1</w:t>
            </w:r>
          </w:p>
        </w:tc>
      </w:tr>
      <w:tr w:rsidR="00A13456" w:rsidRPr="00653483" w14:paraId="19EC53EE" w14:textId="77777777" w:rsidTr="0061397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0D0B5C43" w14:textId="77777777" w:rsidR="00062B02" w:rsidRPr="000B631D" w:rsidRDefault="00062B02" w:rsidP="00F15C05">
            <w:pPr>
              <w:pStyle w:val="ListParagraph"/>
              <w:numPr>
                <w:ilvl w:val="0"/>
                <w:numId w:val="58"/>
              </w:numPr>
              <w:spacing w:after="0" w:line="240" w:lineRule="auto"/>
              <w:ind w:left="385" w:hanging="357"/>
              <w:rPr>
                <w:rFonts w:cs="Arial"/>
                <w:b w:val="0"/>
                <w:bCs w:val="0"/>
              </w:rPr>
            </w:pPr>
            <w:r w:rsidRPr="000B631D">
              <w:rPr>
                <w:rFonts w:cs="Arial"/>
                <w:b w:val="0"/>
                <w:bCs w:val="0"/>
              </w:rPr>
              <w:t xml:space="preserve">Income </w:t>
            </w:r>
            <w:r>
              <w:rPr>
                <w:rFonts w:cs="Arial"/>
                <w:b w:val="0"/>
                <w:bCs w:val="0"/>
              </w:rPr>
              <w:t>inequality ratio</w:t>
            </w:r>
          </w:p>
        </w:tc>
        <w:tc>
          <w:tcPr>
            <w:tcW w:w="1230" w:type="dxa"/>
            <w:vAlign w:val="center"/>
          </w:tcPr>
          <w:p w14:paraId="07DF3B47" w14:textId="77777777" w:rsidR="00062B02" w:rsidRPr="004D08E0" w:rsidRDefault="00062B02">
            <w:pPr>
              <w:spacing w:after="0"/>
              <w:jc w:val="center"/>
              <w:cnfStyle w:val="000000100000" w:firstRow="0" w:lastRow="0" w:firstColumn="0" w:lastColumn="0" w:oddVBand="0" w:evenVBand="0" w:oddHBand="1" w:evenHBand="0" w:firstRowFirstColumn="0" w:firstRowLastColumn="0" w:lastRowFirstColumn="0" w:lastRowLastColumn="0"/>
              <w:rPr>
                <w:rFonts w:cs="Arial"/>
                <w:b/>
              </w:rPr>
            </w:pPr>
            <w:r w:rsidRPr="004D08E0">
              <w:rPr>
                <w:rFonts w:cs="Arial"/>
                <w:b/>
                <w:bCs/>
              </w:rPr>
              <w:t>3.2</w:t>
            </w:r>
          </w:p>
        </w:tc>
        <w:tc>
          <w:tcPr>
            <w:tcW w:w="1430" w:type="dxa"/>
            <w:vAlign w:val="center"/>
          </w:tcPr>
          <w:p w14:paraId="19F1CA78" w14:textId="77777777" w:rsidR="00062B02" w:rsidRPr="004D08E0" w:rsidRDefault="00062B02">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sidRPr="004D08E0">
              <w:rPr>
                <w:rFonts w:cs="Arial"/>
              </w:rPr>
              <w:t>3.4</w:t>
            </w:r>
          </w:p>
        </w:tc>
        <w:tc>
          <w:tcPr>
            <w:tcW w:w="1244" w:type="dxa"/>
            <w:vAlign w:val="center"/>
          </w:tcPr>
          <w:p w14:paraId="6BF10F7E" w14:textId="77777777" w:rsidR="00062B02" w:rsidRPr="004D08E0" w:rsidRDefault="00062B02">
            <w:pPr>
              <w:spacing w:after="0"/>
              <w:jc w:val="center"/>
              <w:cnfStyle w:val="000000100000" w:firstRow="0" w:lastRow="0" w:firstColumn="0" w:lastColumn="0" w:oddVBand="0" w:evenVBand="0" w:oddHBand="1" w:evenHBand="0" w:firstRowFirstColumn="0" w:firstRowLastColumn="0" w:lastRowFirstColumn="0" w:lastRowLastColumn="0"/>
              <w:rPr>
                <w:rFonts w:cs="Arial"/>
                <w:b/>
              </w:rPr>
            </w:pPr>
            <w:r w:rsidRPr="004D08E0">
              <w:rPr>
                <w:rFonts w:cs="Arial"/>
                <w:b/>
                <w:bCs/>
              </w:rPr>
              <w:t>3.5</w:t>
            </w:r>
          </w:p>
        </w:tc>
      </w:tr>
      <w:tr w:rsidR="00613972" w:rsidRPr="00653483" w14:paraId="5E066FC2" w14:textId="77777777" w:rsidTr="002F0933">
        <w:trPr>
          <w:trHeight w:val="454"/>
        </w:trPr>
        <w:tc>
          <w:tcPr>
            <w:cnfStyle w:val="001000000000" w:firstRow="0" w:lastRow="0" w:firstColumn="1" w:lastColumn="0" w:oddVBand="0" w:evenVBand="0" w:oddHBand="0" w:evenHBand="0" w:firstRowFirstColumn="0" w:firstRowLastColumn="0" w:lastRowFirstColumn="0" w:lastRowLastColumn="0"/>
            <w:tcW w:w="5463" w:type="dxa"/>
            <w:tcBorders>
              <w:bottom w:val="single" w:sz="4" w:space="0" w:color="auto"/>
            </w:tcBorders>
            <w:vAlign w:val="center"/>
          </w:tcPr>
          <w:p w14:paraId="557F72C7" w14:textId="3194842E" w:rsidR="00613972" w:rsidRPr="000B631D" w:rsidRDefault="00280256" w:rsidP="001E0536">
            <w:pPr>
              <w:pStyle w:val="ListParagraph"/>
              <w:numPr>
                <w:ilvl w:val="0"/>
                <w:numId w:val="58"/>
              </w:numPr>
              <w:spacing w:after="0" w:line="240" w:lineRule="auto"/>
              <w:ind w:left="385" w:hanging="357"/>
              <w:rPr>
                <w:rFonts w:cs="Arial"/>
              </w:rPr>
            </w:pPr>
            <w:r>
              <w:rPr>
                <w:rFonts w:cs="Arial"/>
                <w:b w:val="0"/>
                <w:bCs w:val="0"/>
              </w:rPr>
              <w:t>Workers’ compensation</w:t>
            </w:r>
            <w:r w:rsidR="009376DA" w:rsidRPr="00660157">
              <w:rPr>
                <w:rFonts w:cs="Arial"/>
                <w:b w:val="0"/>
                <w:bCs w:val="0"/>
              </w:rPr>
              <w:t xml:space="preserve"> incidence rate</w:t>
            </w:r>
          </w:p>
        </w:tc>
        <w:tc>
          <w:tcPr>
            <w:tcW w:w="1230" w:type="dxa"/>
            <w:tcBorders>
              <w:bottom w:val="single" w:sz="4" w:space="0" w:color="auto"/>
            </w:tcBorders>
            <w:vAlign w:val="center"/>
          </w:tcPr>
          <w:p w14:paraId="15631E14" w14:textId="79764B42" w:rsidR="00613972" w:rsidRPr="004D08E0" w:rsidRDefault="009376DA">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7.4</w:t>
            </w:r>
          </w:p>
        </w:tc>
        <w:tc>
          <w:tcPr>
            <w:tcW w:w="1430" w:type="dxa"/>
            <w:tcBorders>
              <w:bottom w:val="single" w:sz="4" w:space="0" w:color="auto"/>
            </w:tcBorders>
            <w:vAlign w:val="center"/>
          </w:tcPr>
          <w:p w14:paraId="16859A51" w14:textId="19DC0D68" w:rsidR="00613972" w:rsidRPr="004D08E0" w:rsidRDefault="009376DA">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6.5</w:t>
            </w:r>
          </w:p>
        </w:tc>
        <w:tc>
          <w:tcPr>
            <w:tcW w:w="1244" w:type="dxa"/>
            <w:tcBorders>
              <w:bottom w:val="single" w:sz="4" w:space="0" w:color="auto"/>
            </w:tcBorders>
            <w:vAlign w:val="center"/>
          </w:tcPr>
          <w:p w14:paraId="1E7DDFFB" w14:textId="1C4F3C49" w:rsidR="00613972" w:rsidRPr="004D08E0" w:rsidRDefault="009376DA">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9.6</w:t>
            </w:r>
          </w:p>
        </w:tc>
      </w:tr>
      <w:tr w:rsidR="00062B02" w:rsidRPr="000A4F04" w14:paraId="38864713" w14:textId="77777777" w:rsidTr="002F093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463" w:type="dxa"/>
            <w:tcBorders>
              <w:top w:val="single" w:sz="4" w:space="0" w:color="auto"/>
            </w:tcBorders>
            <w:shd w:val="clear" w:color="auto" w:fill="370663"/>
          </w:tcPr>
          <w:p w14:paraId="1A5C8E61" w14:textId="77777777" w:rsidR="00062B02" w:rsidRPr="000A4F04" w:rsidRDefault="00062B02">
            <w:pPr>
              <w:spacing w:after="0"/>
              <w:rPr>
                <w:rFonts w:cs="Arial"/>
                <w:color w:val="000000" w:themeColor="text1"/>
                <w:sz w:val="12"/>
                <w:szCs w:val="12"/>
              </w:rPr>
            </w:pPr>
          </w:p>
        </w:tc>
        <w:tc>
          <w:tcPr>
            <w:tcW w:w="1230" w:type="dxa"/>
            <w:tcBorders>
              <w:top w:val="single" w:sz="4" w:space="0" w:color="auto"/>
            </w:tcBorders>
            <w:shd w:val="clear" w:color="auto" w:fill="370663"/>
            <w:vAlign w:val="center"/>
          </w:tcPr>
          <w:p w14:paraId="6BCEEC90" w14:textId="77777777" w:rsidR="00062B02" w:rsidRPr="004D08E0" w:rsidRDefault="00062B02">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p>
        </w:tc>
        <w:tc>
          <w:tcPr>
            <w:tcW w:w="1430" w:type="dxa"/>
            <w:tcBorders>
              <w:top w:val="single" w:sz="4" w:space="0" w:color="auto"/>
            </w:tcBorders>
            <w:shd w:val="clear" w:color="auto" w:fill="370663"/>
            <w:vAlign w:val="center"/>
          </w:tcPr>
          <w:p w14:paraId="7C563B88" w14:textId="77777777" w:rsidR="00062B02" w:rsidRPr="004D08E0" w:rsidRDefault="00062B02">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c>
          <w:tcPr>
            <w:tcW w:w="1244" w:type="dxa"/>
            <w:tcBorders>
              <w:top w:val="single" w:sz="4" w:space="0" w:color="auto"/>
            </w:tcBorders>
            <w:shd w:val="clear" w:color="auto" w:fill="370663"/>
            <w:vAlign w:val="center"/>
          </w:tcPr>
          <w:p w14:paraId="1336CDEA" w14:textId="77777777" w:rsidR="00062B02" w:rsidRPr="004D08E0" w:rsidRDefault="00062B02">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r>
      <w:tr w:rsidR="00CD1924" w:rsidRPr="000A4F04" w14:paraId="403364E7" w14:textId="77777777" w:rsidTr="002F0933">
        <w:trPr>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12617F2B" w14:textId="77777777" w:rsidR="00062B02" w:rsidRPr="000A4F04" w:rsidRDefault="00062B02">
            <w:pPr>
              <w:spacing w:after="0"/>
              <w:rPr>
                <w:rFonts w:cs="Arial"/>
                <w:sz w:val="28"/>
                <w:szCs w:val="28"/>
              </w:rPr>
            </w:pPr>
            <w:r w:rsidRPr="000A4F04">
              <w:rPr>
                <w:rFonts w:cs="Arial"/>
                <w:color w:val="000000" w:themeColor="text1"/>
                <w:sz w:val="28"/>
                <w:szCs w:val="28"/>
              </w:rPr>
              <w:t>Vision Principle 4</w:t>
            </w:r>
          </w:p>
        </w:tc>
        <w:tc>
          <w:tcPr>
            <w:tcW w:w="1230" w:type="dxa"/>
            <w:vAlign w:val="center"/>
          </w:tcPr>
          <w:p w14:paraId="4158513D" w14:textId="77777777" w:rsidR="00062B02" w:rsidRPr="004D08E0" w:rsidRDefault="00062B02">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p>
        </w:tc>
        <w:tc>
          <w:tcPr>
            <w:tcW w:w="1430" w:type="dxa"/>
            <w:vAlign w:val="center"/>
          </w:tcPr>
          <w:p w14:paraId="743168F9" w14:textId="77777777" w:rsidR="00062B02" w:rsidRPr="004D08E0" w:rsidRDefault="00062B02">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c>
          <w:tcPr>
            <w:tcW w:w="1244" w:type="dxa"/>
            <w:vAlign w:val="center"/>
          </w:tcPr>
          <w:p w14:paraId="2695142A" w14:textId="77777777" w:rsidR="00062B02" w:rsidRPr="004D08E0" w:rsidRDefault="00062B02">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r>
      <w:tr w:rsidR="00A13456" w:rsidRPr="00653483" w14:paraId="7FC1FA63" w14:textId="77777777" w:rsidTr="002F093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0EB2BD00" w14:textId="77777777" w:rsidR="00062B02" w:rsidRPr="000B631D" w:rsidRDefault="00062B02" w:rsidP="001E0536">
            <w:pPr>
              <w:pStyle w:val="ListParagraph"/>
              <w:numPr>
                <w:ilvl w:val="0"/>
                <w:numId w:val="58"/>
              </w:numPr>
              <w:spacing w:after="0" w:line="240" w:lineRule="auto"/>
              <w:ind w:left="385" w:hanging="357"/>
              <w:rPr>
                <w:rFonts w:cs="Arial"/>
                <w:b w:val="0"/>
                <w:bCs w:val="0"/>
              </w:rPr>
            </w:pPr>
            <w:r w:rsidRPr="000B631D">
              <w:rPr>
                <w:rFonts w:cs="Arial"/>
                <w:b w:val="0"/>
                <w:bCs w:val="0"/>
              </w:rPr>
              <w:t>Vacancy fill rate (%)</w:t>
            </w:r>
          </w:p>
        </w:tc>
        <w:tc>
          <w:tcPr>
            <w:tcW w:w="1230" w:type="dxa"/>
            <w:vAlign w:val="center"/>
          </w:tcPr>
          <w:p w14:paraId="7A095C9F" w14:textId="61F3D238" w:rsidR="00062B02" w:rsidRPr="004D08E0" w:rsidRDefault="00EC54E8">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Pr>
                <w:b/>
                <w:bCs/>
              </w:rPr>
              <w:t>59.5</w:t>
            </w:r>
          </w:p>
        </w:tc>
        <w:tc>
          <w:tcPr>
            <w:tcW w:w="1430" w:type="dxa"/>
            <w:vAlign w:val="center"/>
          </w:tcPr>
          <w:p w14:paraId="543345BC" w14:textId="31698C90" w:rsidR="00062B02" w:rsidRPr="004D08E0" w:rsidRDefault="00523B7A">
            <w:pPr>
              <w:spacing w:after="0"/>
              <w:jc w:val="center"/>
              <w:cnfStyle w:val="000000100000" w:firstRow="0" w:lastRow="0" w:firstColumn="0" w:lastColumn="0" w:oddVBand="0" w:evenVBand="0" w:oddHBand="1" w:evenHBand="0" w:firstRowFirstColumn="0" w:firstRowLastColumn="0" w:lastRowFirstColumn="0" w:lastRowLastColumn="0"/>
              <w:rPr>
                <w:rFonts w:cs="Arial"/>
              </w:rPr>
            </w:pPr>
            <w:r>
              <w:t>72.5</w:t>
            </w:r>
          </w:p>
        </w:tc>
        <w:tc>
          <w:tcPr>
            <w:tcW w:w="1244" w:type="dxa"/>
            <w:vAlign w:val="center"/>
          </w:tcPr>
          <w:p w14:paraId="4E070E72" w14:textId="77777777" w:rsidR="00062B02" w:rsidRPr="004D08E0" w:rsidRDefault="00062B02">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64.7</w:t>
            </w:r>
          </w:p>
        </w:tc>
      </w:tr>
      <w:tr w:rsidR="00CD1924" w:rsidRPr="00653483" w14:paraId="3464F906" w14:textId="77777777" w:rsidTr="002F0933">
        <w:trPr>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4FAF9309" w14:textId="663A2E53" w:rsidR="00062B02" w:rsidRPr="000B631D" w:rsidRDefault="00464B51" w:rsidP="001E0536">
            <w:pPr>
              <w:pStyle w:val="ListParagraph"/>
              <w:numPr>
                <w:ilvl w:val="0"/>
                <w:numId w:val="58"/>
              </w:numPr>
              <w:spacing w:after="0" w:line="240" w:lineRule="auto"/>
              <w:ind w:left="385" w:hanging="357"/>
              <w:rPr>
                <w:rFonts w:cs="Arial"/>
                <w:b w:val="0"/>
                <w:bCs w:val="0"/>
              </w:rPr>
            </w:pPr>
            <w:r>
              <w:rPr>
                <w:rFonts w:cs="Arial"/>
                <w:b w:val="0"/>
                <w:bCs w:val="0"/>
              </w:rPr>
              <w:t>Essential service</w:t>
            </w:r>
            <w:r w:rsidR="005F3A40">
              <w:rPr>
                <w:rFonts w:cs="Arial"/>
                <w:b w:val="0"/>
                <w:bCs w:val="0"/>
              </w:rPr>
              <w:t>s</w:t>
            </w:r>
            <w:r>
              <w:rPr>
                <w:rFonts w:cs="Arial"/>
                <w:b w:val="0"/>
                <w:bCs w:val="0"/>
              </w:rPr>
              <w:t xml:space="preserve"> vacancy rate (%)</w:t>
            </w:r>
          </w:p>
        </w:tc>
        <w:tc>
          <w:tcPr>
            <w:tcW w:w="1230" w:type="dxa"/>
            <w:vAlign w:val="center"/>
          </w:tcPr>
          <w:p w14:paraId="1DA8AFD7" w14:textId="5FF80179" w:rsidR="00062B02" w:rsidRPr="004D08E0" w:rsidRDefault="003C1C65">
            <w:pPr>
              <w:spacing w:after="0"/>
              <w:jc w:val="center"/>
              <w:cnfStyle w:val="000000000000" w:firstRow="0" w:lastRow="0" w:firstColumn="0" w:lastColumn="0" w:oddVBand="0" w:evenVBand="0" w:oddHBand="0" w:evenHBand="0" w:firstRowFirstColumn="0" w:firstRowLastColumn="0" w:lastRowFirstColumn="0" w:lastRowLastColumn="0"/>
              <w:rPr>
                <w:b/>
                <w:bCs/>
              </w:rPr>
            </w:pPr>
            <w:r>
              <w:rPr>
                <w:rFonts w:cs="Arial"/>
                <w:b/>
                <w:bCs/>
              </w:rPr>
              <w:t>7.1</w:t>
            </w:r>
          </w:p>
        </w:tc>
        <w:tc>
          <w:tcPr>
            <w:tcW w:w="1430" w:type="dxa"/>
            <w:vAlign w:val="center"/>
          </w:tcPr>
          <w:p w14:paraId="6B6E9056" w14:textId="1AC933C3" w:rsidR="00062B02" w:rsidRPr="004D08E0" w:rsidRDefault="005C415A">
            <w:pPr>
              <w:spacing w:after="0"/>
              <w:jc w:val="center"/>
              <w:cnfStyle w:val="000000000000" w:firstRow="0" w:lastRow="0" w:firstColumn="0" w:lastColumn="0" w:oddVBand="0" w:evenVBand="0" w:oddHBand="0" w:evenHBand="0" w:firstRowFirstColumn="0" w:firstRowLastColumn="0" w:lastRowFirstColumn="0" w:lastRowLastColumn="0"/>
            </w:pPr>
            <w:r>
              <w:rPr>
                <w:rFonts w:cs="Arial"/>
              </w:rPr>
              <w:t>4.9</w:t>
            </w:r>
          </w:p>
        </w:tc>
        <w:tc>
          <w:tcPr>
            <w:tcW w:w="1244" w:type="dxa"/>
            <w:vAlign w:val="center"/>
          </w:tcPr>
          <w:p w14:paraId="0BA42D27" w14:textId="7161B104" w:rsidR="00062B02" w:rsidRPr="004D08E0" w:rsidRDefault="00464B51">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8.5</w:t>
            </w:r>
          </w:p>
        </w:tc>
      </w:tr>
      <w:tr w:rsidR="00A13456" w:rsidRPr="00653483" w14:paraId="3079E450" w14:textId="77777777" w:rsidTr="002F093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20B23C70" w14:textId="77777777" w:rsidR="00A77655" w:rsidRPr="000B631D" w:rsidRDefault="00A77655" w:rsidP="001E0536">
            <w:pPr>
              <w:pStyle w:val="ListParagraph"/>
              <w:numPr>
                <w:ilvl w:val="0"/>
                <w:numId w:val="58"/>
              </w:numPr>
              <w:spacing w:after="0" w:line="240" w:lineRule="auto"/>
              <w:ind w:left="385" w:hanging="357"/>
              <w:rPr>
                <w:rFonts w:cs="Arial"/>
                <w:b w:val="0"/>
                <w:bCs w:val="0"/>
              </w:rPr>
            </w:pPr>
            <w:r w:rsidRPr="000B631D">
              <w:rPr>
                <w:rFonts w:cs="Arial"/>
                <w:b w:val="0"/>
                <w:bCs w:val="0"/>
              </w:rPr>
              <w:t>Incidence of persistent hiring pressures (%)</w:t>
            </w:r>
          </w:p>
        </w:tc>
        <w:tc>
          <w:tcPr>
            <w:tcW w:w="1230" w:type="dxa"/>
            <w:vAlign w:val="center"/>
          </w:tcPr>
          <w:p w14:paraId="70C565AF" w14:textId="7C9976F4" w:rsidR="00A77655" w:rsidRPr="004D08E0" w:rsidRDefault="00A77655" w:rsidP="00A77655">
            <w:pPr>
              <w:spacing w:after="0"/>
              <w:jc w:val="center"/>
              <w:cnfStyle w:val="000000100000" w:firstRow="0" w:lastRow="0" w:firstColumn="0" w:lastColumn="0" w:oddVBand="0" w:evenVBand="0" w:oddHBand="1" w:evenHBand="0" w:firstRowFirstColumn="0" w:firstRowLastColumn="0" w:lastRowFirstColumn="0" w:lastRowLastColumn="0"/>
              <w:rPr>
                <w:rFonts w:cs="Arial"/>
                <w:b/>
                <w:bCs/>
                <w:highlight w:val="yellow"/>
              </w:rPr>
            </w:pPr>
            <w:r w:rsidRPr="003705EA">
              <w:rPr>
                <w:rFonts w:cs="Arial"/>
                <w:b/>
                <w:bCs/>
              </w:rPr>
              <w:t>n/a</w:t>
            </w:r>
          </w:p>
        </w:tc>
        <w:tc>
          <w:tcPr>
            <w:tcW w:w="1430" w:type="dxa"/>
            <w:vAlign w:val="center"/>
          </w:tcPr>
          <w:p w14:paraId="5FDAD1F9" w14:textId="0227466D" w:rsidR="00A77655" w:rsidRPr="004D08E0" w:rsidRDefault="00A77655" w:rsidP="00A77655">
            <w:pPr>
              <w:spacing w:after="0"/>
              <w:jc w:val="center"/>
              <w:cnfStyle w:val="000000100000" w:firstRow="0" w:lastRow="0" w:firstColumn="0" w:lastColumn="0" w:oddVBand="0" w:evenVBand="0" w:oddHBand="1" w:evenHBand="0" w:firstRowFirstColumn="0" w:firstRowLastColumn="0" w:lastRowFirstColumn="0" w:lastRowLastColumn="0"/>
              <w:rPr>
                <w:rFonts w:cs="Arial"/>
                <w:highlight w:val="yellow"/>
              </w:rPr>
            </w:pPr>
            <w:r w:rsidRPr="003705EA">
              <w:rPr>
                <w:rFonts w:cs="Arial"/>
              </w:rPr>
              <w:t>n/a</w:t>
            </w:r>
          </w:p>
        </w:tc>
        <w:tc>
          <w:tcPr>
            <w:tcW w:w="1244" w:type="dxa"/>
            <w:vAlign w:val="center"/>
          </w:tcPr>
          <w:p w14:paraId="68B630C5" w14:textId="3206ABEB" w:rsidR="00A77655" w:rsidRPr="004D08E0" w:rsidRDefault="00A77655" w:rsidP="00A77655">
            <w:pPr>
              <w:spacing w:after="0"/>
              <w:jc w:val="center"/>
              <w:cnfStyle w:val="000000100000" w:firstRow="0" w:lastRow="0" w:firstColumn="0" w:lastColumn="0" w:oddVBand="0" w:evenVBand="0" w:oddHBand="1" w:evenHBand="0" w:firstRowFirstColumn="0" w:firstRowLastColumn="0" w:lastRowFirstColumn="0" w:lastRowLastColumn="0"/>
              <w:rPr>
                <w:rFonts w:cs="Arial"/>
                <w:b/>
                <w:bCs/>
                <w:highlight w:val="yellow"/>
              </w:rPr>
            </w:pPr>
            <w:r>
              <w:rPr>
                <w:rFonts w:cs="Arial"/>
                <w:b/>
                <w:bCs/>
              </w:rPr>
              <w:t>36.8</w:t>
            </w:r>
          </w:p>
        </w:tc>
      </w:tr>
      <w:tr w:rsidR="00CD1924" w:rsidRPr="00653483" w14:paraId="7A94432E" w14:textId="77777777" w:rsidTr="002F0933">
        <w:trPr>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4F38965F" w14:textId="560DEDFC" w:rsidR="00062B02" w:rsidRPr="000B631D" w:rsidRDefault="006961FA" w:rsidP="001E0536">
            <w:pPr>
              <w:pStyle w:val="ListParagraph"/>
              <w:numPr>
                <w:ilvl w:val="0"/>
                <w:numId w:val="58"/>
              </w:numPr>
              <w:spacing w:after="0" w:line="240" w:lineRule="auto"/>
              <w:ind w:left="385" w:hanging="357"/>
              <w:rPr>
                <w:rFonts w:cs="Arial"/>
              </w:rPr>
            </w:pPr>
            <w:r>
              <w:rPr>
                <w:rFonts w:cs="Arial"/>
                <w:b w:val="0"/>
                <w:bCs w:val="0"/>
              </w:rPr>
              <w:t>Business creation rate</w:t>
            </w:r>
            <w:r w:rsidR="00062B02" w:rsidRPr="000B631D">
              <w:rPr>
                <w:rFonts w:cs="Arial"/>
                <w:b w:val="0"/>
                <w:bCs w:val="0"/>
              </w:rPr>
              <w:t xml:space="preserve"> (%)</w:t>
            </w:r>
          </w:p>
        </w:tc>
        <w:tc>
          <w:tcPr>
            <w:tcW w:w="1230" w:type="dxa"/>
            <w:vAlign w:val="center"/>
          </w:tcPr>
          <w:p w14:paraId="48ED9506" w14:textId="419F3F1F" w:rsidR="00062B02" w:rsidRPr="004D08E0" w:rsidRDefault="0082081D">
            <w:pPr>
              <w:spacing w:after="0"/>
              <w:jc w:val="center"/>
              <w:cnfStyle w:val="000000000000" w:firstRow="0" w:lastRow="0" w:firstColumn="0" w:lastColumn="0" w:oddVBand="0" w:evenVBand="0" w:oddHBand="0" w:evenHBand="0" w:firstRowFirstColumn="0" w:firstRowLastColumn="0" w:lastRowFirstColumn="0" w:lastRowLastColumn="0"/>
              <w:rPr>
                <w:rFonts w:cs="Arial"/>
                <w:b/>
                <w:bCs/>
                <w:highlight w:val="yellow"/>
              </w:rPr>
            </w:pPr>
            <w:r>
              <w:rPr>
                <w:b/>
                <w:bCs/>
              </w:rPr>
              <w:t>2.4</w:t>
            </w:r>
          </w:p>
        </w:tc>
        <w:tc>
          <w:tcPr>
            <w:tcW w:w="1430" w:type="dxa"/>
            <w:vAlign w:val="center"/>
          </w:tcPr>
          <w:p w14:paraId="5D7AF134" w14:textId="10AF9F58" w:rsidR="00062B02" w:rsidRPr="004D08E0" w:rsidRDefault="0082081D">
            <w:pPr>
              <w:spacing w:after="0"/>
              <w:jc w:val="center"/>
              <w:cnfStyle w:val="000000000000" w:firstRow="0" w:lastRow="0" w:firstColumn="0" w:lastColumn="0" w:oddVBand="0" w:evenVBand="0" w:oddHBand="0" w:evenHBand="0" w:firstRowFirstColumn="0" w:firstRowLastColumn="0" w:lastRowFirstColumn="0" w:lastRowLastColumn="0"/>
              <w:rPr>
                <w:rFonts w:cs="Arial"/>
                <w:highlight w:val="yellow"/>
              </w:rPr>
            </w:pPr>
            <w:r>
              <w:t>3.8</w:t>
            </w:r>
          </w:p>
        </w:tc>
        <w:tc>
          <w:tcPr>
            <w:tcW w:w="1244" w:type="dxa"/>
            <w:vAlign w:val="center"/>
          </w:tcPr>
          <w:p w14:paraId="5084328E" w14:textId="5C71F45E" w:rsidR="00062B02" w:rsidRPr="004D08E0" w:rsidRDefault="00D87A91">
            <w:pPr>
              <w:spacing w:after="0"/>
              <w:jc w:val="center"/>
              <w:cnfStyle w:val="000000000000" w:firstRow="0" w:lastRow="0" w:firstColumn="0" w:lastColumn="0" w:oddVBand="0" w:evenVBand="0" w:oddHBand="0" w:evenHBand="0" w:firstRowFirstColumn="0" w:firstRowLastColumn="0" w:lastRowFirstColumn="0" w:lastRowLastColumn="0"/>
              <w:rPr>
                <w:rFonts w:cs="Arial"/>
                <w:b/>
                <w:bCs/>
                <w:highlight w:val="yellow"/>
              </w:rPr>
            </w:pPr>
            <w:r>
              <w:rPr>
                <w:rFonts w:cs="Arial"/>
                <w:b/>
                <w:bCs/>
              </w:rPr>
              <w:t>2.2</w:t>
            </w:r>
          </w:p>
        </w:tc>
      </w:tr>
      <w:tr w:rsidR="00C13952" w:rsidRPr="000A4F04" w14:paraId="50961A72" w14:textId="77777777" w:rsidTr="00D304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463" w:type="dxa"/>
            <w:shd w:val="clear" w:color="auto" w:fill="370663"/>
          </w:tcPr>
          <w:p w14:paraId="3F73EFED" w14:textId="77777777" w:rsidR="00C13952" w:rsidRPr="000A4F04" w:rsidRDefault="00C13952">
            <w:pPr>
              <w:spacing w:after="0"/>
              <w:rPr>
                <w:rFonts w:cs="Arial"/>
                <w:color w:val="000000" w:themeColor="text1"/>
                <w:sz w:val="12"/>
                <w:szCs w:val="12"/>
              </w:rPr>
            </w:pPr>
          </w:p>
        </w:tc>
        <w:tc>
          <w:tcPr>
            <w:tcW w:w="1230" w:type="dxa"/>
            <w:shd w:val="clear" w:color="auto" w:fill="370663"/>
          </w:tcPr>
          <w:p w14:paraId="5DC83A9A" w14:textId="77777777" w:rsidR="00C13952" w:rsidRPr="004D08E0" w:rsidRDefault="00C13952">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p>
        </w:tc>
        <w:tc>
          <w:tcPr>
            <w:tcW w:w="1430" w:type="dxa"/>
            <w:shd w:val="clear" w:color="auto" w:fill="370663"/>
          </w:tcPr>
          <w:p w14:paraId="657D082D" w14:textId="77777777" w:rsidR="00C13952" w:rsidRPr="004D08E0" w:rsidRDefault="00C13952">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c>
          <w:tcPr>
            <w:tcW w:w="1244" w:type="dxa"/>
            <w:shd w:val="clear" w:color="auto" w:fill="370663"/>
          </w:tcPr>
          <w:p w14:paraId="08AF8536" w14:textId="77777777" w:rsidR="00C13952" w:rsidRPr="004D08E0" w:rsidRDefault="00C13952">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r>
      <w:tr w:rsidR="00CD1924" w:rsidRPr="000A4F04" w14:paraId="2C7BD749" w14:textId="77777777" w:rsidTr="002F0933">
        <w:trPr>
          <w:trHeight w:val="454"/>
        </w:trPr>
        <w:tc>
          <w:tcPr>
            <w:cnfStyle w:val="001000000000" w:firstRow="0" w:lastRow="0" w:firstColumn="1" w:lastColumn="0" w:oddVBand="0" w:evenVBand="0" w:oddHBand="0" w:evenHBand="0" w:firstRowFirstColumn="0" w:firstRowLastColumn="0" w:lastRowFirstColumn="0" w:lastRowLastColumn="0"/>
            <w:tcW w:w="5463" w:type="dxa"/>
          </w:tcPr>
          <w:p w14:paraId="2981593D" w14:textId="77777777" w:rsidR="00C13952" w:rsidRPr="000A4F04" w:rsidRDefault="00C13952">
            <w:pPr>
              <w:spacing w:after="0"/>
              <w:rPr>
                <w:rFonts w:cs="Arial"/>
                <w:sz w:val="28"/>
                <w:szCs w:val="28"/>
              </w:rPr>
            </w:pPr>
            <w:r w:rsidRPr="000A4F04">
              <w:rPr>
                <w:rFonts w:cs="Arial"/>
                <w:color w:val="000000" w:themeColor="text1"/>
                <w:sz w:val="28"/>
                <w:szCs w:val="28"/>
              </w:rPr>
              <w:t xml:space="preserve">Vision Principle </w:t>
            </w:r>
            <w:r>
              <w:rPr>
                <w:rFonts w:cs="Arial"/>
                <w:color w:val="000000" w:themeColor="text1"/>
                <w:sz w:val="28"/>
                <w:szCs w:val="28"/>
              </w:rPr>
              <w:t>5</w:t>
            </w:r>
          </w:p>
        </w:tc>
        <w:tc>
          <w:tcPr>
            <w:tcW w:w="1230" w:type="dxa"/>
          </w:tcPr>
          <w:p w14:paraId="62493A1F" w14:textId="77777777" w:rsidR="00C13952" w:rsidRPr="004D08E0" w:rsidRDefault="00C13952">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p>
        </w:tc>
        <w:tc>
          <w:tcPr>
            <w:tcW w:w="1430" w:type="dxa"/>
          </w:tcPr>
          <w:p w14:paraId="2E47A39C" w14:textId="77777777" w:rsidR="00C13952" w:rsidRPr="004D08E0" w:rsidRDefault="00C13952">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c>
          <w:tcPr>
            <w:tcW w:w="1244" w:type="dxa"/>
          </w:tcPr>
          <w:p w14:paraId="0D5C642D" w14:textId="77777777" w:rsidR="00C13952" w:rsidRPr="004D08E0" w:rsidRDefault="00C13952">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r>
      <w:tr w:rsidR="00A13456" w:rsidRPr="00653483" w14:paraId="5EB5F28B" w14:textId="777777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tcPr>
          <w:p w14:paraId="25FEC331" w14:textId="77777777" w:rsidR="00C13952" w:rsidRPr="000B631D" w:rsidRDefault="00C13952" w:rsidP="001E0536">
            <w:pPr>
              <w:pStyle w:val="ListParagraph"/>
              <w:numPr>
                <w:ilvl w:val="0"/>
                <w:numId w:val="58"/>
              </w:numPr>
              <w:spacing w:after="0" w:line="240" w:lineRule="auto"/>
              <w:ind w:left="385" w:hanging="357"/>
              <w:rPr>
                <w:rFonts w:cs="Arial"/>
                <w:b w:val="0"/>
                <w:bCs w:val="0"/>
              </w:rPr>
            </w:pPr>
            <w:r>
              <w:rPr>
                <w:rFonts w:cs="Arial"/>
                <w:b w:val="0"/>
                <w:bCs w:val="0"/>
              </w:rPr>
              <w:t>Beveridge Curve analysis</w:t>
            </w:r>
          </w:p>
        </w:tc>
        <w:tc>
          <w:tcPr>
            <w:tcW w:w="1230" w:type="dxa"/>
            <w:vAlign w:val="center"/>
          </w:tcPr>
          <w:p w14:paraId="39930711" w14:textId="1AF4DC74" w:rsidR="00C13952" w:rsidRPr="004D08E0" w:rsidRDefault="004E2BE7">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rPr>
              <w:t>n/a</w:t>
            </w:r>
          </w:p>
        </w:tc>
        <w:tc>
          <w:tcPr>
            <w:tcW w:w="1430" w:type="dxa"/>
            <w:vAlign w:val="center"/>
          </w:tcPr>
          <w:p w14:paraId="5882EFF7" w14:textId="0263CA7C" w:rsidR="00C13952" w:rsidRPr="004D08E0" w:rsidRDefault="004E2BE7">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sidRPr="004D08E0">
              <w:rPr>
                <w:rFonts w:cs="Arial"/>
              </w:rPr>
              <w:t>n/a</w:t>
            </w:r>
          </w:p>
        </w:tc>
        <w:tc>
          <w:tcPr>
            <w:tcW w:w="1244" w:type="dxa"/>
            <w:vAlign w:val="center"/>
          </w:tcPr>
          <w:p w14:paraId="323CB9F0" w14:textId="5ED74F43" w:rsidR="00C13952" w:rsidRPr="004D08E0" w:rsidRDefault="004E2BE7">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rPr>
              <w:t>n/a</w:t>
            </w:r>
          </w:p>
        </w:tc>
      </w:tr>
      <w:tr w:rsidR="00CD1924" w:rsidRPr="00653483" w14:paraId="1032B9D0" w14:textId="77777777" w:rsidTr="002F0933">
        <w:trPr>
          <w:trHeight w:val="454"/>
        </w:trPr>
        <w:tc>
          <w:tcPr>
            <w:cnfStyle w:val="001000000000" w:firstRow="0" w:lastRow="0" w:firstColumn="1" w:lastColumn="0" w:oddVBand="0" w:evenVBand="0" w:oddHBand="0" w:evenHBand="0" w:firstRowFirstColumn="0" w:firstRowLastColumn="0" w:lastRowFirstColumn="0" w:lastRowLastColumn="0"/>
            <w:tcW w:w="5463" w:type="dxa"/>
          </w:tcPr>
          <w:p w14:paraId="0526ADD8" w14:textId="0F0997A9" w:rsidR="00C13952" w:rsidRPr="000B631D" w:rsidRDefault="00C13952" w:rsidP="001E0536">
            <w:pPr>
              <w:pStyle w:val="ListParagraph"/>
              <w:numPr>
                <w:ilvl w:val="0"/>
                <w:numId w:val="58"/>
              </w:numPr>
              <w:spacing w:after="0" w:line="240" w:lineRule="auto"/>
              <w:ind w:left="385" w:hanging="357"/>
              <w:rPr>
                <w:rFonts w:cs="Arial"/>
                <w:b w:val="0"/>
                <w:bCs w:val="0"/>
              </w:rPr>
            </w:pPr>
            <w:r>
              <w:rPr>
                <w:rFonts w:cs="Arial"/>
                <w:b w:val="0"/>
                <w:bCs w:val="0"/>
              </w:rPr>
              <w:t>Efficiency of labour market matching</w:t>
            </w:r>
            <w:r w:rsidR="00B45E0B">
              <w:rPr>
                <w:rFonts w:cs="Arial"/>
                <w:b w:val="0"/>
                <w:bCs w:val="0"/>
              </w:rPr>
              <w:t xml:space="preserve"> (%)</w:t>
            </w:r>
          </w:p>
        </w:tc>
        <w:tc>
          <w:tcPr>
            <w:tcW w:w="1230" w:type="dxa"/>
          </w:tcPr>
          <w:p w14:paraId="37E7E7CC" w14:textId="174D73FC" w:rsidR="00C13952" w:rsidRPr="001D7DF4" w:rsidRDefault="00C65656">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asciiTheme="minorHAnsi" w:hAnsiTheme="minorHAnsi" w:cstheme="minorHAnsi"/>
                <w:b/>
                <w:bCs/>
              </w:rPr>
              <w:t>83.4</w:t>
            </w:r>
          </w:p>
        </w:tc>
        <w:tc>
          <w:tcPr>
            <w:tcW w:w="1430" w:type="dxa"/>
          </w:tcPr>
          <w:p w14:paraId="56B45D04" w14:textId="7D62DE27" w:rsidR="00C13952" w:rsidRPr="001D7DF4" w:rsidRDefault="00511C8E">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Pr>
                <w:rFonts w:asciiTheme="minorHAnsi" w:hAnsiTheme="minorHAnsi" w:cstheme="minorHAnsi"/>
              </w:rPr>
              <w:t>85.2</w:t>
            </w:r>
          </w:p>
        </w:tc>
        <w:tc>
          <w:tcPr>
            <w:tcW w:w="1244" w:type="dxa"/>
          </w:tcPr>
          <w:p w14:paraId="60614F79" w14:textId="19AD90DE" w:rsidR="00C13952" w:rsidRPr="001D7DF4" w:rsidRDefault="0054010F">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80.7</w:t>
            </w:r>
          </w:p>
        </w:tc>
      </w:tr>
    </w:tbl>
    <w:p w14:paraId="6B8D78E0" w14:textId="2863B97D" w:rsidR="0045196E" w:rsidRPr="008731B9" w:rsidRDefault="0045196E" w:rsidP="00A27EC5">
      <w:pPr>
        <w:pStyle w:val="Heading2"/>
      </w:pPr>
      <w:bookmarkStart w:id="209" w:name="_Toc200637159"/>
      <w:bookmarkStart w:id="210" w:name="_Toc201070201"/>
      <w:bookmarkStart w:id="211" w:name="_Toc201919864"/>
      <w:bookmarkStart w:id="212" w:name="_Toc202361892"/>
      <w:r>
        <w:lastRenderedPageBreak/>
        <w:t>R</w:t>
      </w:r>
      <w:r w:rsidRPr="008731B9">
        <w:t xml:space="preserve">egional </w:t>
      </w:r>
      <w:r>
        <w:t>Queensland</w:t>
      </w:r>
      <w:bookmarkEnd w:id="209"/>
      <w:bookmarkEnd w:id="210"/>
      <w:bookmarkEnd w:id="211"/>
      <w:bookmarkEnd w:id="212"/>
    </w:p>
    <w:p w14:paraId="2D630BAF" w14:textId="6BBC38B3" w:rsidR="0045196E" w:rsidRPr="0048438C" w:rsidRDefault="009D232C" w:rsidP="009D232C">
      <w:pPr>
        <w:pStyle w:val="Caption"/>
        <w:spacing w:before="160"/>
        <w:rPr>
          <w:b w:val="0"/>
          <w:bCs w:val="0"/>
        </w:rPr>
      </w:pPr>
      <w:r>
        <w:t xml:space="preserve">Table </w:t>
      </w:r>
      <w:r>
        <w:fldChar w:fldCharType="begin"/>
      </w:r>
      <w:r>
        <w:instrText xml:space="preserve"> SEQ Table \* ARABIC </w:instrText>
      </w:r>
      <w:r>
        <w:fldChar w:fldCharType="separate"/>
      </w:r>
      <w:r w:rsidR="00471863">
        <w:rPr>
          <w:noProof/>
        </w:rPr>
        <w:t>35</w:t>
      </w:r>
      <w:r>
        <w:fldChar w:fldCharType="end"/>
      </w:r>
      <w:r w:rsidR="0045196E" w:rsidRPr="0048438C">
        <w:rPr>
          <w:b w:val="0"/>
          <w:bCs w:val="0"/>
        </w:rPr>
        <w:t>:</w:t>
      </w:r>
      <w:r w:rsidR="00820B93">
        <w:rPr>
          <w:b w:val="0"/>
          <w:bCs w:val="0"/>
        </w:rPr>
        <w:t xml:space="preserve"> </w:t>
      </w:r>
      <w:r w:rsidR="00820B93" w:rsidRPr="00820B93">
        <w:t xml:space="preserve">Roadmap indicators for Regional </w:t>
      </w:r>
      <w:r w:rsidR="00820B93">
        <w:t>Queensland</w:t>
      </w:r>
      <w:r w:rsidR="00194A47">
        <w:t xml:space="preserve">, </w:t>
      </w:r>
      <w:r w:rsidR="00820B93">
        <w:t>Brisbane</w:t>
      </w:r>
      <w:r w:rsidR="00194A47">
        <w:t xml:space="preserve"> and Regional Australia</w:t>
      </w:r>
    </w:p>
    <w:tbl>
      <w:tblPr>
        <w:tblStyle w:val="PlainTable4"/>
        <w:tblW w:w="9367" w:type="dxa"/>
        <w:tblLook w:val="04A0" w:firstRow="1" w:lastRow="0" w:firstColumn="1" w:lastColumn="0" w:noHBand="0" w:noVBand="1"/>
      </w:tblPr>
      <w:tblGrid>
        <w:gridCol w:w="5463"/>
        <w:gridCol w:w="1230"/>
        <w:gridCol w:w="1430"/>
        <w:gridCol w:w="1244"/>
      </w:tblGrid>
      <w:tr w:rsidR="0045196E" w:rsidRPr="00653483" w14:paraId="33E7DB5A" w14:textId="77777777">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5463" w:type="dxa"/>
            <w:shd w:val="clear" w:color="auto" w:fill="370663"/>
            <w:vAlign w:val="center"/>
          </w:tcPr>
          <w:p w14:paraId="4BC3F80A" w14:textId="77777777" w:rsidR="0045196E" w:rsidRPr="00DF1C3B" w:rsidRDefault="0045196E">
            <w:pPr>
              <w:spacing w:before="120" w:after="120"/>
              <w:rPr>
                <w:rFonts w:cs="Arial"/>
                <w:color w:val="FFFFFF" w:themeColor="background1"/>
                <w:sz w:val="24"/>
                <w:szCs w:val="24"/>
              </w:rPr>
            </w:pPr>
          </w:p>
        </w:tc>
        <w:tc>
          <w:tcPr>
            <w:tcW w:w="1230" w:type="dxa"/>
            <w:shd w:val="clear" w:color="auto" w:fill="370663"/>
            <w:vAlign w:val="center"/>
          </w:tcPr>
          <w:p w14:paraId="380F6BB4" w14:textId="77777777" w:rsidR="0045196E" w:rsidRPr="00DF1C3B" w:rsidRDefault="0045196E">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sidRPr="00DF1C3B">
              <w:rPr>
                <w:rFonts w:cs="Arial"/>
                <w:color w:val="FFFFFF" w:themeColor="background1"/>
                <w:sz w:val="24"/>
                <w:szCs w:val="24"/>
              </w:rPr>
              <w:t xml:space="preserve">Regional </w:t>
            </w:r>
            <w:r>
              <w:rPr>
                <w:rFonts w:cs="Arial"/>
                <w:color w:val="FFFFFF" w:themeColor="background1"/>
                <w:sz w:val="24"/>
                <w:szCs w:val="24"/>
              </w:rPr>
              <w:t>QLD</w:t>
            </w:r>
          </w:p>
        </w:tc>
        <w:tc>
          <w:tcPr>
            <w:tcW w:w="1430" w:type="dxa"/>
            <w:shd w:val="clear" w:color="auto" w:fill="370663"/>
            <w:vAlign w:val="center"/>
          </w:tcPr>
          <w:p w14:paraId="42A3AA96" w14:textId="77777777" w:rsidR="0045196E" w:rsidRPr="00DF1C3B" w:rsidRDefault="0045196E">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Pr>
                <w:rFonts w:cs="Arial"/>
                <w:color w:val="FFFFFF" w:themeColor="background1"/>
                <w:sz w:val="24"/>
                <w:szCs w:val="24"/>
              </w:rPr>
              <w:t>Brisbane</w:t>
            </w:r>
          </w:p>
        </w:tc>
        <w:tc>
          <w:tcPr>
            <w:tcW w:w="1244" w:type="dxa"/>
            <w:shd w:val="clear" w:color="auto" w:fill="370663"/>
          </w:tcPr>
          <w:p w14:paraId="1BD4204D" w14:textId="77777777" w:rsidR="0045196E" w:rsidRPr="00DF1C3B" w:rsidRDefault="0045196E">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sidRPr="00DF1C3B">
              <w:rPr>
                <w:rFonts w:cs="Arial"/>
                <w:color w:val="FFFFFF" w:themeColor="background1"/>
                <w:sz w:val="24"/>
                <w:szCs w:val="24"/>
              </w:rPr>
              <w:t>Regional Australia</w:t>
            </w:r>
          </w:p>
        </w:tc>
      </w:tr>
      <w:tr w:rsidR="00A13456" w:rsidRPr="000A4F04" w14:paraId="7D9F1B16" w14:textId="77777777" w:rsidTr="00B042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shd w:val="clear" w:color="auto" w:fill="FFFFFF" w:themeFill="background1"/>
            <w:vAlign w:val="center"/>
          </w:tcPr>
          <w:p w14:paraId="60D6DA12" w14:textId="7BD144F6" w:rsidR="0045196E" w:rsidRPr="000A4F04" w:rsidRDefault="0045196E">
            <w:pPr>
              <w:rPr>
                <w:rFonts w:cs="Arial"/>
                <w:sz w:val="28"/>
                <w:szCs w:val="28"/>
              </w:rPr>
            </w:pPr>
            <w:r w:rsidRPr="000A4F04">
              <w:rPr>
                <w:rFonts w:cs="Arial"/>
                <w:color w:val="000000" w:themeColor="text1"/>
                <w:sz w:val="28"/>
                <w:szCs w:val="28"/>
              </w:rPr>
              <w:t>Vision Principle 1</w:t>
            </w:r>
          </w:p>
        </w:tc>
        <w:tc>
          <w:tcPr>
            <w:tcW w:w="1230" w:type="dxa"/>
            <w:shd w:val="clear" w:color="auto" w:fill="FFFFFF" w:themeFill="background1"/>
            <w:vAlign w:val="center"/>
          </w:tcPr>
          <w:p w14:paraId="2D78BE3B" w14:textId="2DCA993F" w:rsidR="0045196E" w:rsidRPr="000A4F04"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sz w:val="28"/>
                <w:szCs w:val="28"/>
              </w:rPr>
            </w:pPr>
          </w:p>
        </w:tc>
        <w:tc>
          <w:tcPr>
            <w:tcW w:w="1430" w:type="dxa"/>
            <w:shd w:val="clear" w:color="auto" w:fill="FFFFFF" w:themeFill="background1"/>
            <w:vAlign w:val="center"/>
          </w:tcPr>
          <w:p w14:paraId="0C26A12C" w14:textId="4AD0228F" w:rsidR="0045196E" w:rsidRPr="000A4F04"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8"/>
                <w:szCs w:val="28"/>
              </w:rPr>
            </w:pPr>
          </w:p>
        </w:tc>
        <w:tc>
          <w:tcPr>
            <w:tcW w:w="1244" w:type="dxa"/>
            <w:shd w:val="clear" w:color="auto" w:fill="FFFFFF" w:themeFill="background1"/>
            <w:vAlign w:val="center"/>
          </w:tcPr>
          <w:p w14:paraId="4101D041" w14:textId="2D91BB6D" w:rsidR="0045196E" w:rsidRPr="000A4F04"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8"/>
                <w:szCs w:val="28"/>
              </w:rPr>
            </w:pPr>
          </w:p>
        </w:tc>
      </w:tr>
      <w:tr w:rsidR="0045196E" w:rsidRPr="001729C8" w14:paraId="28E7DC1D" w14:textId="77777777" w:rsidTr="00567BDD">
        <w:trPr>
          <w:trHeight w:val="454"/>
        </w:trPr>
        <w:tc>
          <w:tcPr>
            <w:cnfStyle w:val="001000000000" w:firstRow="0" w:lastRow="0" w:firstColumn="1" w:lastColumn="0" w:oddVBand="0" w:evenVBand="0" w:oddHBand="0" w:evenHBand="0" w:firstRowFirstColumn="0" w:firstRowLastColumn="0" w:lastRowFirstColumn="0" w:lastRowLastColumn="0"/>
            <w:tcW w:w="5463" w:type="dxa"/>
            <w:shd w:val="clear" w:color="auto" w:fill="F2F2F2" w:themeFill="background1" w:themeFillShade="F2"/>
            <w:vAlign w:val="center"/>
          </w:tcPr>
          <w:p w14:paraId="5BDF1426" w14:textId="77777777" w:rsidR="0045196E" w:rsidRPr="001729C8" w:rsidRDefault="0045196E" w:rsidP="00D16B99">
            <w:pPr>
              <w:pStyle w:val="ListParagraph"/>
              <w:numPr>
                <w:ilvl w:val="0"/>
                <w:numId w:val="15"/>
              </w:numPr>
              <w:spacing w:before="40" w:after="40" w:line="240" w:lineRule="auto"/>
              <w:rPr>
                <w:rFonts w:cs="Arial"/>
                <w:b w:val="0"/>
                <w:bCs w:val="0"/>
              </w:rPr>
            </w:pPr>
            <w:r w:rsidRPr="00BE2F59">
              <w:rPr>
                <w:rFonts w:cs="Arial"/>
                <w:b w:val="0"/>
                <w:bCs w:val="0"/>
              </w:rPr>
              <w:t xml:space="preserve">School </w:t>
            </w:r>
            <w:r>
              <w:rPr>
                <w:rFonts w:cs="Arial"/>
                <w:b w:val="0"/>
                <w:bCs w:val="0"/>
              </w:rPr>
              <w:t>non-</w:t>
            </w:r>
            <w:r w:rsidRPr="00BE2F59">
              <w:rPr>
                <w:rFonts w:cs="Arial"/>
                <w:b w:val="0"/>
                <w:bCs w:val="0"/>
              </w:rPr>
              <w:t>attendance rate (%)</w:t>
            </w:r>
          </w:p>
        </w:tc>
        <w:tc>
          <w:tcPr>
            <w:tcW w:w="1230" w:type="dxa"/>
            <w:shd w:val="clear" w:color="auto" w:fill="F2F2F2" w:themeFill="background1" w:themeFillShade="F2"/>
            <w:vAlign w:val="center"/>
          </w:tcPr>
          <w:p w14:paraId="1814EB12" w14:textId="54A3E9C2" w:rsidR="0045196E" w:rsidRPr="004D08E0" w:rsidRDefault="00886822">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b/>
                <w:bCs/>
              </w:rPr>
              <w:t>13.7</w:t>
            </w:r>
          </w:p>
        </w:tc>
        <w:tc>
          <w:tcPr>
            <w:tcW w:w="1430" w:type="dxa"/>
            <w:shd w:val="clear" w:color="auto" w:fill="F2F2F2" w:themeFill="background1" w:themeFillShade="F2"/>
            <w:vAlign w:val="center"/>
          </w:tcPr>
          <w:p w14:paraId="758ACF47" w14:textId="670E844C"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highlight w:val="yellow"/>
              </w:rPr>
            </w:pPr>
            <w:r w:rsidRPr="004D08E0">
              <w:rPr>
                <w:rFonts w:cs="Arial"/>
              </w:rPr>
              <w:t>11.</w:t>
            </w:r>
            <w:r w:rsidR="009A08C9">
              <w:rPr>
                <w:rFonts w:cs="Arial"/>
              </w:rPr>
              <w:t>0</w:t>
            </w:r>
          </w:p>
        </w:tc>
        <w:tc>
          <w:tcPr>
            <w:tcW w:w="1244" w:type="dxa"/>
            <w:shd w:val="clear" w:color="auto" w:fill="F2F2F2" w:themeFill="background1" w:themeFillShade="F2"/>
            <w:vAlign w:val="center"/>
          </w:tcPr>
          <w:p w14:paraId="693ECA68" w14:textId="021A69E0" w:rsidR="0045196E" w:rsidRPr="004D08E0" w:rsidRDefault="00E70643">
            <w:pPr>
              <w:spacing w:after="0"/>
              <w:jc w:val="center"/>
              <w:cnfStyle w:val="000000000000" w:firstRow="0" w:lastRow="0" w:firstColumn="0" w:lastColumn="0" w:oddVBand="0" w:evenVBand="0" w:oddHBand="0" w:evenHBand="0" w:firstRowFirstColumn="0" w:firstRowLastColumn="0" w:lastRowFirstColumn="0" w:lastRowLastColumn="0"/>
              <w:rPr>
                <w:rFonts w:cs="Arial"/>
                <w:b/>
                <w:bCs/>
                <w:highlight w:val="yellow"/>
              </w:rPr>
            </w:pPr>
            <w:r>
              <w:rPr>
                <w:rFonts w:cs="Arial"/>
                <w:b/>
                <w:bCs/>
              </w:rPr>
              <w:t>14.6</w:t>
            </w:r>
          </w:p>
        </w:tc>
      </w:tr>
      <w:tr w:rsidR="00A13456" w:rsidRPr="00653483" w14:paraId="6AE8601A" w14:textId="77777777" w:rsidTr="00B042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shd w:val="clear" w:color="auto" w:fill="FFFFFF" w:themeFill="background1"/>
            <w:vAlign w:val="center"/>
          </w:tcPr>
          <w:p w14:paraId="61F40054" w14:textId="77777777" w:rsidR="0045196E" w:rsidRPr="000B631D" w:rsidRDefault="0045196E" w:rsidP="00D16B99">
            <w:pPr>
              <w:pStyle w:val="ListParagraph"/>
              <w:numPr>
                <w:ilvl w:val="0"/>
                <w:numId w:val="15"/>
              </w:numPr>
              <w:spacing w:before="40" w:after="40" w:line="240" w:lineRule="auto"/>
              <w:rPr>
                <w:rFonts w:cs="Arial"/>
                <w:b w:val="0"/>
                <w:bCs w:val="0"/>
              </w:rPr>
            </w:pPr>
            <w:r w:rsidRPr="000B631D">
              <w:rPr>
                <w:rFonts w:cs="Arial"/>
                <w:b w:val="0"/>
                <w:bCs w:val="0"/>
              </w:rPr>
              <w:t>Youth not in education, employment</w:t>
            </w:r>
            <w:r>
              <w:rPr>
                <w:rFonts w:cs="Arial"/>
                <w:b w:val="0"/>
                <w:bCs w:val="0"/>
              </w:rPr>
              <w:t xml:space="preserve">, </w:t>
            </w:r>
            <w:r w:rsidRPr="000B631D">
              <w:rPr>
                <w:rFonts w:cs="Arial"/>
                <w:b w:val="0"/>
                <w:bCs w:val="0"/>
              </w:rPr>
              <w:t>training (%)</w:t>
            </w:r>
          </w:p>
        </w:tc>
        <w:tc>
          <w:tcPr>
            <w:tcW w:w="1230" w:type="dxa"/>
            <w:shd w:val="clear" w:color="auto" w:fill="FFFFFF" w:themeFill="background1"/>
            <w:vAlign w:val="center"/>
          </w:tcPr>
          <w:p w14:paraId="68BD6E68" w14:textId="1C4737B0"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b/>
                <w:bCs/>
              </w:rPr>
              <w:t>1</w:t>
            </w:r>
            <w:r w:rsidR="00B23B2C">
              <w:rPr>
                <w:b/>
                <w:bCs/>
              </w:rPr>
              <w:t>8.1</w:t>
            </w:r>
          </w:p>
        </w:tc>
        <w:tc>
          <w:tcPr>
            <w:tcW w:w="1430" w:type="dxa"/>
            <w:shd w:val="clear" w:color="auto" w:fill="FFFFFF" w:themeFill="background1"/>
            <w:vAlign w:val="center"/>
          </w:tcPr>
          <w:p w14:paraId="46416818" w14:textId="3B294899" w:rsidR="0045196E" w:rsidRPr="004D08E0" w:rsidRDefault="001B5AD6">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10.9</w:t>
            </w:r>
          </w:p>
        </w:tc>
        <w:tc>
          <w:tcPr>
            <w:tcW w:w="1244" w:type="dxa"/>
            <w:shd w:val="clear" w:color="auto" w:fill="FFFFFF" w:themeFill="background1"/>
            <w:vAlign w:val="center"/>
          </w:tcPr>
          <w:p w14:paraId="5643322A" w14:textId="434AFE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15.</w:t>
            </w:r>
            <w:r w:rsidR="00012BD0">
              <w:rPr>
                <w:rFonts w:cs="Arial"/>
                <w:b/>
                <w:bCs/>
              </w:rPr>
              <w:t>3</w:t>
            </w:r>
          </w:p>
        </w:tc>
      </w:tr>
      <w:tr w:rsidR="0045196E" w:rsidRPr="00653483" w14:paraId="30C19902" w14:textId="77777777" w:rsidTr="00567BDD">
        <w:trPr>
          <w:trHeight w:val="454"/>
        </w:trPr>
        <w:tc>
          <w:tcPr>
            <w:cnfStyle w:val="001000000000" w:firstRow="0" w:lastRow="0" w:firstColumn="1" w:lastColumn="0" w:oddVBand="0" w:evenVBand="0" w:oddHBand="0" w:evenHBand="0" w:firstRowFirstColumn="0" w:firstRowLastColumn="0" w:lastRowFirstColumn="0" w:lastRowLastColumn="0"/>
            <w:tcW w:w="5463" w:type="dxa"/>
            <w:shd w:val="clear" w:color="auto" w:fill="F2F2F2" w:themeFill="background1" w:themeFillShade="F2"/>
            <w:vAlign w:val="center"/>
          </w:tcPr>
          <w:p w14:paraId="6FBBC665" w14:textId="77777777" w:rsidR="0045196E" w:rsidRPr="008362BC" w:rsidRDefault="0045196E" w:rsidP="00D16B99">
            <w:pPr>
              <w:pStyle w:val="ListParagraph"/>
              <w:numPr>
                <w:ilvl w:val="0"/>
                <w:numId w:val="15"/>
              </w:numPr>
              <w:spacing w:before="40" w:after="40" w:line="240" w:lineRule="auto"/>
              <w:rPr>
                <w:rFonts w:cs="Arial"/>
                <w:b w:val="0"/>
                <w:bCs w:val="0"/>
              </w:rPr>
            </w:pPr>
            <w:r w:rsidRPr="008362BC">
              <w:rPr>
                <w:rFonts w:cs="Arial"/>
                <w:b w:val="0"/>
                <w:bCs w:val="0"/>
              </w:rPr>
              <w:t>Prime age participation rate (%)</w:t>
            </w:r>
          </w:p>
        </w:tc>
        <w:tc>
          <w:tcPr>
            <w:tcW w:w="1230" w:type="dxa"/>
            <w:shd w:val="clear" w:color="auto" w:fill="F2F2F2" w:themeFill="background1" w:themeFillShade="F2"/>
            <w:vAlign w:val="center"/>
          </w:tcPr>
          <w:p w14:paraId="11B701C3" w14:textId="7EFD2D93"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b/>
                <w:bCs/>
              </w:rPr>
            </w:pPr>
            <w:r w:rsidRPr="004D08E0">
              <w:rPr>
                <w:b/>
                <w:bCs/>
              </w:rPr>
              <w:t>86.</w:t>
            </w:r>
            <w:r w:rsidR="00B74BCB">
              <w:rPr>
                <w:b/>
                <w:bCs/>
              </w:rPr>
              <w:t>6</w:t>
            </w:r>
          </w:p>
        </w:tc>
        <w:tc>
          <w:tcPr>
            <w:tcW w:w="1430" w:type="dxa"/>
            <w:shd w:val="clear" w:color="auto" w:fill="F2F2F2" w:themeFill="background1" w:themeFillShade="F2"/>
            <w:vAlign w:val="center"/>
          </w:tcPr>
          <w:p w14:paraId="34CB4D10" w14:textId="5B02F666"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sidRPr="004D08E0">
              <w:rPr>
                <w:rFonts w:cs="Arial"/>
              </w:rPr>
              <w:t>87.</w:t>
            </w:r>
            <w:r w:rsidR="00B74BCB">
              <w:rPr>
                <w:rFonts w:cs="Arial"/>
              </w:rPr>
              <w:t>2</w:t>
            </w:r>
          </w:p>
        </w:tc>
        <w:tc>
          <w:tcPr>
            <w:tcW w:w="1244" w:type="dxa"/>
            <w:shd w:val="clear" w:color="auto" w:fill="F2F2F2" w:themeFill="background1" w:themeFillShade="F2"/>
            <w:vAlign w:val="center"/>
          </w:tcPr>
          <w:p w14:paraId="765833A1" w14:textId="77777777"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rFonts w:cs="Arial"/>
                <w:b/>
                <w:bCs/>
              </w:rPr>
              <w:t>85.4</w:t>
            </w:r>
          </w:p>
        </w:tc>
      </w:tr>
      <w:tr w:rsidR="00A13456" w:rsidRPr="00653483" w14:paraId="3B6DCD93" w14:textId="77777777" w:rsidTr="00B042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shd w:val="clear" w:color="auto" w:fill="FFFFFF" w:themeFill="background1"/>
            <w:vAlign w:val="center"/>
          </w:tcPr>
          <w:p w14:paraId="0E179C66" w14:textId="77777777" w:rsidR="0045196E" w:rsidRPr="00407100" w:rsidRDefault="0045196E" w:rsidP="00D16B99">
            <w:pPr>
              <w:pStyle w:val="ListParagraph"/>
              <w:numPr>
                <w:ilvl w:val="0"/>
                <w:numId w:val="15"/>
              </w:numPr>
              <w:spacing w:before="40" w:after="40" w:line="240" w:lineRule="auto"/>
              <w:rPr>
                <w:rFonts w:cs="Arial"/>
                <w:b w:val="0"/>
                <w:bCs w:val="0"/>
              </w:rPr>
            </w:pPr>
            <w:r w:rsidRPr="00407100">
              <w:rPr>
                <w:rFonts w:cs="Arial"/>
                <w:b w:val="0"/>
                <w:bCs w:val="0"/>
              </w:rPr>
              <w:t>Unemployment rate</w:t>
            </w:r>
            <w:r>
              <w:rPr>
                <w:rFonts w:cs="Arial"/>
                <w:b w:val="0"/>
                <w:bCs w:val="0"/>
              </w:rPr>
              <w:t xml:space="preserve"> (%)</w:t>
            </w:r>
          </w:p>
        </w:tc>
        <w:tc>
          <w:tcPr>
            <w:tcW w:w="1230" w:type="dxa"/>
            <w:shd w:val="clear" w:color="auto" w:fill="FFFFFF" w:themeFill="background1"/>
            <w:vAlign w:val="center"/>
          </w:tcPr>
          <w:p w14:paraId="3AD7B126" w14:textId="7E8F003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b/>
                <w:bCs/>
              </w:rPr>
            </w:pPr>
            <w:r w:rsidRPr="004D08E0">
              <w:rPr>
                <w:b/>
                <w:bCs/>
              </w:rPr>
              <w:t>4.</w:t>
            </w:r>
            <w:r w:rsidR="00BE58FC">
              <w:rPr>
                <w:b/>
                <w:bCs/>
              </w:rPr>
              <w:t>1</w:t>
            </w:r>
          </w:p>
        </w:tc>
        <w:tc>
          <w:tcPr>
            <w:tcW w:w="1430" w:type="dxa"/>
            <w:shd w:val="clear" w:color="auto" w:fill="FFFFFF" w:themeFill="background1"/>
            <w:vAlign w:val="center"/>
          </w:tcPr>
          <w:p w14:paraId="7FB3CC34"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highlight w:val="yellow"/>
              </w:rPr>
            </w:pPr>
            <w:r w:rsidRPr="004D08E0">
              <w:rPr>
                <w:rFonts w:cs="Arial"/>
              </w:rPr>
              <w:t>4.6</w:t>
            </w:r>
          </w:p>
        </w:tc>
        <w:tc>
          <w:tcPr>
            <w:tcW w:w="1244" w:type="dxa"/>
            <w:shd w:val="clear" w:color="auto" w:fill="FFFFFF" w:themeFill="background1"/>
            <w:vAlign w:val="center"/>
          </w:tcPr>
          <w:p w14:paraId="2FADD915"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4.0</w:t>
            </w:r>
          </w:p>
        </w:tc>
      </w:tr>
      <w:tr w:rsidR="0045196E" w:rsidRPr="00653483" w14:paraId="55282698" w14:textId="77777777" w:rsidTr="00567BDD">
        <w:trPr>
          <w:trHeight w:val="454"/>
        </w:trPr>
        <w:tc>
          <w:tcPr>
            <w:cnfStyle w:val="001000000000" w:firstRow="0" w:lastRow="0" w:firstColumn="1" w:lastColumn="0" w:oddVBand="0" w:evenVBand="0" w:oddHBand="0" w:evenHBand="0" w:firstRowFirstColumn="0" w:firstRowLastColumn="0" w:lastRowFirstColumn="0" w:lastRowLastColumn="0"/>
            <w:tcW w:w="5463" w:type="dxa"/>
            <w:shd w:val="clear" w:color="auto" w:fill="F2F2F2" w:themeFill="background1" w:themeFillShade="F2"/>
            <w:vAlign w:val="center"/>
          </w:tcPr>
          <w:p w14:paraId="7E745D29" w14:textId="77777777" w:rsidR="0045196E" w:rsidRPr="000B631D" w:rsidRDefault="0045196E" w:rsidP="00D16B99">
            <w:pPr>
              <w:pStyle w:val="ListParagraph"/>
              <w:numPr>
                <w:ilvl w:val="0"/>
                <w:numId w:val="15"/>
              </w:numPr>
              <w:spacing w:before="40" w:after="40" w:line="240" w:lineRule="auto"/>
              <w:rPr>
                <w:rFonts w:cs="Arial"/>
                <w:b w:val="0"/>
                <w:bCs w:val="0"/>
              </w:rPr>
            </w:pPr>
            <w:r w:rsidRPr="000B631D">
              <w:rPr>
                <w:rFonts w:cs="Arial"/>
                <w:b w:val="0"/>
                <w:bCs w:val="0"/>
              </w:rPr>
              <w:t xml:space="preserve">Proportion of population on </w:t>
            </w:r>
            <w:r>
              <w:rPr>
                <w:rFonts w:cs="Arial"/>
                <w:b w:val="0"/>
                <w:bCs w:val="0"/>
              </w:rPr>
              <w:t xml:space="preserve">long-term </w:t>
            </w:r>
            <w:r w:rsidRPr="000B631D">
              <w:rPr>
                <w:rFonts w:cs="Arial"/>
                <w:b w:val="0"/>
                <w:bCs w:val="0"/>
              </w:rPr>
              <w:t>income support (%)</w:t>
            </w:r>
          </w:p>
        </w:tc>
        <w:tc>
          <w:tcPr>
            <w:tcW w:w="1230" w:type="dxa"/>
            <w:shd w:val="clear" w:color="auto" w:fill="F2F2F2" w:themeFill="background1" w:themeFillShade="F2"/>
            <w:vAlign w:val="center"/>
          </w:tcPr>
          <w:p w14:paraId="5126E927" w14:textId="3A120470" w:rsidR="0045196E" w:rsidRPr="004D08E0" w:rsidRDefault="005039DD">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b/>
                <w:bCs/>
              </w:rPr>
              <w:t>2.1</w:t>
            </w:r>
          </w:p>
        </w:tc>
        <w:tc>
          <w:tcPr>
            <w:tcW w:w="1430" w:type="dxa"/>
            <w:shd w:val="clear" w:color="auto" w:fill="F2F2F2" w:themeFill="background1" w:themeFillShade="F2"/>
            <w:vAlign w:val="center"/>
          </w:tcPr>
          <w:p w14:paraId="5CCB4F5D" w14:textId="77777777"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sidRPr="004D08E0">
              <w:rPr>
                <w:rFonts w:cs="Arial"/>
              </w:rPr>
              <w:t>1.4</w:t>
            </w:r>
          </w:p>
        </w:tc>
        <w:tc>
          <w:tcPr>
            <w:tcW w:w="1244" w:type="dxa"/>
            <w:shd w:val="clear" w:color="auto" w:fill="F2F2F2" w:themeFill="background1" w:themeFillShade="F2"/>
            <w:vAlign w:val="center"/>
          </w:tcPr>
          <w:p w14:paraId="7EB08696" w14:textId="1FBDFE9D"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rFonts w:cs="Arial"/>
                <w:b/>
                <w:bCs/>
              </w:rPr>
              <w:t>2.</w:t>
            </w:r>
            <w:r w:rsidR="00F905A6">
              <w:rPr>
                <w:rFonts w:cs="Arial"/>
                <w:b/>
                <w:bCs/>
              </w:rPr>
              <w:t>4</w:t>
            </w:r>
          </w:p>
        </w:tc>
      </w:tr>
      <w:tr w:rsidR="0045196E" w:rsidRPr="000A4F04" w14:paraId="2A01C6F4" w14:textId="77777777" w:rsidTr="002F093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463" w:type="dxa"/>
            <w:tcBorders>
              <w:top w:val="single" w:sz="4" w:space="0" w:color="auto"/>
            </w:tcBorders>
            <w:shd w:val="clear" w:color="auto" w:fill="370663"/>
          </w:tcPr>
          <w:p w14:paraId="005D8A09" w14:textId="77777777" w:rsidR="0045196E" w:rsidRPr="000A4F04" w:rsidRDefault="0045196E">
            <w:pPr>
              <w:rPr>
                <w:rFonts w:cs="Arial"/>
                <w:color w:val="000000" w:themeColor="text1"/>
                <w:sz w:val="12"/>
                <w:szCs w:val="12"/>
              </w:rPr>
            </w:pPr>
          </w:p>
        </w:tc>
        <w:tc>
          <w:tcPr>
            <w:tcW w:w="1230" w:type="dxa"/>
            <w:tcBorders>
              <w:top w:val="single" w:sz="4" w:space="0" w:color="auto"/>
            </w:tcBorders>
            <w:shd w:val="clear" w:color="auto" w:fill="370663"/>
            <w:vAlign w:val="center"/>
          </w:tcPr>
          <w:p w14:paraId="1F853591"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p>
        </w:tc>
        <w:tc>
          <w:tcPr>
            <w:tcW w:w="1430" w:type="dxa"/>
            <w:tcBorders>
              <w:top w:val="single" w:sz="4" w:space="0" w:color="auto"/>
            </w:tcBorders>
            <w:shd w:val="clear" w:color="auto" w:fill="370663"/>
            <w:vAlign w:val="center"/>
          </w:tcPr>
          <w:p w14:paraId="5464BB4A"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c>
          <w:tcPr>
            <w:tcW w:w="1244" w:type="dxa"/>
            <w:tcBorders>
              <w:top w:val="single" w:sz="4" w:space="0" w:color="auto"/>
            </w:tcBorders>
            <w:shd w:val="clear" w:color="auto" w:fill="370663"/>
            <w:vAlign w:val="center"/>
          </w:tcPr>
          <w:p w14:paraId="3771F647"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r>
      <w:tr w:rsidR="0045196E" w:rsidRPr="000A4F04" w14:paraId="7A3B1FCD" w14:textId="77777777" w:rsidTr="00567BDD">
        <w:trPr>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213A4B38" w14:textId="264F93F8" w:rsidR="0045196E" w:rsidRPr="000A4F04" w:rsidRDefault="0045196E">
            <w:pPr>
              <w:rPr>
                <w:rFonts w:cs="Arial"/>
                <w:sz w:val="28"/>
                <w:szCs w:val="28"/>
              </w:rPr>
            </w:pPr>
            <w:r w:rsidRPr="000A4F04">
              <w:rPr>
                <w:rFonts w:cs="Arial"/>
                <w:color w:val="000000" w:themeColor="text1"/>
                <w:sz w:val="28"/>
                <w:szCs w:val="28"/>
              </w:rPr>
              <w:t>Vision Principle 2</w:t>
            </w:r>
          </w:p>
        </w:tc>
        <w:tc>
          <w:tcPr>
            <w:tcW w:w="1230" w:type="dxa"/>
            <w:vAlign w:val="center"/>
          </w:tcPr>
          <w:p w14:paraId="54646F3F" w14:textId="630A7D6E"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p>
        </w:tc>
        <w:tc>
          <w:tcPr>
            <w:tcW w:w="1430" w:type="dxa"/>
            <w:vAlign w:val="center"/>
          </w:tcPr>
          <w:p w14:paraId="2C0C9DCD" w14:textId="6FBA8EF0"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c>
          <w:tcPr>
            <w:tcW w:w="1244" w:type="dxa"/>
            <w:vAlign w:val="center"/>
          </w:tcPr>
          <w:p w14:paraId="7B0E9A1C" w14:textId="5065E2CC"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r>
      <w:tr w:rsidR="00A13456" w:rsidRPr="00653483" w14:paraId="5E432F9A" w14:textId="77777777" w:rsidTr="00567BD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493FF096" w14:textId="7317466F" w:rsidR="00F8746D" w:rsidRPr="000B631D" w:rsidRDefault="00F8746D" w:rsidP="00D16B99">
            <w:pPr>
              <w:pStyle w:val="ListParagraph"/>
              <w:numPr>
                <w:ilvl w:val="0"/>
                <w:numId w:val="15"/>
              </w:numPr>
              <w:spacing w:before="40" w:after="40" w:line="240" w:lineRule="auto"/>
              <w:rPr>
                <w:rFonts w:cs="Arial"/>
                <w:b w:val="0"/>
                <w:bCs w:val="0"/>
              </w:rPr>
            </w:pPr>
            <w:r>
              <w:rPr>
                <w:rFonts w:cs="Arial"/>
                <w:b w:val="0"/>
                <w:bCs w:val="0"/>
              </w:rPr>
              <w:t>C</w:t>
            </w:r>
            <w:r w:rsidRPr="00842605">
              <w:rPr>
                <w:rFonts w:cs="Arial"/>
                <w:b w:val="0"/>
                <w:bCs w:val="0"/>
              </w:rPr>
              <w:t>ompletion rates</w:t>
            </w:r>
            <w:r>
              <w:rPr>
                <w:rFonts w:cs="Arial"/>
                <w:b w:val="0"/>
                <w:bCs w:val="0"/>
              </w:rPr>
              <w:t xml:space="preserve"> for apprentices and trainees </w:t>
            </w:r>
            <w:r w:rsidRPr="000B631D">
              <w:rPr>
                <w:rFonts w:cs="Arial"/>
                <w:b w:val="0"/>
                <w:bCs w:val="0"/>
              </w:rPr>
              <w:t>(%)</w:t>
            </w:r>
          </w:p>
        </w:tc>
        <w:tc>
          <w:tcPr>
            <w:tcW w:w="1230" w:type="dxa"/>
            <w:vAlign w:val="center"/>
          </w:tcPr>
          <w:p w14:paraId="34FD80BC" w14:textId="365AAB65" w:rsidR="00F8746D" w:rsidRPr="004D08E0" w:rsidRDefault="00497BB8" w:rsidP="00F8746D">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Pr>
                <w:rFonts w:cs="Arial"/>
                <w:b/>
                <w:bCs/>
              </w:rPr>
              <w:t>57.6</w:t>
            </w:r>
          </w:p>
        </w:tc>
        <w:tc>
          <w:tcPr>
            <w:tcW w:w="1430" w:type="dxa"/>
            <w:vAlign w:val="center"/>
          </w:tcPr>
          <w:p w14:paraId="7C4088C1" w14:textId="041EE32E" w:rsidR="00F8746D" w:rsidRPr="004D08E0" w:rsidRDefault="00F8746D" w:rsidP="00F8746D">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52.9</w:t>
            </w:r>
          </w:p>
        </w:tc>
        <w:tc>
          <w:tcPr>
            <w:tcW w:w="1244" w:type="dxa"/>
            <w:vAlign w:val="center"/>
          </w:tcPr>
          <w:p w14:paraId="52CB59DC" w14:textId="362174D0" w:rsidR="00F8746D" w:rsidRPr="004D08E0" w:rsidRDefault="00F8746D" w:rsidP="00F8746D">
            <w:pPr>
              <w:spacing w:after="0"/>
              <w:jc w:val="center"/>
              <w:cnfStyle w:val="000000100000" w:firstRow="0" w:lastRow="0" w:firstColumn="0" w:lastColumn="0" w:oddVBand="0" w:evenVBand="0" w:oddHBand="1" w:evenHBand="0" w:firstRowFirstColumn="0" w:firstRowLastColumn="0" w:lastRowFirstColumn="0" w:lastRowLastColumn="0"/>
              <w:rPr>
                <w:rFonts w:cs="Arial"/>
                <w:b/>
                <w:bCs/>
                <w:highlight w:val="yellow"/>
              </w:rPr>
            </w:pPr>
            <w:r w:rsidRPr="00A77655">
              <w:rPr>
                <w:rFonts w:cs="Arial"/>
                <w:b/>
                <w:bCs/>
              </w:rPr>
              <w:t>56.7</w:t>
            </w:r>
          </w:p>
        </w:tc>
      </w:tr>
      <w:tr w:rsidR="0045196E" w:rsidRPr="00653483" w14:paraId="2CB0A23C" w14:textId="77777777" w:rsidTr="00567BDD">
        <w:trPr>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52860940" w14:textId="77777777" w:rsidR="0045196E" w:rsidRPr="000B631D" w:rsidRDefault="0045196E" w:rsidP="00D16B99">
            <w:pPr>
              <w:pStyle w:val="ListParagraph"/>
              <w:numPr>
                <w:ilvl w:val="0"/>
                <w:numId w:val="15"/>
              </w:numPr>
              <w:spacing w:before="40" w:after="40" w:line="240" w:lineRule="auto"/>
              <w:rPr>
                <w:rFonts w:cs="Arial"/>
                <w:b w:val="0"/>
                <w:bCs w:val="0"/>
              </w:rPr>
            </w:pPr>
            <w:r>
              <w:rPr>
                <w:rFonts w:cs="Arial"/>
                <w:b w:val="0"/>
                <w:bCs w:val="0"/>
              </w:rPr>
              <w:t>Youth tertiary</w:t>
            </w:r>
            <w:r w:rsidRPr="000B631D">
              <w:rPr>
                <w:rFonts w:cs="Arial"/>
                <w:b w:val="0"/>
                <w:bCs w:val="0"/>
              </w:rPr>
              <w:t xml:space="preserve"> participation rate (%)</w:t>
            </w:r>
          </w:p>
        </w:tc>
        <w:tc>
          <w:tcPr>
            <w:tcW w:w="1230" w:type="dxa"/>
            <w:vAlign w:val="center"/>
          </w:tcPr>
          <w:p w14:paraId="7B1DC213" w14:textId="01661AD5" w:rsidR="0045196E" w:rsidRPr="004D08E0" w:rsidRDefault="00E11F19">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21.4</w:t>
            </w:r>
          </w:p>
        </w:tc>
        <w:tc>
          <w:tcPr>
            <w:tcW w:w="1430" w:type="dxa"/>
            <w:vAlign w:val="center"/>
          </w:tcPr>
          <w:p w14:paraId="3FAB4D56" w14:textId="692A8E67" w:rsidR="0045196E" w:rsidRPr="004D08E0" w:rsidRDefault="00E11F19">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31.2</w:t>
            </w:r>
          </w:p>
        </w:tc>
        <w:tc>
          <w:tcPr>
            <w:tcW w:w="1244" w:type="dxa"/>
            <w:vAlign w:val="center"/>
          </w:tcPr>
          <w:p w14:paraId="29C2AE97" w14:textId="7A353C2C" w:rsidR="0045196E" w:rsidRPr="004D08E0" w:rsidRDefault="005857A5">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22.2</w:t>
            </w:r>
          </w:p>
        </w:tc>
      </w:tr>
      <w:tr w:rsidR="00A13456" w:rsidRPr="00653483" w14:paraId="3495D0DA" w14:textId="77777777" w:rsidTr="00567BD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0F4CA74D" w14:textId="77777777" w:rsidR="0045196E" w:rsidRPr="000B631D" w:rsidRDefault="0045196E" w:rsidP="00D16B99">
            <w:pPr>
              <w:pStyle w:val="ListParagraph"/>
              <w:numPr>
                <w:ilvl w:val="0"/>
                <w:numId w:val="15"/>
              </w:numPr>
              <w:spacing w:before="40" w:after="40" w:line="240" w:lineRule="auto"/>
              <w:rPr>
                <w:rFonts w:cs="Arial"/>
                <w:b w:val="0"/>
                <w:bCs w:val="0"/>
              </w:rPr>
            </w:pPr>
            <w:r w:rsidRPr="000B631D">
              <w:rPr>
                <w:rFonts w:cs="Arial"/>
                <w:b w:val="0"/>
                <w:bCs w:val="0"/>
              </w:rPr>
              <w:t>Proportion working in lower skill level than qualification level (%)</w:t>
            </w:r>
          </w:p>
        </w:tc>
        <w:tc>
          <w:tcPr>
            <w:tcW w:w="1230" w:type="dxa"/>
            <w:vAlign w:val="center"/>
          </w:tcPr>
          <w:p w14:paraId="0ABADDBD"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27.9</w:t>
            </w:r>
          </w:p>
        </w:tc>
        <w:tc>
          <w:tcPr>
            <w:tcW w:w="1430" w:type="dxa"/>
            <w:vAlign w:val="center"/>
          </w:tcPr>
          <w:p w14:paraId="3DD947F1"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sidRPr="004D08E0">
              <w:rPr>
                <w:rFonts w:cs="Arial"/>
              </w:rPr>
              <w:t>29.2</w:t>
            </w:r>
          </w:p>
        </w:tc>
        <w:tc>
          <w:tcPr>
            <w:tcW w:w="1244" w:type="dxa"/>
            <w:vAlign w:val="center"/>
          </w:tcPr>
          <w:p w14:paraId="53A9CFCD"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25.7</w:t>
            </w:r>
          </w:p>
        </w:tc>
      </w:tr>
      <w:tr w:rsidR="0045196E" w:rsidRPr="00653483" w14:paraId="7115098C" w14:textId="77777777" w:rsidTr="00567BDD">
        <w:trPr>
          <w:trHeight w:val="454"/>
        </w:trPr>
        <w:tc>
          <w:tcPr>
            <w:cnfStyle w:val="001000000000" w:firstRow="0" w:lastRow="0" w:firstColumn="1" w:lastColumn="0" w:oddVBand="0" w:evenVBand="0" w:oddHBand="0" w:evenHBand="0" w:firstRowFirstColumn="0" w:firstRowLastColumn="0" w:lastRowFirstColumn="0" w:lastRowLastColumn="0"/>
            <w:tcW w:w="5463" w:type="dxa"/>
            <w:tcBorders>
              <w:bottom w:val="single" w:sz="4" w:space="0" w:color="auto"/>
            </w:tcBorders>
            <w:vAlign w:val="center"/>
          </w:tcPr>
          <w:p w14:paraId="727A0BD1" w14:textId="23E94CC6" w:rsidR="0045196E" w:rsidRPr="000B631D" w:rsidRDefault="003F2975" w:rsidP="00D16B99">
            <w:pPr>
              <w:pStyle w:val="ListParagraph"/>
              <w:numPr>
                <w:ilvl w:val="0"/>
                <w:numId w:val="15"/>
              </w:numPr>
              <w:spacing w:before="40" w:after="40" w:line="240" w:lineRule="auto"/>
              <w:rPr>
                <w:rFonts w:cs="Arial"/>
                <w:b w:val="0"/>
                <w:bCs w:val="0"/>
              </w:rPr>
            </w:pPr>
            <w:r w:rsidRPr="003F2975">
              <w:rPr>
                <w:rFonts w:cs="Arial"/>
                <w:b w:val="0"/>
                <w:bCs w:val="0"/>
              </w:rPr>
              <w:t>Proportion working in same field as most relevant qualification (%)</w:t>
            </w:r>
          </w:p>
        </w:tc>
        <w:tc>
          <w:tcPr>
            <w:tcW w:w="1230" w:type="dxa"/>
            <w:tcBorders>
              <w:bottom w:val="single" w:sz="4" w:space="0" w:color="auto"/>
            </w:tcBorders>
            <w:vAlign w:val="center"/>
          </w:tcPr>
          <w:p w14:paraId="4F243BD9" w14:textId="77777777"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rFonts w:cs="Arial"/>
                <w:b/>
                <w:bCs/>
              </w:rPr>
              <w:t>74.8</w:t>
            </w:r>
          </w:p>
        </w:tc>
        <w:tc>
          <w:tcPr>
            <w:tcW w:w="1430" w:type="dxa"/>
            <w:tcBorders>
              <w:bottom w:val="single" w:sz="4" w:space="0" w:color="auto"/>
            </w:tcBorders>
            <w:vAlign w:val="center"/>
          </w:tcPr>
          <w:p w14:paraId="3C18D577" w14:textId="77777777"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sidRPr="004D08E0">
              <w:rPr>
                <w:rFonts w:cs="Arial"/>
              </w:rPr>
              <w:t>73.1</w:t>
            </w:r>
          </w:p>
        </w:tc>
        <w:tc>
          <w:tcPr>
            <w:tcW w:w="1244" w:type="dxa"/>
            <w:tcBorders>
              <w:bottom w:val="single" w:sz="4" w:space="0" w:color="auto"/>
            </w:tcBorders>
            <w:vAlign w:val="center"/>
          </w:tcPr>
          <w:p w14:paraId="1FC203B5" w14:textId="77777777"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rFonts w:cs="Arial"/>
                <w:b/>
                <w:bCs/>
              </w:rPr>
              <w:t>72.7</w:t>
            </w:r>
          </w:p>
        </w:tc>
      </w:tr>
      <w:tr w:rsidR="0045196E" w:rsidRPr="000A4F04" w14:paraId="4FCF6084" w14:textId="77777777" w:rsidTr="00567BD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463" w:type="dxa"/>
            <w:tcBorders>
              <w:top w:val="single" w:sz="4" w:space="0" w:color="auto"/>
            </w:tcBorders>
            <w:shd w:val="clear" w:color="auto" w:fill="370663"/>
          </w:tcPr>
          <w:p w14:paraId="4F1C350C" w14:textId="77777777" w:rsidR="0045196E" w:rsidRPr="000A4F04" w:rsidRDefault="0045196E">
            <w:pPr>
              <w:rPr>
                <w:rFonts w:cs="Arial"/>
                <w:color w:val="000000" w:themeColor="text1"/>
                <w:sz w:val="12"/>
                <w:szCs w:val="12"/>
              </w:rPr>
            </w:pPr>
          </w:p>
        </w:tc>
        <w:tc>
          <w:tcPr>
            <w:tcW w:w="1230" w:type="dxa"/>
            <w:tcBorders>
              <w:top w:val="single" w:sz="4" w:space="0" w:color="auto"/>
            </w:tcBorders>
            <w:shd w:val="clear" w:color="auto" w:fill="370663"/>
            <w:vAlign w:val="center"/>
          </w:tcPr>
          <w:p w14:paraId="082BEA80"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p>
        </w:tc>
        <w:tc>
          <w:tcPr>
            <w:tcW w:w="1430" w:type="dxa"/>
            <w:tcBorders>
              <w:top w:val="single" w:sz="4" w:space="0" w:color="auto"/>
            </w:tcBorders>
            <w:shd w:val="clear" w:color="auto" w:fill="370663"/>
            <w:vAlign w:val="center"/>
          </w:tcPr>
          <w:p w14:paraId="17CFDB83"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c>
          <w:tcPr>
            <w:tcW w:w="1244" w:type="dxa"/>
            <w:tcBorders>
              <w:top w:val="single" w:sz="4" w:space="0" w:color="auto"/>
            </w:tcBorders>
            <w:shd w:val="clear" w:color="auto" w:fill="370663"/>
            <w:vAlign w:val="center"/>
          </w:tcPr>
          <w:p w14:paraId="1C24EE1C"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r>
      <w:tr w:rsidR="0045196E" w:rsidRPr="000A4F04" w14:paraId="5A6CB29A" w14:textId="77777777" w:rsidTr="00567BDD">
        <w:trPr>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61B69892" w14:textId="6A9B93D4" w:rsidR="0045196E" w:rsidRPr="000A4F04" w:rsidRDefault="0045196E">
            <w:pPr>
              <w:rPr>
                <w:rFonts w:cs="Arial"/>
                <w:sz w:val="28"/>
                <w:szCs w:val="28"/>
              </w:rPr>
            </w:pPr>
            <w:r w:rsidRPr="000A4F04">
              <w:rPr>
                <w:rFonts w:cs="Arial"/>
                <w:color w:val="000000" w:themeColor="text1"/>
                <w:sz w:val="28"/>
                <w:szCs w:val="28"/>
              </w:rPr>
              <w:t>Vision Principle 3</w:t>
            </w:r>
          </w:p>
        </w:tc>
        <w:tc>
          <w:tcPr>
            <w:tcW w:w="1230" w:type="dxa"/>
            <w:vAlign w:val="center"/>
          </w:tcPr>
          <w:p w14:paraId="3507F31B" w14:textId="5B523725"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p>
        </w:tc>
        <w:tc>
          <w:tcPr>
            <w:tcW w:w="1430" w:type="dxa"/>
            <w:vAlign w:val="center"/>
          </w:tcPr>
          <w:p w14:paraId="0D061307" w14:textId="148C096C"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c>
          <w:tcPr>
            <w:tcW w:w="1244" w:type="dxa"/>
            <w:vAlign w:val="center"/>
          </w:tcPr>
          <w:p w14:paraId="3D149A35" w14:textId="247AC2B3"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r>
      <w:tr w:rsidR="00A13456" w:rsidRPr="00653483" w14:paraId="75480D52" w14:textId="77777777" w:rsidTr="00567BD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170CA580" w14:textId="77777777" w:rsidR="0045196E" w:rsidRPr="000B631D" w:rsidRDefault="0045196E" w:rsidP="00D16B99">
            <w:pPr>
              <w:pStyle w:val="ListParagraph"/>
              <w:numPr>
                <w:ilvl w:val="0"/>
                <w:numId w:val="15"/>
              </w:numPr>
              <w:spacing w:before="40" w:after="40" w:line="240" w:lineRule="auto"/>
              <w:rPr>
                <w:rFonts w:cs="Arial"/>
                <w:b w:val="0"/>
                <w:bCs w:val="0"/>
              </w:rPr>
            </w:pPr>
            <w:r w:rsidRPr="000B631D">
              <w:rPr>
                <w:rFonts w:cs="Arial"/>
                <w:b w:val="0"/>
                <w:bCs w:val="0"/>
              </w:rPr>
              <w:t>Job satisfaction (%)</w:t>
            </w:r>
          </w:p>
        </w:tc>
        <w:tc>
          <w:tcPr>
            <w:tcW w:w="1230" w:type="dxa"/>
            <w:vAlign w:val="center"/>
          </w:tcPr>
          <w:p w14:paraId="5B35D406"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b/>
                <w:bCs/>
              </w:rPr>
              <w:t>n/a</w:t>
            </w:r>
          </w:p>
        </w:tc>
        <w:tc>
          <w:tcPr>
            <w:tcW w:w="1430" w:type="dxa"/>
            <w:vAlign w:val="center"/>
          </w:tcPr>
          <w:p w14:paraId="3B13D0AF"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sidRPr="004D08E0">
              <w:t>n/a</w:t>
            </w:r>
          </w:p>
        </w:tc>
        <w:tc>
          <w:tcPr>
            <w:tcW w:w="1244" w:type="dxa"/>
            <w:vAlign w:val="center"/>
          </w:tcPr>
          <w:p w14:paraId="02398FA3" w14:textId="392E3EFF" w:rsidR="0045196E" w:rsidRPr="004D08E0" w:rsidRDefault="00F579FB">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Pr>
                <w:rFonts w:cs="Arial"/>
                <w:b/>
                <w:bCs/>
              </w:rPr>
              <w:t>38.8</w:t>
            </w:r>
          </w:p>
        </w:tc>
      </w:tr>
      <w:tr w:rsidR="0045196E" w:rsidRPr="00653483" w14:paraId="1D6A2312" w14:textId="77777777" w:rsidTr="00567BDD">
        <w:trPr>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6833E9F7" w14:textId="77777777" w:rsidR="0045196E" w:rsidRPr="000B631D" w:rsidRDefault="0045196E" w:rsidP="00D16B99">
            <w:pPr>
              <w:pStyle w:val="ListParagraph"/>
              <w:numPr>
                <w:ilvl w:val="0"/>
                <w:numId w:val="15"/>
              </w:numPr>
              <w:spacing w:before="40" w:after="40" w:line="240" w:lineRule="auto"/>
              <w:rPr>
                <w:rFonts w:cs="Arial"/>
                <w:b w:val="0"/>
                <w:bCs w:val="0"/>
              </w:rPr>
            </w:pPr>
            <w:r w:rsidRPr="000B631D">
              <w:rPr>
                <w:rFonts w:cs="Arial"/>
                <w:b w:val="0"/>
                <w:bCs w:val="0"/>
              </w:rPr>
              <w:t>Underemployment rate (%)</w:t>
            </w:r>
          </w:p>
        </w:tc>
        <w:tc>
          <w:tcPr>
            <w:tcW w:w="1230" w:type="dxa"/>
            <w:vAlign w:val="center"/>
          </w:tcPr>
          <w:p w14:paraId="2AA39E25" w14:textId="24BA09BD"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b/>
                <w:bCs/>
              </w:rPr>
              <w:t>6.</w:t>
            </w:r>
            <w:r w:rsidR="00215475">
              <w:rPr>
                <w:b/>
                <w:bCs/>
              </w:rPr>
              <w:t>4</w:t>
            </w:r>
          </w:p>
        </w:tc>
        <w:tc>
          <w:tcPr>
            <w:tcW w:w="1430" w:type="dxa"/>
            <w:vAlign w:val="center"/>
          </w:tcPr>
          <w:p w14:paraId="61F6BD1E" w14:textId="4DA1EE90"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sidRPr="004D08E0">
              <w:t>6.</w:t>
            </w:r>
            <w:r w:rsidR="00215475">
              <w:t>5</w:t>
            </w:r>
          </w:p>
        </w:tc>
        <w:tc>
          <w:tcPr>
            <w:tcW w:w="1244" w:type="dxa"/>
            <w:vAlign w:val="center"/>
          </w:tcPr>
          <w:p w14:paraId="51C21345" w14:textId="7E94D4A3"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rFonts w:cs="Arial"/>
                <w:b/>
                <w:bCs/>
              </w:rPr>
              <w:t>6.</w:t>
            </w:r>
            <w:r w:rsidR="00E86D56">
              <w:rPr>
                <w:rFonts w:cs="Arial"/>
                <w:b/>
                <w:bCs/>
              </w:rPr>
              <w:t>1</w:t>
            </w:r>
          </w:p>
        </w:tc>
      </w:tr>
      <w:tr w:rsidR="00A13456" w:rsidRPr="00653483" w14:paraId="4D5767D8" w14:textId="77777777" w:rsidTr="009376D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0BD03DB0" w14:textId="4FAA3BF1" w:rsidR="0045196E" w:rsidRPr="000B631D" w:rsidRDefault="0045196E" w:rsidP="00D16B99">
            <w:pPr>
              <w:pStyle w:val="ListParagraph"/>
              <w:numPr>
                <w:ilvl w:val="0"/>
                <w:numId w:val="15"/>
              </w:numPr>
              <w:spacing w:before="40" w:after="40" w:line="240" w:lineRule="auto"/>
              <w:rPr>
                <w:rFonts w:cs="Arial"/>
                <w:b w:val="0"/>
                <w:bCs w:val="0"/>
              </w:rPr>
            </w:pPr>
            <w:r w:rsidRPr="000B631D">
              <w:rPr>
                <w:rFonts w:cs="Arial"/>
                <w:b w:val="0"/>
                <w:bCs w:val="0"/>
              </w:rPr>
              <w:t xml:space="preserve">Income </w:t>
            </w:r>
            <w:r w:rsidR="00D610E4">
              <w:rPr>
                <w:rFonts w:cs="Arial"/>
                <w:b w:val="0"/>
                <w:bCs w:val="0"/>
              </w:rPr>
              <w:t xml:space="preserve">inequality </w:t>
            </w:r>
            <w:r>
              <w:rPr>
                <w:rFonts w:cs="Arial"/>
                <w:b w:val="0"/>
                <w:bCs w:val="0"/>
              </w:rPr>
              <w:t>ratio</w:t>
            </w:r>
          </w:p>
        </w:tc>
        <w:tc>
          <w:tcPr>
            <w:tcW w:w="1230" w:type="dxa"/>
            <w:vAlign w:val="center"/>
          </w:tcPr>
          <w:p w14:paraId="4EDB3BBD"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3.5</w:t>
            </w:r>
          </w:p>
        </w:tc>
        <w:tc>
          <w:tcPr>
            <w:tcW w:w="1430" w:type="dxa"/>
            <w:vAlign w:val="center"/>
          </w:tcPr>
          <w:p w14:paraId="4B8FA158"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sidRPr="004D08E0">
              <w:rPr>
                <w:rFonts w:cs="Arial"/>
              </w:rPr>
              <w:t>3.2</w:t>
            </w:r>
          </w:p>
        </w:tc>
        <w:tc>
          <w:tcPr>
            <w:tcW w:w="1244" w:type="dxa"/>
            <w:vAlign w:val="center"/>
          </w:tcPr>
          <w:p w14:paraId="602D8515"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highlight w:val="yellow"/>
              </w:rPr>
            </w:pPr>
            <w:r w:rsidRPr="004D08E0">
              <w:rPr>
                <w:rFonts w:cs="Arial"/>
                <w:b/>
                <w:bCs/>
              </w:rPr>
              <w:t>3.5</w:t>
            </w:r>
          </w:p>
        </w:tc>
      </w:tr>
      <w:tr w:rsidR="009376DA" w:rsidRPr="00653483" w14:paraId="59410ED7" w14:textId="77777777" w:rsidTr="00567BDD">
        <w:trPr>
          <w:trHeight w:val="454"/>
        </w:trPr>
        <w:tc>
          <w:tcPr>
            <w:cnfStyle w:val="001000000000" w:firstRow="0" w:lastRow="0" w:firstColumn="1" w:lastColumn="0" w:oddVBand="0" w:evenVBand="0" w:oddHBand="0" w:evenHBand="0" w:firstRowFirstColumn="0" w:firstRowLastColumn="0" w:lastRowFirstColumn="0" w:lastRowLastColumn="0"/>
            <w:tcW w:w="5463" w:type="dxa"/>
            <w:tcBorders>
              <w:bottom w:val="single" w:sz="4" w:space="0" w:color="auto"/>
            </w:tcBorders>
            <w:vAlign w:val="center"/>
          </w:tcPr>
          <w:p w14:paraId="3585FF7F" w14:textId="6AF2969A" w:rsidR="009376DA" w:rsidRPr="000B631D" w:rsidRDefault="00280256" w:rsidP="00D16B99">
            <w:pPr>
              <w:pStyle w:val="ListParagraph"/>
              <w:numPr>
                <w:ilvl w:val="0"/>
                <w:numId w:val="15"/>
              </w:numPr>
              <w:spacing w:before="40" w:after="40" w:line="240" w:lineRule="auto"/>
              <w:rPr>
                <w:rFonts w:cs="Arial"/>
              </w:rPr>
            </w:pPr>
            <w:r>
              <w:rPr>
                <w:rFonts w:cs="Arial"/>
                <w:b w:val="0"/>
                <w:bCs w:val="0"/>
              </w:rPr>
              <w:t>Workers’ compensation</w:t>
            </w:r>
            <w:r w:rsidR="009376DA" w:rsidRPr="00660157">
              <w:rPr>
                <w:rFonts w:cs="Arial"/>
                <w:b w:val="0"/>
                <w:bCs w:val="0"/>
              </w:rPr>
              <w:t xml:space="preserve"> incidence rate</w:t>
            </w:r>
          </w:p>
        </w:tc>
        <w:tc>
          <w:tcPr>
            <w:tcW w:w="1230" w:type="dxa"/>
            <w:tcBorders>
              <w:bottom w:val="single" w:sz="4" w:space="0" w:color="auto"/>
            </w:tcBorders>
            <w:vAlign w:val="center"/>
          </w:tcPr>
          <w:p w14:paraId="70A7771D" w14:textId="46EAE5BB" w:rsidR="009376DA" w:rsidRPr="004D08E0" w:rsidRDefault="009376DA" w:rsidP="009376DA">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7.4</w:t>
            </w:r>
          </w:p>
        </w:tc>
        <w:tc>
          <w:tcPr>
            <w:tcW w:w="1430" w:type="dxa"/>
            <w:tcBorders>
              <w:bottom w:val="single" w:sz="4" w:space="0" w:color="auto"/>
            </w:tcBorders>
            <w:vAlign w:val="center"/>
          </w:tcPr>
          <w:p w14:paraId="6391746A" w14:textId="475AF7E5" w:rsidR="009376DA" w:rsidRPr="004D08E0" w:rsidRDefault="009376DA" w:rsidP="009376DA">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10.8</w:t>
            </w:r>
          </w:p>
        </w:tc>
        <w:tc>
          <w:tcPr>
            <w:tcW w:w="1244" w:type="dxa"/>
            <w:tcBorders>
              <w:bottom w:val="single" w:sz="4" w:space="0" w:color="auto"/>
            </w:tcBorders>
            <w:vAlign w:val="center"/>
          </w:tcPr>
          <w:p w14:paraId="5E2C0177" w14:textId="58CF3D24" w:rsidR="009376DA" w:rsidRPr="004D08E0" w:rsidRDefault="009376DA" w:rsidP="009376DA">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9.6</w:t>
            </w:r>
          </w:p>
        </w:tc>
      </w:tr>
      <w:tr w:rsidR="0045196E" w:rsidRPr="000A4F04" w14:paraId="7C7B1EE8" w14:textId="77777777" w:rsidTr="002F093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463" w:type="dxa"/>
            <w:tcBorders>
              <w:top w:val="single" w:sz="4" w:space="0" w:color="auto"/>
            </w:tcBorders>
            <w:shd w:val="clear" w:color="auto" w:fill="370663"/>
          </w:tcPr>
          <w:p w14:paraId="2D37B4EB" w14:textId="77777777" w:rsidR="0045196E" w:rsidRPr="000A4F04" w:rsidRDefault="0045196E">
            <w:pPr>
              <w:rPr>
                <w:rFonts w:cs="Arial"/>
                <w:color w:val="000000" w:themeColor="text1"/>
                <w:sz w:val="12"/>
                <w:szCs w:val="12"/>
              </w:rPr>
            </w:pPr>
          </w:p>
        </w:tc>
        <w:tc>
          <w:tcPr>
            <w:tcW w:w="1230" w:type="dxa"/>
            <w:tcBorders>
              <w:top w:val="single" w:sz="4" w:space="0" w:color="auto"/>
            </w:tcBorders>
            <w:shd w:val="clear" w:color="auto" w:fill="370663"/>
            <w:vAlign w:val="center"/>
          </w:tcPr>
          <w:p w14:paraId="4D2460FB"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p>
        </w:tc>
        <w:tc>
          <w:tcPr>
            <w:tcW w:w="1430" w:type="dxa"/>
            <w:tcBorders>
              <w:top w:val="single" w:sz="4" w:space="0" w:color="auto"/>
            </w:tcBorders>
            <w:shd w:val="clear" w:color="auto" w:fill="370663"/>
            <w:vAlign w:val="center"/>
          </w:tcPr>
          <w:p w14:paraId="07A94D36"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c>
          <w:tcPr>
            <w:tcW w:w="1244" w:type="dxa"/>
            <w:tcBorders>
              <w:top w:val="single" w:sz="4" w:space="0" w:color="auto"/>
            </w:tcBorders>
            <w:shd w:val="clear" w:color="auto" w:fill="370663"/>
            <w:vAlign w:val="center"/>
          </w:tcPr>
          <w:p w14:paraId="0503C3CC"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r>
      <w:tr w:rsidR="00CD1924" w:rsidRPr="000A4F04" w14:paraId="4FF5FE40" w14:textId="77777777" w:rsidTr="00567BDD">
        <w:trPr>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1A5D9428" w14:textId="5A92258B" w:rsidR="0045196E" w:rsidRPr="000A4F04" w:rsidRDefault="0045196E">
            <w:pPr>
              <w:rPr>
                <w:rFonts w:cs="Arial"/>
                <w:sz w:val="28"/>
                <w:szCs w:val="28"/>
              </w:rPr>
            </w:pPr>
            <w:r w:rsidRPr="000A4F04">
              <w:rPr>
                <w:rFonts w:cs="Arial"/>
                <w:color w:val="000000" w:themeColor="text1"/>
                <w:sz w:val="28"/>
                <w:szCs w:val="28"/>
              </w:rPr>
              <w:t>Vision Principle 4</w:t>
            </w:r>
          </w:p>
        </w:tc>
        <w:tc>
          <w:tcPr>
            <w:tcW w:w="1230" w:type="dxa"/>
            <w:vAlign w:val="center"/>
          </w:tcPr>
          <w:p w14:paraId="13098F56" w14:textId="3838BC00"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p>
        </w:tc>
        <w:tc>
          <w:tcPr>
            <w:tcW w:w="1430" w:type="dxa"/>
            <w:vAlign w:val="center"/>
          </w:tcPr>
          <w:p w14:paraId="70CC90AF" w14:textId="1C1A4E40"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c>
          <w:tcPr>
            <w:tcW w:w="1244" w:type="dxa"/>
            <w:vAlign w:val="center"/>
          </w:tcPr>
          <w:p w14:paraId="72D77D7C" w14:textId="7C1A6825"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r>
      <w:tr w:rsidR="00A13456" w:rsidRPr="00653483" w14:paraId="20F02DA0" w14:textId="77777777" w:rsidTr="00567BD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2B27AF00" w14:textId="77777777" w:rsidR="0045196E" w:rsidRPr="000B631D" w:rsidRDefault="0045196E" w:rsidP="00D16B99">
            <w:pPr>
              <w:pStyle w:val="ListParagraph"/>
              <w:numPr>
                <w:ilvl w:val="0"/>
                <w:numId w:val="15"/>
              </w:numPr>
              <w:spacing w:before="40" w:after="40" w:line="240" w:lineRule="auto"/>
              <w:rPr>
                <w:rFonts w:cs="Arial"/>
                <w:b w:val="0"/>
                <w:bCs w:val="0"/>
              </w:rPr>
            </w:pPr>
            <w:r w:rsidRPr="000B631D">
              <w:rPr>
                <w:rFonts w:cs="Arial"/>
                <w:b w:val="0"/>
                <w:bCs w:val="0"/>
              </w:rPr>
              <w:t>Vacancy fill rate (%)</w:t>
            </w:r>
          </w:p>
        </w:tc>
        <w:tc>
          <w:tcPr>
            <w:tcW w:w="1230" w:type="dxa"/>
            <w:vAlign w:val="center"/>
          </w:tcPr>
          <w:p w14:paraId="2C714CFF" w14:textId="40BEE891" w:rsidR="0045196E" w:rsidRPr="004D08E0" w:rsidRDefault="0060366C">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Pr>
                <w:b/>
                <w:bCs/>
              </w:rPr>
              <w:t>69.7</w:t>
            </w:r>
          </w:p>
        </w:tc>
        <w:tc>
          <w:tcPr>
            <w:tcW w:w="1430" w:type="dxa"/>
            <w:vAlign w:val="center"/>
          </w:tcPr>
          <w:p w14:paraId="11A39CBE" w14:textId="398A0DCF" w:rsidR="0045196E" w:rsidRPr="004D08E0" w:rsidRDefault="0060366C">
            <w:pPr>
              <w:spacing w:after="0"/>
              <w:jc w:val="center"/>
              <w:cnfStyle w:val="000000100000" w:firstRow="0" w:lastRow="0" w:firstColumn="0" w:lastColumn="0" w:oddVBand="0" w:evenVBand="0" w:oddHBand="1" w:evenHBand="0" w:firstRowFirstColumn="0" w:firstRowLastColumn="0" w:lastRowFirstColumn="0" w:lastRowLastColumn="0"/>
              <w:rPr>
                <w:rFonts w:cs="Arial"/>
              </w:rPr>
            </w:pPr>
            <w:r>
              <w:t>73.1</w:t>
            </w:r>
          </w:p>
        </w:tc>
        <w:tc>
          <w:tcPr>
            <w:tcW w:w="1244" w:type="dxa"/>
            <w:vAlign w:val="center"/>
          </w:tcPr>
          <w:p w14:paraId="4CC0F126" w14:textId="0BEAEF1E" w:rsidR="0045196E" w:rsidRPr="004D08E0" w:rsidRDefault="00F262D2">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64.7</w:t>
            </w:r>
          </w:p>
        </w:tc>
      </w:tr>
      <w:tr w:rsidR="00CD1924" w:rsidRPr="00653483" w14:paraId="55B214A4" w14:textId="77777777" w:rsidTr="00567BDD">
        <w:trPr>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73304F4F" w14:textId="61101D96" w:rsidR="008E65AF" w:rsidRPr="000B631D" w:rsidRDefault="00464B51" w:rsidP="00D16B99">
            <w:pPr>
              <w:pStyle w:val="ListParagraph"/>
              <w:numPr>
                <w:ilvl w:val="0"/>
                <w:numId w:val="15"/>
              </w:numPr>
              <w:spacing w:before="40" w:after="40" w:line="240" w:lineRule="auto"/>
              <w:rPr>
                <w:rFonts w:cs="Arial"/>
                <w:b w:val="0"/>
                <w:bCs w:val="0"/>
              </w:rPr>
            </w:pPr>
            <w:r>
              <w:rPr>
                <w:rFonts w:cs="Arial"/>
                <w:b w:val="0"/>
                <w:bCs w:val="0"/>
              </w:rPr>
              <w:t>Essential service</w:t>
            </w:r>
            <w:r w:rsidR="005F3A40">
              <w:rPr>
                <w:rFonts w:cs="Arial"/>
                <w:b w:val="0"/>
                <w:bCs w:val="0"/>
              </w:rPr>
              <w:t>s</w:t>
            </w:r>
            <w:r>
              <w:rPr>
                <w:rFonts w:cs="Arial"/>
                <w:b w:val="0"/>
                <w:bCs w:val="0"/>
              </w:rPr>
              <w:t xml:space="preserve"> vacancy rate (%)</w:t>
            </w:r>
          </w:p>
        </w:tc>
        <w:tc>
          <w:tcPr>
            <w:tcW w:w="1230" w:type="dxa"/>
            <w:vAlign w:val="center"/>
          </w:tcPr>
          <w:p w14:paraId="1F5F802A" w14:textId="7B119E7E" w:rsidR="008E65AF" w:rsidRPr="004D08E0" w:rsidRDefault="00671BC3" w:rsidP="008E65AF">
            <w:pPr>
              <w:spacing w:after="0"/>
              <w:jc w:val="center"/>
              <w:cnfStyle w:val="000000000000" w:firstRow="0" w:lastRow="0" w:firstColumn="0" w:lastColumn="0" w:oddVBand="0" w:evenVBand="0" w:oddHBand="0" w:evenHBand="0" w:firstRowFirstColumn="0" w:firstRowLastColumn="0" w:lastRowFirstColumn="0" w:lastRowLastColumn="0"/>
              <w:rPr>
                <w:b/>
                <w:bCs/>
              </w:rPr>
            </w:pPr>
            <w:r>
              <w:rPr>
                <w:rFonts w:cs="Arial"/>
                <w:b/>
                <w:bCs/>
              </w:rPr>
              <w:t>6.3</w:t>
            </w:r>
          </w:p>
        </w:tc>
        <w:tc>
          <w:tcPr>
            <w:tcW w:w="1430" w:type="dxa"/>
            <w:vAlign w:val="center"/>
          </w:tcPr>
          <w:p w14:paraId="2DC4857B" w14:textId="5DE88B08" w:rsidR="008E65AF" w:rsidRPr="004D08E0" w:rsidRDefault="00671BC3" w:rsidP="008E65AF">
            <w:pPr>
              <w:spacing w:after="0"/>
              <w:jc w:val="center"/>
              <w:cnfStyle w:val="000000000000" w:firstRow="0" w:lastRow="0" w:firstColumn="0" w:lastColumn="0" w:oddVBand="0" w:evenVBand="0" w:oddHBand="0" w:evenHBand="0" w:firstRowFirstColumn="0" w:firstRowLastColumn="0" w:lastRowFirstColumn="0" w:lastRowLastColumn="0"/>
            </w:pPr>
            <w:r>
              <w:rPr>
                <w:rFonts w:cs="Arial"/>
              </w:rPr>
              <w:t>6.1</w:t>
            </w:r>
          </w:p>
        </w:tc>
        <w:tc>
          <w:tcPr>
            <w:tcW w:w="1244" w:type="dxa"/>
            <w:vAlign w:val="center"/>
          </w:tcPr>
          <w:p w14:paraId="67417854" w14:textId="202EA844" w:rsidR="008E65AF" w:rsidRPr="004D08E0" w:rsidRDefault="00464B51" w:rsidP="008E65AF">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8.5</w:t>
            </w:r>
          </w:p>
        </w:tc>
      </w:tr>
      <w:tr w:rsidR="00A13456" w:rsidRPr="00653483" w14:paraId="02BB1F91" w14:textId="77777777" w:rsidTr="00567BD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39131F67" w14:textId="77777777" w:rsidR="00A77655" w:rsidRPr="000B631D" w:rsidRDefault="00A77655" w:rsidP="00D16B99">
            <w:pPr>
              <w:pStyle w:val="ListParagraph"/>
              <w:numPr>
                <w:ilvl w:val="0"/>
                <w:numId w:val="15"/>
              </w:numPr>
              <w:spacing w:before="40" w:after="40" w:line="240" w:lineRule="auto"/>
              <w:rPr>
                <w:rFonts w:cs="Arial"/>
                <w:b w:val="0"/>
                <w:bCs w:val="0"/>
              </w:rPr>
            </w:pPr>
            <w:r w:rsidRPr="000B631D">
              <w:rPr>
                <w:rFonts w:cs="Arial"/>
                <w:b w:val="0"/>
                <w:bCs w:val="0"/>
              </w:rPr>
              <w:t>Incidence of persistent hiring pressures (%)</w:t>
            </w:r>
          </w:p>
        </w:tc>
        <w:tc>
          <w:tcPr>
            <w:tcW w:w="1230" w:type="dxa"/>
            <w:vAlign w:val="center"/>
          </w:tcPr>
          <w:p w14:paraId="2DA888D0" w14:textId="4392366E" w:rsidR="00A77655" w:rsidRPr="004D08E0" w:rsidRDefault="00A77655" w:rsidP="00A77655">
            <w:pPr>
              <w:spacing w:after="0"/>
              <w:jc w:val="center"/>
              <w:cnfStyle w:val="000000100000" w:firstRow="0" w:lastRow="0" w:firstColumn="0" w:lastColumn="0" w:oddVBand="0" w:evenVBand="0" w:oddHBand="1" w:evenHBand="0" w:firstRowFirstColumn="0" w:firstRowLastColumn="0" w:lastRowFirstColumn="0" w:lastRowLastColumn="0"/>
              <w:rPr>
                <w:rFonts w:cs="Arial"/>
                <w:b/>
                <w:bCs/>
                <w:highlight w:val="yellow"/>
              </w:rPr>
            </w:pPr>
            <w:r w:rsidRPr="003705EA">
              <w:rPr>
                <w:rFonts w:cs="Arial"/>
                <w:b/>
                <w:bCs/>
              </w:rPr>
              <w:t>n/a</w:t>
            </w:r>
          </w:p>
        </w:tc>
        <w:tc>
          <w:tcPr>
            <w:tcW w:w="1430" w:type="dxa"/>
            <w:vAlign w:val="center"/>
          </w:tcPr>
          <w:p w14:paraId="35955799" w14:textId="173EA69E" w:rsidR="00A77655" w:rsidRPr="004D08E0" w:rsidRDefault="00A77655" w:rsidP="00A77655">
            <w:pPr>
              <w:spacing w:after="0"/>
              <w:jc w:val="center"/>
              <w:cnfStyle w:val="000000100000" w:firstRow="0" w:lastRow="0" w:firstColumn="0" w:lastColumn="0" w:oddVBand="0" w:evenVBand="0" w:oddHBand="1" w:evenHBand="0" w:firstRowFirstColumn="0" w:firstRowLastColumn="0" w:lastRowFirstColumn="0" w:lastRowLastColumn="0"/>
              <w:rPr>
                <w:rFonts w:cs="Arial"/>
                <w:highlight w:val="yellow"/>
              </w:rPr>
            </w:pPr>
            <w:r w:rsidRPr="003705EA">
              <w:rPr>
                <w:rFonts w:cs="Arial"/>
              </w:rPr>
              <w:t>n/a</w:t>
            </w:r>
          </w:p>
        </w:tc>
        <w:tc>
          <w:tcPr>
            <w:tcW w:w="1244" w:type="dxa"/>
            <w:vAlign w:val="center"/>
          </w:tcPr>
          <w:p w14:paraId="3D4E5FB9" w14:textId="63AC7A65" w:rsidR="00A77655" w:rsidRPr="004D08E0" w:rsidRDefault="00A77655" w:rsidP="00A77655">
            <w:pPr>
              <w:spacing w:after="0"/>
              <w:jc w:val="center"/>
              <w:cnfStyle w:val="000000100000" w:firstRow="0" w:lastRow="0" w:firstColumn="0" w:lastColumn="0" w:oddVBand="0" w:evenVBand="0" w:oddHBand="1" w:evenHBand="0" w:firstRowFirstColumn="0" w:firstRowLastColumn="0" w:lastRowFirstColumn="0" w:lastRowLastColumn="0"/>
              <w:rPr>
                <w:rFonts w:cs="Arial"/>
                <w:b/>
                <w:bCs/>
                <w:highlight w:val="yellow"/>
              </w:rPr>
            </w:pPr>
            <w:r>
              <w:rPr>
                <w:rFonts w:cs="Arial"/>
                <w:b/>
                <w:bCs/>
              </w:rPr>
              <w:t>36.8</w:t>
            </w:r>
          </w:p>
        </w:tc>
      </w:tr>
      <w:tr w:rsidR="00CD1924" w:rsidRPr="00653483" w14:paraId="7A1A1B7B" w14:textId="77777777" w:rsidTr="00567BDD">
        <w:trPr>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5FB6AB9B" w14:textId="5831EEB1" w:rsidR="0045196E" w:rsidRPr="000B631D" w:rsidRDefault="006961FA" w:rsidP="00D16B99">
            <w:pPr>
              <w:pStyle w:val="ListParagraph"/>
              <w:numPr>
                <w:ilvl w:val="0"/>
                <w:numId w:val="15"/>
              </w:numPr>
              <w:spacing w:before="40" w:after="40" w:line="240" w:lineRule="auto"/>
              <w:rPr>
                <w:rFonts w:cs="Arial"/>
              </w:rPr>
            </w:pPr>
            <w:r>
              <w:rPr>
                <w:rFonts w:cs="Arial"/>
                <w:b w:val="0"/>
                <w:bCs w:val="0"/>
              </w:rPr>
              <w:t>Business creation rate</w:t>
            </w:r>
            <w:r w:rsidR="0045196E" w:rsidRPr="000B631D">
              <w:rPr>
                <w:rFonts w:cs="Arial"/>
                <w:b w:val="0"/>
                <w:bCs w:val="0"/>
              </w:rPr>
              <w:t xml:space="preserve"> (%)</w:t>
            </w:r>
          </w:p>
        </w:tc>
        <w:tc>
          <w:tcPr>
            <w:tcW w:w="1230" w:type="dxa"/>
            <w:vAlign w:val="center"/>
          </w:tcPr>
          <w:p w14:paraId="7DE24069" w14:textId="5477272A" w:rsidR="0045196E" w:rsidRPr="004D08E0" w:rsidRDefault="002D647A">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2.5</w:t>
            </w:r>
          </w:p>
        </w:tc>
        <w:tc>
          <w:tcPr>
            <w:tcW w:w="1430" w:type="dxa"/>
            <w:vAlign w:val="center"/>
          </w:tcPr>
          <w:p w14:paraId="6BCDEA96" w14:textId="797A0221" w:rsidR="0045196E" w:rsidRPr="004D08E0" w:rsidRDefault="0082081D">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2.5</w:t>
            </w:r>
          </w:p>
        </w:tc>
        <w:tc>
          <w:tcPr>
            <w:tcW w:w="1244" w:type="dxa"/>
            <w:vAlign w:val="center"/>
          </w:tcPr>
          <w:p w14:paraId="55AD72CE" w14:textId="27580AD8" w:rsidR="0045196E" w:rsidRPr="004D08E0" w:rsidRDefault="00D87A91">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2.2</w:t>
            </w:r>
          </w:p>
        </w:tc>
      </w:tr>
      <w:tr w:rsidR="00647F72" w:rsidRPr="000A4F04" w14:paraId="6EAB0EF4" w14:textId="77777777" w:rsidTr="00D304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463" w:type="dxa"/>
            <w:shd w:val="clear" w:color="auto" w:fill="370663"/>
          </w:tcPr>
          <w:p w14:paraId="297378FB" w14:textId="77777777" w:rsidR="00647F72" w:rsidRPr="000A4F04" w:rsidRDefault="00647F72">
            <w:pPr>
              <w:spacing w:after="0"/>
              <w:rPr>
                <w:rFonts w:cs="Arial"/>
                <w:color w:val="000000" w:themeColor="text1"/>
                <w:sz w:val="12"/>
                <w:szCs w:val="12"/>
              </w:rPr>
            </w:pPr>
          </w:p>
        </w:tc>
        <w:tc>
          <w:tcPr>
            <w:tcW w:w="1230" w:type="dxa"/>
            <w:shd w:val="clear" w:color="auto" w:fill="370663"/>
          </w:tcPr>
          <w:p w14:paraId="4DF4FA6B" w14:textId="77777777" w:rsidR="00647F72" w:rsidRPr="004D08E0" w:rsidRDefault="00647F72">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p>
        </w:tc>
        <w:tc>
          <w:tcPr>
            <w:tcW w:w="1430" w:type="dxa"/>
            <w:shd w:val="clear" w:color="auto" w:fill="370663"/>
          </w:tcPr>
          <w:p w14:paraId="4A37AE6A" w14:textId="77777777" w:rsidR="00647F72" w:rsidRPr="004D08E0" w:rsidRDefault="00647F72">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c>
          <w:tcPr>
            <w:tcW w:w="1244" w:type="dxa"/>
            <w:shd w:val="clear" w:color="auto" w:fill="370663"/>
          </w:tcPr>
          <w:p w14:paraId="552B06A7" w14:textId="77777777" w:rsidR="00647F72" w:rsidRPr="004D08E0" w:rsidRDefault="00647F72">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r>
      <w:tr w:rsidR="00CD1924" w:rsidRPr="000A4F04" w14:paraId="01272C8A" w14:textId="77777777" w:rsidTr="00567BDD">
        <w:trPr>
          <w:trHeight w:val="454"/>
        </w:trPr>
        <w:tc>
          <w:tcPr>
            <w:cnfStyle w:val="001000000000" w:firstRow="0" w:lastRow="0" w:firstColumn="1" w:lastColumn="0" w:oddVBand="0" w:evenVBand="0" w:oddHBand="0" w:evenHBand="0" w:firstRowFirstColumn="0" w:firstRowLastColumn="0" w:lastRowFirstColumn="0" w:lastRowLastColumn="0"/>
            <w:tcW w:w="5463" w:type="dxa"/>
          </w:tcPr>
          <w:p w14:paraId="3369A220" w14:textId="77777777" w:rsidR="00647F72" w:rsidRPr="000A4F04" w:rsidRDefault="00647F72">
            <w:pPr>
              <w:spacing w:after="0"/>
              <w:rPr>
                <w:rFonts w:cs="Arial"/>
                <w:sz w:val="28"/>
                <w:szCs w:val="28"/>
              </w:rPr>
            </w:pPr>
            <w:r w:rsidRPr="000A4F04">
              <w:rPr>
                <w:rFonts w:cs="Arial"/>
                <w:color w:val="000000" w:themeColor="text1"/>
                <w:sz w:val="28"/>
                <w:szCs w:val="28"/>
              </w:rPr>
              <w:t xml:space="preserve">Vision Principle </w:t>
            </w:r>
            <w:r>
              <w:rPr>
                <w:rFonts w:cs="Arial"/>
                <w:color w:val="000000" w:themeColor="text1"/>
                <w:sz w:val="28"/>
                <w:szCs w:val="28"/>
              </w:rPr>
              <w:t>5</w:t>
            </w:r>
          </w:p>
        </w:tc>
        <w:tc>
          <w:tcPr>
            <w:tcW w:w="1230" w:type="dxa"/>
          </w:tcPr>
          <w:p w14:paraId="767D6649" w14:textId="77777777" w:rsidR="00647F72" w:rsidRPr="004D08E0" w:rsidRDefault="00647F72">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p>
        </w:tc>
        <w:tc>
          <w:tcPr>
            <w:tcW w:w="1430" w:type="dxa"/>
          </w:tcPr>
          <w:p w14:paraId="43C9F55B" w14:textId="77777777" w:rsidR="00647F72" w:rsidRPr="004D08E0" w:rsidRDefault="00647F72">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c>
          <w:tcPr>
            <w:tcW w:w="1244" w:type="dxa"/>
          </w:tcPr>
          <w:p w14:paraId="35D68132" w14:textId="77777777" w:rsidR="00647F72" w:rsidRPr="004D08E0" w:rsidRDefault="00647F72">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r>
      <w:tr w:rsidR="00A13456" w:rsidRPr="00653483" w14:paraId="743483C5" w14:textId="777777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tcPr>
          <w:p w14:paraId="56E467A6" w14:textId="77777777" w:rsidR="00647F72" w:rsidRPr="000B631D" w:rsidRDefault="00647F72" w:rsidP="00D16B99">
            <w:pPr>
              <w:pStyle w:val="ListParagraph"/>
              <w:numPr>
                <w:ilvl w:val="0"/>
                <w:numId w:val="15"/>
              </w:numPr>
              <w:spacing w:after="0" w:line="240" w:lineRule="auto"/>
              <w:rPr>
                <w:rFonts w:cs="Arial"/>
                <w:b w:val="0"/>
                <w:bCs w:val="0"/>
              </w:rPr>
            </w:pPr>
            <w:r>
              <w:rPr>
                <w:rFonts w:cs="Arial"/>
                <w:b w:val="0"/>
                <w:bCs w:val="0"/>
              </w:rPr>
              <w:t>Beveridge Curve analysis</w:t>
            </w:r>
          </w:p>
        </w:tc>
        <w:tc>
          <w:tcPr>
            <w:tcW w:w="1230" w:type="dxa"/>
            <w:vAlign w:val="center"/>
          </w:tcPr>
          <w:p w14:paraId="13692A05" w14:textId="08229B17" w:rsidR="00647F72" w:rsidRPr="004D08E0" w:rsidRDefault="004E2BE7">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rPr>
              <w:t>n/a</w:t>
            </w:r>
          </w:p>
        </w:tc>
        <w:tc>
          <w:tcPr>
            <w:tcW w:w="1430" w:type="dxa"/>
            <w:vAlign w:val="center"/>
          </w:tcPr>
          <w:p w14:paraId="447DB12C" w14:textId="691A6CF2" w:rsidR="00647F72" w:rsidRPr="004D08E0" w:rsidRDefault="004E2BE7">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sidRPr="004D08E0">
              <w:rPr>
                <w:rFonts w:cs="Arial"/>
              </w:rPr>
              <w:t>n/a</w:t>
            </w:r>
          </w:p>
        </w:tc>
        <w:tc>
          <w:tcPr>
            <w:tcW w:w="1244" w:type="dxa"/>
            <w:vAlign w:val="center"/>
          </w:tcPr>
          <w:p w14:paraId="2502B708" w14:textId="66CC191B" w:rsidR="00647F72" w:rsidRPr="004D08E0" w:rsidRDefault="004E2BE7">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rPr>
              <w:t>n/a</w:t>
            </w:r>
          </w:p>
        </w:tc>
      </w:tr>
      <w:tr w:rsidR="00CD1924" w:rsidRPr="00653483" w14:paraId="4EA05AFD" w14:textId="77777777" w:rsidTr="00567BDD">
        <w:trPr>
          <w:trHeight w:val="454"/>
        </w:trPr>
        <w:tc>
          <w:tcPr>
            <w:cnfStyle w:val="001000000000" w:firstRow="0" w:lastRow="0" w:firstColumn="1" w:lastColumn="0" w:oddVBand="0" w:evenVBand="0" w:oddHBand="0" w:evenHBand="0" w:firstRowFirstColumn="0" w:firstRowLastColumn="0" w:lastRowFirstColumn="0" w:lastRowLastColumn="0"/>
            <w:tcW w:w="5463" w:type="dxa"/>
          </w:tcPr>
          <w:p w14:paraId="1DB022EA" w14:textId="6AE98745" w:rsidR="00647F72" w:rsidRPr="000B631D" w:rsidRDefault="00647F72" w:rsidP="00D16B99">
            <w:pPr>
              <w:pStyle w:val="ListParagraph"/>
              <w:numPr>
                <w:ilvl w:val="0"/>
                <w:numId w:val="15"/>
              </w:numPr>
              <w:spacing w:after="0" w:line="240" w:lineRule="auto"/>
              <w:rPr>
                <w:rFonts w:cs="Arial"/>
                <w:b w:val="0"/>
                <w:bCs w:val="0"/>
              </w:rPr>
            </w:pPr>
            <w:r>
              <w:rPr>
                <w:rFonts w:cs="Arial"/>
                <w:b w:val="0"/>
                <w:bCs w:val="0"/>
              </w:rPr>
              <w:t>Efficiency of labour market matching</w:t>
            </w:r>
            <w:r w:rsidR="00B45E0B">
              <w:rPr>
                <w:rFonts w:cs="Arial"/>
                <w:b w:val="0"/>
                <w:bCs w:val="0"/>
              </w:rPr>
              <w:t xml:space="preserve"> (%)</w:t>
            </w:r>
          </w:p>
        </w:tc>
        <w:tc>
          <w:tcPr>
            <w:tcW w:w="1230" w:type="dxa"/>
          </w:tcPr>
          <w:p w14:paraId="093838B6" w14:textId="0A91D4EB" w:rsidR="00647F72" w:rsidRPr="001D7DF4" w:rsidRDefault="00C65656">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asciiTheme="minorHAnsi" w:hAnsiTheme="minorHAnsi" w:cstheme="minorHAnsi"/>
                <w:b/>
                <w:bCs/>
              </w:rPr>
              <w:t>84.1</w:t>
            </w:r>
          </w:p>
        </w:tc>
        <w:tc>
          <w:tcPr>
            <w:tcW w:w="1430" w:type="dxa"/>
          </w:tcPr>
          <w:p w14:paraId="4CE45F74" w14:textId="735C34F2" w:rsidR="00647F72" w:rsidRPr="001D7DF4" w:rsidRDefault="00526425">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Pr>
                <w:rFonts w:asciiTheme="minorHAnsi" w:hAnsiTheme="minorHAnsi" w:cstheme="minorHAnsi"/>
              </w:rPr>
              <w:t>81.8</w:t>
            </w:r>
          </w:p>
        </w:tc>
        <w:tc>
          <w:tcPr>
            <w:tcW w:w="1244" w:type="dxa"/>
          </w:tcPr>
          <w:p w14:paraId="702ECDF6" w14:textId="32869330" w:rsidR="00647F72" w:rsidRPr="001D7DF4" w:rsidRDefault="0054010F">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80.7</w:t>
            </w:r>
          </w:p>
        </w:tc>
      </w:tr>
    </w:tbl>
    <w:p w14:paraId="17C5BD42" w14:textId="0248DBE4" w:rsidR="0045196E" w:rsidRPr="008731B9" w:rsidRDefault="0045196E" w:rsidP="00A27EC5">
      <w:pPr>
        <w:pStyle w:val="Heading2"/>
      </w:pPr>
      <w:bookmarkStart w:id="213" w:name="_Toc200637160"/>
      <w:bookmarkStart w:id="214" w:name="_Toc201070202"/>
      <w:bookmarkStart w:id="215" w:name="_Toc201919865"/>
      <w:bookmarkStart w:id="216" w:name="_Toc202361893"/>
      <w:r>
        <w:lastRenderedPageBreak/>
        <w:t>R</w:t>
      </w:r>
      <w:r w:rsidRPr="008731B9">
        <w:t xml:space="preserve">egional </w:t>
      </w:r>
      <w:r>
        <w:t>South Australia</w:t>
      </w:r>
      <w:bookmarkEnd w:id="213"/>
      <w:bookmarkEnd w:id="214"/>
      <w:bookmarkEnd w:id="215"/>
      <w:bookmarkEnd w:id="216"/>
    </w:p>
    <w:p w14:paraId="17FA494C" w14:textId="67CD1DAD" w:rsidR="0045196E" w:rsidRPr="0048438C" w:rsidRDefault="009D232C" w:rsidP="009D232C">
      <w:pPr>
        <w:pStyle w:val="Caption"/>
        <w:spacing w:before="160"/>
        <w:rPr>
          <w:b w:val="0"/>
          <w:bCs w:val="0"/>
        </w:rPr>
      </w:pPr>
      <w:r>
        <w:t xml:space="preserve">Table </w:t>
      </w:r>
      <w:r>
        <w:fldChar w:fldCharType="begin"/>
      </w:r>
      <w:r>
        <w:instrText xml:space="preserve"> SEQ Table \* ARABIC </w:instrText>
      </w:r>
      <w:r>
        <w:fldChar w:fldCharType="separate"/>
      </w:r>
      <w:r w:rsidR="00471863">
        <w:rPr>
          <w:noProof/>
        </w:rPr>
        <w:t>36</w:t>
      </w:r>
      <w:r>
        <w:fldChar w:fldCharType="end"/>
      </w:r>
      <w:r w:rsidR="0045196E" w:rsidRPr="0048438C">
        <w:rPr>
          <w:b w:val="0"/>
          <w:bCs w:val="0"/>
        </w:rPr>
        <w:t>:</w:t>
      </w:r>
      <w:r w:rsidR="00820B93" w:rsidRPr="00820B93">
        <w:t xml:space="preserve"> Roadmap indicators for Regional </w:t>
      </w:r>
      <w:r w:rsidR="00820B93">
        <w:t>South Australia</w:t>
      </w:r>
      <w:r w:rsidR="00194A47">
        <w:t xml:space="preserve">, </w:t>
      </w:r>
      <w:r w:rsidR="00820B93">
        <w:t xml:space="preserve">Adelaide </w:t>
      </w:r>
      <w:r w:rsidR="00194A47">
        <w:t>and Regional Australia</w:t>
      </w:r>
    </w:p>
    <w:tbl>
      <w:tblPr>
        <w:tblStyle w:val="PlainTable4"/>
        <w:tblW w:w="9367" w:type="dxa"/>
        <w:tblLook w:val="04A0" w:firstRow="1" w:lastRow="0" w:firstColumn="1" w:lastColumn="0" w:noHBand="0" w:noVBand="1"/>
      </w:tblPr>
      <w:tblGrid>
        <w:gridCol w:w="5463"/>
        <w:gridCol w:w="1230"/>
        <w:gridCol w:w="1430"/>
        <w:gridCol w:w="1244"/>
      </w:tblGrid>
      <w:tr w:rsidR="0045196E" w:rsidRPr="00653483" w14:paraId="67A0113E" w14:textId="77777777">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5463" w:type="dxa"/>
            <w:shd w:val="clear" w:color="auto" w:fill="370663"/>
            <w:vAlign w:val="center"/>
          </w:tcPr>
          <w:p w14:paraId="77DAA48D" w14:textId="77777777" w:rsidR="0045196E" w:rsidRPr="00DF1C3B" w:rsidRDefault="0045196E">
            <w:pPr>
              <w:spacing w:before="120" w:after="120"/>
              <w:rPr>
                <w:rFonts w:cs="Arial"/>
                <w:color w:val="FFFFFF" w:themeColor="background1"/>
                <w:sz w:val="24"/>
                <w:szCs w:val="24"/>
              </w:rPr>
            </w:pPr>
          </w:p>
        </w:tc>
        <w:tc>
          <w:tcPr>
            <w:tcW w:w="1230" w:type="dxa"/>
            <w:shd w:val="clear" w:color="auto" w:fill="370663"/>
            <w:vAlign w:val="center"/>
          </w:tcPr>
          <w:p w14:paraId="19E79B0E" w14:textId="77777777" w:rsidR="0045196E" w:rsidRPr="00DF1C3B" w:rsidRDefault="0045196E">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sidRPr="00DF1C3B">
              <w:rPr>
                <w:rFonts w:cs="Arial"/>
                <w:color w:val="FFFFFF" w:themeColor="background1"/>
                <w:sz w:val="24"/>
                <w:szCs w:val="24"/>
              </w:rPr>
              <w:t xml:space="preserve">Regional </w:t>
            </w:r>
            <w:r>
              <w:rPr>
                <w:rFonts w:cs="Arial"/>
                <w:color w:val="FFFFFF" w:themeColor="background1"/>
                <w:sz w:val="24"/>
                <w:szCs w:val="24"/>
              </w:rPr>
              <w:t>SA</w:t>
            </w:r>
          </w:p>
        </w:tc>
        <w:tc>
          <w:tcPr>
            <w:tcW w:w="1430" w:type="dxa"/>
            <w:shd w:val="clear" w:color="auto" w:fill="370663"/>
            <w:vAlign w:val="center"/>
          </w:tcPr>
          <w:p w14:paraId="653415DD" w14:textId="77777777" w:rsidR="0045196E" w:rsidRPr="00DF1C3B" w:rsidRDefault="0045196E">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Pr>
                <w:rFonts w:cs="Arial"/>
                <w:color w:val="FFFFFF" w:themeColor="background1"/>
                <w:sz w:val="24"/>
                <w:szCs w:val="24"/>
              </w:rPr>
              <w:t>Adelaide</w:t>
            </w:r>
          </w:p>
        </w:tc>
        <w:tc>
          <w:tcPr>
            <w:tcW w:w="1244" w:type="dxa"/>
            <w:shd w:val="clear" w:color="auto" w:fill="370663"/>
          </w:tcPr>
          <w:p w14:paraId="1A37BED1" w14:textId="77777777" w:rsidR="0045196E" w:rsidRPr="00DF1C3B" w:rsidRDefault="0045196E">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sidRPr="00DF1C3B">
              <w:rPr>
                <w:rFonts w:cs="Arial"/>
                <w:color w:val="FFFFFF" w:themeColor="background1"/>
                <w:sz w:val="24"/>
                <w:szCs w:val="24"/>
              </w:rPr>
              <w:t>Regional Australia</w:t>
            </w:r>
          </w:p>
        </w:tc>
      </w:tr>
      <w:tr w:rsidR="00A13456" w:rsidRPr="000A4F04" w14:paraId="4E85E23B" w14:textId="77777777" w:rsidTr="00B042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shd w:val="clear" w:color="auto" w:fill="FFFFFF" w:themeFill="background1"/>
            <w:vAlign w:val="center"/>
          </w:tcPr>
          <w:p w14:paraId="02C27602" w14:textId="33B7276E" w:rsidR="0045196E" w:rsidRPr="000A4F04" w:rsidRDefault="0045196E">
            <w:pPr>
              <w:rPr>
                <w:rFonts w:cs="Arial"/>
                <w:sz w:val="28"/>
                <w:szCs w:val="28"/>
              </w:rPr>
            </w:pPr>
            <w:r w:rsidRPr="000A4F04">
              <w:rPr>
                <w:rFonts w:cs="Arial"/>
                <w:color w:val="000000" w:themeColor="text1"/>
                <w:sz w:val="28"/>
                <w:szCs w:val="28"/>
              </w:rPr>
              <w:t>Vision Principle 1</w:t>
            </w:r>
          </w:p>
        </w:tc>
        <w:tc>
          <w:tcPr>
            <w:tcW w:w="1230" w:type="dxa"/>
            <w:shd w:val="clear" w:color="auto" w:fill="FFFFFF" w:themeFill="background1"/>
            <w:vAlign w:val="center"/>
          </w:tcPr>
          <w:p w14:paraId="7935CF37" w14:textId="111B5B95" w:rsidR="0045196E" w:rsidRPr="000A4F04"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sz w:val="28"/>
                <w:szCs w:val="28"/>
              </w:rPr>
            </w:pPr>
          </w:p>
        </w:tc>
        <w:tc>
          <w:tcPr>
            <w:tcW w:w="1430" w:type="dxa"/>
            <w:shd w:val="clear" w:color="auto" w:fill="FFFFFF" w:themeFill="background1"/>
            <w:vAlign w:val="center"/>
          </w:tcPr>
          <w:p w14:paraId="205B5C6F" w14:textId="13286E47" w:rsidR="0045196E" w:rsidRPr="000A4F04"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8"/>
                <w:szCs w:val="28"/>
              </w:rPr>
            </w:pPr>
          </w:p>
        </w:tc>
        <w:tc>
          <w:tcPr>
            <w:tcW w:w="1244" w:type="dxa"/>
            <w:shd w:val="clear" w:color="auto" w:fill="FFFFFF" w:themeFill="background1"/>
            <w:vAlign w:val="center"/>
          </w:tcPr>
          <w:p w14:paraId="6BF5C4A5" w14:textId="693E3948" w:rsidR="0045196E" w:rsidRPr="000A4F04"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8"/>
                <w:szCs w:val="28"/>
              </w:rPr>
            </w:pPr>
          </w:p>
        </w:tc>
      </w:tr>
      <w:tr w:rsidR="0045196E" w:rsidRPr="003D59AD" w14:paraId="3696D76C" w14:textId="77777777" w:rsidTr="00325F3D">
        <w:trPr>
          <w:trHeight w:val="454"/>
        </w:trPr>
        <w:tc>
          <w:tcPr>
            <w:cnfStyle w:val="001000000000" w:firstRow="0" w:lastRow="0" w:firstColumn="1" w:lastColumn="0" w:oddVBand="0" w:evenVBand="0" w:oddHBand="0" w:evenHBand="0" w:firstRowFirstColumn="0" w:firstRowLastColumn="0" w:lastRowFirstColumn="0" w:lastRowLastColumn="0"/>
            <w:tcW w:w="5463" w:type="dxa"/>
            <w:shd w:val="clear" w:color="auto" w:fill="F2F2F2" w:themeFill="background1" w:themeFillShade="F2"/>
            <w:vAlign w:val="center"/>
          </w:tcPr>
          <w:p w14:paraId="0144C7AE" w14:textId="77777777" w:rsidR="0045196E" w:rsidRPr="003D59AD" w:rsidRDefault="0045196E" w:rsidP="00D16B99">
            <w:pPr>
              <w:pStyle w:val="ListParagraph"/>
              <w:numPr>
                <w:ilvl w:val="0"/>
                <w:numId w:val="16"/>
              </w:numPr>
              <w:spacing w:before="40" w:after="40" w:line="240" w:lineRule="auto"/>
              <w:rPr>
                <w:rFonts w:cs="Arial"/>
                <w:b w:val="0"/>
                <w:bCs w:val="0"/>
              </w:rPr>
            </w:pPr>
            <w:r w:rsidRPr="00BE2F59">
              <w:rPr>
                <w:rFonts w:cs="Arial"/>
                <w:b w:val="0"/>
                <w:bCs w:val="0"/>
              </w:rPr>
              <w:t xml:space="preserve">School </w:t>
            </w:r>
            <w:r>
              <w:rPr>
                <w:rFonts w:cs="Arial"/>
                <w:b w:val="0"/>
                <w:bCs w:val="0"/>
              </w:rPr>
              <w:t>non-</w:t>
            </w:r>
            <w:r w:rsidRPr="00BE2F59">
              <w:rPr>
                <w:rFonts w:cs="Arial"/>
                <w:b w:val="0"/>
                <w:bCs w:val="0"/>
              </w:rPr>
              <w:t>attendance rate (%)</w:t>
            </w:r>
          </w:p>
        </w:tc>
        <w:tc>
          <w:tcPr>
            <w:tcW w:w="1230" w:type="dxa"/>
            <w:shd w:val="clear" w:color="auto" w:fill="F2F2F2" w:themeFill="background1" w:themeFillShade="F2"/>
            <w:vAlign w:val="center"/>
          </w:tcPr>
          <w:p w14:paraId="46AD144F" w14:textId="2D9C8EDE"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b/>
                <w:bCs/>
              </w:rPr>
              <w:t>1</w:t>
            </w:r>
            <w:r w:rsidR="009A08C9">
              <w:rPr>
                <w:b/>
                <w:bCs/>
              </w:rPr>
              <w:t>5</w:t>
            </w:r>
            <w:r w:rsidRPr="004D08E0">
              <w:rPr>
                <w:b/>
                <w:bCs/>
              </w:rPr>
              <w:t>.0</w:t>
            </w:r>
          </w:p>
        </w:tc>
        <w:tc>
          <w:tcPr>
            <w:tcW w:w="1430" w:type="dxa"/>
            <w:shd w:val="clear" w:color="auto" w:fill="F2F2F2" w:themeFill="background1" w:themeFillShade="F2"/>
            <w:vAlign w:val="center"/>
          </w:tcPr>
          <w:p w14:paraId="78F0FA15" w14:textId="091B4088" w:rsidR="0045196E" w:rsidRPr="004D08E0" w:rsidRDefault="009A08C9">
            <w:pPr>
              <w:spacing w:after="0"/>
              <w:jc w:val="center"/>
              <w:cnfStyle w:val="000000000000" w:firstRow="0" w:lastRow="0" w:firstColumn="0" w:lastColumn="0" w:oddVBand="0" w:evenVBand="0" w:oddHBand="0" w:evenHBand="0" w:firstRowFirstColumn="0" w:firstRowLastColumn="0" w:lastRowFirstColumn="0" w:lastRowLastColumn="0"/>
              <w:rPr>
                <w:rFonts w:cs="Arial"/>
              </w:rPr>
            </w:pPr>
            <w:r>
              <w:t>10.7</w:t>
            </w:r>
          </w:p>
        </w:tc>
        <w:tc>
          <w:tcPr>
            <w:tcW w:w="1244" w:type="dxa"/>
            <w:shd w:val="clear" w:color="auto" w:fill="F2F2F2" w:themeFill="background1" w:themeFillShade="F2"/>
            <w:vAlign w:val="center"/>
          </w:tcPr>
          <w:p w14:paraId="4FB6E5B3" w14:textId="15D467A1" w:rsidR="0045196E" w:rsidRPr="004D08E0" w:rsidRDefault="00E70643">
            <w:pPr>
              <w:spacing w:after="0"/>
              <w:jc w:val="center"/>
              <w:cnfStyle w:val="000000000000" w:firstRow="0" w:lastRow="0" w:firstColumn="0" w:lastColumn="0" w:oddVBand="0" w:evenVBand="0" w:oddHBand="0" w:evenHBand="0" w:firstRowFirstColumn="0" w:firstRowLastColumn="0" w:lastRowFirstColumn="0" w:lastRowLastColumn="0"/>
              <w:rPr>
                <w:rFonts w:cs="Arial"/>
                <w:b/>
                <w:bCs/>
                <w:highlight w:val="yellow"/>
              </w:rPr>
            </w:pPr>
            <w:r>
              <w:rPr>
                <w:rFonts w:cs="Arial"/>
                <w:b/>
                <w:bCs/>
              </w:rPr>
              <w:t>14.6</w:t>
            </w:r>
          </w:p>
        </w:tc>
      </w:tr>
      <w:tr w:rsidR="00A13456" w:rsidRPr="00653483" w14:paraId="0A7FE9A7" w14:textId="77777777" w:rsidTr="00B042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shd w:val="clear" w:color="auto" w:fill="FFFFFF" w:themeFill="background1"/>
            <w:vAlign w:val="center"/>
          </w:tcPr>
          <w:p w14:paraId="53D32A71" w14:textId="77777777" w:rsidR="0045196E" w:rsidRPr="000B631D" w:rsidRDefault="0045196E" w:rsidP="00D16B99">
            <w:pPr>
              <w:pStyle w:val="ListParagraph"/>
              <w:numPr>
                <w:ilvl w:val="0"/>
                <w:numId w:val="16"/>
              </w:numPr>
              <w:spacing w:before="40" w:after="40" w:line="240" w:lineRule="auto"/>
              <w:rPr>
                <w:rFonts w:cs="Arial"/>
                <w:b w:val="0"/>
                <w:bCs w:val="0"/>
              </w:rPr>
            </w:pPr>
            <w:r w:rsidRPr="000B631D">
              <w:rPr>
                <w:rFonts w:cs="Arial"/>
                <w:b w:val="0"/>
                <w:bCs w:val="0"/>
              </w:rPr>
              <w:t>Youth not in education, employment</w:t>
            </w:r>
            <w:r>
              <w:rPr>
                <w:rFonts w:cs="Arial"/>
                <w:b w:val="0"/>
                <w:bCs w:val="0"/>
              </w:rPr>
              <w:t xml:space="preserve">, </w:t>
            </w:r>
            <w:r w:rsidRPr="000B631D">
              <w:rPr>
                <w:rFonts w:cs="Arial"/>
                <w:b w:val="0"/>
                <w:bCs w:val="0"/>
              </w:rPr>
              <w:t>training (%)</w:t>
            </w:r>
          </w:p>
        </w:tc>
        <w:tc>
          <w:tcPr>
            <w:tcW w:w="1230" w:type="dxa"/>
            <w:shd w:val="clear" w:color="auto" w:fill="FFFFFF" w:themeFill="background1"/>
            <w:vAlign w:val="center"/>
          </w:tcPr>
          <w:p w14:paraId="67101394" w14:textId="0C40AE42"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b/>
                <w:bCs/>
              </w:rPr>
              <w:t>19.</w:t>
            </w:r>
            <w:r w:rsidR="00D87F1E">
              <w:rPr>
                <w:b/>
                <w:bCs/>
              </w:rPr>
              <w:t>3</w:t>
            </w:r>
          </w:p>
        </w:tc>
        <w:tc>
          <w:tcPr>
            <w:tcW w:w="1430" w:type="dxa"/>
            <w:shd w:val="clear" w:color="auto" w:fill="FFFFFF" w:themeFill="background1"/>
            <w:vAlign w:val="center"/>
          </w:tcPr>
          <w:p w14:paraId="6ECC0F7F" w14:textId="0A2C2FB5"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sidRPr="004D08E0">
              <w:t>12.</w:t>
            </w:r>
            <w:r w:rsidR="00D87F1E">
              <w:t>6</w:t>
            </w:r>
          </w:p>
        </w:tc>
        <w:tc>
          <w:tcPr>
            <w:tcW w:w="1244" w:type="dxa"/>
            <w:shd w:val="clear" w:color="auto" w:fill="FFFFFF" w:themeFill="background1"/>
            <w:vAlign w:val="center"/>
          </w:tcPr>
          <w:p w14:paraId="257B6935" w14:textId="3931BE3A"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15.</w:t>
            </w:r>
            <w:r w:rsidR="00012BD0">
              <w:rPr>
                <w:rFonts w:cs="Arial"/>
                <w:b/>
                <w:bCs/>
              </w:rPr>
              <w:t>3</w:t>
            </w:r>
          </w:p>
        </w:tc>
      </w:tr>
      <w:tr w:rsidR="0045196E" w:rsidRPr="00653483" w14:paraId="00146146" w14:textId="77777777" w:rsidTr="00325F3D">
        <w:trPr>
          <w:trHeight w:val="454"/>
        </w:trPr>
        <w:tc>
          <w:tcPr>
            <w:cnfStyle w:val="001000000000" w:firstRow="0" w:lastRow="0" w:firstColumn="1" w:lastColumn="0" w:oddVBand="0" w:evenVBand="0" w:oddHBand="0" w:evenHBand="0" w:firstRowFirstColumn="0" w:firstRowLastColumn="0" w:lastRowFirstColumn="0" w:lastRowLastColumn="0"/>
            <w:tcW w:w="5463" w:type="dxa"/>
            <w:shd w:val="clear" w:color="auto" w:fill="F2F2F2" w:themeFill="background1" w:themeFillShade="F2"/>
            <w:vAlign w:val="center"/>
          </w:tcPr>
          <w:p w14:paraId="68336583" w14:textId="77777777" w:rsidR="0045196E" w:rsidRPr="00A927CC" w:rsidRDefault="0045196E" w:rsidP="00D16B99">
            <w:pPr>
              <w:pStyle w:val="ListParagraph"/>
              <w:numPr>
                <w:ilvl w:val="0"/>
                <w:numId w:val="16"/>
              </w:numPr>
              <w:spacing w:before="40" w:after="40" w:line="240" w:lineRule="auto"/>
              <w:rPr>
                <w:rFonts w:cs="Arial"/>
                <w:b w:val="0"/>
                <w:bCs w:val="0"/>
              </w:rPr>
            </w:pPr>
            <w:r w:rsidRPr="00A927CC">
              <w:rPr>
                <w:rFonts w:cs="Arial"/>
                <w:b w:val="0"/>
                <w:bCs w:val="0"/>
              </w:rPr>
              <w:t>Prime age participation rate (%)</w:t>
            </w:r>
          </w:p>
        </w:tc>
        <w:tc>
          <w:tcPr>
            <w:tcW w:w="1230" w:type="dxa"/>
            <w:shd w:val="clear" w:color="auto" w:fill="F2F2F2" w:themeFill="background1" w:themeFillShade="F2"/>
            <w:vAlign w:val="center"/>
          </w:tcPr>
          <w:p w14:paraId="16CA3520" w14:textId="77777777"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b/>
                <w:bCs/>
              </w:rPr>
            </w:pPr>
            <w:r w:rsidRPr="004D08E0">
              <w:rPr>
                <w:b/>
                <w:bCs/>
              </w:rPr>
              <w:t>81.6</w:t>
            </w:r>
          </w:p>
        </w:tc>
        <w:tc>
          <w:tcPr>
            <w:tcW w:w="1430" w:type="dxa"/>
            <w:shd w:val="clear" w:color="auto" w:fill="F2F2F2" w:themeFill="background1" w:themeFillShade="F2"/>
            <w:vAlign w:val="center"/>
          </w:tcPr>
          <w:p w14:paraId="6664BAA1" w14:textId="77777777"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pPr>
            <w:r w:rsidRPr="004D08E0">
              <w:t>85.5</w:t>
            </w:r>
          </w:p>
        </w:tc>
        <w:tc>
          <w:tcPr>
            <w:tcW w:w="1244" w:type="dxa"/>
            <w:shd w:val="clear" w:color="auto" w:fill="F2F2F2" w:themeFill="background1" w:themeFillShade="F2"/>
            <w:vAlign w:val="center"/>
          </w:tcPr>
          <w:p w14:paraId="4158A08F" w14:textId="77777777"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rFonts w:cs="Arial"/>
                <w:b/>
                <w:bCs/>
              </w:rPr>
              <w:t>85.4</w:t>
            </w:r>
          </w:p>
        </w:tc>
      </w:tr>
      <w:tr w:rsidR="00A13456" w:rsidRPr="00653483" w14:paraId="0D12EE42" w14:textId="77777777" w:rsidTr="00B042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shd w:val="clear" w:color="auto" w:fill="FFFFFF" w:themeFill="background1"/>
            <w:vAlign w:val="center"/>
          </w:tcPr>
          <w:p w14:paraId="28E46D4F" w14:textId="77777777" w:rsidR="0045196E" w:rsidRPr="00407100" w:rsidRDefault="0045196E" w:rsidP="00D16B99">
            <w:pPr>
              <w:pStyle w:val="ListParagraph"/>
              <w:numPr>
                <w:ilvl w:val="0"/>
                <w:numId w:val="16"/>
              </w:numPr>
              <w:spacing w:before="40" w:after="40" w:line="240" w:lineRule="auto"/>
              <w:rPr>
                <w:rFonts w:cs="Arial"/>
                <w:b w:val="0"/>
                <w:bCs w:val="0"/>
              </w:rPr>
            </w:pPr>
            <w:r w:rsidRPr="00407100">
              <w:rPr>
                <w:rFonts w:cs="Arial"/>
                <w:b w:val="0"/>
                <w:bCs w:val="0"/>
              </w:rPr>
              <w:t>Unemployment rate (%)</w:t>
            </w:r>
          </w:p>
        </w:tc>
        <w:tc>
          <w:tcPr>
            <w:tcW w:w="1230" w:type="dxa"/>
            <w:shd w:val="clear" w:color="auto" w:fill="FFFFFF" w:themeFill="background1"/>
            <w:vAlign w:val="center"/>
          </w:tcPr>
          <w:p w14:paraId="5E422FFD"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b/>
                <w:bCs/>
              </w:rPr>
            </w:pPr>
            <w:r w:rsidRPr="004D08E0">
              <w:rPr>
                <w:b/>
                <w:bCs/>
              </w:rPr>
              <w:t>4.3</w:t>
            </w:r>
          </w:p>
        </w:tc>
        <w:tc>
          <w:tcPr>
            <w:tcW w:w="1430" w:type="dxa"/>
            <w:shd w:val="clear" w:color="auto" w:fill="FFFFFF" w:themeFill="background1"/>
            <w:vAlign w:val="center"/>
          </w:tcPr>
          <w:p w14:paraId="2C37DE8B"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pPr>
            <w:r w:rsidRPr="004D08E0">
              <w:t>4.1</w:t>
            </w:r>
          </w:p>
        </w:tc>
        <w:tc>
          <w:tcPr>
            <w:tcW w:w="1244" w:type="dxa"/>
            <w:shd w:val="clear" w:color="auto" w:fill="FFFFFF" w:themeFill="background1"/>
            <w:vAlign w:val="center"/>
          </w:tcPr>
          <w:p w14:paraId="766147F8"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4.0</w:t>
            </w:r>
          </w:p>
        </w:tc>
      </w:tr>
      <w:tr w:rsidR="0045196E" w:rsidRPr="00653483" w14:paraId="5AC92287" w14:textId="77777777" w:rsidTr="00325F3D">
        <w:trPr>
          <w:trHeight w:val="454"/>
        </w:trPr>
        <w:tc>
          <w:tcPr>
            <w:cnfStyle w:val="001000000000" w:firstRow="0" w:lastRow="0" w:firstColumn="1" w:lastColumn="0" w:oddVBand="0" w:evenVBand="0" w:oddHBand="0" w:evenHBand="0" w:firstRowFirstColumn="0" w:firstRowLastColumn="0" w:lastRowFirstColumn="0" w:lastRowLastColumn="0"/>
            <w:tcW w:w="5463" w:type="dxa"/>
            <w:shd w:val="clear" w:color="auto" w:fill="F2F2F2" w:themeFill="background1" w:themeFillShade="F2"/>
            <w:vAlign w:val="center"/>
          </w:tcPr>
          <w:p w14:paraId="2A4B0284" w14:textId="77777777" w:rsidR="0045196E" w:rsidRPr="000B631D" w:rsidRDefault="0045196E" w:rsidP="00D16B99">
            <w:pPr>
              <w:pStyle w:val="ListParagraph"/>
              <w:numPr>
                <w:ilvl w:val="0"/>
                <w:numId w:val="16"/>
              </w:numPr>
              <w:spacing w:before="40" w:after="40" w:line="240" w:lineRule="auto"/>
              <w:rPr>
                <w:rFonts w:cs="Arial"/>
                <w:b w:val="0"/>
                <w:bCs w:val="0"/>
              </w:rPr>
            </w:pPr>
            <w:r w:rsidRPr="000B631D">
              <w:rPr>
                <w:rFonts w:cs="Arial"/>
                <w:b w:val="0"/>
                <w:bCs w:val="0"/>
              </w:rPr>
              <w:t xml:space="preserve">Proportion of population on </w:t>
            </w:r>
            <w:r>
              <w:rPr>
                <w:rFonts w:cs="Arial"/>
                <w:b w:val="0"/>
                <w:bCs w:val="0"/>
              </w:rPr>
              <w:t xml:space="preserve">long-term </w:t>
            </w:r>
            <w:r w:rsidRPr="000B631D">
              <w:rPr>
                <w:rFonts w:cs="Arial"/>
                <w:b w:val="0"/>
                <w:bCs w:val="0"/>
              </w:rPr>
              <w:t>income support (%)</w:t>
            </w:r>
          </w:p>
        </w:tc>
        <w:tc>
          <w:tcPr>
            <w:tcW w:w="1230" w:type="dxa"/>
            <w:shd w:val="clear" w:color="auto" w:fill="F2F2F2" w:themeFill="background1" w:themeFillShade="F2"/>
            <w:vAlign w:val="center"/>
          </w:tcPr>
          <w:p w14:paraId="1AAC3FB2" w14:textId="77777777"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b/>
                <w:bCs/>
              </w:rPr>
              <w:t>3.8</w:t>
            </w:r>
          </w:p>
        </w:tc>
        <w:tc>
          <w:tcPr>
            <w:tcW w:w="1430" w:type="dxa"/>
            <w:shd w:val="clear" w:color="auto" w:fill="F2F2F2" w:themeFill="background1" w:themeFillShade="F2"/>
            <w:vAlign w:val="center"/>
          </w:tcPr>
          <w:p w14:paraId="5D145CEA" w14:textId="77777777"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sidRPr="004D08E0">
              <w:t>2.1</w:t>
            </w:r>
          </w:p>
        </w:tc>
        <w:tc>
          <w:tcPr>
            <w:tcW w:w="1244" w:type="dxa"/>
            <w:shd w:val="clear" w:color="auto" w:fill="F2F2F2" w:themeFill="background1" w:themeFillShade="F2"/>
            <w:vAlign w:val="center"/>
          </w:tcPr>
          <w:p w14:paraId="713D6142" w14:textId="0AAC125C"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rFonts w:cs="Arial"/>
                <w:b/>
                <w:bCs/>
              </w:rPr>
              <w:t>2.</w:t>
            </w:r>
            <w:r w:rsidR="00F905A6">
              <w:rPr>
                <w:rFonts w:cs="Arial"/>
                <w:b/>
                <w:bCs/>
              </w:rPr>
              <w:t>4</w:t>
            </w:r>
          </w:p>
        </w:tc>
      </w:tr>
      <w:tr w:rsidR="0045196E" w:rsidRPr="000A4F04" w14:paraId="77030046" w14:textId="7777777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463" w:type="dxa"/>
            <w:tcBorders>
              <w:top w:val="single" w:sz="4" w:space="0" w:color="auto"/>
            </w:tcBorders>
            <w:shd w:val="clear" w:color="auto" w:fill="370663"/>
          </w:tcPr>
          <w:p w14:paraId="713E7121" w14:textId="77777777" w:rsidR="0045196E" w:rsidRPr="000A4F04" w:rsidRDefault="0045196E">
            <w:pPr>
              <w:rPr>
                <w:rFonts w:cs="Arial"/>
                <w:color w:val="000000" w:themeColor="text1"/>
                <w:sz w:val="12"/>
                <w:szCs w:val="12"/>
              </w:rPr>
            </w:pPr>
          </w:p>
        </w:tc>
        <w:tc>
          <w:tcPr>
            <w:tcW w:w="1230" w:type="dxa"/>
            <w:tcBorders>
              <w:top w:val="single" w:sz="4" w:space="0" w:color="auto"/>
            </w:tcBorders>
            <w:shd w:val="clear" w:color="auto" w:fill="370663"/>
            <w:vAlign w:val="center"/>
          </w:tcPr>
          <w:p w14:paraId="0386E1E6"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p>
        </w:tc>
        <w:tc>
          <w:tcPr>
            <w:tcW w:w="1430" w:type="dxa"/>
            <w:tcBorders>
              <w:top w:val="single" w:sz="4" w:space="0" w:color="auto"/>
            </w:tcBorders>
            <w:shd w:val="clear" w:color="auto" w:fill="370663"/>
            <w:vAlign w:val="center"/>
          </w:tcPr>
          <w:p w14:paraId="6894DF09"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c>
          <w:tcPr>
            <w:tcW w:w="1244" w:type="dxa"/>
            <w:tcBorders>
              <w:top w:val="single" w:sz="4" w:space="0" w:color="auto"/>
            </w:tcBorders>
            <w:shd w:val="clear" w:color="auto" w:fill="370663"/>
            <w:vAlign w:val="center"/>
          </w:tcPr>
          <w:p w14:paraId="323D5C19"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r>
      <w:tr w:rsidR="0045196E" w:rsidRPr="000A4F04" w14:paraId="7E689F49" w14:textId="77777777" w:rsidTr="00325F3D">
        <w:trPr>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492E6B6D" w14:textId="147069F3" w:rsidR="0045196E" w:rsidRPr="000A4F04" w:rsidRDefault="0045196E">
            <w:pPr>
              <w:rPr>
                <w:rFonts w:cs="Arial"/>
                <w:sz w:val="28"/>
                <w:szCs w:val="28"/>
              </w:rPr>
            </w:pPr>
            <w:r w:rsidRPr="000A4F04">
              <w:rPr>
                <w:rFonts w:cs="Arial"/>
                <w:color w:val="000000" w:themeColor="text1"/>
                <w:sz w:val="28"/>
                <w:szCs w:val="28"/>
              </w:rPr>
              <w:t>Vision Principle 2</w:t>
            </w:r>
          </w:p>
        </w:tc>
        <w:tc>
          <w:tcPr>
            <w:tcW w:w="1230" w:type="dxa"/>
            <w:vAlign w:val="center"/>
          </w:tcPr>
          <w:p w14:paraId="14DC00F4" w14:textId="61E27CAD"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p>
        </w:tc>
        <w:tc>
          <w:tcPr>
            <w:tcW w:w="1430" w:type="dxa"/>
            <w:vAlign w:val="center"/>
          </w:tcPr>
          <w:p w14:paraId="571D47A3" w14:textId="32542A2B"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c>
          <w:tcPr>
            <w:tcW w:w="1244" w:type="dxa"/>
            <w:vAlign w:val="center"/>
          </w:tcPr>
          <w:p w14:paraId="19521E7F" w14:textId="61952909"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r>
      <w:tr w:rsidR="00A13456" w:rsidRPr="00653483" w14:paraId="2F891575" w14:textId="77777777" w:rsidTr="00325F3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0EB3B9B8" w14:textId="641E8623" w:rsidR="00497BB8" w:rsidRPr="000B631D" w:rsidRDefault="00497BB8" w:rsidP="00D16B99">
            <w:pPr>
              <w:pStyle w:val="ListParagraph"/>
              <w:numPr>
                <w:ilvl w:val="0"/>
                <w:numId w:val="16"/>
              </w:numPr>
              <w:spacing w:before="40" w:after="40" w:line="240" w:lineRule="auto"/>
              <w:rPr>
                <w:rFonts w:cs="Arial"/>
                <w:b w:val="0"/>
                <w:bCs w:val="0"/>
              </w:rPr>
            </w:pPr>
            <w:r>
              <w:rPr>
                <w:rFonts w:cs="Arial"/>
                <w:b w:val="0"/>
                <w:bCs w:val="0"/>
              </w:rPr>
              <w:t>C</w:t>
            </w:r>
            <w:r w:rsidRPr="00842605">
              <w:rPr>
                <w:rFonts w:cs="Arial"/>
                <w:b w:val="0"/>
                <w:bCs w:val="0"/>
              </w:rPr>
              <w:t>ompletion rates</w:t>
            </w:r>
            <w:r>
              <w:rPr>
                <w:rFonts w:cs="Arial"/>
                <w:b w:val="0"/>
                <w:bCs w:val="0"/>
              </w:rPr>
              <w:t xml:space="preserve"> for apprentices and trainees </w:t>
            </w:r>
            <w:r w:rsidRPr="000B631D">
              <w:rPr>
                <w:rFonts w:cs="Arial"/>
                <w:b w:val="0"/>
                <w:bCs w:val="0"/>
              </w:rPr>
              <w:t>(%)</w:t>
            </w:r>
          </w:p>
        </w:tc>
        <w:tc>
          <w:tcPr>
            <w:tcW w:w="1230" w:type="dxa"/>
            <w:vAlign w:val="center"/>
          </w:tcPr>
          <w:p w14:paraId="1FE8879C" w14:textId="4F97DA25" w:rsidR="00497BB8" w:rsidRPr="004D08E0" w:rsidRDefault="00497BB8" w:rsidP="00497BB8">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Pr>
                <w:rFonts w:cs="Arial"/>
                <w:b/>
                <w:bCs/>
              </w:rPr>
              <w:t>55.3</w:t>
            </w:r>
          </w:p>
        </w:tc>
        <w:tc>
          <w:tcPr>
            <w:tcW w:w="1430" w:type="dxa"/>
            <w:vAlign w:val="center"/>
          </w:tcPr>
          <w:p w14:paraId="36A73541" w14:textId="771B5C56" w:rsidR="00497BB8" w:rsidRPr="004D08E0" w:rsidRDefault="00497BB8" w:rsidP="00497BB8">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54.6</w:t>
            </w:r>
          </w:p>
        </w:tc>
        <w:tc>
          <w:tcPr>
            <w:tcW w:w="1244" w:type="dxa"/>
            <w:vAlign w:val="center"/>
          </w:tcPr>
          <w:p w14:paraId="47B2C053" w14:textId="5D0758B4" w:rsidR="00497BB8" w:rsidRPr="004D08E0" w:rsidRDefault="00497BB8" w:rsidP="00497BB8">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A77655">
              <w:rPr>
                <w:rFonts w:cs="Arial"/>
                <w:b/>
                <w:bCs/>
              </w:rPr>
              <w:t>56.7</w:t>
            </w:r>
          </w:p>
        </w:tc>
      </w:tr>
      <w:tr w:rsidR="0045196E" w:rsidRPr="00653483" w14:paraId="1052B9D7" w14:textId="77777777" w:rsidTr="00325F3D">
        <w:trPr>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3908F329" w14:textId="77777777" w:rsidR="0045196E" w:rsidRPr="000B631D" w:rsidRDefault="0045196E" w:rsidP="00D16B99">
            <w:pPr>
              <w:pStyle w:val="ListParagraph"/>
              <w:numPr>
                <w:ilvl w:val="0"/>
                <w:numId w:val="16"/>
              </w:numPr>
              <w:spacing w:before="40" w:after="40" w:line="240" w:lineRule="auto"/>
              <w:rPr>
                <w:rFonts w:cs="Arial"/>
                <w:b w:val="0"/>
                <w:bCs w:val="0"/>
              </w:rPr>
            </w:pPr>
            <w:r>
              <w:rPr>
                <w:rFonts w:cs="Arial"/>
                <w:b w:val="0"/>
                <w:bCs w:val="0"/>
              </w:rPr>
              <w:t>Youth tertiary</w:t>
            </w:r>
            <w:r w:rsidRPr="000B631D">
              <w:rPr>
                <w:rFonts w:cs="Arial"/>
                <w:b w:val="0"/>
                <w:bCs w:val="0"/>
              </w:rPr>
              <w:t xml:space="preserve"> participation rate (%)</w:t>
            </w:r>
          </w:p>
        </w:tc>
        <w:tc>
          <w:tcPr>
            <w:tcW w:w="1230" w:type="dxa"/>
            <w:vAlign w:val="center"/>
          </w:tcPr>
          <w:p w14:paraId="27653494" w14:textId="79ED71FF"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rFonts w:cs="Arial"/>
                <w:b/>
                <w:bCs/>
              </w:rPr>
              <w:t>14.</w:t>
            </w:r>
            <w:r w:rsidR="00AE4541">
              <w:rPr>
                <w:rFonts w:cs="Arial"/>
                <w:b/>
                <w:bCs/>
              </w:rPr>
              <w:t>5</w:t>
            </w:r>
          </w:p>
        </w:tc>
        <w:tc>
          <w:tcPr>
            <w:tcW w:w="1430" w:type="dxa"/>
            <w:vAlign w:val="center"/>
          </w:tcPr>
          <w:p w14:paraId="709ECC95" w14:textId="2C8481F0" w:rsidR="0045196E" w:rsidRPr="004D08E0" w:rsidRDefault="00AE4541">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35.1</w:t>
            </w:r>
          </w:p>
        </w:tc>
        <w:tc>
          <w:tcPr>
            <w:tcW w:w="1244" w:type="dxa"/>
            <w:vAlign w:val="center"/>
          </w:tcPr>
          <w:p w14:paraId="171B6086" w14:textId="54560E13" w:rsidR="0045196E" w:rsidRPr="004D08E0" w:rsidRDefault="005857A5">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22.2</w:t>
            </w:r>
          </w:p>
        </w:tc>
      </w:tr>
      <w:tr w:rsidR="00A13456" w:rsidRPr="00653483" w14:paraId="5ED4AFF4" w14:textId="77777777" w:rsidTr="00325F3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50B039AE" w14:textId="77777777" w:rsidR="0045196E" w:rsidRPr="000B631D" w:rsidRDefault="0045196E" w:rsidP="00D16B99">
            <w:pPr>
              <w:pStyle w:val="ListParagraph"/>
              <w:numPr>
                <w:ilvl w:val="0"/>
                <w:numId w:val="16"/>
              </w:numPr>
              <w:spacing w:before="40" w:after="40" w:line="240" w:lineRule="auto"/>
              <w:rPr>
                <w:rFonts w:cs="Arial"/>
                <w:b w:val="0"/>
                <w:bCs w:val="0"/>
              </w:rPr>
            </w:pPr>
            <w:r w:rsidRPr="000B631D">
              <w:rPr>
                <w:rFonts w:cs="Arial"/>
                <w:b w:val="0"/>
                <w:bCs w:val="0"/>
              </w:rPr>
              <w:t>Proportion working in lower skill level than qualification level (%)</w:t>
            </w:r>
          </w:p>
        </w:tc>
        <w:tc>
          <w:tcPr>
            <w:tcW w:w="1230" w:type="dxa"/>
            <w:vAlign w:val="center"/>
          </w:tcPr>
          <w:p w14:paraId="13A1BA7B"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19.8</w:t>
            </w:r>
          </w:p>
        </w:tc>
        <w:tc>
          <w:tcPr>
            <w:tcW w:w="1430" w:type="dxa"/>
            <w:vAlign w:val="center"/>
          </w:tcPr>
          <w:p w14:paraId="3E7BB43C"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sidRPr="004D08E0">
              <w:rPr>
                <w:rFonts w:cs="Arial"/>
              </w:rPr>
              <w:t>30.0</w:t>
            </w:r>
          </w:p>
        </w:tc>
        <w:tc>
          <w:tcPr>
            <w:tcW w:w="1244" w:type="dxa"/>
            <w:vAlign w:val="center"/>
          </w:tcPr>
          <w:p w14:paraId="2ABE3A70"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25.7</w:t>
            </w:r>
          </w:p>
        </w:tc>
      </w:tr>
      <w:tr w:rsidR="0045196E" w:rsidRPr="00653483" w14:paraId="173E48B2" w14:textId="77777777" w:rsidTr="00325F3D">
        <w:trPr>
          <w:trHeight w:val="454"/>
        </w:trPr>
        <w:tc>
          <w:tcPr>
            <w:cnfStyle w:val="001000000000" w:firstRow="0" w:lastRow="0" w:firstColumn="1" w:lastColumn="0" w:oddVBand="0" w:evenVBand="0" w:oddHBand="0" w:evenHBand="0" w:firstRowFirstColumn="0" w:firstRowLastColumn="0" w:lastRowFirstColumn="0" w:lastRowLastColumn="0"/>
            <w:tcW w:w="5463" w:type="dxa"/>
            <w:tcBorders>
              <w:bottom w:val="single" w:sz="4" w:space="0" w:color="auto"/>
            </w:tcBorders>
            <w:vAlign w:val="center"/>
          </w:tcPr>
          <w:p w14:paraId="206F189B" w14:textId="0B4C4507" w:rsidR="0045196E" w:rsidRPr="000B631D" w:rsidRDefault="003F2975" w:rsidP="00D16B99">
            <w:pPr>
              <w:pStyle w:val="ListParagraph"/>
              <w:numPr>
                <w:ilvl w:val="0"/>
                <w:numId w:val="16"/>
              </w:numPr>
              <w:spacing w:before="40" w:after="40" w:line="240" w:lineRule="auto"/>
              <w:rPr>
                <w:rFonts w:cs="Arial"/>
                <w:b w:val="0"/>
                <w:bCs w:val="0"/>
              </w:rPr>
            </w:pPr>
            <w:r w:rsidRPr="003F2975">
              <w:rPr>
                <w:rFonts w:cs="Arial"/>
                <w:b w:val="0"/>
                <w:bCs w:val="0"/>
              </w:rPr>
              <w:t>Proportion working in same field as most relevant qualification (%)</w:t>
            </w:r>
          </w:p>
        </w:tc>
        <w:tc>
          <w:tcPr>
            <w:tcW w:w="1230" w:type="dxa"/>
            <w:tcBorders>
              <w:bottom w:val="single" w:sz="4" w:space="0" w:color="auto"/>
            </w:tcBorders>
            <w:vAlign w:val="center"/>
          </w:tcPr>
          <w:p w14:paraId="610FBA8A" w14:textId="77777777"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rFonts w:cs="Arial"/>
                <w:b/>
                <w:bCs/>
              </w:rPr>
              <w:t>63.0</w:t>
            </w:r>
          </w:p>
        </w:tc>
        <w:tc>
          <w:tcPr>
            <w:tcW w:w="1430" w:type="dxa"/>
            <w:tcBorders>
              <w:bottom w:val="single" w:sz="4" w:space="0" w:color="auto"/>
            </w:tcBorders>
            <w:vAlign w:val="center"/>
          </w:tcPr>
          <w:p w14:paraId="33741DDF" w14:textId="77777777"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sidRPr="004D08E0">
              <w:rPr>
                <w:rFonts w:cs="Arial"/>
              </w:rPr>
              <w:t>69.4</w:t>
            </w:r>
          </w:p>
        </w:tc>
        <w:tc>
          <w:tcPr>
            <w:tcW w:w="1244" w:type="dxa"/>
            <w:tcBorders>
              <w:bottom w:val="single" w:sz="4" w:space="0" w:color="auto"/>
            </w:tcBorders>
            <w:vAlign w:val="center"/>
          </w:tcPr>
          <w:p w14:paraId="08AAB068" w14:textId="77777777"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rFonts w:cs="Arial"/>
                <w:b/>
                <w:bCs/>
              </w:rPr>
              <w:t>72.7</w:t>
            </w:r>
          </w:p>
        </w:tc>
      </w:tr>
      <w:tr w:rsidR="0045196E" w:rsidRPr="000A4F04" w14:paraId="032945D6" w14:textId="7777777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463" w:type="dxa"/>
            <w:tcBorders>
              <w:top w:val="single" w:sz="4" w:space="0" w:color="auto"/>
            </w:tcBorders>
            <w:shd w:val="clear" w:color="auto" w:fill="370663"/>
          </w:tcPr>
          <w:p w14:paraId="4B779002" w14:textId="77777777" w:rsidR="0045196E" w:rsidRPr="000A4F04" w:rsidRDefault="0045196E">
            <w:pPr>
              <w:rPr>
                <w:rFonts w:cs="Arial"/>
                <w:color w:val="000000" w:themeColor="text1"/>
                <w:sz w:val="12"/>
                <w:szCs w:val="12"/>
              </w:rPr>
            </w:pPr>
          </w:p>
        </w:tc>
        <w:tc>
          <w:tcPr>
            <w:tcW w:w="1230" w:type="dxa"/>
            <w:tcBorders>
              <w:top w:val="single" w:sz="4" w:space="0" w:color="auto"/>
            </w:tcBorders>
            <w:shd w:val="clear" w:color="auto" w:fill="370663"/>
            <w:vAlign w:val="center"/>
          </w:tcPr>
          <w:p w14:paraId="44DC712C"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p>
        </w:tc>
        <w:tc>
          <w:tcPr>
            <w:tcW w:w="1430" w:type="dxa"/>
            <w:tcBorders>
              <w:top w:val="single" w:sz="4" w:space="0" w:color="auto"/>
            </w:tcBorders>
            <w:shd w:val="clear" w:color="auto" w:fill="370663"/>
            <w:vAlign w:val="center"/>
          </w:tcPr>
          <w:p w14:paraId="57EE73A8"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c>
          <w:tcPr>
            <w:tcW w:w="1244" w:type="dxa"/>
            <w:tcBorders>
              <w:top w:val="single" w:sz="4" w:space="0" w:color="auto"/>
            </w:tcBorders>
            <w:shd w:val="clear" w:color="auto" w:fill="370663"/>
            <w:vAlign w:val="center"/>
          </w:tcPr>
          <w:p w14:paraId="71D7E997"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r>
      <w:tr w:rsidR="0045196E" w:rsidRPr="000A4F04" w14:paraId="6C75089A" w14:textId="77777777" w:rsidTr="00325F3D">
        <w:trPr>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6168DF82" w14:textId="379D5197" w:rsidR="0045196E" w:rsidRPr="000A4F04" w:rsidRDefault="0045196E">
            <w:pPr>
              <w:rPr>
                <w:rFonts w:cs="Arial"/>
                <w:sz w:val="28"/>
                <w:szCs w:val="28"/>
              </w:rPr>
            </w:pPr>
            <w:r w:rsidRPr="000A4F04">
              <w:rPr>
                <w:rFonts w:cs="Arial"/>
                <w:color w:val="000000" w:themeColor="text1"/>
                <w:sz w:val="28"/>
                <w:szCs w:val="28"/>
              </w:rPr>
              <w:t>Vision Principle 3</w:t>
            </w:r>
          </w:p>
        </w:tc>
        <w:tc>
          <w:tcPr>
            <w:tcW w:w="1230" w:type="dxa"/>
            <w:vAlign w:val="center"/>
          </w:tcPr>
          <w:p w14:paraId="0F5363FC" w14:textId="7B9A017B"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p>
        </w:tc>
        <w:tc>
          <w:tcPr>
            <w:tcW w:w="1430" w:type="dxa"/>
            <w:vAlign w:val="center"/>
          </w:tcPr>
          <w:p w14:paraId="0D2F784B" w14:textId="4E931503"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c>
          <w:tcPr>
            <w:tcW w:w="1244" w:type="dxa"/>
            <w:vAlign w:val="center"/>
          </w:tcPr>
          <w:p w14:paraId="71267C22" w14:textId="48D5D682"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r>
      <w:tr w:rsidR="00A13456" w:rsidRPr="00653483" w14:paraId="46B9974E" w14:textId="77777777" w:rsidTr="00325F3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60D7FDA5" w14:textId="77777777" w:rsidR="0045196E" w:rsidRPr="000B631D" w:rsidRDefault="0045196E" w:rsidP="00D16B99">
            <w:pPr>
              <w:pStyle w:val="ListParagraph"/>
              <w:numPr>
                <w:ilvl w:val="0"/>
                <w:numId w:val="16"/>
              </w:numPr>
              <w:spacing w:before="40" w:after="40" w:line="240" w:lineRule="auto"/>
              <w:rPr>
                <w:rFonts w:cs="Arial"/>
                <w:b w:val="0"/>
                <w:bCs w:val="0"/>
              </w:rPr>
            </w:pPr>
            <w:r w:rsidRPr="000B631D">
              <w:rPr>
                <w:rFonts w:cs="Arial"/>
                <w:b w:val="0"/>
                <w:bCs w:val="0"/>
              </w:rPr>
              <w:t>Job satisfaction (%)</w:t>
            </w:r>
          </w:p>
        </w:tc>
        <w:tc>
          <w:tcPr>
            <w:tcW w:w="1230" w:type="dxa"/>
            <w:vAlign w:val="center"/>
          </w:tcPr>
          <w:p w14:paraId="592A8CF7"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b/>
                <w:bCs/>
              </w:rPr>
            </w:pPr>
            <w:r w:rsidRPr="004D08E0">
              <w:rPr>
                <w:rFonts w:cs="Arial"/>
                <w:b/>
                <w:bCs/>
              </w:rPr>
              <w:t>n/a</w:t>
            </w:r>
          </w:p>
        </w:tc>
        <w:tc>
          <w:tcPr>
            <w:tcW w:w="1430" w:type="dxa"/>
            <w:vAlign w:val="center"/>
          </w:tcPr>
          <w:p w14:paraId="506EBA65"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pPr>
            <w:r w:rsidRPr="004D08E0">
              <w:rPr>
                <w:rFonts w:cs="Arial"/>
              </w:rPr>
              <w:t>n/a</w:t>
            </w:r>
          </w:p>
        </w:tc>
        <w:tc>
          <w:tcPr>
            <w:tcW w:w="1244" w:type="dxa"/>
            <w:vAlign w:val="center"/>
          </w:tcPr>
          <w:p w14:paraId="42F1864A" w14:textId="5A158C11" w:rsidR="0045196E" w:rsidRPr="004D08E0" w:rsidRDefault="00F579FB">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Pr>
                <w:rFonts w:cs="Arial"/>
                <w:b/>
                <w:bCs/>
              </w:rPr>
              <w:t>38.8</w:t>
            </w:r>
          </w:p>
        </w:tc>
      </w:tr>
      <w:tr w:rsidR="0045196E" w:rsidRPr="00653483" w14:paraId="02F5E28A" w14:textId="77777777" w:rsidTr="00325F3D">
        <w:trPr>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58EE5DAE" w14:textId="77777777" w:rsidR="0045196E" w:rsidRPr="000B631D" w:rsidRDefault="0045196E" w:rsidP="00D16B99">
            <w:pPr>
              <w:pStyle w:val="ListParagraph"/>
              <w:numPr>
                <w:ilvl w:val="0"/>
                <w:numId w:val="16"/>
              </w:numPr>
              <w:spacing w:before="40" w:after="40" w:line="240" w:lineRule="auto"/>
              <w:rPr>
                <w:rFonts w:cs="Arial"/>
                <w:b w:val="0"/>
                <w:bCs w:val="0"/>
              </w:rPr>
            </w:pPr>
            <w:r w:rsidRPr="000B631D">
              <w:rPr>
                <w:rFonts w:cs="Arial"/>
                <w:b w:val="0"/>
                <w:bCs w:val="0"/>
              </w:rPr>
              <w:t>Underemployment rate (%)</w:t>
            </w:r>
          </w:p>
        </w:tc>
        <w:tc>
          <w:tcPr>
            <w:tcW w:w="1230" w:type="dxa"/>
            <w:vAlign w:val="center"/>
          </w:tcPr>
          <w:p w14:paraId="4B8CCDF4" w14:textId="4DC618AB"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b/>
                <w:bCs/>
              </w:rPr>
              <w:t>7.</w:t>
            </w:r>
            <w:r w:rsidR="001162F2">
              <w:rPr>
                <w:b/>
                <w:bCs/>
              </w:rPr>
              <w:t>5</w:t>
            </w:r>
          </w:p>
        </w:tc>
        <w:tc>
          <w:tcPr>
            <w:tcW w:w="1430" w:type="dxa"/>
            <w:vAlign w:val="center"/>
          </w:tcPr>
          <w:p w14:paraId="73C5D923" w14:textId="07A64AB3" w:rsidR="0045196E" w:rsidRPr="004D08E0" w:rsidRDefault="001162F2">
            <w:pPr>
              <w:spacing w:after="0"/>
              <w:jc w:val="center"/>
              <w:cnfStyle w:val="000000000000" w:firstRow="0" w:lastRow="0" w:firstColumn="0" w:lastColumn="0" w:oddVBand="0" w:evenVBand="0" w:oddHBand="0" w:evenHBand="0" w:firstRowFirstColumn="0" w:firstRowLastColumn="0" w:lastRowFirstColumn="0" w:lastRowLastColumn="0"/>
              <w:rPr>
                <w:rFonts w:cs="Arial"/>
              </w:rPr>
            </w:pPr>
            <w:r>
              <w:t>6.9</w:t>
            </w:r>
          </w:p>
        </w:tc>
        <w:tc>
          <w:tcPr>
            <w:tcW w:w="1244" w:type="dxa"/>
            <w:vAlign w:val="center"/>
          </w:tcPr>
          <w:p w14:paraId="08280935" w14:textId="7A9555B4"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rFonts w:cs="Arial"/>
                <w:b/>
                <w:bCs/>
              </w:rPr>
              <w:t>6.</w:t>
            </w:r>
            <w:r w:rsidR="00215475">
              <w:rPr>
                <w:rFonts w:cs="Arial"/>
                <w:b/>
                <w:bCs/>
              </w:rPr>
              <w:t>1</w:t>
            </w:r>
          </w:p>
        </w:tc>
      </w:tr>
      <w:tr w:rsidR="00A13456" w:rsidRPr="00653483" w14:paraId="22DC908B" w14:textId="77777777" w:rsidTr="00E5361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2E008906" w14:textId="7EAA48CD" w:rsidR="0045196E" w:rsidRPr="000B631D" w:rsidRDefault="0045196E" w:rsidP="00D16B99">
            <w:pPr>
              <w:pStyle w:val="ListParagraph"/>
              <w:numPr>
                <w:ilvl w:val="0"/>
                <w:numId w:val="16"/>
              </w:numPr>
              <w:spacing w:before="40" w:after="40" w:line="240" w:lineRule="auto"/>
              <w:rPr>
                <w:rFonts w:cs="Arial"/>
                <w:b w:val="0"/>
                <w:bCs w:val="0"/>
              </w:rPr>
            </w:pPr>
            <w:r w:rsidRPr="000B631D">
              <w:rPr>
                <w:rFonts w:cs="Arial"/>
                <w:b w:val="0"/>
                <w:bCs w:val="0"/>
              </w:rPr>
              <w:t xml:space="preserve">Income </w:t>
            </w:r>
            <w:r w:rsidR="00D610E4">
              <w:rPr>
                <w:rFonts w:cs="Arial"/>
                <w:b w:val="0"/>
                <w:bCs w:val="0"/>
              </w:rPr>
              <w:t xml:space="preserve">inequality </w:t>
            </w:r>
            <w:r>
              <w:rPr>
                <w:rFonts w:cs="Arial"/>
                <w:b w:val="0"/>
                <w:bCs w:val="0"/>
              </w:rPr>
              <w:t>ratio</w:t>
            </w:r>
          </w:p>
        </w:tc>
        <w:tc>
          <w:tcPr>
            <w:tcW w:w="1230" w:type="dxa"/>
            <w:vAlign w:val="center"/>
          </w:tcPr>
          <w:p w14:paraId="65956A32"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3.4</w:t>
            </w:r>
          </w:p>
        </w:tc>
        <w:tc>
          <w:tcPr>
            <w:tcW w:w="1430" w:type="dxa"/>
            <w:vAlign w:val="center"/>
          </w:tcPr>
          <w:p w14:paraId="3017E7CB"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sidRPr="004D08E0">
              <w:rPr>
                <w:rFonts w:cs="Arial"/>
              </w:rPr>
              <w:t>3.0</w:t>
            </w:r>
          </w:p>
        </w:tc>
        <w:tc>
          <w:tcPr>
            <w:tcW w:w="1244" w:type="dxa"/>
            <w:vAlign w:val="center"/>
          </w:tcPr>
          <w:p w14:paraId="2024123E"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3.5</w:t>
            </w:r>
          </w:p>
        </w:tc>
      </w:tr>
      <w:tr w:rsidR="009376DA" w:rsidRPr="00653483" w14:paraId="5F575888" w14:textId="77777777" w:rsidTr="00325F3D">
        <w:trPr>
          <w:trHeight w:val="454"/>
        </w:trPr>
        <w:tc>
          <w:tcPr>
            <w:cnfStyle w:val="001000000000" w:firstRow="0" w:lastRow="0" w:firstColumn="1" w:lastColumn="0" w:oddVBand="0" w:evenVBand="0" w:oddHBand="0" w:evenHBand="0" w:firstRowFirstColumn="0" w:firstRowLastColumn="0" w:lastRowFirstColumn="0" w:lastRowLastColumn="0"/>
            <w:tcW w:w="5463" w:type="dxa"/>
            <w:tcBorders>
              <w:bottom w:val="single" w:sz="4" w:space="0" w:color="auto"/>
            </w:tcBorders>
            <w:vAlign w:val="center"/>
          </w:tcPr>
          <w:p w14:paraId="49367E4B" w14:textId="485DD713" w:rsidR="009376DA" w:rsidRPr="000B631D" w:rsidRDefault="00280256" w:rsidP="00D16B99">
            <w:pPr>
              <w:pStyle w:val="ListParagraph"/>
              <w:numPr>
                <w:ilvl w:val="0"/>
                <w:numId w:val="16"/>
              </w:numPr>
              <w:spacing w:before="40" w:after="40" w:line="240" w:lineRule="auto"/>
              <w:rPr>
                <w:rFonts w:cs="Arial"/>
              </w:rPr>
            </w:pPr>
            <w:r>
              <w:rPr>
                <w:rFonts w:cs="Arial"/>
                <w:b w:val="0"/>
                <w:bCs w:val="0"/>
              </w:rPr>
              <w:t>Workers’ compensation</w:t>
            </w:r>
            <w:r w:rsidR="009376DA" w:rsidRPr="00660157">
              <w:rPr>
                <w:rFonts w:cs="Arial"/>
                <w:b w:val="0"/>
                <w:bCs w:val="0"/>
              </w:rPr>
              <w:t xml:space="preserve"> incidence rate</w:t>
            </w:r>
          </w:p>
        </w:tc>
        <w:tc>
          <w:tcPr>
            <w:tcW w:w="1230" w:type="dxa"/>
            <w:tcBorders>
              <w:bottom w:val="single" w:sz="4" w:space="0" w:color="auto"/>
            </w:tcBorders>
            <w:vAlign w:val="center"/>
          </w:tcPr>
          <w:p w14:paraId="4A97CF99" w14:textId="27458420" w:rsidR="009376DA" w:rsidRPr="004D08E0" w:rsidRDefault="00E53617" w:rsidP="009376DA">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6.2</w:t>
            </w:r>
          </w:p>
        </w:tc>
        <w:tc>
          <w:tcPr>
            <w:tcW w:w="1430" w:type="dxa"/>
            <w:tcBorders>
              <w:bottom w:val="single" w:sz="4" w:space="0" w:color="auto"/>
            </w:tcBorders>
            <w:vAlign w:val="center"/>
          </w:tcPr>
          <w:p w14:paraId="3D03FDF1" w14:textId="000739DA" w:rsidR="009376DA" w:rsidRPr="004D08E0" w:rsidRDefault="009376DA" w:rsidP="009376DA">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w:t>
            </w:r>
            <w:r w:rsidR="00E53617">
              <w:rPr>
                <w:rFonts w:cs="Arial"/>
              </w:rPr>
              <w:t>.0</w:t>
            </w:r>
          </w:p>
        </w:tc>
        <w:tc>
          <w:tcPr>
            <w:tcW w:w="1244" w:type="dxa"/>
            <w:tcBorders>
              <w:bottom w:val="single" w:sz="4" w:space="0" w:color="auto"/>
            </w:tcBorders>
            <w:vAlign w:val="center"/>
          </w:tcPr>
          <w:p w14:paraId="5D31ECD4" w14:textId="10C2F6E0" w:rsidR="009376DA" w:rsidRPr="004D08E0" w:rsidRDefault="009376DA" w:rsidP="009376DA">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9.6</w:t>
            </w:r>
          </w:p>
        </w:tc>
      </w:tr>
      <w:tr w:rsidR="0045196E" w:rsidRPr="000A4F04" w14:paraId="486220A3" w14:textId="7777777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463" w:type="dxa"/>
            <w:tcBorders>
              <w:top w:val="single" w:sz="4" w:space="0" w:color="auto"/>
            </w:tcBorders>
            <w:shd w:val="clear" w:color="auto" w:fill="370663"/>
          </w:tcPr>
          <w:p w14:paraId="02A1EAEF" w14:textId="77777777" w:rsidR="0045196E" w:rsidRPr="000A4F04" w:rsidRDefault="0045196E">
            <w:pPr>
              <w:rPr>
                <w:rFonts w:cs="Arial"/>
                <w:color w:val="000000" w:themeColor="text1"/>
                <w:sz w:val="12"/>
                <w:szCs w:val="12"/>
              </w:rPr>
            </w:pPr>
          </w:p>
        </w:tc>
        <w:tc>
          <w:tcPr>
            <w:tcW w:w="1230" w:type="dxa"/>
            <w:tcBorders>
              <w:top w:val="single" w:sz="4" w:space="0" w:color="auto"/>
            </w:tcBorders>
            <w:shd w:val="clear" w:color="auto" w:fill="370663"/>
            <w:vAlign w:val="center"/>
          </w:tcPr>
          <w:p w14:paraId="18BE7C6A"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p>
        </w:tc>
        <w:tc>
          <w:tcPr>
            <w:tcW w:w="1430" w:type="dxa"/>
            <w:tcBorders>
              <w:top w:val="single" w:sz="4" w:space="0" w:color="auto"/>
            </w:tcBorders>
            <w:shd w:val="clear" w:color="auto" w:fill="370663"/>
            <w:vAlign w:val="center"/>
          </w:tcPr>
          <w:p w14:paraId="5EB79AB7"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c>
          <w:tcPr>
            <w:tcW w:w="1244" w:type="dxa"/>
            <w:tcBorders>
              <w:top w:val="single" w:sz="4" w:space="0" w:color="auto"/>
            </w:tcBorders>
            <w:shd w:val="clear" w:color="auto" w:fill="370663"/>
            <w:vAlign w:val="center"/>
          </w:tcPr>
          <w:p w14:paraId="44B755C4"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r>
      <w:tr w:rsidR="00CD1924" w:rsidRPr="000A4F04" w14:paraId="3B358ED9" w14:textId="77777777" w:rsidTr="00325F3D">
        <w:trPr>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778ADE49" w14:textId="294FDE2E" w:rsidR="0045196E" w:rsidRPr="000A4F04" w:rsidRDefault="0045196E">
            <w:pPr>
              <w:rPr>
                <w:rFonts w:cs="Arial"/>
                <w:sz w:val="28"/>
                <w:szCs w:val="28"/>
              </w:rPr>
            </w:pPr>
            <w:r w:rsidRPr="000A4F04">
              <w:rPr>
                <w:rFonts w:cs="Arial"/>
                <w:color w:val="000000" w:themeColor="text1"/>
                <w:sz w:val="28"/>
                <w:szCs w:val="28"/>
              </w:rPr>
              <w:t>Vision Principle 4</w:t>
            </w:r>
          </w:p>
        </w:tc>
        <w:tc>
          <w:tcPr>
            <w:tcW w:w="1230" w:type="dxa"/>
            <w:vAlign w:val="center"/>
          </w:tcPr>
          <w:p w14:paraId="257E84E4" w14:textId="220B760B"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p>
        </w:tc>
        <w:tc>
          <w:tcPr>
            <w:tcW w:w="1430" w:type="dxa"/>
            <w:vAlign w:val="center"/>
          </w:tcPr>
          <w:p w14:paraId="01BCE7BD" w14:textId="1EB50848"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c>
          <w:tcPr>
            <w:tcW w:w="1244" w:type="dxa"/>
            <w:vAlign w:val="center"/>
          </w:tcPr>
          <w:p w14:paraId="4712E705" w14:textId="5E37D361"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r>
      <w:tr w:rsidR="00A13456" w:rsidRPr="00653483" w14:paraId="36B8F619" w14:textId="77777777" w:rsidTr="00325F3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10B5F81F" w14:textId="77777777" w:rsidR="0045196E" w:rsidRPr="000B631D" w:rsidRDefault="0045196E" w:rsidP="00D16B99">
            <w:pPr>
              <w:pStyle w:val="ListParagraph"/>
              <w:numPr>
                <w:ilvl w:val="0"/>
                <w:numId w:val="16"/>
              </w:numPr>
              <w:spacing w:before="40" w:after="40" w:line="240" w:lineRule="auto"/>
              <w:rPr>
                <w:rFonts w:cs="Arial"/>
                <w:b w:val="0"/>
                <w:bCs w:val="0"/>
              </w:rPr>
            </w:pPr>
            <w:r w:rsidRPr="000B631D">
              <w:rPr>
                <w:rFonts w:cs="Arial"/>
                <w:b w:val="0"/>
                <w:bCs w:val="0"/>
              </w:rPr>
              <w:t>Vacancy fill rate (%)</w:t>
            </w:r>
          </w:p>
        </w:tc>
        <w:tc>
          <w:tcPr>
            <w:tcW w:w="1230" w:type="dxa"/>
            <w:vAlign w:val="center"/>
          </w:tcPr>
          <w:p w14:paraId="2FFC7635" w14:textId="4419740B" w:rsidR="0045196E" w:rsidRPr="004D08E0" w:rsidRDefault="00A0475C">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Pr>
                <w:b/>
                <w:bCs/>
              </w:rPr>
              <w:t>54.7</w:t>
            </w:r>
          </w:p>
        </w:tc>
        <w:tc>
          <w:tcPr>
            <w:tcW w:w="1430" w:type="dxa"/>
            <w:vAlign w:val="center"/>
          </w:tcPr>
          <w:p w14:paraId="034FAAE5" w14:textId="0CC2BCEB" w:rsidR="0045196E" w:rsidRPr="004D08E0" w:rsidRDefault="00290D29">
            <w:pPr>
              <w:spacing w:after="0"/>
              <w:jc w:val="center"/>
              <w:cnfStyle w:val="000000100000" w:firstRow="0" w:lastRow="0" w:firstColumn="0" w:lastColumn="0" w:oddVBand="0" w:evenVBand="0" w:oddHBand="1" w:evenHBand="0" w:firstRowFirstColumn="0" w:firstRowLastColumn="0" w:lastRowFirstColumn="0" w:lastRowLastColumn="0"/>
              <w:rPr>
                <w:rFonts w:cs="Arial"/>
              </w:rPr>
            </w:pPr>
            <w:r>
              <w:t>66.6</w:t>
            </w:r>
          </w:p>
        </w:tc>
        <w:tc>
          <w:tcPr>
            <w:tcW w:w="1244" w:type="dxa"/>
            <w:vAlign w:val="center"/>
          </w:tcPr>
          <w:p w14:paraId="225BCC4A" w14:textId="1F6BD843" w:rsidR="0045196E" w:rsidRPr="004D08E0" w:rsidRDefault="00227993">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64.7</w:t>
            </w:r>
          </w:p>
        </w:tc>
      </w:tr>
      <w:tr w:rsidR="00CD1924" w:rsidRPr="00653483" w14:paraId="74F3598B" w14:textId="77777777" w:rsidTr="00325F3D">
        <w:trPr>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121DC06F" w14:textId="424BF1DD" w:rsidR="008E65AF" w:rsidRPr="000B631D" w:rsidRDefault="00464B51" w:rsidP="00D16B99">
            <w:pPr>
              <w:pStyle w:val="ListParagraph"/>
              <w:numPr>
                <w:ilvl w:val="0"/>
                <w:numId w:val="16"/>
              </w:numPr>
              <w:spacing w:before="40" w:after="40" w:line="240" w:lineRule="auto"/>
              <w:rPr>
                <w:rFonts w:cs="Arial"/>
                <w:b w:val="0"/>
                <w:bCs w:val="0"/>
              </w:rPr>
            </w:pPr>
            <w:r>
              <w:rPr>
                <w:rFonts w:cs="Arial"/>
                <w:b w:val="0"/>
                <w:bCs w:val="0"/>
              </w:rPr>
              <w:t>Essential service</w:t>
            </w:r>
            <w:r w:rsidR="005F3A40">
              <w:rPr>
                <w:rFonts w:cs="Arial"/>
                <w:b w:val="0"/>
                <w:bCs w:val="0"/>
              </w:rPr>
              <w:t>s</w:t>
            </w:r>
            <w:r>
              <w:rPr>
                <w:rFonts w:cs="Arial"/>
                <w:b w:val="0"/>
                <w:bCs w:val="0"/>
              </w:rPr>
              <w:t xml:space="preserve"> vacancy rate (%)</w:t>
            </w:r>
          </w:p>
        </w:tc>
        <w:tc>
          <w:tcPr>
            <w:tcW w:w="1230" w:type="dxa"/>
            <w:vAlign w:val="center"/>
          </w:tcPr>
          <w:p w14:paraId="1A6C1F05" w14:textId="07128FAD" w:rsidR="008E65AF" w:rsidRPr="004D08E0" w:rsidRDefault="00671A7B" w:rsidP="008E65AF">
            <w:pPr>
              <w:spacing w:after="0"/>
              <w:jc w:val="center"/>
              <w:cnfStyle w:val="000000000000" w:firstRow="0" w:lastRow="0" w:firstColumn="0" w:lastColumn="0" w:oddVBand="0" w:evenVBand="0" w:oddHBand="0" w:evenHBand="0" w:firstRowFirstColumn="0" w:firstRowLastColumn="0" w:lastRowFirstColumn="0" w:lastRowLastColumn="0"/>
              <w:rPr>
                <w:b/>
                <w:bCs/>
              </w:rPr>
            </w:pPr>
            <w:r>
              <w:rPr>
                <w:rFonts w:cs="Arial"/>
                <w:b/>
                <w:bCs/>
              </w:rPr>
              <w:t>13.8</w:t>
            </w:r>
          </w:p>
        </w:tc>
        <w:tc>
          <w:tcPr>
            <w:tcW w:w="1430" w:type="dxa"/>
            <w:vAlign w:val="center"/>
          </w:tcPr>
          <w:p w14:paraId="40EEBB3D" w14:textId="161CE1E7" w:rsidR="008E65AF" w:rsidRPr="004D08E0" w:rsidRDefault="00671A7B" w:rsidP="008E65AF">
            <w:pPr>
              <w:spacing w:after="0"/>
              <w:jc w:val="center"/>
              <w:cnfStyle w:val="000000000000" w:firstRow="0" w:lastRow="0" w:firstColumn="0" w:lastColumn="0" w:oddVBand="0" w:evenVBand="0" w:oddHBand="0" w:evenHBand="0" w:firstRowFirstColumn="0" w:firstRowLastColumn="0" w:lastRowFirstColumn="0" w:lastRowLastColumn="0"/>
            </w:pPr>
            <w:r>
              <w:rPr>
                <w:rFonts w:cs="Arial"/>
              </w:rPr>
              <w:t>6.2</w:t>
            </w:r>
          </w:p>
        </w:tc>
        <w:tc>
          <w:tcPr>
            <w:tcW w:w="1244" w:type="dxa"/>
            <w:vAlign w:val="center"/>
          </w:tcPr>
          <w:p w14:paraId="2191E462" w14:textId="30E7C5D4" w:rsidR="008E65AF" w:rsidRPr="004D08E0" w:rsidRDefault="00464B51" w:rsidP="008E65AF">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8.5</w:t>
            </w:r>
          </w:p>
        </w:tc>
      </w:tr>
      <w:tr w:rsidR="00A13456" w:rsidRPr="00653483" w14:paraId="7191A489" w14:textId="77777777" w:rsidTr="00325F3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70C5E4F0" w14:textId="77777777" w:rsidR="00A77655" w:rsidRPr="000B631D" w:rsidRDefault="00A77655" w:rsidP="00D16B99">
            <w:pPr>
              <w:pStyle w:val="ListParagraph"/>
              <w:numPr>
                <w:ilvl w:val="0"/>
                <w:numId w:val="16"/>
              </w:numPr>
              <w:spacing w:before="40" w:after="40" w:line="240" w:lineRule="auto"/>
              <w:rPr>
                <w:rFonts w:cs="Arial"/>
                <w:b w:val="0"/>
                <w:bCs w:val="0"/>
              </w:rPr>
            </w:pPr>
            <w:r w:rsidRPr="000B631D">
              <w:rPr>
                <w:rFonts w:cs="Arial"/>
                <w:b w:val="0"/>
                <w:bCs w:val="0"/>
              </w:rPr>
              <w:t>Incidence of persistent hiring pressures (%)</w:t>
            </w:r>
          </w:p>
        </w:tc>
        <w:tc>
          <w:tcPr>
            <w:tcW w:w="1230" w:type="dxa"/>
            <w:vAlign w:val="center"/>
          </w:tcPr>
          <w:p w14:paraId="72ECAC71" w14:textId="47322089" w:rsidR="00A77655" w:rsidRPr="004D08E0" w:rsidRDefault="00A77655" w:rsidP="00A77655">
            <w:pPr>
              <w:spacing w:after="0"/>
              <w:jc w:val="center"/>
              <w:cnfStyle w:val="000000100000" w:firstRow="0" w:lastRow="0" w:firstColumn="0" w:lastColumn="0" w:oddVBand="0" w:evenVBand="0" w:oddHBand="1" w:evenHBand="0" w:firstRowFirstColumn="0" w:firstRowLastColumn="0" w:lastRowFirstColumn="0" w:lastRowLastColumn="0"/>
              <w:rPr>
                <w:rFonts w:cs="Arial"/>
                <w:b/>
                <w:bCs/>
                <w:highlight w:val="yellow"/>
              </w:rPr>
            </w:pPr>
            <w:r w:rsidRPr="003705EA">
              <w:rPr>
                <w:rFonts w:cs="Arial"/>
                <w:b/>
                <w:bCs/>
              </w:rPr>
              <w:t>n/a</w:t>
            </w:r>
          </w:p>
        </w:tc>
        <w:tc>
          <w:tcPr>
            <w:tcW w:w="1430" w:type="dxa"/>
            <w:vAlign w:val="center"/>
          </w:tcPr>
          <w:p w14:paraId="7CA0628F" w14:textId="32385442" w:rsidR="00A77655" w:rsidRPr="004D08E0" w:rsidRDefault="00A77655" w:rsidP="00A77655">
            <w:pPr>
              <w:spacing w:after="0"/>
              <w:jc w:val="center"/>
              <w:cnfStyle w:val="000000100000" w:firstRow="0" w:lastRow="0" w:firstColumn="0" w:lastColumn="0" w:oddVBand="0" w:evenVBand="0" w:oddHBand="1" w:evenHBand="0" w:firstRowFirstColumn="0" w:firstRowLastColumn="0" w:lastRowFirstColumn="0" w:lastRowLastColumn="0"/>
              <w:rPr>
                <w:rFonts w:cs="Arial"/>
                <w:highlight w:val="yellow"/>
              </w:rPr>
            </w:pPr>
            <w:r w:rsidRPr="003705EA">
              <w:rPr>
                <w:rFonts w:cs="Arial"/>
              </w:rPr>
              <w:t>n/a</w:t>
            </w:r>
          </w:p>
        </w:tc>
        <w:tc>
          <w:tcPr>
            <w:tcW w:w="1244" w:type="dxa"/>
            <w:vAlign w:val="center"/>
          </w:tcPr>
          <w:p w14:paraId="2FF1FD5D" w14:textId="3D0028BF" w:rsidR="00A77655" w:rsidRPr="004D08E0" w:rsidRDefault="00A77655" w:rsidP="00A77655">
            <w:pPr>
              <w:spacing w:after="0"/>
              <w:jc w:val="center"/>
              <w:cnfStyle w:val="000000100000" w:firstRow="0" w:lastRow="0" w:firstColumn="0" w:lastColumn="0" w:oddVBand="0" w:evenVBand="0" w:oddHBand="1" w:evenHBand="0" w:firstRowFirstColumn="0" w:firstRowLastColumn="0" w:lastRowFirstColumn="0" w:lastRowLastColumn="0"/>
              <w:rPr>
                <w:rFonts w:cs="Arial"/>
                <w:b/>
                <w:bCs/>
                <w:highlight w:val="yellow"/>
              </w:rPr>
            </w:pPr>
            <w:r>
              <w:rPr>
                <w:rFonts w:cs="Arial"/>
                <w:b/>
                <w:bCs/>
              </w:rPr>
              <w:t>36.8</w:t>
            </w:r>
          </w:p>
        </w:tc>
      </w:tr>
      <w:tr w:rsidR="00CD1924" w:rsidRPr="00653483" w14:paraId="52F49AE3" w14:textId="77777777" w:rsidTr="00325F3D">
        <w:trPr>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7B620E1B" w14:textId="1F803A9F" w:rsidR="0045196E" w:rsidRPr="000B631D" w:rsidRDefault="006961FA" w:rsidP="00D16B99">
            <w:pPr>
              <w:pStyle w:val="ListParagraph"/>
              <w:numPr>
                <w:ilvl w:val="0"/>
                <w:numId w:val="16"/>
              </w:numPr>
              <w:spacing w:before="40" w:after="40" w:line="240" w:lineRule="auto"/>
              <w:rPr>
                <w:rFonts w:cs="Arial"/>
              </w:rPr>
            </w:pPr>
            <w:r>
              <w:rPr>
                <w:rFonts w:cs="Arial"/>
                <w:b w:val="0"/>
                <w:bCs w:val="0"/>
              </w:rPr>
              <w:t>Business creation rate</w:t>
            </w:r>
            <w:r w:rsidR="0045196E" w:rsidRPr="000B631D">
              <w:rPr>
                <w:rFonts w:cs="Arial"/>
                <w:b w:val="0"/>
                <w:bCs w:val="0"/>
              </w:rPr>
              <w:t xml:space="preserve"> (%)</w:t>
            </w:r>
          </w:p>
        </w:tc>
        <w:tc>
          <w:tcPr>
            <w:tcW w:w="1230" w:type="dxa"/>
            <w:vAlign w:val="center"/>
          </w:tcPr>
          <w:p w14:paraId="7BC42933" w14:textId="0B3B73F1" w:rsidR="0045196E" w:rsidRPr="004D08E0" w:rsidRDefault="002D647A">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1.7</w:t>
            </w:r>
          </w:p>
        </w:tc>
        <w:tc>
          <w:tcPr>
            <w:tcW w:w="1430" w:type="dxa"/>
            <w:vAlign w:val="center"/>
          </w:tcPr>
          <w:p w14:paraId="2F6D926C" w14:textId="494BA3E1" w:rsidR="0045196E" w:rsidRPr="004D08E0" w:rsidRDefault="005E0E31">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2.7</w:t>
            </w:r>
          </w:p>
        </w:tc>
        <w:tc>
          <w:tcPr>
            <w:tcW w:w="1244" w:type="dxa"/>
            <w:vAlign w:val="center"/>
          </w:tcPr>
          <w:p w14:paraId="19970DAE" w14:textId="360999E9" w:rsidR="0045196E" w:rsidRPr="004D08E0" w:rsidRDefault="00D87A91">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2.2</w:t>
            </w:r>
          </w:p>
        </w:tc>
      </w:tr>
      <w:tr w:rsidR="00517FD8" w:rsidRPr="000A4F04" w14:paraId="5AA29F80" w14:textId="77777777" w:rsidTr="002F093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463" w:type="dxa"/>
            <w:shd w:val="clear" w:color="auto" w:fill="370663"/>
          </w:tcPr>
          <w:p w14:paraId="07731330" w14:textId="77777777" w:rsidR="00517FD8" w:rsidRPr="000A4F04" w:rsidRDefault="00517FD8">
            <w:pPr>
              <w:spacing w:after="0"/>
              <w:rPr>
                <w:rFonts w:cs="Arial"/>
                <w:color w:val="000000" w:themeColor="text1"/>
                <w:sz w:val="12"/>
                <w:szCs w:val="12"/>
              </w:rPr>
            </w:pPr>
          </w:p>
        </w:tc>
        <w:tc>
          <w:tcPr>
            <w:tcW w:w="1230" w:type="dxa"/>
            <w:shd w:val="clear" w:color="auto" w:fill="370663"/>
          </w:tcPr>
          <w:p w14:paraId="64B3D4E7" w14:textId="77777777" w:rsidR="00517FD8" w:rsidRPr="004D08E0" w:rsidRDefault="00517FD8">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p>
        </w:tc>
        <w:tc>
          <w:tcPr>
            <w:tcW w:w="1430" w:type="dxa"/>
            <w:shd w:val="clear" w:color="auto" w:fill="370663"/>
          </w:tcPr>
          <w:p w14:paraId="61FB9229" w14:textId="77777777" w:rsidR="00517FD8" w:rsidRPr="004D08E0" w:rsidRDefault="00517FD8">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c>
          <w:tcPr>
            <w:tcW w:w="1244" w:type="dxa"/>
            <w:shd w:val="clear" w:color="auto" w:fill="370663"/>
          </w:tcPr>
          <w:p w14:paraId="0B230C7C" w14:textId="77777777" w:rsidR="00517FD8" w:rsidRPr="004D08E0" w:rsidRDefault="00517FD8">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r>
      <w:tr w:rsidR="00CD1924" w:rsidRPr="000A4F04" w14:paraId="1D112A55" w14:textId="77777777" w:rsidTr="00517FD8">
        <w:trPr>
          <w:trHeight w:val="454"/>
        </w:trPr>
        <w:tc>
          <w:tcPr>
            <w:cnfStyle w:val="001000000000" w:firstRow="0" w:lastRow="0" w:firstColumn="1" w:lastColumn="0" w:oddVBand="0" w:evenVBand="0" w:oddHBand="0" w:evenHBand="0" w:firstRowFirstColumn="0" w:firstRowLastColumn="0" w:lastRowFirstColumn="0" w:lastRowLastColumn="0"/>
            <w:tcW w:w="5463" w:type="dxa"/>
          </w:tcPr>
          <w:p w14:paraId="2BCDE305" w14:textId="77777777" w:rsidR="00517FD8" w:rsidRPr="000A4F04" w:rsidRDefault="00517FD8">
            <w:pPr>
              <w:spacing w:after="0"/>
              <w:rPr>
                <w:rFonts w:cs="Arial"/>
                <w:sz w:val="28"/>
                <w:szCs w:val="28"/>
              </w:rPr>
            </w:pPr>
            <w:r w:rsidRPr="000A4F04">
              <w:rPr>
                <w:rFonts w:cs="Arial"/>
                <w:color w:val="000000" w:themeColor="text1"/>
                <w:sz w:val="28"/>
                <w:szCs w:val="28"/>
              </w:rPr>
              <w:t xml:space="preserve">Vision Principle </w:t>
            </w:r>
            <w:r>
              <w:rPr>
                <w:rFonts w:cs="Arial"/>
                <w:color w:val="000000" w:themeColor="text1"/>
                <w:sz w:val="28"/>
                <w:szCs w:val="28"/>
              </w:rPr>
              <w:t>5</w:t>
            </w:r>
          </w:p>
        </w:tc>
        <w:tc>
          <w:tcPr>
            <w:tcW w:w="1230" w:type="dxa"/>
          </w:tcPr>
          <w:p w14:paraId="148AF16A" w14:textId="77777777" w:rsidR="00517FD8" w:rsidRPr="004D08E0" w:rsidRDefault="00517FD8">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p>
        </w:tc>
        <w:tc>
          <w:tcPr>
            <w:tcW w:w="1430" w:type="dxa"/>
          </w:tcPr>
          <w:p w14:paraId="315C24A2" w14:textId="77777777" w:rsidR="00517FD8" w:rsidRPr="004D08E0" w:rsidRDefault="00517FD8">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c>
          <w:tcPr>
            <w:tcW w:w="1244" w:type="dxa"/>
          </w:tcPr>
          <w:p w14:paraId="36F62C60" w14:textId="77777777" w:rsidR="00517FD8" w:rsidRPr="004D08E0" w:rsidRDefault="00517FD8">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r>
      <w:tr w:rsidR="00A13456" w:rsidRPr="00653483" w14:paraId="22A3AC63" w14:textId="777777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tcPr>
          <w:p w14:paraId="3691AEFC" w14:textId="77777777" w:rsidR="00517FD8" w:rsidRPr="000B631D" w:rsidRDefault="00517FD8" w:rsidP="00D16B99">
            <w:pPr>
              <w:pStyle w:val="ListParagraph"/>
              <w:numPr>
                <w:ilvl w:val="0"/>
                <w:numId w:val="16"/>
              </w:numPr>
              <w:spacing w:after="0" w:line="240" w:lineRule="auto"/>
              <w:rPr>
                <w:rFonts w:cs="Arial"/>
                <w:b w:val="0"/>
                <w:bCs w:val="0"/>
              </w:rPr>
            </w:pPr>
            <w:r>
              <w:rPr>
                <w:rFonts w:cs="Arial"/>
                <w:b w:val="0"/>
                <w:bCs w:val="0"/>
              </w:rPr>
              <w:t>Beveridge Curve analysis</w:t>
            </w:r>
          </w:p>
        </w:tc>
        <w:tc>
          <w:tcPr>
            <w:tcW w:w="1230" w:type="dxa"/>
            <w:vAlign w:val="center"/>
          </w:tcPr>
          <w:p w14:paraId="0DF2C48E" w14:textId="044D3F4D" w:rsidR="00517FD8" w:rsidRPr="004D08E0" w:rsidRDefault="004E2BE7">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rPr>
              <w:t>n/a</w:t>
            </w:r>
          </w:p>
        </w:tc>
        <w:tc>
          <w:tcPr>
            <w:tcW w:w="1430" w:type="dxa"/>
            <w:vAlign w:val="center"/>
          </w:tcPr>
          <w:p w14:paraId="356B283F" w14:textId="735D81E1" w:rsidR="00517FD8" w:rsidRPr="004D08E0" w:rsidRDefault="004E2BE7">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sidRPr="004D08E0">
              <w:rPr>
                <w:rFonts w:cs="Arial"/>
              </w:rPr>
              <w:t>n/a</w:t>
            </w:r>
          </w:p>
        </w:tc>
        <w:tc>
          <w:tcPr>
            <w:tcW w:w="1244" w:type="dxa"/>
            <w:vAlign w:val="center"/>
          </w:tcPr>
          <w:p w14:paraId="6AF3B640" w14:textId="45C135E2" w:rsidR="00517FD8" w:rsidRPr="004D08E0" w:rsidRDefault="004E2BE7">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rPr>
              <w:t>n/a</w:t>
            </w:r>
          </w:p>
        </w:tc>
      </w:tr>
      <w:tr w:rsidR="00CD1924" w:rsidRPr="00653483" w14:paraId="227FE41C" w14:textId="77777777" w:rsidTr="00517FD8">
        <w:trPr>
          <w:trHeight w:val="454"/>
        </w:trPr>
        <w:tc>
          <w:tcPr>
            <w:cnfStyle w:val="001000000000" w:firstRow="0" w:lastRow="0" w:firstColumn="1" w:lastColumn="0" w:oddVBand="0" w:evenVBand="0" w:oddHBand="0" w:evenHBand="0" w:firstRowFirstColumn="0" w:firstRowLastColumn="0" w:lastRowFirstColumn="0" w:lastRowLastColumn="0"/>
            <w:tcW w:w="5463" w:type="dxa"/>
          </w:tcPr>
          <w:p w14:paraId="7C19249B" w14:textId="6FB95F12" w:rsidR="00517FD8" w:rsidRPr="000B631D" w:rsidRDefault="00517FD8" w:rsidP="00D16B99">
            <w:pPr>
              <w:pStyle w:val="ListParagraph"/>
              <w:numPr>
                <w:ilvl w:val="0"/>
                <w:numId w:val="16"/>
              </w:numPr>
              <w:spacing w:after="0" w:line="240" w:lineRule="auto"/>
              <w:rPr>
                <w:rFonts w:cs="Arial"/>
                <w:b w:val="0"/>
                <w:bCs w:val="0"/>
              </w:rPr>
            </w:pPr>
            <w:r>
              <w:rPr>
                <w:rFonts w:cs="Arial"/>
                <w:b w:val="0"/>
                <w:bCs w:val="0"/>
              </w:rPr>
              <w:t>Efficiency of labour market matching</w:t>
            </w:r>
            <w:r w:rsidR="00B45E0B">
              <w:rPr>
                <w:rFonts w:cs="Arial"/>
                <w:b w:val="0"/>
                <w:bCs w:val="0"/>
              </w:rPr>
              <w:t xml:space="preserve"> (%)</w:t>
            </w:r>
          </w:p>
        </w:tc>
        <w:tc>
          <w:tcPr>
            <w:tcW w:w="1230" w:type="dxa"/>
          </w:tcPr>
          <w:p w14:paraId="6B9E5BEC" w14:textId="3F1273B9" w:rsidR="00517FD8" w:rsidRPr="001D7DF4" w:rsidRDefault="00C65656">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asciiTheme="minorHAnsi" w:hAnsiTheme="minorHAnsi" w:cstheme="minorHAnsi"/>
                <w:b/>
                <w:bCs/>
              </w:rPr>
              <w:t>69.8</w:t>
            </w:r>
          </w:p>
        </w:tc>
        <w:tc>
          <w:tcPr>
            <w:tcW w:w="1430" w:type="dxa"/>
          </w:tcPr>
          <w:p w14:paraId="35395243" w14:textId="1B942C59" w:rsidR="00517FD8" w:rsidRPr="001D7DF4" w:rsidRDefault="00526425">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Pr>
                <w:rFonts w:asciiTheme="minorHAnsi" w:hAnsiTheme="minorHAnsi" w:cstheme="minorHAnsi"/>
              </w:rPr>
              <w:t>84.0</w:t>
            </w:r>
          </w:p>
        </w:tc>
        <w:tc>
          <w:tcPr>
            <w:tcW w:w="1244" w:type="dxa"/>
          </w:tcPr>
          <w:p w14:paraId="7315B2F9" w14:textId="2CAB447E" w:rsidR="00517FD8" w:rsidRPr="001D7DF4" w:rsidRDefault="0054010F">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80.7</w:t>
            </w:r>
          </w:p>
        </w:tc>
      </w:tr>
    </w:tbl>
    <w:p w14:paraId="5A1C49FB" w14:textId="77777777" w:rsidR="0045196E" w:rsidRPr="008731B9" w:rsidRDefault="0045196E" w:rsidP="00A27EC5">
      <w:pPr>
        <w:pStyle w:val="Heading2"/>
      </w:pPr>
      <w:bookmarkStart w:id="217" w:name="_Toc200637161"/>
      <w:bookmarkStart w:id="218" w:name="_Toc201070203"/>
      <w:bookmarkStart w:id="219" w:name="_Toc201919866"/>
      <w:bookmarkStart w:id="220" w:name="_Toc202361894"/>
      <w:r>
        <w:lastRenderedPageBreak/>
        <w:t>R</w:t>
      </w:r>
      <w:r w:rsidRPr="008731B9">
        <w:t xml:space="preserve">egional </w:t>
      </w:r>
      <w:r>
        <w:t>Western Australia</w:t>
      </w:r>
      <w:bookmarkEnd w:id="217"/>
      <w:bookmarkEnd w:id="218"/>
      <w:bookmarkEnd w:id="219"/>
      <w:bookmarkEnd w:id="220"/>
    </w:p>
    <w:p w14:paraId="0A4EF894" w14:textId="05B13FA1" w:rsidR="0045196E" w:rsidRPr="0048438C" w:rsidRDefault="009D232C" w:rsidP="009D232C">
      <w:pPr>
        <w:pStyle w:val="Caption"/>
        <w:spacing w:before="160"/>
        <w:rPr>
          <w:b w:val="0"/>
          <w:bCs w:val="0"/>
        </w:rPr>
      </w:pPr>
      <w:r>
        <w:t xml:space="preserve">Table </w:t>
      </w:r>
      <w:r>
        <w:fldChar w:fldCharType="begin"/>
      </w:r>
      <w:r>
        <w:instrText xml:space="preserve"> SEQ Table \* ARABIC </w:instrText>
      </w:r>
      <w:r>
        <w:fldChar w:fldCharType="separate"/>
      </w:r>
      <w:r w:rsidR="00471863">
        <w:rPr>
          <w:noProof/>
        </w:rPr>
        <w:t>37</w:t>
      </w:r>
      <w:r>
        <w:fldChar w:fldCharType="end"/>
      </w:r>
      <w:r w:rsidR="0045196E" w:rsidRPr="0048438C">
        <w:rPr>
          <w:b w:val="0"/>
          <w:bCs w:val="0"/>
        </w:rPr>
        <w:t>:</w:t>
      </w:r>
      <w:r w:rsidR="00820B93">
        <w:rPr>
          <w:b w:val="0"/>
          <w:bCs w:val="0"/>
        </w:rPr>
        <w:t xml:space="preserve"> </w:t>
      </w:r>
      <w:r w:rsidR="00820B93" w:rsidRPr="00820B93">
        <w:t xml:space="preserve">Roadmap indicators for Regional </w:t>
      </w:r>
      <w:r w:rsidR="00820B93">
        <w:t>W</w:t>
      </w:r>
      <w:r w:rsidR="00194A47">
        <w:t>estern Australia, Perth</w:t>
      </w:r>
      <w:r w:rsidR="00820B93" w:rsidRPr="00820B93">
        <w:t xml:space="preserve"> and </w:t>
      </w:r>
      <w:r w:rsidR="00194A47">
        <w:t>Regional Australia</w:t>
      </w:r>
    </w:p>
    <w:tbl>
      <w:tblPr>
        <w:tblStyle w:val="PlainTable4"/>
        <w:tblW w:w="9367" w:type="dxa"/>
        <w:tblLook w:val="04A0" w:firstRow="1" w:lastRow="0" w:firstColumn="1" w:lastColumn="0" w:noHBand="0" w:noVBand="1"/>
      </w:tblPr>
      <w:tblGrid>
        <w:gridCol w:w="5463"/>
        <w:gridCol w:w="1230"/>
        <w:gridCol w:w="1430"/>
        <w:gridCol w:w="1244"/>
      </w:tblGrid>
      <w:tr w:rsidR="0045196E" w:rsidRPr="00653483" w14:paraId="3943A8DD" w14:textId="77777777">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5463" w:type="dxa"/>
            <w:shd w:val="clear" w:color="auto" w:fill="370663"/>
            <w:vAlign w:val="center"/>
          </w:tcPr>
          <w:p w14:paraId="12A309CE" w14:textId="77777777" w:rsidR="0045196E" w:rsidRPr="00DF1C3B" w:rsidRDefault="0045196E">
            <w:pPr>
              <w:spacing w:before="120" w:after="120"/>
              <w:rPr>
                <w:rFonts w:cs="Arial"/>
                <w:color w:val="FFFFFF" w:themeColor="background1"/>
                <w:sz w:val="24"/>
                <w:szCs w:val="24"/>
              </w:rPr>
            </w:pPr>
          </w:p>
        </w:tc>
        <w:tc>
          <w:tcPr>
            <w:tcW w:w="1230" w:type="dxa"/>
            <w:shd w:val="clear" w:color="auto" w:fill="370663"/>
            <w:vAlign w:val="center"/>
          </w:tcPr>
          <w:p w14:paraId="13BBD49E" w14:textId="77777777" w:rsidR="0045196E" w:rsidRPr="00DF1C3B" w:rsidRDefault="0045196E">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sidRPr="00DF1C3B">
              <w:rPr>
                <w:rFonts w:cs="Arial"/>
                <w:color w:val="FFFFFF" w:themeColor="background1"/>
                <w:sz w:val="24"/>
                <w:szCs w:val="24"/>
              </w:rPr>
              <w:t xml:space="preserve">Regional </w:t>
            </w:r>
            <w:r>
              <w:rPr>
                <w:rFonts w:cs="Arial"/>
                <w:color w:val="FFFFFF" w:themeColor="background1"/>
                <w:sz w:val="24"/>
                <w:szCs w:val="24"/>
              </w:rPr>
              <w:t>WA</w:t>
            </w:r>
          </w:p>
        </w:tc>
        <w:tc>
          <w:tcPr>
            <w:tcW w:w="1430" w:type="dxa"/>
            <w:shd w:val="clear" w:color="auto" w:fill="370663"/>
            <w:vAlign w:val="center"/>
          </w:tcPr>
          <w:p w14:paraId="27D86E64" w14:textId="77777777" w:rsidR="0045196E" w:rsidRPr="00DF1C3B" w:rsidRDefault="0045196E">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Pr>
                <w:rFonts w:cs="Arial"/>
                <w:color w:val="FFFFFF" w:themeColor="background1"/>
                <w:sz w:val="24"/>
                <w:szCs w:val="24"/>
              </w:rPr>
              <w:t>Perth</w:t>
            </w:r>
          </w:p>
        </w:tc>
        <w:tc>
          <w:tcPr>
            <w:tcW w:w="1244" w:type="dxa"/>
            <w:shd w:val="clear" w:color="auto" w:fill="370663"/>
          </w:tcPr>
          <w:p w14:paraId="350FC6A0" w14:textId="77777777" w:rsidR="0045196E" w:rsidRPr="00DF1C3B" w:rsidRDefault="0045196E">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sidRPr="00DF1C3B">
              <w:rPr>
                <w:rFonts w:cs="Arial"/>
                <w:color w:val="FFFFFF" w:themeColor="background1"/>
                <w:sz w:val="24"/>
                <w:szCs w:val="24"/>
              </w:rPr>
              <w:t>Regional Australia</w:t>
            </w:r>
          </w:p>
        </w:tc>
      </w:tr>
      <w:tr w:rsidR="00A13456" w:rsidRPr="000A4F04" w14:paraId="4F2530CC" w14:textId="77777777" w:rsidTr="00B042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shd w:val="clear" w:color="auto" w:fill="FFFFFF" w:themeFill="background1"/>
            <w:vAlign w:val="center"/>
          </w:tcPr>
          <w:p w14:paraId="73B1FDB9" w14:textId="780B59C2" w:rsidR="0045196E" w:rsidRPr="000A4F04" w:rsidRDefault="0045196E">
            <w:pPr>
              <w:rPr>
                <w:rFonts w:cs="Arial"/>
                <w:sz w:val="28"/>
                <w:szCs w:val="28"/>
              </w:rPr>
            </w:pPr>
            <w:r w:rsidRPr="000A4F04">
              <w:rPr>
                <w:rFonts w:cs="Arial"/>
                <w:color w:val="000000" w:themeColor="text1"/>
                <w:sz w:val="28"/>
                <w:szCs w:val="28"/>
              </w:rPr>
              <w:t>Vision Principle 1</w:t>
            </w:r>
          </w:p>
        </w:tc>
        <w:tc>
          <w:tcPr>
            <w:tcW w:w="1230" w:type="dxa"/>
            <w:shd w:val="clear" w:color="auto" w:fill="FFFFFF" w:themeFill="background1"/>
            <w:vAlign w:val="center"/>
          </w:tcPr>
          <w:p w14:paraId="0E5FA170" w14:textId="44DDDC42" w:rsidR="0045196E" w:rsidRPr="000A4F04"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sz w:val="28"/>
                <w:szCs w:val="28"/>
              </w:rPr>
            </w:pPr>
          </w:p>
        </w:tc>
        <w:tc>
          <w:tcPr>
            <w:tcW w:w="1430" w:type="dxa"/>
            <w:shd w:val="clear" w:color="auto" w:fill="FFFFFF" w:themeFill="background1"/>
            <w:vAlign w:val="center"/>
          </w:tcPr>
          <w:p w14:paraId="05C109A7" w14:textId="0B93EC53" w:rsidR="0045196E" w:rsidRPr="000A4F04"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8"/>
                <w:szCs w:val="28"/>
              </w:rPr>
            </w:pPr>
          </w:p>
        </w:tc>
        <w:tc>
          <w:tcPr>
            <w:tcW w:w="1244" w:type="dxa"/>
            <w:shd w:val="clear" w:color="auto" w:fill="FFFFFF" w:themeFill="background1"/>
            <w:vAlign w:val="center"/>
          </w:tcPr>
          <w:p w14:paraId="599BF57A" w14:textId="35D01A76" w:rsidR="0045196E" w:rsidRPr="000A4F04"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8"/>
                <w:szCs w:val="28"/>
              </w:rPr>
            </w:pPr>
          </w:p>
        </w:tc>
      </w:tr>
      <w:tr w:rsidR="0045196E" w:rsidRPr="0069208F" w14:paraId="30212EEF" w14:textId="77777777" w:rsidTr="00B35A20">
        <w:trPr>
          <w:trHeight w:val="454"/>
        </w:trPr>
        <w:tc>
          <w:tcPr>
            <w:cnfStyle w:val="001000000000" w:firstRow="0" w:lastRow="0" w:firstColumn="1" w:lastColumn="0" w:oddVBand="0" w:evenVBand="0" w:oddHBand="0" w:evenHBand="0" w:firstRowFirstColumn="0" w:firstRowLastColumn="0" w:lastRowFirstColumn="0" w:lastRowLastColumn="0"/>
            <w:tcW w:w="5463" w:type="dxa"/>
            <w:shd w:val="clear" w:color="auto" w:fill="F2F2F2" w:themeFill="background1" w:themeFillShade="F2"/>
            <w:vAlign w:val="center"/>
          </w:tcPr>
          <w:p w14:paraId="60CDD607" w14:textId="77777777" w:rsidR="0045196E" w:rsidRPr="0069208F" w:rsidRDefault="0045196E" w:rsidP="00D16B99">
            <w:pPr>
              <w:pStyle w:val="ListParagraph"/>
              <w:numPr>
                <w:ilvl w:val="0"/>
                <w:numId w:val="17"/>
              </w:numPr>
              <w:spacing w:before="40" w:after="40" w:line="240" w:lineRule="auto"/>
              <w:rPr>
                <w:rFonts w:cs="Arial"/>
                <w:b w:val="0"/>
                <w:bCs w:val="0"/>
              </w:rPr>
            </w:pPr>
            <w:r w:rsidRPr="00BE2F59">
              <w:rPr>
                <w:rFonts w:cs="Arial"/>
                <w:b w:val="0"/>
                <w:bCs w:val="0"/>
              </w:rPr>
              <w:t xml:space="preserve">School </w:t>
            </w:r>
            <w:r>
              <w:rPr>
                <w:rFonts w:cs="Arial"/>
                <w:b w:val="0"/>
                <w:bCs w:val="0"/>
              </w:rPr>
              <w:t>non-</w:t>
            </w:r>
            <w:r w:rsidRPr="00BE2F59">
              <w:rPr>
                <w:rFonts w:cs="Arial"/>
                <w:b w:val="0"/>
                <w:bCs w:val="0"/>
              </w:rPr>
              <w:t>attendance rate (%)</w:t>
            </w:r>
          </w:p>
        </w:tc>
        <w:tc>
          <w:tcPr>
            <w:tcW w:w="1230" w:type="dxa"/>
            <w:shd w:val="clear" w:color="auto" w:fill="F2F2F2" w:themeFill="background1" w:themeFillShade="F2"/>
            <w:vAlign w:val="center"/>
          </w:tcPr>
          <w:p w14:paraId="5398B52A" w14:textId="1D15206A" w:rsidR="0045196E" w:rsidRPr="004D08E0" w:rsidRDefault="009A08C9">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b/>
                <w:bCs/>
              </w:rPr>
              <w:t>17.1</w:t>
            </w:r>
          </w:p>
        </w:tc>
        <w:tc>
          <w:tcPr>
            <w:tcW w:w="1430" w:type="dxa"/>
            <w:shd w:val="clear" w:color="auto" w:fill="F2F2F2" w:themeFill="background1" w:themeFillShade="F2"/>
            <w:vAlign w:val="center"/>
          </w:tcPr>
          <w:p w14:paraId="246AF84E" w14:textId="155B0A04" w:rsidR="0045196E" w:rsidRPr="004D08E0" w:rsidRDefault="009A08C9">
            <w:pPr>
              <w:spacing w:after="0"/>
              <w:jc w:val="center"/>
              <w:cnfStyle w:val="000000000000" w:firstRow="0" w:lastRow="0" w:firstColumn="0" w:lastColumn="0" w:oddVBand="0" w:evenVBand="0" w:oddHBand="0" w:evenHBand="0" w:firstRowFirstColumn="0" w:firstRowLastColumn="0" w:lastRowFirstColumn="0" w:lastRowLastColumn="0"/>
              <w:rPr>
                <w:rFonts w:cs="Arial"/>
              </w:rPr>
            </w:pPr>
            <w:r>
              <w:t>10.6</w:t>
            </w:r>
          </w:p>
        </w:tc>
        <w:tc>
          <w:tcPr>
            <w:tcW w:w="1244" w:type="dxa"/>
            <w:shd w:val="clear" w:color="auto" w:fill="F2F2F2" w:themeFill="background1" w:themeFillShade="F2"/>
            <w:vAlign w:val="center"/>
          </w:tcPr>
          <w:p w14:paraId="36C49F54" w14:textId="5CE35CA5" w:rsidR="0045196E" w:rsidRPr="004D08E0" w:rsidRDefault="00E70643">
            <w:pPr>
              <w:spacing w:after="0"/>
              <w:jc w:val="center"/>
              <w:cnfStyle w:val="000000000000" w:firstRow="0" w:lastRow="0" w:firstColumn="0" w:lastColumn="0" w:oddVBand="0" w:evenVBand="0" w:oddHBand="0" w:evenHBand="0" w:firstRowFirstColumn="0" w:firstRowLastColumn="0" w:lastRowFirstColumn="0" w:lastRowLastColumn="0"/>
              <w:rPr>
                <w:rFonts w:cs="Arial"/>
                <w:b/>
                <w:bCs/>
                <w:highlight w:val="yellow"/>
              </w:rPr>
            </w:pPr>
            <w:r>
              <w:rPr>
                <w:rFonts w:cs="Arial"/>
                <w:b/>
                <w:bCs/>
              </w:rPr>
              <w:t>14.6</w:t>
            </w:r>
          </w:p>
        </w:tc>
      </w:tr>
      <w:tr w:rsidR="00A13456" w:rsidRPr="00653483" w14:paraId="2117E8C6" w14:textId="77777777" w:rsidTr="00B042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shd w:val="clear" w:color="auto" w:fill="FFFFFF" w:themeFill="background1"/>
            <w:vAlign w:val="center"/>
          </w:tcPr>
          <w:p w14:paraId="0412635D" w14:textId="77777777" w:rsidR="0045196E" w:rsidRPr="000B631D" w:rsidRDefault="0045196E" w:rsidP="00D16B99">
            <w:pPr>
              <w:pStyle w:val="ListParagraph"/>
              <w:numPr>
                <w:ilvl w:val="0"/>
                <w:numId w:val="17"/>
              </w:numPr>
              <w:spacing w:before="40" w:after="40" w:line="240" w:lineRule="auto"/>
              <w:rPr>
                <w:rFonts w:cs="Arial"/>
                <w:b w:val="0"/>
                <w:bCs w:val="0"/>
              </w:rPr>
            </w:pPr>
            <w:r w:rsidRPr="000B631D">
              <w:rPr>
                <w:rFonts w:cs="Arial"/>
                <w:b w:val="0"/>
                <w:bCs w:val="0"/>
              </w:rPr>
              <w:t>Youth not in education, employment</w:t>
            </w:r>
            <w:r>
              <w:rPr>
                <w:rFonts w:cs="Arial"/>
                <w:b w:val="0"/>
                <w:bCs w:val="0"/>
              </w:rPr>
              <w:t xml:space="preserve">, </w:t>
            </w:r>
            <w:r w:rsidRPr="000B631D">
              <w:rPr>
                <w:rFonts w:cs="Arial"/>
                <w:b w:val="0"/>
                <w:bCs w:val="0"/>
              </w:rPr>
              <w:t>training (%)</w:t>
            </w:r>
          </w:p>
        </w:tc>
        <w:tc>
          <w:tcPr>
            <w:tcW w:w="1230" w:type="dxa"/>
            <w:shd w:val="clear" w:color="auto" w:fill="FFFFFF" w:themeFill="background1"/>
            <w:vAlign w:val="center"/>
          </w:tcPr>
          <w:p w14:paraId="507AA6C6" w14:textId="04CE9AA9"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b/>
                <w:bCs/>
              </w:rPr>
              <w:t>9.</w:t>
            </w:r>
            <w:r w:rsidR="00E363FA">
              <w:rPr>
                <w:b/>
                <w:bCs/>
              </w:rPr>
              <w:t>2</w:t>
            </w:r>
          </w:p>
        </w:tc>
        <w:tc>
          <w:tcPr>
            <w:tcW w:w="1430" w:type="dxa"/>
            <w:shd w:val="clear" w:color="auto" w:fill="FFFFFF" w:themeFill="background1"/>
            <w:vAlign w:val="center"/>
          </w:tcPr>
          <w:p w14:paraId="0C5CD86B" w14:textId="151A21CF"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sidRPr="004D08E0">
              <w:t>1</w:t>
            </w:r>
            <w:r w:rsidR="00E363FA">
              <w:t>0</w:t>
            </w:r>
            <w:r w:rsidRPr="004D08E0">
              <w:t>.2</w:t>
            </w:r>
          </w:p>
        </w:tc>
        <w:tc>
          <w:tcPr>
            <w:tcW w:w="1244" w:type="dxa"/>
            <w:shd w:val="clear" w:color="auto" w:fill="FFFFFF" w:themeFill="background1"/>
            <w:vAlign w:val="center"/>
          </w:tcPr>
          <w:p w14:paraId="60E73638" w14:textId="08E6FFE8"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15.</w:t>
            </w:r>
            <w:r w:rsidR="00012BD0">
              <w:rPr>
                <w:rFonts w:cs="Arial"/>
                <w:b/>
                <w:bCs/>
              </w:rPr>
              <w:t>3</w:t>
            </w:r>
          </w:p>
        </w:tc>
      </w:tr>
      <w:tr w:rsidR="0045196E" w:rsidRPr="00653483" w14:paraId="203338E0" w14:textId="77777777" w:rsidTr="00B35A20">
        <w:trPr>
          <w:trHeight w:val="454"/>
        </w:trPr>
        <w:tc>
          <w:tcPr>
            <w:cnfStyle w:val="001000000000" w:firstRow="0" w:lastRow="0" w:firstColumn="1" w:lastColumn="0" w:oddVBand="0" w:evenVBand="0" w:oddHBand="0" w:evenHBand="0" w:firstRowFirstColumn="0" w:firstRowLastColumn="0" w:lastRowFirstColumn="0" w:lastRowLastColumn="0"/>
            <w:tcW w:w="5463" w:type="dxa"/>
            <w:shd w:val="clear" w:color="auto" w:fill="F2F2F2" w:themeFill="background1" w:themeFillShade="F2"/>
            <w:vAlign w:val="center"/>
          </w:tcPr>
          <w:p w14:paraId="2D49B305" w14:textId="77777777" w:rsidR="0045196E" w:rsidRPr="00DA24DE" w:rsidRDefault="0045196E" w:rsidP="00D16B99">
            <w:pPr>
              <w:pStyle w:val="ListParagraph"/>
              <w:numPr>
                <w:ilvl w:val="0"/>
                <w:numId w:val="17"/>
              </w:numPr>
              <w:spacing w:before="40" w:after="40" w:line="240" w:lineRule="auto"/>
              <w:rPr>
                <w:rFonts w:cs="Arial"/>
                <w:b w:val="0"/>
                <w:bCs w:val="0"/>
              </w:rPr>
            </w:pPr>
            <w:r w:rsidRPr="00DA24DE">
              <w:rPr>
                <w:rFonts w:cs="Arial"/>
                <w:b w:val="0"/>
                <w:bCs w:val="0"/>
              </w:rPr>
              <w:t>Prime age participation rate</w:t>
            </w:r>
            <w:r>
              <w:rPr>
                <w:rFonts w:cs="Arial"/>
                <w:b w:val="0"/>
                <w:bCs w:val="0"/>
              </w:rPr>
              <w:t xml:space="preserve"> (%)</w:t>
            </w:r>
          </w:p>
        </w:tc>
        <w:tc>
          <w:tcPr>
            <w:tcW w:w="1230" w:type="dxa"/>
            <w:shd w:val="clear" w:color="auto" w:fill="F2F2F2" w:themeFill="background1" w:themeFillShade="F2"/>
            <w:vAlign w:val="center"/>
          </w:tcPr>
          <w:p w14:paraId="7F659E67" w14:textId="7B035589"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b/>
                <w:bCs/>
              </w:rPr>
            </w:pPr>
            <w:r w:rsidRPr="004D08E0">
              <w:rPr>
                <w:b/>
                <w:bCs/>
              </w:rPr>
              <w:t>84.</w:t>
            </w:r>
            <w:r w:rsidR="003E5DCD">
              <w:rPr>
                <w:b/>
                <w:bCs/>
              </w:rPr>
              <w:t>5</w:t>
            </w:r>
          </w:p>
        </w:tc>
        <w:tc>
          <w:tcPr>
            <w:tcW w:w="1430" w:type="dxa"/>
            <w:shd w:val="clear" w:color="auto" w:fill="F2F2F2" w:themeFill="background1" w:themeFillShade="F2"/>
            <w:vAlign w:val="center"/>
          </w:tcPr>
          <w:p w14:paraId="787AE294" w14:textId="77777777"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pPr>
            <w:r w:rsidRPr="004D08E0">
              <w:t>87.4</w:t>
            </w:r>
          </w:p>
        </w:tc>
        <w:tc>
          <w:tcPr>
            <w:tcW w:w="1244" w:type="dxa"/>
            <w:shd w:val="clear" w:color="auto" w:fill="F2F2F2" w:themeFill="background1" w:themeFillShade="F2"/>
            <w:vAlign w:val="center"/>
          </w:tcPr>
          <w:p w14:paraId="1D535010" w14:textId="77777777"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rFonts w:cs="Arial"/>
                <w:b/>
                <w:bCs/>
              </w:rPr>
              <w:t>85.4</w:t>
            </w:r>
          </w:p>
        </w:tc>
      </w:tr>
      <w:tr w:rsidR="00A13456" w:rsidRPr="00653483" w14:paraId="6C6DE30D" w14:textId="77777777" w:rsidTr="00B042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shd w:val="clear" w:color="auto" w:fill="FFFFFF" w:themeFill="background1"/>
            <w:vAlign w:val="center"/>
          </w:tcPr>
          <w:p w14:paraId="6819B2A7" w14:textId="77777777" w:rsidR="0045196E" w:rsidRPr="006974DB" w:rsidRDefault="0045196E" w:rsidP="00D16B99">
            <w:pPr>
              <w:pStyle w:val="ListParagraph"/>
              <w:numPr>
                <w:ilvl w:val="0"/>
                <w:numId w:val="17"/>
              </w:numPr>
              <w:spacing w:before="40" w:after="40" w:line="240" w:lineRule="auto"/>
              <w:rPr>
                <w:rFonts w:cs="Arial"/>
                <w:b w:val="0"/>
                <w:bCs w:val="0"/>
              </w:rPr>
            </w:pPr>
            <w:r w:rsidRPr="006974DB">
              <w:rPr>
                <w:rFonts w:cs="Arial"/>
                <w:b w:val="0"/>
                <w:bCs w:val="0"/>
              </w:rPr>
              <w:t>Unemployment rate (%)</w:t>
            </w:r>
          </w:p>
        </w:tc>
        <w:tc>
          <w:tcPr>
            <w:tcW w:w="1230" w:type="dxa"/>
            <w:shd w:val="clear" w:color="auto" w:fill="FFFFFF" w:themeFill="background1"/>
            <w:vAlign w:val="center"/>
          </w:tcPr>
          <w:p w14:paraId="3CE7A33C"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b/>
                <w:bCs/>
              </w:rPr>
            </w:pPr>
            <w:r w:rsidRPr="004D08E0">
              <w:rPr>
                <w:b/>
                <w:bCs/>
              </w:rPr>
              <w:t>3.6</w:t>
            </w:r>
          </w:p>
        </w:tc>
        <w:tc>
          <w:tcPr>
            <w:tcW w:w="1430" w:type="dxa"/>
            <w:shd w:val="clear" w:color="auto" w:fill="FFFFFF" w:themeFill="background1"/>
            <w:vAlign w:val="center"/>
          </w:tcPr>
          <w:p w14:paraId="1D6E0439" w14:textId="788B3A91"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pPr>
            <w:r w:rsidRPr="004D08E0">
              <w:t>3.</w:t>
            </w:r>
            <w:r w:rsidR="0077141B">
              <w:t>9</w:t>
            </w:r>
          </w:p>
        </w:tc>
        <w:tc>
          <w:tcPr>
            <w:tcW w:w="1244" w:type="dxa"/>
            <w:shd w:val="clear" w:color="auto" w:fill="FFFFFF" w:themeFill="background1"/>
            <w:vAlign w:val="center"/>
          </w:tcPr>
          <w:p w14:paraId="20A4C6DD"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4.0</w:t>
            </w:r>
          </w:p>
        </w:tc>
      </w:tr>
      <w:tr w:rsidR="0045196E" w:rsidRPr="00653483" w14:paraId="68C519BE" w14:textId="77777777" w:rsidTr="00B35A20">
        <w:trPr>
          <w:trHeight w:val="454"/>
        </w:trPr>
        <w:tc>
          <w:tcPr>
            <w:cnfStyle w:val="001000000000" w:firstRow="0" w:lastRow="0" w:firstColumn="1" w:lastColumn="0" w:oddVBand="0" w:evenVBand="0" w:oddHBand="0" w:evenHBand="0" w:firstRowFirstColumn="0" w:firstRowLastColumn="0" w:lastRowFirstColumn="0" w:lastRowLastColumn="0"/>
            <w:tcW w:w="5463" w:type="dxa"/>
            <w:shd w:val="clear" w:color="auto" w:fill="F2F2F2" w:themeFill="background1" w:themeFillShade="F2"/>
            <w:vAlign w:val="center"/>
          </w:tcPr>
          <w:p w14:paraId="4EAC5099" w14:textId="77777777" w:rsidR="0045196E" w:rsidRPr="000B631D" w:rsidRDefault="0045196E" w:rsidP="00D16B99">
            <w:pPr>
              <w:pStyle w:val="ListParagraph"/>
              <w:numPr>
                <w:ilvl w:val="0"/>
                <w:numId w:val="17"/>
              </w:numPr>
              <w:spacing w:before="40" w:after="40" w:line="240" w:lineRule="auto"/>
              <w:rPr>
                <w:rFonts w:cs="Arial"/>
                <w:b w:val="0"/>
                <w:bCs w:val="0"/>
              </w:rPr>
            </w:pPr>
            <w:r w:rsidRPr="000B631D">
              <w:rPr>
                <w:rFonts w:cs="Arial"/>
                <w:b w:val="0"/>
                <w:bCs w:val="0"/>
              </w:rPr>
              <w:t xml:space="preserve">Proportion of population on </w:t>
            </w:r>
            <w:r>
              <w:rPr>
                <w:rFonts w:cs="Arial"/>
                <w:b w:val="0"/>
                <w:bCs w:val="0"/>
              </w:rPr>
              <w:t xml:space="preserve">long-term </w:t>
            </w:r>
            <w:r w:rsidRPr="000B631D">
              <w:rPr>
                <w:rFonts w:cs="Arial"/>
                <w:b w:val="0"/>
                <w:bCs w:val="0"/>
              </w:rPr>
              <w:t>income support (%)</w:t>
            </w:r>
          </w:p>
        </w:tc>
        <w:tc>
          <w:tcPr>
            <w:tcW w:w="1230" w:type="dxa"/>
            <w:shd w:val="clear" w:color="auto" w:fill="F2F2F2" w:themeFill="background1" w:themeFillShade="F2"/>
            <w:vAlign w:val="center"/>
          </w:tcPr>
          <w:p w14:paraId="439CE68F" w14:textId="77777777"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F905A6">
              <w:rPr>
                <w:b/>
              </w:rPr>
              <w:t>2.8</w:t>
            </w:r>
          </w:p>
        </w:tc>
        <w:tc>
          <w:tcPr>
            <w:tcW w:w="1430" w:type="dxa"/>
            <w:shd w:val="clear" w:color="auto" w:fill="F2F2F2" w:themeFill="background1" w:themeFillShade="F2"/>
            <w:vAlign w:val="center"/>
          </w:tcPr>
          <w:p w14:paraId="7545C1C8" w14:textId="77777777"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sidRPr="004D08E0">
              <w:t>1.4</w:t>
            </w:r>
          </w:p>
        </w:tc>
        <w:tc>
          <w:tcPr>
            <w:tcW w:w="1244" w:type="dxa"/>
            <w:shd w:val="clear" w:color="auto" w:fill="F2F2F2" w:themeFill="background1" w:themeFillShade="F2"/>
            <w:vAlign w:val="center"/>
          </w:tcPr>
          <w:p w14:paraId="1027FA97" w14:textId="3BF64794"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rFonts w:cs="Arial"/>
                <w:b/>
                <w:bCs/>
              </w:rPr>
              <w:t>2.</w:t>
            </w:r>
            <w:r w:rsidR="00F905A6">
              <w:rPr>
                <w:rFonts w:cs="Arial"/>
                <w:b/>
                <w:bCs/>
              </w:rPr>
              <w:t>4</w:t>
            </w:r>
          </w:p>
        </w:tc>
      </w:tr>
      <w:tr w:rsidR="0045196E" w:rsidRPr="000A4F04" w14:paraId="31F75F4E" w14:textId="7777777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463" w:type="dxa"/>
            <w:tcBorders>
              <w:top w:val="single" w:sz="4" w:space="0" w:color="auto"/>
            </w:tcBorders>
            <w:shd w:val="clear" w:color="auto" w:fill="370663"/>
          </w:tcPr>
          <w:p w14:paraId="6C797246" w14:textId="77777777" w:rsidR="0045196E" w:rsidRPr="000A4F04" w:rsidRDefault="0045196E">
            <w:pPr>
              <w:rPr>
                <w:rFonts w:cs="Arial"/>
                <w:color w:val="000000" w:themeColor="text1"/>
                <w:sz w:val="12"/>
                <w:szCs w:val="12"/>
              </w:rPr>
            </w:pPr>
          </w:p>
        </w:tc>
        <w:tc>
          <w:tcPr>
            <w:tcW w:w="1230" w:type="dxa"/>
            <w:tcBorders>
              <w:top w:val="single" w:sz="4" w:space="0" w:color="auto"/>
            </w:tcBorders>
            <w:shd w:val="clear" w:color="auto" w:fill="370663"/>
            <w:vAlign w:val="center"/>
          </w:tcPr>
          <w:p w14:paraId="0A21E8FC"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p>
        </w:tc>
        <w:tc>
          <w:tcPr>
            <w:tcW w:w="1430" w:type="dxa"/>
            <w:tcBorders>
              <w:top w:val="single" w:sz="4" w:space="0" w:color="auto"/>
            </w:tcBorders>
            <w:shd w:val="clear" w:color="auto" w:fill="370663"/>
            <w:vAlign w:val="center"/>
          </w:tcPr>
          <w:p w14:paraId="51F3C145"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c>
          <w:tcPr>
            <w:tcW w:w="1244" w:type="dxa"/>
            <w:tcBorders>
              <w:top w:val="single" w:sz="4" w:space="0" w:color="auto"/>
            </w:tcBorders>
            <w:shd w:val="clear" w:color="auto" w:fill="370663"/>
            <w:vAlign w:val="center"/>
          </w:tcPr>
          <w:p w14:paraId="0F4A56FA"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r>
      <w:tr w:rsidR="0045196E" w:rsidRPr="000A4F04" w14:paraId="7DFE607A" w14:textId="77777777" w:rsidTr="00B35A20">
        <w:trPr>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7A100CCC" w14:textId="667F5984" w:rsidR="0045196E" w:rsidRPr="000A4F04" w:rsidRDefault="0045196E">
            <w:pPr>
              <w:rPr>
                <w:rFonts w:cs="Arial"/>
                <w:sz w:val="28"/>
                <w:szCs w:val="28"/>
              </w:rPr>
            </w:pPr>
            <w:r w:rsidRPr="000A4F04">
              <w:rPr>
                <w:rFonts w:cs="Arial"/>
                <w:color w:val="000000" w:themeColor="text1"/>
                <w:sz w:val="28"/>
                <w:szCs w:val="28"/>
              </w:rPr>
              <w:t>Vision Principle 2</w:t>
            </w:r>
          </w:p>
        </w:tc>
        <w:tc>
          <w:tcPr>
            <w:tcW w:w="1230" w:type="dxa"/>
            <w:vAlign w:val="center"/>
          </w:tcPr>
          <w:p w14:paraId="54C7E9AA" w14:textId="4E81489F"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p>
        </w:tc>
        <w:tc>
          <w:tcPr>
            <w:tcW w:w="1430" w:type="dxa"/>
            <w:vAlign w:val="center"/>
          </w:tcPr>
          <w:p w14:paraId="145C0CD5" w14:textId="51E16234"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c>
          <w:tcPr>
            <w:tcW w:w="1244" w:type="dxa"/>
            <w:vAlign w:val="center"/>
          </w:tcPr>
          <w:p w14:paraId="2A64F456" w14:textId="0E579AFC"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r>
      <w:tr w:rsidR="00A13456" w:rsidRPr="00653483" w14:paraId="65D98A6A" w14:textId="77777777" w:rsidTr="00B35A2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22C83556" w14:textId="3B0311F0" w:rsidR="00497BB8" w:rsidRPr="000B631D" w:rsidRDefault="00497BB8" w:rsidP="00D16B99">
            <w:pPr>
              <w:pStyle w:val="ListParagraph"/>
              <w:numPr>
                <w:ilvl w:val="0"/>
                <w:numId w:val="17"/>
              </w:numPr>
              <w:spacing w:before="40" w:after="40" w:line="240" w:lineRule="auto"/>
              <w:rPr>
                <w:rFonts w:cs="Arial"/>
                <w:b w:val="0"/>
                <w:bCs w:val="0"/>
              </w:rPr>
            </w:pPr>
            <w:r>
              <w:rPr>
                <w:rFonts w:cs="Arial"/>
                <w:b w:val="0"/>
                <w:bCs w:val="0"/>
              </w:rPr>
              <w:t>C</w:t>
            </w:r>
            <w:r w:rsidRPr="00842605">
              <w:rPr>
                <w:rFonts w:cs="Arial"/>
                <w:b w:val="0"/>
                <w:bCs w:val="0"/>
              </w:rPr>
              <w:t>ompletion rates</w:t>
            </w:r>
            <w:r>
              <w:rPr>
                <w:rFonts w:cs="Arial"/>
                <w:b w:val="0"/>
                <w:bCs w:val="0"/>
              </w:rPr>
              <w:t xml:space="preserve"> for apprentices and trainees </w:t>
            </w:r>
            <w:r w:rsidRPr="000B631D">
              <w:rPr>
                <w:rFonts w:cs="Arial"/>
                <w:b w:val="0"/>
                <w:bCs w:val="0"/>
              </w:rPr>
              <w:t>(%)</w:t>
            </w:r>
          </w:p>
        </w:tc>
        <w:tc>
          <w:tcPr>
            <w:tcW w:w="1230" w:type="dxa"/>
            <w:vAlign w:val="center"/>
          </w:tcPr>
          <w:p w14:paraId="75B2F862" w14:textId="4EB9A0B3" w:rsidR="00497BB8" w:rsidRPr="004D08E0" w:rsidRDefault="00497BB8" w:rsidP="00497BB8">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Pr>
                <w:rFonts w:cs="Arial"/>
                <w:b/>
                <w:bCs/>
              </w:rPr>
              <w:t>57.4</w:t>
            </w:r>
          </w:p>
        </w:tc>
        <w:tc>
          <w:tcPr>
            <w:tcW w:w="1430" w:type="dxa"/>
            <w:vAlign w:val="center"/>
          </w:tcPr>
          <w:p w14:paraId="6DEFC721" w14:textId="0F7D4B24" w:rsidR="00497BB8" w:rsidRPr="004D08E0" w:rsidRDefault="00497BB8" w:rsidP="00497BB8">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56.0</w:t>
            </w:r>
          </w:p>
        </w:tc>
        <w:tc>
          <w:tcPr>
            <w:tcW w:w="1244" w:type="dxa"/>
            <w:vAlign w:val="center"/>
          </w:tcPr>
          <w:p w14:paraId="22B71CD3" w14:textId="6D4CB9C1" w:rsidR="00497BB8" w:rsidRPr="004D08E0" w:rsidRDefault="00497BB8" w:rsidP="00497BB8">
            <w:pPr>
              <w:spacing w:after="0"/>
              <w:jc w:val="center"/>
              <w:cnfStyle w:val="000000100000" w:firstRow="0" w:lastRow="0" w:firstColumn="0" w:lastColumn="0" w:oddVBand="0" w:evenVBand="0" w:oddHBand="1" w:evenHBand="0" w:firstRowFirstColumn="0" w:firstRowLastColumn="0" w:lastRowFirstColumn="0" w:lastRowLastColumn="0"/>
              <w:rPr>
                <w:rFonts w:cs="Arial"/>
                <w:b/>
                <w:bCs/>
                <w:highlight w:val="yellow"/>
              </w:rPr>
            </w:pPr>
            <w:r w:rsidRPr="00A77655">
              <w:rPr>
                <w:rFonts w:cs="Arial"/>
                <w:b/>
                <w:bCs/>
              </w:rPr>
              <w:t>56.7</w:t>
            </w:r>
          </w:p>
        </w:tc>
      </w:tr>
      <w:tr w:rsidR="0045196E" w:rsidRPr="00653483" w14:paraId="5D46D236" w14:textId="77777777" w:rsidTr="00B35A20">
        <w:trPr>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659FF473" w14:textId="77777777" w:rsidR="0045196E" w:rsidRPr="000B631D" w:rsidRDefault="0045196E" w:rsidP="00D16B99">
            <w:pPr>
              <w:pStyle w:val="ListParagraph"/>
              <w:numPr>
                <w:ilvl w:val="0"/>
                <w:numId w:val="17"/>
              </w:numPr>
              <w:spacing w:before="40" w:after="40" w:line="240" w:lineRule="auto"/>
              <w:rPr>
                <w:rFonts w:cs="Arial"/>
                <w:b w:val="0"/>
                <w:bCs w:val="0"/>
              </w:rPr>
            </w:pPr>
            <w:r>
              <w:rPr>
                <w:rFonts w:cs="Arial"/>
                <w:b w:val="0"/>
                <w:bCs w:val="0"/>
              </w:rPr>
              <w:t>Youth tertiary</w:t>
            </w:r>
            <w:r w:rsidRPr="000B631D">
              <w:rPr>
                <w:rFonts w:cs="Arial"/>
                <w:b w:val="0"/>
                <w:bCs w:val="0"/>
              </w:rPr>
              <w:t xml:space="preserve"> participation rate (%)</w:t>
            </w:r>
          </w:p>
        </w:tc>
        <w:tc>
          <w:tcPr>
            <w:tcW w:w="1230" w:type="dxa"/>
            <w:vAlign w:val="center"/>
          </w:tcPr>
          <w:p w14:paraId="4471C7DA" w14:textId="011DA5C8" w:rsidR="0045196E" w:rsidRPr="004D08E0" w:rsidRDefault="00AE4541">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28.2</w:t>
            </w:r>
          </w:p>
        </w:tc>
        <w:tc>
          <w:tcPr>
            <w:tcW w:w="1430" w:type="dxa"/>
            <w:vAlign w:val="center"/>
          </w:tcPr>
          <w:p w14:paraId="5C0CDB7F" w14:textId="45F7CC8A" w:rsidR="0045196E" w:rsidRPr="004D08E0" w:rsidRDefault="00AE4541">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35.9</w:t>
            </w:r>
          </w:p>
        </w:tc>
        <w:tc>
          <w:tcPr>
            <w:tcW w:w="1244" w:type="dxa"/>
            <w:vAlign w:val="center"/>
          </w:tcPr>
          <w:p w14:paraId="744D8727" w14:textId="5E565710" w:rsidR="0045196E" w:rsidRPr="004D08E0" w:rsidRDefault="005857A5">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22.2</w:t>
            </w:r>
          </w:p>
        </w:tc>
      </w:tr>
      <w:tr w:rsidR="00A13456" w:rsidRPr="00653483" w14:paraId="3C07D955" w14:textId="77777777" w:rsidTr="00B35A2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00FB42F4" w14:textId="77777777" w:rsidR="0045196E" w:rsidRPr="000B631D" w:rsidRDefault="0045196E" w:rsidP="00D16B99">
            <w:pPr>
              <w:pStyle w:val="ListParagraph"/>
              <w:numPr>
                <w:ilvl w:val="0"/>
                <w:numId w:val="17"/>
              </w:numPr>
              <w:spacing w:before="40" w:after="40" w:line="240" w:lineRule="auto"/>
              <w:rPr>
                <w:rFonts w:cs="Arial"/>
                <w:b w:val="0"/>
                <w:bCs w:val="0"/>
              </w:rPr>
            </w:pPr>
            <w:r w:rsidRPr="000B631D">
              <w:rPr>
                <w:rFonts w:cs="Arial"/>
                <w:b w:val="0"/>
                <w:bCs w:val="0"/>
              </w:rPr>
              <w:t>Proportion working in lower skill level than qualification level (%)</w:t>
            </w:r>
          </w:p>
        </w:tc>
        <w:tc>
          <w:tcPr>
            <w:tcW w:w="1230" w:type="dxa"/>
            <w:vAlign w:val="center"/>
          </w:tcPr>
          <w:p w14:paraId="42443C3E"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18.4</w:t>
            </w:r>
          </w:p>
        </w:tc>
        <w:tc>
          <w:tcPr>
            <w:tcW w:w="1430" w:type="dxa"/>
            <w:vAlign w:val="center"/>
          </w:tcPr>
          <w:p w14:paraId="4EC7F9CE"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sidRPr="004D08E0">
              <w:rPr>
                <w:rFonts w:cs="Arial"/>
              </w:rPr>
              <w:t>29.7</w:t>
            </w:r>
          </w:p>
        </w:tc>
        <w:tc>
          <w:tcPr>
            <w:tcW w:w="1244" w:type="dxa"/>
            <w:vAlign w:val="center"/>
          </w:tcPr>
          <w:p w14:paraId="68C72CA0"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25.7</w:t>
            </w:r>
          </w:p>
        </w:tc>
      </w:tr>
      <w:tr w:rsidR="0045196E" w:rsidRPr="00653483" w14:paraId="18218BFB" w14:textId="77777777" w:rsidTr="00B35A20">
        <w:trPr>
          <w:trHeight w:val="454"/>
        </w:trPr>
        <w:tc>
          <w:tcPr>
            <w:cnfStyle w:val="001000000000" w:firstRow="0" w:lastRow="0" w:firstColumn="1" w:lastColumn="0" w:oddVBand="0" w:evenVBand="0" w:oddHBand="0" w:evenHBand="0" w:firstRowFirstColumn="0" w:firstRowLastColumn="0" w:lastRowFirstColumn="0" w:lastRowLastColumn="0"/>
            <w:tcW w:w="5463" w:type="dxa"/>
            <w:tcBorders>
              <w:bottom w:val="single" w:sz="4" w:space="0" w:color="auto"/>
            </w:tcBorders>
            <w:vAlign w:val="center"/>
          </w:tcPr>
          <w:p w14:paraId="1429583D" w14:textId="32C26CD3" w:rsidR="0045196E" w:rsidRPr="000B631D" w:rsidRDefault="003F2975" w:rsidP="00D16B99">
            <w:pPr>
              <w:pStyle w:val="ListParagraph"/>
              <w:numPr>
                <w:ilvl w:val="0"/>
                <w:numId w:val="17"/>
              </w:numPr>
              <w:spacing w:before="40" w:after="40" w:line="240" w:lineRule="auto"/>
              <w:rPr>
                <w:rFonts w:cs="Arial"/>
                <w:b w:val="0"/>
                <w:bCs w:val="0"/>
              </w:rPr>
            </w:pPr>
            <w:r w:rsidRPr="003F2975">
              <w:rPr>
                <w:rFonts w:cs="Arial"/>
                <w:b w:val="0"/>
                <w:bCs w:val="0"/>
              </w:rPr>
              <w:t>Proportion working in same field as most relevant qualification (%)</w:t>
            </w:r>
          </w:p>
        </w:tc>
        <w:tc>
          <w:tcPr>
            <w:tcW w:w="1230" w:type="dxa"/>
            <w:tcBorders>
              <w:bottom w:val="single" w:sz="4" w:space="0" w:color="auto"/>
            </w:tcBorders>
            <w:vAlign w:val="center"/>
          </w:tcPr>
          <w:p w14:paraId="112AE525" w14:textId="77777777"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rFonts w:cs="Arial"/>
                <w:b/>
                <w:bCs/>
              </w:rPr>
              <w:t>69.7</w:t>
            </w:r>
          </w:p>
        </w:tc>
        <w:tc>
          <w:tcPr>
            <w:tcW w:w="1430" w:type="dxa"/>
            <w:tcBorders>
              <w:bottom w:val="single" w:sz="4" w:space="0" w:color="auto"/>
            </w:tcBorders>
            <w:vAlign w:val="center"/>
          </w:tcPr>
          <w:p w14:paraId="35A56CC5" w14:textId="77777777"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sidRPr="004D08E0">
              <w:rPr>
                <w:rFonts w:cs="Arial"/>
              </w:rPr>
              <w:t>73.0</w:t>
            </w:r>
          </w:p>
        </w:tc>
        <w:tc>
          <w:tcPr>
            <w:tcW w:w="1244" w:type="dxa"/>
            <w:tcBorders>
              <w:bottom w:val="single" w:sz="4" w:space="0" w:color="auto"/>
            </w:tcBorders>
            <w:vAlign w:val="center"/>
          </w:tcPr>
          <w:p w14:paraId="264AA17A" w14:textId="77777777"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rFonts w:cs="Arial"/>
                <w:b/>
                <w:bCs/>
              </w:rPr>
              <w:t>72.7</w:t>
            </w:r>
          </w:p>
        </w:tc>
      </w:tr>
      <w:tr w:rsidR="0045196E" w:rsidRPr="000A4F04" w14:paraId="15F981EA" w14:textId="7777777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463" w:type="dxa"/>
            <w:tcBorders>
              <w:top w:val="single" w:sz="4" w:space="0" w:color="auto"/>
            </w:tcBorders>
            <w:shd w:val="clear" w:color="auto" w:fill="370663"/>
          </w:tcPr>
          <w:p w14:paraId="5A03DAAC" w14:textId="77777777" w:rsidR="0045196E" w:rsidRPr="000A4F04" w:rsidRDefault="0045196E">
            <w:pPr>
              <w:rPr>
                <w:rFonts w:cs="Arial"/>
                <w:color w:val="000000" w:themeColor="text1"/>
                <w:sz w:val="12"/>
                <w:szCs w:val="12"/>
              </w:rPr>
            </w:pPr>
          </w:p>
        </w:tc>
        <w:tc>
          <w:tcPr>
            <w:tcW w:w="1230" w:type="dxa"/>
            <w:tcBorders>
              <w:top w:val="single" w:sz="4" w:space="0" w:color="auto"/>
            </w:tcBorders>
            <w:shd w:val="clear" w:color="auto" w:fill="370663"/>
            <w:vAlign w:val="center"/>
          </w:tcPr>
          <w:p w14:paraId="60E8E50E"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p>
        </w:tc>
        <w:tc>
          <w:tcPr>
            <w:tcW w:w="1430" w:type="dxa"/>
            <w:tcBorders>
              <w:top w:val="single" w:sz="4" w:space="0" w:color="auto"/>
            </w:tcBorders>
            <w:shd w:val="clear" w:color="auto" w:fill="370663"/>
            <w:vAlign w:val="center"/>
          </w:tcPr>
          <w:p w14:paraId="61A82B7E"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c>
          <w:tcPr>
            <w:tcW w:w="1244" w:type="dxa"/>
            <w:tcBorders>
              <w:top w:val="single" w:sz="4" w:space="0" w:color="auto"/>
            </w:tcBorders>
            <w:shd w:val="clear" w:color="auto" w:fill="370663"/>
            <w:vAlign w:val="center"/>
          </w:tcPr>
          <w:p w14:paraId="0B995FB6"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r>
      <w:tr w:rsidR="0045196E" w:rsidRPr="000A4F04" w14:paraId="48807C15" w14:textId="77777777" w:rsidTr="00B35A20">
        <w:trPr>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1FF9BBB6" w14:textId="3E9A087A" w:rsidR="0045196E" w:rsidRPr="000A4F04" w:rsidRDefault="0045196E">
            <w:pPr>
              <w:rPr>
                <w:rFonts w:cs="Arial"/>
                <w:sz w:val="28"/>
                <w:szCs w:val="28"/>
              </w:rPr>
            </w:pPr>
            <w:r w:rsidRPr="000A4F04">
              <w:rPr>
                <w:rFonts w:cs="Arial"/>
                <w:color w:val="000000" w:themeColor="text1"/>
                <w:sz w:val="28"/>
                <w:szCs w:val="28"/>
              </w:rPr>
              <w:t>Vision Principle 3</w:t>
            </w:r>
          </w:p>
        </w:tc>
        <w:tc>
          <w:tcPr>
            <w:tcW w:w="1230" w:type="dxa"/>
            <w:vAlign w:val="center"/>
          </w:tcPr>
          <w:p w14:paraId="4AA2F674" w14:textId="032FE806"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p>
        </w:tc>
        <w:tc>
          <w:tcPr>
            <w:tcW w:w="1430" w:type="dxa"/>
            <w:vAlign w:val="center"/>
          </w:tcPr>
          <w:p w14:paraId="68D5A8F7" w14:textId="35727644"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c>
          <w:tcPr>
            <w:tcW w:w="1244" w:type="dxa"/>
            <w:vAlign w:val="center"/>
          </w:tcPr>
          <w:p w14:paraId="67BFE9FD" w14:textId="50CBCC89"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r>
      <w:tr w:rsidR="00A13456" w:rsidRPr="00653483" w14:paraId="32B95C9E" w14:textId="77777777" w:rsidTr="00B35A2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0424FE0F" w14:textId="77777777" w:rsidR="0045196E" w:rsidRPr="000B631D" w:rsidRDefault="0045196E" w:rsidP="00D16B99">
            <w:pPr>
              <w:pStyle w:val="ListParagraph"/>
              <w:numPr>
                <w:ilvl w:val="0"/>
                <w:numId w:val="17"/>
              </w:numPr>
              <w:spacing w:before="40" w:after="40" w:line="240" w:lineRule="auto"/>
              <w:rPr>
                <w:rFonts w:cs="Arial"/>
                <w:b w:val="0"/>
                <w:bCs w:val="0"/>
              </w:rPr>
            </w:pPr>
            <w:r w:rsidRPr="000B631D">
              <w:rPr>
                <w:rFonts w:cs="Arial"/>
                <w:b w:val="0"/>
                <w:bCs w:val="0"/>
              </w:rPr>
              <w:t>Job satisfaction (%)</w:t>
            </w:r>
          </w:p>
        </w:tc>
        <w:tc>
          <w:tcPr>
            <w:tcW w:w="1230" w:type="dxa"/>
            <w:vAlign w:val="center"/>
          </w:tcPr>
          <w:p w14:paraId="1A33436B"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n/a</w:t>
            </w:r>
          </w:p>
        </w:tc>
        <w:tc>
          <w:tcPr>
            <w:tcW w:w="1430" w:type="dxa"/>
            <w:vAlign w:val="center"/>
          </w:tcPr>
          <w:p w14:paraId="3BAE1BAA"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sidRPr="004D08E0">
              <w:rPr>
                <w:rFonts w:cs="Arial"/>
              </w:rPr>
              <w:t>n/a</w:t>
            </w:r>
          </w:p>
        </w:tc>
        <w:tc>
          <w:tcPr>
            <w:tcW w:w="1244" w:type="dxa"/>
            <w:vAlign w:val="center"/>
          </w:tcPr>
          <w:p w14:paraId="216820A7" w14:textId="2CAF93E2" w:rsidR="0045196E" w:rsidRPr="004D08E0" w:rsidRDefault="00F579FB">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Pr>
                <w:rFonts w:cs="Arial"/>
                <w:b/>
                <w:bCs/>
              </w:rPr>
              <w:t>38.8</w:t>
            </w:r>
          </w:p>
        </w:tc>
      </w:tr>
      <w:tr w:rsidR="0045196E" w:rsidRPr="00653483" w14:paraId="707C352B" w14:textId="77777777" w:rsidTr="00B35A20">
        <w:trPr>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0C22EAD9" w14:textId="77777777" w:rsidR="0045196E" w:rsidRPr="000B631D" w:rsidRDefault="0045196E" w:rsidP="00D16B99">
            <w:pPr>
              <w:pStyle w:val="ListParagraph"/>
              <w:numPr>
                <w:ilvl w:val="0"/>
                <w:numId w:val="17"/>
              </w:numPr>
              <w:spacing w:before="40" w:after="40" w:line="240" w:lineRule="auto"/>
              <w:rPr>
                <w:rFonts w:cs="Arial"/>
                <w:b w:val="0"/>
                <w:bCs w:val="0"/>
              </w:rPr>
            </w:pPr>
            <w:r w:rsidRPr="000B631D">
              <w:rPr>
                <w:rFonts w:cs="Arial"/>
                <w:b w:val="0"/>
                <w:bCs w:val="0"/>
              </w:rPr>
              <w:t>Underemployment rate (%)</w:t>
            </w:r>
          </w:p>
        </w:tc>
        <w:tc>
          <w:tcPr>
            <w:tcW w:w="1230" w:type="dxa"/>
            <w:vAlign w:val="center"/>
          </w:tcPr>
          <w:p w14:paraId="32984B51" w14:textId="77777777"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b/>
                <w:bCs/>
              </w:rPr>
            </w:pPr>
            <w:r w:rsidRPr="004D08E0">
              <w:rPr>
                <w:b/>
                <w:bCs/>
              </w:rPr>
              <w:t>4.8</w:t>
            </w:r>
          </w:p>
        </w:tc>
        <w:tc>
          <w:tcPr>
            <w:tcW w:w="1430" w:type="dxa"/>
            <w:vAlign w:val="center"/>
          </w:tcPr>
          <w:p w14:paraId="178E3D04" w14:textId="03FE1D84"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pPr>
            <w:r w:rsidRPr="004D08E0">
              <w:t>5.</w:t>
            </w:r>
            <w:r w:rsidR="001162F2">
              <w:t>7</w:t>
            </w:r>
          </w:p>
        </w:tc>
        <w:tc>
          <w:tcPr>
            <w:tcW w:w="1244" w:type="dxa"/>
            <w:vAlign w:val="center"/>
          </w:tcPr>
          <w:p w14:paraId="46C78D15" w14:textId="52894EEC"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rFonts w:cs="Arial"/>
                <w:b/>
                <w:bCs/>
              </w:rPr>
              <w:t>6.</w:t>
            </w:r>
            <w:r w:rsidR="001162F2">
              <w:rPr>
                <w:rFonts w:cs="Arial"/>
                <w:b/>
                <w:bCs/>
              </w:rPr>
              <w:t>1</w:t>
            </w:r>
          </w:p>
        </w:tc>
      </w:tr>
      <w:tr w:rsidR="00A13456" w:rsidRPr="00653483" w14:paraId="28697C9F" w14:textId="77777777" w:rsidTr="00E5361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6810AAF4" w14:textId="580857A1" w:rsidR="0045196E" w:rsidRPr="000B631D" w:rsidRDefault="0045196E" w:rsidP="00D16B99">
            <w:pPr>
              <w:pStyle w:val="ListParagraph"/>
              <w:numPr>
                <w:ilvl w:val="0"/>
                <w:numId w:val="17"/>
              </w:numPr>
              <w:spacing w:before="40" w:after="40" w:line="240" w:lineRule="auto"/>
              <w:rPr>
                <w:rFonts w:cs="Arial"/>
                <w:b w:val="0"/>
                <w:bCs w:val="0"/>
              </w:rPr>
            </w:pPr>
            <w:r w:rsidRPr="000B631D">
              <w:rPr>
                <w:rFonts w:cs="Arial"/>
                <w:b w:val="0"/>
                <w:bCs w:val="0"/>
              </w:rPr>
              <w:t xml:space="preserve">Income </w:t>
            </w:r>
            <w:r w:rsidR="00D610E4">
              <w:rPr>
                <w:rFonts w:cs="Arial"/>
                <w:b w:val="0"/>
                <w:bCs w:val="0"/>
              </w:rPr>
              <w:t xml:space="preserve">inequality </w:t>
            </w:r>
            <w:r>
              <w:rPr>
                <w:rFonts w:cs="Arial"/>
                <w:b w:val="0"/>
                <w:bCs w:val="0"/>
              </w:rPr>
              <w:t>ratio</w:t>
            </w:r>
          </w:p>
        </w:tc>
        <w:tc>
          <w:tcPr>
            <w:tcW w:w="1230" w:type="dxa"/>
            <w:vAlign w:val="center"/>
          </w:tcPr>
          <w:p w14:paraId="627B480D"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4.2</w:t>
            </w:r>
          </w:p>
        </w:tc>
        <w:tc>
          <w:tcPr>
            <w:tcW w:w="1430" w:type="dxa"/>
            <w:vAlign w:val="center"/>
          </w:tcPr>
          <w:p w14:paraId="2E880CC4"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sidRPr="004D08E0">
              <w:rPr>
                <w:rFonts w:cs="Arial"/>
              </w:rPr>
              <w:t>3.6</w:t>
            </w:r>
          </w:p>
        </w:tc>
        <w:tc>
          <w:tcPr>
            <w:tcW w:w="1244" w:type="dxa"/>
            <w:vAlign w:val="center"/>
          </w:tcPr>
          <w:p w14:paraId="345E8037"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3.5</w:t>
            </w:r>
          </w:p>
        </w:tc>
      </w:tr>
      <w:tr w:rsidR="00E53617" w:rsidRPr="00653483" w14:paraId="7647285F" w14:textId="77777777" w:rsidTr="00B35A20">
        <w:trPr>
          <w:trHeight w:val="454"/>
        </w:trPr>
        <w:tc>
          <w:tcPr>
            <w:cnfStyle w:val="001000000000" w:firstRow="0" w:lastRow="0" w:firstColumn="1" w:lastColumn="0" w:oddVBand="0" w:evenVBand="0" w:oddHBand="0" w:evenHBand="0" w:firstRowFirstColumn="0" w:firstRowLastColumn="0" w:lastRowFirstColumn="0" w:lastRowLastColumn="0"/>
            <w:tcW w:w="5463" w:type="dxa"/>
            <w:tcBorders>
              <w:bottom w:val="single" w:sz="4" w:space="0" w:color="auto"/>
            </w:tcBorders>
            <w:vAlign w:val="center"/>
          </w:tcPr>
          <w:p w14:paraId="2F04329E" w14:textId="46C302EB" w:rsidR="00E53617" w:rsidRPr="000B631D" w:rsidRDefault="00280256" w:rsidP="00D16B99">
            <w:pPr>
              <w:pStyle w:val="ListParagraph"/>
              <w:numPr>
                <w:ilvl w:val="0"/>
                <w:numId w:val="17"/>
              </w:numPr>
              <w:spacing w:before="40" w:after="40" w:line="240" w:lineRule="auto"/>
              <w:rPr>
                <w:rFonts w:cs="Arial"/>
              </w:rPr>
            </w:pPr>
            <w:r>
              <w:rPr>
                <w:rFonts w:cs="Arial"/>
                <w:b w:val="0"/>
                <w:bCs w:val="0"/>
              </w:rPr>
              <w:t>Workers’ compensation</w:t>
            </w:r>
            <w:r w:rsidR="00E53617" w:rsidRPr="00660157">
              <w:rPr>
                <w:rFonts w:cs="Arial"/>
                <w:b w:val="0"/>
                <w:bCs w:val="0"/>
              </w:rPr>
              <w:t xml:space="preserve"> incidence rate</w:t>
            </w:r>
          </w:p>
        </w:tc>
        <w:tc>
          <w:tcPr>
            <w:tcW w:w="1230" w:type="dxa"/>
            <w:tcBorders>
              <w:bottom w:val="single" w:sz="4" w:space="0" w:color="auto"/>
            </w:tcBorders>
            <w:vAlign w:val="center"/>
          </w:tcPr>
          <w:p w14:paraId="4F16B0B6" w14:textId="3D386323" w:rsidR="00E53617" w:rsidRPr="004D08E0" w:rsidRDefault="002561F7" w:rsidP="00E53617">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14.</w:t>
            </w:r>
            <w:r w:rsidR="00E53617">
              <w:rPr>
                <w:rFonts w:cs="Arial"/>
                <w:b/>
                <w:bCs/>
              </w:rPr>
              <w:t>7</w:t>
            </w:r>
          </w:p>
        </w:tc>
        <w:tc>
          <w:tcPr>
            <w:tcW w:w="1430" w:type="dxa"/>
            <w:tcBorders>
              <w:bottom w:val="single" w:sz="4" w:space="0" w:color="auto"/>
            </w:tcBorders>
            <w:vAlign w:val="center"/>
          </w:tcPr>
          <w:p w14:paraId="348623BD" w14:textId="7C6524C1" w:rsidR="00E53617" w:rsidRPr="004D08E0" w:rsidRDefault="002561F7" w:rsidP="00E53617">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6.7</w:t>
            </w:r>
          </w:p>
        </w:tc>
        <w:tc>
          <w:tcPr>
            <w:tcW w:w="1244" w:type="dxa"/>
            <w:tcBorders>
              <w:bottom w:val="single" w:sz="4" w:space="0" w:color="auto"/>
            </w:tcBorders>
            <w:vAlign w:val="center"/>
          </w:tcPr>
          <w:p w14:paraId="1915D989" w14:textId="23E89C43" w:rsidR="00E53617" w:rsidRPr="004D08E0" w:rsidRDefault="00E53617" w:rsidP="00E53617">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9.6</w:t>
            </w:r>
          </w:p>
        </w:tc>
      </w:tr>
      <w:tr w:rsidR="0045196E" w:rsidRPr="000A4F04" w14:paraId="08E3AF51" w14:textId="7777777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463" w:type="dxa"/>
            <w:tcBorders>
              <w:top w:val="single" w:sz="4" w:space="0" w:color="auto"/>
            </w:tcBorders>
            <w:shd w:val="clear" w:color="auto" w:fill="370663"/>
          </w:tcPr>
          <w:p w14:paraId="71DEB3E7" w14:textId="77777777" w:rsidR="0045196E" w:rsidRPr="000A4F04" w:rsidRDefault="0045196E">
            <w:pPr>
              <w:rPr>
                <w:rFonts w:cs="Arial"/>
                <w:color w:val="000000" w:themeColor="text1"/>
                <w:sz w:val="12"/>
                <w:szCs w:val="12"/>
              </w:rPr>
            </w:pPr>
          </w:p>
        </w:tc>
        <w:tc>
          <w:tcPr>
            <w:tcW w:w="1230" w:type="dxa"/>
            <w:tcBorders>
              <w:top w:val="single" w:sz="4" w:space="0" w:color="auto"/>
            </w:tcBorders>
            <w:shd w:val="clear" w:color="auto" w:fill="370663"/>
            <w:vAlign w:val="center"/>
          </w:tcPr>
          <w:p w14:paraId="07A8A473"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p>
        </w:tc>
        <w:tc>
          <w:tcPr>
            <w:tcW w:w="1430" w:type="dxa"/>
            <w:tcBorders>
              <w:top w:val="single" w:sz="4" w:space="0" w:color="auto"/>
            </w:tcBorders>
            <w:shd w:val="clear" w:color="auto" w:fill="370663"/>
            <w:vAlign w:val="center"/>
          </w:tcPr>
          <w:p w14:paraId="6BB9893F"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c>
          <w:tcPr>
            <w:tcW w:w="1244" w:type="dxa"/>
            <w:tcBorders>
              <w:top w:val="single" w:sz="4" w:space="0" w:color="auto"/>
            </w:tcBorders>
            <w:shd w:val="clear" w:color="auto" w:fill="370663"/>
            <w:vAlign w:val="center"/>
          </w:tcPr>
          <w:p w14:paraId="47D31BF0"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r>
      <w:tr w:rsidR="00CD1924" w:rsidRPr="000A4F04" w14:paraId="7EDB9065" w14:textId="77777777" w:rsidTr="00B35A20">
        <w:trPr>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21C963D6" w14:textId="3643FCE6" w:rsidR="0045196E" w:rsidRPr="000A4F04" w:rsidRDefault="0045196E">
            <w:pPr>
              <w:rPr>
                <w:rFonts w:cs="Arial"/>
                <w:sz w:val="28"/>
                <w:szCs w:val="28"/>
              </w:rPr>
            </w:pPr>
            <w:r w:rsidRPr="000A4F04">
              <w:rPr>
                <w:rFonts w:cs="Arial"/>
                <w:color w:val="000000" w:themeColor="text1"/>
                <w:sz w:val="28"/>
                <w:szCs w:val="28"/>
              </w:rPr>
              <w:t>Vision Principle 4</w:t>
            </w:r>
          </w:p>
        </w:tc>
        <w:tc>
          <w:tcPr>
            <w:tcW w:w="1230" w:type="dxa"/>
            <w:vAlign w:val="center"/>
          </w:tcPr>
          <w:p w14:paraId="4607BF11" w14:textId="6B4443E5"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p>
        </w:tc>
        <w:tc>
          <w:tcPr>
            <w:tcW w:w="1430" w:type="dxa"/>
            <w:vAlign w:val="center"/>
          </w:tcPr>
          <w:p w14:paraId="3239BD1A" w14:textId="67E8DBC7"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c>
          <w:tcPr>
            <w:tcW w:w="1244" w:type="dxa"/>
            <w:vAlign w:val="center"/>
          </w:tcPr>
          <w:p w14:paraId="6C1864AF" w14:textId="5FE4CF12"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r>
      <w:tr w:rsidR="00A13456" w:rsidRPr="00653483" w14:paraId="65877EE6" w14:textId="77777777" w:rsidTr="00B35A2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483F7897" w14:textId="77777777" w:rsidR="0045196E" w:rsidRPr="000B631D" w:rsidRDefault="0045196E" w:rsidP="00D16B99">
            <w:pPr>
              <w:pStyle w:val="ListParagraph"/>
              <w:numPr>
                <w:ilvl w:val="0"/>
                <w:numId w:val="17"/>
              </w:numPr>
              <w:spacing w:before="40" w:after="40" w:line="240" w:lineRule="auto"/>
              <w:rPr>
                <w:rFonts w:cs="Arial"/>
                <w:b w:val="0"/>
                <w:bCs w:val="0"/>
              </w:rPr>
            </w:pPr>
            <w:r w:rsidRPr="000B631D">
              <w:rPr>
                <w:rFonts w:cs="Arial"/>
                <w:b w:val="0"/>
                <w:bCs w:val="0"/>
              </w:rPr>
              <w:t>Vacancy fill rate (%)</w:t>
            </w:r>
          </w:p>
        </w:tc>
        <w:tc>
          <w:tcPr>
            <w:tcW w:w="1230" w:type="dxa"/>
            <w:vAlign w:val="center"/>
          </w:tcPr>
          <w:p w14:paraId="4602031C" w14:textId="6EBEE42D" w:rsidR="0045196E" w:rsidRPr="004D08E0" w:rsidRDefault="00175DCD">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Pr>
                <w:b/>
                <w:bCs/>
              </w:rPr>
              <w:t>68.8</w:t>
            </w:r>
          </w:p>
        </w:tc>
        <w:tc>
          <w:tcPr>
            <w:tcW w:w="1430" w:type="dxa"/>
            <w:vAlign w:val="center"/>
          </w:tcPr>
          <w:p w14:paraId="563E233C" w14:textId="20A5CF77" w:rsidR="0045196E" w:rsidRPr="004D08E0" w:rsidRDefault="00175DCD">
            <w:pPr>
              <w:spacing w:after="0"/>
              <w:jc w:val="center"/>
              <w:cnfStyle w:val="000000100000" w:firstRow="0" w:lastRow="0" w:firstColumn="0" w:lastColumn="0" w:oddVBand="0" w:evenVBand="0" w:oddHBand="1" w:evenHBand="0" w:firstRowFirstColumn="0" w:firstRowLastColumn="0" w:lastRowFirstColumn="0" w:lastRowLastColumn="0"/>
              <w:rPr>
                <w:rFonts w:cs="Arial"/>
              </w:rPr>
            </w:pPr>
            <w:r>
              <w:t>68.3</w:t>
            </w:r>
          </w:p>
        </w:tc>
        <w:tc>
          <w:tcPr>
            <w:tcW w:w="1244" w:type="dxa"/>
            <w:vAlign w:val="center"/>
          </w:tcPr>
          <w:p w14:paraId="28DA9B60" w14:textId="1291D305" w:rsidR="0045196E" w:rsidRPr="004D08E0" w:rsidRDefault="00227993">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64.7</w:t>
            </w:r>
          </w:p>
        </w:tc>
      </w:tr>
      <w:tr w:rsidR="00CD1924" w:rsidRPr="00653483" w14:paraId="5509E78A" w14:textId="77777777" w:rsidTr="00B35A20">
        <w:trPr>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28D694BC" w14:textId="768A741D" w:rsidR="00B0377E" w:rsidRPr="000B631D" w:rsidRDefault="00464B51" w:rsidP="00D16B99">
            <w:pPr>
              <w:pStyle w:val="ListParagraph"/>
              <w:numPr>
                <w:ilvl w:val="0"/>
                <w:numId w:val="17"/>
              </w:numPr>
              <w:spacing w:before="40" w:after="40" w:line="240" w:lineRule="auto"/>
              <w:rPr>
                <w:rFonts w:cs="Arial"/>
                <w:b w:val="0"/>
                <w:bCs w:val="0"/>
              </w:rPr>
            </w:pPr>
            <w:r>
              <w:rPr>
                <w:rFonts w:cs="Arial"/>
                <w:b w:val="0"/>
                <w:bCs w:val="0"/>
              </w:rPr>
              <w:t>Essential service</w:t>
            </w:r>
            <w:r w:rsidR="005F3A40">
              <w:rPr>
                <w:rFonts w:cs="Arial"/>
                <w:b w:val="0"/>
                <w:bCs w:val="0"/>
              </w:rPr>
              <w:t>s</w:t>
            </w:r>
            <w:r>
              <w:rPr>
                <w:rFonts w:cs="Arial"/>
                <w:b w:val="0"/>
                <w:bCs w:val="0"/>
              </w:rPr>
              <w:t xml:space="preserve"> vacancy rate (%)</w:t>
            </w:r>
          </w:p>
        </w:tc>
        <w:tc>
          <w:tcPr>
            <w:tcW w:w="1230" w:type="dxa"/>
            <w:vAlign w:val="center"/>
          </w:tcPr>
          <w:p w14:paraId="4B14BEBF" w14:textId="17CE37A3" w:rsidR="00B0377E" w:rsidRPr="004D08E0" w:rsidRDefault="00EA3DDA" w:rsidP="00B0377E">
            <w:pPr>
              <w:spacing w:after="0"/>
              <w:jc w:val="center"/>
              <w:cnfStyle w:val="000000000000" w:firstRow="0" w:lastRow="0" w:firstColumn="0" w:lastColumn="0" w:oddVBand="0" w:evenVBand="0" w:oddHBand="0" w:evenHBand="0" w:firstRowFirstColumn="0" w:firstRowLastColumn="0" w:lastRowFirstColumn="0" w:lastRowLastColumn="0"/>
              <w:rPr>
                <w:b/>
                <w:bCs/>
              </w:rPr>
            </w:pPr>
            <w:r>
              <w:rPr>
                <w:rFonts w:cs="Arial"/>
                <w:b/>
                <w:bCs/>
              </w:rPr>
              <w:t>7.1</w:t>
            </w:r>
          </w:p>
        </w:tc>
        <w:tc>
          <w:tcPr>
            <w:tcW w:w="1430" w:type="dxa"/>
            <w:vAlign w:val="center"/>
          </w:tcPr>
          <w:p w14:paraId="75E6860B" w14:textId="72DCA77D" w:rsidR="00B0377E" w:rsidRPr="004D08E0" w:rsidRDefault="00B0377E" w:rsidP="00B0377E">
            <w:pPr>
              <w:spacing w:after="0"/>
              <w:jc w:val="center"/>
              <w:cnfStyle w:val="000000000000" w:firstRow="0" w:lastRow="0" w:firstColumn="0" w:lastColumn="0" w:oddVBand="0" w:evenVBand="0" w:oddHBand="0" w:evenHBand="0" w:firstRowFirstColumn="0" w:firstRowLastColumn="0" w:lastRowFirstColumn="0" w:lastRowLastColumn="0"/>
            </w:pPr>
            <w:r w:rsidRPr="004D08E0">
              <w:rPr>
                <w:rFonts w:cs="Arial"/>
              </w:rPr>
              <w:t>4.</w:t>
            </w:r>
            <w:r w:rsidR="00EA3DDA">
              <w:rPr>
                <w:rFonts w:cs="Arial"/>
              </w:rPr>
              <w:t>7</w:t>
            </w:r>
          </w:p>
        </w:tc>
        <w:tc>
          <w:tcPr>
            <w:tcW w:w="1244" w:type="dxa"/>
            <w:vAlign w:val="center"/>
          </w:tcPr>
          <w:p w14:paraId="27B139FA" w14:textId="5930AEA9" w:rsidR="00B0377E" w:rsidRPr="004D08E0" w:rsidRDefault="00464B51" w:rsidP="00B0377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8.5</w:t>
            </w:r>
          </w:p>
        </w:tc>
      </w:tr>
      <w:tr w:rsidR="00A13456" w:rsidRPr="00653483" w14:paraId="7786006B" w14:textId="77777777" w:rsidTr="00B35A2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1A1C3345" w14:textId="77777777" w:rsidR="00A77655" w:rsidRPr="000B631D" w:rsidRDefault="00A77655" w:rsidP="00D16B99">
            <w:pPr>
              <w:pStyle w:val="ListParagraph"/>
              <w:numPr>
                <w:ilvl w:val="0"/>
                <w:numId w:val="17"/>
              </w:numPr>
              <w:spacing w:before="40" w:after="40" w:line="240" w:lineRule="auto"/>
              <w:rPr>
                <w:rFonts w:cs="Arial"/>
                <w:b w:val="0"/>
                <w:bCs w:val="0"/>
              </w:rPr>
            </w:pPr>
            <w:r w:rsidRPr="000B631D">
              <w:rPr>
                <w:rFonts w:cs="Arial"/>
                <w:b w:val="0"/>
                <w:bCs w:val="0"/>
              </w:rPr>
              <w:t>Incidence of persistent hiring pressures (%)</w:t>
            </w:r>
          </w:p>
        </w:tc>
        <w:tc>
          <w:tcPr>
            <w:tcW w:w="1230" w:type="dxa"/>
            <w:vAlign w:val="center"/>
          </w:tcPr>
          <w:p w14:paraId="46E79F41" w14:textId="1C990D06" w:rsidR="00A77655" w:rsidRPr="004D08E0" w:rsidRDefault="00A77655" w:rsidP="00A77655">
            <w:pPr>
              <w:spacing w:after="0"/>
              <w:jc w:val="center"/>
              <w:cnfStyle w:val="000000100000" w:firstRow="0" w:lastRow="0" w:firstColumn="0" w:lastColumn="0" w:oddVBand="0" w:evenVBand="0" w:oddHBand="1" w:evenHBand="0" w:firstRowFirstColumn="0" w:firstRowLastColumn="0" w:lastRowFirstColumn="0" w:lastRowLastColumn="0"/>
              <w:rPr>
                <w:rFonts w:cs="Arial"/>
                <w:b/>
                <w:bCs/>
                <w:highlight w:val="yellow"/>
              </w:rPr>
            </w:pPr>
            <w:r w:rsidRPr="003705EA">
              <w:rPr>
                <w:rFonts w:cs="Arial"/>
                <w:b/>
                <w:bCs/>
              </w:rPr>
              <w:t>n/a</w:t>
            </w:r>
          </w:p>
        </w:tc>
        <w:tc>
          <w:tcPr>
            <w:tcW w:w="1430" w:type="dxa"/>
            <w:vAlign w:val="center"/>
          </w:tcPr>
          <w:p w14:paraId="3ED55B80" w14:textId="1D006122" w:rsidR="00A77655" w:rsidRPr="004D08E0" w:rsidRDefault="00A77655" w:rsidP="00A77655">
            <w:pPr>
              <w:spacing w:after="0"/>
              <w:jc w:val="center"/>
              <w:cnfStyle w:val="000000100000" w:firstRow="0" w:lastRow="0" w:firstColumn="0" w:lastColumn="0" w:oddVBand="0" w:evenVBand="0" w:oddHBand="1" w:evenHBand="0" w:firstRowFirstColumn="0" w:firstRowLastColumn="0" w:lastRowFirstColumn="0" w:lastRowLastColumn="0"/>
              <w:rPr>
                <w:rFonts w:cs="Arial"/>
                <w:highlight w:val="yellow"/>
              </w:rPr>
            </w:pPr>
            <w:r w:rsidRPr="003705EA">
              <w:rPr>
                <w:rFonts w:cs="Arial"/>
              </w:rPr>
              <w:t>n/a</w:t>
            </w:r>
          </w:p>
        </w:tc>
        <w:tc>
          <w:tcPr>
            <w:tcW w:w="1244" w:type="dxa"/>
            <w:vAlign w:val="center"/>
          </w:tcPr>
          <w:p w14:paraId="1A242401" w14:textId="7C8756F2" w:rsidR="00A77655" w:rsidRPr="004D08E0" w:rsidRDefault="00A77655" w:rsidP="00A77655">
            <w:pPr>
              <w:spacing w:after="0"/>
              <w:jc w:val="center"/>
              <w:cnfStyle w:val="000000100000" w:firstRow="0" w:lastRow="0" w:firstColumn="0" w:lastColumn="0" w:oddVBand="0" w:evenVBand="0" w:oddHBand="1" w:evenHBand="0" w:firstRowFirstColumn="0" w:firstRowLastColumn="0" w:lastRowFirstColumn="0" w:lastRowLastColumn="0"/>
              <w:rPr>
                <w:rFonts w:cs="Arial"/>
                <w:b/>
                <w:bCs/>
                <w:highlight w:val="yellow"/>
              </w:rPr>
            </w:pPr>
            <w:r>
              <w:rPr>
                <w:rFonts w:cs="Arial"/>
                <w:b/>
                <w:bCs/>
              </w:rPr>
              <w:t>36.8</w:t>
            </w:r>
          </w:p>
        </w:tc>
      </w:tr>
      <w:tr w:rsidR="00CD1924" w:rsidRPr="00653483" w14:paraId="3614E424" w14:textId="77777777" w:rsidTr="00B35A20">
        <w:trPr>
          <w:trHeight w:val="454"/>
        </w:trPr>
        <w:tc>
          <w:tcPr>
            <w:cnfStyle w:val="001000000000" w:firstRow="0" w:lastRow="0" w:firstColumn="1" w:lastColumn="0" w:oddVBand="0" w:evenVBand="0" w:oddHBand="0" w:evenHBand="0" w:firstRowFirstColumn="0" w:firstRowLastColumn="0" w:lastRowFirstColumn="0" w:lastRowLastColumn="0"/>
            <w:tcW w:w="5463" w:type="dxa"/>
            <w:vAlign w:val="center"/>
          </w:tcPr>
          <w:p w14:paraId="6ACB02B4" w14:textId="34B2466B" w:rsidR="0045196E" w:rsidRPr="000B631D" w:rsidRDefault="006961FA" w:rsidP="00D16B99">
            <w:pPr>
              <w:pStyle w:val="ListParagraph"/>
              <w:numPr>
                <w:ilvl w:val="0"/>
                <w:numId w:val="17"/>
              </w:numPr>
              <w:spacing w:before="40" w:after="40" w:line="240" w:lineRule="auto"/>
              <w:rPr>
                <w:rFonts w:cs="Arial"/>
              </w:rPr>
            </w:pPr>
            <w:r>
              <w:rPr>
                <w:rFonts w:cs="Arial"/>
                <w:b w:val="0"/>
                <w:bCs w:val="0"/>
              </w:rPr>
              <w:t>Business creation rate</w:t>
            </w:r>
            <w:r w:rsidR="0045196E" w:rsidRPr="000B631D">
              <w:rPr>
                <w:rFonts w:cs="Arial"/>
                <w:b w:val="0"/>
                <w:bCs w:val="0"/>
              </w:rPr>
              <w:t xml:space="preserve"> (%)</w:t>
            </w:r>
          </w:p>
        </w:tc>
        <w:tc>
          <w:tcPr>
            <w:tcW w:w="1230" w:type="dxa"/>
            <w:vAlign w:val="center"/>
          </w:tcPr>
          <w:p w14:paraId="09339AB8" w14:textId="0A563EF3" w:rsidR="0045196E" w:rsidRPr="004D08E0" w:rsidRDefault="002D647A">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1.7</w:t>
            </w:r>
          </w:p>
        </w:tc>
        <w:tc>
          <w:tcPr>
            <w:tcW w:w="1430" w:type="dxa"/>
            <w:vAlign w:val="center"/>
          </w:tcPr>
          <w:p w14:paraId="1BC34AE7" w14:textId="7C62A137" w:rsidR="0045196E" w:rsidRPr="004D08E0" w:rsidRDefault="005E0E31">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2.5</w:t>
            </w:r>
          </w:p>
        </w:tc>
        <w:tc>
          <w:tcPr>
            <w:tcW w:w="1244" w:type="dxa"/>
            <w:vAlign w:val="center"/>
          </w:tcPr>
          <w:p w14:paraId="2E1D5364" w14:textId="4BD6781C" w:rsidR="0045196E" w:rsidRPr="004D08E0" w:rsidRDefault="00D87A91">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2.2</w:t>
            </w:r>
          </w:p>
        </w:tc>
      </w:tr>
      <w:tr w:rsidR="002C1DB9" w:rsidRPr="000A4F04" w14:paraId="41475D58" w14:textId="77777777" w:rsidTr="002C1DB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463" w:type="dxa"/>
            <w:shd w:val="clear" w:color="auto" w:fill="370663"/>
          </w:tcPr>
          <w:p w14:paraId="46AF9AE1" w14:textId="77777777" w:rsidR="002C1DB9" w:rsidRPr="000A4F04" w:rsidRDefault="002C1DB9">
            <w:pPr>
              <w:spacing w:after="0"/>
              <w:rPr>
                <w:rFonts w:cs="Arial"/>
                <w:color w:val="000000" w:themeColor="text1"/>
                <w:sz w:val="12"/>
                <w:szCs w:val="12"/>
              </w:rPr>
            </w:pPr>
          </w:p>
        </w:tc>
        <w:tc>
          <w:tcPr>
            <w:tcW w:w="1230" w:type="dxa"/>
            <w:shd w:val="clear" w:color="auto" w:fill="370663"/>
          </w:tcPr>
          <w:p w14:paraId="59D57D95" w14:textId="77777777" w:rsidR="002C1DB9" w:rsidRPr="004D08E0" w:rsidRDefault="002C1DB9">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p>
        </w:tc>
        <w:tc>
          <w:tcPr>
            <w:tcW w:w="1430" w:type="dxa"/>
            <w:shd w:val="clear" w:color="auto" w:fill="370663"/>
          </w:tcPr>
          <w:p w14:paraId="6E3FA0C8" w14:textId="77777777" w:rsidR="002C1DB9" w:rsidRPr="004D08E0" w:rsidRDefault="002C1DB9">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c>
          <w:tcPr>
            <w:tcW w:w="1244" w:type="dxa"/>
            <w:shd w:val="clear" w:color="auto" w:fill="370663"/>
          </w:tcPr>
          <w:p w14:paraId="1A0808D4" w14:textId="77777777" w:rsidR="002C1DB9" w:rsidRPr="004D08E0" w:rsidRDefault="002C1DB9">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r>
      <w:tr w:rsidR="00CD1924" w:rsidRPr="000A4F04" w14:paraId="6A29D795" w14:textId="77777777" w:rsidTr="002C1DB9">
        <w:trPr>
          <w:trHeight w:val="454"/>
        </w:trPr>
        <w:tc>
          <w:tcPr>
            <w:cnfStyle w:val="001000000000" w:firstRow="0" w:lastRow="0" w:firstColumn="1" w:lastColumn="0" w:oddVBand="0" w:evenVBand="0" w:oddHBand="0" w:evenHBand="0" w:firstRowFirstColumn="0" w:firstRowLastColumn="0" w:lastRowFirstColumn="0" w:lastRowLastColumn="0"/>
            <w:tcW w:w="5463" w:type="dxa"/>
          </w:tcPr>
          <w:p w14:paraId="69D4D8E0" w14:textId="77777777" w:rsidR="002C1DB9" w:rsidRPr="000A4F04" w:rsidRDefault="002C1DB9">
            <w:pPr>
              <w:spacing w:after="0"/>
              <w:rPr>
                <w:rFonts w:cs="Arial"/>
                <w:sz w:val="28"/>
                <w:szCs w:val="28"/>
              </w:rPr>
            </w:pPr>
            <w:r w:rsidRPr="000A4F04">
              <w:rPr>
                <w:rFonts w:cs="Arial"/>
                <w:color w:val="000000" w:themeColor="text1"/>
                <w:sz w:val="28"/>
                <w:szCs w:val="28"/>
              </w:rPr>
              <w:t xml:space="preserve">Vision Principle </w:t>
            </w:r>
            <w:r>
              <w:rPr>
                <w:rFonts w:cs="Arial"/>
                <w:color w:val="000000" w:themeColor="text1"/>
                <w:sz w:val="28"/>
                <w:szCs w:val="28"/>
              </w:rPr>
              <w:t>5</w:t>
            </w:r>
          </w:p>
        </w:tc>
        <w:tc>
          <w:tcPr>
            <w:tcW w:w="1230" w:type="dxa"/>
          </w:tcPr>
          <w:p w14:paraId="2590F666" w14:textId="77777777" w:rsidR="002C1DB9" w:rsidRPr="004D08E0" w:rsidRDefault="002C1DB9">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p>
        </w:tc>
        <w:tc>
          <w:tcPr>
            <w:tcW w:w="1430" w:type="dxa"/>
          </w:tcPr>
          <w:p w14:paraId="4549658B" w14:textId="77777777" w:rsidR="002C1DB9" w:rsidRPr="004D08E0" w:rsidRDefault="002C1DB9">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c>
          <w:tcPr>
            <w:tcW w:w="1244" w:type="dxa"/>
          </w:tcPr>
          <w:p w14:paraId="2BC97212" w14:textId="77777777" w:rsidR="002C1DB9" w:rsidRPr="004D08E0" w:rsidRDefault="002C1DB9">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r>
      <w:tr w:rsidR="00A13456" w:rsidRPr="00653483" w14:paraId="51E4DE42" w14:textId="777777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63" w:type="dxa"/>
          </w:tcPr>
          <w:p w14:paraId="62404E10" w14:textId="77777777" w:rsidR="002C1DB9" w:rsidRPr="000B631D" w:rsidRDefault="002C1DB9" w:rsidP="00D16B99">
            <w:pPr>
              <w:pStyle w:val="ListParagraph"/>
              <w:numPr>
                <w:ilvl w:val="0"/>
                <w:numId w:val="17"/>
              </w:numPr>
              <w:spacing w:after="0" w:line="240" w:lineRule="auto"/>
              <w:rPr>
                <w:rFonts w:cs="Arial"/>
                <w:b w:val="0"/>
                <w:bCs w:val="0"/>
              </w:rPr>
            </w:pPr>
            <w:r>
              <w:rPr>
                <w:rFonts w:cs="Arial"/>
                <w:b w:val="0"/>
                <w:bCs w:val="0"/>
              </w:rPr>
              <w:t>Beveridge Curve analysis</w:t>
            </w:r>
          </w:p>
        </w:tc>
        <w:tc>
          <w:tcPr>
            <w:tcW w:w="1230" w:type="dxa"/>
            <w:vAlign w:val="center"/>
          </w:tcPr>
          <w:p w14:paraId="57FF9AF8" w14:textId="7407D9DB" w:rsidR="002C1DB9" w:rsidRPr="004D08E0" w:rsidRDefault="004E2BE7">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rPr>
              <w:t>n/a</w:t>
            </w:r>
          </w:p>
        </w:tc>
        <w:tc>
          <w:tcPr>
            <w:tcW w:w="1430" w:type="dxa"/>
            <w:vAlign w:val="center"/>
          </w:tcPr>
          <w:p w14:paraId="03E91029" w14:textId="1427D91B" w:rsidR="002C1DB9" w:rsidRPr="004D08E0" w:rsidRDefault="004E2BE7">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sidRPr="004D08E0">
              <w:rPr>
                <w:rFonts w:cs="Arial"/>
              </w:rPr>
              <w:t>n/a</w:t>
            </w:r>
          </w:p>
        </w:tc>
        <w:tc>
          <w:tcPr>
            <w:tcW w:w="1244" w:type="dxa"/>
            <w:vAlign w:val="center"/>
          </w:tcPr>
          <w:p w14:paraId="1F1DB63C" w14:textId="157ADE5D" w:rsidR="002C1DB9" w:rsidRPr="004D08E0" w:rsidRDefault="004E2BE7">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rPr>
              <w:t>n/a</w:t>
            </w:r>
          </w:p>
        </w:tc>
      </w:tr>
      <w:tr w:rsidR="00CD1924" w:rsidRPr="00653483" w14:paraId="6DDF8618" w14:textId="77777777" w:rsidTr="002C1DB9">
        <w:trPr>
          <w:trHeight w:val="454"/>
        </w:trPr>
        <w:tc>
          <w:tcPr>
            <w:cnfStyle w:val="001000000000" w:firstRow="0" w:lastRow="0" w:firstColumn="1" w:lastColumn="0" w:oddVBand="0" w:evenVBand="0" w:oddHBand="0" w:evenHBand="0" w:firstRowFirstColumn="0" w:firstRowLastColumn="0" w:lastRowFirstColumn="0" w:lastRowLastColumn="0"/>
            <w:tcW w:w="5463" w:type="dxa"/>
          </w:tcPr>
          <w:p w14:paraId="542F683C" w14:textId="30020FD4" w:rsidR="002C1DB9" w:rsidRPr="000B631D" w:rsidRDefault="002C1DB9" w:rsidP="00D16B99">
            <w:pPr>
              <w:pStyle w:val="ListParagraph"/>
              <w:numPr>
                <w:ilvl w:val="0"/>
                <w:numId w:val="17"/>
              </w:numPr>
              <w:spacing w:after="0" w:line="240" w:lineRule="auto"/>
              <w:rPr>
                <w:rFonts w:cs="Arial"/>
                <w:b w:val="0"/>
                <w:bCs w:val="0"/>
              </w:rPr>
            </w:pPr>
            <w:r>
              <w:rPr>
                <w:rFonts w:cs="Arial"/>
                <w:b w:val="0"/>
                <w:bCs w:val="0"/>
              </w:rPr>
              <w:t>Efficiency of labour market matching</w:t>
            </w:r>
            <w:r w:rsidR="00B45E0B">
              <w:rPr>
                <w:rFonts w:cs="Arial"/>
                <w:b w:val="0"/>
                <w:bCs w:val="0"/>
              </w:rPr>
              <w:t xml:space="preserve"> (%)</w:t>
            </w:r>
          </w:p>
        </w:tc>
        <w:tc>
          <w:tcPr>
            <w:tcW w:w="1230" w:type="dxa"/>
          </w:tcPr>
          <w:p w14:paraId="39BEB2F8" w14:textId="694BDF50" w:rsidR="002C1DB9" w:rsidRPr="001D7DF4" w:rsidRDefault="005C4DA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asciiTheme="minorHAnsi" w:hAnsiTheme="minorHAnsi" w:cstheme="minorHAnsi"/>
                <w:b/>
                <w:bCs/>
              </w:rPr>
              <w:t>63.5</w:t>
            </w:r>
          </w:p>
        </w:tc>
        <w:tc>
          <w:tcPr>
            <w:tcW w:w="1430" w:type="dxa"/>
          </w:tcPr>
          <w:p w14:paraId="63E4A085" w14:textId="54D104ED" w:rsidR="002C1DB9" w:rsidRPr="001D7DF4" w:rsidRDefault="00526425">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Pr>
                <w:rFonts w:asciiTheme="minorHAnsi" w:hAnsiTheme="minorHAnsi" w:cstheme="minorHAnsi"/>
              </w:rPr>
              <w:t>86.4</w:t>
            </w:r>
          </w:p>
        </w:tc>
        <w:tc>
          <w:tcPr>
            <w:tcW w:w="1244" w:type="dxa"/>
          </w:tcPr>
          <w:p w14:paraId="54EEF2A5" w14:textId="43E8FF21" w:rsidR="002C1DB9" w:rsidRPr="001D7DF4" w:rsidRDefault="0054010F">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80.7</w:t>
            </w:r>
          </w:p>
        </w:tc>
      </w:tr>
    </w:tbl>
    <w:p w14:paraId="2B4021B8" w14:textId="77777777" w:rsidR="0045196E" w:rsidRPr="008731B9" w:rsidRDefault="0045196E" w:rsidP="00A27EC5">
      <w:pPr>
        <w:pStyle w:val="Heading2"/>
      </w:pPr>
      <w:bookmarkStart w:id="221" w:name="_Toc200637162"/>
      <w:bookmarkStart w:id="222" w:name="_Toc201070204"/>
      <w:bookmarkStart w:id="223" w:name="_Toc201919867"/>
      <w:bookmarkStart w:id="224" w:name="_Toc202361895"/>
      <w:r>
        <w:lastRenderedPageBreak/>
        <w:t>Tasmania</w:t>
      </w:r>
      <w:bookmarkEnd w:id="221"/>
      <w:bookmarkEnd w:id="222"/>
      <w:bookmarkEnd w:id="223"/>
      <w:bookmarkEnd w:id="224"/>
    </w:p>
    <w:p w14:paraId="565A4E8F" w14:textId="69DFC185" w:rsidR="0045196E" w:rsidRPr="00315211" w:rsidRDefault="009D232C" w:rsidP="009D232C">
      <w:pPr>
        <w:pStyle w:val="Caption"/>
        <w:spacing w:before="160"/>
        <w:rPr>
          <w:b w:val="0"/>
          <w:bCs w:val="0"/>
        </w:rPr>
      </w:pPr>
      <w:r>
        <w:t xml:space="preserve">Table </w:t>
      </w:r>
      <w:r>
        <w:fldChar w:fldCharType="begin"/>
      </w:r>
      <w:r>
        <w:instrText xml:space="preserve"> SEQ Table \* ARABIC </w:instrText>
      </w:r>
      <w:r>
        <w:fldChar w:fldCharType="separate"/>
      </w:r>
      <w:r w:rsidR="00471863">
        <w:rPr>
          <w:noProof/>
        </w:rPr>
        <w:t>38</w:t>
      </w:r>
      <w:r>
        <w:fldChar w:fldCharType="end"/>
      </w:r>
      <w:r w:rsidR="0045196E" w:rsidRPr="00315211">
        <w:rPr>
          <w:b w:val="0"/>
          <w:bCs w:val="0"/>
        </w:rPr>
        <w:t>:</w:t>
      </w:r>
      <w:r w:rsidR="00194A47">
        <w:rPr>
          <w:b w:val="0"/>
          <w:bCs w:val="0"/>
        </w:rPr>
        <w:t xml:space="preserve"> </w:t>
      </w:r>
      <w:r w:rsidR="00194A47" w:rsidRPr="00820B93">
        <w:t xml:space="preserve">Roadmap indicators for </w:t>
      </w:r>
      <w:r w:rsidR="00194A47">
        <w:t>Tasmania and Regional Australia</w:t>
      </w:r>
    </w:p>
    <w:tbl>
      <w:tblPr>
        <w:tblStyle w:val="PlainTable4"/>
        <w:tblW w:w="9475" w:type="dxa"/>
        <w:tblInd w:w="-108" w:type="dxa"/>
        <w:tblLook w:val="04A0" w:firstRow="1" w:lastRow="0" w:firstColumn="1" w:lastColumn="0" w:noHBand="0" w:noVBand="1"/>
      </w:tblPr>
      <w:tblGrid>
        <w:gridCol w:w="108"/>
        <w:gridCol w:w="5463"/>
        <w:gridCol w:w="699"/>
        <w:gridCol w:w="531"/>
        <w:gridCol w:w="996"/>
        <w:gridCol w:w="434"/>
        <w:gridCol w:w="1091"/>
        <w:gridCol w:w="153"/>
      </w:tblGrid>
      <w:tr w:rsidR="0045196E" w:rsidRPr="00653483" w14:paraId="169973FF" w14:textId="77777777" w:rsidTr="00571D0A">
        <w:trPr>
          <w:gridBefore w:val="1"/>
          <w:gridAfter w:val="1"/>
          <w:cnfStyle w:val="100000000000" w:firstRow="1" w:lastRow="0" w:firstColumn="0" w:lastColumn="0" w:oddVBand="0" w:evenVBand="0" w:oddHBand="0" w:evenHBand="0" w:firstRowFirstColumn="0" w:firstRowLastColumn="0" w:lastRowFirstColumn="0" w:lastRowLastColumn="0"/>
          <w:wBefore w:w="108" w:type="dxa"/>
          <w:wAfter w:w="153" w:type="dxa"/>
          <w:trHeight w:val="737"/>
        </w:trPr>
        <w:tc>
          <w:tcPr>
            <w:cnfStyle w:val="001000000000" w:firstRow="0" w:lastRow="0" w:firstColumn="1" w:lastColumn="0" w:oddVBand="0" w:evenVBand="0" w:oddHBand="0" w:evenHBand="0" w:firstRowFirstColumn="0" w:firstRowLastColumn="0" w:lastRowFirstColumn="0" w:lastRowLastColumn="0"/>
            <w:tcW w:w="6162" w:type="dxa"/>
            <w:gridSpan w:val="2"/>
            <w:shd w:val="clear" w:color="auto" w:fill="370663"/>
            <w:vAlign w:val="center"/>
          </w:tcPr>
          <w:p w14:paraId="61849F0F" w14:textId="77777777" w:rsidR="0045196E" w:rsidRPr="00DF1C3B" w:rsidRDefault="0045196E">
            <w:pPr>
              <w:spacing w:before="120" w:after="120"/>
              <w:rPr>
                <w:rFonts w:cs="Arial"/>
                <w:color w:val="FFFFFF" w:themeColor="background1"/>
                <w:sz w:val="24"/>
                <w:szCs w:val="24"/>
              </w:rPr>
            </w:pPr>
          </w:p>
        </w:tc>
        <w:tc>
          <w:tcPr>
            <w:tcW w:w="1527" w:type="dxa"/>
            <w:gridSpan w:val="2"/>
            <w:shd w:val="clear" w:color="auto" w:fill="370663"/>
            <w:vAlign w:val="center"/>
          </w:tcPr>
          <w:p w14:paraId="37D6FDDB" w14:textId="77777777" w:rsidR="0045196E" w:rsidRPr="00DF1C3B" w:rsidRDefault="0045196E">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Pr>
                <w:rFonts w:cs="Arial"/>
                <w:color w:val="FFFFFF" w:themeColor="background1"/>
                <w:sz w:val="24"/>
                <w:szCs w:val="24"/>
              </w:rPr>
              <w:t>Tasmania</w:t>
            </w:r>
          </w:p>
        </w:tc>
        <w:tc>
          <w:tcPr>
            <w:tcW w:w="1525" w:type="dxa"/>
            <w:gridSpan w:val="2"/>
            <w:shd w:val="clear" w:color="auto" w:fill="370663"/>
          </w:tcPr>
          <w:p w14:paraId="4DD59A9E" w14:textId="77777777" w:rsidR="0045196E" w:rsidRPr="00DF1C3B" w:rsidRDefault="0045196E">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sidRPr="00DF1C3B">
              <w:rPr>
                <w:rFonts w:cs="Arial"/>
                <w:color w:val="FFFFFF" w:themeColor="background1"/>
                <w:sz w:val="24"/>
                <w:szCs w:val="24"/>
              </w:rPr>
              <w:t>Regional Australia</w:t>
            </w:r>
          </w:p>
        </w:tc>
      </w:tr>
      <w:tr w:rsidR="006C29C5" w:rsidRPr="000A4F04" w14:paraId="018CF0AC" w14:textId="77777777" w:rsidTr="00B04210">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53"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shd w:val="clear" w:color="auto" w:fill="FFFFFF" w:themeFill="background1"/>
            <w:vAlign w:val="center"/>
          </w:tcPr>
          <w:p w14:paraId="1803B3E3" w14:textId="6949CF74" w:rsidR="0045196E" w:rsidRPr="000A4F04" w:rsidRDefault="0045196E">
            <w:pPr>
              <w:rPr>
                <w:rFonts w:cs="Arial"/>
                <w:sz w:val="28"/>
                <w:szCs w:val="28"/>
              </w:rPr>
            </w:pPr>
            <w:r w:rsidRPr="000A4F04">
              <w:rPr>
                <w:rFonts w:cs="Arial"/>
                <w:color w:val="000000" w:themeColor="text1"/>
                <w:sz w:val="28"/>
                <w:szCs w:val="28"/>
              </w:rPr>
              <w:t>Vision Principle 1</w:t>
            </w:r>
          </w:p>
        </w:tc>
        <w:tc>
          <w:tcPr>
            <w:tcW w:w="1527" w:type="dxa"/>
            <w:gridSpan w:val="2"/>
            <w:shd w:val="clear" w:color="auto" w:fill="FFFFFF" w:themeFill="background1"/>
            <w:vAlign w:val="center"/>
          </w:tcPr>
          <w:p w14:paraId="6118D26C" w14:textId="0A075FEB" w:rsidR="0045196E" w:rsidRPr="000A4F04"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sz w:val="28"/>
                <w:szCs w:val="28"/>
              </w:rPr>
            </w:pPr>
          </w:p>
        </w:tc>
        <w:tc>
          <w:tcPr>
            <w:tcW w:w="1525" w:type="dxa"/>
            <w:gridSpan w:val="2"/>
            <w:shd w:val="clear" w:color="auto" w:fill="FFFFFF" w:themeFill="background1"/>
            <w:vAlign w:val="center"/>
          </w:tcPr>
          <w:p w14:paraId="104D539A" w14:textId="104389BA" w:rsidR="0045196E" w:rsidRPr="000A4F04"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8"/>
                <w:szCs w:val="28"/>
              </w:rPr>
            </w:pPr>
          </w:p>
        </w:tc>
      </w:tr>
      <w:tr w:rsidR="0045196E" w:rsidRPr="003B1B44" w14:paraId="0462E218" w14:textId="77777777" w:rsidTr="00571D0A">
        <w:trPr>
          <w:gridBefore w:val="1"/>
          <w:gridAfter w:val="1"/>
          <w:wBefore w:w="108" w:type="dxa"/>
          <w:wAfter w:w="153"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shd w:val="clear" w:color="auto" w:fill="F2F2F2" w:themeFill="background1" w:themeFillShade="F2"/>
            <w:vAlign w:val="center"/>
          </w:tcPr>
          <w:p w14:paraId="16F9B307" w14:textId="77777777" w:rsidR="0045196E" w:rsidRPr="003B1B44" w:rsidRDefault="0045196E" w:rsidP="00D16B99">
            <w:pPr>
              <w:pStyle w:val="ListParagraph"/>
              <w:numPr>
                <w:ilvl w:val="0"/>
                <w:numId w:val="18"/>
              </w:numPr>
              <w:spacing w:before="40" w:after="40" w:line="240" w:lineRule="auto"/>
              <w:ind w:left="720"/>
              <w:rPr>
                <w:rFonts w:cs="Arial"/>
                <w:b w:val="0"/>
                <w:bCs w:val="0"/>
              </w:rPr>
            </w:pPr>
            <w:r w:rsidRPr="00BE2F59">
              <w:rPr>
                <w:rFonts w:cs="Arial"/>
                <w:b w:val="0"/>
                <w:bCs w:val="0"/>
              </w:rPr>
              <w:t xml:space="preserve">School </w:t>
            </w:r>
            <w:r>
              <w:rPr>
                <w:rFonts w:cs="Arial"/>
                <w:b w:val="0"/>
                <w:bCs w:val="0"/>
              </w:rPr>
              <w:t>non-</w:t>
            </w:r>
            <w:r w:rsidRPr="00BE2F59">
              <w:rPr>
                <w:rFonts w:cs="Arial"/>
                <w:b w:val="0"/>
                <w:bCs w:val="0"/>
              </w:rPr>
              <w:t>attendance rate (%)</w:t>
            </w:r>
          </w:p>
        </w:tc>
        <w:tc>
          <w:tcPr>
            <w:tcW w:w="1527" w:type="dxa"/>
            <w:gridSpan w:val="2"/>
            <w:shd w:val="clear" w:color="auto" w:fill="F2F2F2" w:themeFill="background1" w:themeFillShade="F2"/>
            <w:vAlign w:val="center"/>
          </w:tcPr>
          <w:p w14:paraId="0455E465" w14:textId="0EFAB445" w:rsidR="0045196E" w:rsidRPr="004D08E0" w:rsidRDefault="0013595C">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b/>
                <w:bCs/>
              </w:rPr>
              <w:t>13.9</w:t>
            </w:r>
          </w:p>
        </w:tc>
        <w:tc>
          <w:tcPr>
            <w:tcW w:w="1525" w:type="dxa"/>
            <w:gridSpan w:val="2"/>
            <w:shd w:val="clear" w:color="auto" w:fill="F2F2F2" w:themeFill="background1" w:themeFillShade="F2"/>
            <w:vAlign w:val="center"/>
          </w:tcPr>
          <w:p w14:paraId="6E27B54B" w14:textId="4EF0894D" w:rsidR="0045196E" w:rsidRPr="004D08E0" w:rsidRDefault="00E70643">
            <w:pPr>
              <w:spacing w:after="0"/>
              <w:jc w:val="center"/>
              <w:cnfStyle w:val="000000000000" w:firstRow="0" w:lastRow="0" w:firstColumn="0" w:lastColumn="0" w:oddVBand="0" w:evenVBand="0" w:oddHBand="0" w:evenHBand="0" w:firstRowFirstColumn="0" w:firstRowLastColumn="0" w:lastRowFirstColumn="0" w:lastRowLastColumn="0"/>
              <w:rPr>
                <w:rFonts w:cs="Arial"/>
                <w:b/>
                <w:bCs/>
                <w:highlight w:val="yellow"/>
              </w:rPr>
            </w:pPr>
            <w:r>
              <w:rPr>
                <w:rFonts w:cs="Arial"/>
                <w:b/>
                <w:bCs/>
              </w:rPr>
              <w:t>14.6</w:t>
            </w:r>
          </w:p>
        </w:tc>
      </w:tr>
      <w:tr w:rsidR="006C29C5" w:rsidRPr="00653483" w14:paraId="518A5AB9" w14:textId="77777777" w:rsidTr="00B04210">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53"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shd w:val="clear" w:color="auto" w:fill="FFFFFF" w:themeFill="background1"/>
            <w:vAlign w:val="center"/>
          </w:tcPr>
          <w:p w14:paraId="60885482" w14:textId="77777777" w:rsidR="0045196E" w:rsidRPr="000B631D" w:rsidRDefault="0045196E" w:rsidP="00D16B99">
            <w:pPr>
              <w:pStyle w:val="ListParagraph"/>
              <w:numPr>
                <w:ilvl w:val="0"/>
                <w:numId w:val="18"/>
              </w:numPr>
              <w:spacing w:before="40" w:after="40" w:line="240" w:lineRule="auto"/>
              <w:ind w:left="720"/>
              <w:rPr>
                <w:rFonts w:cs="Arial"/>
                <w:b w:val="0"/>
                <w:bCs w:val="0"/>
              </w:rPr>
            </w:pPr>
            <w:r w:rsidRPr="000B631D">
              <w:rPr>
                <w:rFonts w:cs="Arial"/>
                <w:b w:val="0"/>
                <w:bCs w:val="0"/>
              </w:rPr>
              <w:t>Youth not in education, employment</w:t>
            </w:r>
            <w:r>
              <w:rPr>
                <w:rFonts w:cs="Arial"/>
                <w:b w:val="0"/>
                <w:bCs w:val="0"/>
              </w:rPr>
              <w:t xml:space="preserve">, </w:t>
            </w:r>
            <w:r w:rsidRPr="000B631D">
              <w:rPr>
                <w:rFonts w:cs="Arial"/>
                <w:b w:val="0"/>
                <w:bCs w:val="0"/>
              </w:rPr>
              <w:t>training (%)</w:t>
            </w:r>
          </w:p>
        </w:tc>
        <w:tc>
          <w:tcPr>
            <w:tcW w:w="1527" w:type="dxa"/>
            <w:gridSpan w:val="2"/>
            <w:shd w:val="clear" w:color="auto" w:fill="FFFFFF" w:themeFill="background1"/>
            <w:vAlign w:val="center"/>
          </w:tcPr>
          <w:p w14:paraId="691EFC5B" w14:textId="251E067F"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b/>
                <w:bCs/>
              </w:rPr>
              <w:t>1</w:t>
            </w:r>
            <w:r w:rsidR="00BB3DE3">
              <w:rPr>
                <w:b/>
                <w:bCs/>
              </w:rPr>
              <w:t>3.4</w:t>
            </w:r>
          </w:p>
        </w:tc>
        <w:tc>
          <w:tcPr>
            <w:tcW w:w="1525" w:type="dxa"/>
            <w:gridSpan w:val="2"/>
            <w:shd w:val="clear" w:color="auto" w:fill="FFFFFF" w:themeFill="background1"/>
            <w:vAlign w:val="center"/>
          </w:tcPr>
          <w:p w14:paraId="64C415EF" w14:textId="4DD62B9E"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15.</w:t>
            </w:r>
            <w:r w:rsidR="00012BD0">
              <w:rPr>
                <w:rFonts w:cs="Arial"/>
                <w:b/>
                <w:bCs/>
              </w:rPr>
              <w:t>3</w:t>
            </w:r>
          </w:p>
        </w:tc>
      </w:tr>
      <w:tr w:rsidR="0045196E" w:rsidRPr="00653483" w14:paraId="453693A8" w14:textId="77777777" w:rsidTr="00571D0A">
        <w:trPr>
          <w:gridBefore w:val="1"/>
          <w:gridAfter w:val="1"/>
          <w:wBefore w:w="108" w:type="dxa"/>
          <w:wAfter w:w="153"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shd w:val="clear" w:color="auto" w:fill="F2F2F2" w:themeFill="background1" w:themeFillShade="F2"/>
            <w:vAlign w:val="center"/>
          </w:tcPr>
          <w:p w14:paraId="43C7506F" w14:textId="77777777" w:rsidR="0045196E" w:rsidRPr="00507BA8" w:rsidRDefault="0045196E" w:rsidP="00D16B99">
            <w:pPr>
              <w:pStyle w:val="ListParagraph"/>
              <w:numPr>
                <w:ilvl w:val="0"/>
                <w:numId w:val="18"/>
              </w:numPr>
              <w:spacing w:before="40" w:after="40" w:line="240" w:lineRule="auto"/>
              <w:ind w:left="720"/>
              <w:rPr>
                <w:rFonts w:cs="Arial"/>
                <w:b w:val="0"/>
                <w:bCs w:val="0"/>
              </w:rPr>
            </w:pPr>
            <w:r w:rsidRPr="00507BA8">
              <w:rPr>
                <w:rFonts w:cs="Arial"/>
                <w:b w:val="0"/>
                <w:bCs w:val="0"/>
              </w:rPr>
              <w:t>Prime age participation rate (%)</w:t>
            </w:r>
          </w:p>
        </w:tc>
        <w:tc>
          <w:tcPr>
            <w:tcW w:w="1527" w:type="dxa"/>
            <w:gridSpan w:val="2"/>
            <w:shd w:val="clear" w:color="auto" w:fill="F2F2F2" w:themeFill="background1" w:themeFillShade="F2"/>
            <w:vAlign w:val="center"/>
          </w:tcPr>
          <w:p w14:paraId="50659B5F" w14:textId="799094B4" w:rsidR="0045196E" w:rsidRPr="004D08E0" w:rsidRDefault="0007797B">
            <w:pPr>
              <w:spacing w:after="0"/>
              <w:jc w:val="center"/>
              <w:cnfStyle w:val="000000000000" w:firstRow="0" w:lastRow="0" w:firstColumn="0" w:lastColumn="0" w:oddVBand="0" w:evenVBand="0" w:oddHBand="0" w:evenHBand="0" w:firstRowFirstColumn="0" w:firstRowLastColumn="0" w:lastRowFirstColumn="0" w:lastRowLastColumn="0"/>
              <w:rPr>
                <w:b/>
                <w:bCs/>
              </w:rPr>
            </w:pPr>
            <w:r>
              <w:rPr>
                <w:b/>
                <w:bCs/>
              </w:rPr>
              <w:t>83.9</w:t>
            </w:r>
          </w:p>
        </w:tc>
        <w:tc>
          <w:tcPr>
            <w:tcW w:w="1525" w:type="dxa"/>
            <w:gridSpan w:val="2"/>
            <w:shd w:val="clear" w:color="auto" w:fill="F2F2F2" w:themeFill="background1" w:themeFillShade="F2"/>
            <w:vAlign w:val="center"/>
          </w:tcPr>
          <w:p w14:paraId="65067EAD" w14:textId="77777777"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rFonts w:cs="Arial"/>
                <w:b/>
                <w:bCs/>
              </w:rPr>
              <w:t>85.4</w:t>
            </w:r>
          </w:p>
        </w:tc>
      </w:tr>
      <w:tr w:rsidR="006C29C5" w:rsidRPr="00653483" w14:paraId="6AE637B3" w14:textId="77777777" w:rsidTr="00B04210">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53"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shd w:val="clear" w:color="auto" w:fill="FFFFFF" w:themeFill="background1"/>
            <w:vAlign w:val="center"/>
          </w:tcPr>
          <w:p w14:paraId="59CB6195" w14:textId="77777777" w:rsidR="0045196E" w:rsidRPr="006974DB" w:rsidRDefault="0045196E" w:rsidP="00D16B99">
            <w:pPr>
              <w:pStyle w:val="ListParagraph"/>
              <w:numPr>
                <w:ilvl w:val="0"/>
                <w:numId w:val="18"/>
              </w:numPr>
              <w:spacing w:before="40" w:after="40" w:line="240" w:lineRule="auto"/>
              <w:ind w:left="720"/>
              <w:rPr>
                <w:rFonts w:cs="Arial"/>
                <w:b w:val="0"/>
                <w:bCs w:val="0"/>
              </w:rPr>
            </w:pPr>
            <w:r w:rsidRPr="006974DB">
              <w:rPr>
                <w:rFonts w:cs="Arial"/>
                <w:b w:val="0"/>
                <w:bCs w:val="0"/>
              </w:rPr>
              <w:t>Unemployment rate (%)</w:t>
            </w:r>
          </w:p>
        </w:tc>
        <w:tc>
          <w:tcPr>
            <w:tcW w:w="1527" w:type="dxa"/>
            <w:gridSpan w:val="2"/>
            <w:shd w:val="clear" w:color="auto" w:fill="FFFFFF" w:themeFill="background1"/>
            <w:vAlign w:val="center"/>
          </w:tcPr>
          <w:p w14:paraId="6A6B6AE4"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b/>
                <w:bCs/>
              </w:rPr>
            </w:pPr>
            <w:r w:rsidRPr="004D08E0">
              <w:rPr>
                <w:b/>
                <w:bCs/>
              </w:rPr>
              <w:t>3.8</w:t>
            </w:r>
          </w:p>
        </w:tc>
        <w:tc>
          <w:tcPr>
            <w:tcW w:w="1525" w:type="dxa"/>
            <w:gridSpan w:val="2"/>
            <w:shd w:val="clear" w:color="auto" w:fill="FFFFFF" w:themeFill="background1"/>
            <w:vAlign w:val="center"/>
          </w:tcPr>
          <w:p w14:paraId="35F09DE5"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4.0</w:t>
            </w:r>
          </w:p>
        </w:tc>
      </w:tr>
      <w:tr w:rsidR="0045196E" w:rsidRPr="00653483" w14:paraId="7D43A432" w14:textId="77777777" w:rsidTr="00571D0A">
        <w:trPr>
          <w:gridBefore w:val="1"/>
          <w:gridAfter w:val="1"/>
          <w:wBefore w:w="108" w:type="dxa"/>
          <w:wAfter w:w="153"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shd w:val="clear" w:color="auto" w:fill="F2F2F2" w:themeFill="background1" w:themeFillShade="F2"/>
            <w:vAlign w:val="center"/>
          </w:tcPr>
          <w:p w14:paraId="1CF3C23E" w14:textId="77777777" w:rsidR="0045196E" w:rsidRPr="000B631D" w:rsidRDefault="0045196E" w:rsidP="00D16B99">
            <w:pPr>
              <w:pStyle w:val="ListParagraph"/>
              <w:numPr>
                <w:ilvl w:val="0"/>
                <w:numId w:val="18"/>
              </w:numPr>
              <w:spacing w:before="40" w:after="40" w:line="240" w:lineRule="auto"/>
              <w:ind w:left="720"/>
              <w:rPr>
                <w:rFonts w:cs="Arial"/>
                <w:b w:val="0"/>
                <w:bCs w:val="0"/>
              </w:rPr>
            </w:pPr>
            <w:r w:rsidRPr="000B631D">
              <w:rPr>
                <w:rFonts w:cs="Arial"/>
                <w:b w:val="0"/>
                <w:bCs w:val="0"/>
              </w:rPr>
              <w:t>Proportion of population on</w:t>
            </w:r>
            <w:r>
              <w:rPr>
                <w:rFonts w:cs="Arial"/>
                <w:b w:val="0"/>
                <w:bCs w:val="0"/>
              </w:rPr>
              <w:t xml:space="preserve"> long-term</w:t>
            </w:r>
            <w:r w:rsidRPr="000B631D">
              <w:rPr>
                <w:rFonts w:cs="Arial"/>
                <w:b w:val="0"/>
                <w:bCs w:val="0"/>
              </w:rPr>
              <w:t xml:space="preserve"> income support (%)</w:t>
            </w:r>
          </w:p>
        </w:tc>
        <w:tc>
          <w:tcPr>
            <w:tcW w:w="1527" w:type="dxa"/>
            <w:gridSpan w:val="2"/>
            <w:shd w:val="clear" w:color="auto" w:fill="F2F2F2" w:themeFill="background1" w:themeFillShade="F2"/>
            <w:vAlign w:val="center"/>
          </w:tcPr>
          <w:p w14:paraId="4E6F93DF" w14:textId="77777777"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b/>
                <w:bCs/>
              </w:rPr>
              <w:t>2.6</w:t>
            </w:r>
          </w:p>
        </w:tc>
        <w:tc>
          <w:tcPr>
            <w:tcW w:w="1525" w:type="dxa"/>
            <w:gridSpan w:val="2"/>
            <w:shd w:val="clear" w:color="auto" w:fill="F2F2F2" w:themeFill="background1" w:themeFillShade="F2"/>
            <w:vAlign w:val="center"/>
          </w:tcPr>
          <w:p w14:paraId="2988B990" w14:textId="09A1F6A1"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rFonts w:cs="Arial"/>
                <w:b/>
                <w:bCs/>
              </w:rPr>
              <w:t>2.</w:t>
            </w:r>
            <w:r w:rsidR="00F905A6">
              <w:rPr>
                <w:rFonts w:cs="Arial"/>
                <w:b/>
                <w:bCs/>
              </w:rPr>
              <w:t>4</w:t>
            </w:r>
          </w:p>
        </w:tc>
      </w:tr>
      <w:tr w:rsidR="0045196E" w:rsidRPr="000A4F04" w14:paraId="185CF9B5" w14:textId="77777777" w:rsidTr="00571D0A">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53" w:type="dxa"/>
          <w:trHeight w:val="113"/>
        </w:trPr>
        <w:tc>
          <w:tcPr>
            <w:cnfStyle w:val="001000000000" w:firstRow="0" w:lastRow="0" w:firstColumn="1" w:lastColumn="0" w:oddVBand="0" w:evenVBand="0" w:oddHBand="0" w:evenHBand="0" w:firstRowFirstColumn="0" w:firstRowLastColumn="0" w:lastRowFirstColumn="0" w:lastRowLastColumn="0"/>
            <w:tcW w:w="6162" w:type="dxa"/>
            <w:gridSpan w:val="2"/>
            <w:tcBorders>
              <w:top w:val="single" w:sz="4" w:space="0" w:color="auto"/>
            </w:tcBorders>
            <w:shd w:val="clear" w:color="auto" w:fill="370663"/>
          </w:tcPr>
          <w:p w14:paraId="26FF1F08" w14:textId="77777777" w:rsidR="0045196E" w:rsidRPr="000A4F04" w:rsidRDefault="0045196E">
            <w:pPr>
              <w:rPr>
                <w:rFonts w:cs="Arial"/>
                <w:color w:val="000000" w:themeColor="text1"/>
                <w:sz w:val="12"/>
                <w:szCs w:val="12"/>
              </w:rPr>
            </w:pPr>
          </w:p>
        </w:tc>
        <w:tc>
          <w:tcPr>
            <w:tcW w:w="1527" w:type="dxa"/>
            <w:gridSpan w:val="2"/>
            <w:tcBorders>
              <w:top w:val="single" w:sz="4" w:space="0" w:color="auto"/>
            </w:tcBorders>
            <w:shd w:val="clear" w:color="auto" w:fill="370663"/>
            <w:vAlign w:val="center"/>
          </w:tcPr>
          <w:p w14:paraId="24563BF7"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p>
        </w:tc>
        <w:tc>
          <w:tcPr>
            <w:tcW w:w="1525" w:type="dxa"/>
            <w:gridSpan w:val="2"/>
            <w:tcBorders>
              <w:top w:val="single" w:sz="4" w:space="0" w:color="auto"/>
            </w:tcBorders>
            <w:shd w:val="clear" w:color="auto" w:fill="370663"/>
            <w:vAlign w:val="center"/>
          </w:tcPr>
          <w:p w14:paraId="1B474634"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r>
      <w:tr w:rsidR="0045196E" w:rsidRPr="000A4F04" w14:paraId="0DE0D946" w14:textId="77777777" w:rsidTr="00571D0A">
        <w:trPr>
          <w:gridBefore w:val="1"/>
          <w:gridAfter w:val="1"/>
          <w:wBefore w:w="108" w:type="dxa"/>
          <w:wAfter w:w="153"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vAlign w:val="center"/>
          </w:tcPr>
          <w:p w14:paraId="41E44CCD" w14:textId="4FA8956B" w:rsidR="0045196E" w:rsidRPr="000A4F04" w:rsidRDefault="0045196E">
            <w:pPr>
              <w:rPr>
                <w:rFonts w:cs="Arial"/>
                <w:sz w:val="28"/>
                <w:szCs w:val="28"/>
              </w:rPr>
            </w:pPr>
            <w:r w:rsidRPr="000A4F04">
              <w:rPr>
                <w:rFonts w:cs="Arial"/>
                <w:color w:val="000000" w:themeColor="text1"/>
                <w:sz w:val="28"/>
                <w:szCs w:val="28"/>
              </w:rPr>
              <w:t>Vision Principle 2</w:t>
            </w:r>
          </w:p>
        </w:tc>
        <w:tc>
          <w:tcPr>
            <w:tcW w:w="1527" w:type="dxa"/>
            <w:gridSpan w:val="2"/>
            <w:vAlign w:val="center"/>
          </w:tcPr>
          <w:p w14:paraId="6E632937" w14:textId="496EF8D1"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p>
        </w:tc>
        <w:tc>
          <w:tcPr>
            <w:tcW w:w="1525" w:type="dxa"/>
            <w:gridSpan w:val="2"/>
            <w:vAlign w:val="center"/>
          </w:tcPr>
          <w:p w14:paraId="6D310D87" w14:textId="57F76873"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r>
      <w:tr w:rsidR="006C29C5" w:rsidRPr="00653483" w14:paraId="37BE827F" w14:textId="77777777" w:rsidTr="00571D0A">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53"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vAlign w:val="center"/>
          </w:tcPr>
          <w:p w14:paraId="05FC1532" w14:textId="574F9A0C" w:rsidR="0045196E" w:rsidRPr="000B631D" w:rsidRDefault="00BF0348" w:rsidP="00D16B99">
            <w:pPr>
              <w:pStyle w:val="ListParagraph"/>
              <w:numPr>
                <w:ilvl w:val="0"/>
                <w:numId w:val="18"/>
              </w:numPr>
              <w:spacing w:before="40" w:after="40" w:line="240" w:lineRule="auto"/>
              <w:ind w:left="720"/>
              <w:rPr>
                <w:rFonts w:cs="Arial"/>
                <w:b w:val="0"/>
                <w:bCs w:val="0"/>
              </w:rPr>
            </w:pPr>
            <w:r>
              <w:rPr>
                <w:rFonts w:cs="Arial"/>
                <w:b w:val="0"/>
                <w:bCs w:val="0"/>
              </w:rPr>
              <w:t>C</w:t>
            </w:r>
            <w:r w:rsidRPr="00842605">
              <w:rPr>
                <w:rFonts w:cs="Arial"/>
                <w:b w:val="0"/>
                <w:bCs w:val="0"/>
              </w:rPr>
              <w:t>ompletion rates</w:t>
            </w:r>
            <w:r>
              <w:rPr>
                <w:rFonts w:cs="Arial"/>
                <w:b w:val="0"/>
                <w:bCs w:val="0"/>
              </w:rPr>
              <w:t xml:space="preserve"> for apprentices and trainees </w:t>
            </w:r>
            <w:r w:rsidRPr="000B631D">
              <w:rPr>
                <w:rFonts w:cs="Arial"/>
                <w:b w:val="0"/>
                <w:bCs w:val="0"/>
              </w:rPr>
              <w:t>(%)</w:t>
            </w:r>
          </w:p>
        </w:tc>
        <w:tc>
          <w:tcPr>
            <w:tcW w:w="1527" w:type="dxa"/>
            <w:gridSpan w:val="2"/>
            <w:vAlign w:val="center"/>
          </w:tcPr>
          <w:p w14:paraId="32C5CC92" w14:textId="7B91125E" w:rsidR="0045196E" w:rsidRPr="004D08E0" w:rsidRDefault="00BF0348">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Pr>
                <w:rFonts w:cs="Arial"/>
                <w:b/>
                <w:bCs/>
              </w:rPr>
              <w:t>61.3</w:t>
            </w:r>
          </w:p>
        </w:tc>
        <w:tc>
          <w:tcPr>
            <w:tcW w:w="1525" w:type="dxa"/>
            <w:gridSpan w:val="2"/>
            <w:vAlign w:val="center"/>
          </w:tcPr>
          <w:p w14:paraId="6945D9B9" w14:textId="31006B21" w:rsidR="0045196E" w:rsidRPr="004D08E0" w:rsidRDefault="00BF0348">
            <w:pPr>
              <w:spacing w:after="0"/>
              <w:jc w:val="center"/>
              <w:cnfStyle w:val="000000100000" w:firstRow="0" w:lastRow="0" w:firstColumn="0" w:lastColumn="0" w:oddVBand="0" w:evenVBand="0" w:oddHBand="1" w:evenHBand="0" w:firstRowFirstColumn="0" w:firstRowLastColumn="0" w:lastRowFirstColumn="0" w:lastRowLastColumn="0"/>
              <w:rPr>
                <w:rFonts w:cs="Arial"/>
                <w:b/>
                <w:bCs/>
                <w:highlight w:val="yellow"/>
              </w:rPr>
            </w:pPr>
            <w:r w:rsidRPr="00BF0348">
              <w:rPr>
                <w:rFonts w:cs="Arial"/>
                <w:b/>
                <w:bCs/>
              </w:rPr>
              <w:t>56.7</w:t>
            </w:r>
          </w:p>
        </w:tc>
      </w:tr>
      <w:tr w:rsidR="0045196E" w:rsidRPr="00653483" w14:paraId="09ED0DC1" w14:textId="77777777" w:rsidTr="00571D0A">
        <w:trPr>
          <w:gridBefore w:val="1"/>
          <w:gridAfter w:val="1"/>
          <w:wBefore w:w="108" w:type="dxa"/>
          <w:wAfter w:w="153"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vAlign w:val="center"/>
          </w:tcPr>
          <w:p w14:paraId="22A11862" w14:textId="77777777" w:rsidR="0045196E" w:rsidRPr="000B631D" w:rsidRDefault="0045196E" w:rsidP="00D16B99">
            <w:pPr>
              <w:pStyle w:val="ListParagraph"/>
              <w:numPr>
                <w:ilvl w:val="0"/>
                <w:numId w:val="18"/>
              </w:numPr>
              <w:spacing w:before="40" w:after="40" w:line="240" w:lineRule="auto"/>
              <w:ind w:left="720"/>
              <w:rPr>
                <w:rFonts w:cs="Arial"/>
                <w:b w:val="0"/>
                <w:bCs w:val="0"/>
              </w:rPr>
            </w:pPr>
            <w:r>
              <w:rPr>
                <w:rFonts w:cs="Arial"/>
                <w:b w:val="0"/>
                <w:bCs w:val="0"/>
              </w:rPr>
              <w:t>Youth tertiary</w:t>
            </w:r>
            <w:r w:rsidRPr="000B631D">
              <w:rPr>
                <w:rFonts w:cs="Arial"/>
                <w:b w:val="0"/>
                <w:bCs w:val="0"/>
              </w:rPr>
              <w:t xml:space="preserve"> participation rate (%)</w:t>
            </w:r>
          </w:p>
        </w:tc>
        <w:tc>
          <w:tcPr>
            <w:tcW w:w="1527" w:type="dxa"/>
            <w:gridSpan w:val="2"/>
            <w:vAlign w:val="center"/>
          </w:tcPr>
          <w:p w14:paraId="19311DB4" w14:textId="3FBCACD1" w:rsidR="0045196E" w:rsidRPr="004D08E0" w:rsidRDefault="003C3A97">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19.0</w:t>
            </w:r>
          </w:p>
        </w:tc>
        <w:tc>
          <w:tcPr>
            <w:tcW w:w="1525" w:type="dxa"/>
            <w:gridSpan w:val="2"/>
            <w:vAlign w:val="center"/>
          </w:tcPr>
          <w:p w14:paraId="0C4D3B6A" w14:textId="206CC2FC" w:rsidR="0045196E" w:rsidRPr="004D08E0" w:rsidRDefault="005857A5">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22.2</w:t>
            </w:r>
          </w:p>
        </w:tc>
      </w:tr>
      <w:tr w:rsidR="006C29C5" w:rsidRPr="00653483" w14:paraId="5CD9329A" w14:textId="77777777" w:rsidTr="00571D0A">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53"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vAlign w:val="center"/>
          </w:tcPr>
          <w:p w14:paraId="66355A16" w14:textId="77777777" w:rsidR="0045196E" w:rsidRPr="000B631D" w:rsidRDefault="0045196E" w:rsidP="00D16B99">
            <w:pPr>
              <w:pStyle w:val="ListParagraph"/>
              <w:numPr>
                <w:ilvl w:val="0"/>
                <w:numId w:val="18"/>
              </w:numPr>
              <w:spacing w:before="40" w:after="40" w:line="240" w:lineRule="auto"/>
              <w:ind w:left="720"/>
              <w:rPr>
                <w:rFonts w:cs="Arial"/>
                <w:b w:val="0"/>
                <w:bCs w:val="0"/>
              </w:rPr>
            </w:pPr>
            <w:r w:rsidRPr="000B631D">
              <w:rPr>
                <w:rFonts w:cs="Arial"/>
                <w:b w:val="0"/>
                <w:bCs w:val="0"/>
              </w:rPr>
              <w:t>Proportion working in lower skill level than qualification level (%)</w:t>
            </w:r>
          </w:p>
        </w:tc>
        <w:tc>
          <w:tcPr>
            <w:tcW w:w="1527" w:type="dxa"/>
            <w:gridSpan w:val="2"/>
            <w:vAlign w:val="center"/>
          </w:tcPr>
          <w:p w14:paraId="27CDE7F1"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26.4</w:t>
            </w:r>
          </w:p>
        </w:tc>
        <w:tc>
          <w:tcPr>
            <w:tcW w:w="1525" w:type="dxa"/>
            <w:gridSpan w:val="2"/>
            <w:vAlign w:val="center"/>
          </w:tcPr>
          <w:p w14:paraId="2147DC3F"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25.7</w:t>
            </w:r>
          </w:p>
        </w:tc>
      </w:tr>
      <w:tr w:rsidR="0045196E" w:rsidRPr="00653483" w14:paraId="0A608D42" w14:textId="77777777" w:rsidTr="00571D0A">
        <w:trPr>
          <w:gridBefore w:val="1"/>
          <w:gridAfter w:val="1"/>
          <w:wBefore w:w="108" w:type="dxa"/>
          <w:wAfter w:w="153"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tcBorders>
              <w:bottom w:val="single" w:sz="4" w:space="0" w:color="auto"/>
            </w:tcBorders>
            <w:vAlign w:val="center"/>
          </w:tcPr>
          <w:p w14:paraId="1377365C" w14:textId="7AD88E03" w:rsidR="0045196E" w:rsidRPr="000B631D" w:rsidRDefault="003F2975" w:rsidP="00D16B99">
            <w:pPr>
              <w:pStyle w:val="ListParagraph"/>
              <w:numPr>
                <w:ilvl w:val="0"/>
                <w:numId w:val="18"/>
              </w:numPr>
              <w:spacing w:before="40" w:after="40" w:line="240" w:lineRule="auto"/>
              <w:ind w:left="720"/>
              <w:rPr>
                <w:rFonts w:cs="Arial"/>
                <w:b w:val="0"/>
                <w:bCs w:val="0"/>
              </w:rPr>
            </w:pPr>
            <w:r w:rsidRPr="003F2975">
              <w:rPr>
                <w:rFonts w:cs="Arial"/>
                <w:b w:val="0"/>
                <w:bCs w:val="0"/>
              </w:rPr>
              <w:t>Proportion working in same field as most relevant qualification (%)</w:t>
            </w:r>
          </w:p>
        </w:tc>
        <w:tc>
          <w:tcPr>
            <w:tcW w:w="1527" w:type="dxa"/>
            <w:gridSpan w:val="2"/>
            <w:tcBorders>
              <w:bottom w:val="single" w:sz="4" w:space="0" w:color="auto"/>
            </w:tcBorders>
            <w:vAlign w:val="center"/>
          </w:tcPr>
          <w:p w14:paraId="5F6D16ED" w14:textId="77777777"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rFonts w:cs="Arial"/>
                <w:b/>
                <w:bCs/>
              </w:rPr>
              <w:t>72.3</w:t>
            </w:r>
          </w:p>
        </w:tc>
        <w:tc>
          <w:tcPr>
            <w:tcW w:w="1525" w:type="dxa"/>
            <w:gridSpan w:val="2"/>
            <w:tcBorders>
              <w:bottom w:val="single" w:sz="4" w:space="0" w:color="auto"/>
            </w:tcBorders>
            <w:vAlign w:val="center"/>
          </w:tcPr>
          <w:p w14:paraId="77156214" w14:textId="77777777"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rFonts w:cs="Arial"/>
                <w:b/>
                <w:bCs/>
              </w:rPr>
              <w:t>72.7</w:t>
            </w:r>
          </w:p>
        </w:tc>
      </w:tr>
      <w:tr w:rsidR="0045196E" w:rsidRPr="000A4F04" w14:paraId="6987C098" w14:textId="77777777" w:rsidTr="00571D0A">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53" w:type="dxa"/>
          <w:trHeight w:val="113"/>
        </w:trPr>
        <w:tc>
          <w:tcPr>
            <w:cnfStyle w:val="001000000000" w:firstRow="0" w:lastRow="0" w:firstColumn="1" w:lastColumn="0" w:oddVBand="0" w:evenVBand="0" w:oddHBand="0" w:evenHBand="0" w:firstRowFirstColumn="0" w:firstRowLastColumn="0" w:lastRowFirstColumn="0" w:lastRowLastColumn="0"/>
            <w:tcW w:w="6162" w:type="dxa"/>
            <w:gridSpan w:val="2"/>
            <w:tcBorders>
              <w:top w:val="single" w:sz="4" w:space="0" w:color="auto"/>
            </w:tcBorders>
            <w:shd w:val="clear" w:color="auto" w:fill="370663"/>
          </w:tcPr>
          <w:p w14:paraId="3517D759" w14:textId="77777777" w:rsidR="0045196E" w:rsidRPr="000A4F04" w:rsidRDefault="0045196E">
            <w:pPr>
              <w:rPr>
                <w:rFonts w:cs="Arial"/>
                <w:color w:val="000000" w:themeColor="text1"/>
                <w:sz w:val="12"/>
                <w:szCs w:val="12"/>
              </w:rPr>
            </w:pPr>
          </w:p>
        </w:tc>
        <w:tc>
          <w:tcPr>
            <w:tcW w:w="1527" w:type="dxa"/>
            <w:gridSpan w:val="2"/>
            <w:tcBorders>
              <w:top w:val="single" w:sz="4" w:space="0" w:color="auto"/>
            </w:tcBorders>
            <w:shd w:val="clear" w:color="auto" w:fill="370663"/>
            <w:vAlign w:val="center"/>
          </w:tcPr>
          <w:p w14:paraId="6EAD37E9"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p>
        </w:tc>
        <w:tc>
          <w:tcPr>
            <w:tcW w:w="1525" w:type="dxa"/>
            <w:gridSpan w:val="2"/>
            <w:tcBorders>
              <w:top w:val="single" w:sz="4" w:space="0" w:color="auto"/>
            </w:tcBorders>
            <w:shd w:val="clear" w:color="auto" w:fill="370663"/>
            <w:vAlign w:val="center"/>
          </w:tcPr>
          <w:p w14:paraId="0646E9E6"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r>
      <w:tr w:rsidR="0045196E" w:rsidRPr="000A4F04" w14:paraId="5C7B0F37" w14:textId="77777777" w:rsidTr="00571D0A">
        <w:trPr>
          <w:gridBefore w:val="1"/>
          <w:gridAfter w:val="1"/>
          <w:wBefore w:w="108" w:type="dxa"/>
          <w:wAfter w:w="153"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vAlign w:val="center"/>
          </w:tcPr>
          <w:p w14:paraId="17F46F39" w14:textId="11790284" w:rsidR="0045196E" w:rsidRPr="000A4F04" w:rsidRDefault="0045196E">
            <w:pPr>
              <w:rPr>
                <w:rFonts w:cs="Arial"/>
                <w:sz w:val="28"/>
                <w:szCs w:val="28"/>
              </w:rPr>
            </w:pPr>
            <w:r w:rsidRPr="000A4F04">
              <w:rPr>
                <w:rFonts w:cs="Arial"/>
                <w:color w:val="000000" w:themeColor="text1"/>
                <w:sz w:val="28"/>
                <w:szCs w:val="28"/>
              </w:rPr>
              <w:t>Vision Principle 3</w:t>
            </w:r>
          </w:p>
        </w:tc>
        <w:tc>
          <w:tcPr>
            <w:tcW w:w="1527" w:type="dxa"/>
            <w:gridSpan w:val="2"/>
            <w:vAlign w:val="center"/>
          </w:tcPr>
          <w:p w14:paraId="175B95AE" w14:textId="24385A3E"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p>
        </w:tc>
        <w:tc>
          <w:tcPr>
            <w:tcW w:w="1525" w:type="dxa"/>
            <w:gridSpan w:val="2"/>
            <w:vAlign w:val="center"/>
          </w:tcPr>
          <w:p w14:paraId="2F8A01FD" w14:textId="414C3920"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r>
      <w:tr w:rsidR="006C29C5" w:rsidRPr="00653483" w14:paraId="14054EFA" w14:textId="77777777" w:rsidTr="00571D0A">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53"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vAlign w:val="center"/>
          </w:tcPr>
          <w:p w14:paraId="780395AE" w14:textId="77777777" w:rsidR="0045196E" w:rsidRPr="000B631D" w:rsidRDefault="0045196E" w:rsidP="00D16B99">
            <w:pPr>
              <w:pStyle w:val="ListParagraph"/>
              <w:numPr>
                <w:ilvl w:val="0"/>
                <w:numId w:val="18"/>
              </w:numPr>
              <w:spacing w:before="40" w:after="40" w:line="240" w:lineRule="auto"/>
              <w:ind w:left="720"/>
              <w:rPr>
                <w:rFonts w:cs="Arial"/>
                <w:b w:val="0"/>
                <w:bCs w:val="0"/>
              </w:rPr>
            </w:pPr>
            <w:r w:rsidRPr="000B631D">
              <w:rPr>
                <w:rFonts w:cs="Arial"/>
                <w:b w:val="0"/>
                <w:bCs w:val="0"/>
              </w:rPr>
              <w:t>Job satisfaction (%)</w:t>
            </w:r>
          </w:p>
        </w:tc>
        <w:tc>
          <w:tcPr>
            <w:tcW w:w="1527" w:type="dxa"/>
            <w:gridSpan w:val="2"/>
            <w:vAlign w:val="center"/>
          </w:tcPr>
          <w:p w14:paraId="3C923936"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n/a</w:t>
            </w:r>
          </w:p>
        </w:tc>
        <w:tc>
          <w:tcPr>
            <w:tcW w:w="1525" w:type="dxa"/>
            <w:gridSpan w:val="2"/>
            <w:vAlign w:val="center"/>
          </w:tcPr>
          <w:p w14:paraId="50A98FFA" w14:textId="71B7422B" w:rsidR="0045196E" w:rsidRPr="004D08E0" w:rsidRDefault="00F579FB">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Pr>
                <w:rFonts w:cs="Arial"/>
                <w:b/>
                <w:bCs/>
              </w:rPr>
              <w:t>38.8</w:t>
            </w:r>
          </w:p>
        </w:tc>
      </w:tr>
      <w:tr w:rsidR="0045196E" w:rsidRPr="00653483" w14:paraId="21589364" w14:textId="77777777" w:rsidTr="00571D0A">
        <w:trPr>
          <w:gridBefore w:val="1"/>
          <w:gridAfter w:val="1"/>
          <w:wBefore w:w="108" w:type="dxa"/>
          <w:wAfter w:w="153"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vAlign w:val="center"/>
          </w:tcPr>
          <w:p w14:paraId="2AB3888A" w14:textId="77777777" w:rsidR="0045196E" w:rsidRPr="000B631D" w:rsidRDefault="0045196E" w:rsidP="00D16B99">
            <w:pPr>
              <w:pStyle w:val="ListParagraph"/>
              <w:numPr>
                <w:ilvl w:val="0"/>
                <w:numId w:val="18"/>
              </w:numPr>
              <w:spacing w:before="40" w:after="40" w:line="240" w:lineRule="auto"/>
              <w:ind w:left="720"/>
              <w:rPr>
                <w:rFonts w:cs="Arial"/>
                <w:b w:val="0"/>
                <w:bCs w:val="0"/>
              </w:rPr>
            </w:pPr>
            <w:r w:rsidRPr="000B631D">
              <w:rPr>
                <w:rFonts w:cs="Arial"/>
                <w:b w:val="0"/>
                <w:bCs w:val="0"/>
              </w:rPr>
              <w:t>Underemployment rate (%)</w:t>
            </w:r>
          </w:p>
        </w:tc>
        <w:tc>
          <w:tcPr>
            <w:tcW w:w="1527" w:type="dxa"/>
            <w:gridSpan w:val="2"/>
            <w:vAlign w:val="center"/>
          </w:tcPr>
          <w:p w14:paraId="4489E70E" w14:textId="0E0A8436"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rFonts w:cs="Arial"/>
                <w:b/>
                <w:bCs/>
              </w:rPr>
              <w:t>7.</w:t>
            </w:r>
            <w:r w:rsidR="001C7929">
              <w:rPr>
                <w:rFonts w:cs="Arial"/>
                <w:b/>
                <w:bCs/>
              </w:rPr>
              <w:t>4</w:t>
            </w:r>
          </w:p>
        </w:tc>
        <w:tc>
          <w:tcPr>
            <w:tcW w:w="1525" w:type="dxa"/>
            <w:gridSpan w:val="2"/>
            <w:vAlign w:val="center"/>
          </w:tcPr>
          <w:p w14:paraId="7971E484" w14:textId="28958795"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4D08E0">
              <w:rPr>
                <w:rFonts w:cs="Arial"/>
                <w:b/>
                <w:bCs/>
              </w:rPr>
              <w:t>6.</w:t>
            </w:r>
            <w:r w:rsidR="001162F2">
              <w:rPr>
                <w:rFonts w:cs="Arial"/>
                <w:b/>
                <w:bCs/>
              </w:rPr>
              <w:t>1</w:t>
            </w:r>
          </w:p>
        </w:tc>
      </w:tr>
      <w:tr w:rsidR="006C29C5" w:rsidRPr="00653483" w14:paraId="58961596" w14:textId="77777777" w:rsidTr="002561F7">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53"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vAlign w:val="center"/>
          </w:tcPr>
          <w:p w14:paraId="5E1B2B7C" w14:textId="24E723A1" w:rsidR="0045196E" w:rsidRPr="000B631D" w:rsidRDefault="0045196E" w:rsidP="00D16B99">
            <w:pPr>
              <w:pStyle w:val="ListParagraph"/>
              <w:numPr>
                <w:ilvl w:val="0"/>
                <w:numId w:val="18"/>
              </w:numPr>
              <w:spacing w:before="40" w:after="40" w:line="240" w:lineRule="auto"/>
              <w:ind w:left="720"/>
              <w:rPr>
                <w:rFonts w:cs="Arial"/>
                <w:b w:val="0"/>
                <w:bCs w:val="0"/>
              </w:rPr>
            </w:pPr>
            <w:r w:rsidRPr="000B631D">
              <w:rPr>
                <w:rFonts w:cs="Arial"/>
                <w:b w:val="0"/>
                <w:bCs w:val="0"/>
              </w:rPr>
              <w:t xml:space="preserve">Income </w:t>
            </w:r>
            <w:r w:rsidR="00D610E4">
              <w:rPr>
                <w:rFonts w:cs="Arial"/>
                <w:b w:val="0"/>
                <w:bCs w:val="0"/>
              </w:rPr>
              <w:t xml:space="preserve">inequality </w:t>
            </w:r>
            <w:r>
              <w:rPr>
                <w:rFonts w:cs="Arial"/>
                <w:b w:val="0"/>
                <w:bCs w:val="0"/>
              </w:rPr>
              <w:t>ratio</w:t>
            </w:r>
          </w:p>
        </w:tc>
        <w:tc>
          <w:tcPr>
            <w:tcW w:w="1527" w:type="dxa"/>
            <w:gridSpan w:val="2"/>
            <w:vAlign w:val="center"/>
          </w:tcPr>
          <w:p w14:paraId="53600AD0" w14:textId="63E71465" w:rsidR="0045196E" w:rsidRPr="004D08E0" w:rsidRDefault="00965787">
            <w:pPr>
              <w:spacing w:after="0"/>
              <w:jc w:val="center"/>
              <w:cnfStyle w:val="000000100000" w:firstRow="0" w:lastRow="0" w:firstColumn="0" w:lastColumn="0" w:oddVBand="0" w:evenVBand="0" w:oddHBand="1" w:evenHBand="0" w:firstRowFirstColumn="0" w:firstRowLastColumn="0" w:lastRowFirstColumn="0" w:lastRowLastColumn="0"/>
              <w:rPr>
                <w:rFonts w:cs="Arial"/>
                <w:b/>
                <w:bCs/>
                <w:highlight w:val="yellow"/>
              </w:rPr>
            </w:pPr>
            <w:r w:rsidRPr="00965787">
              <w:rPr>
                <w:rFonts w:cs="Arial"/>
                <w:b/>
                <w:bCs/>
              </w:rPr>
              <w:t>3.1</w:t>
            </w:r>
          </w:p>
        </w:tc>
        <w:tc>
          <w:tcPr>
            <w:tcW w:w="1525" w:type="dxa"/>
            <w:gridSpan w:val="2"/>
            <w:vAlign w:val="center"/>
          </w:tcPr>
          <w:p w14:paraId="268BB471"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highlight w:val="yellow"/>
              </w:rPr>
            </w:pPr>
            <w:r w:rsidRPr="004D08E0">
              <w:rPr>
                <w:rFonts w:cs="Arial"/>
                <w:b/>
                <w:bCs/>
              </w:rPr>
              <w:t>3.5</w:t>
            </w:r>
          </w:p>
        </w:tc>
      </w:tr>
      <w:tr w:rsidR="002561F7" w:rsidRPr="00653483" w14:paraId="585F0E9E" w14:textId="77777777" w:rsidTr="00571D0A">
        <w:trPr>
          <w:trHeight w:val="454"/>
        </w:trPr>
        <w:tc>
          <w:tcPr>
            <w:cnfStyle w:val="001000000000" w:firstRow="0" w:lastRow="0" w:firstColumn="1" w:lastColumn="0" w:oddVBand="0" w:evenVBand="0" w:oddHBand="0" w:evenHBand="0" w:firstRowFirstColumn="0" w:firstRowLastColumn="0" w:lastRowFirstColumn="0" w:lastRowLastColumn="0"/>
            <w:tcW w:w="6162" w:type="dxa"/>
            <w:gridSpan w:val="3"/>
            <w:tcBorders>
              <w:bottom w:val="single" w:sz="4" w:space="0" w:color="auto"/>
            </w:tcBorders>
            <w:vAlign w:val="center"/>
          </w:tcPr>
          <w:p w14:paraId="102C500E" w14:textId="25A19188" w:rsidR="002561F7" w:rsidRPr="002561F7" w:rsidRDefault="00280256" w:rsidP="00D16B99">
            <w:pPr>
              <w:pStyle w:val="ListParagraph"/>
              <w:numPr>
                <w:ilvl w:val="0"/>
                <w:numId w:val="18"/>
              </w:numPr>
              <w:spacing w:before="40" w:after="40" w:line="240" w:lineRule="auto"/>
              <w:ind w:left="720"/>
              <w:rPr>
                <w:rFonts w:cs="Arial"/>
                <w:b w:val="0"/>
                <w:bCs w:val="0"/>
              </w:rPr>
            </w:pPr>
            <w:r>
              <w:rPr>
                <w:rFonts w:cs="Arial"/>
                <w:b w:val="0"/>
                <w:bCs w:val="0"/>
              </w:rPr>
              <w:t>Workers’ compensation</w:t>
            </w:r>
            <w:r w:rsidR="002561F7" w:rsidRPr="002561F7">
              <w:rPr>
                <w:rFonts w:cs="Arial"/>
                <w:b w:val="0"/>
                <w:bCs w:val="0"/>
              </w:rPr>
              <w:t xml:space="preserve"> incidence rate</w:t>
            </w:r>
          </w:p>
        </w:tc>
        <w:tc>
          <w:tcPr>
            <w:tcW w:w="1527" w:type="dxa"/>
            <w:gridSpan w:val="2"/>
            <w:tcBorders>
              <w:bottom w:val="single" w:sz="4" w:space="0" w:color="auto"/>
            </w:tcBorders>
            <w:vAlign w:val="center"/>
          </w:tcPr>
          <w:p w14:paraId="0F07D3E0" w14:textId="3683A069" w:rsidR="002561F7" w:rsidRPr="00965787" w:rsidRDefault="002561F7">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12.5</w:t>
            </w:r>
          </w:p>
        </w:tc>
        <w:tc>
          <w:tcPr>
            <w:tcW w:w="1525" w:type="dxa"/>
            <w:gridSpan w:val="3"/>
            <w:tcBorders>
              <w:bottom w:val="single" w:sz="4" w:space="0" w:color="auto"/>
            </w:tcBorders>
            <w:vAlign w:val="center"/>
          </w:tcPr>
          <w:p w14:paraId="3A57E0FD" w14:textId="3918AF81" w:rsidR="002561F7" w:rsidRPr="004D08E0" w:rsidRDefault="002561F7">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9.6</w:t>
            </w:r>
          </w:p>
        </w:tc>
      </w:tr>
      <w:tr w:rsidR="0045196E" w:rsidRPr="000A4F04" w14:paraId="40190D15" w14:textId="77777777" w:rsidTr="00571D0A">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53" w:type="dxa"/>
          <w:trHeight w:val="113"/>
        </w:trPr>
        <w:tc>
          <w:tcPr>
            <w:cnfStyle w:val="001000000000" w:firstRow="0" w:lastRow="0" w:firstColumn="1" w:lastColumn="0" w:oddVBand="0" w:evenVBand="0" w:oddHBand="0" w:evenHBand="0" w:firstRowFirstColumn="0" w:firstRowLastColumn="0" w:lastRowFirstColumn="0" w:lastRowLastColumn="0"/>
            <w:tcW w:w="6162" w:type="dxa"/>
            <w:gridSpan w:val="2"/>
            <w:tcBorders>
              <w:top w:val="single" w:sz="4" w:space="0" w:color="auto"/>
            </w:tcBorders>
            <w:shd w:val="clear" w:color="auto" w:fill="370663"/>
          </w:tcPr>
          <w:p w14:paraId="10C700B9" w14:textId="455AED05" w:rsidR="0045196E" w:rsidRPr="000A4F04" w:rsidRDefault="002561F7">
            <w:pPr>
              <w:rPr>
                <w:rFonts w:cs="Arial"/>
                <w:color w:val="000000" w:themeColor="text1"/>
                <w:sz w:val="12"/>
                <w:szCs w:val="12"/>
              </w:rPr>
            </w:pPr>
            <w:r>
              <w:rPr>
                <w:rFonts w:cs="Arial"/>
                <w:color w:val="000000" w:themeColor="text1"/>
                <w:sz w:val="12"/>
                <w:szCs w:val="12"/>
              </w:rPr>
              <w:t>\</w:t>
            </w:r>
          </w:p>
        </w:tc>
        <w:tc>
          <w:tcPr>
            <w:tcW w:w="1527" w:type="dxa"/>
            <w:gridSpan w:val="2"/>
            <w:tcBorders>
              <w:top w:val="single" w:sz="4" w:space="0" w:color="auto"/>
            </w:tcBorders>
            <w:shd w:val="clear" w:color="auto" w:fill="370663"/>
            <w:vAlign w:val="center"/>
          </w:tcPr>
          <w:p w14:paraId="3D737BE5"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p>
        </w:tc>
        <w:tc>
          <w:tcPr>
            <w:tcW w:w="1525" w:type="dxa"/>
            <w:gridSpan w:val="2"/>
            <w:tcBorders>
              <w:top w:val="single" w:sz="4" w:space="0" w:color="auto"/>
            </w:tcBorders>
            <w:shd w:val="clear" w:color="auto" w:fill="370663"/>
            <w:vAlign w:val="center"/>
          </w:tcPr>
          <w:p w14:paraId="1264CCFF" w14:textId="77777777" w:rsidR="0045196E" w:rsidRPr="004D08E0"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r>
      <w:tr w:rsidR="00CD1924" w:rsidRPr="000A4F04" w14:paraId="78C634B0" w14:textId="77777777" w:rsidTr="00571D0A">
        <w:trPr>
          <w:gridBefore w:val="1"/>
          <w:gridAfter w:val="1"/>
          <w:wBefore w:w="108" w:type="dxa"/>
          <w:wAfter w:w="153"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vAlign w:val="center"/>
          </w:tcPr>
          <w:p w14:paraId="1C17AC2F" w14:textId="6A6230DB" w:rsidR="0045196E" w:rsidRPr="000A4F04" w:rsidRDefault="0045196E">
            <w:pPr>
              <w:rPr>
                <w:rFonts w:cs="Arial"/>
                <w:sz w:val="28"/>
                <w:szCs w:val="28"/>
              </w:rPr>
            </w:pPr>
            <w:r w:rsidRPr="000A4F04">
              <w:rPr>
                <w:rFonts w:cs="Arial"/>
                <w:color w:val="000000" w:themeColor="text1"/>
                <w:sz w:val="28"/>
                <w:szCs w:val="28"/>
              </w:rPr>
              <w:t>Vision Principle 4</w:t>
            </w:r>
          </w:p>
        </w:tc>
        <w:tc>
          <w:tcPr>
            <w:tcW w:w="1527" w:type="dxa"/>
            <w:gridSpan w:val="2"/>
            <w:vAlign w:val="center"/>
          </w:tcPr>
          <w:p w14:paraId="53353A79" w14:textId="67D331A2"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p>
        </w:tc>
        <w:tc>
          <w:tcPr>
            <w:tcW w:w="1525" w:type="dxa"/>
            <w:gridSpan w:val="2"/>
            <w:vAlign w:val="center"/>
          </w:tcPr>
          <w:p w14:paraId="3C112506" w14:textId="20EAB94B" w:rsidR="0045196E" w:rsidRPr="004D08E0"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r>
      <w:tr w:rsidR="006C29C5" w:rsidRPr="00653483" w14:paraId="460AF9C0" w14:textId="77777777" w:rsidTr="00571D0A">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53"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vAlign w:val="center"/>
          </w:tcPr>
          <w:p w14:paraId="66E03826" w14:textId="77777777" w:rsidR="0045196E" w:rsidRPr="000B631D" w:rsidRDefault="0045196E" w:rsidP="00D16B99">
            <w:pPr>
              <w:pStyle w:val="ListParagraph"/>
              <w:numPr>
                <w:ilvl w:val="0"/>
                <w:numId w:val="18"/>
              </w:numPr>
              <w:spacing w:before="40" w:after="40" w:line="240" w:lineRule="auto"/>
              <w:ind w:left="720"/>
              <w:rPr>
                <w:rFonts w:cs="Arial"/>
                <w:b w:val="0"/>
                <w:bCs w:val="0"/>
              </w:rPr>
            </w:pPr>
            <w:r w:rsidRPr="000B631D">
              <w:rPr>
                <w:rFonts w:cs="Arial"/>
                <w:b w:val="0"/>
                <w:bCs w:val="0"/>
              </w:rPr>
              <w:t>Vacancy fill rate (%)</w:t>
            </w:r>
          </w:p>
        </w:tc>
        <w:tc>
          <w:tcPr>
            <w:tcW w:w="1527" w:type="dxa"/>
            <w:gridSpan w:val="2"/>
            <w:vAlign w:val="center"/>
          </w:tcPr>
          <w:p w14:paraId="42D6FF84" w14:textId="41F616BF" w:rsidR="0045196E" w:rsidRPr="004D08E0" w:rsidRDefault="00E73D91">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Pr>
                <w:rFonts w:cs="Arial"/>
                <w:b/>
                <w:bCs/>
              </w:rPr>
              <w:t>70.1</w:t>
            </w:r>
          </w:p>
        </w:tc>
        <w:tc>
          <w:tcPr>
            <w:tcW w:w="1525" w:type="dxa"/>
            <w:gridSpan w:val="2"/>
            <w:vAlign w:val="center"/>
          </w:tcPr>
          <w:p w14:paraId="4D155281" w14:textId="77BCA7FA" w:rsidR="0045196E" w:rsidRPr="004D08E0" w:rsidRDefault="00227993">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64.7</w:t>
            </w:r>
          </w:p>
        </w:tc>
      </w:tr>
      <w:tr w:rsidR="00CD1924" w:rsidRPr="00653483" w14:paraId="3E74A8C4" w14:textId="77777777" w:rsidTr="00571D0A">
        <w:trPr>
          <w:gridBefore w:val="1"/>
          <w:gridAfter w:val="1"/>
          <w:wBefore w:w="108" w:type="dxa"/>
          <w:wAfter w:w="153"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vAlign w:val="center"/>
          </w:tcPr>
          <w:p w14:paraId="2EBB799E" w14:textId="38956BA8" w:rsidR="00A6026E" w:rsidRPr="000B631D" w:rsidRDefault="00464B51" w:rsidP="00D16B99">
            <w:pPr>
              <w:pStyle w:val="ListParagraph"/>
              <w:numPr>
                <w:ilvl w:val="0"/>
                <w:numId w:val="18"/>
              </w:numPr>
              <w:spacing w:before="40" w:after="40" w:line="240" w:lineRule="auto"/>
              <w:ind w:left="720"/>
              <w:rPr>
                <w:rFonts w:cs="Arial"/>
                <w:b w:val="0"/>
                <w:bCs w:val="0"/>
              </w:rPr>
            </w:pPr>
            <w:r>
              <w:rPr>
                <w:rFonts w:cs="Arial"/>
                <w:b w:val="0"/>
                <w:bCs w:val="0"/>
              </w:rPr>
              <w:t>Essential service</w:t>
            </w:r>
            <w:r w:rsidR="005F3A40">
              <w:rPr>
                <w:rFonts w:cs="Arial"/>
                <w:b w:val="0"/>
                <w:bCs w:val="0"/>
              </w:rPr>
              <w:t>s</w:t>
            </w:r>
            <w:r>
              <w:rPr>
                <w:rFonts w:cs="Arial"/>
                <w:b w:val="0"/>
                <w:bCs w:val="0"/>
              </w:rPr>
              <w:t xml:space="preserve"> vacancy rate (%)</w:t>
            </w:r>
          </w:p>
        </w:tc>
        <w:tc>
          <w:tcPr>
            <w:tcW w:w="1527" w:type="dxa"/>
            <w:gridSpan w:val="2"/>
            <w:vAlign w:val="center"/>
          </w:tcPr>
          <w:p w14:paraId="69357771" w14:textId="51B1E0F2" w:rsidR="00A6026E" w:rsidRPr="004D08E0" w:rsidRDefault="00EA3DDA">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6.6</w:t>
            </w:r>
          </w:p>
        </w:tc>
        <w:tc>
          <w:tcPr>
            <w:tcW w:w="1525" w:type="dxa"/>
            <w:gridSpan w:val="2"/>
            <w:vAlign w:val="center"/>
          </w:tcPr>
          <w:p w14:paraId="43340A1C" w14:textId="5E4D64B1" w:rsidR="00A6026E" w:rsidRPr="004D08E0" w:rsidRDefault="00464B51">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8.5</w:t>
            </w:r>
          </w:p>
        </w:tc>
      </w:tr>
      <w:tr w:rsidR="006C29C5" w:rsidRPr="00653483" w14:paraId="66A58CD1" w14:textId="77777777" w:rsidTr="00571D0A">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53"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vAlign w:val="center"/>
          </w:tcPr>
          <w:p w14:paraId="2E1C2141" w14:textId="77777777" w:rsidR="0045196E" w:rsidRPr="000B631D" w:rsidRDefault="0045196E" w:rsidP="00D16B99">
            <w:pPr>
              <w:pStyle w:val="ListParagraph"/>
              <w:numPr>
                <w:ilvl w:val="0"/>
                <w:numId w:val="18"/>
              </w:numPr>
              <w:spacing w:before="40" w:after="40" w:line="240" w:lineRule="auto"/>
              <w:ind w:left="720"/>
              <w:rPr>
                <w:rFonts w:cs="Arial"/>
                <w:b w:val="0"/>
                <w:bCs w:val="0"/>
              </w:rPr>
            </w:pPr>
            <w:r w:rsidRPr="000B631D">
              <w:rPr>
                <w:rFonts w:cs="Arial"/>
                <w:b w:val="0"/>
                <w:bCs w:val="0"/>
              </w:rPr>
              <w:t>Incidence of persistent hiring pressures (%)</w:t>
            </w:r>
          </w:p>
        </w:tc>
        <w:tc>
          <w:tcPr>
            <w:tcW w:w="1527" w:type="dxa"/>
            <w:gridSpan w:val="2"/>
            <w:vAlign w:val="center"/>
          </w:tcPr>
          <w:p w14:paraId="083480AD" w14:textId="703FE525" w:rsidR="0045196E" w:rsidRPr="004D08E0" w:rsidRDefault="00A77655">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n/a</w:t>
            </w:r>
          </w:p>
        </w:tc>
        <w:tc>
          <w:tcPr>
            <w:tcW w:w="1525" w:type="dxa"/>
            <w:gridSpan w:val="2"/>
            <w:vAlign w:val="center"/>
          </w:tcPr>
          <w:p w14:paraId="613919F4" w14:textId="24FDDF99" w:rsidR="0045196E" w:rsidRPr="004D08E0" w:rsidRDefault="00B576B9">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Pr>
                <w:rFonts w:cs="Arial"/>
                <w:b/>
                <w:bCs/>
              </w:rPr>
              <w:t>36.8</w:t>
            </w:r>
          </w:p>
        </w:tc>
      </w:tr>
      <w:tr w:rsidR="00CD1924" w:rsidRPr="00653483" w14:paraId="54747EAB" w14:textId="77777777" w:rsidTr="00571D0A">
        <w:trPr>
          <w:gridBefore w:val="1"/>
          <w:gridAfter w:val="1"/>
          <w:wBefore w:w="108" w:type="dxa"/>
          <w:wAfter w:w="153"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vAlign w:val="center"/>
          </w:tcPr>
          <w:p w14:paraId="78180C55" w14:textId="70AFEA62" w:rsidR="0045196E" w:rsidRPr="000B631D" w:rsidRDefault="006961FA" w:rsidP="00D16B99">
            <w:pPr>
              <w:pStyle w:val="ListParagraph"/>
              <w:numPr>
                <w:ilvl w:val="0"/>
                <w:numId w:val="18"/>
              </w:numPr>
              <w:spacing w:before="40" w:after="40" w:line="240" w:lineRule="auto"/>
              <w:ind w:left="720"/>
              <w:rPr>
                <w:rFonts w:cs="Arial"/>
              </w:rPr>
            </w:pPr>
            <w:r>
              <w:rPr>
                <w:rFonts w:cs="Arial"/>
                <w:b w:val="0"/>
                <w:bCs w:val="0"/>
              </w:rPr>
              <w:t>Business creation rate</w:t>
            </w:r>
            <w:r w:rsidR="0045196E" w:rsidRPr="000B631D">
              <w:rPr>
                <w:rFonts w:cs="Arial"/>
                <w:b w:val="0"/>
                <w:bCs w:val="0"/>
              </w:rPr>
              <w:t xml:space="preserve"> (%)</w:t>
            </w:r>
          </w:p>
        </w:tc>
        <w:tc>
          <w:tcPr>
            <w:tcW w:w="1527" w:type="dxa"/>
            <w:gridSpan w:val="2"/>
            <w:vAlign w:val="center"/>
          </w:tcPr>
          <w:p w14:paraId="4D9E13FC" w14:textId="49F789FE" w:rsidR="0045196E" w:rsidRPr="004D08E0" w:rsidRDefault="002D647A">
            <w:pPr>
              <w:spacing w:after="0"/>
              <w:jc w:val="center"/>
              <w:cnfStyle w:val="000000000000" w:firstRow="0" w:lastRow="0" w:firstColumn="0" w:lastColumn="0" w:oddVBand="0" w:evenVBand="0" w:oddHBand="0" w:evenHBand="0" w:firstRowFirstColumn="0" w:firstRowLastColumn="0" w:lastRowFirstColumn="0" w:lastRowLastColumn="0"/>
              <w:rPr>
                <w:rFonts w:cs="Arial"/>
                <w:b/>
                <w:bCs/>
                <w:highlight w:val="yellow"/>
              </w:rPr>
            </w:pPr>
            <w:r>
              <w:rPr>
                <w:rFonts w:cs="Arial"/>
                <w:b/>
                <w:bCs/>
              </w:rPr>
              <w:t>1.7</w:t>
            </w:r>
          </w:p>
        </w:tc>
        <w:tc>
          <w:tcPr>
            <w:tcW w:w="1525" w:type="dxa"/>
            <w:gridSpan w:val="2"/>
            <w:vAlign w:val="center"/>
          </w:tcPr>
          <w:p w14:paraId="4471952B" w14:textId="77084019" w:rsidR="0045196E" w:rsidRPr="004D08E0" w:rsidRDefault="00D87A91">
            <w:pPr>
              <w:spacing w:after="0"/>
              <w:jc w:val="center"/>
              <w:cnfStyle w:val="000000000000" w:firstRow="0" w:lastRow="0" w:firstColumn="0" w:lastColumn="0" w:oddVBand="0" w:evenVBand="0" w:oddHBand="0" w:evenHBand="0" w:firstRowFirstColumn="0" w:firstRowLastColumn="0" w:lastRowFirstColumn="0" w:lastRowLastColumn="0"/>
              <w:rPr>
                <w:rFonts w:cs="Arial"/>
                <w:b/>
                <w:bCs/>
                <w:highlight w:val="yellow"/>
              </w:rPr>
            </w:pPr>
            <w:r>
              <w:rPr>
                <w:rFonts w:cs="Arial"/>
                <w:b/>
                <w:bCs/>
              </w:rPr>
              <w:t>2.2</w:t>
            </w:r>
          </w:p>
        </w:tc>
      </w:tr>
      <w:tr w:rsidR="00C3138D" w:rsidRPr="000A4F04" w14:paraId="20BE4E35" w14:textId="77777777" w:rsidTr="00A96808">
        <w:trPr>
          <w:gridBefore w:val="1"/>
          <w:cnfStyle w:val="000000100000" w:firstRow="0" w:lastRow="0" w:firstColumn="0" w:lastColumn="0" w:oddVBand="0" w:evenVBand="0" w:oddHBand="1" w:evenHBand="0" w:firstRowFirstColumn="0" w:firstRowLastColumn="0" w:lastRowFirstColumn="0" w:lastRowLastColumn="0"/>
          <w:wBefore w:w="108" w:type="dxa"/>
          <w:trHeight w:val="227"/>
        </w:trPr>
        <w:tc>
          <w:tcPr>
            <w:cnfStyle w:val="001000000000" w:firstRow="0" w:lastRow="0" w:firstColumn="1" w:lastColumn="0" w:oddVBand="0" w:evenVBand="0" w:oddHBand="0" w:evenHBand="0" w:firstRowFirstColumn="0" w:firstRowLastColumn="0" w:lastRowFirstColumn="0" w:lastRowLastColumn="0"/>
            <w:tcW w:w="5463" w:type="dxa"/>
            <w:shd w:val="clear" w:color="auto" w:fill="370663"/>
          </w:tcPr>
          <w:p w14:paraId="3ED80E0F" w14:textId="77777777" w:rsidR="00C3138D" w:rsidRPr="000A4F04" w:rsidRDefault="00C3138D">
            <w:pPr>
              <w:spacing w:after="0"/>
              <w:rPr>
                <w:rFonts w:cs="Arial"/>
                <w:color w:val="000000" w:themeColor="text1"/>
                <w:sz w:val="12"/>
                <w:szCs w:val="12"/>
              </w:rPr>
            </w:pPr>
          </w:p>
        </w:tc>
        <w:tc>
          <w:tcPr>
            <w:tcW w:w="1230" w:type="dxa"/>
            <w:gridSpan w:val="2"/>
            <w:shd w:val="clear" w:color="auto" w:fill="370663"/>
          </w:tcPr>
          <w:p w14:paraId="01A03330" w14:textId="77777777" w:rsidR="00C3138D" w:rsidRPr="004D08E0" w:rsidRDefault="00C3138D">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p>
        </w:tc>
        <w:tc>
          <w:tcPr>
            <w:tcW w:w="1430" w:type="dxa"/>
            <w:gridSpan w:val="2"/>
            <w:shd w:val="clear" w:color="auto" w:fill="370663"/>
          </w:tcPr>
          <w:p w14:paraId="79D874D4" w14:textId="77777777" w:rsidR="00C3138D" w:rsidRPr="004D08E0" w:rsidRDefault="00C3138D">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c>
          <w:tcPr>
            <w:tcW w:w="1244" w:type="dxa"/>
            <w:gridSpan w:val="2"/>
            <w:shd w:val="clear" w:color="auto" w:fill="370663"/>
          </w:tcPr>
          <w:p w14:paraId="0006D24C" w14:textId="77777777" w:rsidR="00C3138D" w:rsidRPr="004D08E0" w:rsidRDefault="00C3138D">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r>
      <w:tr w:rsidR="00CD1924" w:rsidRPr="000A4F04" w14:paraId="237326DB" w14:textId="77777777" w:rsidTr="00571D0A">
        <w:trPr>
          <w:gridBefore w:val="1"/>
          <w:wBefore w:w="108" w:type="dxa"/>
          <w:trHeight w:val="454"/>
        </w:trPr>
        <w:tc>
          <w:tcPr>
            <w:cnfStyle w:val="001000000000" w:firstRow="0" w:lastRow="0" w:firstColumn="1" w:lastColumn="0" w:oddVBand="0" w:evenVBand="0" w:oddHBand="0" w:evenHBand="0" w:firstRowFirstColumn="0" w:firstRowLastColumn="0" w:lastRowFirstColumn="0" w:lastRowLastColumn="0"/>
            <w:tcW w:w="5463" w:type="dxa"/>
          </w:tcPr>
          <w:p w14:paraId="3FCAFB42" w14:textId="77777777" w:rsidR="00C3138D" w:rsidRPr="000A4F04" w:rsidRDefault="00C3138D">
            <w:pPr>
              <w:spacing w:after="0"/>
              <w:rPr>
                <w:rFonts w:cs="Arial"/>
                <w:sz w:val="28"/>
                <w:szCs w:val="28"/>
              </w:rPr>
            </w:pPr>
            <w:r w:rsidRPr="000A4F04">
              <w:rPr>
                <w:rFonts w:cs="Arial"/>
                <w:color w:val="000000" w:themeColor="text1"/>
                <w:sz w:val="28"/>
                <w:szCs w:val="28"/>
              </w:rPr>
              <w:t xml:space="preserve">Vision Principle </w:t>
            </w:r>
            <w:r>
              <w:rPr>
                <w:rFonts w:cs="Arial"/>
                <w:color w:val="000000" w:themeColor="text1"/>
                <w:sz w:val="28"/>
                <w:szCs w:val="28"/>
              </w:rPr>
              <w:t>5</w:t>
            </w:r>
          </w:p>
        </w:tc>
        <w:tc>
          <w:tcPr>
            <w:tcW w:w="1230" w:type="dxa"/>
            <w:gridSpan w:val="2"/>
          </w:tcPr>
          <w:p w14:paraId="6915D656" w14:textId="77777777" w:rsidR="00C3138D" w:rsidRPr="004D08E0" w:rsidRDefault="00C3138D">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p>
        </w:tc>
        <w:tc>
          <w:tcPr>
            <w:tcW w:w="1430" w:type="dxa"/>
            <w:gridSpan w:val="2"/>
          </w:tcPr>
          <w:p w14:paraId="05CC8666" w14:textId="77777777" w:rsidR="00C3138D" w:rsidRPr="004D08E0" w:rsidRDefault="00C3138D">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c>
          <w:tcPr>
            <w:tcW w:w="1244" w:type="dxa"/>
            <w:gridSpan w:val="2"/>
          </w:tcPr>
          <w:p w14:paraId="124CB2C7" w14:textId="77777777" w:rsidR="00C3138D" w:rsidRPr="004D08E0" w:rsidRDefault="00C3138D">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r>
      <w:tr w:rsidR="00505E84" w:rsidRPr="003A4857" w14:paraId="11F6EFF1" w14:textId="77777777" w:rsidTr="00571D0A">
        <w:trPr>
          <w:gridAfter w:val="1"/>
          <w:cnfStyle w:val="000000100000" w:firstRow="0" w:lastRow="0" w:firstColumn="0" w:lastColumn="0" w:oddVBand="0" w:evenVBand="0" w:oddHBand="1" w:evenHBand="0" w:firstRowFirstColumn="0" w:firstRowLastColumn="0" w:lastRowFirstColumn="0" w:lastRowLastColumn="0"/>
          <w:wAfter w:w="153" w:type="dxa"/>
          <w:trHeight w:val="454"/>
        </w:trPr>
        <w:tc>
          <w:tcPr>
            <w:cnfStyle w:val="001000000000" w:firstRow="0" w:lastRow="0" w:firstColumn="1" w:lastColumn="0" w:oddVBand="0" w:evenVBand="0" w:oddHBand="0" w:evenHBand="0" w:firstRowFirstColumn="0" w:firstRowLastColumn="0" w:lastRowFirstColumn="0" w:lastRowLastColumn="0"/>
            <w:tcW w:w="6270" w:type="dxa"/>
            <w:gridSpan w:val="3"/>
            <w:vAlign w:val="center"/>
          </w:tcPr>
          <w:p w14:paraId="1B6F3D7A" w14:textId="6706D0DD" w:rsidR="00571D0A" w:rsidRPr="000B631D" w:rsidRDefault="00571D0A" w:rsidP="00D16B99">
            <w:pPr>
              <w:pStyle w:val="ListParagraph"/>
              <w:numPr>
                <w:ilvl w:val="0"/>
                <w:numId w:val="18"/>
              </w:numPr>
              <w:spacing w:before="40" w:after="40" w:line="240" w:lineRule="auto"/>
              <w:ind w:left="720"/>
              <w:rPr>
                <w:rFonts w:cs="Arial"/>
                <w:b w:val="0"/>
                <w:bCs w:val="0"/>
              </w:rPr>
            </w:pPr>
            <w:r>
              <w:rPr>
                <w:rFonts w:cs="Arial"/>
                <w:b w:val="0"/>
                <w:bCs w:val="0"/>
              </w:rPr>
              <w:t>Beveridge Curve analysis</w:t>
            </w:r>
          </w:p>
        </w:tc>
        <w:tc>
          <w:tcPr>
            <w:tcW w:w="1527" w:type="dxa"/>
            <w:gridSpan w:val="2"/>
            <w:vAlign w:val="center"/>
          </w:tcPr>
          <w:p w14:paraId="159629AB" w14:textId="5DCB6375" w:rsidR="00571D0A" w:rsidRPr="004D08E0" w:rsidRDefault="004E2BE7">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n/a</w:t>
            </w:r>
          </w:p>
        </w:tc>
        <w:tc>
          <w:tcPr>
            <w:tcW w:w="1525" w:type="dxa"/>
            <w:gridSpan w:val="2"/>
            <w:vAlign w:val="center"/>
          </w:tcPr>
          <w:p w14:paraId="3CC94F60" w14:textId="577E3C4C" w:rsidR="00571D0A" w:rsidRPr="004D08E0" w:rsidRDefault="004E2BE7">
            <w:pPr>
              <w:spacing w:after="0"/>
              <w:jc w:val="center"/>
              <w:cnfStyle w:val="000000100000" w:firstRow="0" w:lastRow="0" w:firstColumn="0" w:lastColumn="0" w:oddVBand="0" w:evenVBand="0" w:oddHBand="1" w:evenHBand="0" w:firstRowFirstColumn="0" w:firstRowLastColumn="0" w:lastRowFirstColumn="0" w:lastRowLastColumn="0"/>
              <w:rPr>
                <w:rFonts w:cs="Arial"/>
                <w:b/>
                <w:bCs/>
                <w:highlight w:val="yellow"/>
              </w:rPr>
            </w:pPr>
            <w:r w:rsidRPr="004D08E0">
              <w:rPr>
                <w:rFonts w:cs="Arial"/>
                <w:b/>
                <w:bCs/>
              </w:rPr>
              <w:t>n/a</w:t>
            </w:r>
          </w:p>
        </w:tc>
      </w:tr>
      <w:tr w:rsidR="00E26DA1" w:rsidRPr="000A4F04" w14:paraId="33A32A48" w14:textId="77777777" w:rsidTr="00571D0A">
        <w:trPr>
          <w:gridAfter w:val="1"/>
          <w:wAfter w:w="153" w:type="dxa"/>
          <w:trHeight w:val="454"/>
        </w:trPr>
        <w:tc>
          <w:tcPr>
            <w:cnfStyle w:val="001000000000" w:firstRow="0" w:lastRow="0" w:firstColumn="1" w:lastColumn="0" w:oddVBand="0" w:evenVBand="0" w:oddHBand="0" w:evenHBand="0" w:firstRowFirstColumn="0" w:firstRowLastColumn="0" w:lastRowFirstColumn="0" w:lastRowLastColumn="0"/>
            <w:tcW w:w="6270" w:type="dxa"/>
            <w:gridSpan w:val="3"/>
            <w:vAlign w:val="center"/>
          </w:tcPr>
          <w:p w14:paraId="495FB0C4" w14:textId="1F8229F7" w:rsidR="00571D0A" w:rsidRPr="000B631D" w:rsidRDefault="00C22C35" w:rsidP="00D16B99">
            <w:pPr>
              <w:pStyle w:val="ListParagraph"/>
              <w:numPr>
                <w:ilvl w:val="0"/>
                <w:numId w:val="18"/>
              </w:numPr>
              <w:spacing w:before="40" w:after="40" w:line="240" w:lineRule="auto"/>
              <w:ind w:left="720"/>
              <w:rPr>
                <w:rFonts w:cs="Arial"/>
              </w:rPr>
            </w:pPr>
            <w:r>
              <w:rPr>
                <w:rFonts w:cs="Arial"/>
                <w:b w:val="0"/>
                <w:bCs w:val="0"/>
              </w:rPr>
              <w:t>Efficiency of labour market matching</w:t>
            </w:r>
            <w:r w:rsidR="00B45E0B">
              <w:rPr>
                <w:rFonts w:cs="Arial"/>
                <w:b w:val="0"/>
                <w:bCs w:val="0"/>
              </w:rPr>
              <w:t xml:space="preserve"> (%)</w:t>
            </w:r>
          </w:p>
        </w:tc>
        <w:tc>
          <w:tcPr>
            <w:tcW w:w="1527" w:type="dxa"/>
            <w:gridSpan w:val="2"/>
            <w:vAlign w:val="center"/>
          </w:tcPr>
          <w:p w14:paraId="770D1C3A" w14:textId="2C8291BE" w:rsidR="00571D0A" w:rsidRPr="001D7DF4" w:rsidRDefault="005C4DA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78.0</w:t>
            </w:r>
          </w:p>
        </w:tc>
        <w:tc>
          <w:tcPr>
            <w:tcW w:w="1525" w:type="dxa"/>
            <w:gridSpan w:val="2"/>
            <w:vAlign w:val="center"/>
          </w:tcPr>
          <w:p w14:paraId="4D00D2C8" w14:textId="7FB62DB5" w:rsidR="00571D0A" w:rsidRPr="001D7DF4" w:rsidRDefault="0054010F">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80.7</w:t>
            </w:r>
          </w:p>
        </w:tc>
      </w:tr>
    </w:tbl>
    <w:p w14:paraId="7FE1AB2C" w14:textId="77777777" w:rsidR="0045196E" w:rsidRPr="008731B9" w:rsidRDefault="0045196E" w:rsidP="00A27EC5">
      <w:pPr>
        <w:pStyle w:val="Heading2"/>
      </w:pPr>
      <w:bookmarkStart w:id="225" w:name="_Toc200637163"/>
      <w:bookmarkStart w:id="226" w:name="_Toc201070205"/>
      <w:bookmarkStart w:id="227" w:name="_Toc201919868"/>
      <w:bookmarkStart w:id="228" w:name="_Toc202361896"/>
      <w:r>
        <w:lastRenderedPageBreak/>
        <w:t>Northern Territory</w:t>
      </w:r>
      <w:bookmarkEnd w:id="225"/>
      <w:bookmarkEnd w:id="226"/>
      <w:bookmarkEnd w:id="227"/>
      <w:bookmarkEnd w:id="228"/>
    </w:p>
    <w:p w14:paraId="0F70C3B4" w14:textId="2DF31912" w:rsidR="0045196E" w:rsidRPr="004B5B98" w:rsidRDefault="009D232C" w:rsidP="009D232C">
      <w:pPr>
        <w:pStyle w:val="Caption"/>
        <w:spacing w:before="160"/>
        <w:rPr>
          <w:b w:val="0"/>
        </w:rPr>
      </w:pPr>
      <w:r>
        <w:t xml:space="preserve">Table </w:t>
      </w:r>
      <w:r>
        <w:fldChar w:fldCharType="begin"/>
      </w:r>
      <w:r>
        <w:instrText xml:space="preserve"> SEQ Table \* ARABIC </w:instrText>
      </w:r>
      <w:r>
        <w:fldChar w:fldCharType="separate"/>
      </w:r>
      <w:r w:rsidR="00471863">
        <w:rPr>
          <w:noProof/>
        </w:rPr>
        <w:t>39</w:t>
      </w:r>
      <w:r>
        <w:fldChar w:fldCharType="end"/>
      </w:r>
      <w:r w:rsidR="0045196E" w:rsidRPr="004B5B98">
        <w:rPr>
          <w:b w:val="0"/>
          <w:bCs w:val="0"/>
        </w:rPr>
        <w:t>:</w:t>
      </w:r>
      <w:r w:rsidR="00194A47" w:rsidRPr="00194A47">
        <w:t xml:space="preserve"> </w:t>
      </w:r>
      <w:bookmarkStart w:id="229" w:name="_Hlk201048744"/>
      <w:r w:rsidR="00194A47" w:rsidRPr="00820B93">
        <w:t xml:space="preserve">Roadmap indicators for </w:t>
      </w:r>
      <w:r w:rsidR="00194A47">
        <w:t>Northern Territory and Regional Australia</w:t>
      </w:r>
      <w:bookmarkEnd w:id="229"/>
    </w:p>
    <w:tbl>
      <w:tblPr>
        <w:tblStyle w:val="PlainTable4"/>
        <w:tblW w:w="10458" w:type="dxa"/>
        <w:tblLook w:val="04A0" w:firstRow="1" w:lastRow="0" w:firstColumn="1" w:lastColumn="0" w:noHBand="0" w:noVBand="1"/>
      </w:tblPr>
      <w:tblGrid>
        <w:gridCol w:w="5460"/>
        <w:gridCol w:w="702"/>
        <w:gridCol w:w="527"/>
        <w:gridCol w:w="1000"/>
        <w:gridCol w:w="430"/>
        <w:gridCol w:w="1095"/>
        <w:gridCol w:w="1244"/>
      </w:tblGrid>
      <w:tr w:rsidR="0045196E" w:rsidRPr="00653483" w14:paraId="5F36D270" w14:textId="77777777" w:rsidTr="002561F7">
        <w:trPr>
          <w:gridAfter w:val="1"/>
          <w:cnfStyle w:val="100000000000" w:firstRow="1" w:lastRow="0" w:firstColumn="0" w:lastColumn="0" w:oddVBand="0" w:evenVBand="0" w:oddHBand="0" w:evenHBand="0" w:firstRowFirstColumn="0" w:firstRowLastColumn="0" w:lastRowFirstColumn="0" w:lastRowLastColumn="0"/>
          <w:wAfter w:w="1244" w:type="dxa"/>
          <w:trHeight w:val="737"/>
        </w:trPr>
        <w:tc>
          <w:tcPr>
            <w:cnfStyle w:val="001000000000" w:firstRow="0" w:lastRow="0" w:firstColumn="1" w:lastColumn="0" w:oddVBand="0" w:evenVBand="0" w:oddHBand="0" w:evenHBand="0" w:firstRowFirstColumn="0" w:firstRowLastColumn="0" w:lastRowFirstColumn="0" w:lastRowLastColumn="0"/>
            <w:tcW w:w="6162" w:type="dxa"/>
            <w:gridSpan w:val="2"/>
            <w:shd w:val="clear" w:color="auto" w:fill="370663"/>
            <w:vAlign w:val="center"/>
          </w:tcPr>
          <w:p w14:paraId="741096E5" w14:textId="77777777" w:rsidR="0045196E" w:rsidRPr="00DF1C3B" w:rsidRDefault="0045196E">
            <w:pPr>
              <w:spacing w:before="120" w:after="120"/>
              <w:rPr>
                <w:rFonts w:cs="Arial"/>
                <w:color w:val="FFFFFF" w:themeColor="background1"/>
                <w:sz w:val="24"/>
                <w:szCs w:val="24"/>
              </w:rPr>
            </w:pPr>
          </w:p>
        </w:tc>
        <w:tc>
          <w:tcPr>
            <w:tcW w:w="1527" w:type="dxa"/>
            <w:gridSpan w:val="2"/>
            <w:shd w:val="clear" w:color="auto" w:fill="370663"/>
            <w:vAlign w:val="center"/>
          </w:tcPr>
          <w:p w14:paraId="3B79CC79" w14:textId="77777777" w:rsidR="0045196E" w:rsidRPr="00DF1C3B" w:rsidRDefault="0045196E">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Pr>
                <w:rFonts w:cs="Arial"/>
                <w:color w:val="FFFFFF" w:themeColor="background1"/>
                <w:sz w:val="24"/>
                <w:szCs w:val="24"/>
              </w:rPr>
              <w:t>Northern Territory</w:t>
            </w:r>
          </w:p>
        </w:tc>
        <w:tc>
          <w:tcPr>
            <w:tcW w:w="1525" w:type="dxa"/>
            <w:gridSpan w:val="2"/>
            <w:shd w:val="clear" w:color="auto" w:fill="370663"/>
          </w:tcPr>
          <w:p w14:paraId="4AA60C68" w14:textId="77777777" w:rsidR="0045196E" w:rsidRPr="00DF1C3B" w:rsidRDefault="0045196E">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sidRPr="00DF1C3B">
              <w:rPr>
                <w:rFonts w:cs="Arial"/>
                <w:color w:val="FFFFFF" w:themeColor="background1"/>
                <w:sz w:val="24"/>
                <w:szCs w:val="24"/>
              </w:rPr>
              <w:t>Regional Australia</w:t>
            </w:r>
          </w:p>
        </w:tc>
      </w:tr>
      <w:tr w:rsidR="00505E84" w:rsidRPr="000A4F04" w14:paraId="6E8A1315" w14:textId="77777777" w:rsidTr="00B04210">
        <w:trPr>
          <w:gridAfter w:val="1"/>
          <w:cnfStyle w:val="000000100000" w:firstRow="0" w:lastRow="0" w:firstColumn="0" w:lastColumn="0" w:oddVBand="0" w:evenVBand="0" w:oddHBand="1" w:evenHBand="0" w:firstRowFirstColumn="0" w:firstRowLastColumn="0" w:lastRowFirstColumn="0" w:lastRowLastColumn="0"/>
          <w:wAfter w:w="1244"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shd w:val="clear" w:color="auto" w:fill="FFFFFF" w:themeFill="background1"/>
            <w:vAlign w:val="center"/>
          </w:tcPr>
          <w:p w14:paraId="5533F8AA" w14:textId="53F93685" w:rsidR="0045196E" w:rsidRPr="000A4F04" w:rsidRDefault="0045196E">
            <w:pPr>
              <w:rPr>
                <w:rFonts w:cs="Arial"/>
                <w:sz w:val="28"/>
                <w:szCs w:val="28"/>
              </w:rPr>
            </w:pPr>
            <w:r w:rsidRPr="000A4F04">
              <w:rPr>
                <w:rFonts w:cs="Arial"/>
                <w:color w:val="000000" w:themeColor="text1"/>
                <w:sz w:val="28"/>
                <w:szCs w:val="28"/>
              </w:rPr>
              <w:t>Vision Principle 1</w:t>
            </w:r>
          </w:p>
        </w:tc>
        <w:tc>
          <w:tcPr>
            <w:tcW w:w="1527" w:type="dxa"/>
            <w:gridSpan w:val="2"/>
            <w:shd w:val="clear" w:color="auto" w:fill="FFFFFF" w:themeFill="background1"/>
            <w:vAlign w:val="center"/>
          </w:tcPr>
          <w:p w14:paraId="45D773C4" w14:textId="64924D97" w:rsidR="0045196E" w:rsidRPr="000A4F04"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sz w:val="28"/>
                <w:szCs w:val="28"/>
              </w:rPr>
            </w:pPr>
          </w:p>
        </w:tc>
        <w:tc>
          <w:tcPr>
            <w:tcW w:w="1525" w:type="dxa"/>
            <w:gridSpan w:val="2"/>
            <w:shd w:val="clear" w:color="auto" w:fill="FFFFFF" w:themeFill="background1"/>
            <w:vAlign w:val="center"/>
          </w:tcPr>
          <w:p w14:paraId="7580F028" w14:textId="5BABB02B" w:rsidR="0045196E" w:rsidRPr="000A4F04"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8"/>
                <w:szCs w:val="28"/>
              </w:rPr>
            </w:pPr>
          </w:p>
        </w:tc>
      </w:tr>
      <w:tr w:rsidR="0045196E" w:rsidRPr="00653483" w14:paraId="347AB552" w14:textId="77777777" w:rsidTr="002561F7">
        <w:trPr>
          <w:gridAfter w:val="1"/>
          <w:wAfter w:w="1244"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shd w:val="clear" w:color="auto" w:fill="F2F2F2" w:themeFill="background1" w:themeFillShade="F2"/>
            <w:vAlign w:val="center"/>
          </w:tcPr>
          <w:p w14:paraId="420B03D7" w14:textId="77777777" w:rsidR="0045196E" w:rsidRPr="000B631D" w:rsidRDefault="0045196E" w:rsidP="00D16B99">
            <w:pPr>
              <w:pStyle w:val="ListParagraph"/>
              <w:numPr>
                <w:ilvl w:val="0"/>
                <w:numId w:val="19"/>
              </w:numPr>
              <w:spacing w:before="40" w:after="40" w:line="240" w:lineRule="auto"/>
              <w:rPr>
                <w:rFonts w:cs="Arial"/>
              </w:rPr>
            </w:pPr>
            <w:r w:rsidRPr="00BE2F59">
              <w:rPr>
                <w:rFonts w:cs="Arial"/>
                <w:b w:val="0"/>
                <w:bCs w:val="0"/>
              </w:rPr>
              <w:t xml:space="preserve">School </w:t>
            </w:r>
            <w:r>
              <w:rPr>
                <w:rFonts w:cs="Arial"/>
                <w:b w:val="0"/>
                <w:bCs w:val="0"/>
              </w:rPr>
              <w:t>non-</w:t>
            </w:r>
            <w:r w:rsidRPr="00BE2F59">
              <w:rPr>
                <w:rFonts w:cs="Arial"/>
                <w:b w:val="0"/>
                <w:bCs w:val="0"/>
              </w:rPr>
              <w:t>attendance rate (%)</w:t>
            </w:r>
          </w:p>
        </w:tc>
        <w:tc>
          <w:tcPr>
            <w:tcW w:w="1527" w:type="dxa"/>
            <w:gridSpan w:val="2"/>
            <w:shd w:val="clear" w:color="auto" w:fill="F2F2F2" w:themeFill="background1" w:themeFillShade="F2"/>
            <w:vAlign w:val="center"/>
          </w:tcPr>
          <w:p w14:paraId="3B9F28A5" w14:textId="4566F5D0" w:rsidR="0045196E" w:rsidRPr="00637B46" w:rsidRDefault="0013595C">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b/>
                <w:bCs/>
              </w:rPr>
              <w:t>26.0</w:t>
            </w:r>
          </w:p>
        </w:tc>
        <w:tc>
          <w:tcPr>
            <w:tcW w:w="1525" w:type="dxa"/>
            <w:gridSpan w:val="2"/>
            <w:shd w:val="clear" w:color="auto" w:fill="F2F2F2" w:themeFill="background1" w:themeFillShade="F2"/>
            <w:vAlign w:val="center"/>
          </w:tcPr>
          <w:p w14:paraId="63E71E1A" w14:textId="7C65A941" w:rsidR="0045196E" w:rsidRPr="00637B46" w:rsidRDefault="00E70643">
            <w:pPr>
              <w:spacing w:after="0"/>
              <w:jc w:val="center"/>
              <w:cnfStyle w:val="000000000000" w:firstRow="0" w:lastRow="0" w:firstColumn="0" w:lastColumn="0" w:oddVBand="0" w:evenVBand="0" w:oddHBand="0" w:evenHBand="0" w:firstRowFirstColumn="0" w:firstRowLastColumn="0" w:lastRowFirstColumn="0" w:lastRowLastColumn="0"/>
              <w:rPr>
                <w:rFonts w:cs="Arial"/>
                <w:b/>
                <w:bCs/>
                <w:highlight w:val="yellow"/>
              </w:rPr>
            </w:pPr>
            <w:r>
              <w:rPr>
                <w:rFonts w:cs="Arial"/>
                <w:b/>
                <w:bCs/>
              </w:rPr>
              <w:t>14.6</w:t>
            </w:r>
          </w:p>
        </w:tc>
      </w:tr>
      <w:tr w:rsidR="00505E84" w:rsidRPr="00653483" w14:paraId="0109A744" w14:textId="77777777" w:rsidTr="00B04210">
        <w:trPr>
          <w:gridAfter w:val="1"/>
          <w:cnfStyle w:val="000000100000" w:firstRow="0" w:lastRow="0" w:firstColumn="0" w:lastColumn="0" w:oddVBand="0" w:evenVBand="0" w:oddHBand="1" w:evenHBand="0" w:firstRowFirstColumn="0" w:firstRowLastColumn="0" w:lastRowFirstColumn="0" w:lastRowLastColumn="0"/>
          <w:wAfter w:w="1244"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shd w:val="clear" w:color="auto" w:fill="FFFFFF" w:themeFill="background1"/>
            <w:vAlign w:val="center"/>
          </w:tcPr>
          <w:p w14:paraId="628AD784" w14:textId="77777777" w:rsidR="0045196E" w:rsidRPr="000B631D" w:rsidRDefault="0045196E" w:rsidP="00D16B99">
            <w:pPr>
              <w:pStyle w:val="ListParagraph"/>
              <w:numPr>
                <w:ilvl w:val="0"/>
                <w:numId w:val="19"/>
              </w:numPr>
              <w:spacing w:before="40" w:after="40" w:line="240" w:lineRule="auto"/>
              <w:rPr>
                <w:rFonts w:cs="Arial"/>
                <w:b w:val="0"/>
                <w:bCs w:val="0"/>
              </w:rPr>
            </w:pPr>
            <w:r w:rsidRPr="000B631D">
              <w:rPr>
                <w:rFonts w:cs="Arial"/>
                <w:b w:val="0"/>
                <w:bCs w:val="0"/>
              </w:rPr>
              <w:t>Youth not in education, employment</w:t>
            </w:r>
            <w:r>
              <w:rPr>
                <w:rFonts w:cs="Arial"/>
                <w:b w:val="0"/>
                <w:bCs w:val="0"/>
              </w:rPr>
              <w:t xml:space="preserve">, </w:t>
            </w:r>
            <w:r w:rsidRPr="000B631D">
              <w:rPr>
                <w:rFonts w:cs="Arial"/>
                <w:b w:val="0"/>
                <w:bCs w:val="0"/>
              </w:rPr>
              <w:t>training (%)</w:t>
            </w:r>
          </w:p>
        </w:tc>
        <w:tc>
          <w:tcPr>
            <w:tcW w:w="1527" w:type="dxa"/>
            <w:gridSpan w:val="2"/>
            <w:shd w:val="clear" w:color="auto" w:fill="FFFFFF" w:themeFill="background1"/>
            <w:vAlign w:val="center"/>
          </w:tcPr>
          <w:p w14:paraId="037ABCCC" w14:textId="0FA1D02C" w:rsidR="0045196E" w:rsidRPr="00637B46"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637B46">
              <w:rPr>
                <w:b/>
                <w:bCs/>
              </w:rPr>
              <w:t>1</w:t>
            </w:r>
            <w:r w:rsidR="000F1B4A">
              <w:rPr>
                <w:b/>
                <w:bCs/>
              </w:rPr>
              <w:t>3.7</w:t>
            </w:r>
          </w:p>
        </w:tc>
        <w:tc>
          <w:tcPr>
            <w:tcW w:w="1525" w:type="dxa"/>
            <w:gridSpan w:val="2"/>
            <w:shd w:val="clear" w:color="auto" w:fill="FFFFFF" w:themeFill="background1"/>
            <w:vAlign w:val="center"/>
          </w:tcPr>
          <w:p w14:paraId="16A9896C" w14:textId="514E2B6D" w:rsidR="0045196E" w:rsidRPr="00637B46"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637B46">
              <w:rPr>
                <w:rFonts w:cs="Arial"/>
                <w:b/>
                <w:bCs/>
              </w:rPr>
              <w:t>15.</w:t>
            </w:r>
            <w:r w:rsidR="003B0BF7">
              <w:rPr>
                <w:rFonts w:cs="Arial"/>
                <w:b/>
                <w:bCs/>
              </w:rPr>
              <w:t>3</w:t>
            </w:r>
          </w:p>
        </w:tc>
      </w:tr>
      <w:tr w:rsidR="0045196E" w:rsidRPr="00653483" w14:paraId="17633449" w14:textId="77777777" w:rsidTr="002561F7">
        <w:trPr>
          <w:gridAfter w:val="1"/>
          <w:wAfter w:w="1244"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shd w:val="clear" w:color="auto" w:fill="F2F2F2" w:themeFill="background1" w:themeFillShade="F2"/>
            <w:vAlign w:val="center"/>
          </w:tcPr>
          <w:p w14:paraId="6A628390" w14:textId="77777777" w:rsidR="0045196E" w:rsidRPr="00507BA8" w:rsidRDefault="0045196E" w:rsidP="00D16B99">
            <w:pPr>
              <w:pStyle w:val="ListParagraph"/>
              <w:numPr>
                <w:ilvl w:val="0"/>
                <w:numId w:val="19"/>
              </w:numPr>
              <w:spacing w:before="40" w:after="40" w:line="240" w:lineRule="auto"/>
              <w:rPr>
                <w:rFonts w:cs="Arial"/>
                <w:b w:val="0"/>
                <w:bCs w:val="0"/>
              </w:rPr>
            </w:pPr>
            <w:r w:rsidRPr="00507BA8">
              <w:rPr>
                <w:rFonts w:cs="Arial"/>
                <w:b w:val="0"/>
                <w:bCs w:val="0"/>
              </w:rPr>
              <w:t>Prime age participation rate (%)</w:t>
            </w:r>
          </w:p>
        </w:tc>
        <w:tc>
          <w:tcPr>
            <w:tcW w:w="1527" w:type="dxa"/>
            <w:gridSpan w:val="2"/>
            <w:shd w:val="clear" w:color="auto" w:fill="F2F2F2" w:themeFill="background1" w:themeFillShade="F2"/>
            <w:vAlign w:val="center"/>
          </w:tcPr>
          <w:p w14:paraId="605E1D6E" w14:textId="53CADBDB" w:rsidR="0045196E" w:rsidRPr="00637B46" w:rsidRDefault="0045196E">
            <w:pPr>
              <w:spacing w:after="0"/>
              <w:jc w:val="center"/>
              <w:cnfStyle w:val="000000000000" w:firstRow="0" w:lastRow="0" w:firstColumn="0" w:lastColumn="0" w:oddVBand="0" w:evenVBand="0" w:oddHBand="0" w:evenHBand="0" w:firstRowFirstColumn="0" w:firstRowLastColumn="0" w:lastRowFirstColumn="0" w:lastRowLastColumn="0"/>
              <w:rPr>
                <w:b/>
                <w:bCs/>
              </w:rPr>
            </w:pPr>
            <w:r w:rsidRPr="00637B46">
              <w:rPr>
                <w:b/>
                <w:bCs/>
              </w:rPr>
              <w:t>83.</w:t>
            </w:r>
            <w:r w:rsidR="00E51F26">
              <w:rPr>
                <w:b/>
                <w:bCs/>
              </w:rPr>
              <w:t>3</w:t>
            </w:r>
          </w:p>
        </w:tc>
        <w:tc>
          <w:tcPr>
            <w:tcW w:w="1525" w:type="dxa"/>
            <w:gridSpan w:val="2"/>
            <w:shd w:val="clear" w:color="auto" w:fill="F2F2F2" w:themeFill="background1" w:themeFillShade="F2"/>
            <w:vAlign w:val="center"/>
          </w:tcPr>
          <w:p w14:paraId="159BDC68" w14:textId="77777777" w:rsidR="0045196E" w:rsidRPr="00637B46"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637B46">
              <w:rPr>
                <w:rFonts w:cs="Arial"/>
                <w:b/>
                <w:bCs/>
              </w:rPr>
              <w:t>85.4</w:t>
            </w:r>
          </w:p>
        </w:tc>
      </w:tr>
      <w:tr w:rsidR="00505E84" w:rsidRPr="00653483" w14:paraId="45D567C9" w14:textId="77777777" w:rsidTr="00B04210">
        <w:trPr>
          <w:gridAfter w:val="1"/>
          <w:cnfStyle w:val="000000100000" w:firstRow="0" w:lastRow="0" w:firstColumn="0" w:lastColumn="0" w:oddVBand="0" w:evenVBand="0" w:oddHBand="1" w:evenHBand="0" w:firstRowFirstColumn="0" w:firstRowLastColumn="0" w:lastRowFirstColumn="0" w:lastRowLastColumn="0"/>
          <w:wAfter w:w="1244"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shd w:val="clear" w:color="auto" w:fill="FFFFFF" w:themeFill="background1"/>
            <w:vAlign w:val="center"/>
          </w:tcPr>
          <w:p w14:paraId="53D99854" w14:textId="77777777" w:rsidR="0045196E" w:rsidRPr="006974DB" w:rsidRDefault="0045196E" w:rsidP="00D16B99">
            <w:pPr>
              <w:pStyle w:val="ListParagraph"/>
              <w:numPr>
                <w:ilvl w:val="0"/>
                <w:numId w:val="19"/>
              </w:numPr>
              <w:spacing w:before="40" w:after="40" w:line="240" w:lineRule="auto"/>
              <w:rPr>
                <w:rFonts w:cs="Arial"/>
                <w:b w:val="0"/>
                <w:bCs w:val="0"/>
              </w:rPr>
            </w:pPr>
            <w:r w:rsidRPr="006974DB">
              <w:rPr>
                <w:rFonts w:cs="Arial"/>
                <w:b w:val="0"/>
                <w:bCs w:val="0"/>
              </w:rPr>
              <w:t>Unemployment rate (%)</w:t>
            </w:r>
          </w:p>
        </w:tc>
        <w:tc>
          <w:tcPr>
            <w:tcW w:w="1527" w:type="dxa"/>
            <w:gridSpan w:val="2"/>
            <w:shd w:val="clear" w:color="auto" w:fill="FFFFFF" w:themeFill="background1"/>
            <w:vAlign w:val="center"/>
          </w:tcPr>
          <w:p w14:paraId="5DB5B71D" w14:textId="5F7BF258" w:rsidR="0045196E" w:rsidRPr="00637B46" w:rsidRDefault="00571232">
            <w:pPr>
              <w:spacing w:after="0"/>
              <w:jc w:val="center"/>
              <w:cnfStyle w:val="000000100000" w:firstRow="0" w:lastRow="0" w:firstColumn="0" w:lastColumn="0" w:oddVBand="0" w:evenVBand="0" w:oddHBand="1" w:evenHBand="0" w:firstRowFirstColumn="0" w:firstRowLastColumn="0" w:lastRowFirstColumn="0" w:lastRowLastColumn="0"/>
              <w:rPr>
                <w:b/>
                <w:bCs/>
              </w:rPr>
            </w:pPr>
            <w:r>
              <w:rPr>
                <w:b/>
                <w:bCs/>
              </w:rPr>
              <w:t>4.2</w:t>
            </w:r>
          </w:p>
        </w:tc>
        <w:tc>
          <w:tcPr>
            <w:tcW w:w="1525" w:type="dxa"/>
            <w:gridSpan w:val="2"/>
            <w:shd w:val="clear" w:color="auto" w:fill="FFFFFF" w:themeFill="background1"/>
            <w:vAlign w:val="center"/>
          </w:tcPr>
          <w:p w14:paraId="1F3EC341" w14:textId="77777777" w:rsidR="0045196E" w:rsidRPr="00637B46"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637B46">
              <w:rPr>
                <w:rFonts w:cs="Arial"/>
                <w:b/>
                <w:bCs/>
              </w:rPr>
              <w:t>4.0</w:t>
            </w:r>
          </w:p>
        </w:tc>
      </w:tr>
      <w:tr w:rsidR="0045196E" w:rsidRPr="00653483" w14:paraId="1D994790" w14:textId="77777777" w:rsidTr="002561F7">
        <w:trPr>
          <w:gridAfter w:val="1"/>
          <w:wAfter w:w="1244"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shd w:val="clear" w:color="auto" w:fill="F2F2F2" w:themeFill="background1" w:themeFillShade="F2"/>
            <w:vAlign w:val="center"/>
          </w:tcPr>
          <w:p w14:paraId="26FB5553" w14:textId="77777777" w:rsidR="0045196E" w:rsidRPr="000B631D" w:rsidRDefault="0045196E" w:rsidP="00D16B99">
            <w:pPr>
              <w:pStyle w:val="ListParagraph"/>
              <w:numPr>
                <w:ilvl w:val="0"/>
                <w:numId w:val="19"/>
              </w:numPr>
              <w:spacing w:before="40" w:after="40" w:line="240" w:lineRule="auto"/>
              <w:rPr>
                <w:rFonts w:cs="Arial"/>
                <w:b w:val="0"/>
                <w:bCs w:val="0"/>
              </w:rPr>
            </w:pPr>
            <w:r w:rsidRPr="000B631D">
              <w:rPr>
                <w:rFonts w:cs="Arial"/>
                <w:b w:val="0"/>
                <w:bCs w:val="0"/>
              </w:rPr>
              <w:t xml:space="preserve">Proportion of population on </w:t>
            </w:r>
            <w:r>
              <w:rPr>
                <w:rFonts w:cs="Arial"/>
                <w:b w:val="0"/>
                <w:bCs w:val="0"/>
              </w:rPr>
              <w:t xml:space="preserve">long-term </w:t>
            </w:r>
            <w:r w:rsidRPr="000B631D">
              <w:rPr>
                <w:rFonts w:cs="Arial"/>
                <w:b w:val="0"/>
                <w:bCs w:val="0"/>
              </w:rPr>
              <w:t>income support (%)</w:t>
            </w:r>
          </w:p>
        </w:tc>
        <w:tc>
          <w:tcPr>
            <w:tcW w:w="1527" w:type="dxa"/>
            <w:gridSpan w:val="2"/>
            <w:shd w:val="clear" w:color="auto" w:fill="F2F2F2" w:themeFill="background1" w:themeFillShade="F2"/>
            <w:vAlign w:val="center"/>
          </w:tcPr>
          <w:p w14:paraId="130519B0" w14:textId="77777777" w:rsidR="0045196E" w:rsidRPr="00637B46"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637B46">
              <w:rPr>
                <w:b/>
                <w:bCs/>
              </w:rPr>
              <w:t>5.0</w:t>
            </w:r>
          </w:p>
        </w:tc>
        <w:tc>
          <w:tcPr>
            <w:tcW w:w="1525" w:type="dxa"/>
            <w:gridSpan w:val="2"/>
            <w:shd w:val="clear" w:color="auto" w:fill="F2F2F2" w:themeFill="background1" w:themeFillShade="F2"/>
            <w:vAlign w:val="center"/>
          </w:tcPr>
          <w:p w14:paraId="45B721D2" w14:textId="1EB4BF7D" w:rsidR="0045196E" w:rsidRPr="00637B46"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637B46">
              <w:rPr>
                <w:rFonts w:cs="Arial"/>
                <w:b/>
                <w:bCs/>
              </w:rPr>
              <w:t>2.</w:t>
            </w:r>
            <w:r w:rsidR="00F905A6">
              <w:rPr>
                <w:rFonts w:cs="Arial"/>
                <w:b/>
                <w:bCs/>
              </w:rPr>
              <w:t>4</w:t>
            </w:r>
          </w:p>
        </w:tc>
      </w:tr>
      <w:tr w:rsidR="0045196E" w:rsidRPr="000A4F04" w14:paraId="687F3772" w14:textId="77777777" w:rsidTr="002561F7">
        <w:trPr>
          <w:gridAfter w:val="1"/>
          <w:cnfStyle w:val="000000100000" w:firstRow="0" w:lastRow="0" w:firstColumn="0" w:lastColumn="0" w:oddVBand="0" w:evenVBand="0" w:oddHBand="1" w:evenHBand="0" w:firstRowFirstColumn="0" w:firstRowLastColumn="0" w:lastRowFirstColumn="0" w:lastRowLastColumn="0"/>
          <w:wAfter w:w="1244" w:type="dxa"/>
          <w:trHeight w:val="113"/>
        </w:trPr>
        <w:tc>
          <w:tcPr>
            <w:cnfStyle w:val="001000000000" w:firstRow="0" w:lastRow="0" w:firstColumn="1" w:lastColumn="0" w:oddVBand="0" w:evenVBand="0" w:oddHBand="0" w:evenHBand="0" w:firstRowFirstColumn="0" w:firstRowLastColumn="0" w:lastRowFirstColumn="0" w:lastRowLastColumn="0"/>
            <w:tcW w:w="6162" w:type="dxa"/>
            <w:gridSpan w:val="2"/>
            <w:tcBorders>
              <w:top w:val="single" w:sz="4" w:space="0" w:color="auto"/>
            </w:tcBorders>
            <w:shd w:val="clear" w:color="auto" w:fill="370663"/>
          </w:tcPr>
          <w:p w14:paraId="1C5B23B9" w14:textId="77777777" w:rsidR="0045196E" w:rsidRPr="000A4F04" w:rsidRDefault="0045196E">
            <w:pPr>
              <w:rPr>
                <w:rFonts w:cs="Arial"/>
                <w:color w:val="000000" w:themeColor="text1"/>
                <w:sz w:val="12"/>
                <w:szCs w:val="12"/>
              </w:rPr>
            </w:pPr>
          </w:p>
        </w:tc>
        <w:tc>
          <w:tcPr>
            <w:tcW w:w="1527" w:type="dxa"/>
            <w:gridSpan w:val="2"/>
            <w:tcBorders>
              <w:top w:val="single" w:sz="4" w:space="0" w:color="auto"/>
            </w:tcBorders>
            <w:shd w:val="clear" w:color="auto" w:fill="370663"/>
            <w:vAlign w:val="center"/>
          </w:tcPr>
          <w:p w14:paraId="6F7643D3" w14:textId="77777777" w:rsidR="0045196E" w:rsidRPr="00637B46"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p>
        </w:tc>
        <w:tc>
          <w:tcPr>
            <w:tcW w:w="1525" w:type="dxa"/>
            <w:gridSpan w:val="2"/>
            <w:tcBorders>
              <w:top w:val="single" w:sz="4" w:space="0" w:color="auto"/>
            </w:tcBorders>
            <w:shd w:val="clear" w:color="auto" w:fill="370663"/>
            <w:vAlign w:val="center"/>
          </w:tcPr>
          <w:p w14:paraId="2714EAC4" w14:textId="77777777" w:rsidR="0045196E" w:rsidRPr="00637B46"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r>
      <w:tr w:rsidR="0045196E" w:rsidRPr="000A4F04" w14:paraId="51AF6DD6" w14:textId="77777777" w:rsidTr="002561F7">
        <w:trPr>
          <w:gridAfter w:val="1"/>
          <w:wAfter w:w="1244"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vAlign w:val="center"/>
          </w:tcPr>
          <w:p w14:paraId="737EECDF" w14:textId="1AAD7AEA" w:rsidR="0045196E" w:rsidRPr="000A4F04" w:rsidRDefault="0045196E">
            <w:pPr>
              <w:rPr>
                <w:rFonts w:cs="Arial"/>
                <w:sz w:val="28"/>
                <w:szCs w:val="28"/>
              </w:rPr>
            </w:pPr>
            <w:r w:rsidRPr="000A4F04">
              <w:rPr>
                <w:rFonts w:cs="Arial"/>
                <w:color w:val="000000" w:themeColor="text1"/>
                <w:sz w:val="28"/>
                <w:szCs w:val="28"/>
              </w:rPr>
              <w:t>Vision Principle 2</w:t>
            </w:r>
          </w:p>
        </w:tc>
        <w:tc>
          <w:tcPr>
            <w:tcW w:w="1527" w:type="dxa"/>
            <w:gridSpan w:val="2"/>
            <w:vAlign w:val="center"/>
          </w:tcPr>
          <w:p w14:paraId="67522CC2" w14:textId="2C257410" w:rsidR="0045196E" w:rsidRPr="00637B46"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p>
        </w:tc>
        <w:tc>
          <w:tcPr>
            <w:tcW w:w="1525" w:type="dxa"/>
            <w:gridSpan w:val="2"/>
            <w:vAlign w:val="center"/>
          </w:tcPr>
          <w:p w14:paraId="568BF128" w14:textId="5BB7903E" w:rsidR="0045196E" w:rsidRPr="00637B46"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r>
      <w:tr w:rsidR="00505E84" w:rsidRPr="00653483" w14:paraId="12AE5AF5" w14:textId="77777777" w:rsidTr="002561F7">
        <w:trPr>
          <w:gridAfter w:val="1"/>
          <w:cnfStyle w:val="000000100000" w:firstRow="0" w:lastRow="0" w:firstColumn="0" w:lastColumn="0" w:oddVBand="0" w:evenVBand="0" w:oddHBand="1" w:evenHBand="0" w:firstRowFirstColumn="0" w:firstRowLastColumn="0" w:lastRowFirstColumn="0" w:lastRowLastColumn="0"/>
          <w:wAfter w:w="1244"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vAlign w:val="center"/>
          </w:tcPr>
          <w:p w14:paraId="52159092" w14:textId="76BE5C1E" w:rsidR="00BF0348" w:rsidRPr="000B631D" w:rsidRDefault="00BF0348" w:rsidP="00D16B99">
            <w:pPr>
              <w:pStyle w:val="ListParagraph"/>
              <w:numPr>
                <w:ilvl w:val="0"/>
                <w:numId w:val="19"/>
              </w:numPr>
              <w:spacing w:before="40" w:after="40" w:line="240" w:lineRule="auto"/>
              <w:rPr>
                <w:rFonts w:cs="Arial"/>
                <w:b w:val="0"/>
                <w:bCs w:val="0"/>
              </w:rPr>
            </w:pPr>
            <w:r>
              <w:rPr>
                <w:rFonts w:cs="Arial"/>
                <w:b w:val="0"/>
                <w:bCs w:val="0"/>
              </w:rPr>
              <w:t>C</w:t>
            </w:r>
            <w:r w:rsidRPr="00842605">
              <w:rPr>
                <w:rFonts w:cs="Arial"/>
                <w:b w:val="0"/>
                <w:bCs w:val="0"/>
              </w:rPr>
              <w:t>ompletion rates</w:t>
            </w:r>
            <w:r>
              <w:rPr>
                <w:rFonts w:cs="Arial"/>
                <w:b w:val="0"/>
                <w:bCs w:val="0"/>
              </w:rPr>
              <w:t xml:space="preserve"> for apprentices and trainees </w:t>
            </w:r>
            <w:r w:rsidRPr="000B631D">
              <w:rPr>
                <w:rFonts w:cs="Arial"/>
                <w:b w:val="0"/>
                <w:bCs w:val="0"/>
              </w:rPr>
              <w:t>(%)</w:t>
            </w:r>
          </w:p>
        </w:tc>
        <w:tc>
          <w:tcPr>
            <w:tcW w:w="1527" w:type="dxa"/>
            <w:gridSpan w:val="2"/>
            <w:vAlign w:val="center"/>
          </w:tcPr>
          <w:p w14:paraId="2058051C" w14:textId="4A32FE4E" w:rsidR="00BF0348" w:rsidRPr="00637B46" w:rsidRDefault="00BF0348" w:rsidP="00BF0348">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Pr>
                <w:rFonts w:cs="Arial"/>
                <w:b/>
                <w:bCs/>
              </w:rPr>
              <w:t>50.6</w:t>
            </w:r>
          </w:p>
        </w:tc>
        <w:tc>
          <w:tcPr>
            <w:tcW w:w="1525" w:type="dxa"/>
            <w:gridSpan w:val="2"/>
            <w:vAlign w:val="center"/>
          </w:tcPr>
          <w:p w14:paraId="6BC8D55E" w14:textId="79F56CF1" w:rsidR="00BF0348" w:rsidRPr="00637B46" w:rsidRDefault="00BF0348" w:rsidP="00BF0348">
            <w:pPr>
              <w:spacing w:after="0"/>
              <w:jc w:val="center"/>
              <w:cnfStyle w:val="000000100000" w:firstRow="0" w:lastRow="0" w:firstColumn="0" w:lastColumn="0" w:oddVBand="0" w:evenVBand="0" w:oddHBand="1" w:evenHBand="0" w:firstRowFirstColumn="0" w:firstRowLastColumn="0" w:lastRowFirstColumn="0" w:lastRowLastColumn="0"/>
              <w:rPr>
                <w:rFonts w:cs="Arial"/>
                <w:b/>
                <w:bCs/>
                <w:highlight w:val="yellow"/>
              </w:rPr>
            </w:pPr>
            <w:r w:rsidRPr="00BF0348">
              <w:rPr>
                <w:rFonts w:cs="Arial"/>
                <w:b/>
                <w:bCs/>
              </w:rPr>
              <w:t>56.7</w:t>
            </w:r>
          </w:p>
        </w:tc>
      </w:tr>
      <w:tr w:rsidR="0045196E" w:rsidRPr="00653483" w14:paraId="4AEA1C53" w14:textId="77777777" w:rsidTr="002561F7">
        <w:trPr>
          <w:gridAfter w:val="1"/>
          <w:wAfter w:w="1244"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vAlign w:val="center"/>
          </w:tcPr>
          <w:p w14:paraId="45E41A62" w14:textId="77777777" w:rsidR="0045196E" w:rsidRPr="000B631D" w:rsidRDefault="0045196E" w:rsidP="00D16B99">
            <w:pPr>
              <w:pStyle w:val="ListParagraph"/>
              <w:numPr>
                <w:ilvl w:val="0"/>
                <w:numId w:val="19"/>
              </w:numPr>
              <w:spacing w:before="40" w:after="40" w:line="240" w:lineRule="auto"/>
              <w:rPr>
                <w:rFonts w:cs="Arial"/>
                <w:b w:val="0"/>
                <w:bCs w:val="0"/>
              </w:rPr>
            </w:pPr>
            <w:r>
              <w:rPr>
                <w:rFonts w:cs="Arial"/>
                <w:b w:val="0"/>
                <w:bCs w:val="0"/>
              </w:rPr>
              <w:t>Youth tertiary</w:t>
            </w:r>
            <w:r w:rsidRPr="000B631D">
              <w:rPr>
                <w:rFonts w:cs="Arial"/>
                <w:b w:val="0"/>
                <w:bCs w:val="0"/>
              </w:rPr>
              <w:t xml:space="preserve"> participation rate (%)</w:t>
            </w:r>
          </w:p>
        </w:tc>
        <w:tc>
          <w:tcPr>
            <w:tcW w:w="1527" w:type="dxa"/>
            <w:gridSpan w:val="2"/>
            <w:vAlign w:val="center"/>
          </w:tcPr>
          <w:p w14:paraId="5AD4EFFA" w14:textId="52F4DE88" w:rsidR="0045196E" w:rsidRPr="00637B46" w:rsidRDefault="003C3A97">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b/>
                <w:bCs/>
              </w:rPr>
              <w:t>17.8</w:t>
            </w:r>
          </w:p>
        </w:tc>
        <w:tc>
          <w:tcPr>
            <w:tcW w:w="1525" w:type="dxa"/>
            <w:gridSpan w:val="2"/>
            <w:vAlign w:val="center"/>
          </w:tcPr>
          <w:p w14:paraId="36072383" w14:textId="7ABD904E" w:rsidR="0045196E" w:rsidRPr="00637B46" w:rsidRDefault="005857A5">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22.2</w:t>
            </w:r>
          </w:p>
        </w:tc>
      </w:tr>
      <w:tr w:rsidR="00505E84" w:rsidRPr="00653483" w14:paraId="35398EA6" w14:textId="77777777" w:rsidTr="002561F7">
        <w:trPr>
          <w:gridAfter w:val="1"/>
          <w:cnfStyle w:val="000000100000" w:firstRow="0" w:lastRow="0" w:firstColumn="0" w:lastColumn="0" w:oddVBand="0" w:evenVBand="0" w:oddHBand="1" w:evenHBand="0" w:firstRowFirstColumn="0" w:firstRowLastColumn="0" w:lastRowFirstColumn="0" w:lastRowLastColumn="0"/>
          <w:wAfter w:w="1244"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vAlign w:val="center"/>
          </w:tcPr>
          <w:p w14:paraId="124D7DC9" w14:textId="77777777" w:rsidR="0045196E" w:rsidRPr="000B631D" w:rsidRDefault="0045196E" w:rsidP="00D16B99">
            <w:pPr>
              <w:pStyle w:val="ListParagraph"/>
              <w:numPr>
                <w:ilvl w:val="0"/>
                <w:numId w:val="19"/>
              </w:numPr>
              <w:spacing w:before="40" w:after="40" w:line="240" w:lineRule="auto"/>
              <w:rPr>
                <w:rFonts w:cs="Arial"/>
                <w:b w:val="0"/>
                <w:bCs w:val="0"/>
              </w:rPr>
            </w:pPr>
            <w:r w:rsidRPr="000B631D">
              <w:rPr>
                <w:rFonts w:cs="Arial"/>
                <w:b w:val="0"/>
                <w:bCs w:val="0"/>
              </w:rPr>
              <w:t>Proportion working in lower skill level than qualification level (%)</w:t>
            </w:r>
          </w:p>
        </w:tc>
        <w:tc>
          <w:tcPr>
            <w:tcW w:w="1527" w:type="dxa"/>
            <w:gridSpan w:val="2"/>
            <w:vAlign w:val="center"/>
          </w:tcPr>
          <w:p w14:paraId="41DF557F" w14:textId="77777777" w:rsidR="0045196E" w:rsidRPr="00637B46"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637B46">
              <w:rPr>
                <w:rFonts w:cs="Arial"/>
                <w:b/>
                <w:bCs/>
              </w:rPr>
              <w:t>31.3</w:t>
            </w:r>
          </w:p>
        </w:tc>
        <w:tc>
          <w:tcPr>
            <w:tcW w:w="1525" w:type="dxa"/>
            <w:gridSpan w:val="2"/>
            <w:vAlign w:val="center"/>
          </w:tcPr>
          <w:p w14:paraId="2FDFBBEF" w14:textId="77777777" w:rsidR="0045196E" w:rsidRPr="00637B46"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637B46">
              <w:rPr>
                <w:rFonts w:cs="Arial"/>
                <w:b/>
                <w:bCs/>
              </w:rPr>
              <w:t>25.7</w:t>
            </w:r>
          </w:p>
        </w:tc>
      </w:tr>
      <w:tr w:rsidR="0045196E" w:rsidRPr="00653483" w14:paraId="6D183CFC" w14:textId="77777777" w:rsidTr="002561F7">
        <w:trPr>
          <w:gridAfter w:val="1"/>
          <w:wAfter w:w="1244"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tcBorders>
              <w:bottom w:val="single" w:sz="4" w:space="0" w:color="auto"/>
            </w:tcBorders>
            <w:vAlign w:val="center"/>
          </w:tcPr>
          <w:p w14:paraId="7C225370" w14:textId="2AD2BA77" w:rsidR="0045196E" w:rsidRPr="000B631D" w:rsidRDefault="003F2975" w:rsidP="00D16B99">
            <w:pPr>
              <w:pStyle w:val="ListParagraph"/>
              <w:numPr>
                <w:ilvl w:val="0"/>
                <w:numId w:val="19"/>
              </w:numPr>
              <w:spacing w:before="40" w:after="40" w:line="240" w:lineRule="auto"/>
              <w:rPr>
                <w:rFonts w:cs="Arial"/>
                <w:b w:val="0"/>
                <w:bCs w:val="0"/>
              </w:rPr>
            </w:pPr>
            <w:r w:rsidRPr="003F2975">
              <w:rPr>
                <w:rFonts w:cs="Arial"/>
                <w:b w:val="0"/>
                <w:bCs w:val="0"/>
              </w:rPr>
              <w:t>Proportion working in same field as most relevant qualification (%)</w:t>
            </w:r>
          </w:p>
        </w:tc>
        <w:tc>
          <w:tcPr>
            <w:tcW w:w="1527" w:type="dxa"/>
            <w:gridSpan w:val="2"/>
            <w:tcBorders>
              <w:bottom w:val="single" w:sz="4" w:space="0" w:color="auto"/>
            </w:tcBorders>
            <w:vAlign w:val="center"/>
          </w:tcPr>
          <w:p w14:paraId="4BE7E76C" w14:textId="77777777" w:rsidR="0045196E" w:rsidRPr="00637B46"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637B46">
              <w:rPr>
                <w:rFonts w:cs="Arial"/>
                <w:b/>
                <w:bCs/>
              </w:rPr>
              <w:t>72.9</w:t>
            </w:r>
          </w:p>
        </w:tc>
        <w:tc>
          <w:tcPr>
            <w:tcW w:w="1525" w:type="dxa"/>
            <w:gridSpan w:val="2"/>
            <w:tcBorders>
              <w:bottom w:val="single" w:sz="4" w:space="0" w:color="auto"/>
            </w:tcBorders>
            <w:vAlign w:val="center"/>
          </w:tcPr>
          <w:p w14:paraId="1AA5FE44" w14:textId="77777777" w:rsidR="0045196E" w:rsidRPr="00637B46"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637B46">
              <w:rPr>
                <w:rFonts w:cs="Arial"/>
                <w:b/>
                <w:bCs/>
              </w:rPr>
              <w:t>72.7</w:t>
            </w:r>
          </w:p>
        </w:tc>
      </w:tr>
      <w:tr w:rsidR="0045196E" w:rsidRPr="000A4F04" w14:paraId="04C0D3C4" w14:textId="77777777" w:rsidTr="002561F7">
        <w:trPr>
          <w:gridAfter w:val="1"/>
          <w:cnfStyle w:val="000000100000" w:firstRow="0" w:lastRow="0" w:firstColumn="0" w:lastColumn="0" w:oddVBand="0" w:evenVBand="0" w:oddHBand="1" w:evenHBand="0" w:firstRowFirstColumn="0" w:firstRowLastColumn="0" w:lastRowFirstColumn="0" w:lastRowLastColumn="0"/>
          <w:wAfter w:w="1244" w:type="dxa"/>
          <w:trHeight w:val="113"/>
        </w:trPr>
        <w:tc>
          <w:tcPr>
            <w:cnfStyle w:val="001000000000" w:firstRow="0" w:lastRow="0" w:firstColumn="1" w:lastColumn="0" w:oddVBand="0" w:evenVBand="0" w:oddHBand="0" w:evenHBand="0" w:firstRowFirstColumn="0" w:firstRowLastColumn="0" w:lastRowFirstColumn="0" w:lastRowLastColumn="0"/>
            <w:tcW w:w="6162" w:type="dxa"/>
            <w:gridSpan w:val="2"/>
            <w:tcBorders>
              <w:top w:val="single" w:sz="4" w:space="0" w:color="auto"/>
            </w:tcBorders>
            <w:shd w:val="clear" w:color="auto" w:fill="370663"/>
          </w:tcPr>
          <w:p w14:paraId="55E877EC" w14:textId="77777777" w:rsidR="0045196E" w:rsidRPr="000A4F04" w:rsidRDefault="0045196E">
            <w:pPr>
              <w:rPr>
                <w:rFonts w:cs="Arial"/>
                <w:color w:val="000000" w:themeColor="text1"/>
                <w:sz w:val="12"/>
                <w:szCs w:val="12"/>
              </w:rPr>
            </w:pPr>
          </w:p>
        </w:tc>
        <w:tc>
          <w:tcPr>
            <w:tcW w:w="1527" w:type="dxa"/>
            <w:gridSpan w:val="2"/>
            <w:tcBorders>
              <w:top w:val="single" w:sz="4" w:space="0" w:color="auto"/>
            </w:tcBorders>
            <w:shd w:val="clear" w:color="auto" w:fill="370663"/>
            <w:vAlign w:val="center"/>
          </w:tcPr>
          <w:p w14:paraId="524D739F" w14:textId="77777777" w:rsidR="0045196E" w:rsidRPr="00637B46"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p>
        </w:tc>
        <w:tc>
          <w:tcPr>
            <w:tcW w:w="1525" w:type="dxa"/>
            <w:gridSpan w:val="2"/>
            <w:tcBorders>
              <w:top w:val="single" w:sz="4" w:space="0" w:color="auto"/>
            </w:tcBorders>
            <w:shd w:val="clear" w:color="auto" w:fill="370663"/>
            <w:vAlign w:val="center"/>
          </w:tcPr>
          <w:p w14:paraId="00598145" w14:textId="77777777" w:rsidR="0045196E" w:rsidRPr="00637B46"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r>
      <w:tr w:rsidR="0045196E" w:rsidRPr="000A4F04" w14:paraId="281FA3DD" w14:textId="77777777" w:rsidTr="002561F7">
        <w:trPr>
          <w:gridAfter w:val="1"/>
          <w:wAfter w:w="1244"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vAlign w:val="center"/>
          </w:tcPr>
          <w:p w14:paraId="7488B34F" w14:textId="0C511A62" w:rsidR="0045196E" w:rsidRPr="000A4F04" w:rsidRDefault="0045196E">
            <w:pPr>
              <w:rPr>
                <w:rFonts w:cs="Arial"/>
                <w:sz w:val="28"/>
                <w:szCs w:val="28"/>
              </w:rPr>
            </w:pPr>
            <w:r w:rsidRPr="000A4F04">
              <w:rPr>
                <w:rFonts w:cs="Arial"/>
                <w:color w:val="000000" w:themeColor="text1"/>
                <w:sz w:val="28"/>
                <w:szCs w:val="28"/>
              </w:rPr>
              <w:t>Vision Principle 3</w:t>
            </w:r>
          </w:p>
        </w:tc>
        <w:tc>
          <w:tcPr>
            <w:tcW w:w="1527" w:type="dxa"/>
            <w:gridSpan w:val="2"/>
            <w:vAlign w:val="center"/>
          </w:tcPr>
          <w:p w14:paraId="3B53D340" w14:textId="552D55B6" w:rsidR="0045196E" w:rsidRPr="00637B46"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p>
        </w:tc>
        <w:tc>
          <w:tcPr>
            <w:tcW w:w="1525" w:type="dxa"/>
            <w:gridSpan w:val="2"/>
            <w:vAlign w:val="center"/>
          </w:tcPr>
          <w:p w14:paraId="19DC0104" w14:textId="091A68A6" w:rsidR="0045196E" w:rsidRPr="00637B46"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r>
      <w:tr w:rsidR="00505E84" w:rsidRPr="00653483" w14:paraId="0B68A71E" w14:textId="77777777" w:rsidTr="002561F7">
        <w:trPr>
          <w:gridAfter w:val="1"/>
          <w:cnfStyle w:val="000000100000" w:firstRow="0" w:lastRow="0" w:firstColumn="0" w:lastColumn="0" w:oddVBand="0" w:evenVBand="0" w:oddHBand="1" w:evenHBand="0" w:firstRowFirstColumn="0" w:firstRowLastColumn="0" w:lastRowFirstColumn="0" w:lastRowLastColumn="0"/>
          <w:wAfter w:w="1244"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vAlign w:val="center"/>
          </w:tcPr>
          <w:p w14:paraId="60DE0B9B" w14:textId="77777777" w:rsidR="0045196E" w:rsidRPr="000B631D" w:rsidRDefault="0045196E" w:rsidP="00D16B99">
            <w:pPr>
              <w:pStyle w:val="ListParagraph"/>
              <w:numPr>
                <w:ilvl w:val="0"/>
                <w:numId w:val="19"/>
              </w:numPr>
              <w:spacing w:before="40" w:after="40" w:line="240" w:lineRule="auto"/>
              <w:rPr>
                <w:rFonts w:cs="Arial"/>
                <w:b w:val="0"/>
                <w:bCs w:val="0"/>
              </w:rPr>
            </w:pPr>
            <w:r w:rsidRPr="000B631D">
              <w:rPr>
                <w:rFonts w:cs="Arial"/>
                <w:b w:val="0"/>
                <w:bCs w:val="0"/>
              </w:rPr>
              <w:t>Job satisfaction (%)</w:t>
            </w:r>
          </w:p>
        </w:tc>
        <w:tc>
          <w:tcPr>
            <w:tcW w:w="1527" w:type="dxa"/>
            <w:gridSpan w:val="2"/>
            <w:vAlign w:val="center"/>
          </w:tcPr>
          <w:p w14:paraId="41702D99" w14:textId="77777777" w:rsidR="0045196E" w:rsidRPr="00637B46" w:rsidRDefault="0045196E">
            <w:pPr>
              <w:spacing w:after="0"/>
              <w:jc w:val="center"/>
              <w:cnfStyle w:val="000000100000" w:firstRow="0" w:lastRow="0" w:firstColumn="0" w:lastColumn="0" w:oddVBand="0" w:evenVBand="0" w:oddHBand="1" w:evenHBand="0" w:firstRowFirstColumn="0" w:firstRowLastColumn="0" w:lastRowFirstColumn="0" w:lastRowLastColumn="0"/>
              <w:rPr>
                <w:b/>
                <w:bCs/>
              </w:rPr>
            </w:pPr>
            <w:r w:rsidRPr="00637B46">
              <w:rPr>
                <w:rFonts w:cs="Arial"/>
                <w:b/>
                <w:bCs/>
              </w:rPr>
              <w:t>n/a</w:t>
            </w:r>
          </w:p>
        </w:tc>
        <w:tc>
          <w:tcPr>
            <w:tcW w:w="1525" w:type="dxa"/>
            <w:gridSpan w:val="2"/>
            <w:vAlign w:val="center"/>
          </w:tcPr>
          <w:p w14:paraId="07921CD4" w14:textId="7D82A29A" w:rsidR="0045196E" w:rsidRPr="00637B46" w:rsidRDefault="00F579FB">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Pr>
                <w:rFonts w:cs="Arial"/>
                <w:b/>
                <w:bCs/>
              </w:rPr>
              <w:t>38.8</w:t>
            </w:r>
          </w:p>
        </w:tc>
      </w:tr>
      <w:tr w:rsidR="0045196E" w:rsidRPr="00653483" w14:paraId="11AEBD7C" w14:textId="77777777" w:rsidTr="002561F7">
        <w:trPr>
          <w:gridAfter w:val="1"/>
          <w:wAfter w:w="1244"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vAlign w:val="center"/>
          </w:tcPr>
          <w:p w14:paraId="48DFE2EB" w14:textId="77777777" w:rsidR="0045196E" w:rsidRPr="000B631D" w:rsidRDefault="0045196E" w:rsidP="00D16B99">
            <w:pPr>
              <w:pStyle w:val="ListParagraph"/>
              <w:numPr>
                <w:ilvl w:val="0"/>
                <w:numId w:val="19"/>
              </w:numPr>
              <w:spacing w:before="40" w:after="40" w:line="240" w:lineRule="auto"/>
              <w:rPr>
                <w:rFonts w:cs="Arial"/>
                <w:b w:val="0"/>
                <w:bCs w:val="0"/>
              </w:rPr>
            </w:pPr>
            <w:r w:rsidRPr="000B631D">
              <w:rPr>
                <w:rFonts w:cs="Arial"/>
                <w:b w:val="0"/>
                <w:bCs w:val="0"/>
              </w:rPr>
              <w:t>Underemployment rate (%)</w:t>
            </w:r>
          </w:p>
        </w:tc>
        <w:tc>
          <w:tcPr>
            <w:tcW w:w="1527" w:type="dxa"/>
            <w:gridSpan w:val="2"/>
            <w:vAlign w:val="center"/>
          </w:tcPr>
          <w:p w14:paraId="501133FA" w14:textId="77777777" w:rsidR="0045196E" w:rsidRPr="00637B46"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637B46">
              <w:rPr>
                <w:b/>
                <w:bCs/>
              </w:rPr>
              <w:t>4.0</w:t>
            </w:r>
          </w:p>
        </w:tc>
        <w:tc>
          <w:tcPr>
            <w:tcW w:w="1525" w:type="dxa"/>
            <w:gridSpan w:val="2"/>
            <w:vAlign w:val="center"/>
          </w:tcPr>
          <w:p w14:paraId="3F03D929" w14:textId="7DB5ADD6" w:rsidR="0045196E" w:rsidRPr="00637B46"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637B46">
              <w:rPr>
                <w:rFonts w:cs="Arial"/>
                <w:b/>
                <w:bCs/>
              </w:rPr>
              <w:t>6.</w:t>
            </w:r>
            <w:r w:rsidR="001C7929">
              <w:rPr>
                <w:rFonts w:cs="Arial"/>
                <w:b/>
                <w:bCs/>
              </w:rPr>
              <w:t>1</w:t>
            </w:r>
          </w:p>
        </w:tc>
      </w:tr>
      <w:tr w:rsidR="00505E84" w:rsidRPr="00653483" w14:paraId="2C25F2AB" w14:textId="77777777" w:rsidTr="002561F7">
        <w:trPr>
          <w:gridAfter w:val="1"/>
          <w:cnfStyle w:val="000000100000" w:firstRow="0" w:lastRow="0" w:firstColumn="0" w:lastColumn="0" w:oddVBand="0" w:evenVBand="0" w:oddHBand="1" w:evenHBand="0" w:firstRowFirstColumn="0" w:firstRowLastColumn="0" w:lastRowFirstColumn="0" w:lastRowLastColumn="0"/>
          <w:wAfter w:w="1244"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vAlign w:val="center"/>
          </w:tcPr>
          <w:p w14:paraId="77A7EB60" w14:textId="2C553EF6" w:rsidR="0045196E" w:rsidRPr="000B631D" w:rsidRDefault="0045196E" w:rsidP="00D16B99">
            <w:pPr>
              <w:pStyle w:val="ListParagraph"/>
              <w:numPr>
                <w:ilvl w:val="0"/>
                <w:numId w:val="19"/>
              </w:numPr>
              <w:spacing w:before="40" w:after="40" w:line="240" w:lineRule="auto"/>
              <w:rPr>
                <w:rFonts w:cs="Arial"/>
                <w:b w:val="0"/>
                <w:bCs w:val="0"/>
              </w:rPr>
            </w:pPr>
            <w:r w:rsidRPr="000B631D">
              <w:rPr>
                <w:rFonts w:cs="Arial"/>
                <w:b w:val="0"/>
                <w:bCs w:val="0"/>
              </w:rPr>
              <w:t xml:space="preserve">Income </w:t>
            </w:r>
            <w:r w:rsidR="00D610E4">
              <w:rPr>
                <w:rFonts w:cs="Arial"/>
                <w:b w:val="0"/>
                <w:bCs w:val="0"/>
              </w:rPr>
              <w:t xml:space="preserve">inequality </w:t>
            </w:r>
            <w:r>
              <w:rPr>
                <w:rFonts w:cs="Arial"/>
                <w:b w:val="0"/>
                <w:bCs w:val="0"/>
              </w:rPr>
              <w:t>ratio</w:t>
            </w:r>
          </w:p>
        </w:tc>
        <w:tc>
          <w:tcPr>
            <w:tcW w:w="1527" w:type="dxa"/>
            <w:gridSpan w:val="2"/>
            <w:vAlign w:val="center"/>
          </w:tcPr>
          <w:p w14:paraId="7FFDBDF4" w14:textId="5406C7D3" w:rsidR="0045196E" w:rsidRPr="00637B46" w:rsidRDefault="00965787">
            <w:pPr>
              <w:spacing w:after="0"/>
              <w:jc w:val="center"/>
              <w:cnfStyle w:val="000000100000" w:firstRow="0" w:lastRow="0" w:firstColumn="0" w:lastColumn="0" w:oddVBand="0" w:evenVBand="0" w:oddHBand="1" w:evenHBand="0" w:firstRowFirstColumn="0" w:firstRowLastColumn="0" w:lastRowFirstColumn="0" w:lastRowLastColumn="0"/>
              <w:rPr>
                <w:rFonts w:cs="Arial"/>
                <w:b/>
                <w:bCs/>
                <w:highlight w:val="yellow"/>
              </w:rPr>
            </w:pPr>
            <w:r w:rsidRPr="00965787">
              <w:rPr>
                <w:rFonts w:cs="Arial"/>
                <w:b/>
                <w:bCs/>
              </w:rPr>
              <w:t>3.8</w:t>
            </w:r>
          </w:p>
        </w:tc>
        <w:tc>
          <w:tcPr>
            <w:tcW w:w="1525" w:type="dxa"/>
            <w:gridSpan w:val="2"/>
            <w:vAlign w:val="center"/>
          </w:tcPr>
          <w:p w14:paraId="446D320D" w14:textId="77777777" w:rsidR="0045196E" w:rsidRPr="00637B46"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highlight w:val="yellow"/>
              </w:rPr>
            </w:pPr>
            <w:r w:rsidRPr="00637B46">
              <w:rPr>
                <w:rFonts w:cs="Arial"/>
                <w:b/>
                <w:bCs/>
              </w:rPr>
              <w:t>3.5</w:t>
            </w:r>
          </w:p>
        </w:tc>
      </w:tr>
      <w:tr w:rsidR="002561F7" w:rsidRPr="00653483" w14:paraId="58B78D9C" w14:textId="06B0CA5F" w:rsidTr="002561F7">
        <w:trPr>
          <w:trHeight w:val="454"/>
        </w:trPr>
        <w:tc>
          <w:tcPr>
            <w:cnfStyle w:val="001000000000" w:firstRow="0" w:lastRow="0" w:firstColumn="1" w:lastColumn="0" w:oddVBand="0" w:evenVBand="0" w:oddHBand="0" w:evenHBand="0" w:firstRowFirstColumn="0" w:firstRowLastColumn="0" w:lastRowFirstColumn="0" w:lastRowLastColumn="0"/>
            <w:tcW w:w="6162" w:type="dxa"/>
            <w:gridSpan w:val="2"/>
            <w:tcBorders>
              <w:bottom w:val="single" w:sz="4" w:space="0" w:color="auto"/>
            </w:tcBorders>
            <w:vAlign w:val="center"/>
          </w:tcPr>
          <w:p w14:paraId="445832B3" w14:textId="628B8757" w:rsidR="002561F7" w:rsidRPr="000B631D" w:rsidRDefault="00280256" w:rsidP="00D16B99">
            <w:pPr>
              <w:pStyle w:val="ListParagraph"/>
              <w:numPr>
                <w:ilvl w:val="0"/>
                <w:numId w:val="19"/>
              </w:numPr>
              <w:spacing w:before="40" w:after="40" w:line="240" w:lineRule="auto"/>
              <w:rPr>
                <w:rFonts w:cs="Arial"/>
              </w:rPr>
            </w:pPr>
            <w:r>
              <w:rPr>
                <w:rFonts w:cs="Arial"/>
                <w:b w:val="0"/>
                <w:bCs w:val="0"/>
              </w:rPr>
              <w:t>Workers’ compensation</w:t>
            </w:r>
            <w:r w:rsidR="002561F7" w:rsidRPr="00660157">
              <w:rPr>
                <w:rFonts w:cs="Arial"/>
                <w:b w:val="0"/>
                <w:bCs w:val="0"/>
              </w:rPr>
              <w:t xml:space="preserve"> incidence rate</w:t>
            </w:r>
          </w:p>
        </w:tc>
        <w:tc>
          <w:tcPr>
            <w:tcW w:w="1527" w:type="dxa"/>
            <w:gridSpan w:val="2"/>
            <w:tcBorders>
              <w:bottom w:val="single" w:sz="4" w:space="0" w:color="auto"/>
            </w:tcBorders>
            <w:vAlign w:val="center"/>
          </w:tcPr>
          <w:p w14:paraId="069DCCFB" w14:textId="681A4CC1" w:rsidR="002561F7" w:rsidRPr="00965787" w:rsidRDefault="002561F7" w:rsidP="002561F7">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4.8</w:t>
            </w:r>
          </w:p>
        </w:tc>
        <w:tc>
          <w:tcPr>
            <w:tcW w:w="1525" w:type="dxa"/>
            <w:gridSpan w:val="2"/>
            <w:tcBorders>
              <w:bottom w:val="single" w:sz="4" w:space="0" w:color="auto"/>
            </w:tcBorders>
            <w:vAlign w:val="center"/>
          </w:tcPr>
          <w:p w14:paraId="6ECD6564" w14:textId="5616CEC8" w:rsidR="002561F7" w:rsidRPr="002561F7" w:rsidRDefault="002561F7" w:rsidP="002561F7">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2561F7">
              <w:rPr>
                <w:rFonts w:cs="Arial"/>
                <w:b/>
                <w:bCs/>
              </w:rPr>
              <w:t>9.6</w:t>
            </w:r>
          </w:p>
        </w:tc>
        <w:tc>
          <w:tcPr>
            <w:tcW w:w="1244" w:type="dxa"/>
            <w:vAlign w:val="center"/>
          </w:tcPr>
          <w:p w14:paraId="4750446D" w14:textId="57025346" w:rsidR="002561F7" w:rsidRPr="00653483" w:rsidRDefault="002561F7" w:rsidP="002561F7">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45196E" w:rsidRPr="000A4F04" w14:paraId="32DACB13" w14:textId="77777777" w:rsidTr="002561F7">
        <w:trPr>
          <w:gridAfter w:val="1"/>
          <w:cnfStyle w:val="000000100000" w:firstRow="0" w:lastRow="0" w:firstColumn="0" w:lastColumn="0" w:oddVBand="0" w:evenVBand="0" w:oddHBand="1" w:evenHBand="0" w:firstRowFirstColumn="0" w:firstRowLastColumn="0" w:lastRowFirstColumn="0" w:lastRowLastColumn="0"/>
          <w:wAfter w:w="1244" w:type="dxa"/>
          <w:trHeight w:val="113"/>
        </w:trPr>
        <w:tc>
          <w:tcPr>
            <w:cnfStyle w:val="001000000000" w:firstRow="0" w:lastRow="0" w:firstColumn="1" w:lastColumn="0" w:oddVBand="0" w:evenVBand="0" w:oddHBand="0" w:evenHBand="0" w:firstRowFirstColumn="0" w:firstRowLastColumn="0" w:lastRowFirstColumn="0" w:lastRowLastColumn="0"/>
            <w:tcW w:w="6162" w:type="dxa"/>
            <w:gridSpan w:val="2"/>
            <w:tcBorders>
              <w:top w:val="single" w:sz="4" w:space="0" w:color="auto"/>
            </w:tcBorders>
            <w:shd w:val="clear" w:color="auto" w:fill="370663"/>
          </w:tcPr>
          <w:p w14:paraId="46DB4AB6" w14:textId="77777777" w:rsidR="0045196E" w:rsidRPr="000A4F04" w:rsidRDefault="0045196E">
            <w:pPr>
              <w:rPr>
                <w:rFonts w:cs="Arial"/>
                <w:color w:val="000000" w:themeColor="text1"/>
                <w:sz w:val="12"/>
                <w:szCs w:val="12"/>
              </w:rPr>
            </w:pPr>
          </w:p>
        </w:tc>
        <w:tc>
          <w:tcPr>
            <w:tcW w:w="1527" w:type="dxa"/>
            <w:gridSpan w:val="2"/>
            <w:tcBorders>
              <w:top w:val="single" w:sz="4" w:space="0" w:color="auto"/>
            </w:tcBorders>
            <w:shd w:val="clear" w:color="auto" w:fill="370663"/>
            <w:vAlign w:val="center"/>
          </w:tcPr>
          <w:p w14:paraId="65CDF19F" w14:textId="77777777" w:rsidR="0045196E" w:rsidRPr="00637B46"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p>
        </w:tc>
        <w:tc>
          <w:tcPr>
            <w:tcW w:w="1525" w:type="dxa"/>
            <w:gridSpan w:val="2"/>
            <w:tcBorders>
              <w:top w:val="single" w:sz="4" w:space="0" w:color="auto"/>
            </w:tcBorders>
            <w:shd w:val="clear" w:color="auto" w:fill="370663"/>
            <w:vAlign w:val="center"/>
          </w:tcPr>
          <w:p w14:paraId="28BB41DF" w14:textId="77777777" w:rsidR="0045196E" w:rsidRPr="00637B46"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r>
      <w:tr w:rsidR="00F80FD3" w:rsidRPr="000A4F04" w14:paraId="6F25A77F" w14:textId="77777777" w:rsidTr="002561F7">
        <w:trPr>
          <w:gridAfter w:val="1"/>
          <w:wAfter w:w="1244"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vAlign w:val="center"/>
          </w:tcPr>
          <w:p w14:paraId="0EAD6130" w14:textId="1E6DDDFF" w:rsidR="0045196E" w:rsidRPr="000A4F04" w:rsidRDefault="0045196E">
            <w:pPr>
              <w:rPr>
                <w:rFonts w:cs="Arial"/>
                <w:sz w:val="28"/>
                <w:szCs w:val="28"/>
              </w:rPr>
            </w:pPr>
            <w:r w:rsidRPr="000A4F04">
              <w:rPr>
                <w:rFonts w:cs="Arial"/>
                <w:color w:val="000000" w:themeColor="text1"/>
                <w:sz w:val="28"/>
                <w:szCs w:val="28"/>
              </w:rPr>
              <w:t>Vision Principle 4</w:t>
            </w:r>
          </w:p>
        </w:tc>
        <w:tc>
          <w:tcPr>
            <w:tcW w:w="1527" w:type="dxa"/>
            <w:gridSpan w:val="2"/>
            <w:vAlign w:val="center"/>
          </w:tcPr>
          <w:p w14:paraId="2C761447" w14:textId="3124C3C3" w:rsidR="0045196E" w:rsidRPr="00637B46"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p>
        </w:tc>
        <w:tc>
          <w:tcPr>
            <w:tcW w:w="1525" w:type="dxa"/>
            <w:gridSpan w:val="2"/>
            <w:vAlign w:val="center"/>
          </w:tcPr>
          <w:p w14:paraId="48F4B737" w14:textId="473E03CE" w:rsidR="0045196E" w:rsidRPr="00637B46"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r>
      <w:tr w:rsidR="00505E84" w:rsidRPr="00653483" w14:paraId="7148AFC4" w14:textId="77777777" w:rsidTr="002561F7">
        <w:trPr>
          <w:gridAfter w:val="1"/>
          <w:cnfStyle w:val="000000100000" w:firstRow="0" w:lastRow="0" w:firstColumn="0" w:lastColumn="0" w:oddVBand="0" w:evenVBand="0" w:oddHBand="1" w:evenHBand="0" w:firstRowFirstColumn="0" w:firstRowLastColumn="0" w:lastRowFirstColumn="0" w:lastRowLastColumn="0"/>
          <w:wAfter w:w="1244"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vAlign w:val="center"/>
          </w:tcPr>
          <w:p w14:paraId="1297B045" w14:textId="77777777" w:rsidR="0045196E" w:rsidRPr="000B631D" w:rsidRDefault="0045196E" w:rsidP="00D16B99">
            <w:pPr>
              <w:pStyle w:val="ListParagraph"/>
              <w:numPr>
                <w:ilvl w:val="0"/>
                <w:numId w:val="19"/>
              </w:numPr>
              <w:spacing w:before="40" w:after="40" w:line="240" w:lineRule="auto"/>
              <w:rPr>
                <w:rFonts w:cs="Arial"/>
                <w:b w:val="0"/>
                <w:bCs w:val="0"/>
              </w:rPr>
            </w:pPr>
            <w:r w:rsidRPr="000B631D">
              <w:rPr>
                <w:rFonts w:cs="Arial"/>
                <w:b w:val="0"/>
                <w:bCs w:val="0"/>
              </w:rPr>
              <w:t>Vacancy fill rate (%)</w:t>
            </w:r>
          </w:p>
        </w:tc>
        <w:tc>
          <w:tcPr>
            <w:tcW w:w="1527" w:type="dxa"/>
            <w:gridSpan w:val="2"/>
            <w:vAlign w:val="center"/>
          </w:tcPr>
          <w:p w14:paraId="605207BA" w14:textId="3EE656CC" w:rsidR="0045196E" w:rsidRPr="00637B46" w:rsidRDefault="00CF2AF0">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Pr>
                <w:b/>
                <w:bCs/>
              </w:rPr>
              <w:t>60.8</w:t>
            </w:r>
          </w:p>
        </w:tc>
        <w:tc>
          <w:tcPr>
            <w:tcW w:w="1525" w:type="dxa"/>
            <w:gridSpan w:val="2"/>
            <w:vAlign w:val="center"/>
          </w:tcPr>
          <w:p w14:paraId="45FF6168" w14:textId="3BF3D258" w:rsidR="0045196E" w:rsidRPr="00637B46" w:rsidRDefault="00227993">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637B46">
              <w:rPr>
                <w:rFonts w:cs="Arial"/>
                <w:b/>
                <w:bCs/>
              </w:rPr>
              <w:t>64.7</w:t>
            </w:r>
          </w:p>
        </w:tc>
      </w:tr>
      <w:tr w:rsidR="00F80FD3" w:rsidRPr="00653483" w14:paraId="7394628C" w14:textId="77777777" w:rsidTr="002561F7">
        <w:trPr>
          <w:gridAfter w:val="1"/>
          <w:wAfter w:w="1244"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vAlign w:val="center"/>
          </w:tcPr>
          <w:p w14:paraId="4874B3AC" w14:textId="574FCDE4" w:rsidR="00A6026E" w:rsidRPr="000B631D" w:rsidRDefault="00464B51" w:rsidP="00D16B99">
            <w:pPr>
              <w:pStyle w:val="ListParagraph"/>
              <w:numPr>
                <w:ilvl w:val="0"/>
                <w:numId w:val="19"/>
              </w:numPr>
              <w:spacing w:before="40" w:after="40" w:line="240" w:lineRule="auto"/>
              <w:rPr>
                <w:rFonts w:cs="Arial"/>
                <w:b w:val="0"/>
                <w:bCs w:val="0"/>
              </w:rPr>
            </w:pPr>
            <w:r>
              <w:rPr>
                <w:rFonts w:cs="Arial"/>
                <w:b w:val="0"/>
                <w:bCs w:val="0"/>
              </w:rPr>
              <w:t>Essential service</w:t>
            </w:r>
            <w:r w:rsidR="005F3A40">
              <w:rPr>
                <w:rFonts w:cs="Arial"/>
                <w:b w:val="0"/>
                <w:bCs w:val="0"/>
              </w:rPr>
              <w:t>s</w:t>
            </w:r>
            <w:r>
              <w:rPr>
                <w:rFonts w:cs="Arial"/>
                <w:b w:val="0"/>
                <w:bCs w:val="0"/>
              </w:rPr>
              <w:t xml:space="preserve"> vacancy rate (%)</w:t>
            </w:r>
          </w:p>
        </w:tc>
        <w:tc>
          <w:tcPr>
            <w:tcW w:w="1527" w:type="dxa"/>
            <w:gridSpan w:val="2"/>
            <w:vAlign w:val="center"/>
          </w:tcPr>
          <w:p w14:paraId="401DB350" w14:textId="21893FF7" w:rsidR="00A6026E" w:rsidRPr="00637B46" w:rsidRDefault="00EA3DDA">
            <w:pPr>
              <w:spacing w:after="0"/>
              <w:jc w:val="center"/>
              <w:cnfStyle w:val="000000000000" w:firstRow="0" w:lastRow="0" w:firstColumn="0" w:lastColumn="0" w:oddVBand="0" w:evenVBand="0" w:oddHBand="0" w:evenHBand="0" w:firstRowFirstColumn="0" w:firstRowLastColumn="0" w:lastRowFirstColumn="0" w:lastRowLastColumn="0"/>
              <w:rPr>
                <w:b/>
                <w:bCs/>
              </w:rPr>
            </w:pPr>
            <w:r>
              <w:rPr>
                <w:b/>
                <w:bCs/>
              </w:rPr>
              <w:t>8.2</w:t>
            </w:r>
          </w:p>
        </w:tc>
        <w:tc>
          <w:tcPr>
            <w:tcW w:w="1525" w:type="dxa"/>
            <w:gridSpan w:val="2"/>
            <w:vAlign w:val="center"/>
          </w:tcPr>
          <w:p w14:paraId="4E74D822" w14:textId="02214F5D" w:rsidR="00A6026E" w:rsidRPr="00637B46" w:rsidRDefault="00464B51">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8.5</w:t>
            </w:r>
          </w:p>
        </w:tc>
      </w:tr>
      <w:tr w:rsidR="00505E84" w:rsidRPr="00653483" w14:paraId="3BE08B28" w14:textId="77777777" w:rsidTr="002561F7">
        <w:trPr>
          <w:gridAfter w:val="1"/>
          <w:cnfStyle w:val="000000100000" w:firstRow="0" w:lastRow="0" w:firstColumn="0" w:lastColumn="0" w:oddVBand="0" w:evenVBand="0" w:oddHBand="1" w:evenHBand="0" w:firstRowFirstColumn="0" w:firstRowLastColumn="0" w:lastRowFirstColumn="0" w:lastRowLastColumn="0"/>
          <w:wAfter w:w="1244"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vAlign w:val="center"/>
          </w:tcPr>
          <w:p w14:paraId="0C8BDC01" w14:textId="77777777" w:rsidR="0045196E" w:rsidRPr="000B631D" w:rsidRDefault="0045196E" w:rsidP="00D16B99">
            <w:pPr>
              <w:pStyle w:val="ListParagraph"/>
              <w:numPr>
                <w:ilvl w:val="0"/>
                <w:numId w:val="19"/>
              </w:numPr>
              <w:spacing w:before="40" w:after="40" w:line="240" w:lineRule="auto"/>
              <w:rPr>
                <w:rFonts w:cs="Arial"/>
                <w:b w:val="0"/>
                <w:bCs w:val="0"/>
              </w:rPr>
            </w:pPr>
            <w:r w:rsidRPr="000B631D">
              <w:rPr>
                <w:rFonts w:cs="Arial"/>
                <w:b w:val="0"/>
                <w:bCs w:val="0"/>
              </w:rPr>
              <w:t>Incidence of persistent hiring pressures (%)</w:t>
            </w:r>
          </w:p>
        </w:tc>
        <w:tc>
          <w:tcPr>
            <w:tcW w:w="1527" w:type="dxa"/>
            <w:gridSpan w:val="2"/>
            <w:vAlign w:val="center"/>
          </w:tcPr>
          <w:p w14:paraId="6C83D81E" w14:textId="5BA5CD57" w:rsidR="0045196E" w:rsidRPr="00637B46" w:rsidRDefault="00A77655">
            <w:pPr>
              <w:spacing w:after="0"/>
              <w:jc w:val="center"/>
              <w:cnfStyle w:val="000000100000" w:firstRow="0" w:lastRow="0" w:firstColumn="0" w:lastColumn="0" w:oddVBand="0" w:evenVBand="0" w:oddHBand="1" w:evenHBand="0" w:firstRowFirstColumn="0" w:firstRowLastColumn="0" w:lastRowFirstColumn="0" w:lastRowLastColumn="0"/>
              <w:rPr>
                <w:rFonts w:cs="Arial"/>
                <w:b/>
                <w:bCs/>
                <w:highlight w:val="yellow"/>
              </w:rPr>
            </w:pPr>
            <w:r w:rsidRPr="004D08E0">
              <w:rPr>
                <w:rFonts w:cs="Arial"/>
                <w:b/>
                <w:bCs/>
              </w:rPr>
              <w:t>n/a</w:t>
            </w:r>
          </w:p>
        </w:tc>
        <w:tc>
          <w:tcPr>
            <w:tcW w:w="1525" w:type="dxa"/>
            <w:gridSpan w:val="2"/>
            <w:vAlign w:val="center"/>
          </w:tcPr>
          <w:p w14:paraId="1906FB39" w14:textId="1E2ABF1A" w:rsidR="0045196E" w:rsidRPr="00637B46" w:rsidRDefault="00B576B9">
            <w:pPr>
              <w:spacing w:after="0"/>
              <w:jc w:val="center"/>
              <w:cnfStyle w:val="000000100000" w:firstRow="0" w:lastRow="0" w:firstColumn="0" w:lastColumn="0" w:oddVBand="0" w:evenVBand="0" w:oddHBand="1" w:evenHBand="0" w:firstRowFirstColumn="0" w:firstRowLastColumn="0" w:lastRowFirstColumn="0" w:lastRowLastColumn="0"/>
              <w:rPr>
                <w:rFonts w:cs="Arial"/>
                <w:b/>
                <w:bCs/>
                <w:highlight w:val="yellow"/>
              </w:rPr>
            </w:pPr>
            <w:r>
              <w:rPr>
                <w:rFonts w:cs="Arial"/>
                <w:b/>
                <w:bCs/>
              </w:rPr>
              <w:t>36.8</w:t>
            </w:r>
          </w:p>
        </w:tc>
      </w:tr>
      <w:tr w:rsidR="00F80FD3" w:rsidRPr="00653483" w14:paraId="4F2BDEAB" w14:textId="77777777" w:rsidTr="002561F7">
        <w:trPr>
          <w:gridAfter w:val="1"/>
          <w:wAfter w:w="1244"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vAlign w:val="center"/>
          </w:tcPr>
          <w:p w14:paraId="30474204" w14:textId="058FC0D6" w:rsidR="0045196E" w:rsidRPr="000B631D" w:rsidRDefault="006961FA" w:rsidP="00D16B99">
            <w:pPr>
              <w:pStyle w:val="ListParagraph"/>
              <w:numPr>
                <w:ilvl w:val="0"/>
                <w:numId w:val="19"/>
              </w:numPr>
              <w:spacing w:before="40" w:after="40" w:line="240" w:lineRule="auto"/>
              <w:rPr>
                <w:rFonts w:cs="Arial"/>
              </w:rPr>
            </w:pPr>
            <w:r>
              <w:rPr>
                <w:rFonts w:cs="Arial"/>
                <w:b w:val="0"/>
                <w:bCs w:val="0"/>
              </w:rPr>
              <w:t>Business creation rate</w:t>
            </w:r>
            <w:r w:rsidR="0045196E" w:rsidRPr="000B631D">
              <w:rPr>
                <w:rFonts w:cs="Arial"/>
                <w:b w:val="0"/>
                <w:bCs w:val="0"/>
              </w:rPr>
              <w:t xml:space="preserve"> (%)</w:t>
            </w:r>
          </w:p>
        </w:tc>
        <w:tc>
          <w:tcPr>
            <w:tcW w:w="1527" w:type="dxa"/>
            <w:gridSpan w:val="2"/>
            <w:vAlign w:val="center"/>
          </w:tcPr>
          <w:p w14:paraId="38BC6E0B" w14:textId="58459B32" w:rsidR="0045196E" w:rsidRPr="00637B46" w:rsidRDefault="002D647A">
            <w:pPr>
              <w:spacing w:after="0"/>
              <w:jc w:val="center"/>
              <w:cnfStyle w:val="000000000000" w:firstRow="0" w:lastRow="0" w:firstColumn="0" w:lastColumn="0" w:oddVBand="0" w:evenVBand="0" w:oddHBand="0" w:evenHBand="0" w:firstRowFirstColumn="0" w:firstRowLastColumn="0" w:lastRowFirstColumn="0" w:lastRowLastColumn="0"/>
              <w:rPr>
                <w:rFonts w:cs="Arial"/>
                <w:b/>
                <w:bCs/>
                <w:highlight w:val="yellow"/>
              </w:rPr>
            </w:pPr>
            <w:r>
              <w:rPr>
                <w:rFonts w:cs="Arial"/>
                <w:b/>
                <w:bCs/>
              </w:rPr>
              <w:t>1.6</w:t>
            </w:r>
          </w:p>
        </w:tc>
        <w:tc>
          <w:tcPr>
            <w:tcW w:w="1525" w:type="dxa"/>
            <w:gridSpan w:val="2"/>
            <w:vAlign w:val="center"/>
          </w:tcPr>
          <w:p w14:paraId="2FD666A0" w14:textId="218B2D20" w:rsidR="0045196E" w:rsidRPr="00637B46" w:rsidRDefault="00D87A91">
            <w:pPr>
              <w:spacing w:after="0"/>
              <w:jc w:val="center"/>
              <w:cnfStyle w:val="000000000000" w:firstRow="0" w:lastRow="0" w:firstColumn="0" w:lastColumn="0" w:oddVBand="0" w:evenVBand="0" w:oddHBand="0" w:evenHBand="0" w:firstRowFirstColumn="0" w:firstRowLastColumn="0" w:lastRowFirstColumn="0" w:lastRowLastColumn="0"/>
              <w:rPr>
                <w:rFonts w:cs="Arial"/>
                <w:b/>
                <w:bCs/>
                <w:highlight w:val="yellow"/>
              </w:rPr>
            </w:pPr>
            <w:r>
              <w:rPr>
                <w:rFonts w:cs="Arial"/>
                <w:b/>
                <w:bCs/>
              </w:rPr>
              <w:t>2.2</w:t>
            </w:r>
          </w:p>
        </w:tc>
      </w:tr>
      <w:tr w:rsidR="004F3933" w:rsidRPr="000A4F04" w14:paraId="51FD551B" w14:textId="77777777" w:rsidTr="002561F7">
        <w:trPr>
          <w:gridAfter w:val="1"/>
          <w:cnfStyle w:val="000000100000" w:firstRow="0" w:lastRow="0" w:firstColumn="0" w:lastColumn="0" w:oddVBand="0" w:evenVBand="0" w:oddHBand="1" w:evenHBand="0" w:firstRowFirstColumn="0" w:firstRowLastColumn="0" w:lastRowFirstColumn="0" w:lastRowLastColumn="0"/>
          <w:wAfter w:w="1244" w:type="dxa"/>
          <w:trHeight w:val="227"/>
        </w:trPr>
        <w:tc>
          <w:tcPr>
            <w:cnfStyle w:val="001000000000" w:firstRow="0" w:lastRow="0" w:firstColumn="1" w:lastColumn="0" w:oddVBand="0" w:evenVBand="0" w:oddHBand="0" w:evenHBand="0" w:firstRowFirstColumn="0" w:firstRowLastColumn="0" w:lastRowFirstColumn="0" w:lastRowLastColumn="0"/>
            <w:tcW w:w="5460" w:type="dxa"/>
            <w:shd w:val="clear" w:color="auto" w:fill="370663"/>
          </w:tcPr>
          <w:p w14:paraId="6214B699" w14:textId="77777777" w:rsidR="004F3933" w:rsidRPr="000A4F04" w:rsidRDefault="004F3933">
            <w:pPr>
              <w:spacing w:after="0"/>
              <w:rPr>
                <w:rFonts w:cs="Arial"/>
                <w:color w:val="000000" w:themeColor="text1"/>
                <w:sz w:val="12"/>
                <w:szCs w:val="12"/>
              </w:rPr>
            </w:pPr>
          </w:p>
        </w:tc>
        <w:tc>
          <w:tcPr>
            <w:tcW w:w="1229" w:type="dxa"/>
            <w:gridSpan w:val="2"/>
            <w:shd w:val="clear" w:color="auto" w:fill="370663"/>
          </w:tcPr>
          <w:p w14:paraId="4FADEABE" w14:textId="77777777" w:rsidR="004F3933" w:rsidRPr="00637B46" w:rsidRDefault="004F3933">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p>
        </w:tc>
        <w:tc>
          <w:tcPr>
            <w:tcW w:w="1430" w:type="dxa"/>
            <w:gridSpan w:val="2"/>
            <w:shd w:val="clear" w:color="auto" w:fill="370663"/>
          </w:tcPr>
          <w:p w14:paraId="5E1348B9" w14:textId="77777777" w:rsidR="004F3933" w:rsidRPr="00637B46" w:rsidRDefault="004F3933">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c>
          <w:tcPr>
            <w:tcW w:w="1095" w:type="dxa"/>
            <w:shd w:val="clear" w:color="auto" w:fill="370663"/>
          </w:tcPr>
          <w:p w14:paraId="24D9C8E9" w14:textId="77777777" w:rsidR="004F3933" w:rsidRPr="00637B46" w:rsidRDefault="004F3933">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r>
      <w:tr w:rsidR="00CD1924" w:rsidRPr="000A4F04" w14:paraId="4A9152E2" w14:textId="77777777" w:rsidTr="002561F7">
        <w:trPr>
          <w:gridAfter w:val="1"/>
          <w:wAfter w:w="1244" w:type="dxa"/>
          <w:trHeight w:val="454"/>
        </w:trPr>
        <w:tc>
          <w:tcPr>
            <w:cnfStyle w:val="001000000000" w:firstRow="0" w:lastRow="0" w:firstColumn="1" w:lastColumn="0" w:oddVBand="0" w:evenVBand="0" w:oddHBand="0" w:evenHBand="0" w:firstRowFirstColumn="0" w:firstRowLastColumn="0" w:lastRowFirstColumn="0" w:lastRowLastColumn="0"/>
            <w:tcW w:w="5460" w:type="dxa"/>
          </w:tcPr>
          <w:p w14:paraId="7EB6CB11" w14:textId="77777777" w:rsidR="004F3933" w:rsidRPr="000A4F04" w:rsidRDefault="004F3933">
            <w:pPr>
              <w:spacing w:after="0"/>
              <w:rPr>
                <w:rFonts w:cs="Arial"/>
                <w:sz w:val="28"/>
                <w:szCs w:val="28"/>
              </w:rPr>
            </w:pPr>
            <w:r w:rsidRPr="000A4F04">
              <w:rPr>
                <w:rFonts w:cs="Arial"/>
                <w:color w:val="000000" w:themeColor="text1"/>
                <w:sz w:val="28"/>
                <w:szCs w:val="28"/>
              </w:rPr>
              <w:t xml:space="preserve">Vision Principle </w:t>
            </w:r>
            <w:r>
              <w:rPr>
                <w:rFonts w:cs="Arial"/>
                <w:color w:val="000000" w:themeColor="text1"/>
                <w:sz w:val="28"/>
                <w:szCs w:val="28"/>
              </w:rPr>
              <w:t>5</w:t>
            </w:r>
          </w:p>
        </w:tc>
        <w:tc>
          <w:tcPr>
            <w:tcW w:w="1229" w:type="dxa"/>
            <w:gridSpan w:val="2"/>
          </w:tcPr>
          <w:p w14:paraId="45993859" w14:textId="77777777" w:rsidR="004F3933" w:rsidRPr="00637B46" w:rsidRDefault="004F3933">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p>
        </w:tc>
        <w:tc>
          <w:tcPr>
            <w:tcW w:w="1430" w:type="dxa"/>
            <w:gridSpan w:val="2"/>
          </w:tcPr>
          <w:p w14:paraId="22137AD6" w14:textId="77777777" w:rsidR="004F3933" w:rsidRPr="00637B46" w:rsidRDefault="004F3933">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c>
          <w:tcPr>
            <w:tcW w:w="1095" w:type="dxa"/>
          </w:tcPr>
          <w:p w14:paraId="605C28AD" w14:textId="77777777" w:rsidR="004F3933" w:rsidRPr="00637B46" w:rsidRDefault="004F3933">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r>
      <w:tr w:rsidR="00505E84" w:rsidRPr="003A4857" w14:paraId="18CD790D" w14:textId="77777777" w:rsidTr="002561F7">
        <w:trPr>
          <w:gridAfter w:val="1"/>
          <w:cnfStyle w:val="000000100000" w:firstRow="0" w:lastRow="0" w:firstColumn="0" w:lastColumn="0" w:oddVBand="0" w:evenVBand="0" w:oddHBand="1" w:evenHBand="0" w:firstRowFirstColumn="0" w:firstRowLastColumn="0" w:lastRowFirstColumn="0" w:lastRowLastColumn="0"/>
          <w:wAfter w:w="1244"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vAlign w:val="center"/>
          </w:tcPr>
          <w:p w14:paraId="4425805E" w14:textId="77777777" w:rsidR="004F3933" w:rsidRPr="000B631D" w:rsidRDefault="004F3933" w:rsidP="00D16B99">
            <w:pPr>
              <w:pStyle w:val="ListParagraph"/>
              <w:numPr>
                <w:ilvl w:val="0"/>
                <w:numId w:val="19"/>
              </w:numPr>
              <w:spacing w:before="40" w:after="40" w:line="240" w:lineRule="auto"/>
              <w:rPr>
                <w:rFonts w:cs="Arial"/>
                <w:b w:val="0"/>
                <w:bCs w:val="0"/>
              </w:rPr>
            </w:pPr>
            <w:r>
              <w:rPr>
                <w:rFonts w:cs="Arial"/>
                <w:b w:val="0"/>
                <w:bCs w:val="0"/>
              </w:rPr>
              <w:t>Beveridge Curve analysis</w:t>
            </w:r>
          </w:p>
        </w:tc>
        <w:tc>
          <w:tcPr>
            <w:tcW w:w="1527" w:type="dxa"/>
            <w:gridSpan w:val="2"/>
            <w:vAlign w:val="center"/>
          </w:tcPr>
          <w:p w14:paraId="6DBA6EF0" w14:textId="77FF44AB" w:rsidR="004F3933" w:rsidRPr="00637B46" w:rsidRDefault="004E2BE7">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n/a</w:t>
            </w:r>
          </w:p>
        </w:tc>
        <w:tc>
          <w:tcPr>
            <w:tcW w:w="1525" w:type="dxa"/>
            <w:gridSpan w:val="2"/>
            <w:vAlign w:val="center"/>
          </w:tcPr>
          <w:p w14:paraId="243ED065" w14:textId="1B681293" w:rsidR="004F3933" w:rsidRPr="00637B46" w:rsidRDefault="004E2BE7">
            <w:pPr>
              <w:spacing w:after="0"/>
              <w:jc w:val="center"/>
              <w:cnfStyle w:val="000000100000" w:firstRow="0" w:lastRow="0" w:firstColumn="0" w:lastColumn="0" w:oddVBand="0" w:evenVBand="0" w:oddHBand="1" w:evenHBand="0" w:firstRowFirstColumn="0" w:firstRowLastColumn="0" w:lastRowFirstColumn="0" w:lastRowLastColumn="0"/>
              <w:rPr>
                <w:rFonts w:cs="Arial"/>
                <w:b/>
                <w:bCs/>
                <w:highlight w:val="yellow"/>
              </w:rPr>
            </w:pPr>
            <w:r w:rsidRPr="004D08E0">
              <w:rPr>
                <w:rFonts w:cs="Arial"/>
                <w:b/>
                <w:bCs/>
              </w:rPr>
              <w:t>n/a</w:t>
            </w:r>
          </w:p>
        </w:tc>
      </w:tr>
      <w:tr w:rsidR="00F80FD3" w:rsidRPr="000A4F04" w14:paraId="6D5405CA" w14:textId="77777777" w:rsidTr="002561F7">
        <w:trPr>
          <w:gridAfter w:val="1"/>
          <w:wAfter w:w="1244" w:type="dxa"/>
          <w:trHeight w:val="454"/>
        </w:trPr>
        <w:tc>
          <w:tcPr>
            <w:cnfStyle w:val="001000000000" w:firstRow="0" w:lastRow="0" w:firstColumn="1" w:lastColumn="0" w:oddVBand="0" w:evenVBand="0" w:oddHBand="0" w:evenHBand="0" w:firstRowFirstColumn="0" w:firstRowLastColumn="0" w:lastRowFirstColumn="0" w:lastRowLastColumn="0"/>
            <w:tcW w:w="6162" w:type="dxa"/>
            <w:gridSpan w:val="2"/>
            <w:vAlign w:val="center"/>
          </w:tcPr>
          <w:p w14:paraId="1DA9B0B5" w14:textId="70222896" w:rsidR="004F3933" w:rsidRPr="000B631D" w:rsidRDefault="004F3933" w:rsidP="00D16B99">
            <w:pPr>
              <w:pStyle w:val="ListParagraph"/>
              <w:numPr>
                <w:ilvl w:val="0"/>
                <w:numId w:val="19"/>
              </w:numPr>
              <w:spacing w:before="40" w:after="40" w:line="240" w:lineRule="auto"/>
              <w:rPr>
                <w:rFonts w:cs="Arial"/>
              </w:rPr>
            </w:pPr>
            <w:r>
              <w:rPr>
                <w:rFonts w:cs="Arial"/>
                <w:b w:val="0"/>
                <w:bCs w:val="0"/>
              </w:rPr>
              <w:t>Efficiency of labour market matching</w:t>
            </w:r>
            <w:r w:rsidR="00B45E0B">
              <w:rPr>
                <w:rFonts w:cs="Arial"/>
                <w:b w:val="0"/>
                <w:bCs w:val="0"/>
              </w:rPr>
              <w:t xml:space="preserve"> (%)</w:t>
            </w:r>
          </w:p>
        </w:tc>
        <w:tc>
          <w:tcPr>
            <w:tcW w:w="1527" w:type="dxa"/>
            <w:gridSpan w:val="2"/>
            <w:vAlign w:val="center"/>
          </w:tcPr>
          <w:p w14:paraId="11ECC016" w14:textId="0A1714EC" w:rsidR="004F3933" w:rsidRPr="001D7DF4" w:rsidRDefault="0054010F">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80.4</w:t>
            </w:r>
          </w:p>
        </w:tc>
        <w:tc>
          <w:tcPr>
            <w:tcW w:w="1525" w:type="dxa"/>
            <w:gridSpan w:val="2"/>
            <w:vAlign w:val="center"/>
          </w:tcPr>
          <w:p w14:paraId="4291C58A" w14:textId="40AD4412" w:rsidR="004F3933" w:rsidRPr="001D7DF4" w:rsidRDefault="0054010F">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80.7</w:t>
            </w:r>
          </w:p>
        </w:tc>
      </w:tr>
    </w:tbl>
    <w:p w14:paraId="29CD261E" w14:textId="5A3803A0" w:rsidR="0045196E" w:rsidRDefault="0045196E" w:rsidP="00A27EC5">
      <w:pPr>
        <w:pStyle w:val="Heading2"/>
      </w:pPr>
      <w:bookmarkStart w:id="230" w:name="_Toc200637164"/>
      <w:bookmarkStart w:id="231" w:name="_Toc201070206"/>
      <w:bookmarkStart w:id="232" w:name="_Toc201919869"/>
      <w:bookmarkStart w:id="233" w:name="_Toc202361897"/>
      <w:r>
        <w:lastRenderedPageBreak/>
        <w:t>Australian Capital Territory</w:t>
      </w:r>
      <w:bookmarkEnd w:id="230"/>
      <w:bookmarkEnd w:id="231"/>
      <w:bookmarkEnd w:id="232"/>
      <w:bookmarkEnd w:id="233"/>
    </w:p>
    <w:p w14:paraId="3E3C0ADD" w14:textId="41BC343A" w:rsidR="0045196E" w:rsidRPr="004B5B98" w:rsidRDefault="009D232C" w:rsidP="009D232C">
      <w:pPr>
        <w:pStyle w:val="Caption"/>
        <w:spacing w:before="160"/>
        <w:rPr>
          <w:b w:val="0"/>
          <w:bCs w:val="0"/>
        </w:rPr>
      </w:pPr>
      <w:r>
        <w:t xml:space="preserve">Table </w:t>
      </w:r>
      <w:r>
        <w:fldChar w:fldCharType="begin"/>
      </w:r>
      <w:r>
        <w:instrText xml:space="preserve"> SEQ Table \* ARABIC </w:instrText>
      </w:r>
      <w:r>
        <w:fldChar w:fldCharType="separate"/>
      </w:r>
      <w:r w:rsidR="00471863">
        <w:rPr>
          <w:noProof/>
        </w:rPr>
        <w:t>40</w:t>
      </w:r>
      <w:r>
        <w:fldChar w:fldCharType="end"/>
      </w:r>
      <w:r w:rsidR="0045196E" w:rsidRPr="004B5B98">
        <w:rPr>
          <w:b w:val="0"/>
          <w:bCs w:val="0"/>
        </w:rPr>
        <w:t>:</w:t>
      </w:r>
      <w:r w:rsidR="00194A47" w:rsidRPr="00194A47">
        <w:t xml:space="preserve"> </w:t>
      </w:r>
      <w:r w:rsidR="00194A47" w:rsidRPr="00820B93">
        <w:t xml:space="preserve">Roadmap indicators for </w:t>
      </w:r>
      <w:r w:rsidR="00194A47">
        <w:t>Australian Capital Territory and Regional Australia</w:t>
      </w:r>
    </w:p>
    <w:tbl>
      <w:tblPr>
        <w:tblStyle w:val="PlainTable4"/>
        <w:tblW w:w="10458" w:type="dxa"/>
        <w:tblLook w:val="04A0" w:firstRow="1" w:lastRow="0" w:firstColumn="1" w:lastColumn="0" w:noHBand="0" w:noVBand="1"/>
      </w:tblPr>
      <w:tblGrid>
        <w:gridCol w:w="5457"/>
        <w:gridCol w:w="702"/>
        <w:gridCol w:w="25"/>
        <w:gridCol w:w="502"/>
        <w:gridCol w:w="1003"/>
        <w:gridCol w:w="427"/>
        <w:gridCol w:w="1098"/>
        <w:gridCol w:w="1244"/>
      </w:tblGrid>
      <w:tr w:rsidR="0045196E" w:rsidRPr="00653483" w14:paraId="6F6D04BB" w14:textId="77777777" w:rsidTr="002561F7">
        <w:trPr>
          <w:gridAfter w:val="1"/>
          <w:cnfStyle w:val="100000000000" w:firstRow="1" w:lastRow="0" w:firstColumn="0" w:lastColumn="0" w:oddVBand="0" w:evenVBand="0" w:oddHBand="0" w:evenHBand="0" w:firstRowFirstColumn="0" w:firstRowLastColumn="0" w:lastRowFirstColumn="0" w:lastRowLastColumn="0"/>
          <w:wAfter w:w="1244" w:type="dxa"/>
          <w:trHeight w:val="737"/>
        </w:trPr>
        <w:tc>
          <w:tcPr>
            <w:cnfStyle w:val="001000000000" w:firstRow="0" w:lastRow="0" w:firstColumn="1" w:lastColumn="0" w:oddVBand="0" w:evenVBand="0" w:oddHBand="0" w:evenHBand="0" w:firstRowFirstColumn="0" w:firstRowLastColumn="0" w:lastRowFirstColumn="0" w:lastRowLastColumn="0"/>
            <w:tcW w:w="6184" w:type="dxa"/>
            <w:gridSpan w:val="3"/>
            <w:shd w:val="clear" w:color="auto" w:fill="370663"/>
            <w:vAlign w:val="center"/>
          </w:tcPr>
          <w:p w14:paraId="2079A272" w14:textId="77777777" w:rsidR="0045196E" w:rsidRPr="00DF1C3B" w:rsidRDefault="0045196E">
            <w:pPr>
              <w:spacing w:before="120" w:after="120"/>
              <w:rPr>
                <w:rFonts w:cs="Arial"/>
                <w:color w:val="FFFFFF" w:themeColor="background1"/>
                <w:sz w:val="24"/>
                <w:szCs w:val="24"/>
              </w:rPr>
            </w:pPr>
          </w:p>
        </w:tc>
        <w:tc>
          <w:tcPr>
            <w:tcW w:w="1505" w:type="dxa"/>
            <w:gridSpan w:val="2"/>
            <w:shd w:val="clear" w:color="auto" w:fill="370663"/>
            <w:vAlign w:val="center"/>
          </w:tcPr>
          <w:p w14:paraId="7559A0F0" w14:textId="77777777" w:rsidR="0045196E" w:rsidRPr="00DF1C3B" w:rsidRDefault="0045196E">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Pr>
                <w:rFonts w:cs="Arial"/>
                <w:color w:val="FFFFFF" w:themeColor="background1"/>
                <w:sz w:val="24"/>
                <w:szCs w:val="24"/>
              </w:rPr>
              <w:t>ACT</w:t>
            </w:r>
          </w:p>
        </w:tc>
        <w:tc>
          <w:tcPr>
            <w:tcW w:w="1525" w:type="dxa"/>
            <w:gridSpan w:val="2"/>
            <w:shd w:val="clear" w:color="auto" w:fill="370663"/>
          </w:tcPr>
          <w:p w14:paraId="0A8019DE" w14:textId="77777777" w:rsidR="0045196E" w:rsidRDefault="0045196E">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sidRPr="00DF1C3B">
              <w:rPr>
                <w:rFonts w:cs="Arial"/>
                <w:color w:val="FFFFFF" w:themeColor="background1"/>
                <w:sz w:val="24"/>
                <w:szCs w:val="24"/>
              </w:rPr>
              <w:t>Regional Australia</w:t>
            </w:r>
          </w:p>
        </w:tc>
      </w:tr>
      <w:tr w:rsidR="006C29C5" w:rsidRPr="000A4F04" w14:paraId="22D28048" w14:textId="77777777" w:rsidTr="002561F7">
        <w:trPr>
          <w:gridAfter w:val="1"/>
          <w:cnfStyle w:val="000000100000" w:firstRow="0" w:lastRow="0" w:firstColumn="0" w:lastColumn="0" w:oddVBand="0" w:evenVBand="0" w:oddHBand="1" w:evenHBand="0" w:firstRowFirstColumn="0" w:firstRowLastColumn="0" w:lastRowFirstColumn="0" w:lastRowLastColumn="0"/>
          <w:wAfter w:w="1244" w:type="dxa"/>
          <w:trHeight w:val="454"/>
        </w:trPr>
        <w:tc>
          <w:tcPr>
            <w:cnfStyle w:val="001000000000" w:firstRow="0" w:lastRow="0" w:firstColumn="1" w:lastColumn="0" w:oddVBand="0" w:evenVBand="0" w:oddHBand="0" w:evenHBand="0" w:firstRowFirstColumn="0" w:firstRowLastColumn="0" w:lastRowFirstColumn="0" w:lastRowLastColumn="0"/>
            <w:tcW w:w="6184" w:type="dxa"/>
            <w:gridSpan w:val="3"/>
            <w:vAlign w:val="center"/>
          </w:tcPr>
          <w:p w14:paraId="445B64C8" w14:textId="77EA428B" w:rsidR="0045196E" w:rsidRPr="000A4F04" w:rsidRDefault="0045196E">
            <w:pPr>
              <w:rPr>
                <w:rFonts w:cs="Arial"/>
                <w:sz w:val="28"/>
                <w:szCs w:val="28"/>
              </w:rPr>
            </w:pPr>
            <w:r w:rsidRPr="000A4F04">
              <w:rPr>
                <w:rFonts w:cs="Arial"/>
                <w:color w:val="000000" w:themeColor="text1"/>
                <w:sz w:val="28"/>
                <w:szCs w:val="28"/>
              </w:rPr>
              <w:t>Vision Principle 1</w:t>
            </w:r>
          </w:p>
        </w:tc>
        <w:tc>
          <w:tcPr>
            <w:tcW w:w="1505" w:type="dxa"/>
            <w:gridSpan w:val="2"/>
            <w:vAlign w:val="center"/>
          </w:tcPr>
          <w:p w14:paraId="01362766" w14:textId="359A7EF8" w:rsidR="0045196E" w:rsidRPr="000A4F04"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8"/>
                <w:szCs w:val="28"/>
              </w:rPr>
            </w:pPr>
          </w:p>
        </w:tc>
        <w:tc>
          <w:tcPr>
            <w:tcW w:w="1525" w:type="dxa"/>
            <w:gridSpan w:val="2"/>
            <w:shd w:val="clear" w:color="auto" w:fill="FFFFFF" w:themeFill="background1"/>
            <w:vAlign w:val="center"/>
          </w:tcPr>
          <w:p w14:paraId="15922642" w14:textId="44380EBF" w:rsidR="0045196E" w:rsidRPr="005A05A5"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color w:val="C00000"/>
                <w:sz w:val="24"/>
                <w:szCs w:val="24"/>
              </w:rPr>
            </w:pPr>
          </w:p>
        </w:tc>
      </w:tr>
      <w:tr w:rsidR="0045196E" w:rsidRPr="00653483" w14:paraId="7C9A1F20" w14:textId="77777777" w:rsidTr="002561F7">
        <w:trPr>
          <w:gridAfter w:val="1"/>
          <w:wAfter w:w="1244" w:type="dxa"/>
          <w:trHeight w:val="454"/>
        </w:trPr>
        <w:tc>
          <w:tcPr>
            <w:cnfStyle w:val="001000000000" w:firstRow="0" w:lastRow="0" w:firstColumn="1" w:lastColumn="0" w:oddVBand="0" w:evenVBand="0" w:oddHBand="0" w:evenHBand="0" w:firstRowFirstColumn="0" w:firstRowLastColumn="0" w:lastRowFirstColumn="0" w:lastRowLastColumn="0"/>
            <w:tcW w:w="6184" w:type="dxa"/>
            <w:gridSpan w:val="3"/>
            <w:vAlign w:val="center"/>
          </w:tcPr>
          <w:p w14:paraId="00900205" w14:textId="77777777" w:rsidR="0045196E" w:rsidRPr="000B631D" w:rsidRDefault="0045196E" w:rsidP="00D16B99">
            <w:pPr>
              <w:pStyle w:val="ListParagraph"/>
              <w:numPr>
                <w:ilvl w:val="0"/>
                <w:numId w:val="20"/>
              </w:numPr>
              <w:spacing w:before="40" w:after="40" w:line="240" w:lineRule="auto"/>
              <w:rPr>
                <w:rFonts w:cs="Arial"/>
              </w:rPr>
            </w:pPr>
            <w:r w:rsidRPr="00BE2F59">
              <w:rPr>
                <w:rFonts w:cs="Arial"/>
                <w:b w:val="0"/>
                <w:bCs w:val="0"/>
              </w:rPr>
              <w:t xml:space="preserve">School </w:t>
            </w:r>
            <w:r>
              <w:rPr>
                <w:rFonts w:cs="Arial"/>
                <w:b w:val="0"/>
                <w:bCs w:val="0"/>
              </w:rPr>
              <w:t>non-</w:t>
            </w:r>
            <w:r w:rsidRPr="00BE2F59">
              <w:rPr>
                <w:rFonts w:cs="Arial"/>
                <w:b w:val="0"/>
                <w:bCs w:val="0"/>
              </w:rPr>
              <w:t>attendance rate (%)</w:t>
            </w:r>
          </w:p>
        </w:tc>
        <w:tc>
          <w:tcPr>
            <w:tcW w:w="1505" w:type="dxa"/>
            <w:gridSpan w:val="2"/>
            <w:vAlign w:val="center"/>
          </w:tcPr>
          <w:p w14:paraId="2FAA29F6" w14:textId="4D0B608C" w:rsidR="0045196E" w:rsidRPr="00637B46"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sidRPr="00637B46">
              <w:t>11.</w:t>
            </w:r>
            <w:r w:rsidR="0013595C">
              <w:t>4</w:t>
            </w:r>
          </w:p>
        </w:tc>
        <w:tc>
          <w:tcPr>
            <w:tcW w:w="1525" w:type="dxa"/>
            <w:gridSpan w:val="2"/>
            <w:vAlign w:val="center"/>
          </w:tcPr>
          <w:p w14:paraId="2E187DAD" w14:textId="24672B52" w:rsidR="0045196E" w:rsidRPr="00637B46" w:rsidRDefault="00E70643">
            <w:pPr>
              <w:spacing w:after="0"/>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bCs/>
              </w:rPr>
              <w:t>14.6</w:t>
            </w:r>
          </w:p>
        </w:tc>
      </w:tr>
      <w:tr w:rsidR="00505E84" w:rsidRPr="00653483" w14:paraId="66D18ABA" w14:textId="77777777" w:rsidTr="002561F7">
        <w:trPr>
          <w:gridAfter w:val="1"/>
          <w:cnfStyle w:val="000000100000" w:firstRow="0" w:lastRow="0" w:firstColumn="0" w:lastColumn="0" w:oddVBand="0" w:evenVBand="0" w:oddHBand="1" w:evenHBand="0" w:firstRowFirstColumn="0" w:firstRowLastColumn="0" w:lastRowFirstColumn="0" w:lastRowLastColumn="0"/>
          <w:wAfter w:w="1244" w:type="dxa"/>
          <w:trHeight w:val="454"/>
        </w:trPr>
        <w:tc>
          <w:tcPr>
            <w:cnfStyle w:val="001000000000" w:firstRow="0" w:lastRow="0" w:firstColumn="1" w:lastColumn="0" w:oddVBand="0" w:evenVBand="0" w:oddHBand="0" w:evenHBand="0" w:firstRowFirstColumn="0" w:firstRowLastColumn="0" w:lastRowFirstColumn="0" w:lastRowLastColumn="0"/>
            <w:tcW w:w="6184" w:type="dxa"/>
            <w:gridSpan w:val="3"/>
            <w:vAlign w:val="center"/>
          </w:tcPr>
          <w:p w14:paraId="3FA90131" w14:textId="77777777" w:rsidR="0045196E" w:rsidRPr="000B631D" w:rsidRDefault="0045196E" w:rsidP="00D16B99">
            <w:pPr>
              <w:pStyle w:val="ListParagraph"/>
              <w:numPr>
                <w:ilvl w:val="0"/>
                <w:numId w:val="20"/>
              </w:numPr>
              <w:spacing w:before="40" w:after="40" w:line="240" w:lineRule="auto"/>
              <w:rPr>
                <w:rFonts w:cs="Arial"/>
                <w:b w:val="0"/>
                <w:bCs w:val="0"/>
              </w:rPr>
            </w:pPr>
            <w:r w:rsidRPr="000B631D">
              <w:rPr>
                <w:rFonts w:cs="Arial"/>
                <w:b w:val="0"/>
                <w:bCs w:val="0"/>
              </w:rPr>
              <w:t>Youth not in education, employment</w:t>
            </w:r>
            <w:r>
              <w:rPr>
                <w:rFonts w:cs="Arial"/>
                <w:b w:val="0"/>
                <w:bCs w:val="0"/>
              </w:rPr>
              <w:t xml:space="preserve">, </w:t>
            </w:r>
            <w:r w:rsidRPr="000B631D">
              <w:rPr>
                <w:rFonts w:cs="Arial"/>
                <w:b w:val="0"/>
                <w:bCs w:val="0"/>
              </w:rPr>
              <w:t>training (%)</w:t>
            </w:r>
          </w:p>
        </w:tc>
        <w:tc>
          <w:tcPr>
            <w:tcW w:w="1505" w:type="dxa"/>
            <w:gridSpan w:val="2"/>
            <w:vAlign w:val="center"/>
          </w:tcPr>
          <w:p w14:paraId="519F844D" w14:textId="77777777" w:rsidR="0045196E" w:rsidRPr="00637B46"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sidRPr="00637B46">
              <w:t>5.6</w:t>
            </w:r>
          </w:p>
        </w:tc>
        <w:tc>
          <w:tcPr>
            <w:tcW w:w="1525" w:type="dxa"/>
            <w:gridSpan w:val="2"/>
            <w:vAlign w:val="center"/>
          </w:tcPr>
          <w:p w14:paraId="6FA34D18" w14:textId="69E1DB17" w:rsidR="0045196E" w:rsidRPr="00637B46"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rPr>
            </w:pPr>
            <w:r w:rsidRPr="00637B46">
              <w:rPr>
                <w:rFonts w:cs="Arial"/>
                <w:b/>
                <w:bCs/>
              </w:rPr>
              <w:t>15.</w:t>
            </w:r>
            <w:r w:rsidR="003B0BF7">
              <w:rPr>
                <w:rFonts w:cs="Arial"/>
                <w:b/>
                <w:bCs/>
              </w:rPr>
              <w:t>3</w:t>
            </w:r>
          </w:p>
        </w:tc>
      </w:tr>
      <w:tr w:rsidR="0045196E" w:rsidRPr="00653483" w14:paraId="3D9DF126" w14:textId="77777777" w:rsidTr="002561F7">
        <w:trPr>
          <w:gridAfter w:val="1"/>
          <w:wAfter w:w="1244" w:type="dxa"/>
          <w:trHeight w:val="454"/>
        </w:trPr>
        <w:tc>
          <w:tcPr>
            <w:cnfStyle w:val="001000000000" w:firstRow="0" w:lastRow="0" w:firstColumn="1" w:lastColumn="0" w:oddVBand="0" w:evenVBand="0" w:oddHBand="0" w:evenHBand="0" w:firstRowFirstColumn="0" w:firstRowLastColumn="0" w:lastRowFirstColumn="0" w:lastRowLastColumn="0"/>
            <w:tcW w:w="6184" w:type="dxa"/>
            <w:gridSpan w:val="3"/>
            <w:vAlign w:val="center"/>
          </w:tcPr>
          <w:p w14:paraId="0FC3E8E6" w14:textId="77777777" w:rsidR="0045196E" w:rsidRPr="00507BA8" w:rsidRDefault="0045196E" w:rsidP="00D16B99">
            <w:pPr>
              <w:pStyle w:val="ListParagraph"/>
              <w:numPr>
                <w:ilvl w:val="0"/>
                <w:numId w:val="20"/>
              </w:numPr>
              <w:spacing w:before="40" w:after="40" w:line="240" w:lineRule="auto"/>
              <w:rPr>
                <w:rFonts w:cs="Arial"/>
                <w:b w:val="0"/>
                <w:bCs w:val="0"/>
              </w:rPr>
            </w:pPr>
            <w:r w:rsidRPr="00507BA8">
              <w:rPr>
                <w:rFonts w:cs="Arial"/>
                <w:b w:val="0"/>
                <w:bCs w:val="0"/>
              </w:rPr>
              <w:t>Prime age participation rate (%)</w:t>
            </w:r>
          </w:p>
        </w:tc>
        <w:tc>
          <w:tcPr>
            <w:tcW w:w="1505" w:type="dxa"/>
            <w:gridSpan w:val="2"/>
            <w:vAlign w:val="center"/>
          </w:tcPr>
          <w:p w14:paraId="69CA8589" w14:textId="37AACE77" w:rsidR="0045196E" w:rsidRPr="00637B46" w:rsidRDefault="0045196E">
            <w:pPr>
              <w:spacing w:after="0"/>
              <w:jc w:val="center"/>
              <w:cnfStyle w:val="000000000000" w:firstRow="0" w:lastRow="0" w:firstColumn="0" w:lastColumn="0" w:oddVBand="0" w:evenVBand="0" w:oddHBand="0" w:evenHBand="0" w:firstRowFirstColumn="0" w:firstRowLastColumn="0" w:lastRowFirstColumn="0" w:lastRowLastColumn="0"/>
            </w:pPr>
            <w:r w:rsidRPr="00637B46">
              <w:t>90.</w:t>
            </w:r>
            <w:r w:rsidR="00E51F26">
              <w:t>8</w:t>
            </w:r>
          </w:p>
        </w:tc>
        <w:tc>
          <w:tcPr>
            <w:tcW w:w="1525" w:type="dxa"/>
            <w:gridSpan w:val="2"/>
            <w:vAlign w:val="center"/>
          </w:tcPr>
          <w:p w14:paraId="1971CBA3" w14:textId="77777777" w:rsidR="0045196E" w:rsidRPr="00637B46"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637B46">
              <w:rPr>
                <w:rFonts w:cs="Arial"/>
                <w:b/>
                <w:bCs/>
              </w:rPr>
              <w:t>85.4</w:t>
            </w:r>
          </w:p>
        </w:tc>
      </w:tr>
      <w:tr w:rsidR="00505E84" w:rsidRPr="00653483" w14:paraId="6241E9FE" w14:textId="77777777" w:rsidTr="002561F7">
        <w:trPr>
          <w:gridAfter w:val="1"/>
          <w:cnfStyle w:val="000000100000" w:firstRow="0" w:lastRow="0" w:firstColumn="0" w:lastColumn="0" w:oddVBand="0" w:evenVBand="0" w:oddHBand="1" w:evenHBand="0" w:firstRowFirstColumn="0" w:firstRowLastColumn="0" w:lastRowFirstColumn="0" w:lastRowLastColumn="0"/>
          <w:wAfter w:w="1244" w:type="dxa"/>
          <w:trHeight w:val="454"/>
        </w:trPr>
        <w:tc>
          <w:tcPr>
            <w:cnfStyle w:val="001000000000" w:firstRow="0" w:lastRow="0" w:firstColumn="1" w:lastColumn="0" w:oddVBand="0" w:evenVBand="0" w:oddHBand="0" w:evenHBand="0" w:firstRowFirstColumn="0" w:firstRowLastColumn="0" w:lastRowFirstColumn="0" w:lastRowLastColumn="0"/>
            <w:tcW w:w="6184" w:type="dxa"/>
            <w:gridSpan w:val="3"/>
            <w:vAlign w:val="center"/>
          </w:tcPr>
          <w:p w14:paraId="6F391CD6" w14:textId="77777777" w:rsidR="0045196E" w:rsidRPr="006974DB" w:rsidRDefault="0045196E" w:rsidP="00D16B99">
            <w:pPr>
              <w:pStyle w:val="ListParagraph"/>
              <w:numPr>
                <w:ilvl w:val="0"/>
                <w:numId w:val="20"/>
              </w:numPr>
              <w:spacing w:before="40" w:after="40" w:line="240" w:lineRule="auto"/>
              <w:rPr>
                <w:rFonts w:cs="Arial"/>
                <w:b w:val="0"/>
                <w:bCs w:val="0"/>
              </w:rPr>
            </w:pPr>
            <w:r w:rsidRPr="006974DB">
              <w:rPr>
                <w:rFonts w:cs="Arial"/>
                <w:b w:val="0"/>
                <w:bCs w:val="0"/>
              </w:rPr>
              <w:t>Unemployment rate (%)</w:t>
            </w:r>
          </w:p>
        </w:tc>
        <w:tc>
          <w:tcPr>
            <w:tcW w:w="1505" w:type="dxa"/>
            <w:gridSpan w:val="2"/>
            <w:vAlign w:val="center"/>
          </w:tcPr>
          <w:p w14:paraId="7D143C5E" w14:textId="2E935090" w:rsidR="0045196E" w:rsidRPr="00637B46" w:rsidRDefault="00571232">
            <w:pPr>
              <w:spacing w:after="0"/>
              <w:jc w:val="center"/>
              <w:cnfStyle w:val="000000100000" w:firstRow="0" w:lastRow="0" w:firstColumn="0" w:lastColumn="0" w:oddVBand="0" w:evenVBand="0" w:oddHBand="1" w:evenHBand="0" w:firstRowFirstColumn="0" w:firstRowLastColumn="0" w:lastRowFirstColumn="0" w:lastRowLastColumn="0"/>
            </w:pPr>
            <w:r>
              <w:t>3.3</w:t>
            </w:r>
          </w:p>
        </w:tc>
        <w:tc>
          <w:tcPr>
            <w:tcW w:w="1525" w:type="dxa"/>
            <w:gridSpan w:val="2"/>
            <w:vAlign w:val="center"/>
          </w:tcPr>
          <w:p w14:paraId="0C5CE175" w14:textId="77777777" w:rsidR="0045196E" w:rsidRPr="00637B46"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637B46">
              <w:rPr>
                <w:rFonts w:cs="Arial"/>
                <w:b/>
                <w:bCs/>
              </w:rPr>
              <w:t>4.0</w:t>
            </w:r>
          </w:p>
        </w:tc>
      </w:tr>
      <w:tr w:rsidR="0045196E" w:rsidRPr="00653483" w14:paraId="5A954ED1" w14:textId="77777777" w:rsidTr="002561F7">
        <w:trPr>
          <w:gridAfter w:val="1"/>
          <w:wAfter w:w="1244" w:type="dxa"/>
          <w:trHeight w:val="454"/>
        </w:trPr>
        <w:tc>
          <w:tcPr>
            <w:cnfStyle w:val="001000000000" w:firstRow="0" w:lastRow="0" w:firstColumn="1" w:lastColumn="0" w:oddVBand="0" w:evenVBand="0" w:oddHBand="0" w:evenHBand="0" w:firstRowFirstColumn="0" w:firstRowLastColumn="0" w:lastRowFirstColumn="0" w:lastRowLastColumn="0"/>
            <w:tcW w:w="6184" w:type="dxa"/>
            <w:gridSpan w:val="3"/>
            <w:vAlign w:val="center"/>
          </w:tcPr>
          <w:p w14:paraId="15BAA0B9" w14:textId="77777777" w:rsidR="0045196E" w:rsidRPr="000B631D" w:rsidRDefault="0045196E" w:rsidP="00D16B99">
            <w:pPr>
              <w:pStyle w:val="ListParagraph"/>
              <w:numPr>
                <w:ilvl w:val="0"/>
                <w:numId w:val="20"/>
              </w:numPr>
              <w:spacing w:before="40" w:after="40" w:line="240" w:lineRule="auto"/>
              <w:rPr>
                <w:rFonts w:cs="Arial"/>
                <w:b w:val="0"/>
                <w:bCs w:val="0"/>
              </w:rPr>
            </w:pPr>
            <w:r w:rsidRPr="000B631D">
              <w:rPr>
                <w:rFonts w:cs="Arial"/>
                <w:b w:val="0"/>
                <w:bCs w:val="0"/>
              </w:rPr>
              <w:t xml:space="preserve">Proportion of population on </w:t>
            </w:r>
            <w:r>
              <w:rPr>
                <w:rFonts w:cs="Arial"/>
                <w:b w:val="0"/>
                <w:bCs w:val="0"/>
              </w:rPr>
              <w:t xml:space="preserve">long-term </w:t>
            </w:r>
            <w:r w:rsidRPr="000B631D">
              <w:rPr>
                <w:rFonts w:cs="Arial"/>
                <w:b w:val="0"/>
                <w:bCs w:val="0"/>
              </w:rPr>
              <w:t>income support (%)</w:t>
            </w:r>
          </w:p>
        </w:tc>
        <w:tc>
          <w:tcPr>
            <w:tcW w:w="1505" w:type="dxa"/>
            <w:gridSpan w:val="2"/>
            <w:vAlign w:val="center"/>
          </w:tcPr>
          <w:p w14:paraId="33B49ED1" w14:textId="77777777" w:rsidR="0045196E" w:rsidRPr="00637B46"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sidRPr="00637B46">
              <w:t>0.7</w:t>
            </w:r>
          </w:p>
        </w:tc>
        <w:tc>
          <w:tcPr>
            <w:tcW w:w="1525" w:type="dxa"/>
            <w:gridSpan w:val="2"/>
            <w:vAlign w:val="center"/>
          </w:tcPr>
          <w:p w14:paraId="333D87F3" w14:textId="2DC3C42C" w:rsidR="0045196E" w:rsidRPr="00637B46"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rPr>
            </w:pPr>
            <w:r w:rsidRPr="00637B46">
              <w:rPr>
                <w:rFonts w:cs="Arial"/>
                <w:b/>
                <w:bCs/>
              </w:rPr>
              <w:t>2.</w:t>
            </w:r>
            <w:r w:rsidR="00F905A6">
              <w:rPr>
                <w:rFonts w:cs="Arial"/>
                <w:b/>
                <w:bCs/>
              </w:rPr>
              <w:t>4</w:t>
            </w:r>
          </w:p>
        </w:tc>
      </w:tr>
      <w:tr w:rsidR="0045196E" w:rsidRPr="000A4F04" w14:paraId="4F4B9AB7" w14:textId="77777777" w:rsidTr="002561F7">
        <w:trPr>
          <w:gridAfter w:val="1"/>
          <w:cnfStyle w:val="000000100000" w:firstRow="0" w:lastRow="0" w:firstColumn="0" w:lastColumn="0" w:oddVBand="0" w:evenVBand="0" w:oddHBand="1" w:evenHBand="0" w:firstRowFirstColumn="0" w:firstRowLastColumn="0" w:lastRowFirstColumn="0" w:lastRowLastColumn="0"/>
          <w:wAfter w:w="1244" w:type="dxa"/>
          <w:trHeight w:val="113"/>
        </w:trPr>
        <w:tc>
          <w:tcPr>
            <w:cnfStyle w:val="001000000000" w:firstRow="0" w:lastRow="0" w:firstColumn="1" w:lastColumn="0" w:oddVBand="0" w:evenVBand="0" w:oddHBand="0" w:evenHBand="0" w:firstRowFirstColumn="0" w:firstRowLastColumn="0" w:lastRowFirstColumn="0" w:lastRowLastColumn="0"/>
            <w:tcW w:w="6184" w:type="dxa"/>
            <w:gridSpan w:val="3"/>
            <w:tcBorders>
              <w:top w:val="single" w:sz="4" w:space="0" w:color="auto"/>
            </w:tcBorders>
            <w:shd w:val="clear" w:color="auto" w:fill="370663"/>
          </w:tcPr>
          <w:p w14:paraId="2CFD8417" w14:textId="77777777" w:rsidR="0045196E" w:rsidRPr="000A4F04" w:rsidRDefault="0045196E">
            <w:pPr>
              <w:rPr>
                <w:rFonts w:cs="Arial"/>
                <w:color w:val="000000" w:themeColor="text1"/>
                <w:sz w:val="12"/>
                <w:szCs w:val="12"/>
              </w:rPr>
            </w:pPr>
          </w:p>
        </w:tc>
        <w:tc>
          <w:tcPr>
            <w:tcW w:w="1505" w:type="dxa"/>
            <w:gridSpan w:val="2"/>
            <w:tcBorders>
              <w:top w:val="single" w:sz="4" w:space="0" w:color="auto"/>
            </w:tcBorders>
            <w:shd w:val="clear" w:color="auto" w:fill="370663"/>
            <w:vAlign w:val="center"/>
          </w:tcPr>
          <w:p w14:paraId="14C129DE" w14:textId="77777777" w:rsidR="0045196E" w:rsidRPr="00637B46"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c>
          <w:tcPr>
            <w:tcW w:w="1525" w:type="dxa"/>
            <w:gridSpan w:val="2"/>
            <w:tcBorders>
              <w:top w:val="single" w:sz="4" w:space="0" w:color="auto"/>
            </w:tcBorders>
            <w:shd w:val="clear" w:color="auto" w:fill="370663"/>
            <w:vAlign w:val="center"/>
          </w:tcPr>
          <w:p w14:paraId="516FF660" w14:textId="77777777" w:rsidR="0045196E" w:rsidRPr="00637B46"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r>
      <w:tr w:rsidR="0045196E" w:rsidRPr="000A4F04" w14:paraId="22AD3F1A" w14:textId="77777777" w:rsidTr="002561F7">
        <w:trPr>
          <w:gridAfter w:val="1"/>
          <w:wAfter w:w="1244" w:type="dxa"/>
          <w:trHeight w:val="454"/>
        </w:trPr>
        <w:tc>
          <w:tcPr>
            <w:cnfStyle w:val="001000000000" w:firstRow="0" w:lastRow="0" w:firstColumn="1" w:lastColumn="0" w:oddVBand="0" w:evenVBand="0" w:oddHBand="0" w:evenHBand="0" w:firstRowFirstColumn="0" w:firstRowLastColumn="0" w:lastRowFirstColumn="0" w:lastRowLastColumn="0"/>
            <w:tcW w:w="6184" w:type="dxa"/>
            <w:gridSpan w:val="3"/>
            <w:vAlign w:val="center"/>
          </w:tcPr>
          <w:p w14:paraId="227B3028" w14:textId="7107D690" w:rsidR="0045196E" w:rsidRPr="000A4F04" w:rsidRDefault="0045196E">
            <w:pPr>
              <w:rPr>
                <w:rFonts w:cs="Arial"/>
                <w:sz w:val="28"/>
                <w:szCs w:val="28"/>
              </w:rPr>
            </w:pPr>
            <w:r w:rsidRPr="000A4F04">
              <w:rPr>
                <w:rFonts w:cs="Arial"/>
                <w:color w:val="000000" w:themeColor="text1"/>
                <w:sz w:val="28"/>
                <w:szCs w:val="28"/>
              </w:rPr>
              <w:t>Vision Principle 2</w:t>
            </w:r>
          </w:p>
        </w:tc>
        <w:tc>
          <w:tcPr>
            <w:tcW w:w="1505" w:type="dxa"/>
            <w:gridSpan w:val="2"/>
            <w:vAlign w:val="center"/>
          </w:tcPr>
          <w:p w14:paraId="6AF3218E" w14:textId="0C831124" w:rsidR="0045196E" w:rsidRPr="00637B46"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c>
          <w:tcPr>
            <w:tcW w:w="1525" w:type="dxa"/>
            <w:gridSpan w:val="2"/>
            <w:vAlign w:val="center"/>
          </w:tcPr>
          <w:p w14:paraId="0C5B392E" w14:textId="0305B1CF" w:rsidR="0045196E" w:rsidRPr="00637B46"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color w:val="F3900D"/>
              </w:rPr>
            </w:pPr>
          </w:p>
        </w:tc>
      </w:tr>
      <w:tr w:rsidR="00505E84" w:rsidRPr="00653483" w14:paraId="09C35963" w14:textId="77777777" w:rsidTr="002561F7">
        <w:trPr>
          <w:gridAfter w:val="1"/>
          <w:cnfStyle w:val="000000100000" w:firstRow="0" w:lastRow="0" w:firstColumn="0" w:lastColumn="0" w:oddVBand="0" w:evenVBand="0" w:oddHBand="1" w:evenHBand="0" w:firstRowFirstColumn="0" w:firstRowLastColumn="0" w:lastRowFirstColumn="0" w:lastRowLastColumn="0"/>
          <w:wAfter w:w="1244" w:type="dxa"/>
          <w:trHeight w:val="454"/>
        </w:trPr>
        <w:tc>
          <w:tcPr>
            <w:cnfStyle w:val="001000000000" w:firstRow="0" w:lastRow="0" w:firstColumn="1" w:lastColumn="0" w:oddVBand="0" w:evenVBand="0" w:oddHBand="0" w:evenHBand="0" w:firstRowFirstColumn="0" w:firstRowLastColumn="0" w:lastRowFirstColumn="0" w:lastRowLastColumn="0"/>
            <w:tcW w:w="6184" w:type="dxa"/>
            <w:gridSpan w:val="3"/>
            <w:vAlign w:val="center"/>
          </w:tcPr>
          <w:p w14:paraId="6B5A946C" w14:textId="69739574" w:rsidR="00BF0348" w:rsidRPr="000B631D" w:rsidRDefault="00BF0348" w:rsidP="00D16B99">
            <w:pPr>
              <w:pStyle w:val="ListParagraph"/>
              <w:numPr>
                <w:ilvl w:val="0"/>
                <w:numId w:val="20"/>
              </w:numPr>
              <w:spacing w:before="40" w:after="40" w:line="240" w:lineRule="auto"/>
              <w:rPr>
                <w:rFonts w:cs="Arial"/>
                <w:b w:val="0"/>
                <w:bCs w:val="0"/>
              </w:rPr>
            </w:pPr>
            <w:r>
              <w:rPr>
                <w:rFonts w:cs="Arial"/>
                <w:b w:val="0"/>
                <w:bCs w:val="0"/>
              </w:rPr>
              <w:t>C</w:t>
            </w:r>
            <w:r w:rsidRPr="00842605">
              <w:rPr>
                <w:rFonts w:cs="Arial"/>
                <w:b w:val="0"/>
                <w:bCs w:val="0"/>
              </w:rPr>
              <w:t>ompletion rates</w:t>
            </w:r>
            <w:r>
              <w:rPr>
                <w:rFonts w:cs="Arial"/>
                <w:b w:val="0"/>
                <w:bCs w:val="0"/>
              </w:rPr>
              <w:t xml:space="preserve"> for apprentices and trainees </w:t>
            </w:r>
            <w:r w:rsidRPr="000B631D">
              <w:rPr>
                <w:rFonts w:cs="Arial"/>
                <w:b w:val="0"/>
                <w:bCs w:val="0"/>
              </w:rPr>
              <w:t>(%)</w:t>
            </w:r>
          </w:p>
        </w:tc>
        <w:tc>
          <w:tcPr>
            <w:tcW w:w="1505" w:type="dxa"/>
            <w:gridSpan w:val="2"/>
            <w:vAlign w:val="center"/>
          </w:tcPr>
          <w:p w14:paraId="0CFCD41F" w14:textId="7F06E16D" w:rsidR="00BF0348" w:rsidRPr="00D87A91" w:rsidRDefault="00794C7F" w:rsidP="00BF0348">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sidRPr="00D87A91">
              <w:rPr>
                <w:rFonts w:cs="Arial"/>
              </w:rPr>
              <w:t>50.4</w:t>
            </w:r>
          </w:p>
        </w:tc>
        <w:tc>
          <w:tcPr>
            <w:tcW w:w="1525" w:type="dxa"/>
            <w:gridSpan w:val="2"/>
            <w:vAlign w:val="center"/>
          </w:tcPr>
          <w:p w14:paraId="5A62577E" w14:textId="3275401E" w:rsidR="00BF0348" w:rsidRPr="00637B46" w:rsidRDefault="00BF0348" w:rsidP="00BF0348">
            <w:pPr>
              <w:spacing w:after="0"/>
              <w:jc w:val="center"/>
              <w:cnfStyle w:val="000000100000" w:firstRow="0" w:lastRow="0" w:firstColumn="0" w:lastColumn="0" w:oddVBand="0" w:evenVBand="0" w:oddHBand="1" w:evenHBand="0" w:firstRowFirstColumn="0" w:firstRowLastColumn="0" w:lastRowFirstColumn="0" w:lastRowLastColumn="0"/>
              <w:rPr>
                <w:rFonts w:cs="Arial"/>
                <w:b/>
                <w:highlight w:val="yellow"/>
              </w:rPr>
            </w:pPr>
            <w:r w:rsidRPr="00BF0348">
              <w:rPr>
                <w:rFonts w:cs="Arial"/>
                <w:b/>
                <w:bCs/>
              </w:rPr>
              <w:t>56.7</w:t>
            </w:r>
          </w:p>
        </w:tc>
      </w:tr>
      <w:tr w:rsidR="0045196E" w:rsidRPr="00653483" w14:paraId="00065088" w14:textId="77777777" w:rsidTr="002561F7">
        <w:trPr>
          <w:gridAfter w:val="1"/>
          <w:wAfter w:w="1244" w:type="dxa"/>
          <w:trHeight w:val="454"/>
        </w:trPr>
        <w:tc>
          <w:tcPr>
            <w:cnfStyle w:val="001000000000" w:firstRow="0" w:lastRow="0" w:firstColumn="1" w:lastColumn="0" w:oddVBand="0" w:evenVBand="0" w:oddHBand="0" w:evenHBand="0" w:firstRowFirstColumn="0" w:firstRowLastColumn="0" w:lastRowFirstColumn="0" w:lastRowLastColumn="0"/>
            <w:tcW w:w="6184" w:type="dxa"/>
            <w:gridSpan w:val="3"/>
            <w:vAlign w:val="center"/>
          </w:tcPr>
          <w:p w14:paraId="2648F1ED" w14:textId="77777777" w:rsidR="0045196E" w:rsidRPr="000B631D" w:rsidRDefault="0045196E" w:rsidP="00D16B99">
            <w:pPr>
              <w:pStyle w:val="ListParagraph"/>
              <w:numPr>
                <w:ilvl w:val="0"/>
                <w:numId w:val="20"/>
              </w:numPr>
              <w:spacing w:before="40" w:after="40" w:line="240" w:lineRule="auto"/>
              <w:rPr>
                <w:rFonts w:cs="Arial"/>
                <w:b w:val="0"/>
                <w:bCs w:val="0"/>
              </w:rPr>
            </w:pPr>
            <w:r>
              <w:rPr>
                <w:rFonts w:cs="Arial"/>
                <w:b w:val="0"/>
                <w:bCs w:val="0"/>
              </w:rPr>
              <w:t>Youth tertiary</w:t>
            </w:r>
            <w:r w:rsidRPr="000B631D">
              <w:rPr>
                <w:rFonts w:cs="Arial"/>
                <w:b w:val="0"/>
                <w:bCs w:val="0"/>
              </w:rPr>
              <w:t xml:space="preserve"> participation rate (%)</w:t>
            </w:r>
          </w:p>
        </w:tc>
        <w:tc>
          <w:tcPr>
            <w:tcW w:w="1505" w:type="dxa"/>
            <w:gridSpan w:val="2"/>
            <w:vAlign w:val="center"/>
          </w:tcPr>
          <w:p w14:paraId="5775C519" w14:textId="00376EF3" w:rsidR="0045196E" w:rsidRPr="00637B46" w:rsidRDefault="003C3A97">
            <w:pPr>
              <w:spacing w:after="0"/>
              <w:jc w:val="center"/>
              <w:cnfStyle w:val="000000000000" w:firstRow="0" w:lastRow="0" w:firstColumn="0" w:lastColumn="0" w:oddVBand="0" w:evenVBand="0" w:oddHBand="0" w:evenHBand="0" w:firstRowFirstColumn="0" w:firstRowLastColumn="0" w:lastRowFirstColumn="0" w:lastRowLastColumn="0"/>
              <w:rPr>
                <w:rFonts w:cs="Arial"/>
              </w:rPr>
            </w:pPr>
            <w:r>
              <w:t>36.1</w:t>
            </w:r>
          </w:p>
        </w:tc>
        <w:tc>
          <w:tcPr>
            <w:tcW w:w="1525" w:type="dxa"/>
            <w:gridSpan w:val="2"/>
            <w:vAlign w:val="center"/>
          </w:tcPr>
          <w:p w14:paraId="5C172C2B" w14:textId="044B182E" w:rsidR="0045196E" w:rsidRPr="00637B46" w:rsidRDefault="005857A5">
            <w:pPr>
              <w:spacing w:after="0"/>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bCs/>
              </w:rPr>
              <w:t>22.2</w:t>
            </w:r>
          </w:p>
        </w:tc>
      </w:tr>
      <w:tr w:rsidR="00505E84" w:rsidRPr="00653483" w14:paraId="0A06CC19" w14:textId="77777777" w:rsidTr="002561F7">
        <w:trPr>
          <w:gridAfter w:val="1"/>
          <w:cnfStyle w:val="000000100000" w:firstRow="0" w:lastRow="0" w:firstColumn="0" w:lastColumn="0" w:oddVBand="0" w:evenVBand="0" w:oddHBand="1" w:evenHBand="0" w:firstRowFirstColumn="0" w:firstRowLastColumn="0" w:lastRowFirstColumn="0" w:lastRowLastColumn="0"/>
          <w:wAfter w:w="1244" w:type="dxa"/>
          <w:trHeight w:val="454"/>
        </w:trPr>
        <w:tc>
          <w:tcPr>
            <w:cnfStyle w:val="001000000000" w:firstRow="0" w:lastRow="0" w:firstColumn="1" w:lastColumn="0" w:oddVBand="0" w:evenVBand="0" w:oddHBand="0" w:evenHBand="0" w:firstRowFirstColumn="0" w:firstRowLastColumn="0" w:lastRowFirstColumn="0" w:lastRowLastColumn="0"/>
            <w:tcW w:w="6184" w:type="dxa"/>
            <w:gridSpan w:val="3"/>
            <w:vAlign w:val="center"/>
          </w:tcPr>
          <w:p w14:paraId="0D4C1BE5" w14:textId="77777777" w:rsidR="0045196E" w:rsidRPr="000B631D" w:rsidRDefault="0045196E" w:rsidP="00D16B99">
            <w:pPr>
              <w:pStyle w:val="ListParagraph"/>
              <w:numPr>
                <w:ilvl w:val="0"/>
                <w:numId w:val="20"/>
              </w:numPr>
              <w:spacing w:before="40" w:after="40" w:line="240" w:lineRule="auto"/>
              <w:rPr>
                <w:rFonts w:cs="Arial"/>
                <w:b w:val="0"/>
                <w:bCs w:val="0"/>
              </w:rPr>
            </w:pPr>
            <w:r w:rsidRPr="000B631D">
              <w:rPr>
                <w:rFonts w:cs="Arial"/>
                <w:b w:val="0"/>
                <w:bCs w:val="0"/>
              </w:rPr>
              <w:t>Proportion working in lower skill level than qualification level (%)</w:t>
            </w:r>
          </w:p>
        </w:tc>
        <w:tc>
          <w:tcPr>
            <w:tcW w:w="1505" w:type="dxa"/>
            <w:gridSpan w:val="2"/>
            <w:vAlign w:val="center"/>
          </w:tcPr>
          <w:p w14:paraId="3BD6D34B" w14:textId="77777777" w:rsidR="0045196E" w:rsidRPr="00637B46"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sidRPr="00637B46">
              <w:rPr>
                <w:rFonts w:cs="Arial"/>
              </w:rPr>
              <w:t>28.8</w:t>
            </w:r>
          </w:p>
        </w:tc>
        <w:tc>
          <w:tcPr>
            <w:tcW w:w="1525" w:type="dxa"/>
            <w:gridSpan w:val="2"/>
            <w:vAlign w:val="center"/>
          </w:tcPr>
          <w:p w14:paraId="3B74C719" w14:textId="77777777" w:rsidR="0045196E" w:rsidRPr="00637B46"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highlight w:val="yellow"/>
              </w:rPr>
            </w:pPr>
            <w:r w:rsidRPr="00637B46">
              <w:rPr>
                <w:rFonts w:cs="Arial"/>
                <w:b/>
                <w:bCs/>
              </w:rPr>
              <w:t>25.7</w:t>
            </w:r>
          </w:p>
        </w:tc>
      </w:tr>
      <w:tr w:rsidR="0045196E" w:rsidRPr="00653483" w14:paraId="6D5CCF2D" w14:textId="77777777" w:rsidTr="002561F7">
        <w:trPr>
          <w:gridAfter w:val="1"/>
          <w:wAfter w:w="1244" w:type="dxa"/>
          <w:trHeight w:val="454"/>
        </w:trPr>
        <w:tc>
          <w:tcPr>
            <w:cnfStyle w:val="001000000000" w:firstRow="0" w:lastRow="0" w:firstColumn="1" w:lastColumn="0" w:oddVBand="0" w:evenVBand="0" w:oddHBand="0" w:evenHBand="0" w:firstRowFirstColumn="0" w:firstRowLastColumn="0" w:lastRowFirstColumn="0" w:lastRowLastColumn="0"/>
            <w:tcW w:w="6184" w:type="dxa"/>
            <w:gridSpan w:val="3"/>
            <w:tcBorders>
              <w:bottom w:val="single" w:sz="4" w:space="0" w:color="auto"/>
            </w:tcBorders>
            <w:vAlign w:val="center"/>
          </w:tcPr>
          <w:p w14:paraId="41D08F88" w14:textId="7CC33326" w:rsidR="0045196E" w:rsidRPr="003F2975" w:rsidRDefault="0045196E" w:rsidP="00D16B99">
            <w:pPr>
              <w:pStyle w:val="ListParagraph"/>
              <w:numPr>
                <w:ilvl w:val="0"/>
                <w:numId w:val="20"/>
              </w:numPr>
              <w:spacing w:before="40" w:after="40" w:line="240" w:lineRule="auto"/>
              <w:rPr>
                <w:rFonts w:cs="Arial"/>
                <w:b w:val="0"/>
                <w:bCs w:val="0"/>
              </w:rPr>
            </w:pPr>
            <w:r w:rsidRPr="003F2975">
              <w:rPr>
                <w:rFonts w:cs="Arial"/>
                <w:b w:val="0"/>
                <w:bCs w:val="0"/>
              </w:rPr>
              <w:t xml:space="preserve">Proportion </w:t>
            </w:r>
            <w:r w:rsidR="003F2975" w:rsidRPr="003F2975">
              <w:rPr>
                <w:rFonts w:cs="Arial"/>
                <w:b w:val="0"/>
                <w:bCs w:val="0"/>
              </w:rPr>
              <w:t xml:space="preserve">working in same field as most relevant qualification </w:t>
            </w:r>
            <w:r w:rsidRPr="003F2975">
              <w:rPr>
                <w:rFonts w:cs="Arial"/>
                <w:b w:val="0"/>
                <w:bCs w:val="0"/>
              </w:rPr>
              <w:t>(%)</w:t>
            </w:r>
          </w:p>
        </w:tc>
        <w:tc>
          <w:tcPr>
            <w:tcW w:w="1505" w:type="dxa"/>
            <w:gridSpan w:val="2"/>
            <w:tcBorders>
              <w:bottom w:val="single" w:sz="4" w:space="0" w:color="auto"/>
            </w:tcBorders>
            <w:vAlign w:val="center"/>
          </w:tcPr>
          <w:p w14:paraId="791F33F0" w14:textId="77777777" w:rsidR="0045196E" w:rsidRPr="00637B46"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sidRPr="00637B46">
              <w:rPr>
                <w:rFonts w:cs="Arial"/>
              </w:rPr>
              <w:t>73.4</w:t>
            </w:r>
          </w:p>
        </w:tc>
        <w:tc>
          <w:tcPr>
            <w:tcW w:w="1525" w:type="dxa"/>
            <w:gridSpan w:val="2"/>
            <w:tcBorders>
              <w:bottom w:val="single" w:sz="4" w:space="0" w:color="auto"/>
            </w:tcBorders>
            <w:vAlign w:val="center"/>
          </w:tcPr>
          <w:p w14:paraId="3D186EBB" w14:textId="77777777" w:rsidR="0045196E" w:rsidRPr="00637B46"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highlight w:val="yellow"/>
              </w:rPr>
            </w:pPr>
            <w:r w:rsidRPr="00637B46">
              <w:rPr>
                <w:rFonts w:cs="Arial"/>
                <w:b/>
                <w:bCs/>
              </w:rPr>
              <w:t>72.7</w:t>
            </w:r>
          </w:p>
        </w:tc>
      </w:tr>
      <w:tr w:rsidR="0045196E" w:rsidRPr="000A4F04" w14:paraId="04244AA9" w14:textId="77777777" w:rsidTr="002561F7">
        <w:trPr>
          <w:gridAfter w:val="1"/>
          <w:cnfStyle w:val="000000100000" w:firstRow="0" w:lastRow="0" w:firstColumn="0" w:lastColumn="0" w:oddVBand="0" w:evenVBand="0" w:oddHBand="1" w:evenHBand="0" w:firstRowFirstColumn="0" w:firstRowLastColumn="0" w:lastRowFirstColumn="0" w:lastRowLastColumn="0"/>
          <w:wAfter w:w="1244" w:type="dxa"/>
          <w:trHeight w:val="113"/>
        </w:trPr>
        <w:tc>
          <w:tcPr>
            <w:cnfStyle w:val="001000000000" w:firstRow="0" w:lastRow="0" w:firstColumn="1" w:lastColumn="0" w:oddVBand="0" w:evenVBand="0" w:oddHBand="0" w:evenHBand="0" w:firstRowFirstColumn="0" w:firstRowLastColumn="0" w:lastRowFirstColumn="0" w:lastRowLastColumn="0"/>
            <w:tcW w:w="6184" w:type="dxa"/>
            <w:gridSpan w:val="3"/>
            <w:tcBorders>
              <w:top w:val="single" w:sz="4" w:space="0" w:color="auto"/>
            </w:tcBorders>
            <w:shd w:val="clear" w:color="auto" w:fill="370663"/>
          </w:tcPr>
          <w:p w14:paraId="1C84E9FC" w14:textId="77777777" w:rsidR="0045196E" w:rsidRPr="000A4F04" w:rsidRDefault="0045196E">
            <w:pPr>
              <w:rPr>
                <w:rFonts w:cs="Arial"/>
                <w:color w:val="000000" w:themeColor="text1"/>
                <w:sz w:val="12"/>
                <w:szCs w:val="12"/>
              </w:rPr>
            </w:pPr>
          </w:p>
        </w:tc>
        <w:tc>
          <w:tcPr>
            <w:tcW w:w="1505" w:type="dxa"/>
            <w:gridSpan w:val="2"/>
            <w:tcBorders>
              <w:top w:val="single" w:sz="4" w:space="0" w:color="auto"/>
            </w:tcBorders>
            <w:shd w:val="clear" w:color="auto" w:fill="370663"/>
            <w:vAlign w:val="center"/>
          </w:tcPr>
          <w:p w14:paraId="32112D1C" w14:textId="77777777" w:rsidR="0045196E" w:rsidRPr="00637B46"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c>
          <w:tcPr>
            <w:tcW w:w="1525" w:type="dxa"/>
            <w:gridSpan w:val="2"/>
            <w:tcBorders>
              <w:top w:val="single" w:sz="4" w:space="0" w:color="auto"/>
            </w:tcBorders>
            <w:shd w:val="clear" w:color="auto" w:fill="370663"/>
            <w:vAlign w:val="center"/>
          </w:tcPr>
          <w:p w14:paraId="57FC465D" w14:textId="77777777" w:rsidR="0045196E" w:rsidRPr="00637B46"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r>
      <w:tr w:rsidR="0045196E" w:rsidRPr="000A4F04" w14:paraId="6BDFA7EB" w14:textId="77777777" w:rsidTr="002561F7">
        <w:trPr>
          <w:gridAfter w:val="1"/>
          <w:wAfter w:w="1244" w:type="dxa"/>
          <w:trHeight w:val="454"/>
        </w:trPr>
        <w:tc>
          <w:tcPr>
            <w:cnfStyle w:val="001000000000" w:firstRow="0" w:lastRow="0" w:firstColumn="1" w:lastColumn="0" w:oddVBand="0" w:evenVBand="0" w:oddHBand="0" w:evenHBand="0" w:firstRowFirstColumn="0" w:firstRowLastColumn="0" w:lastRowFirstColumn="0" w:lastRowLastColumn="0"/>
            <w:tcW w:w="6184" w:type="dxa"/>
            <w:gridSpan w:val="3"/>
            <w:vAlign w:val="center"/>
          </w:tcPr>
          <w:p w14:paraId="7F50E5F2" w14:textId="54BF4D1E" w:rsidR="0045196E" w:rsidRPr="000A4F04" w:rsidRDefault="0045196E">
            <w:pPr>
              <w:rPr>
                <w:rFonts w:cs="Arial"/>
                <w:sz w:val="28"/>
                <w:szCs w:val="28"/>
              </w:rPr>
            </w:pPr>
            <w:r w:rsidRPr="000A4F04">
              <w:rPr>
                <w:rFonts w:cs="Arial"/>
                <w:color w:val="000000" w:themeColor="text1"/>
                <w:sz w:val="28"/>
                <w:szCs w:val="28"/>
              </w:rPr>
              <w:t>Vision Principle 3</w:t>
            </w:r>
          </w:p>
        </w:tc>
        <w:tc>
          <w:tcPr>
            <w:tcW w:w="1505" w:type="dxa"/>
            <w:gridSpan w:val="2"/>
            <w:vAlign w:val="center"/>
          </w:tcPr>
          <w:p w14:paraId="5D9269BA" w14:textId="690D1AF8" w:rsidR="0045196E" w:rsidRPr="00637B46"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c>
          <w:tcPr>
            <w:tcW w:w="1525" w:type="dxa"/>
            <w:gridSpan w:val="2"/>
            <w:vAlign w:val="center"/>
          </w:tcPr>
          <w:p w14:paraId="54EEE54D" w14:textId="1B355BBD" w:rsidR="0045196E" w:rsidRPr="00637B46"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color w:val="01AF0D"/>
              </w:rPr>
            </w:pPr>
          </w:p>
        </w:tc>
      </w:tr>
      <w:tr w:rsidR="00505E84" w:rsidRPr="00653483" w14:paraId="313C4D5E" w14:textId="77777777" w:rsidTr="002561F7">
        <w:trPr>
          <w:gridAfter w:val="1"/>
          <w:cnfStyle w:val="000000100000" w:firstRow="0" w:lastRow="0" w:firstColumn="0" w:lastColumn="0" w:oddVBand="0" w:evenVBand="0" w:oddHBand="1" w:evenHBand="0" w:firstRowFirstColumn="0" w:firstRowLastColumn="0" w:lastRowFirstColumn="0" w:lastRowLastColumn="0"/>
          <w:wAfter w:w="1244" w:type="dxa"/>
          <w:trHeight w:val="454"/>
        </w:trPr>
        <w:tc>
          <w:tcPr>
            <w:cnfStyle w:val="001000000000" w:firstRow="0" w:lastRow="0" w:firstColumn="1" w:lastColumn="0" w:oddVBand="0" w:evenVBand="0" w:oddHBand="0" w:evenHBand="0" w:firstRowFirstColumn="0" w:firstRowLastColumn="0" w:lastRowFirstColumn="0" w:lastRowLastColumn="0"/>
            <w:tcW w:w="6184" w:type="dxa"/>
            <w:gridSpan w:val="3"/>
            <w:vAlign w:val="center"/>
          </w:tcPr>
          <w:p w14:paraId="7E39C041" w14:textId="77777777" w:rsidR="0045196E" w:rsidRPr="000B631D" w:rsidRDefault="0045196E" w:rsidP="00D16B99">
            <w:pPr>
              <w:pStyle w:val="ListParagraph"/>
              <w:numPr>
                <w:ilvl w:val="0"/>
                <w:numId w:val="20"/>
              </w:numPr>
              <w:spacing w:before="40" w:after="40" w:line="240" w:lineRule="auto"/>
              <w:rPr>
                <w:rFonts w:cs="Arial"/>
                <w:b w:val="0"/>
                <w:bCs w:val="0"/>
              </w:rPr>
            </w:pPr>
            <w:r w:rsidRPr="000B631D">
              <w:rPr>
                <w:rFonts w:cs="Arial"/>
                <w:b w:val="0"/>
                <w:bCs w:val="0"/>
              </w:rPr>
              <w:t>Job satisfaction (%)</w:t>
            </w:r>
          </w:p>
        </w:tc>
        <w:tc>
          <w:tcPr>
            <w:tcW w:w="1505" w:type="dxa"/>
            <w:gridSpan w:val="2"/>
            <w:vAlign w:val="center"/>
          </w:tcPr>
          <w:p w14:paraId="08916E62" w14:textId="77777777" w:rsidR="0045196E" w:rsidRPr="00637B46"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sidRPr="00637B46">
              <w:rPr>
                <w:rFonts w:cs="Arial"/>
              </w:rPr>
              <w:t>n/a</w:t>
            </w:r>
          </w:p>
        </w:tc>
        <w:tc>
          <w:tcPr>
            <w:tcW w:w="1525" w:type="dxa"/>
            <w:gridSpan w:val="2"/>
            <w:vAlign w:val="center"/>
          </w:tcPr>
          <w:p w14:paraId="4E446750" w14:textId="74ECC6AD" w:rsidR="0045196E" w:rsidRPr="00637B46" w:rsidRDefault="00F579FB">
            <w:pPr>
              <w:spacing w:after="0"/>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bCs/>
              </w:rPr>
              <w:t>38.8</w:t>
            </w:r>
          </w:p>
        </w:tc>
      </w:tr>
      <w:tr w:rsidR="0045196E" w:rsidRPr="00653483" w14:paraId="5F90847C" w14:textId="77777777" w:rsidTr="002561F7">
        <w:trPr>
          <w:gridAfter w:val="1"/>
          <w:wAfter w:w="1244" w:type="dxa"/>
          <w:trHeight w:val="454"/>
        </w:trPr>
        <w:tc>
          <w:tcPr>
            <w:cnfStyle w:val="001000000000" w:firstRow="0" w:lastRow="0" w:firstColumn="1" w:lastColumn="0" w:oddVBand="0" w:evenVBand="0" w:oddHBand="0" w:evenHBand="0" w:firstRowFirstColumn="0" w:firstRowLastColumn="0" w:lastRowFirstColumn="0" w:lastRowLastColumn="0"/>
            <w:tcW w:w="6184" w:type="dxa"/>
            <w:gridSpan w:val="3"/>
            <w:vAlign w:val="center"/>
          </w:tcPr>
          <w:p w14:paraId="7170D8CD" w14:textId="77777777" w:rsidR="0045196E" w:rsidRPr="000B631D" w:rsidRDefault="0045196E" w:rsidP="00D16B99">
            <w:pPr>
              <w:pStyle w:val="ListParagraph"/>
              <w:numPr>
                <w:ilvl w:val="0"/>
                <w:numId w:val="20"/>
              </w:numPr>
              <w:spacing w:before="40" w:after="40" w:line="240" w:lineRule="auto"/>
              <w:rPr>
                <w:rFonts w:cs="Arial"/>
                <w:b w:val="0"/>
                <w:bCs w:val="0"/>
              </w:rPr>
            </w:pPr>
            <w:r w:rsidRPr="000B631D">
              <w:rPr>
                <w:rFonts w:cs="Arial"/>
                <w:b w:val="0"/>
                <w:bCs w:val="0"/>
              </w:rPr>
              <w:t>Underemployment rate (%)</w:t>
            </w:r>
          </w:p>
        </w:tc>
        <w:tc>
          <w:tcPr>
            <w:tcW w:w="1505" w:type="dxa"/>
            <w:gridSpan w:val="2"/>
            <w:vAlign w:val="center"/>
          </w:tcPr>
          <w:p w14:paraId="113A1F85" w14:textId="2062CCC1" w:rsidR="0045196E" w:rsidRPr="00637B46" w:rsidRDefault="001C7929">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4.9</w:t>
            </w:r>
          </w:p>
        </w:tc>
        <w:tc>
          <w:tcPr>
            <w:tcW w:w="1525" w:type="dxa"/>
            <w:gridSpan w:val="2"/>
            <w:vAlign w:val="center"/>
          </w:tcPr>
          <w:p w14:paraId="7DD7EC48" w14:textId="1040B103" w:rsidR="0045196E" w:rsidRPr="00637B46"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637B46">
              <w:rPr>
                <w:rFonts w:cs="Arial"/>
                <w:b/>
                <w:bCs/>
              </w:rPr>
              <w:t>6.</w:t>
            </w:r>
            <w:r w:rsidR="001C7929">
              <w:rPr>
                <w:rFonts w:cs="Arial"/>
                <w:b/>
                <w:bCs/>
              </w:rPr>
              <w:t>1</w:t>
            </w:r>
          </w:p>
        </w:tc>
      </w:tr>
      <w:tr w:rsidR="00505E84" w:rsidRPr="00653483" w14:paraId="45C49BFD" w14:textId="77777777" w:rsidTr="002561F7">
        <w:trPr>
          <w:gridAfter w:val="1"/>
          <w:cnfStyle w:val="000000100000" w:firstRow="0" w:lastRow="0" w:firstColumn="0" w:lastColumn="0" w:oddVBand="0" w:evenVBand="0" w:oddHBand="1" w:evenHBand="0" w:firstRowFirstColumn="0" w:firstRowLastColumn="0" w:lastRowFirstColumn="0" w:lastRowLastColumn="0"/>
          <w:wAfter w:w="1244" w:type="dxa"/>
          <w:trHeight w:val="454"/>
        </w:trPr>
        <w:tc>
          <w:tcPr>
            <w:cnfStyle w:val="001000000000" w:firstRow="0" w:lastRow="0" w:firstColumn="1" w:lastColumn="0" w:oddVBand="0" w:evenVBand="0" w:oddHBand="0" w:evenHBand="0" w:firstRowFirstColumn="0" w:firstRowLastColumn="0" w:lastRowFirstColumn="0" w:lastRowLastColumn="0"/>
            <w:tcW w:w="6184" w:type="dxa"/>
            <w:gridSpan w:val="3"/>
            <w:vAlign w:val="center"/>
          </w:tcPr>
          <w:p w14:paraId="46376C7A" w14:textId="5B3320BF" w:rsidR="0045196E" w:rsidRPr="000B631D" w:rsidRDefault="0045196E" w:rsidP="00D16B99">
            <w:pPr>
              <w:pStyle w:val="ListParagraph"/>
              <w:numPr>
                <w:ilvl w:val="0"/>
                <w:numId w:val="20"/>
              </w:numPr>
              <w:spacing w:before="40" w:after="40" w:line="240" w:lineRule="auto"/>
              <w:rPr>
                <w:rFonts w:cs="Arial"/>
                <w:b w:val="0"/>
                <w:bCs w:val="0"/>
              </w:rPr>
            </w:pPr>
            <w:r w:rsidRPr="000B631D">
              <w:rPr>
                <w:rFonts w:cs="Arial"/>
                <w:b w:val="0"/>
                <w:bCs w:val="0"/>
              </w:rPr>
              <w:t xml:space="preserve">Income </w:t>
            </w:r>
            <w:r w:rsidR="00D610E4">
              <w:rPr>
                <w:rFonts w:cs="Arial"/>
                <w:b w:val="0"/>
                <w:bCs w:val="0"/>
              </w:rPr>
              <w:t xml:space="preserve">inequality </w:t>
            </w:r>
            <w:r>
              <w:rPr>
                <w:rFonts w:cs="Arial"/>
                <w:b w:val="0"/>
                <w:bCs w:val="0"/>
              </w:rPr>
              <w:t>ratio</w:t>
            </w:r>
          </w:p>
        </w:tc>
        <w:tc>
          <w:tcPr>
            <w:tcW w:w="1505" w:type="dxa"/>
            <w:gridSpan w:val="2"/>
            <w:vAlign w:val="center"/>
          </w:tcPr>
          <w:p w14:paraId="57495F95" w14:textId="77777777" w:rsidR="0045196E" w:rsidRPr="00637B46"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sidRPr="00637B46">
              <w:rPr>
                <w:rFonts w:cs="Arial"/>
              </w:rPr>
              <w:t>2.7</w:t>
            </w:r>
          </w:p>
        </w:tc>
        <w:tc>
          <w:tcPr>
            <w:tcW w:w="1525" w:type="dxa"/>
            <w:gridSpan w:val="2"/>
            <w:vAlign w:val="center"/>
          </w:tcPr>
          <w:p w14:paraId="34E4BA1C" w14:textId="77777777" w:rsidR="0045196E" w:rsidRPr="00637B46"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rPr>
            </w:pPr>
            <w:r w:rsidRPr="00637B46">
              <w:rPr>
                <w:rFonts w:cs="Arial"/>
                <w:b/>
                <w:bCs/>
              </w:rPr>
              <w:t>3.5</w:t>
            </w:r>
          </w:p>
        </w:tc>
      </w:tr>
      <w:tr w:rsidR="002561F7" w:rsidRPr="00653483" w14:paraId="20A554AC" w14:textId="1895F76E" w:rsidTr="002561F7">
        <w:trPr>
          <w:trHeight w:val="454"/>
        </w:trPr>
        <w:tc>
          <w:tcPr>
            <w:cnfStyle w:val="001000000000" w:firstRow="0" w:lastRow="0" w:firstColumn="1" w:lastColumn="0" w:oddVBand="0" w:evenVBand="0" w:oddHBand="0" w:evenHBand="0" w:firstRowFirstColumn="0" w:firstRowLastColumn="0" w:lastRowFirstColumn="0" w:lastRowLastColumn="0"/>
            <w:tcW w:w="6184" w:type="dxa"/>
            <w:gridSpan w:val="3"/>
            <w:tcBorders>
              <w:bottom w:val="single" w:sz="4" w:space="0" w:color="auto"/>
            </w:tcBorders>
            <w:vAlign w:val="center"/>
          </w:tcPr>
          <w:p w14:paraId="51ABB4C1" w14:textId="692CBD87" w:rsidR="002561F7" w:rsidRPr="000B631D" w:rsidRDefault="00280256" w:rsidP="00D16B99">
            <w:pPr>
              <w:pStyle w:val="ListParagraph"/>
              <w:numPr>
                <w:ilvl w:val="0"/>
                <w:numId w:val="20"/>
              </w:numPr>
              <w:spacing w:before="40" w:after="40" w:line="240" w:lineRule="auto"/>
              <w:rPr>
                <w:rFonts w:cs="Arial"/>
              </w:rPr>
            </w:pPr>
            <w:r>
              <w:rPr>
                <w:rFonts w:cs="Arial"/>
                <w:b w:val="0"/>
                <w:bCs w:val="0"/>
              </w:rPr>
              <w:t>Workers’ compensation</w:t>
            </w:r>
            <w:r w:rsidR="002561F7" w:rsidRPr="00660157">
              <w:rPr>
                <w:rFonts w:cs="Arial"/>
                <w:b w:val="0"/>
                <w:bCs w:val="0"/>
              </w:rPr>
              <w:t xml:space="preserve"> incidence rate</w:t>
            </w:r>
          </w:p>
        </w:tc>
        <w:tc>
          <w:tcPr>
            <w:tcW w:w="1505" w:type="dxa"/>
            <w:gridSpan w:val="2"/>
            <w:tcBorders>
              <w:bottom w:val="single" w:sz="4" w:space="0" w:color="auto"/>
            </w:tcBorders>
            <w:vAlign w:val="center"/>
          </w:tcPr>
          <w:p w14:paraId="43422502" w14:textId="22553B12" w:rsidR="002561F7" w:rsidRPr="00637B46" w:rsidRDefault="002561F7" w:rsidP="002561F7">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rPr>
              <w:t>6.1</w:t>
            </w:r>
          </w:p>
        </w:tc>
        <w:tc>
          <w:tcPr>
            <w:tcW w:w="1525" w:type="dxa"/>
            <w:gridSpan w:val="2"/>
            <w:tcBorders>
              <w:bottom w:val="single" w:sz="4" w:space="0" w:color="auto"/>
            </w:tcBorders>
            <w:vAlign w:val="center"/>
          </w:tcPr>
          <w:p w14:paraId="5B928FD9" w14:textId="1E5D1866" w:rsidR="002561F7" w:rsidRPr="00637B46" w:rsidRDefault="002561F7" w:rsidP="002561F7">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9.6</w:t>
            </w:r>
          </w:p>
        </w:tc>
        <w:tc>
          <w:tcPr>
            <w:tcW w:w="1244" w:type="dxa"/>
            <w:vAlign w:val="center"/>
          </w:tcPr>
          <w:p w14:paraId="4C41F9A6" w14:textId="4111DBA9" w:rsidR="002561F7" w:rsidRPr="00653483" w:rsidRDefault="002561F7" w:rsidP="002561F7">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45196E" w:rsidRPr="000A4F04" w14:paraId="0855CD30" w14:textId="77777777" w:rsidTr="002561F7">
        <w:trPr>
          <w:gridAfter w:val="1"/>
          <w:cnfStyle w:val="000000100000" w:firstRow="0" w:lastRow="0" w:firstColumn="0" w:lastColumn="0" w:oddVBand="0" w:evenVBand="0" w:oddHBand="1" w:evenHBand="0" w:firstRowFirstColumn="0" w:firstRowLastColumn="0" w:lastRowFirstColumn="0" w:lastRowLastColumn="0"/>
          <w:wAfter w:w="1244" w:type="dxa"/>
          <w:trHeight w:val="113"/>
        </w:trPr>
        <w:tc>
          <w:tcPr>
            <w:cnfStyle w:val="001000000000" w:firstRow="0" w:lastRow="0" w:firstColumn="1" w:lastColumn="0" w:oddVBand="0" w:evenVBand="0" w:oddHBand="0" w:evenHBand="0" w:firstRowFirstColumn="0" w:firstRowLastColumn="0" w:lastRowFirstColumn="0" w:lastRowLastColumn="0"/>
            <w:tcW w:w="6184" w:type="dxa"/>
            <w:gridSpan w:val="3"/>
            <w:tcBorders>
              <w:top w:val="single" w:sz="4" w:space="0" w:color="auto"/>
            </w:tcBorders>
            <w:shd w:val="clear" w:color="auto" w:fill="370663"/>
          </w:tcPr>
          <w:p w14:paraId="22A10E41" w14:textId="77777777" w:rsidR="0045196E" w:rsidRPr="000A4F04" w:rsidRDefault="0045196E">
            <w:pPr>
              <w:rPr>
                <w:rFonts w:cs="Arial"/>
                <w:color w:val="000000" w:themeColor="text1"/>
                <w:sz w:val="12"/>
                <w:szCs w:val="12"/>
              </w:rPr>
            </w:pPr>
          </w:p>
        </w:tc>
        <w:tc>
          <w:tcPr>
            <w:tcW w:w="1505" w:type="dxa"/>
            <w:gridSpan w:val="2"/>
            <w:tcBorders>
              <w:top w:val="single" w:sz="4" w:space="0" w:color="auto"/>
            </w:tcBorders>
            <w:shd w:val="clear" w:color="auto" w:fill="370663"/>
            <w:vAlign w:val="center"/>
          </w:tcPr>
          <w:p w14:paraId="17ACA92F" w14:textId="77777777" w:rsidR="0045196E" w:rsidRPr="00637B46"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c>
          <w:tcPr>
            <w:tcW w:w="1525" w:type="dxa"/>
            <w:gridSpan w:val="2"/>
            <w:tcBorders>
              <w:top w:val="single" w:sz="4" w:space="0" w:color="auto"/>
            </w:tcBorders>
            <w:shd w:val="clear" w:color="auto" w:fill="370663"/>
            <w:vAlign w:val="center"/>
          </w:tcPr>
          <w:p w14:paraId="55E3342F" w14:textId="77777777" w:rsidR="0045196E" w:rsidRPr="00637B46" w:rsidRDefault="0045196E">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r>
      <w:tr w:rsidR="00E26DA1" w:rsidRPr="000A4F04" w14:paraId="6E436FC4" w14:textId="77777777" w:rsidTr="002561F7">
        <w:trPr>
          <w:gridAfter w:val="1"/>
          <w:wAfter w:w="1244" w:type="dxa"/>
          <w:trHeight w:val="454"/>
        </w:trPr>
        <w:tc>
          <w:tcPr>
            <w:cnfStyle w:val="001000000000" w:firstRow="0" w:lastRow="0" w:firstColumn="1" w:lastColumn="0" w:oddVBand="0" w:evenVBand="0" w:oddHBand="0" w:evenHBand="0" w:firstRowFirstColumn="0" w:firstRowLastColumn="0" w:lastRowFirstColumn="0" w:lastRowLastColumn="0"/>
            <w:tcW w:w="6184" w:type="dxa"/>
            <w:gridSpan w:val="3"/>
            <w:vAlign w:val="center"/>
          </w:tcPr>
          <w:p w14:paraId="5EAD634E" w14:textId="323A3303" w:rsidR="0045196E" w:rsidRPr="000A4F04" w:rsidRDefault="004017E5">
            <w:pPr>
              <w:rPr>
                <w:rFonts w:cs="Arial"/>
                <w:sz w:val="28"/>
                <w:szCs w:val="28"/>
              </w:rPr>
            </w:pPr>
            <w:r>
              <w:rPr>
                <w:rFonts w:cs="Arial"/>
                <w:color w:val="000000" w:themeColor="text1"/>
                <w:sz w:val="28"/>
                <w:szCs w:val="28"/>
              </w:rPr>
              <w:t xml:space="preserve">Vision </w:t>
            </w:r>
            <w:r w:rsidR="0045196E" w:rsidRPr="000A4F04">
              <w:rPr>
                <w:rFonts w:cs="Arial"/>
                <w:color w:val="000000" w:themeColor="text1"/>
                <w:sz w:val="28"/>
                <w:szCs w:val="28"/>
              </w:rPr>
              <w:t>Principle 4</w:t>
            </w:r>
          </w:p>
        </w:tc>
        <w:tc>
          <w:tcPr>
            <w:tcW w:w="1505" w:type="dxa"/>
            <w:gridSpan w:val="2"/>
            <w:shd w:val="clear" w:color="auto" w:fill="FFFFFF" w:themeFill="background1"/>
            <w:vAlign w:val="center"/>
          </w:tcPr>
          <w:p w14:paraId="3CC7A25E" w14:textId="06707D99" w:rsidR="0045196E" w:rsidRPr="00637B46"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c>
          <w:tcPr>
            <w:tcW w:w="1525" w:type="dxa"/>
            <w:gridSpan w:val="2"/>
            <w:shd w:val="clear" w:color="auto" w:fill="FFFFFF" w:themeFill="background1"/>
            <w:vAlign w:val="center"/>
          </w:tcPr>
          <w:p w14:paraId="51ACD3BA" w14:textId="161A3503" w:rsidR="0045196E" w:rsidRPr="00637B46" w:rsidRDefault="0045196E">
            <w:pPr>
              <w:spacing w:after="0"/>
              <w:jc w:val="center"/>
              <w:cnfStyle w:val="000000000000" w:firstRow="0" w:lastRow="0" w:firstColumn="0" w:lastColumn="0" w:oddVBand="0" w:evenVBand="0" w:oddHBand="0" w:evenHBand="0" w:firstRowFirstColumn="0" w:firstRowLastColumn="0" w:lastRowFirstColumn="0" w:lastRowLastColumn="0"/>
              <w:rPr>
                <w:rFonts w:cs="Arial"/>
                <w:b/>
                <w:color w:val="C00000"/>
              </w:rPr>
            </w:pPr>
          </w:p>
        </w:tc>
      </w:tr>
      <w:tr w:rsidR="00505E84" w:rsidRPr="00653483" w14:paraId="17D3241C" w14:textId="77777777" w:rsidTr="002561F7">
        <w:trPr>
          <w:gridAfter w:val="1"/>
          <w:cnfStyle w:val="000000100000" w:firstRow="0" w:lastRow="0" w:firstColumn="0" w:lastColumn="0" w:oddVBand="0" w:evenVBand="0" w:oddHBand="1" w:evenHBand="0" w:firstRowFirstColumn="0" w:firstRowLastColumn="0" w:lastRowFirstColumn="0" w:lastRowLastColumn="0"/>
          <w:wAfter w:w="1244" w:type="dxa"/>
          <w:trHeight w:val="454"/>
        </w:trPr>
        <w:tc>
          <w:tcPr>
            <w:cnfStyle w:val="001000000000" w:firstRow="0" w:lastRow="0" w:firstColumn="1" w:lastColumn="0" w:oddVBand="0" w:evenVBand="0" w:oddHBand="0" w:evenHBand="0" w:firstRowFirstColumn="0" w:firstRowLastColumn="0" w:lastRowFirstColumn="0" w:lastRowLastColumn="0"/>
            <w:tcW w:w="6184" w:type="dxa"/>
            <w:gridSpan w:val="3"/>
            <w:vAlign w:val="center"/>
          </w:tcPr>
          <w:p w14:paraId="2C23B34E" w14:textId="77777777" w:rsidR="0045196E" w:rsidRPr="000B631D" w:rsidRDefault="0045196E" w:rsidP="00D16B99">
            <w:pPr>
              <w:pStyle w:val="ListParagraph"/>
              <w:numPr>
                <w:ilvl w:val="0"/>
                <w:numId w:val="20"/>
              </w:numPr>
              <w:spacing w:before="40" w:after="40" w:line="240" w:lineRule="auto"/>
              <w:rPr>
                <w:rFonts w:cs="Arial"/>
                <w:b w:val="0"/>
                <w:bCs w:val="0"/>
              </w:rPr>
            </w:pPr>
            <w:r w:rsidRPr="000B631D">
              <w:rPr>
                <w:rFonts w:cs="Arial"/>
                <w:b w:val="0"/>
                <w:bCs w:val="0"/>
              </w:rPr>
              <w:t>Vacancy fill rate (%)</w:t>
            </w:r>
          </w:p>
        </w:tc>
        <w:tc>
          <w:tcPr>
            <w:tcW w:w="1505" w:type="dxa"/>
            <w:gridSpan w:val="2"/>
            <w:vAlign w:val="center"/>
          </w:tcPr>
          <w:p w14:paraId="70A28FF9" w14:textId="327855B2" w:rsidR="0045196E" w:rsidRPr="00637B46" w:rsidRDefault="00CF2AF0">
            <w:pPr>
              <w:spacing w:after="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71.4</w:t>
            </w:r>
          </w:p>
        </w:tc>
        <w:tc>
          <w:tcPr>
            <w:tcW w:w="1525" w:type="dxa"/>
            <w:gridSpan w:val="2"/>
            <w:vAlign w:val="center"/>
          </w:tcPr>
          <w:p w14:paraId="277A3F17" w14:textId="7D5331F0" w:rsidR="0045196E" w:rsidRPr="00637B46" w:rsidRDefault="00C91966">
            <w:pPr>
              <w:spacing w:after="0"/>
              <w:jc w:val="center"/>
              <w:cnfStyle w:val="000000100000" w:firstRow="0" w:lastRow="0" w:firstColumn="0" w:lastColumn="0" w:oddVBand="0" w:evenVBand="0" w:oddHBand="1" w:evenHBand="0" w:firstRowFirstColumn="0" w:firstRowLastColumn="0" w:lastRowFirstColumn="0" w:lastRowLastColumn="0"/>
              <w:rPr>
                <w:rFonts w:cs="Arial"/>
                <w:b/>
              </w:rPr>
            </w:pPr>
            <w:r w:rsidRPr="00637B46">
              <w:rPr>
                <w:rFonts w:cs="Arial"/>
                <w:b/>
                <w:bCs/>
              </w:rPr>
              <w:t>64.7</w:t>
            </w:r>
          </w:p>
        </w:tc>
      </w:tr>
      <w:tr w:rsidR="00F80FD3" w:rsidRPr="00653483" w14:paraId="2CD7828F" w14:textId="77777777" w:rsidTr="002561F7">
        <w:trPr>
          <w:gridAfter w:val="1"/>
          <w:wAfter w:w="1244" w:type="dxa"/>
          <w:trHeight w:val="454"/>
        </w:trPr>
        <w:tc>
          <w:tcPr>
            <w:cnfStyle w:val="001000000000" w:firstRow="0" w:lastRow="0" w:firstColumn="1" w:lastColumn="0" w:oddVBand="0" w:evenVBand="0" w:oddHBand="0" w:evenHBand="0" w:firstRowFirstColumn="0" w:firstRowLastColumn="0" w:lastRowFirstColumn="0" w:lastRowLastColumn="0"/>
            <w:tcW w:w="6184" w:type="dxa"/>
            <w:gridSpan w:val="3"/>
            <w:vAlign w:val="center"/>
          </w:tcPr>
          <w:p w14:paraId="522974BD" w14:textId="2B9A9712" w:rsidR="00AA270F" w:rsidRPr="000B631D" w:rsidRDefault="00464B51" w:rsidP="00D16B99">
            <w:pPr>
              <w:pStyle w:val="ListParagraph"/>
              <w:numPr>
                <w:ilvl w:val="0"/>
                <w:numId w:val="20"/>
              </w:numPr>
              <w:spacing w:before="40" w:after="40" w:line="240" w:lineRule="auto"/>
              <w:rPr>
                <w:rFonts w:cs="Arial"/>
                <w:b w:val="0"/>
                <w:bCs w:val="0"/>
              </w:rPr>
            </w:pPr>
            <w:r>
              <w:rPr>
                <w:rFonts w:cs="Arial"/>
                <w:b w:val="0"/>
                <w:bCs w:val="0"/>
              </w:rPr>
              <w:t>Essential service</w:t>
            </w:r>
            <w:r w:rsidR="005F3A40">
              <w:rPr>
                <w:rFonts w:cs="Arial"/>
                <w:b w:val="0"/>
                <w:bCs w:val="0"/>
              </w:rPr>
              <w:t>s</w:t>
            </w:r>
            <w:r>
              <w:rPr>
                <w:rFonts w:cs="Arial"/>
                <w:b w:val="0"/>
                <w:bCs w:val="0"/>
              </w:rPr>
              <w:t xml:space="preserve"> vacancy rate (%)</w:t>
            </w:r>
          </w:p>
        </w:tc>
        <w:tc>
          <w:tcPr>
            <w:tcW w:w="1505" w:type="dxa"/>
            <w:gridSpan w:val="2"/>
            <w:vAlign w:val="center"/>
          </w:tcPr>
          <w:p w14:paraId="1B704A35" w14:textId="11858729" w:rsidR="00AA270F" w:rsidRPr="00637B46" w:rsidRDefault="00ED15BF">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7.1</w:t>
            </w:r>
          </w:p>
        </w:tc>
        <w:tc>
          <w:tcPr>
            <w:tcW w:w="1525" w:type="dxa"/>
            <w:gridSpan w:val="2"/>
            <w:vAlign w:val="center"/>
          </w:tcPr>
          <w:p w14:paraId="3DDB9B09" w14:textId="28787393" w:rsidR="00AA270F" w:rsidRPr="00637B46" w:rsidRDefault="00464B51">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8.5</w:t>
            </w:r>
          </w:p>
        </w:tc>
      </w:tr>
      <w:tr w:rsidR="00505E84" w:rsidRPr="00653483" w14:paraId="65FE71E8" w14:textId="77777777" w:rsidTr="002561F7">
        <w:trPr>
          <w:gridAfter w:val="1"/>
          <w:cnfStyle w:val="000000100000" w:firstRow="0" w:lastRow="0" w:firstColumn="0" w:lastColumn="0" w:oddVBand="0" w:evenVBand="0" w:oddHBand="1" w:evenHBand="0" w:firstRowFirstColumn="0" w:firstRowLastColumn="0" w:lastRowFirstColumn="0" w:lastRowLastColumn="0"/>
          <w:wAfter w:w="1244" w:type="dxa"/>
          <w:trHeight w:val="454"/>
        </w:trPr>
        <w:tc>
          <w:tcPr>
            <w:cnfStyle w:val="001000000000" w:firstRow="0" w:lastRow="0" w:firstColumn="1" w:lastColumn="0" w:oddVBand="0" w:evenVBand="0" w:oddHBand="0" w:evenHBand="0" w:firstRowFirstColumn="0" w:firstRowLastColumn="0" w:lastRowFirstColumn="0" w:lastRowLastColumn="0"/>
            <w:tcW w:w="6184" w:type="dxa"/>
            <w:gridSpan w:val="3"/>
            <w:vAlign w:val="center"/>
          </w:tcPr>
          <w:p w14:paraId="1A1CF5FB" w14:textId="77777777" w:rsidR="0045196E" w:rsidRPr="000B631D" w:rsidRDefault="0045196E" w:rsidP="00D16B99">
            <w:pPr>
              <w:pStyle w:val="ListParagraph"/>
              <w:numPr>
                <w:ilvl w:val="0"/>
                <w:numId w:val="20"/>
              </w:numPr>
              <w:spacing w:before="40" w:after="40" w:line="240" w:lineRule="auto"/>
              <w:rPr>
                <w:rFonts w:cs="Arial"/>
                <w:b w:val="0"/>
                <w:bCs w:val="0"/>
              </w:rPr>
            </w:pPr>
            <w:r w:rsidRPr="000B631D">
              <w:rPr>
                <w:rFonts w:cs="Arial"/>
                <w:b w:val="0"/>
                <w:bCs w:val="0"/>
              </w:rPr>
              <w:t>Incidence of persistent hiring pressures (%)</w:t>
            </w:r>
          </w:p>
        </w:tc>
        <w:tc>
          <w:tcPr>
            <w:tcW w:w="1505" w:type="dxa"/>
            <w:gridSpan w:val="2"/>
            <w:vAlign w:val="center"/>
          </w:tcPr>
          <w:p w14:paraId="64154D50" w14:textId="1F0E4CF0" w:rsidR="0045196E" w:rsidRPr="00637B46" w:rsidRDefault="00A77655">
            <w:pPr>
              <w:spacing w:after="0"/>
              <w:jc w:val="center"/>
              <w:cnfStyle w:val="000000100000" w:firstRow="0" w:lastRow="0" w:firstColumn="0" w:lastColumn="0" w:oddVBand="0" w:evenVBand="0" w:oddHBand="1" w:evenHBand="0" w:firstRowFirstColumn="0" w:firstRowLastColumn="0" w:lastRowFirstColumn="0" w:lastRowLastColumn="0"/>
              <w:rPr>
                <w:rFonts w:cs="Arial"/>
                <w:highlight w:val="yellow"/>
              </w:rPr>
            </w:pPr>
            <w:r w:rsidRPr="004D08E0">
              <w:rPr>
                <w:rFonts w:cs="Arial"/>
                <w:b/>
                <w:bCs/>
              </w:rPr>
              <w:t>n/a</w:t>
            </w:r>
          </w:p>
        </w:tc>
        <w:tc>
          <w:tcPr>
            <w:tcW w:w="1525" w:type="dxa"/>
            <w:gridSpan w:val="2"/>
            <w:vAlign w:val="center"/>
          </w:tcPr>
          <w:p w14:paraId="2043D992" w14:textId="28B04382" w:rsidR="0045196E" w:rsidRPr="00637B46" w:rsidRDefault="00B576B9">
            <w:pPr>
              <w:spacing w:after="0"/>
              <w:jc w:val="center"/>
              <w:cnfStyle w:val="000000100000" w:firstRow="0" w:lastRow="0" w:firstColumn="0" w:lastColumn="0" w:oddVBand="0" w:evenVBand="0" w:oddHBand="1" w:evenHBand="0" w:firstRowFirstColumn="0" w:firstRowLastColumn="0" w:lastRowFirstColumn="0" w:lastRowLastColumn="0"/>
              <w:rPr>
                <w:rFonts w:cs="Arial"/>
                <w:b/>
                <w:highlight w:val="yellow"/>
              </w:rPr>
            </w:pPr>
            <w:r>
              <w:rPr>
                <w:rFonts w:cs="Arial"/>
                <w:b/>
                <w:bCs/>
              </w:rPr>
              <w:t>36.8</w:t>
            </w:r>
          </w:p>
        </w:tc>
      </w:tr>
      <w:tr w:rsidR="00F80FD3" w:rsidRPr="00653483" w14:paraId="7A5DA8A9" w14:textId="77777777" w:rsidTr="002561F7">
        <w:trPr>
          <w:gridAfter w:val="1"/>
          <w:wAfter w:w="1244" w:type="dxa"/>
          <w:trHeight w:val="454"/>
        </w:trPr>
        <w:tc>
          <w:tcPr>
            <w:cnfStyle w:val="001000000000" w:firstRow="0" w:lastRow="0" w:firstColumn="1" w:lastColumn="0" w:oddVBand="0" w:evenVBand="0" w:oddHBand="0" w:evenHBand="0" w:firstRowFirstColumn="0" w:firstRowLastColumn="0" w:lastRowFirstColumn="0" w:lastRowLastColumn="0"/>
            <w:tcW w:w="6184" w:type="dxa"/>
            <w:gridSpan w:val="3"/>
            <w:vAlign w:val="center"/>
          </w:tcPr>
          <w:p w14:paraId="6D64B023" w14:textId="0CBE4DF7" w:rsidR="0045196E" w:rsidRPr="000B631D" w:rsidRDefault="006961FA" w:rsidP="00D16B99">
            <w:pPr>
              <w:pStyle w:val="ListParagraph"/>
              <w:numPr>
                <w:ilvl w:val="0"/>
                <w:numId w:val="20"/>
              </w:numPr>
              <w:spacing w:before="40" w:after="40" w:line="240" w:lineRule="auto"/>
              <w:rPr>
                <w:rFonts w:cs="Arial"/>
              </w:rPr>
            </w:pPr>
            <w:r>
              <w:rPr>
                <w:rFonts w:cs="Arial"/>
                <w:b w:val="0"/>
                <w:bCs w:val="0"/>
              </w:rPr>
              <w:t>Business creation rate</w:t>
            </w:r>
            <w:r w:rsidR="0045196E" w:rsidRPr="000B631D">
              <w:rPr>
                <w:rFonts w:cs="Arial"/>
                <w:b w:val="0"/>
                <w:bCs w:val="0"/>
              </w:rPr>
              <w:t xml:space="preserve"> (%)</w:t>
            </w:r>
          </w:p>
        </w:tc>
        <w:tc>
          <w:tcPr>
            <w:tcW w:w="1505" w:type="dxa"/>
            <w:gridSpan w:val="2"/>
            <w:vAlign w:val="center"/>
          </w:tcPr>
          <w:p w14:paraId="4AC62D45" w14:textId="76EB50CD" w:rsidR="0045196E" w:rsidRPr="00637B46" w:rsidRDefault="00D87A91">
            <w:pPr>
              <w:spacing w:after="0"/>
              <w:jc w:val="center"/>
              <w:cnfStyle w:val="000000000000" w:firstRow="0" w:lastRow="0" w:firstColumn="0" w:lastColumn="0" w:oddVBand="0" w:evenVBand="0" w:oddHBand="0" w:evenHBand="0" w:firstRowFirstColumn="0" w:firstRowLastColumn="0" w:lastRowFirstColumn="0" w:lastRowLastColumn="0"/>
              <w:rPr>
                <w:rFonts w:cs="Arial"/>
                <w:highlight w:val="yellow"/>
              </w:rPr>
            </w:pPr>
            <w:r>
              <w:rPr>
                <w:rFonts w:cs="Arial"/>
              </w:rPr>
              <w:t>2.2</w:t>
            </w:r>
          </w:p>
        </w:tc>
        <w:tc>
          <w:tcPr>
            <w:tcW w:w="1525" w:type="dxa"/>
            <w:gridSpan w:val="2"/>
            <w:vAlign w:val="center"/>
          </w:tcPr>
          <w:p w14:paraId="2FC381F7" w14:textId="00BC8A6B" w:rsidR="0045196E" w:rsidRPr="00637B46" w:rsidRDefault="00D87A91">
            <w:pPr>
              <w:spacing w:after="0"/>
              <w:jc w:val="center"/>
              <w:cnfStyle w:val="000000000000" w:firstRow="0" w:lastRow="0" w:firstColumn="0" w:lastColumn="0" w:oddVBand="0" w:evenVBand="0" w:oddHBand="0" w:evenHBand="0" w:firstRowFirstColumn="0" w:firstRowLastColumn="0" w:lastRowFirstColumn="0" w:lastRowLastColumn="0"/>
              <w:rPr>
                <w:rFonts w:cs="Arial"/>
                <w:b/>
                <w:bCs/>
                <w:highlight w:val="yellow"/>
              </w:rPr>
            </w:pPr>
            <w:r>
              <w:rPr>
                <w:rFonts w:cs="Arial"/>
                <w:b/>
                <w:bCs/>
              </w:rPr>
              <w:t>2.2</w:t>
            </w:r>
          </w:p>
        </w:tc>
      </w:tr>
      <w:tr w:rsidR="00D73BB2" w:rsidRPr="000A4F04" w14:paraId="6C9E9D40" w14:textId="77777777" w:rsidTr="002561F7">
        <w:trPr>
          <w:gridAfter w:val="1"/>
          <w:cnfStyle w:val="000000100000" w:firstRow="0" w:lastRow="0" w:firstColumn="0" w:lastColumn="0" w:oddVBand="0" w:evenVBand="0" w:oddHBand="1" w:evenHBand="0" w:firstRowFirstColumn="0" w:firstRowLastColumn="0" w:lastRowFirstColumn="0" w:lastRowLastColumn="0"/>
          <w:wAfter w:w="1244" w:type="dxa"/>
          <w:trHeight w:val="227"/>
        </w:trPr>
        <w:tc>
          <w:tcPr>
            <w:cnfStyle w:val="001000000000" w:firstRow="0" w:lastRow="0" w:firstColumn="1" w:lastColumn="0" w:oddVBand="0" w:evenVBand="0" w:oddHBand="0" w:evenHBand="0" w:firstRowFirstColumn="0" w:firstRowLastColumn="0" w:lastRowFirstColumn="0" w:lastRowLastColumn="0"/>
            <w:tcW w:w="5457" w:type="dxa"/>
            <w:shd w:val="clear" w:color="auto" w:fill="370663"/>
          </w:tcPr>
          <w:p w14:paraId="25A447A9" w14:textId="77777777" w:rsidR="00D73BB2" w:rsidRPr="000A4F04" w:rsidRDefault="00D73BB2">
            <w:pPr>
              <w:spacing w:after="0"/>
              <w:rPr>
                <w:rFonts w:cs="Arial"/>
                <w:color w:val="000000" w:themeColor="text1"/>
                <w:sz w:val="12"/>
                <w:szCs w:val="12"/>
              </w:rPr>
            </w:pPr>
          </w:p>
        </w:tc>
        <w:tc>
          <w:tcPr>
            <w:tcW w:w="1229" w:type="dxa"/>
            <w:gridSpan w:val="3"/>
            <w:shd w:val="clear" w:color="auto" w:fill="370663"/>
          </w:tcPr>
          <w:p w14:paraId="2A5DD7DE" w14:textId="77777777" w:rsidR="00D73BB2" w:rsidRPr="00637B46" w:rsidRDefault="00D73BB2">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p>
        </w:tc>
        <w:tc>
          <w:tcPr>
            <w:tcW w:w="1430" w:type="dxa"/>
            <w:gridSpan w:val="2"/>
            <w:shd w:val="clear" w:color="auto" w:fill="370663"/>
          </w:tcPr>
          <w:p w14:paraId="6D2F1F56" w14:textId="77777777" w:rsidR="00D73BB2" w:rsidRPr="00637B46" w:rsidRDefault="00D73BB2">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c>
          <w:tcPr>
            <w:tcW w:w="1098" w:type="dxa"/>
            <w:shd w:val="clear" w:color="auto" w:fill="370663"/>
          </w:tcPr>
          <w:p w14:paraId="43D20F38" w14:textId="77777777" w:rsidR="00D73BB2" w:rsidRPr="00637B46" w:rsidRDefault="00D73BB2">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r>
      <w:tr w:rsidR="00CD1924" w:rsidRPr="000A4F04" w14:paraId="1914FC68" w14:textId="77777777" w:rsidTr="002561F7">
        <w:trPr>
          <w:gridAfter w:val="1"/>
          <w:wAfter w:w="1244" w:type="dxa"/>
          <w:trHeight w:val="454"/>
        </w:trPr>
        <w:tc>
          <w:tcPr>
            <w:cnfStyle w:val="001000000000" w:firstRow="0" w:lastRow="0" w:firstColumn="1" w:lastColumn="0" w:oddVBand="0" w:evenVBand="0" w:oddHBand="0" w:evenHBand="0" w:firstRowFirstColumn="0" w:firstRowLastColumn="0" w:lastRowFirstColumn="0" w:lastRowLastColumn="0"/>
            <w:tcW w:w="5457" w:type="dxa"/>
          </w:tcPr>
          <w:p w14:paraId="1C038C26" w14:textId="77777777" w:rsidR="00D73BB2" w:rsidRPr="000A4F04" w:rsidRDefault="00D73BB2">
            <w:pPr>
              <w:spacing w:after="0"/>
              <w:rPr>
                <w:rFonts w:cs="Arial"/>
                <w:sz w:val="28"/>
                <w:szCs w:val="28"/>
              </w:rPr>
            </w:pPr>
            <w:r w:rsidRPr="000A4F04">
              <w:rPr>
                <w:rFonts w:cs="Arial"/>
                <w:color w:val="000000" w:themeColor="text1"/>
                <w:sz w:val="28"/>
                <w:szCs w:val="28"/>
              </w:rPr>
              <w:t xml:space="preserve">Vision Principle </w:t>
            </w:r>
            <w:r>
              <w:rPr>
                <w:rFonts w:cs="Arial"/>
                <w:color w:val="000000" w:themeColor="text1"/>
                <w:sz w:val="28"/>
                <w:szCs w:val="28"/>
              </w:rPr>
              <w:t>5</w:t>
            </w:r>
          </w:p>
        </w:tc>
        <w:tc>
          <w:tcPr>
            <w:tcW w:w="1229" w:type="dxa"/>
            <w:gridSpan w:val="3"/>
          </w:tcPr>
          <w:p w14:paraId="4F2456DC" w14:textId="77777777" w:rsidR="00D73BB2" w:rsidRPr="00637B46" w:rsidRDefault="00D73BB2">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p>
        </w:tc>
        <w:tc>
          <w:tcPr>
            <w:tcW w:w="1430" w:type="dxa"/>
            <w:gridSpan w:val="2"/>
          </w:tcPr>
          <w:p w14:paraId="40251395" w14:textId="77777777" w:rsidR="00D73BB2" w:rsidRPr="00637B46" w:rsidRDefault="00D73BB2">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c>
          <w:tcPr>
            <w:tcW w:w="1098" w:type="dxa"/>
          </w:tcPr>
          <w:p w14:paraId="696D16EA" w14:textId="77777777" w:rsidR="00D73BB2" w:rsidRPr="00637B46" w:rsidRDefault="00D73BB2">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r>
      <w:tr w:rsidR="00505E84" w:rsidRPr="003A4857" w14:paraId="25B14A2B" w14:textId="77777777" w:rsidTr="002561F7">
        <w:trPr>
          <w:gridAfter w:val="1"/>
          <w:cnfStyle w:val="000000100000" w:firstRow="0" w:lastRow="0" w:firstColumn="0" w:lastColumn="0" w:oddVBand="0" w:evenVBand="0" w:oddHBand="1" w:evenHBand="0" w:firstRowFirstColumn="0" w:firstRowLastColumn="0" w:lastRowFirstColumn="0" w:lastRowLastColumn="0"/>
          <w:wAfter w:w="1244" w:type="dxa"/>
          <w:trHeight w:val="454"/>
        </w:trPr>
        <w:tc>
          <w:tcPr>
            <w:cnfStyle w:val="001000000000" w:firstRow="0" w:lastRow="0" w:firstColumn="1" w:lastColumn="0" w:oddVBand="0" w:evenVBand="0" w:oddHBand="0" w:evenHBand="0" w:firstRowFirstColumn="0" w:firstRowLastColumn="0" w:lastRowFirstColumn="0" w:lastRowLastColumn="0"/>
            <w:tcW w:w="6159" w:type="dxa"/>
            <w:gridSpan w:val="2"/>
            <w:vAlign w:val="center"/>
          </w:tcPr>
          <w:p w14:paraId="5523DCC0" w14:textId="77777777" w:rsidR="00D73BB2" w:rsidRPr="000B631D" w:rsidRDefault="00D73BB2" w:rsidP="00D16B99">
            <w:pPr>
              <w:pStyle w:val="ListParagraph"/>
              <w:numPr>
                <w:ilvl w:val="0"/>
                <w:numId w:val="20"/>
              </w:numPr>
              <w:spacing w:before="40" w:after="40" w:line="240" w:lineRule="auto"/>
              <w:rPr>
                <w:rFonts w:cs="Arial"/>
                <w:b w:val="0"/>
                <w:bCs w:val="0"/>
              </w:rPr>
            </w:pPr>
            <w:r>
              <w:rPr>
                <w:rFonts w:cs="Arial"/>
                <w:b w:val="0"/>
                <w:bCs w:val="0"/>
              </w:rPr>
              <w:t>Beveridge Curve analysis</w:t>
            </w:r>
          </w:p>
        </w:tc>
        <w:tc>
          <w:tcPr>
            <w:tcW w:w="1530" w:type="dxa"/>
            <w:gridSpan w:val="3"/>
            <w:vAlign w:val="center"/>
          </w:tcPr>
          <w:p w14:paraId="5BD889B7" w14:textId="692DE868" w:rsidR="00D73BB2" w:rsidRPr="00637B46" w:rsidRDefault="004E2BE7">
            <w:pPr>
              <w:spacing w:after="0"/>
              <w:jc w:val="center"/>
              <w:cnfStyle w:val="000000100000" w:firstRow="0" w:lastRow="0" w:firstColumn="0" w:lastColumn="0" w:oddVBand="0" w:evenVBand="0" w:oddHBand="1" w:evenHBand="0" w:firstRowFirstColumn="0" w:firstRowLastColumn="0" w:lastRowFirstColumn="0" w:lastRowLastColumn="0"/>
              <w:rPr>
                <w:rFonts w:cs="Arial"/>
                <w:b/>
                <w:bCs/>
              </w:rPr>
            </w:pPr>
            <w:r w:rsidRPr="004D08E0">
              <w:rPr>
                <w:rFonts w:cs="Arial"/>
                <w:b/>
                <w:bCs/>
              </w:rPr>
              <w:t>n/a</w:t>
            </w:r>
          </w:p>
        </w:tc>
        <w:tc>
          <w:tcPr>
            <w:tcW w:w="1525" w:type="dxa"/>
            <w:gridSpan w:val="2"/>
            <w:vAlign w:val="center"/>
          </w:tcPr>
          <w:p w14:paraId="1D2814C3" w14:textId="43C0E153" w:rsidR="00D73BB2" w:rsidRPr="00637B46" w:rsidRDefault="004E2BE7">
            <w:pPr>
              <w:spacing w:after="0"/>
              <w:jc w:val="center"/>
              <w:cnfStyle w:val="000000100000" w:firstRow="0" w:lastRow="0" w:firstColumn="0" w:lastColumn="0" w:oddVBand="0" w:evenVBand="0" w:oddHBand="1" w:evenHBand="0" w:firstRowFirstColumn="0" w:firstRowLastColumn="0" w:lastRowFirstColumn="0" w:lastRowLastColumn="0"/>
              <w:rPr>
                <w:rFonts w:cs="Arial"/>
                <w:b/>
                <w:bCs/>
                <w:highlight w:val="yellow"/>
              </w:rPr>
            </w:pPr>
            <w:r w:rsidRPr="004D08E0">
              <w:rPr>
                <w:rFonts w:cs="Arial"/>
                <w:b/>
                <w:bCs/>
              </w:rPr>
              <w:t>n/a</w:t>
            </w:r>
          </w:p>
        </w:tc>
      </w:tr>
      <w:tr w:rsidR="00F80FD3" w:rsidRPr="000A4F04" w14:paraId="69CF9634" w14:textId="77777777" w:rsidTr="002561F7">
        <w:trPr>
          <w:gridAfter w:val="1"/>
          <w:wAfter w:w="1244" w:type="dxa"/>
          <w:trHeight w:val="454"/>
        </w:trPr>
        <w:tc>
          <w:tcPr>
            <w:cnfStyle w:val="001000000000" w:firstRow="0" w:lastRow="0" w:firstColumn="1" w:lastColumn="0" w:oddVBand="0" w:evenVBand="0" w:oddHBand="0" w:evenHBand="0" w:firstRowFirstColumn="0" w:firstRowLastColumn="0" w:lastRowFirstColumn="0" w:lastRowLastColumn="0"/>
            <w:tcW w:w="6159" w:type="dxa"/>
            <w:gridSpan w:val="2"/>
            <w:vAlign w:val="center"/>
          </w:tcPr>
          <w:p w14:paraId="1D77187C" w14:textId="480BB776" w:rsidR="00D73BB2" w:rsidRPr="000B631D" w:rsidRDefault="00D73BB2" w:rsidP="00D16B99">
            <w:pPr>
              <w:pStyle w:val="ListParagraph"/>
              <w:numPr>
                <w:ilvl w:val="0"/>
                <w:numId w:val="20"/>
              </w:numPr>
              <w:spacing w:before="40" w:after="40" w:line="240" w:lineRule="auto"/>
              <w:rPr>
                <w:rFonts w:cs="Arial"/>
              </w:rPr>
            </w:pPr>
            <w:r>
              <w:rPr>
                <w:rFonts w:cs="Arial"/>
                <w:b w:val="0"/>
                <w:bCs w:val="0"/>
              </w:rPr>
              <w:t>Efficiency of labour market matching</w:t>
            </w:r>
            <w:r w:rsidR="00B45E0B">
              <w:rPr>
                <w:rFonts w:cs="Arial"/>
                <w:b w:val="0"/>
                <w:bCs w:val="0"/>
              </w:rPr>
              <w:t xml:space="preserve"> (%)</w:t>
            </w:r>
          </w:p>
        </w:tc>
        <w:tc>
          <w:tcPr>
            <w:tcW w:w="1530" w:type="dxa"/>
            <w:gridSpan w:val="3"/>
            <w:vAlign w:val="center"/>
          </w:tcPr>
          <w:p w14:paraId="7CF2FDBF" w14:textId="7E91F653" w:rsidR="00D73BB2" w:rsidRPr="001D7DF4" w:rsidRDefault="0054010F">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89.0</w:t>
            </w:r>
          </w:p>
        </w:tc>
        <w:tc>
          <w:tcPr>
            <w:tcW w:w="1525" w:type="dxa"/>
            <w:gridSpan w:val="2"/>
            <w:vAlign w:val="center"/>
          </w:tcPr>
          <w:p w14:paraId="10FD8B24" w14:textId="14459B5D" w:rsidR="00D73BB2" w:rsidRPr="001D7DF4" w:rsidRDefault="0054010F">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80.7</w:t>
            </w:r>
          </w:p>
        </w:tc>
      </w:tr>
    </w:tbl>
    <w:p w14:paraId="355AF7B7" w14:textId="2A42CFF3" w:rsidR="0045196E" w:rsidRPr="00744D96" w:rsidRDefault="0045196E" w:rsidP="00A27EC5">
      <w:pPr>
        <w:pStyle w:val="Heading2"/>
      </w:pPr>
      <w:bookmarkStart w:id="234" w:name="_Toc200637165"/>
      <w:bookmarkStart w:id="235" w:name="_Toc201070207"/>
      <w:bookmarkStart w:id="236" w:name="_Toc201919870"/>
      <w:bookmarkStart w:id="237" w:name="_Toc202361898"/>
      <w:r w:rsidRPr="00B73D7D">
        <w:lastRenderedPageBreak/>
        <w:t>Remote Australia</w:t>
      </w:r>
      <w:r w:rsidR="00CB53F4" w:rsidRPr="009D472F">
        <w:rPr>
          <w:rStyle w:val="FootnoteReference"/>
        </w:rPr>
        <w:footnoteReference w:id="38"/>
      </w:r>
      <w:bookmarkEnd w:id="234"/>
      <w:bookmarkEnd w:id="235"/>
      <w:bookmarkEnd w:id="236"/>
      <w:bookmarkEnd w:id="237"/>
    </w:p>
    <w:p w14:paraId="2691F1DC" w14:textId="2EA02FBB" w:rsidR="00F76788" w:rsidRDefault="00F76788" w:rsidP="00F76788">
      <w:pPr>
        <w:pStyle w:val="BodyText"/>
      </w:pPr>
      <w:r>
        <w:t xml:space="preserve">The Regional Roadmap provides a foundational framework as a starting point for developing further and more detailed roadmaps targeted to specific regions or types of regions in the future – such as remote areas. Remote areas are sparsely populated, low-density regions that are isolated or well away from other main concentrations of population. This includes the </w:t>
      </w:r>
      <w:r w:rsidRPr="007927BD">
        <w:t>outback and very remote areas of Western Australia, Queensland, South Australia and the Northern Territory.</w:t>
      </w:r>
      <w:r>
        <w:t xml:space="preserve"> Examining selected key Roadmap indicators for Remote Australia provides an indication of the differing outcomes achieved in Remote Australia.</w:t>
      </w:r>
    </w:p>
    <w:p w14:paraId="464A9677" w14:textId="3E3E0937" w:rsidR="0045196E" w:rsidRPr="00FD6262" w:rsidRDefault="009D232C" w:rsidP="009D232C">
      <w:pPr>
        <w:pStyle w:val="Caption"/>
        <w:rPr>
          <w:b w:val="0"/>
          <w:bCs w:val="0"/>
        </w:rPr>
      </w:pPr>
      <w:r>
        <w:t xml:space="preserve">Table </w:t>
      </w:r>
      <w:r>
        <w:fldChar w:fldCharType="begin"/>
      </w:r>
      <w:r>
        <w:instrText xml:space="preserve"> SEQ Table \* ARABIC </w:instrText>
      </w:r>
      <w:r>
        <w:fldChar w:fldCharType="separate"/>
      </w:r>
      <w:r w:rsidR="00471863">
        <w:rPr>
          <w:noProof/>
        </w:rPr>
        <w:t>41</w:t>
      </w:r>
      <w:r>
        <w:fldChar w:fldCharType="end"/>
      </w:r>
      <w:r w:rsidR="0045196E" w:rsidRPr="00FD6262">
        <w:rPr>
          <w:b w:val="0"/>
          <w:bCs w:val="0"/>
        </w:rPr>
        <w:t>:</w:t>
      </w:r>
      <w:r w:rsidR="00F76788">
        <w:rPr>
          <w:b w:val="0"/>
          <w:bCs w:val="0"/>
        </w:rPr>
        <w:t xml:space="preserve"> </w:t>
      </w:r>
      <w:r w:rsidR="00F76788" w:rsidRPr="009D232C">
        <w:t>Key Roadmap indicators for Remote Australia</w:t>
      </w:r>
    </w:p>
    <w:tbl>
      <w:tblPr>
        <w:tblStyle w:val="CustomTablebasic"/>
        <w:tblW w:w="9368" w:type="dxa"/>
        <w:tblLook w:val="04A0" w:firstRow="1" w:lastRow="0" w:firstColumn="1" w:lastColumn="0" w:noHBand="0" w:noVBand="1"/>
      </w:tblPr>
      <w:tblGrid>
        <w:gridCol w:w="5648"/>
        <w:gridCol w:w="1860"/>
        <w:gridCol w:w="1860"/>
      </w:tblGrid>
      <w:tr w:rsidR="001B53AA" w14:paraId="0F4C5128" w14:textId="77777777">
        <w:trPr>
          <w:cnfStyle w:val="100000000000" w:firstRow="1" w:lastRow="0" w:firstColumn="0" w:lastColumn="0" w:oddVBand="0" w:evenVBand="0" w:oddHBand="0" w:evenHBand="0" w:firstRowFirstColumn="0" w:firstRowLastColumn="0" w:lastRowFirstColumn="0" w:lastRowLastColumn="0"/>
        </w:trPr>
        <w:tc>
          <w:tcPr>
            <w:tcW w:w="5648" w:type="dxa"/>
          </w:tcPr>
          <w:p w14:paraId="770084A6" w14:textId="77777777" w:rsidR="007A6715" w:rsidRDefault="007A6715">
            <w:pPr>
              <w:pStyle w:val="TableHeading1"/>
            </w:pPr>
            <w:r>
              <w:t>Roadmap indicators</w:t>
            </w:r>
          </w:p>
        </w:tc>
        <w:tc>
          <w:tcPr>
            <w:tcW w:w="1860" w:type="dxa"/>
          </w:tcPr>
          <w:p w14:paraId="69EDC691" w14:textId="77777777" w:rsidR="007A6715" w:rsidRDefault="007A6715">
            <w:pPr>
              <w:pStyle w:val="TableHeading1"/>
            </w:pPr>
            <w:r w:rsidRPr="00C94DD4">
              <w:t>Remote Australia</w:t>
            </w:r>
          </w:p>
        </w:tc>
        <w:tc>
          <w:tcPr>
            <w:tcW w:w="1860" w:type="dxa"/>
          </w:tcPr>
          <w:p w14:paraId="61E7A907" w14:textId="77777777" w:rsidR="007A6715" w:rsidRDefault="007A6715">
            <w:pPr>
              <w:pStyle w:val="TableHeading1"/>
            </w:pPr>
            <w:r w:rsidRPr="00C94DD4">
              <w:t>Regional Australia</w:t>
            </w:r>
          </w:p>
        </w:tc>
      </w:tr>
      <w:tr w:rsidR="007A6715" w14:paraId="1B98CEF0" w14:textId="77777777">
        <w:tc>
          <w:tcPr>
            <w:tcW w:w="5648" w:type="dxa"/>
            <w:vAlign w:val="center"/>
          </w:tcPr>
          <w:p w14:paraId="7DD21650" w14:textId="245394C2" w:rsidR="007A6715" w:rsidRPr="009D472F" w:rsidRDefault="000C39E4" w:rsidP="00D16B99">
            <w:pPr>
              <w:pStyle w:val="TableListNumber"/>
              <w:numPr>
                <w:ilvl w:val="0"/>
                <w:numId w:val="45"/>
              </w:numPr>
            </w:pPr>
            <w:r w:rsidRPr="00BE2F59">
              <w:rPr>
                <w:rFonts w:cs="Arial"/>
              </w:rPr>
              <w:t xml:space="preserve">School </w:t>
            </w:r>
            <w:r>
              <w:rPr>
                <w:rFonts w:cs="Arial"/>
              </w:rPr>
              <w:t>non-</w:t>
            </w:r>
            <w:r w:rsidRPr="00BE2F59">
              <w:rPr>
                <w:rFonts w:cs="Arial"/>
              </w:rPr>
              <w:t>attendance rate</w:t>
            </w:r>
            <w:r w:rsidR="007A6715" w:rsidRPr="009D472F">
              <w:t xml:space="preserve"> (%)</w:t>
            </w:r>
          </w:p>
        </w:tc>
        <w:tc>
          <w:tcPr>
            <w:tcW w:w="1860" w:type="dxa"/>
          </w:tcPr>
          <w:p w14:paraId="7FAEF066" w14:textId="0DFE02D6" w:rsidR="007A6715" w:rsidRDefault="00957D23">
            <w:pPr>
              <w:pStyle w:val="TableBodyText"/>
              <w:rPr>
                <w:lang w:eastAsia="en-AU"/>
              </w:rPr>
            </w:pPr>
            <w:r>
              <w:t>21.9</w:t>
            </w:r>
          </w:p>
        </w:tc>
        <w:tc>
          <w:tcPr>
            <w:tcW w:w="1860" w:type="dxa"/>
          </w:tcPr>
          <w:p w14:paraId="75496446" w14:textId="0DD20870" w:rsidR="007A6715" w:rsidRDefault="000C39E4">
            <w:pPr>
              <w:pStyle w:val="TableBodyText"/>
              <w:rPr>
                <w:lang w:eastAsia="en-AU"/>
              </w:rPr>
            </w:pPr>
            <w:r>
              <w:t>14.6</w:t>
            </w:r>
          </w:p>
        </w:tc>
      </w:tr>
      <w:tr w:rsidR="002A38A9" w14:paraId="6E5DA8DF" w14:textId="77777777">
        <w:trPr>
          <w:cnfStyle w:val="000000010000" w:firstRow="0" w:lastRow="0" w:firstColumn="0" w:lastColumn="0" w:oddVBand="0" w:evenVBand="0" w:oddHBand="0" w:evenHBand="1" w:firstRowFirstColumn="0" w:firstRowLastColumn="0" w:lastRowFirstColumn="0" w:lastRowLastColumn="0"/>
        </w:trPr>
        <w:tc>
          <w:tcPr>
            <w:tcW w:w="5648" w:type="dxa"/>
            <w:vAlign w:val="center"/>
          </w:tcPr>
          <w:p w14:paraId="50478A41" w14:textId="77777777" w:rsidR="007A6715" w:rsidRPr="009D472F" w:rsidRDefault="007A6715" w:rsidP="00D16B99">
            <w:pPr>
              <w:pStyle w:val="TableListNumber"/>
              <w:numPr>
                <w:ilvl w:val="0"/>
                <w:numId w:val="45"/>
              </w:numPr>
            </w:pPr>
            <w:r w:rsidRPr="009D472F">
              <w:t>Youth not in education, employment or training (%)</w:t>
            </w:r>
          </w:p>
        </w:tc>
        <w:tc>
          <w:tcPr>
            <w:tcW w:w="1860" w:type="dxa"/>
          </w:tcPr>
          <w:p w14:paraId="638FBAE0" w14:textId="50913E03" w:rsidR="007A6715" w:rsidRDefault="007A6715">
            <w:pPr>
              <w:pStyle w:val="TableBodyText"/>
              <w:rPr>
                <w:lang w:eastAsia="en-AU"/>
              </w:rPr>
            </w:pPr>
            <w:r w:rsidRPr="00C94DD4">
              <w:t>29</w:t>
            </w:r>
            <w:r w:rsidR="005F1789">
              <w:t>.1</w:t>
            </w:r>
          </w:p>
        </w:tc>
        <w:tc>
          <w:tcPr>
            <w:tcW w:w="1860" w:type="dxa"/>
          </w:tcPr>
          <w:p w14:paraId="1C01065C" w14:textId="1710F602" w:rsidR="007A6715" w:rsidRDefault="007A6715">
            <w:pPr>
              <w:pStyle w:val="TableBodyText"/>
              <w:rPr>
                <w:lang w:eastAsia="en-AU"/>
              </w:rPr>
            </w:pPr>
            <w:r w:rsidRPr="00C94DD4">
              <w:t>15.</w:t>
            </w:r>
            <w:r w:rsidR="007A790A">
              <w:t>3</w:t>
            </w:r>
          </w:p>
        </w:tc>
      </w:tr>
      <w:tr w:rsidR="007A6715" w14:paraId="059F1168" w14:textId="77777777">
        <w:tc>
          <w:tcPr>
            <w:tcW w:w="5648" w:type="dxa"/>
            <w:vAlign w:val="center"/>
          </w:tcPr>
          <w:p w14:paraId="1A246EB9" w14:textId="77777777" w:rsidR="007A6715" w:rsidRPr="009D472F" w:rsidRDefault="007A6715" w:rsidP="00D16B99">
            <w:pPr>
              <w:pStyle w:val="TableListNumber"/>
              <w:numPr>
                <w:ilvl w:val="0"/>
                <w:numId w:val="45"/>
              </w:numPr>
            </w:pPr>
            <w:r w:rsidRPr="009D472F">
              <w:t>Unemployment rate (%)</w:t>
            </w:r>
          </w:p>
        </w:tc>
        <w:tc>
          <w:tcPr>
            <w:tcW w:w="1860" w:type="dxa"/>
          </w:tcPr>
          <w:p w14:paraId="02B85E7E" w14:textId="07AD982F" w:rsidR="007A6715" w:rsidRDefault="005F5DC2">
            <w:pPr>
              <w:pStyle w:val="TableBodyText"/>
              <w:rPr>
                <w:lang w:eastAsia="en-AU"/>
              </w:rPr>
            </w:pPr>
            <w:r>
              <w:t>4.9</w:t>
            </w:r>
          </w:p>
        </w:tc>
        <w:tc>
          <w:tcPr>
            <w:tcW w:w="1860" w:type="dxa"/>
          </w:tcPr>
          <w:p w14:paraId="760DAC7C" w14:textId="781B3C9D" w:rsidR="007A6715" w:rsidRDefault="007A6715">
            <w:pPr>
              <w:pStyle w:val="TableBodyText"/>
              <w:rPr>
                <w:lang w:eastAsia="en-AU"/>
              </w:rPr>
            </w:pPr>
            <w:r w:rsidRPr="00C94DD4">
              <w:t>4</w:t>
            </w:r>
            <w:r w:rsidR="00562012">
              <w:t>.0</w:t>
            </w:r>
          </w:p>
        </w:tc>
      </w:tr>
      <w:tr w:rsidR="002A38A9" w14:paraId="00E800F0" w14:textId="77777777">
        <w:trPr>
          <w:cnfStyle w:val="000000010000" w:firstRow="0" w:lastRow="0" w:firstColumn="0" w:lastColumn="0" w:oddVBand="0" w:evenVBand="0" w:oddHBand="0" w:evenHBand="1" w:firstRowFirstColumn="0" w:firstRowLastColumn="0" w:lastRowFirstColumn="0" w:lastRowLastColumn="0"/>
        </w:trPr>
        <w:tc>
          <w:tcPr>
            <w:tcW w:w="5648" w:type="dxa"/>
            <w:vAlign w:val="center"/>
          </w:tcPr>
          <w:p w14:paraId="426B6CAB" w14:textId="11C4E39E" w:rsidR="007A6715" w:rsidRPr="009D472F" w:rsidRDefault="00E81ED0" w:rsidP="00D16B99">
            <w:pPr>
              <w:pStyle w:val="TableListNumber"/>
              <w:numPr>
                <w:ilvl w:val="0"/>
                <w:numId w:val="45"/>
              </w:numPr>
            </w:pPr>
            <w:r>
              <w:t>Prime age partici</w:t>
            </w:r>
            <w:r w:rsidR="007A6715" w:rsidRPr="009D472F">
              <w:t>pation rate (%)</w:t>
            </w:r>
          </w:p>
        </w:tc>
        <w:tc>
          <w:tcPr>
            <w:tcW w:w="1860" w:type="dxa"/>
          </w:tcPr>
          <w:p w14:paraId="2E34A434" w14:textId="4DE70705" w:rsidR="007A6715" w:rsidRDefault="007A6715">
            <w:pPr>
              <w:pStyle w:val="TableBodyText"/>
              <w:rPr>
                <w:lang w:eastAsia="en-AU"/>
              </w:rPr>
            </w:pPr>
            <w:r w:rsidRPr="00C94DD4">
              <w:t>8</w:t>
            </w:r>
            <w:r w:rsidR="00C94FA4">
              <w:t>0.5</w:t>
            </w:r>
          </w:p>
        </w:tc>
        <w:tc>
          <w:tcPr>
            <w:tcW w:w="1860" w:type="dxa"/>
          </w:tcPr>
          <w:p w14:paraId="348C2EB1" w14:textId="0BDCED81" w:rsidR="007A6715" w:rsidRDefault="007A6715">
            <w:pPr>
              <w:pStyle w:val="TableBodyText"/>
              <w:rPr>
                <w:lang w:eastAsia="en-AU"/>
              </w:rPr>
            </w:pPr>
            <w:r w:rsidRPr="00C94DD4">
              <w:t>8</w:t>
            </w:r>
            <w:r w:rsidR="00A8322E">
              <w:t>5.4</w:t>
            </w:r>
          </w:p>
        </w:tc>
      </w:tr>
      <w:tr w:rsidR="007A6715" w14:paraId="232094E1" w14:textId="77777777">
        <w:tc>
          <w:tcPr>
            <w:tcW w:w="5648" w:type="dxa"/>
            <w:vAlign w:val="center"/>
          </w:tcPr>
          <w:p w14:paraId="5F78B959" w14:textId="77777777" w:rsidR="007A6715" w:rsidRPr="009D472F" w:rsidRDefault="007A6715" w:rsidP="00D16B99">
            <w:pPr>
              <w:pStyle w:val="TableListNumber"/>
              <w:numPr>
                <w:ilvl w:val="0"/>
                <w:numId w:val="45"/>
              </w:numPr>
            </w:pPr>
            <w:r w:rsidRPr="009D472F">
              <w:t>Proportion of population on long-term income support (%)</w:t>
            </w:r>
          </w:p>
        </w:tc>
        <w:tc>
          <w:tcPr>
            <w:tcW w:w="1860" w:type="dxa"/>
          </w:tcPr>
          <w:p w14:paraId="356B7415" w14:textId="50455942" w:rsidR="007A6715" w:rsidRDefault="00B33F20">
            <w:pPr>
              <w:pStyle w:val="TableBodyText"/>
              <w:rPr>
                <w:lang w:eastAsia="en-AU"/>
              </w:rPr>
            </w:pPr>
            <w:r>
              <w:t>4.8</w:t>
            </w:r>
          </w:p>
        </w:tc>
        <w:tc>
          <w:tcPr>
            <w:tcW w:w="1860" w:type="dxa"/>
          </w:tcPr>
          <w:p w14:paraId="76512C62" w14:textId="684DC184" w:rsidR="007A6715" w:rsidRDefault="007A6715">
            <w:pPr>
              <w:pStyle w:val="TableBodyText"/>
              <w:rPr>
                <w:lang w:eastAsia="en-AU"/>
              </w:rPr>
            </w:pPr>
            <w:r w:rsidRPr="00C94DD4">
              <w:t>2</w:t>
            </w:r>
            <w:r w:rsidR="00C30E8B">
              <w:t>.4</w:t>
            </w:r>
          </w:p>
        </w:tc>
      </w:tr>
      <w:tr w:rsidR="002A38A9" w14:paraId="611FD65F" w14:textId="77777777">
        <w:trPr>
          <w:cnfStyle w:val="000000010000" w:firstRow="0" w:lastRow="0" w:firstColumn="0" w:lastColumn="0" w:oddVBand="0" w:evenVBand="0" w:oddHBand="0" w:evenHBand="1" w:firstRowFirstColumn="0" w:firstRowLastColumn="0" w:lastRowFirstColumn="0" w:lastRowLastColumn="0"/>
        </w:trPr>
        <w:tc>
          <w:tcPr>
            <w:tcW w:w="5648" w:type="dxa"/>
            <w:vAlign w:val="center"/>
          </w:tcPr>
          <w:p w14:paraId="0C1248E2" w14:textId="12D34B92" w:rsidR="00965787" w:rsidRPr="009D472F" w:rsidRDefault="00CB0E7E" w:rsidP="00D16B99">
            <w:pPr>
              <w:pStyle w:val="TableListNumber"/>
              <w:numPr>
                <w:ilvl w:val="0"/>
                <w:numId w:val="45"/>
              </w:numPr>
            </w:pPr>
            <w:r>
              <w:t>Income inequality ratio</w:t>
            </w:r>
          </w:p>
        </w:tc>
        <w:tc>
          <w:tcPr>
            <w:tcW w:w="1860" w:type="dxa"/>
          </w:tcPr>
          <w:p w14:paraId="3482B801" w14:textId="4E0D4C8F" w:rsidR="00965787" w:rsidRDefault="00CB0E7E">
            <w:pPr>
              <w:pStyle w:val="TableBodyText"/>
            </w:pPr>
            <w:r>
              <w:t>4.3</w:t>
            </w:r>
          </w:p>
        </w:tc>
        <w:tc>
          <w:tcPr>
            <w:tcW w:w="1860" w:type="dxa"/>
          </w:tcPr>
          <w:p w14:paraId="15D9D728" w14:textId="416250CF" w:rsidR="00965787" w:rsidRPr="00C94DD4" w:rsidRDefault="00CB0E7E">
            <w:pPr>
              <w:pStyle w:val="TableBodyText"/>
            </w:pPr>
            <w:r>
              <w:t>3.5</w:t>
            </w:r>
          </w:p>
        </w:tc>
      </w:tr>
      <w:tr w:rsidR="00654AAD" w14:paraId="3AEB553E" w14:textId="77777777">
        <w:tc>
          <w:tcPr>
            <w:tcW w:w="5648" w:type="dxa"/>
            <w:vAlign w:val="center"/>
          </w:tcPr>
          <w:p w14:paraId="33FC3728" w14:textId="33A3B425" w:rsidR="007A6715" w:rsidRPr="009D472F" w:rsidRDefault="007A6715" w:rsidP="00D16B99">
            <w:pPr>
              <w:pStyle w:val="TableListNumber"/>
              <w:numPr>
                <w:ilvl w:val="0"/>
                <w:numId w:val="45"/>
              </w:numPr>
            </w:pPr>
            <w:r w:rsidRPr="009D472F">
              <w:t>Vacancy fill rate (%)</w:t>
            </w:r>
          </w:p>
        </w:tc>
        <w:tc>
          <w:tcPr>
            <w:tcW w:w="1860" w:type="dxa"/>
          </w:tcPr>
          <w:p w14:paraId="6DDCD4F1" w14:textId="5DBB8AFF" w:rsidR="007A6715" w:rsidRDefault="00C56188">
            <w:pPr>
              <w:pStyle w:val="TableBodyText"/>
              <w:rPr>
                <w:lang w:eastAsia="en-AU"/>
              </w:rPr>
            </w:pPr>
            <w:r>
              <w:t>59.0</w:t>
            </w:r>
          </w:p>
        </w:tc>
        <w:tc>
          <w:tcPr>
            <w:tcW w:w="1860" w:type="dxa"/>
          </w:tcPr>
          <w:p w14:paraId="4BE21278" w14:textId="31FD506D" w:rsidR="007A6715" w:rsidRDefault="00441306">
            <w:pPr>
              <w:pStyle w:val="TableBodyText"/>
              <w:rPr>
                <w:lang w:eastAsia="en-AU"/>
              </w:rPr>
            </w:pPr>
            <w:r>
              <w:t>64.7</w:t>
            </w:r>
          </w:p>
        </w:tc>
      </w:tr>
      <w:tr w:rsidR="002A38A9" w14:paraId="75D35701" w14:textId="77777777">
        <w:trPr>
          <w:cnfStyle w:val="000000010000" w:firstRow="0" w:lastRow="0" w:firstColumn="0" w:lastColumn="0" w:oddVBand="0" w:evenVBand="0" w:oddHBand="0" w:evenHBand="1" w:firstRowFirstColumn="0" w:firstRowLastColumn="0" w:lastRowFirstColumn="0" w:lastRowLastColumn="0"/>
        </w:trPr>
        <w:tc>
          <w:tcPr>
            <w:tcW w:w="5648" w:type="dxa"/>
            <w:vAlign w:val="center"/>
          </w:tcPr>
          <w:p w14:paraId="71320895" w14:textId="7111B114" w:rsidR="007A6715" w:rsidRPr="009D472F" w:rsidRDefault="006961FA" w:rsidP="00D16B99">
            <w:pPr>
              <w:pStyle w:val="TableListNumber"/>
              <w:numPr>
                <w:ilvl w:val="0"/>
                <w:numId w:val="45"/>
              </w:numPr>
            </w:pPr>
            <w:r>
              <w:t>Business creation rate</w:t>
            </w:r>
            <w:r w:rsidR="007A6715" w:rsidRPr="009D472F">
              <w:t xml:space="preserve"> (%)</w:t>
            </w:r>
          </w:p>
        </w:tc>
        <w:tc>
          <w:tcPr>
            <w:tcW w:w="1860" w:type="dxa"/>
          </w:tcPr>
          <w:p w14:paraId="27802CE6" w14:textId="0F9BC020" w:rsidR="007A6715" w:rsidRDefault="00083F01">
            <w:pPr>
              <w:pStyle w:val="TableBodyText"/>
              <w:rPr>
                <w:lang w:eastAsia="en-AU"/>
              </w:rPr>
            </w:pPr>
            <w:r>
              <w:t>1.5</w:t>
            </w:r>
          </w:p>
        </w:tc>
        <w:tc>
          <w:tcPr>
            <w:tcW w:w="1860" w:type="dxa"/>
          </w:tcPr>
          <w:p w14:paraId="7B473543" w14:textId="536E0C17" w:rsidR="007A6715" w:rsidRDefault="006961FA">
            <w:pPr>
              <w:pStyle w:val="TableBodyText"/>
              <w:rPr>
                <w:lang w:eastAsia="en-AU"/>
              </w:rPr>
            </w:pPr>
            <w:r>
              <w:t>2.2</w:t>
            </w:r>
          </w:p>
        </w:tc>
      </w:tr>
    </w:tbl>
    <w:p w14:paraId="0CBD2B5F" w14:textId="1BD7B71B" w:rsidR="00F76788" w:rsidRPr="00F76788" w:rsidRDefault="00F76788" w:rsidP="00F76788">
      <w:pPr>
        <w:spacing w:after="240" w:line="259" w:lineRule="auto"/>
        <w:rPr>
          <w:rFonts w:cs="Arial"/>
          <w:sz w:val="18"/>
          <w:szCs w:val="16"/>
        </w:rPr>
      </w:pPr>
      <w:r w:rsidRPr="00F76788">
        <w:rPr>
          <w:rFonts w:cs="Arial"/>
          <w:i/>
          <w:iCs/>
          <w:sz w:val="18"/>
          <w:szCs w:val="16"/>
        </w:rPr>
        <w:t>Remote Australia includes Far West and Orana (NSW), Queensland – Outback, South Australia – Outback, West Australia – Outback, West and North West Tasmania, Northern Territory – Outback</w:t>
      </w:r>
      <w:r>
        <w:rPr>
          <w:rFonts w:cs="Arial"/>
          <w:sz w:val="18"/>
          <w:szCs w:val="16"/>
        </w:rPr>
        <w:t>.</w:t>
      </w:r>
    </w:p>
    <w:tbl>
      <w:tblPr>
        <w:tblStyle w:val="CustomTablepulloutbox2"/>
        <w:tblW w:w="0" w:type="auto"/>
        <w:tblLook w:val="04A0" w:firstRow="1" w:lastRow="0" w:firstColumn="1" w:lastColumn="0" w:noHBand="0" w:noVBand="1"/>
      </w:tblPr>
      <w:tblGrid>
        <w:gridCol w:w="8997"/>
      </w:tblGrid>
      <w:tr w:rsidR="00F76788" w14:paraId="72C7237F" w14:textId="77777777">
        <w:trPr>
          <w:trHeight w:val="1713"/>
        </w:trPr>
        <w:tc>
          <w:tcPr>
            <w:tcW w:w="8997" w:type="dxa"/>
          </w:tcPr>
          <w:p w14:paraId="209728F9" w14:textId="77777777" w:rsidR="00F76788" w:rsidRPr="00F76788" w:rsidRDefault="00F76788">
            <w:pPr>
              <w:pStyle w:val="BoxHeading"/>
              <w:jc w:val="center"/>
              <w:rPr>
                <w:sz w:val="24"/>
                <w:szCs w:val="24"/>
              </w:rPr>
            </w:pPr>
            <w:r w:rsidRPr="00F76788">
              <w:rPr>
                <w:sz w:val="24"/>
                <w:szCs w:val="24"/>
              </w:rPr>
              <w:t>Stakeholder insight</w:t>
            </w:r>
          </w:p>
          <w:p w14:paraId="620B8B42" w14:textId="70007D63" w:rsidR="00F76788" w:rsidRPr="00F76788" w:rsidRDefault="00306785">
            <w:pPr>
              <w:jc w:val="center"/>
              <w:rPr>
                <w:rFonts w:cs="Arial"/>
                <w:i/>
                <w:iCs/>
                <w:sz w:val="22"/>
                <w:szCs w:val="22"/>
              </w:rPr>
            </w:pPr>
            <w:r>
              <w:rPr>
                <w:rFonts w:cs="Arial"/>
                <w:i/>
                <w:iCs/>
                <w:sz w:val="22"/>
                <w:szCs w:val="22"/>
              </w:rPr>
              <w:t>‘</w:t>
            </w:r>
            <w:r w:rsidR="00F76788" w:rsidRPr="00F76788">
              <w:rPr>
                <w:rFonts w:cs="Arial"/>
                <w:i/>
                <w:iCs/>
                <w:sz w:val="22"/>
                <w:szCs w:val="22"/>
              </w:rPr>
              <w:t>Delivering new or expanded services in Regional Australia takes time and flexibility to ensure funding models address the unique challenges being faced in regional areas. Populations are dispersed across large geographical and cultural areas and therefore services in Regional Australia should be delivered under long-term contracts with realistic commitments that adapt to remote complexities.</w:t>
            </w:r>
            <w:r>
              <w:rPr>
                <w:rFonts w:cs="Arial"/>
                <w:i/>
                <w:iCs/>
                <w:sz w:val="22"/>
                <w:szCs w:val="22"/>
              </w:rPr>
              <w:t>’</w:t>
            </w:r>
          </w:p>
          <w:p w14:paraId="6FEA42A8" w14:textId="77777777" w:rsidR="00F76788" w:rsidRPr="00F76788" w:rsidRDefault="00F76788">
            <w:pPr>
              <w:jc w:val="center"/>
              <w:rPr>
                <w:rFonts w:cs="Arial"/>
                <w:b/>
                <w:sz w:val="24"/>
                <w:szCs w:val="24"/>
              </w:rPr>
            </w:pPr>
            <w:r w:rsidRPr="00F76788">
              <w:rPr>
                <w:rFonts w:cs="Arial"/>
                <w:b/>
                <w:sz w:val="24"/>
                <w:szCs w:val="24"/>
              </w:rPr>
              <w:t>Kelly McCarthy</w:t>
            </w:r>
          </w:p>
          <w:p w14:paraId="090C2584" w14:textId="77777777" w:rsidR="00F76788" w:rsidRPr="00F76788" w:rsidRDefault="00F76788">
            <w:pPr>
              <w:jc w:val="center"/>
              <w:rPr>
                <w:rFonts w:cs="Arial"/>
                <w:bCs/>
                <w:sz w:val="22"/>
                <w:szCs w:val="22"/>
              </w:rPr>
            </w:pPr>
            <w:r w:rsidRPr="00F76788">
              <w:rPr>
                <w:rFonts w:cs="Arial"/>
                <w:bCs/>
                <w:sz w:val="22"/>
                <w:szCs w:val="22"/>
              </w:rPr>
              <w:t>Deputy CEO - Central Australia</w:t>
            </w:r>
          </w:p>
          <w:p w14:paraId="3207DD72" w14:textId="77777777" w:rsidR="00F76788" w:rsidRPr="00735BC5" w:rsidRDefault="00F76788">
            <w:pPr>
              <w:jc w:val="center"/>
              <w:rPr>
                <w:rFonts w:cs="Arial"/>
              </w:rPr>
            </w:pPr>
            <w:r w:rsidRPr="00F76788">
              <w:rPr>
                <w:rFonts w:cs="Arial"/>
                <w:bCs/>
                <w:sz w:val="22"/>
                <w:szCs w:val="22"/>
              </w:rPr>
              <w:t>Charles Darwin University TAFE</w:t>
            </w:r>
          </w:p>
        </w:tc>
      </w:tr>
    </w:tbl>
    <w:p w14:paraId="5CA9AB1B" w14:textId="77777777" w:rsidR="00F76788" w:rsidRDefault="00F76788" w:rsidP="00F76788"/>
    <w:p w14:paraId="0437D84C" w14:textId="707C8872" w:rsidR="0045196E" w:rsidRDefault="0045196E" w:rsidP="00D446E0">
      <w:pPr>
        <w:pStyle w:val="BodyText"/>
      </w:pPr>
      <w:r>
        <w:t xml:space="preserve">It is important to recognise, however, that Remote Australia is not a single labour market. Remote Australia is a group of diverse and vibrant local communities comprising around 80% of Australia’s geographic area. Varying access to economic, transport and social services, as well as an enormous diversity in population size contribute to the unique opportunities and challenges faced across Remote Australia. </w:t>
      </w:r>
    </w:p>
    <w:p w14:paraId="6D7181E5" w14:textId="66475F3D" w:rsidR="0045196E" w:rsidRPr="00F76788" w:rsidRDefault="009D232C" w:rsidP="009D232C">
      <w:pPr>
        <w:pStyle w:val="Caption"/>
        <w:rPr>
          <w:b w:val="0"/>
          <w:bCs w:val="0"/>
        </w:rPr>
      </w:pPr>
      <w:r>
        <w:lastRenderedPageBreak/>
        <w:t xml:space="preserve">Table </w:t>
      </w:r>
      <w:r>
        <w:fldChar w:fldCharType="begin"/>
      </w:r>
      <w:r>
        <w:instrText xml:space="preserve"> SEQ Table \* ARABIC </w:instrText>
      </w:r>
      <w:r>
        <w:fldChar w:fldCharType="separate"/>
      </w:r>
      <w:r w:rsidR="00471863">
        <w:rPr>
          <w:noProof/>
        </w:rPr>
        <w:t>42</w:t>
      </w:r>
      <w:r>
        <w:fldChar w:fldCharType="end"/>
      </w:r>
      <w:r w:rsidR="0045196E" w:rsidRPr="0048438C">
        <w:rPr>
          <w:b w:val="0"/>
          <w:bCs w:val="0"/>
        </w:rPr>
        <w:t>:</w:t>
      </w:r>
      <w:r w:rsidR="0045196E" w:rsidRPr="00F76788">
        <w:rPr>
          <w:b w:val="0"/>
          <w:bCs w:val="0"/>
        </w:rPr>
        <w:t xml:space="preserve"> </w:t>
      </w:r>
      <w:r w:rsidR="00F76788" w:rsidRPr="009D232C">
        <w:t>Key indicators for selected LGAs</w:t>
      </w:r>
    </w:p>
    <w:tbl>
      <w:tblPr>
        <w:tblStyle w:val="CustomTablebasic"/>
        <w:tblW w:w="0" w:type="auto"/>
        <w:tblLook w:val="04A0" w:firstRow="1" w:lastRow="0" w:firstColumn="1" w:lastColumn="0" w:noHBand="0" w:noVBand="1"/>
      </w:tblPr>
      <w:tblGrid>
        <w:gridCol w:w="5416"/>
        <w:gridCol w:w="1202"/>
        <w:gridCol w:w="1202"/>
        <w:gridCol w:w="1207"/>
      </w:tblGrid>
      <w:tr w:rsidR="00505E84" w14:paraId="6EDD1BB1" w14:textId="77777777">
        <w:trPr>
          <w:cnfStyle w:val="100000000000" w:firstRow="1" w:lastRow="0" w:firstColumn="0" w:lastColumn="0" w:oddVBand="0" w:evenVBand="0" w:oddHBand="0" w:evenHBand="0" w:firstRowFirstColumn="0" w:firstRowLastColumn="0" w:lastRowFirstColumn="0" w:lastRowLastColumn="0"/>
        </w:trPr>
        <w:tc>
          <w:tcPr>
            <w:tcW w:w="5670" w:type="dxa"/>
          </w:tcPr>
          <w:p w14:paraId="72D5DD04" w14:textId="77777777" w:rsidR="00E35931" w:rsidRDefault="00E35931" w:rsidP="009D232C">
            <w:pPr>
              <w:pStyle w:val="TableHeading1"/>
              <w:keepNext/>
            </w:pPr>
          </w:p>
        </w:tc>
        <w:tc>
          <w:tcPr>
            <w:tcW w:w="1232" w:type="dxa"/>
          </w:tcPr>
          <w:p w14:paraId="118CE5F5" w14:textId="77777777" w:rsidR="00E35931" w:rsidRDefault="00E35931" w:rsidP="009D232C">
            <w:pPr>
              <w:pStyle w:val="TableHeading1"/>
              <w:keepNext/>
            </w:pPr>
            <w:r w:rsidRPr="00660F9D">
              <w:t>Halls Creek (WA)</w:t>
            </w:r>
          </w:p>
        </w:tc>
        <w:tc>
          <w:tcPr>
            <w:tcW w:w="1232" w:type="dxa"/>
          </w:tcPr>
          <w:p w14:paraId="655E9316" w14:textId="77777777" w:rsidR="00E35931" w:rsidRDefault="00E35931" w:rsidP="009D232C">
            <w:pPr>
              <w:pStyle w:val="TableHeading1"/>
              <w:keepNext/>
            </w:pPr>
            <w:r w:rsidRPr="00660F9D">
              <w:t>West Coast (Tas.)</w:t>
            </w:r>
          </w:p>
        </w:tc>
        <w:tc>
          <w:tcPr>
            <w:tcW w:w="1233" w:type="dxa"/>
          </w:tcPr>
          <w:p w14:paraId="783D9DD6" w14:textId="77777777" w:rsidR="00E35931" w:rsidRDefault="00E35931" w:rsidP="009D232C">
            <w:pPr>
              <w:pStyle w:val="TableHeading1"/>
              <w:keepNext/>
            </w:pPr>
            <w:r w:rsidRPr="00660F9D">
              <w:t>Dubbo (NSW)</w:t>
            </w:r>
          </w:p>
        </w:tc>
      </w:tr>
      <w:tr w:rsidR="00E35931" w14:paraId="003F63AF" w14:textId="77777777">
        <w:tc>
          <w:tcPr>
            <w:tcW w:w="5670" w:type="dxa"/>
          </w:tcPr>
          <w:p w14:paraId="337C465E" w14:textId="77777777" w:rsidR="00E35931" w:rsidRDefault="00E35931" w:rsidP="009D232C">
            <w:pPr>
              <w:pStyle w:val="TableBodyText"/>
              <w:keepNext/>
              <w:rPr>
                <w:lang w:eastAsia="en-AU"/>
              </w:rPr>
            </w:pPr>
            <w:r w:rsidRPr="00660F9D">
              <w:t>Unemployment rate (%)</w:t>
            </w:r>
          </w:p>
        </w:tc>
        <w:tc>
          <w:tcPr>
            <w:tcW w:w="1232" w:type="dxa"/>
          </w:tcPr>
          <w:p w14:paraId="41A461BC" w14:textId="77777777" w:rsidR="00E35931" w:rsidRDefault="00E35931" w:rsidP="009D232C">
            <w:pPr>
              <w:pStyle w:val="TableBodyText"/>
              <w:keepNext/>
              <w:rPr>
                <w:lang w:eastAsia="en-AU"/>
              </w:rPr>
            </w:pPr>
            <w:r w:rsidRPr="00660F9D">
              <w:t>24.1</w:t>
            </w:r>
          </w:p>
        </w:tc>
        <w:tc>
          <w:tcPr>
            <w:tcW w:w="1232" w:type="dxa"/>
          </w:tcPr>
          <w:p w14:paraId="5A463E1D" w14:textId="77777777" w:rsidR="00E35931" w:rsidRDefault="00E35931" w:rsidP="009D232C">
            <w:pPr>
              <w:pStyle w:val="TableBodyText"/>
              <w:keepNext/>
              <w:rPr>
                <w:lang w:eastAsia="en-AU"/>
              </w:rPr>
            </w:pPr>
            <w:r w:rsidRPr="00660F9D">
              <w:t>8.2</w:t>
            </w:r>
          </w:p>
        </w:tc>
        <w:tc>
          <w:tcPr>
            <w:tcW w:w="1233" w:type="dxa"/>
          </w:tcPr>
          <w:p w14:paraId="53C9D00D" w14:textId="77777777" w:rsidR="00E35931" w:rsidRDefault="00E35931" w:rsidP="009D232C">
            <w:pPr>
              <w:pStyle w:val="TableBodyText"/>
              <w:keepNext/>
              <w:rPr>
                <w:lang w:eastAsia="en-AU"/>
              </w:rPr>
            </w:pPr>
            <w:r w:rsidRPr="00660F9D">
              <w:t>2.5</w:t>
            </w:r>
          </w:p>
        </w:tc>
      </w:tr>
      <w:tr w:rsidR="00505E84" w14:paraId="2CA0A570" w14:textId="77777777">
        <w:trPr>
          <w:cnfStyle w:val="000000010000" w:firstRow="0" w:lastRow="0" w:firstColumn="0" w:lastColumn="0" w:oddVBand="0" w:evenVBand="0" w:oddHBand="0" w:evenHBand="1" w:firstRowFirstColumn="0" w:firstRowLastColumn="0" w:lastRowFirstColumn="0" w:lastRowLastColumn="0"/>
        </w:trPr>
        <w:tc>
          <w:tcPr>
            <w:tcW w:w="5670" w:type="dxa"/>
          </w:tcPr>
          <w:p w14:paraId="1ADFE5B3" w14:textId="45159C1E" w:rsidR="00E35931" w:rsidRDefault="00797686" w:rsidP="009D232C">
            <w:pPr>
              <w:pStyle w:val="TableBodyText"/>
              <w:keepNext/>
              <w:rPr>
                <w:lang w:eastAsia="en-AU"/>
              </w:rPr>
            </w:pPr>
            <w:r>
              <w:t>Prime age p</w:t>
            </w:r>
            <w:r w:rsidR="00E35931" w:rsidRPr="00660F9D">
              <w:t>articipation rate (%)</w:t>
            </w:r>
          </w:p>
        </w:tc>
        <w:tc>
          <w:tcPr>
            <w:tcW w:w="1232" w:type="dxa"/>
          </w:tcPr>
          <w:p w14:paraId="1A7BD58E" w14:textId="77777777" w:rsidR="00E35931" w:rsidRDefault="00E35931" w:rsidP="009D232C">
            <w:pPr>
              <w:pStyle w:val="TableBodyText"/>
              <w:keepNext/>
              <w:rPr>
                <w:lang w:eastAsia="en-AU"/>
              </w:rPr>
            </w:pPr>
            <w:r w:rsidRPr="00660F9D">
              <w:t>51.5</w:t>
            </w:r>
          </w:p>
        </w:tc>
        <w:tc>
          <w:tcPr>
            <w:tcW w:w="1232" w:type="dxa"/>
          </w:tcPr>
          <w:p w14:paraId="1BBC5C10" w14:textId="77777777" w:rsidR="00E35931" w:rsidRDefault="00E35931" w:rsidP="009D232C">
            <w:pPr>
              <w:pStyle w:val="TableBodyText"/>
              <w:keepNext/>
              <w:rPr>
                <w:lang w:eastAsia="en-AU"/>
              </w:rPr>
            </w:pPr>
            <w:r w:rsidRPr="00660F9D">
              <w:t>73.3</w:t>
            </w:r>
          </w:p>
        </w:tc>
        <w:tc>
          <w:tcPr>
            <w:tcW w:w="1233" w:type="dxa"/>
          </w:tcPr>
          <w:p w14:paraId="2424A37D" w14:textId="77777777" w:rsidR="00E35931" w:rsidRDefault="00E35931" w:rsidP="009D232C">
            <w:pPr>
              <w:pStyle w:val="TableBodyText"/>
              <w:keepNext/>
              <w:rPr>
                <w:lang w:eastAsia="en-AU"/>
              </w:rPr>
            </w:pPr>
            <w:r w:rsidRPr="00660F9D">
              <w:t>84.3</w:t>
            </w:r>
          </w:p>
        </w:tc>
      </w:tr>
      <w:tr w:rsidR="00E35931" w14:paraId="58CCAAB8" w14:textId="77777777">
        <w:tc>
          <w:tcPr>
            <w:tcW w:w="5670" w:type="dxa"/>
          </w:tcPr>
          <w:p w14:paraId="29F787EA" w14:textId="77777777" w:rsidR="00E35931" w:rsidRDefault="00E35931" w:rsidP="009D232C">
            <w:pPr>
              <w:pStyle w:val="TableBodyText"/>
              <w:keepNext/>
              <w:rPr>
                <w:lang w:eastAsia="en-AU"/>
              </w:rPr>
            </w:pPr>
            <w:r w:rsidRPr="00660F9D">
              <w:t>Youth not in education, employment or training (%)</w:t>
            </w:r>
          </w:p>
        </w:tc>
        <w:tc>
          <w:tcPr>
            <w:tcW w:w="1232" w:type="dxa"/>
          </w:tcPr>
          <w:p w14:paraId="1825E7C3" w14:textId="63083079" w:rsidR="00E35931" w:rsidRDefault="00797686" w:rsidP="009D232C">
            <w:pPr>
              <w:pStyle w:val="TableBodyText"/>
              <w:keepNext/>
              <w:rPr>
                <w:lang w:eastAsia="en-AU"/>
              </w:rPr>
            </w:pPr>
            <w:r>
              <w:t>71.2</w:t>
            </w:r>
          </w:p>
        </w:tc>
        <w:tc>
          <w:tcPr>
            <w:tcW w:w="1232" w:type="dxa"/>
          </w:tcPr>
          <w:p w14:paraId="0138EFD2" w14:textId="062208D6" w:rsidR="00E35931" w:rsidRDefault="00797686" w:rsidP="009D232C">
            <w:pPr>
              <w:pStyle w:val="TableBodyText"/>
              <w:keepNext/>
              <w:rPr>
                <w:lang w:eastAsia="en-AU"/>
              </w:rPr>
            </w:pPr>
            <w:r>
              <w:t>26.1</w:t>
            </w:r>
          </w:p>
        </w:tc>
        <w:tc>
          <w:tcPr>
            <w:tcW w:w="1233" w:type="dxa"/>
          </w:tcPr>
          <w:p w14:paraId="005505D0" w14:textId="36E43ABA" w:rsidR="00E35931" w:rsidRDefault="00A2359F" w:rsidP="009D232C">
            <w:pPr>
              <w:pStyle w:val="TableBodyText"/>
              <w:keepNext/>
              <w:rPr>
                <w:lang w:eastAsia="en-AU"/>
              </w:rPr>
            </w:pPr>
            <w:r>
              <w:t>16.9</w:t>
            </w:r>
          </w:p>
        </w:tc>
      </w:tr>
    </w:tbl>
    <w:p w14:paraId="3B5408C6" w14:textId="77777777" w:rsidR="0045196E" w:rsidRDefault="0045196E" w:rsidP="0045196E"/>
    <w:p w14:paraId="21E15532" w14:textId="5CEA24BD" w:rsidR="0045196E" w:rsidRDefault="0045196E" w:rsidP="00D446E0">
      <w:pPr>
        <w:pStyle w:val="BodyText"/>
      </w:pPr>
      <w:r>
        <w:t xml:space="preserve">For example, the Local Government Areas (LGA) of Halls Creek (WA) and </w:t>
      </w:r>
      <w:r w:rsidR="000E434F">
        <w:t>West Coast</w:t>
      </w:r>
      <w:r>
        <w:t xml:space="preserve"> (</w:t>
      </w:r>
      <w:r w:rsidR="000E434F">
        <w:t>Tas.</w:t>
      </w:r>
      <w:r>
        <w:t xml:space="preserve">) have a long history of entrenched labour market disadvantage. Contributing to the poor overall conditions in these regions is a very high rate of unemployment, a very low rate of participation, and a very high rate of youth not engaged in education, employment of training (NEET). By contrast, labour market conditions in the LGA of </w:t>
      </w:r>
      <w:r w:rsidR="00B13FE2">
        <w:t>Dubbo</w:t>
      </w:r>
      <w:r>
        <w:t xml:space="preserve"> are strong, with a low rate of unemployment, a high participation rate, and a relatively low rate of youth NEET. </w:t>
      </w:r>
    </w:p>
    <w:p w14:paraId="5C8E1AA8" w14:textId="563EC4BF" w:rsidR="0045196E" w:rsidRDefault="007E186B" w:rsidP="007E186B">
      <w:pPr>
        <w:pStyle w:val="Caption"/>
      </w:pPr>
      <w:bookmarkStart w:id="238" w:name="_Toc201916618"/>
      <w:r>
        <w:t xml:space="preserve">Figure </w:t>
      </w:r>
      <w:r>
        <w:fldChar w:fldCharType="begin"/>
      </w:r>
      <w:r>
        <w:instrText xml:space="preserve"> SEQ Figure \* ARABIC </w:instrText>
      </w:r>
      <w:r>
        <w:fldChar w:fldCharType="separate"/>
      </w:r>
      <w:r w:rsidR="00471863">
        <w:rPr>
          <w:noProof/>
        </w:rPr>
        <w:t>52</w:t>
      </w:r>
      <w:r>
        <w:fldChar w:fldCharType="end"/>
      </w:r>
      <w:r w:rsidR="0045196E">
        <w:t>: Unemployment rate (%) by LGA for Remote Australia, December 2024</w:t>
      </w:r>
      <w:bookmarkEnd w:id="238"/>
      <w:r w:rsidR="0045196E">
        <w:t xml:space="preserve"> </w:t>
      </w:r>
    </w:p>
    <w:p w14:paraId="52A18169" w14:textId="1DE9015B" w:rsidR="0045196E" w:rsidRPr="007A4BF0" w:rsidRDefault="00334CA0" w:rsidP="0045196E">
      <w:pPr>
        <w:jc w:val="center"/>
      </w:pPr>
      <w:r w:rsidRPr="00334CA0">
        <w:rPr>
          <w:noProof/>
        </w:rPr>
        <w:drawing>
          <wp:inline distT="0" distB="0" distL="0" distR="0" wp14:anchorId="001E3A7F" wp14:editId="1D23AC21">
            <wp:extent cx="5448300" cy="5244298"/>
            <wp:effectExtent l="0" t="0" r="0" b="0"/>
            <wp:docPr id="1278534778" name="Picture 1" descr="A map of the unemployment rate (%) by LGA for Remote Australia. The map shows the unemployment rate is 24% in the LGA of Halls Creek, 8.2% in the LGA of West Coast Tasmania and 2.5% in the LGA of Dubb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34778" name="Picture 1" descr="A map of the unemployment rate (%) by LGA for Remote Australia. The map shows the unemployment rate is 24% in the LGA of Halls Creek, 8.2% in the LGA of West Coast Tasmania and 2.5% in the LGA of Dubbo. "/>
                    <pic:cNvPicPr/>
                  </pic:nvPicPr>
                  <pic:blipFill>
                    <a:blip r:embed="rId96"/>
                    <a:stretch>
                      <a:fillRect/>
                    </a:stretch>
                  </pic:blipFill>
                  <pic:spPr>
                    <a:xfrm>
                      <a:off x="0" y="0"/>
                      <a:ext cx="5452775" cy="5248605"/>
                    </a:xfrm>
                    <a:prstGeom prst="rect">
                      <a:avLst/>
                    </a:prstGeom>
                  </pic:spPr>
                </pic:pic>
              </a:graphicData>
            </a:graphic>
          </wp:inline>
        </w:drawing>
      </w:r>
    </w:p>
    <w:p w14:paraId="18EE85F1" w14:textId="77777777" w:rsidR="0045196E" w:rsidRPr="00CB0C7A" w:rsidRDefault="0045196E" w:rsidP="0045196E">
      <w:pPr>
        <w:spacing w:after="0" w:line="259" w:lineRule="auto"/>
        <w:rPr>
          <w:rFonts w:eastAsia="Aptos" w:cs="Arial"/>
          <w:i/>
          <w:iCs/>
          <w:sz w:val="18"/>
          <w:szCs w:val="18"/>
        </w:rPr>
      </w:pPr>
      <w:r w:rsidRPr="00CB0C7A">
        <w:rPr>
          <w:rFonts w:eastAsia="Aptos" w:cs="Arial"/>
          <w:i/>
          <w:iCs/>
          <w:sz w:val="18"/>
          <w:szCs w:val="18"/>
        </w:rPr>
        <w:t xml:space="preserve">Source: </w:t>
      </w:r>
      <w:r>
        <w:rPr>
          <w:rFonts w:eastAsia="Aptos" w:cs="Arial"/>
          <w:i/>
          <w:iCs/>
          <w:sz w:val="18"/>
          <w:szCs w:val="18"/>
        </w:rPr>
        <w:t>DEWR</w:t>
      </w:r>
      <w:r w:rsidRPr="00CB0C7A">
        <w:rPr>
          <w:rFonts w:eastAsia="Aptos" w:cs="Arial"/>
          <w:i/>
          <w:iCs/>
          <w:sz w:val="18"/>
          <w:szCs w:val="18"/>
        </w:rPr>
        <w:t xml:space="preserve">, </w:t>
      </w:r>
      <w:r>
        <w:rPr>
          <w:rFonts w:eastAsia="Aptos" w:cs="Arial"/>
          <w:i/>
          <w:iCs/>
          <w:sz w:val="18"/>
          <w:szCs w:val="18"/>
        </w:rPr>
        <w:t>SALM Smoothed LGA, December quarter 2024</w:t>
      </w:r>
    </w:p>
    <w:p w14:paraId="32BDFF58" w14:textId="42129577" w:rsidR="0045196E" w:rsidRPr="003D38EF" w:rsidRDefault="00FB7E2F">
      <w:pPr>
        <w:spacing w:after="160" w:line="259" w:lineRule="auto"/>
      </w:pPr>
      <w:r w:rsidRPr="00FB7E2F">
        <w:rPr>
          <w:b/>
          <w:noProof/>
          <w:color w:val="4B0885"/>
          <w:sz w:val="56"/>
          <w:szCs w:val="56"/>
        </w:rPr>
        <w:lastRenderedPageBreak/>
        <w:drawing>
          <wp:anchor distT="0" distB="0" distL="114300" distR="114300" simplePos="0" relativeHeight="251971072" behindDoc="1" locked="0" layoutInCell="1" allowOverlap="1" wp14:anchorId="5DFCD803" wp14:editId="35531EA2">
            <wp:simplePos x="0" y="0"/>
            <wp:positionH relativeFrom="page">
              <wp:align>left</wp:align>
            </wp:positionH>
            <wp:positionV relativeFrom="paragraph">
              <wp:posOffset>-807523</wp:posOffset>
            </wp:positionV>
            <wp:extent cx="7564046" cy="10699602"/>
            <wp:effectExtent l="0" t="0" r="0" b="6985"/>
            <wp:wrapNone/>
            <wp:docPr id="44085711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57114" name="Picture 8">
                      <a:extLst>
                        <a:ext uri="{C183D7F6-B498-43B3-948B-1728B52AA6E4}">
                          <adec:decorative xmlns:adec="http://schemas.microsoft.com/office/drawing/2017/decorative" val="1"/>
                        </a:ext>
                      </a:extLst>
                    </pic:cNvPr>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7564046" cy="106996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298DFA" w14:textId="1BF8B28F" w:rsidR="004A3C70" w:rsidRDefault="004A3C70" w:rsidP="004A3C70">
      <w:pPr>
        <w:spacing w:after="160" w:line="259" w:lineRule="auto"/>
        <w:rPr>
          <w:rFonts w:cs="Arial"/>
          <w:b/>
          <w:color w:val="000000"/>
          <w:sz w:val="24"/>
          <w:szCs w:val="24"/>
          <w:highlight w:val="yellow"/>
        </w:rPr>
      </w:pPr>
    </w:p>
    <w:p w14:paraId="4C388C0E" w14:textId="77777777" w:rsidR="004A3C70" w:rsidRDefault="004A3C70" w:rsidP="004A3C70">
      <w:pPr>
        <w:spacing w:after="160" w:line="259" w:lineRule="auto"/>
        <w:rPr>
          <w:rFonts w:eastAsia="Arial" w:cs="Arial"/>
          <w:highlight w:val="yellow"/>
        </w:rPr>
      </w:pPr>
    </w:p>
    <w:p w14:paraId="3061E5EE" w14:textId="77777777" w:rsidR="004A3C70" w:rsidRPr="00264D37" w:rsidRDefault="004A3C70" w:rsidP="004A3C70"/>
    <w:p w14:paraId="36BEA411" w14:textId="13A0C0A5" w:rsidR="004A3C70" w:rsidRPr="00E319C8" w:rsidRDefault="004A3C70" w:rsidP="00E319C8">
      <w:pPr>
        <w:rPr>
          <w:b/>
          <w:color w:val="4B0885"/>
          <w:sz w:val="56"/>
          <w:szCs w:val="56"/>
        </w:rPr>
      </w:pPr>
      <w:r w:rsidRPr="00E319C8">
        <w:rPr>
          <w:b/>
          <w:color w:val="4B0885"/>
          <w:sz w:val="56"/>
          <w:szCs w:val="56"/>
        </w:rPr>
        <w:t>Appendix 2: Acknowledgements, definitions and references</w:t>
      </w:r>
    </w:p>
    <w:p w14:paraId="4F9A9C7A" w14:textId="77777777" w:rsidR="004A3C70" w:rsidRPr="00632531" w:rsidRDefault="004A3C70" w:rsidP="004A3C70">
      <w:pPr>
        <w:pStyle w:val="TOCHeading"/>
        <w:rPr>
          <w:rFonts w:eastAsiaTheme="minorHAnsi" w:cstheme="minorBidi"/>
          <w:b w:val="0"/>
          <w:color w:val="auto"/>
          <w:sz w:val="40"/>
          <w:szCs w:val="40"/>
          <w:lang w:val="en-AU"/>
        </w:rPr>
      </w:pPr>
      <w:r w:rsidRPr="00632531">
        <w:rPr>
          <w:rFonts w:eastAsiaTheme="minorHAnsi" w:cstheme="minorBidi"/>
          <w:b w:val="0"/>
          <w:color w:val="auto"/>
          <w:sz w:val="40"/>
          <w:szCs w:val="40"/>
          <w:lang w:val="en-AU"/>
        </w:rPr>
        <w:br w:type="page"/>
      </w:r>
    </w:p>
    <w:p w14:paraId="359BF613" w14:textId="77777777" w:rsidR="00E319C8" w:rsidRPr="00264D37" w:rsidRDefault="00E319C8" w:rsidP="00FF63BB">
      <w:pPr>
        <w:pStyle w:val="Heading1"/>
      </w:pPr>
      <w:bookmarkStart w:id="239" w:name="_Toc200637166"/>
      <w:bookmarkStart w:id="240" w:name="_Toc201070208"/>
      <w:bookmarkStart w:id="241" w:name="_Toc201919871"/>
      <w:bookmarkStart w:id="242" w:name="_Toc202361899"/>
      <w:r>
        <w:lastRenderedPageBreak/>
        <w:t>Appendix 2: Acknowledgements, definitions and references</w:t>
      </w:r>
      <w:bookmarkEnd w:id="239"/>
      <w:bookmarkEnd w:id="240"/>
      <w:bookmarkEnd w:id="241"/>
      <w:bookmarkEnd w:id="242"/>
    </w:p>
    <w:p w14:paraId="1BD65839" w14:textId="22A86F2E" w:rsidR="00501547" w:rsidRPr="00D446E0" w:rsidRDefault="00501547" w:rsidP="00FF63BB">
      <w:pPr>
        <w:pStyle w:val="Heading2"/>
      </w:pPr>
      <w:bookmarkStart w:id="243" w:name="_Toc200637167"/>
      <w:bookmarkStart w:id="244" w:name="_Toc201070209"/>
      <w:bookmarkStart w:id="245" w:name="_Toc201919872"/>
      <w:bookmarkStart w:id="246" w:name="_Toc202361900"/>
      <w:r w:rsidRPr="00D446E0">
        <w:t>Acknowledgements</w:t>
      </w:r>
      <w:bookmarkEnd w:id="243"/>
      <w:bookmarkEnd w:id="244"/>
      <w:bookmarkEnd w:id="245"/>
      <w:bookmarkEnd w:id="246"/>
      <w:r w:rsidRPr="00D446E0">
        <w:t xml:space="preserve"> </w:t>
      </w:r>
    </w:p>
    <w:p w14:paraId="09034EC3" w14:textId="77777777" w:rsidR="00501547" w:rsidRPr="00D446E0" w:rsidRDefault="00501547" w:rsidP="00D446E0">
      <w:pPr>
        <w:pStyle w:val="Heading4"/>
      </w:pPr>
      <w:r w:rsidRPr="00D446E0">
        <w:t>JSA Regional Advisory Group</w:t>
      </w:r>
    </w:p>
    <w:p w14:paraId="4ABFF0E0" w14:textId="07612347" w:rsidR="00446128" w:rsidRDefault="00421CF0" w:rsidP="00D446E0">
      <w:pPr>
        <w:pStyle w:val="BodyText"/>
      </w:pPr>
      <w:r>
        <w:t xml:space="preserve">On </w:t>
      </w:r>
      <w:r w:rsidR="00AD54E7">
        <w:t>advice</w:t>
      </w:r>
      <w:r>
        <w:t xml:space="preserve"> from </w:t>
      </w:r>
      <w:r w:rsidR="00E056E6">
        <w:t>JSA’s Ministerial Advisory Board</w:t>
      </w:r>
      <w:r w:rsidR="00AD54E7">
        <w:t xml:space="preserve"> (</w:t>
      </w:r>
      <w:r w:rsidR="00E75C0F">
        <w:t>MAB)</w:t>
      </w:r>
      <w:r w:rsidR="00E056E6">
        <w:t xml:space="preserve">, a </w:t>
      </w:r>
      <w:r w:rsidR="00501547" w:rsidRPr="021A6D35">
        <w:t xml:space="preserve">Regional Advisory Group </w:t>
      </w:r>
      <w:r w:rsidR="00E056E6">
        <w:t xml:space="preserve">was established </w:t>
      </w:r>
      <w:r w:rsidR="00501547" w:rsidRPr="021A6D35">
        <w:t>to provide independent and expert advice during the development of the Regional Roadmap. JSA acknowledges and recognises the contribution of this group, both as a collective and through the individual contributions that were also provided through its engagement to date.</w:t>
      </w:r>
    </w:p>
    <w:p w14:paraId="5EF15053" w14:textId="005FF743" w:rsidR="00501547" w:rsidRPr="00446128" w:rsidRDefault="009D232C" w:rsidP="009D232C">
      <w:pPr>
        <w:pStyle w:val="Caption"/>
        <w:rPr>
          <w:b w:val="0"/>
        </w:rPr>
      </w:pPr>
      <w:r>
        <w:t xml:space="preserve">Table </w:t>
      </w:r>
      <w:r>
        <w:fldChar w:fldCharType="begin"/>
      </w:r>
      <w:r>
        <w:instrText xml:space="preserve"> SEQ Table \* ARABIC </w:instrText>
      </w:r>
      <w:r>
        <w:fldChar w:fldCharType="separate"/>
      </w:r>
      <w:r w:rsidR="00471863">
        <w:rPr>
          <w:noProof/>
        </w:rPr>
        <w:t>43</w:t>
      </w:r>
      <w:r>
        <w:fldChar w:fldCharType="end"/>
      </w:r>
      <w:r>
        <w:t>: JSA Regional Advisory Group</w:t>
      </w:r>
      <w:r w:rsidR="00501547" w:rsidRPr="00446128">
        <w:rPr>
          <w:rFonts w:eastAsia="Arial" w:cs="Arial"/>
          <w:b w:val="0"/>
        </w:rPr>
        <w:t xml:space="preserve"> </w:t>
      </w:r>
    </w:p>
    <w:tbl>
      <w:tblPr>
        <w:tblStyle w:val="CustomTablebasic"/>
        <w:tblW w:w="0" w:type="auto"/>
        <w:tblLook w:val="04A0" w:firstRow="1" w:lastRow="0" w:firstColumn="1" w:lastColumn="0" w:noHBand="0" w:noVBand="1"/>
      </w:tblPr>
      <w:tblGrid>
        <w:gridCol w:w="2410"/>
        <w:gridCol w:w="2835"/>
        <w:gridCol w:w="3782"/>
      </w:tblGrid>
      <w:tr w:rsidR="001B53AA" w14:paraId="66E1B3B0" w14:textId="77777777" w:rsidTr="00F575A9">
        <w:trPr>
          <w:cnfStyle w:val="100000000000" w:firstRow="1" w:lastRow="0" w:firstColumn="0" w:lastColumn="0" w:oddVBand="0" w:evenVBand="0" w:oddHBand="0" w:evenHBand="0" w:firstRowFirstColumn="0" w:firstRowLastColumn="0" w:lastRowFirstColumn="0" w:lastRowLastColumn="0"/>
        </w:trPr>
        <w:tc>
          <w:tcPr>
            <w:tcW w:w="2410" w:type="dxa"/>
          </w:tcPr>
          <w:p w14:paraId="3B64D63B" w14:textId="77777777" w:rsidR="0074738D" w:rsidRDefault="0074738D">
            <w:pPr>
              <w:pStyle w:val="TableHeading1"/>
              <w:rPr>
                <w:lang w:eastAsia="en-AU"/>
              </w:rPr>
            </w:pPr>
            <w:r w:rsidRPr="0096534C">
              <w:t>Advisory Group Member</w:t>
            </w:r>
          </w:p>
        </w:tc>
        <w:tc>
          <w:tcPr>
            <w:tcW w:w="2835" w:type="dxa"/>
          </w:tcPr>
          <w:p w14:paraId="2FC6F597" w14:textId="4576C720" w:rsidR="00DA2F10" w:rsidRPr="00F575A9" w:rsidRDefault="00DA2F10">
            <w:pPr>
              <w:pStyle w:val="TableHeading1"/>
            </w:pPr>
            <w:r w:rsidRPr="00F575A9">
              <w:t>Position</w:t>
            </w:r>
          </w:p>
        </w:tc>
        <w:tc>
          <w:tcPr>
            <w:tcW w:w="3782" w:type="dxa"/>
          </w:tcPr>
          <w:p w14:paraId="267B6516" w14:textId="161FE1A7" w:rsidR="0074738D" w:rsidRDefault="0074738D">
            <w:pPr>
              <w:pStyle w:val="TableHeading1"/>
              <w:rPr>
                <w:lang w:eastAsia="en-AU"/>
              </w:rPr>
            </w:pPr>
            <w:r w:rsidRPr="0096534C">
              <w:t>Organisation</w:t>
            </w:r>
          </w:p>
        </w:tc>
      </w:tr>
      <w:tr w:rsidR="0074738D" w14:paraId="4B2CE6AA" w14:textId="77777777" w:rsidTr="00F575A9">
        <w:trPr>
          <w:trHeight w:val="567"/>
        </w:trPr>
        <w:tc>
          <w:tcPr>
            <w:tcW w:w="2410" w:type="dxa"/>
            <w:vAlign w:val="center"/>
          </w:tcPr>
          <w:p w14:paraId="7BB757B4" w14:textId="77777777" w:rsidR="0074738D" w:rsidRPr="00B373A2" w:rsidRDefault="0074738D">
            <w:pPr>
              <w:pStyle w:val="TableBodyText"/>
            </w:pPr>
            <w:r w:rsidRPr="00B373A2">
              <w:t>Megan Lilly (Chair)</w:t>
            </w:r>
          </w:p>
        </w:tc>
        <w:tc>
          <w:tcPr>
            <w:tcW w:w="2835" w:type="dxa"/>
            <w:vAlign w:val="center"/>
          </w:tcPr>
          <w:p w14:paraId="182C23CB" w14:textId="2FE2B310" w:rsidR="00936FAF" w:rsidRPr="00F575A9" w:rsidRDefault="00936FAF">
            <w:pPr>
              <w:pStyle w:val="TableBodyText"/>
            </w:pPr>
            <w:r w:rsidRPr="00F575A9">
              <w:t>Deputy Commissioner</w:t>
            </w:r>
          </w:p>
        </w:tc>
        <w:tc>
          <w:tcPr>
            <w:tcW w:w="3782" w:type="dxa"/>
            <w:vAlign w:val="center"/>
          </w:tcPr>
          <w:p w14:paraId="43AC7C64" w14:textId="5F33ADAE" w:rsidR="0074738D" w:rsidRPr="00B373A2" w:rsidRDefault="00DD0A1E">
            <w:pPr>
              <w:pStyle w:val="TableBodyText"/>
            </w:pPr>
            <w:r w:rsidRPr="00F575A9">
              <w:t>J</w:t>
            </w:r>
            <w:r w:rsidR="00936FAF" w:rsidRPr="00F575A9">
              <w:t>obs and Skills Australia</w:t>
            </w:r>
          </w:p>
        </w:tc>
      </w:tr>
      <w:tr w:rsidR="002A38A9" w14:paraId="12130A9C" w14:textId="77777777" w:rsidTr="00F575A9">
        <w:trPr>
          <w:cnfStyle w:val="000000010000" w:firstRow="0" w:lastRow="0" w:firstColumn="0" w:lastColumn="0" w:oddVBand="0" w:evenVBand="0" w:oddHBand="0" w:evenHBand="1" w:firstRowFirstColumn="0" w:firstRowLastColumn="0" w:lastRowFirstColumn="0" w:lastRowLastColumn="0"/>
          <w:trHeight w:val="567"/>
        </w:trPr>
        <w:tc>
          <w:tcPr>
            <w:tcW w:w="2410" w:type="dxa"/>
            <w:vAlign w:val="center"/>
          </w:tcPr>
          <w:p w14:paraId="1499D589" w14:textId="77777777" w:rsidR="0074738D" w:rsidRPr="00B373A2" w:rsidRDefault="0074738D">
            <w:pPr>
              <w:pStyle w:val="TableBodyText"/>
            </w:pPr>
            <w:r w:rsidRPr="00B373A2">
              <w:t>Dean Deighton</w:t>
            </w:r>
          </w:p>
        </w:tc>
        <w:tc>
          <w:tcPr>
            <w:tcW w:w="2835" w:type="dxa"/>
            <w:vAlign w:val="center"/>
          </w:tcPr>
          <w:p w14:paraId="123AFD13" w14:textId="252BF40B" w:rsidR="00936FAF" w:rsidRPr="00F575A9" w:rsidRDefault="00936FAF">
            <w:pPr>
              <w:pStyle w:val="TableBodyText"/>
            </w:pPr>
            <w:r w:rsidRPr="00F575A9">
              <w:t>Head of Northern Australia</w:t>
            </w:r>
          </w:p>
        </w:tc>
        <w:tc>
          <w:tcPr>
            <w:tcW w:w="3782" w:type="dxa"/>
            <w:vAlign w:val="center"/>
          </w:tcPr>
          <w:p w14:paraId="6CA1B113" w14:textId="3BB10C8B" w:rsidR="0074738D" w:rsidRPr="00B373A2" w:rsidRDefault="0074738D">
            <w:pPr>
              <w:pStyle w:val="TableBodyText"/>
            </w:pPr>
            <w:r w:rsidRPr="00B373A2">
              <w:t>Australian Industry Group</w:t>
            </w:r>
          </w:p>
        </w:tc>
      </w:tr>
      <w:tr w:rsidR="0074738D" w14:paraId="182C17DD" w14:textId="77777777" w:rsidTr="00F575A9">
        <w:trPr>
          <w:trHeight w:val="567"/>
        </w:trPr>
        <w:tc>
          <w:tcPr>
            <w:tcW w:w="2410" w:type="dxa"/>
            <w:vAlign w:val="center"/>
          </w:tcPr>
          <w:p w14:paraId="7F8ABAF1" w14:textId="77777777" w:rsidR="0074738D" w:rsidRPr="00B373A2" w:rsidRDefault="0074738D">
            <w:pPr>
              <w:pStyle w:val="TableBodyText"/>
            </w:pPr>
            <w:r w:rsidRPr="00B373A2">
              <w:t>Adele Sutton</w:t>
            </w:r>
          </w:p>
        </w:tc>
        <w:tc>
          <w:tcPr>
            <w:tcW w:w="2835" w:type="dxa"/>
            <w:vAlign w:val="center"/>
          </w:tcPr>
          <w:p w14:paraId="343B7099" w14:textId="5BB21327" w:rsidR="00936FAF" w:rsidRPr="00F575A9" w:rsidRDefault="00936FAF">
            <w:pPr>
              <w:pStyle w:val="TableBodyText"/>
            </w:pPr>
            <w:r w:rsidRPr="00F575A9">
              <w:t>Head of Policy</w:t>
            </w:r>
          </w:p>
        </w:tc>
        <w:tc>
          <w:tcPr>
            <w:tcW w:w="3782" w:type="dxa"/>
            <w:vAlign w:val="center"/>
          </w:tcPr>
          <w:p w14:paraId="08329934" w14:textId="16862B65" w:rsidR="0074738D" w:rsidRPr="00B373A2" w:rsidRDefault="0074738D">
            <w:pPr>
              <w:pStyle w:val="TableBodyText"/>
            </w:pPr>
            <w:r w:rsidRPr="00B373A2">
              <w:t>Council of Small Business Organisations Australia</w:t>
            </w:r>
          </w:p>
        </w:tc>
      </w:tr>
      <w:tr w:rsidR="002A38A9" w14:paraId="6287D8AD" w14:textId="77777777" w:rsidTr="00F575A9">
        <w:trPr>
          <w:cnfStyle w:val="000000010000" w:firstRow="0" w:lastRow="0" w:firstColumn="0" w:lastColumn="0" w:oddVBand="0" w:evenVBand="0" w:oddHBand="0" w:evenHBand="1" w:firstRowFirstColumn="0" w:firstRowLastColumn="0" w:lastRowFirstColumn="0" w:lastRowLastColumn="0"/>
          <w:trHeight w:val="567"/>
        </w:trPr>
        <w:tc>
          <w:tcPr>
            <w:tcW w:w="2410" w:type="dxa"/>
            <w:vAlign w:val="center"/>
          </w:tcPr>
          <w:p w14:paraId="6E9C470F" w14:textId="0E933402" w:rsidR="0074738D" w:rsidRPr="00FF0225" w:rsidRDefault="00FF0225">
            <w:pPr>
              <w:pStyle w:val="TableBodyText"/>
              <w:rPr>
                <w:szCs w:val="20"/>
              </w:rPr>
            </w:pPr>
            <w:r w:rsidRPr="00FF0225">
              <w:rPr>
                <w:rFonts w:cs="Arial"/>
                <w:szCs w:val="20"/>
              </w:rPr>
              <w:t>Lena Constantine</w:t>
            </w:r>
          </w:p>
        </w:tc>
        <w:tc>
          <w:tcPr>
            <w:tcW w:w="2835" w:type="dxa"/>
            <w:vAlign w:val="center"/>
          </w:tcPr>
          <w:p w14:paraId="5F8FF24B" w14:textId="2CB8116D" w:rsidR="00936FAF" w:rsidRPr="00F575A9" w:rsidRDefault="00936FAF">
            <w:pPr>
              <w:pStyle w:val="TableBodyText"/>
            </w:pPr>
            <w:r w:rsidRPr="00F575A9">
              <w:t>Associate Director</w:t>
            </w:r>
            <w:r w:rsidR="00432DAC" w:rsidRPr="00F575A9">
              <w:t xml:space="preserve"> – Industry</w:t>
            </w:r>
            <w:r w:rsidR="00F575A9">
              <w:t> </w:t>
            </w:r>
            <w:r w:rsidR="00432DAC" w:rsidRPr="00F575A9">
              <w:t>Skills</w:t>
            </w:r>
          </w:p>
        </w:tc>
        <w:tc>
          <w:tcPr>
            <w:tcW w:w="3782" w:type="dxa"/>
            <w:vAlign w:val="center"/>
          </w:tcPr>
          <w:p w14:paraId="7C5EF91D" w14:textId="36B29421" w:rsidR="0074738D" w:rsidRPr="00B373A2" w:rsidRDefault="0074738D">
            <w:pPr>
              <w:pStyle w:val="TableBodyText"/>
            </w:pPr>
            <w:r w:rsidRPr="00B373A2">
              <w:t xml:space="preserve">Chamber of Commerce </w:t>
            </w:r>
            <w:r w:rsidR="00F575A9">
              <w:t>&amp;</w:t>
            </w:r>
            <w:r w:rsidRPr="00B373A2">
              <w:t xml:space="preserve"> Industry WA</w:t>
            </w:r>
          </w:p>
        </w:tc>
      </w:tr>
      <w:tr w:rsidR="0074738D" w14:paraId="1A230FCA" w14:textId="77777777" w:rsidTr="00F575A9">
        <w:trPr>
          <w:trHeight w:val="567"/>
        </w:trPr>
        <w:tc>
          <w:tcPr>
            <w:tcW w:w="2410" w:type="dxa"/>
            <w:vAlign w:val="center"/>
          </w:tcPr>
          <w:p w14:paraId="10904A87" w14:textId="645CBC96" w:rsidR="0074738D" w:rsidRPr="00B373A2" w:rsidRDefault="00DD0A1E">
            <w:pPr>
              <w:pStyle w:val="TableBodyText"/>
            </w:pPr>
            <w:r w:rsidRPr="00F575A9">
              <w:t>Jonath</w:t>
            </w:r>
            <w:r w:rsidR="00AD739F" w:rsidRPr="00F575A9">
              <w:t>a</w:t>
            </w:r>
            <w:r w:rsidRPr="00F575A9">
              <w:t>n</w:t>
            </w:r>
            <w:r w:rsidR="0074738D" w:rsidRPr="00B373A2">
              <w:t xml:space="preserve"> Cook</w:t>
            </w:r>
          </w:p>
        </w:tc>
        <w:tc>
          <w:tcPr>
            <w:tcW w:w="2835" w:type="dxa"/>
            <w:vAlign w:val="center"/>
          </w:tcPr>
          <w:p w14:paraId="151BFACD" w14:textId="616B961B" w:rsidR="00AD739F" w:rsidRPr="00F575A9" w:rsidRDefault="00AD739F">
            <w:pPr>
              <w:pStyle w:val="TableBodyText"/>
            </w:pPr>
            <w:r w:rsidRPr="00F575A9">
              <w:t>National Organiser</w:t>
            </w:r>
          </w:p>
        </w:tc>
        <w:tc>
          <w:tcPr>
            <w:tcW w:w="3782" w:type="dxa"/>
            <w:vAlign w:val="center"/>
          </w:tcPr>
          <w:p w14:paraId="0A87E32E" w14:textId="11BCDAA1" w:rsidR="0074738D" w:rsidRPr="00B373A2" w:rsidRDefault="0074738D">
            <w:pPr>
              <w:pStyle w:val="TableBodyText"/>
            </w:pPr>
            <w:r w:rsidRPr="00B373A2">
              <w:t>Australian Workers’ Union</w:t>
            </w:r>
          </w:p>
        </w:tc>
      </w:tr>
      <w:tr w:rsidR="002A38A9" w14:paraId="1BAC892A" w14:textId="77777777" w:rsidTr="00F575A9">
        <w:trPr>
          <w:cnfStyle w:val="000000010000" w:firstRow="0" w:lastRow="0" w:firstColumn="0" w:lastColumn="0" w:oddVBand="0" w:evenVBand="0" w:oddHBand="0" w:evenHBand="1" w:firstRowFirstColumn="0" w:firstRowLastColumn="0" w:lastRowFirstColumn="0" w:lastRowLastColumn="0"/>
          <w:trHeight w:val="567"/>
        </w:trPr>
        <w:tc>
          <w:tcPr>
            <w:tcW w:w="2410" w:type="dxa"/>
            <w:vAlign w:val="center"/>
          </w:tcPr>
          <w:p w14:paraId="4E217513" w14:textId="77777777" w:rsidR="0074738D" w:rsidRPr="00B373A2" w:rsidRDefault="0074738D">
            <w:pPr>
              <w:pStyle w:val="TableBodyText"/>
            </w:pPr>
            <w:r w:rsidRPr="00B373A2">
              <w:t>Chris Croker</w:t>
            </w:r>
          </w:p>
        </w:tc>
        <w:tc>
          <w:tcPr>
            <w:tcW w:w="2835" w:type="dxa"/>
            <w:vAlign w:val="center"/>
          </w:tcPr>
          <w:p w14:paraId="295E345F" w14:textId="0C5A37B6" w:rsidR="00936FAF" w:rsidRPr="00F575A9" w:rsidRDefault="00936FAF">
            <w:pPr>
              <w:pStyle w:val="TableBodyText"/>
            </w:pPr>
            <w:r w:rsidRPr="00F575A9">
              <w:t>Director</w:t>
            </w:r>
          </w:p>
        </w:tc>
        <w:tc>
          <w:tcPr>
            <w:tcW w:w="3782" w:type="dxa"/>
            <w:vAlign w:val="center"/>
          </w:tcPr>
          <w:p w14:paraId="749538AF" w14:textId="378CA337" w:rsidR="0074738D" w:rsidRPr="00B373A2" w:rsidRDefault="0074738D">
            <w:pPr>
              <w:pStyle w:val="TableBodyText"/>
            </w:pPr>
            <w:r w:rsidRPr="00B373A2">
              <w:t>First Nations Clean Energy Network</w:t>
            </w:r>
          </w:p>
        </w:tc>
      </w:tr>
      <w:tr w:rsidR="0074738D" w14:paraId="322C852B" w14:textId="77777777" w:rsidTr="00F575A9">
        <w:trPr>
          <w:trHeight w:val="567"/>
        </w:trPr>
        <w:tc>
          <w:tcPr>
            <w:tcW w:w="2410" w:type="dxa"/>
            <w:vAlign w:val="center"/>
          </w:tcPr>
          <w:p w14:paraId="4516BFD6" w14:textId="77777777" w:rsidR="0074738D" w:rsidRPr="00B373A2" w:rsidRDefault="0074738D">
            <w:pPr>
              <w:pStyle w:val="TableBodyText"/>
            </w:pPr>
            <w:r w:rsidRPr="00B373A2">
              <w:t>Brook Orr</w:t>
            </w:r>
          </w:p>
        </w:tc>
        <w:tc>
          <w:tcPr>
            <w:tcW w:w="2835" w:type="dxa"/>
            <w:vAlign w:val="center"/>
          </w:tcPr>
          <w:p w14:paraId="27802CE4" w14:textId="455D69BD" w:rsidR="00936FAF" w:rsidRPr="00F575A9" w:rsidRDefault="00936FAF">
            <w:pPr>
              <w:pStyle w:val="TableBodyText"/>
            </w:pPr>
            <w:r w:rsidRPr="00F575A9">
              <w:t>Director</w:t>
            </w:r>
          </w:p>
        </w:tc>
        <w:tc>
          <w:tcPr>
            <w:tcW w:w="3782" w:type="dxa"/>
            <w:vAlign w:val="center"/>
          </w:tcPr>
          <w:p w14:paraId="14CA5BB2" w14:textId="15743E21" w:rsidR="0074738D" w:rsidRPr="00B373A2" w:rsidRDefault="0074738D">
            <w:pPr>
              <w:pStyle w:val="TableBodyText"/>
            </w:pPr>
            <w:r w:rsidRPr="00B373A2">
              <w:t>Northern Australia Universities Alliance</w:t>
            </w:r>
          </w:p>
        </w:tc>
      </w:tr>
      <w:tr w:rsidR="002A38A9" w14:paraId="1C2FA2FE" w14:textId="77777777" w:rsidTr="00F575A9">
        <w:trPr>
          <w:cnfStyle w:val="000000010000" w:firstRow="0" w:lastRow="0" w:firstColumn="0" w:lastColumn="0" w:oddVBand="0" w:evenVBand="0" w:oddHBand="0" w:evenHBand="1" w:firstRowFirstColumn="0" w:firstRowLastColumn="0" w:lastRowFirstColumn="0" w:lastRowLastColumn="0"/>
          <w:trHeight w:val="567"/>
        </w:trPr>
        <w:tc>
          <w:tcPr>
            <w:tcW w:w="2410" w:type="dxa"/>
            <w:vAlign w:val="center"/>
          </w:tcPr>
          <w:p w14:paraId="70FDA3BA" w14:textId="77777777" w:rsidR="0074738D" w:rsidRPr="00B373A2" w:rsidRDefault="0074738D">
            <w:pPr>
              <w:pStyle w:val="TableBodyText"/>
            </w:pPr>
            <w:r w:rsidRPr="00B373A2">
              <w:t>Lynette Ross</w:t>
            </w:r>
          </w:p>
        </w:tc>
        <w:tc>
          <w:tcPr>
            <w:tcW w:w="2835" w:type="dxa"/>
            <w:vAlign w:val="center"/>
          </w:tcPr>
          <w:p w14:paraId="41C4A7DC" w14:textId="5E1524D0" w:rsidR="00936FAF" w:rsidRPr="00F575A9" w:rsidRDefault="00936FAF">
            <w:pPr>
              <w:pStyle w:val="TableBodyText"/>
            </w:pPr>
            <w:r w:rsidRPr="00F575A9">
              <w:t>Director</w:t>
            </w:r>
            <w:r w:rsidR="00432DAC" w:rsidRPr="00F575A9">
              <w:t xml:space="preserve"> – Central Australia</w:t>
            </w:r>
          </w:p>
        </w:tc>
        <w:tc>
          <w:tcPr>
            <w:tcW w:w="3782" w:type="dxa"/>
            <w:vAlign w:val="center"/>
          </w:tcPr>
          <w:p w14:paraId="4D7EFFFE" w14:textId="636200C6" w:rsidR="0074738D" w:rsidRPr="00B373A2" w:rsidRDefault="0074738D">
            <w:pPr>
              <w:pStyle w:val="TableBodyText"/>
            </w:pPr>
            <w:r w:rsidRPr="00B373A2">
              <w:t>Batchelor Institute of Indigenous Tertiary Education</w:t>
            </w:r>
          </w:p>
        </w:tc>
      </w:tr>
      <w:tr w:rsidR="0074738D" w14:paraId="774C205F" w14:textId="77777777" w:rsidTr="00F575A9">
        <w:trPr>
          <w:trHeight w:val="567"/>
        </w:trPr>
        <w:tc>
          <w:tcPr>
            <w:tcW w:w="2410" w:type="dxa"/>
            <w:vAlign w:val="center"/>
          </w:tcPr>
          <w:p w14:paraId="6A8CBD71" w14:textId="77777777" w:rsidR="0074738D" w:rsidRPr="00B373A2" w:rsidRDefault="0074738D">
            <w:pPr>
              <w:pStyle w:val="TableBodyText"/>
            </w:pPr>
            <w:r w:rsidRPr="00B373A2">
              <w:t>The Hon Fiona Nash</w:t>
            </w:r>
          </w:p>
        </w:tc>
        <w:tc>
          <w:tcPr>
            <w:tcW w:w="2835" w:type="dxa"/>
            <w:vAlign w:val="center"/>
          </w:tcPr>
          <w:p w14:paraId="3E96906C" w14:textId="3059A9B1" w:rsidR="00936FAF" w:rsidRPr="00F575A9" w:rsidRDefault="00936FAF">
            <w:pPr>
              <w:pStyle w:val="TableBodyText"/>
            </w:pPr>
            <w:r w:rsidRPr="00F575A9">
              <w:t>Regional Education Commissioner</w:t>
            </w:r>
          </w:p>
        </w:tc>
        <w:tc>
          <w:tcPr>
            <w:tcW w:w="3782" w:type="dxa"/>
            <w:vAlign w:val="center"/>
          </w:tcPr>
          <w:p w14:paraId="344C89B8" w14:textId="7766D56A" w:rsidR="0074738D" w:rsidRPr="00B373A2" w:rsidRDefault="00DA2F10">
            <w:pPr>
              <w:pStyle w:val="TableBodyText"/>
            </w:pPr>
            <w:r w:rsidRPr="00F575A9">
              <w:t>Department of Education</w:t>
            </w:r>
          </w:p>
        </w:tc>
      </w:tr>
      <w:tr w:rsidR="002A38A9" w14:paraId="5EDE6D0C" w14:textId="77777777" w:rsidTr="00F575A9">
        <w:trPr>
          <w:cnfStyle w:val="000000010000" w:firstRow="0" w:lastRow="0" w:firstColumn="0" w:lastColumn="0" w:oddVBand="0" w:evenVBand="0" w:oddHBand="0" w:evenHBand="1" w:firstRowFirstColumn="0" w:firstRowLastColumn="0" w:lastRowFirstColumn="0" w:lastRowLastColumn="0"/>
          <w:trHeight w:val="567"/>
        </w:trPr>
        <w:tc>
          <w:tcPr>
            <w:tcW w:w="2410" w:type="dxa"/>
            <w:vAlign w:val="center"/>
          </w:tcPr>
          <w:p w14:paraId="3E82D61F" w14:textId="77777777" w:rsidR="0074738D" w:rsidRPr="00B373A2" w:rsidRDefault="0074738D">
            <w:pPr>
              <w:pStyle w:val="TableBodyText"/>
            </w:pPr>
            <w:r w:rsidRPr="00B373A2">
              <w:t xml:space="preserve">Liz Ritchie </w:t>
            </w:r>
          </w:p>
        </w:tc>
        <w:tc>
          <w:tcPr>
            <w:tcW w:w="2835" w:type="dxa"/>
            <w:vAlign w:val="center"/>
          </w:tcPr>
          <w:p w14:paraId="2D2FD49B" w14:textId="1FEFFBB2" w:rsidR="00DD0A1E" w:rsidRDefault="00DD0A1E">
            <w:pPr>
              <w:pStyle w:val="TableBodyText"/>
            </w:pPr>
            <w:r>
              <w:t>CEO</w:t>
            </w:r>
          </w:p>
        </w:tc>
        <w:tc>
          <w:tcPr>
            <w:tcW w:w="3782" w:type="dxa"/>
            <w:vAlign w:val="center"/>
          </w:tcPr>
          <w:p w14:paraId="3C5D359C" w14:textId="3E6B15CB" w:rsidR="0074738D" w:rsidRPr="00B373A2" w:rsidRDefault="0074738D">
            <w:pPr>
              <w:pStyle w:val="TableBodyText"/>
            </w:pPr>
            <w:r w:rsidRPr="00B373A2">
              <w:t>Regional Australia Institute</w:t>
            </w:r>
          </w:p>
        </w:tc>
      </w:tr>
      <w:tr w:rsidR="0074738D" w14:paraId="75748606" w14:textId="77777777" w:rsidTr="00F575A9">
        <w:trPr>
          <w:trHeight w:val="567"/>
        </w:trPr>
        <w:tc>
          <w:tcPr>
            <w:tcW w:w="2410" w:type="dxa"/>
            <w:vAlign w:val="center"/>
          </w:tcPr>
          <w:p w14:paraId="160A5B39" w14:textId="77777777" w:rsidR="0074738D" w:rsidRPr="00B373A2" w:rsidRDefault="0074738D">
            <w:pPr>
              <w:pStyle w:val="TableBodyText"/>
            </w:pPr>
            <w:r w:rsidRPr="00B373A2">
              <w:t>Amanda Threlfall</w:t>
            </w:r>
          </w:p>
        </w:tc>
        <w:tc>
          <w:tcPr>
            <w:tcW w:w="2835" w:type="dxa"/>
            <w:vAlign w:val="center"/>
          </w:tcPr>
          <w:p w14:paraId="35B02EDA" w14:textId="1D43D9A2" w:rsidR="00F575A9" w:rsidRPr="00F575A9" w:rsidRDefault="00F575A9">
            <w:pPr>
              <w:pStyle w:val="TableBodyText"/>
            </w:pPr>
            <w:r w:rsidRPr="00F575A9">
              <w:rPr>
                <w:lang w:val="en-AU"/>
              </w:rPr>
              <w:t>Assistant Secretary</w:t>
            </w:r>
          </w:p>
        </w:tc>
        <w:tc>
          <w:tcPr>
            <w:tcW w:w="3782" w:type="dxa"/>
            <w:vAlign w:val="center"/>
          </w:tcPr>
          <w:p w14:paraId="265A68D5" w14:textId="0FCB425D" w:rsidR="0074738D" w:rsidRPr="00B373A2" w:rsidRDefault="003A44EE">
            <w:pPr>
              <w:pStyle w:val="TableBodyText"/>
            </w:pPr>
            <w:r w:rsidRPr="00F575A9">
              <w:rPr>
                <w:lang w:val="en-AU"/>
              </w:rPr>
              <w:t>Victorian Trades Hall Council</w:t>
            </w:r>
          </w:p>
        </w:tc>
      </w:tr>
      <w:tr w:rsidR="002A38A9" w14:paraId="785769F7" w14:textId="77777777" w:rsidTr="00F575A9">
        <w:trPr>
          <w:cnfStyle w:val="000000010000" w:firstRow="0" w:lastRow="0" w:firstColumn="0" w:lastColumn="0" w:oddVBand="0" w:evenVBand="0" w:oddHBand="0" w:evenHBand="1" w:firstRowFirstColumn="0" w:firstRowLastColumn="0" w:lastRowFirstColumn="0" w:lastRowLastColumn="0"/>
          <w:trHeight w:val="567"/>
        </w:trPr>
        <w:tc>
          <w:tcPr>
            <w:tcW w:w="2410" w:type="dxa"/>
            <w:vAlign w:val="center"/>
          </w:tcPr>
          <w:p w14:paraId="12467B6F" w14:textId="77777777" w:rsidR="0074738D" w:rsidRPr="00B373A2" w:rsidRDefault="0074738D">
            <w:pPr>
              <w:pStyle w:val="TableBodyText"/>
            </w:pPr>
            <w:r w:rsidRPr="00B373A2">
              <w:t>David Coltman</w:t>
            </w:r>
          </w:p>
        </w:tc>
        <w:tc>
          <w:tcPr>
            <w:tcW w:w="2835" w:type="dxa"/>
            <w:vAlign w:val="center"/>
          </w:tcPr>
          <w:p w14:paraId="449448AD" w14:textId="6BBC7911" w:rsidR="00936FAF" w:rsidRPr="00F575A9" w:rsidRDefault="00936FAF">
            <w:pPr>
              <w:pStyle w:val="TableBodyText"/>
            </w:pPr>
            <w:r w:rsidRPr="00F575A9">
              <w:t>CEO</w:t>
            </w:r>
            <w:r w:rsidR="00F575A9">
              <w:t xml:space="preserve"> &amp; </w:t>
            </w:r>
            <w:r w:rsidRPr="00F575A9">
              <w:t>Deputy Board Chair</w:t>
            </w:r>
          </w:p>
        </w:tc>
        <w:tc>
          <w:tcPr>
            <w:tcW w:w="3782" w:type="dxa"/>
            <w:vAlign w:val="center"/>
          </w:tcPr>
          <w:p w14:paraId="34FA107D" w14:textId="06994603" w:rsidR="0074738D" w:rsidRPr="00B373A2" w:rsidRDefault="00DD0A1E">
            <w:pPr>
              <w:pStyle w:val="TableBodyText"/>
            </w:pPr>
            <w:r w:rsidRPr="00F575A9">
              <w:t>TAFE SA</w:t>
            </w:r>
            <w:r w:rsidR="00F575A9">
              <w:t xml:space="preserve"> &amp; </w:t>
            </w:r>
            <w:r w:rsidR="00936FAF" w:rsidRPr="00F575A9">
              <w:t xml:space="preserve">TAFE </w:t>
            </w:r>
            <w:r w:rsidR="0074738D" w:rsidRPr="00B373A2">
              <w:t>Directors Australia</w:t>
            </w:r>
          </w:p>
        </w:tc>
      </w:tr>
      <w:tr w:rsidR="0074738D" w14:paraId="3A86D27F" w14:textId="77777777" w:rsidTr="00F575A9">
        <w:trPr>
          <w:trHeight w:val="567"/>
        </w:trPr>
        <w:tc>
          <w:tcPr>
            <w:tcW w:w="2410" w:type="dxa"/>
            <w:vAlign w:val="center"/>
          </w:tcPr>
          <w:p w14:paraId="4C8931C6" w14:textId="77777777" w:rsidR="0074738D" w:rsidRPr="00B373A2" w:rsidRDefault="0074738D">
            <w:pPr>
              <w:pStyle w:val="TableBodyText"/>
            </w:pPr>
            <w:r w:rsidRPr="00B373A2">
              <w:t>Alec Webb</w:t>
            </w:r>
          </w:p>
        </w:tc>
        <w:tc>
          <w:tcPr>
            <w:tcW w:w="2835" w:type="dxa"/>
            <w:vAlign w:val="center"/>
          </w:tcPr>
          <w:p w14:paraId="68E09736" w14:textId="5E2FE658" w:rsidR="00DD0A1E" w:rsidRDefault="00DD0A1E">
            <w:pPr>
              <w:pStyle w:val="TableBodyText"/>
            </w:pPr>
            <w:r>
              <w:t>CEO</w:t>
            </w:r>
          </w:p>
        </w:tc>
        <w:tc>
          <w:tcPr>
            <w:tcW w:w="3782" w:type="dxa"/>
            <w:vAlign w:val="center"/>
          </w:tcPr>
          <w:p w14:paraId="46475B4F" w14:textId="224269C6" w:rsidR="0074738D" w:rsidRPr="00B373A2" w:rsidRDefault="0074738D">
            <w:pPr>
              <w:pStyle w:val="TableBodyText"/>
            </w:pPr>
            <w:r w:rsidRPr="00B373A2">
              <w:t>Regional Universities Network</w:t>
            </w:r>
          </w:p>
        </w:tc>
      </w:tr>
      <w:tr w:rsidR="002A38A9" w14:paraId="599C0C98" w14:textId="77777777" w:rsidTr="00F575A9">
        <w:trPr>
          <w:cnfStyle w:val="000000010000" w:firstRow="0" w:lastRow="0" w:firstColumn="0" w:lastColumn="0" w:oddVBand="0" w:evenVBand="0" w:oddHBand="0" w:evenHBand="1" w:firstRowFirstColumn="0" w:firstRowLastColumn="0" w:lastRowFirstColumn="0" w:lastRowLastColumn="0"/>
          <w:trHeight w:val="567"/>
        </w:trPr>
        <w:tc>
          <w:tcPr>
            <w:tcW w:w="2410" w:type="dxa"/>
            <w:vAlign w:val="center"/>
          </w:tcPr>
          <w:p w14:paraId="61462215" w14:textId="3A9B1E95" w:rsidR="0074738D" w:rsidRPr="00B373A2" w:rsidRDefault="00DD0A1E">
            <w:pPr>
              <w:pStyle w:val="TableBodyText"/>
            </w:pPr>
            <w:r w:rsidRPr="00F575A9">
              <w:t>Pro</w:t>
            </w:r>
            <w:r w:rsidR="00F575A9" w:rsidRPr="00F575A9">
              <w:t>f.</w:t>
            </w:r>
            <w:r w:rsidR="0074738D" w:rsidRPr="00B373A2">
              <w:t xml:space="preserve"> Peter Dawkins AO</w:t>
            </w:r>
          </w:p>
        </w:tc>
        <w:tc>
          <w:tcPr>
            <w:tcW w:w="2835" w:type="dxa"/>
            <w:vAlign w:val="center"/>
          </w:tcPr>
          <w:p w14:paraId="1599693A" w14:textId="0E05931A" w:rsidR="00936FAF" w:rsidRPr="00F575A9" w:rsidRDefault="00936FAF">
            <w:pPr>
              <w:pStyle w:val="TableBodyText"/>
            </w:pPr>
            <w:r w:rsidRPr="00F575A9">
              <w:t>Special Advisor</w:t>
            </w:r>
          </w:p>
        </w:tc>
        <w:tc>
          <w:tcPr>
            <w:tcW w:w="3782" w:type="dxa"/>
            <w:vAlign w:val="center"/>
          </w:tcPr>
          <w:p w14:paraId="5A967890" w14:textId="6F11A998" w:rsidR="0074738D" w:rsidRPr="00B373A2" w:rsidRDefault="00936FAF">
            <w:pPr>
              <w:pStyle w:val="TableBodyText"/>
            </w:pPr>
            <w:r w:rsidRPr="00F575A9">
              <w:t>Jobs and Skills Australia</w:t>
            </w:r>
          </w:p>
        </w:tc>
      </w:tr>
    </w:tbl>
    <w:p w14:paraId="2BC4C920" w14:textId="77777777" w:rsidR="00221C6A" w:rsidRDefault="00221C6A" w:rsidP="00076E2B"/>
    <w:p w14:paraId="28857017" w14:textId="4DF02BD6" w:rsidR="00221C6A" w:rsidRDefault="00221C6A">
      <w:pPr>
        <w:spacing w:after="160" w:line="259" w:lineRule="auto"/>
        <w:rPr>
          <w:rFonts w:cs="Arial"/>
          <w:b/>
          <w:bCs/>
          <w:color w:val="012749" w:themeColor="accent3"/>
        </w:rPr>
      </w:pPr>
      <w:r>
        <w:br w:type="page"/>
      </w:r>
    </w:p>
    <w:p w14:paraId="73FCE8FC" w14:textId="77777777" w:rsidR="00501547" w:rsidRPr="00D446E0" w:rsidRDefault="00501547" w:rsidP="00D446E0">
      <w:pPr>
        <w:pStyle w:val="Heading4"/>
      </w:pPr>
      <w:r w:rsidRPr="00D446E0">
        <w:lastRenderedPageBreak/>
        <w:t>JSA Regional Field Trips 2025</w:t>
      </w:r>
    </w:p>
    <w:p w14:paraId="4883047B" w14:textId="16628775" w:rsidR="00501547" w:rsidRDefault="0074738D" w:rsidP="00D446E0">
      <w:pPr>
        <w:pStyle w:val="BodyText"/>
      </w:pPr>
      <w:r>
        <w:t>JSA</w:t>
      </w:r>
      <w:r w:rsidR="00501547">
        <w:t xml:space="preserve"> undertook seven field trips across Regional Australia to undertake consultations with a range of stakeholders. These informal consultations were typically undertaken via </w:t>
      </w:r>
      <w:r w:rsidR="00221C6A">
        <w:t>in-depth and</w:t>
      </w:r>
      <w:r w:rsidR="00501547">
        <w:t xml:space="preserve"> in-person meetings </w:t>
      </w:r>
      <w:r w:rsidR="00221C6A">
        <w:t xml:space="preserve">with one stakeholder at a time, </w:t>
      </w:r>
      <w:r w:rsidR="00501547">
        <w:t>and helped shape and inform JSA’s development of the Roadmap by providing insights into the current state of the jobs and skills system in Regional Australia. JSA recogni</w:t>
      </w:r>
      <w:r w:rsidR="00FB5F9E">
        <w:t>ses</w:t>
      </w:r>
      <w:r w:rsidR="00501547">
        <w:t xml:space="preserve"> the diverse and varied insights and perspectives shared with JSA through</w:t>
      </w:r>
      <w:r w:rsidR="007B0246">
        <w:t>out</w:t>
      </w:r>
      <w:r w:rsidR="00501547">
        <w:t xml:space="preserve"> this process and acknowledges the contribution of stakeholders. </w:t>
      </w:r>
    </w:p>
    <w:p w14:paraId="11185CB6" w14:textId="242CB61E" w:rsidR="00B601E5" w:rsidRPr="009D232C" w:rsidRDefault="009D232C" w:rsidP="009D232C">
      <w:pPr>
        <w:pStyle w:val="Caption"/>
      </w:pPr>
      <w:r>
        <w:t xml:space="preserve">Table </w:t>
      </w:r>
      <w:r>
        <w:fldChar w:fldCharType="begin"/>
      </w:r>
      <w:r>
        <w:instrText xml:space="preserve"> SEQ Table \* ARABIC </w:instrText>
      </w:r>
      <w:r>
        <w:fldChar w:fldCharType="separate"/>
      </w:r>
      <w:r w:rsidR="00471863">
        <w:rPr>
          <w:noProof/>
        </w:rPr>
        <w:t>44</w:t>
      </w:r>
      <w:r>
        <w:fldChar w:fldCharType="end"/>
      </w:r>
      <w:r>
        <w:t>: JSA Regional Field Trips 2025</w:t>
      </w:r>
    </w:p>
    <w:tbl>
      <w:tblPr>
        <w:tblStyle w:val="CustomTablebasic"/>
        <w:tblW w:w="0" w:type="auto"/>
        <w:tblLook w:val="04A0" w:firstRow="1" w:lastRow="0" w:firstColumn="1" w:lastColumn="0" w:noHBand="0" w:noVBand="1"/>
      </w:tblPr>
      <w:tblGrid>
        <w:gridCol w:w="4509"/>
        <w:gridCol w:w="4518"/>
      </w:tblGrid>
      <w:tr w:rsidR="00152014" w14:paraId="2A3093D2" w14:textId="77777777">
        <w:trPr>
          <w:cnfStyle w:val="100000000000" w:firstRow="1" w:lastRow="0" w:firstColumn="0" w:lastColumn="0" w:oddVBand="0" w:evenVBand="0" w:oddHBand="0" w:evenHBand="0" w:firstRowFirstColumn="0" w:firstRowLastColumn="0" w:lastRowFirstColumn="0" w:lastRowLastColumn="0"/>
          <w:tblHeader/>
        </w:trPr>
        <w:tc>
          <w:tcPr>
            <w:tcW w:w="4509" w:type="dxa"/>
          </w:tcPr>
          <w:p w14:paraId="077AC031" w14:textId="77777777" w:rsidR="00061285" w:rsidRDefault="00061285">
            <w:pPr>
              <w:pStyle w:val="BodyText"/>
              <w:rPr>
                <w:lang w:eastAsia="en-AU"/>
              </w:rPr>
            </w:pPr>
            <w:r w:rsidRPr="00590423">
              <w:t>Field trip location</w:t>
            </w:r>
          </w:p>
        </w:tc>
        <w:tc>
          <w:tcPr>
            <w:tcW w:w="4518" w:type="dxa"/>
          </w:tcPr>
          <w:p w14:paraId="0B2BCBA8" w14:textId="77777777" w:rsidR="00061285" w:rsidRDefault="00061285">
            <w:pPr>
              <w:pStyle w:val="BodyText"/>
              <w:rPr>
                <w:lang w:eastAsia="en-AU"/>
              </w:rPr>
            </w:pPr>
            <w:r w:rsidRPr="00590423">
              <w:t>Stakeholders</w:t>
            </w:r>
          </w:p>
        </w:tc>
      </w:tr>
      <w:tr w:rsidR="00061285" w14:paraId="33630982" w14:textId="77777777" w:rsidTr="000F1B7E">
        <w:tc>
          <w:tcPr>
            <w:tcW w:w="4509" w:type="dxa"/>
            <w:vMerge w:val="restart"/>
            <w:vAlign w:val="center"/>
          </w:tcPr>
          <w:p w14:paraId="24A3A413" w14:textId="77777777" w:rsidR="00061285" w:rsidRDefault="00061285">
            <w:pPr>
              <w:pStyle w:val="TableBodyText"/>
              <w:rPr>
                <w:lang w:eastAsia="en-AU"/>
              </w:rPr>
            </w:pPr>
            <w:r w:rsidRPr="00612393">
              <w:t>New South Wales: Newcastle, Hunter</w:t>
            </w:r>
          </w:p>
        </w:tc>
        <w:tc>
          <w:tcPr>
            <w:tcW w:w="4518" w:type="dxa"/>
          </w:tcPr>
          <w:p w14:paraId="34DA3D00" w14:textId="77777777" w:rsidR="00061285" w:rsidRDefault="00061285">
            <w:pPr>
              <w:pStyle w:val="TableBodyText"/>
              <w:rPr>
                <w:lang w:eastAsia="en-AU"/>
              </w:rPr>
            </w:pPr>
            <w:r w:rsidRPr="00191F1A">
              <w:t>Hunter Regional Workforce Transition Officer</w:t>
            </w:r>
          </w:p>
        </w:tc>
      </w:tr>
      <w:tr w:rsidR="00A13456" w14:paraId="421123FF" w14:textId="77777777" w:rsidTr="000F1B7E">
        <w:trPr>
          <w:cnfStyle w:val="000000010000" w:firstRow="0" w:lastRow="0" w:firstColumn="0" w:lastColumn="0" w:oddVBand="0" w:evenVBand="0" w:oddHBand="0" w:evenHBand="1" w:firstRowFirstColumn="0" w:firstRowLastColumn="0" w:lastRowFirstColumn="0" w:lastRowLastColumn="0"/>
        </w:trPr>
        <w:tc>
          <w:tcPr>
            <w:tcW w:w="4509" w:type="dxa"/>
            <w:vMerge/>
            <w:vAlign w:val="center"/>
          </w:tcPr>
          <w:p w14:paraId="79709844" w14:textId="77777777" w:rsidR="00061285" w:rsidRDefault="00061285">
            <w:pPr>
              <w:pStyle w:val="TableBodyText"/>
              <w:rPr>
                <w:lang w:eastAsia="en-AU"/>
              </w:rPr>
            </w:pPr>
          </w:p>
        </w:tc>
        <w:tc>
          <w:tcPr>
            <w:tcW w:w="4518" w:type="dxa"/>
          </w:tcPr>
          <w:p w14:paraId="6F8E52F3" w14:textId="77777777" w:rsidR="00061285" w:rsidRDefault="00061285">
            <w:pPr>
              <w:pStyle w:val="TableBodyText"/>
              <w:rPr>
                <w:lang w:eastAsia="en-AU"/>
              </w:rPr>
            </w:pPr>
            <w:r w:rsidRPr="00191F1A">
              <w:t>Hunter Employment Facilitator</w:t>
            </w:r>
          </w:p>
        </w:tc>
      </w:tr>
      <w:tr w:rsidR="00061285" w14:paraId="2F95D749" w14:textId="77777777" w:rsidTr="000F1B7E">
        <w:tc>
          <w:tcPr>
            <w:tcW w:w="4509" w:type="dxa"/>
            <w:vMerge/>
            <w:vAlign w:val="center"/>
          </w:tcPr>
          <w:p w14:paraId="269EC0E2" w14:textId="77777777" w:rsidR="00061285" w:rsidRDefault="00061285">
            <w:pPr>
              <w:pStyle w:val="TableBodyText"/>
              <w:rPr>
                <w:lang w:eastAsia="en-AU"/>
              </w:rPr>
            </w:pPr>
          </w:p>
        </w:tc>
        <w:tc>
          <w:tcPr>
            <w:tcW w:w="4518" w:type="dxa"/>
          </w:tcPr>
          <w:p w14:paraId="335A7060" w14:textId="77777777" w:rsidR="00061285" w:rsidRDefault="00061285">
            <w:pPr>
              <w:pStyle w:val="TableBodyText"/>
              <w:rPr>
                <w:lang w:eastAsia="en-AU"/>
              </w:rPr>
            </w:pPr>
            <w:r w:rsidRPr="00191F1A">
              <w:t>3ME Technology</w:t>
            </w:r>
          </w:p>
        </w:tc>
      </w:tr>
      <w:tr w:rsidR="00A13456" w14:paraId="649D392E" w14:textId="77777777" w:rsidTr="000F1B7E">
        <w:trPr>
          <w:cnfStyle w:val="000000010000" w:firstRow="0" w:lastRow="0" w:firstColumn="0" w:lastColumn="0" w:oddVBand="0" w:evenVBand="0" w:oddHBand="0" w:evenHBand="1" w:firstRowFirstColumn="0" w:firstRowLastColumn="0" w:lastRowFirstColumn="0" w:lastRowLastColumn="0"/>
        </w:trPr>
        <w:tc>
          <w:tcPr>
            <w:tcW w:w="4509" w:type="dxa"/>
            <w:vMerge/>
            <w:vAlign w:val="center"/>
          </w:tcPr>
          <w:p w14:paraId="2270DF24" w14:textId="77777777" w:rsidR="00061285" w:rsidRDefault="00061285">
            <w:pPr>
              <w:pStyle w:val="TableBodyText"/>
              <w:rPr>
                <w:lang w:eastAsia="en-AU"/>
              </w:rPr>
            </w:pPr>
          </w:p>
        </w:tc>
        <w:tc>
          <w:tcPr>
            <w:tcW w:w="4518" w:type="dxa"/>
          </w:tcPr>
          <w:p w14:paraId="5F2D36D4" w14:textId="77777777" w:rsidR="00061285" w:rsidRDefault="00061285">
            <w:pPr>
              <w:pStyle w:val="TableBodyText"/>
              <w:rPr>
                <w:lang w:eastAsia="en-AU"/>
              </w:rPr>
            </w:pPr>
            <w:r w:rsidRPr="00191F1A">
              <w:t>Hunter Trades College</w:t>
            </w:r>
          </w:p>
        </w:tc>
      </w:tr>
      <w:tr w:rsidR="00061285" w14:paraId="6FB029F0" w14:textId="77777777" w:rsidTr="000F1B7E">
        <w:tc>
          <w:tcPr>
            <w:tcW w:w="4509" w:type="dxa"/>
            <w:vMerge/>
            <w:vAlign w:val="center"/>
          </w:tcPr>
          <w:p w14:paraId="7EA79590" w14:textId="77777777" w:rsidR="00061285" w:rsidRDefault="00061285">
            <w:pPr>
              <w:pStyle w:val="TableBodyText"/>
              <w:rPr>
                <w:lang w:eastAsia="en-AU"/>
              </w:rPr>
            </w:pPr>
          </w:p>
        </w:tc>
        <w:tc>
          <w:tcPr>
            <w:tcW w:w="4518" w:type="dxa"/>
          </w:tcPr>
          <w:p w14:paraId="7E21BF2D" w14:textId="77777777" w:rsidR="00061285" w:rsidRDefault="00061285">
            <w:pPr>
              <w:pStyle w:val="TableBodyText"/>
              <w:rPr>
                <w:lang w:eastAsia="en-AU"/>
              </w:rPr>
            </w:pPr>
            <w:r w:rsidRPr="00191F1A">
              <w:t>Joblink - Maitland</w:t>
            </w:r>
          </w:p>
        </w:tc>
      </w:tr>
      <w:tr w:rsidR="00A13456" w14:paraId="41B76BD3" w14:textId="77777777" w:rsidTr="000F1B7E">
        <w:trPr>
          <w:cnfStyle w:val="000000010000" w:firstRow="0" w:lastRow="0" w:firstColumn="0" w:lastColumn="0" w:oddVBand="0" w:evenVBand="0" w:oddHBand="0" w:evenHBand="1" w:firstRowFirstColumn="0" w:firstRowLastColumn="0" w:lastRowFirstColumn="0" w:lastRowLastColumn="0"/>
        </w:trPr>
        <w:tc>
          <w:tcPr>
            <w:tcW w:w="4509" w:type="dxa"/>
            <w:vMerge/>
            <w:vAlign w:val="center"/>
          </w:tcPr>
          <w:p w14:paraId="5445E17C" w14:textId="77777777" w:rsidR="00061285" w:rsidRDefault="00061285">
            <w:pPr>
              <w:pStyle w:val="TableBodyText"/>
              <w:rPr>
                <w:lang w:eastAsia="en-AU"/>
              </w:rPr>
            </w:pPr>
          </w:p>
        </w:tc>
        <w:tc>
          <w:tcPr>
            <w:tcW w:w="4518" w:type="dxa"/>
          </w:tcPr>
          <w:p w14:paraId="17E83149" w14:textId="77777777" w:rsidR="00061285" w:rsidRDefault="00061285">
            <w:pPr>
              <w:pStyle w:val="TableBodyText"/>
              <w:rPr>
                <w:lang w:eastAsia="en-AU"/>
              </w:rPr>
            </w:pPr>
            <w:r w:rsidRPr="00191F1A">
              <w:t>Newcastle University</w:t>
            </w:r>
          </w:p>
        </w:tc>
      </w:tr>
      <w:tr w:rsidR="00061285" w14:paraId="21A50A98" w14:textId="77777777" w:rsidTr="000F1B7E">
        <w:tc>
          <w:tcPr>
            <w:tcW w:w="4509" w:type="dxa"/>
            <w:vMerge/>
            <w:vAlign w:val="center"/>
          </w:tcPr>
          <w:p w14:paraId="34B0613C" w14:textId="77777777" w:rsidR="00061285" w:rsidRDefault="00061285">
            <w:pPr>
              <w:pStyle w:val="TableBodyText"/>
              <w:rPr>
                <w:lang w:eastAsia="en-AU"/>
              </w:rPr>
            </w:pPr>
          </w:p>
        </w:tc>
        <w:tc>
          <w:tcPr>
            <w:tcW w:w="4518" w:type="dxa"/>
          </w:tcPr>
          <w:p w14:paraId="6D8EFDA1" w14:textId="77777777" w:rsidR="00061285" w:rsidRDefault="00061285">
            <w:pPr>
              <w:pStyle w:val="TableBodyText"/>
              <w:rPr>
                <w:lang w:eastAsia="en-AU"/>
              </w:rPr>
            </w:pPr>
            <w:r w:rsidRPr="00191F1A">
              <w:t>Hunter Jobs Alliance</w:t>
            </w:r>
          </w:p>
        </w:tc>
      </w:tr>
      <w:tr w:rsidR="00A13456" w14:paraId="4CB5E061" w14:textId="77777777" w:rsidTr="000F1B7E">
        <w:trPr>
          <w:cnfStyle w:val="000000010000" w:firstRow="0" w:lastRow="0" w:firstColumn="0" w:lastColumn="0" w:oddVBand="0" w:evenVBand="0" w:oddHBand="0" w:evenHBand="1" w:firstRowFirstColumn="0" w:firstRowLastColumn="0" w:lastRowFirstColumn="0" w:lastRowLastColumn="0"/>
        </w:trPr>
        <w:tc>
          <w:tcPr>
            <w:tcW w:w="4509" w:type="dxa"/>
            <w:vMerge w:val="restart"/>
            <w:vAlign w:val="center"/>
          </w:tcPr>
          <w:p w14:paraId="53941B7F" w14:textId="77777777" w:rsidR="00061285" w:rsidRDefault="00061285">
            <w:pPr>
              <w:pStyle w:val="TableBodyText"/>
              <w:rPr>
                <w:lang w:eastAsia="en-AU"/>
              </w:rPr>
            </w:pPr>
            <w:r w:rsidRPr="00605C30">
              <w:t>Victoria: Melbourne, Bendigo, Shepparton</w:t>
            </w:r>
          </w:p>
        </w:tc>
        <w:tc>
          <w:tcPr>
            <w:tcW w:w="4518" w:type="dxa"/>
          </w:tcPr>
          <w:p w14:paraId="73EFAC67" w14:textId="77777777" w:rsidR="00061285" w:rsidRDefault="00061285">
            <w:pPr>
              <w:pStyle w:val="TableBodyText"/>
              <w:rPr>
                <w:lang w:eastAsia="en-AU"/>
              </w:rPr>
            </w:pPr>
            <w:r w:rsidRPr="00191F1A">
              <w:t xml:space="preserve">Australian Manufacturing Workers Union </w:t>
            </w:r>
          </w:p>
        </w:tc>
      </w:tr>
      <w:tr w:rsidR="00061285" w14:paraId="1D6B792F" w14:textId="77777777" w:rsidTr="000F1B7E">
        <w:tc>
          <w:tcPr>
            <w:tcW w:w="4509" w:type="dxa"/>
            <w:vMerge/>
            <w:vAlign w:val="center"/>
          </w:tcPr>
          <w:p w14:paraId="786DD7E7" w14:textId="77777777" w:rsidR="00061285" w:rsidRDefault="00061285">
            <w:pPr>
              <w:pStyle w:val="TableBodyText"/>
              <w:rPr>
                <w:lang w:eastAsia="en-AU"/>
              </w:rPr>
            </w:pPr>
          </w:p>
        </w:tc>
        <w:tc>
          <w:tcPr>
            <w:tcW w:w="4518" w:type="dxa"/>
          </w:tcPr>
          <w:p w14:paraId="2900C3FD" w14:textId="77777777" w:rsidR="00061285" w:rsidRDefault="00061285">
            <w:pPr>
              <w:pStyle w:val="TableBodyText"/>
              <w:rPr>
                <w:lang w:eastAsia="en-AU"/>
              </w:rPr>
            </w:pPr>
            <w:r w:rsidRPr="00191F1A">
              <w:t xml:space="preserve">Axis Employment: Transition to Work – Bendigo </w:t>
            </w:r>
          </w:p>
        </w:tc>
      </w:tr>
      <w:tr w:rsidR="00A13456" w14:paraId="40E0E683" w14:textId="77777777" w:rsidTr="000F1B7E">
        <w:trPr>
          <w:cnfStyle w:val="000000010000" w:firstRow="0" w:lastRow="0" w:firstColumn="0" w:lastColumn="0" w:oddVBand="0" w:evenVBand="0" w:oddHBand="0" w:evenHBand="1" w:firstRowFirstColumn="0" w:firstRowLastColumn="0" w:lastRowFirstColumn="0" w:lastRowLastColumn="0"/>
        </w:trPr>
        <w:tc>
          <w:tcPr>
            <w:tcW w:w="4509" w:type="dxa"/>
            <w:vMerge/>
            <w:vAlign w:val="center"/>
          </w:tcPr>
          <w:p w14:paraId="3F14C35C" w14:textId="77777777" w:rsidR="00061285" w:rsidRDefault="00061285">
            <w:pPr>
              <w:pStyle w:val="TableBodyText"/>
              <w:rPr>
                <w:lang w:eastAsia="en-AU"/>
              </w:rPr>
            </w:pPr>
          </w:p>
        </w:tc>
        <w:tc>
          <w:tcPr>
            <w:tcW w:w="4518" w:type="dxa"/>
          </w:tcPr>
          <w:p w14:paraId="1A977E9C" w14:textId="77777777" w:rsidR="00061285" w:rsidRDefault="00061285">
            <w:pPr>
              <w:pStyle w:val="TableBodyText"/>
              <w:rPr>
                <w:lang w:eastAsia="en-AU"/>
              </w:rPr>
            </w:pPr>
            <w:r w:rsidRPr="00191F1A">
              <w:t xml:space="preserve">Employment Facilitator – Bendigo </w:t>
            </w:r>
          </w:p>
        </w:tc>
      </w:tr>
      <w:tr w:rsidR="00061285" w14:paraId="7A80DFCC" w14:textId="77777777" w:rsidTr="000F1B7E">
        <w:tc>
          <w:tcPr>
            <w:tcW w:w="4509" w:type="dxa"/>
            <w:vMerge/>
            <w:vAlign w:val="center"/>
          </w:tcPr>
          <w:p w14:paraId="0EF80024" w14:textId="77777777" w:rsidR="00061285" w:rsidRDefault="00061285">
            <w:pPr>
              <w:pStyle w:val="TableBodyText"/>
              <w:rPr>
                <w:lang w:eastAsia="en-AU"/>
              </w:rPr>
            </w:pPr>
          </w:p>
        </w:tc>
        <w:tc>
          <w:tcPr>
            <w:tcW w:w="4518" w:type="dxa"/>
          </w:tcPr>
          <w:p w14:paraId="5B2A22AB" w14:textId="77777777" w:rsidR="00061285" w:rsidRDefault="00061285">
            <w:pPr>
              <w:pStyle w:val="TableBodyText"/>
              <w:rPr>
                <w:lang w:eastAsia="en-AU"/>
              </w:rPr>
            </w:pPr>
            <w:r w:rsidRPr="00191F1A">
              <w:t>Peppergreen Farm</w:t>
            </w:r>
          </w:p>
        </w:tc>
      </w:tr>
      <w:tr w:rsidR="00A13456" w14:paraId="25250F72" w14:textId="77777777" w:rsidTr="000F1B7E">
        <w:trPr>
          <w:cnfStyle w:val="000000010000" w:firstRow="0" w:lastRow="0" w:firstColumn="0" w:lastColumn="0" w:oddVBand="0" w:evenVBand="0" w:oddHBand="0" w:evenHBand="1" w:firstRowFirstColumn="0" w:firstRowLastColumn="0" w:lastRowFirstColumn="0" w:lastRowLastColumn="0"/>
        </w:trPr>
        <w:tc>
          <w:tcPr>
            <w:tcW w:w="4509" w:type="dxa"/>
            <w:vMerge/>
            <w:vAlign w:val="center"/>
          </w:tcPr>
          <w:p w14:paraId="3D16819B" w14:textId="77777777" w:rsidR="00061285" w:rsidRDefault="00061285">
            <w:pPr>
              <w:pStyle w:val="TableBodyText"/>
              <w:rPr>
                <w:lang w:eastAsia="en-AU"/>
              </w:rPr>
            </w:pPr>
          </w:p>
        </w:tc>
        <w:tc>
          <w:tcPr>
            <w:tcW w:w="4518" w:type="dxa"/>
          </w:tcPr>
          <w:p w14:paraId="2376F1C0" w14:textId="77777777" w:rsidR="00061285" w:rsidRDefault="00061285">
            <w:pPr>
              <w:pStyle w:val="TableBodyText"/>
              <w:rPr>
                <w:lang w:eastAsia="en-AU"/>
              </w:rPr>
            </w:pPr>
            <w:r w:rsidRPr="00191F1A">
              <w:t>Gouge Linen &amp; Garment Services</w:t>
            </w:r>
          </w:p>
        </w:tc>
      </w:tr>
      <w:tr w:rsidR="00061285" w14:paraId="6C3C33AC" w14:textId="77777777" w:rsidTr="000F1B7E">
        <w:tc>
          <w:tcPr>
            <w:tcW w:w="4509" w:type="dxa"/>
            <w:vMerge/>
            <w:vAlign w:val="center"/>
          </w:tcPr>
          <w:p w14:paraId="19CE40D6" w14:textId="77777777" w:rsidR="00061285" w:rsidRDefault="00061285">
            <w:pPr>
              <w:pStyle w:val="TableBodyText"/>
              <w:rPr>
                <w:lang w:eastAsia="en-AU"/>
              </w:rPr>
            </w:pPr>
          </w:p>
        </w:tc>
        <w:tc>
          <w:tcPr>
            <w:tcW w:w="4518" w:type="dxa"/>
          </w:tcPr>
          <w:p w14:paraId="189A22F8" w14:textId="77777777" w:rsidR="00061285" w:rsidRDefault="00061285">
            <w:pPr>
              <w:pStyle w:val="TableBodyText"/>
              <w:rPr>
                <w:lang w:eastAsia="en-AU"/>
              </w:rPr>
            </w:pPr>
            <w:r w:rsidRPr="00191F1A">
              <w:t>Goulburn Valley Designated Area Migration Area</w:t>
            </w:r>
          </w:p>
        </w:tc>
      </w:tr>
      <w:tr w:rsidR="00A13456" w14:paraId="26FA7F7D" w14:textId="77777777" w:rsidTr="000F1B7E">
        <w:trPr>
          <w:cnfStyle w:val="000000010000" w:firstRow="0" w:lastRow="0" w:firstColumn="0" w:lastColumn="0" w:oddVBand="0" w:evenVBand="0" w:oddHBand="0" w:evenHBand="1" w:firstRowFirstColumn="0" w:firstRowLastColumn="0" w:lastRowFirstColumn="0" w:lastRowLastColumn="0"/>
        </w:trPr>
        <w:tc>
          <w:tcPr>
            <w:tcW w:w="4509" w:type="dxa"/>
            <w:vMerge w:val="restart"/>
            <w:shd w:val="clear" w:color="auto" w:fill="FFFFFF" w:themeFill="background1"/>
            <w:vAlign w:val="center"/>
          </w:tcPr>
          <w:p w14:paraId="5C97346F" w14:textId="77777777" w:rsidR="00061285" w:rsidRDefault="00061285">
            <w:pPr>
              <w:pStyle w:val="TableBodyText"/>
              <w:rPr>
                <w:lang w:eastAsia="en-AU"/>
              </w:rPr>
            </w:pPr>
            <w:r w:rsidRPr="00C640AC">
              <w:t>Queensland: Mount Isa</w:t>
            </w:r>
          </w:p>
          <w:p w14:paraId="2FC37658" w14:textId="77777777" w:rsidR="00061285" w:rsidRDefault="00061285">
            <w:pPr>
              <w:pStyle w:val="TableBodyText"/>
              <w:rPr>
                <w:lang w:eastAsia="en-AU"/>
              </w:rPr>
            </w:pPr>
          </w:p>
        </w:tc>
        <w:tc>
          <w:tcPr>
            <w:tcW w:w="4518" w:type="dxa"/>
          </w:tcPr>
          <w:p w14:paraId="789FD6A5" w14:textId="77777777" w:rsidR="00061285" w:rsidRDefault="00061285">
            <w:pPr>
              <w:pStyle w:val="TableBodyText"/>
              <w:rPr>
                <w:lang w:eastAsia="en-AU"/>
              </w:rPr>
            </w:pPr>
            <w:r w:rsidRPr="00191F1A">
              <w:t>National Indigenous Australians Agency – Mount Isa</w:t>
            </w:r>
          </w:p>
        </w:tc>
      </w:tr>
      <w:tr w:rsidR="00061285" w14:paraId="3AEA9A16" w14:textId="77777777" w:rsidTr="000F1B7E">
        <w:tc>
          <w:tcPr>
            <w:tcW w:w="4509" w:type="dxa"/>
            <w:vMerge/>
            <w:shd w:val="clear" w:color="auto" w:fill="FFFFFF" w:themeFill="background1"/>
            <w:vAlign w:val="center"/>
          </w:tcPr>
          <w:p w14:paraId="72F9A883" w14:textId="77777777" w:rsidR="00061285" w:rsidRDefault="00061285">
            <w:pPr>
              <w:pStyle w:val="TableBodyText"/>
              <w:rPr>
                <w:lang w:eastAsia="en-AU"/>
              </w:rPr>
            </w:pPr>
          </w:p>
        </w:tc>
        <w:tc>
          <w:tcPr>
            <w:tcW w:w="4518" w:type="dxa"/>
          </w:tcPr>
          <w:p w14:paraId="6EC29C14" w14:textId="77777777" w:rsidR="00061285" w:rsidRDefault="00061285">
            <w:pPr>
              <w:pStyle w:val="TableBodyText"/>
              <w:rPr>
                <w:lang w:eastAsia="en-AU"/>
              </w:rPr>
            </w:pPr>
            <w:r w:rsidRPr="00191F1A">
              <w:t>Commerce North West</w:t>
            </w:r>
          </w:p>
        </w:tc>
      </w:tr>
      <w:tr w:rsidR="00A13456" w14:paraId="37BE0FCB" w14:textId="77777777" w:rsidTr="000F1B7E">
        <w:trPr>
          <w:cnfStyle w:val="000000010000" w:firstRow="0" w:lastRow="0" w:firstColumn="0" w:lastColumn="0" w:oddVBand="0" w:evenVBand="0" w:oddHBand="0" w:evenHBand="1" w:firstRowFirstColumn="0" w:firstRowLastColumn="0" w:lastRowFirstColumn="0" w:lastRowLastColumn="0"/>
        </w:trPr>
        <w:tc>
          <w:tcPr>
            <w:tcW w:w="4509" w:type="dxa"/>
            <w:vMerge/>
            <w:shd w:val="clear" w:color="auto" w:fill="FFFFFF" w:themeFill="background1"/>
            <w:vAlign w:val="center"/>
          </w:tcPr>
          <w:p w14:paraId="55260A58" w14:textId="77777777" w:rsidR="00061285" w:rsidRDefault="00061285">
            <w:pPr>
              <w:pStyle w:val="TableBodyText"/>
              <w:rPr>
                <w:lang w:eastAsia="en-AU"/>
              </w:rPr>
            </w:pPr>
          </w:p>
        </w:tc>
        <w:tc>
          <w:tcPr>
            <w:tcW w:w="4518" w:type="dxa"/>
          </w:tcPr>
          <w:p w14:paraId="2F67AF55" w14:textId="77777777" w:rsidR="00061285" w:rsidRDefault="00061285">
            <w:pPr>
              <w:pStyle w:val="TableBodyText"/>
              <w:rPr>
                <w:lang w:eastAsia="en-AU"/>
              </w:rPr>
            </w:pPr>
            <w:r w:rsidRPr="00191F1A">
              <w:t>Q.I.T.E employment services</w:t>
            </w:r>
          </w:p>
        </w:tc>
      </w:tr>
      <w:tr w:rsidR="00061285" w14:paraId="0AFF660A" w14:textId="77777777" w:rsidTr="000F1B7E">
        <w:tc>
          <w:tcPr>
            <w:tcW w:w="4509" w:type="dxa"/>
            <w:vMerge/>
            <w:shd w:val="clear" w:color="auto" w:fill="FFFFFF" w:themeFill="background1"/>
            <w:vAlign w:val="center"/>
          </w:tcPr>
          <w:p w14:paraId="1170B644" w14:textId="77777777" w:rsidR="00061285" w:rsidRDefault="00061285">
            <w:pPr>
              <w:pStyle w:val="TableBodyText"/>
              <w:rPr>
                <w:lang w:eastAsia="en-AU"/>
              </w:rPr>
            </w:pPr>
          </w:p>
        </w:tc>
        <w:tc>
          <w:tcPr>
            <w:tcW w:w="4518" w:type="dxa"/>
          </w:tcPr>
          <w:p w14:paraId="2C0D082D" w14:textId="77777777" w:rsidR="00061285" w:rsidRDefault="00061285">
            <w:pPr>
              <w:pStyle w:val="TableBodyText"/>
              <w:rPr>
                <w:lang w:eastAsia="en-AU"/>
              </w:rPr>
            </w:pPr>
            <w:r w:rsidRPr="00191F1A">
              <w:t>Regional Jobs Committee</w:t>
            </w:r>
          </w:p>
        </w:tc>
      </w:tr>
      <w:tr w:rsidR="00A13456" w14:paraId="11D6E5C7" w14:textId="77777777" w:rsidTr="000F1B7E">
        <w:trPr>
          <w:cnfStyle w:val="000000010000" w:firstRow="0" w:lastRow="0" w:firstColumn="0" w:lastColumn="0" w:oddVBand="0" w:evenVBand="0" w:oddHBand="0" w:evenHBand="1" w:firstRowFirstColumn="0" w:firstRowLastColumn="0" w:lastRowFirstColumn="0" w:lastRowLastColumn="0"/>
        </w:trPr>
        <w:tc>
          <w:tcPr>
            <w:tcW w:w="4509" w:type="dxa"/>
            <w:vMerge/>
            <w:shd w:val="clear" w:color="auto" w:fill="FFFFFF" w:themeFill="background1"/>
            <w:vAlign w:val="center"/>
          </w:tcPr>
          <w:p w14:paraId="02FA5040" w14:textId="77777777" w:rsidR="00061285" w:rsidRDefault="00061285">
            <w:pPr>
              <w:pStyle w:val="TableBodyText"/>
              <w:rPr>
                <w:lang w:eastAsia="en-AU"/>
              </w:rPr>
            </w:pPr>
          </w:p>
        </w:tc>
        <w:tc>
          <w:tcPr>
            <w:tcW w:w="4518" w:type="dxa"/>
          </w:tcPr>
          <w:p w14:paraId="57E546B8" w14:textId="77777777" w:rsidR="00061285" w:rsidRDefault="00061285">
            <w:pPr>
              <w:pStyle w:val="TableBodyText"/>
              <w:rPr>
                <w:lang w:eastAsia="en-AU"/>
              </w:rPr>
            </w:pPr>
            <w:r w:rsidRPr="00191F1A">
              <w:t>Country Universities Centre</w:t>
            </w:r>
          </w:p>
        </w:tc>
      </w:tr>
      <w:tr w:rsidR="00061285" w14:paraId="23049377" w14:textId="77777777" w:rsidTr="000F1B7E">
        <w:tc>
          <w:tcPr>
            <w:tcW w:w="4509" w:type="dxa"/>
            <w:vMerge/>
            <w:shd w:val="clear" w:color="auto" w:fill="FFFFFF" w:themeFill="background1"/>
            <w:vAlign w:val="center"/>
          </w:tcPr>
          <w:p w14:paraId="7C39C11B" w14:textId="77777777" w:rsidR="00061285" w:rsidRDefault="00061285">
            <w:pPr>
              <w:pStyle w:val="TableBodyText"/>
              <w:rPr>
                <w:lang w:eastAsia="en-AU"/>
              </w:rPr>
            </w:pPr>
          </w:p>
        </w:tc>
        <w:tc>
          <w:tcPr>
            <w:tcW w:w="4518" w:type="dxa"/>
          </w:tcPr>
          <w:p w14:paraId="4EB22364" w14:textId="77777777" w:rsidR="00061285" w:rsidRDefault="00061285">
            <w:pPr>
              <w:pStyle w:val="TableBodyText"/>
              <w:rPr>
                <w:lang w:eastAsia="en-AU"/>
              </w:rPr>
            </w:pPr>
            <w:r w:rsidRPr="00191F1A">
              <w:t>TAFE Qld - Mount Isa</w:t>
            </w:r>
          </w:p>
        </w:tc>
      </w:tr>
      <w:tr w:rsidR="00A13456" w14:paraId="0708E67A" w14:textId="77777777" w:rsidTr="000F1B7E">
        <w:trPr>
          <w:cnfStyle w:val="000000010000" w:firstRow="0" w:lastRow="0" w:firstColumn="0" w:lastColumn="0" w:oddVBand="0" w:evenVBand="0" w:oddHBand="0" w:evenHBand="1" w:firstRowFirstColumn="0" w:firstRowLastColumn="0" w:lastRowFirstColumn="0" w:lastRowLastColumn="0"/>
        </w:trPr>
        <w:tc>
          <w:tcPr>
            <w:tcW w:w="4509" w:type="dxa"/>
            <w:vMerge w:val="restart"/>
            <w:vAlign w:val="center"/>
          </w:tcPr>
          <w:p w14:paraId="0199F16F" w14:textId="77777777" w:rsidR="00061285" w:rsidRDefault="00061285">
            <w:pPr>
              <w:pStyle w:val="TableBodyText"/>
              <w:rPr>
                <w:lang w:eastAsia="en-AU"/>
              </w:rPr>
            </w:pPr>
            <w:r w:rsidRPr="00DF7B3B">
              <w:t>South Australia: Whyalla, Port Agusta, Port Pirie</w:t>
            </w:r>
          </w:p>
        </w:tc>
        <w:tc>
          <w:tcPr>
            <w:tcW w:w="4518" w:type="dxa"/>
          </w:tcPr>
          <w:p w14:paraId="09CFE174" w14:textId="77777777" w:rsidR="00061285" w:rsidRDefault="00061285">
            <w:pPr>
              <w:pStyle w:val="TableBodyText"/>
              <w:rPr>
                <w:lang w:eastAsia="en-AU"/>
              </w:rPr>
            </w:pPr>
            <w:r w:rsidRPr="00191F1A">
              <w:t>Jobs and Skills Network Meeting Whyalla</w:t>
            </w:r>
          </w:p>
        </w:tc>
      </w:tr>
      <w:tr w:rsidR="00061285" w14:paraId="67564CAC" w14:textId="77777777">
        <w:tc>
          <w:tcPr>
            <w:tcW w:w="4509" w:type="dxa"/>
            <w:vMerge/>
          </w:tcPr>
          <w:p w14:paraId="7B7E924C" w14:textId="77777777" w:rsidR="00061285" w:rsidRDefault="00061285">
            <w:pPr>
              <w:pStyle w:val="TableBodyText"/>
              <w:rPr>
                <w:lang w:eastAsia="en-AU"/>
              </w:rPr>
            </w:pPr>
          </w:p>
        </w:tc>
        <w:tc>
          <w:tcPr>
            <w:tcW w:w="4518" w:type="dxa"/>
          </w:tcPr>
          <w:p w14:paraId="41BF6A1A" w14:textId="77777777" w:rsidR="00061285" w:rsidRDefault="00061285">
            <w:pPr>
              <w:pStyle w:val="TableBodyText"/>
              <w:rPr>
                <w:lang w:eastAsia="en-AU"/>
              </w:rPr>
            </w:pPr>
            <w:r w:rsidRPr="00191F1A">
              <w:t>Jobs and Skills Network Meeting Port Augusta</w:t>
            </w:r>
          </w:p>
        </w:tc>
      </w:tr>
      <w:tr w:rsidR="00152014" w14:paraId="6E5828EB" w14:textId="77777777">
        <w:trPr>
          <w:cnfStyle w:val="000000010000" w:firstRow="0" w:lastRow="0" w:firstColumn="0" w:lastColumn="0" w:oddVBand="0" w:evenVBand="0" w:oddHBand="0" w:evenHBand="1" w:firstRowFirstColumn="0" w:firstRowLastColumn="0" w:lastRowFirstColumn="0" w:lastRowLastColumn="0"/>
        </w:trPr>
        <w:tc>
          <w:tcPr>
            <w:tcW w:w="4509" w:type="dxa"/>
            <w:vMerge/>
          </w:tcPr>
          <w:p w14:paraId="74C84B88" w14:textId="77777777" w:rsidR="00061285" w:rsidRDefault="00061285">
            <w:pPr>
              <w:pStyle w:val="TableBodyText"/>
              <w:rPr>
                <w:lang w:eastAsia="en-AU"/>
              </w:rPr>
            </w:pPr>
          </w:p>
        </w:tc>
        <w:tc>
          <w:tcPr>
            <w:tcW w:w="4518" w:type="dxa"/>
          </w:tcPr>
          <w:p w14:paraId="43069392" w14:textId="77777777" w:rsidR="00061285" w:rsidRDefault="00061285">
            <w:pPr>
              <w:pStyle w:val="TableBodyText"/>
              <w:rPr>
                <w:lang w:eastAsia="en-AU"/>
              </w:rPr>
            </w:pPr>
            <w:r w:rsidRPr="00191F1A">
              <w:t>Uni Hub Spencer Gulf (Port Augusta)</w:t>
            </w:r>
          </w:p>
        </w:tc>
      </w:tr>
      <w:tr w:rsidR="00061285" w14:paraId="06D6200F" w14:textId="77777777">
        <w:tc>
          <w:tcPr>
            <w:tcW w:w="4509" w:type="dxa"/>
            <w:vMerge/>
          </w:tcPr>
          <w:p w14:paraId="4726BA41" w14:textId="77777777" w:rsidR="00061285" w:rsidRDefault="00061285">
            <w:pPr>
              <w:pStyle w:val="TableBodyText"/>
              <w:rPr>
                <w:lang w:eastAsia="en-AU"/>
              </w:rPr>
            </w:pPr>
          </w:p>
        </w:tc>
        <w:tc>
          <w:tcPr>
            <w:tcW w:w="4518" w:type="dxa"/>
          </w:tcPr>
          <w:p w14:paraId="33C42542" w14:textId="77777777" w:rsidR="00061285" w:rsidRDefault="00061285">
            <w:pPr>
              <w:pStyle w:val="TableBodyText"/>
              <w:rPr>
                <w:lang w:eastAsia="en-AU"/>
              </w:rPr>
            </w:pPr>
            <w:r w:rsidRPr="00191F1A">
              <w:t>APM (Port Augusta)</w:t>
            </w:r>
          </w:p>
        </w:tc>
      </w:tr>
      <w:tr w:rsidR="00152014" w14:paraId="2578B5BD" w14:textId="77777777">
        <w:trPr>
          <w:cnfStyle w:val="000000010000" w:firstRow="0" w:lastRow="0" w:firstColumn="0" w:lastColumn="0" w:oddVBand="0" w:evenVBand="0" w:oddHBand="0" w:evenHBand="1" w:firstRowFirstColumn="0" w:firstRowLastColumn="0" w:lastRowFirstColumn="0" w:lastRowLastColumn="0"/>
        </w:trPr>
        <w:tc>
          <w:tcPr>
            <w:tcW w:w="4509" w:type="dxa"/>
            <w:vMerge/>
          </w:tcPr>
          <w:p w14:paraId="5F989313" w14:textId="77777777" w:rsidR="00061285" w:rsidRDefault="00061285">
            <w:pPr>
              <w:pStyle w:val="TableBodyText"/>
              <w:rPr>
                <w:lang w:eastAsia="en-AU"/>
              </w:rPr>
            </w:pPr>
          </w:p>
        </w:tc>
        <w:tc>
          <w:tcPr>
            <w:tcW w:w="4518" w:type="dxa"/>
          </w:tcPr>
          <w:p w14:paraId="7B4F1F82" w14:textId="77777777" w:rsidR="00061285" w:rsidRDefault="00061285">
            <w:pPr>
              <w:pStyle w:val="TableBodyText"/>
              <w:rPr>
                <w:lang w:eastAsia="en-AU"/>
              </w:rPr>
            </w:pPr>
            <w:r w:rsidRPr="00191F1A">
              <w:t>Regional Development Australia (Port Pirie)</w:t>
            </w:r>
          </w:p>
        </w:tc>
      </w:tr>
      <w:tr w:rsidR="00061285" w14:paraId="72AAF61E" w14:textId="77777777">
        <w:tc>
          <w:tcPr>
            <w:tcW w:w="4509" w:type="dxa"/>
            <w:vMerge/>
          </w:tcPr>
          <w:p w14:paraId="22E0E2B6" w14:textId="77777777" w:rsidR="00061285" w:rsidRDefault="00061285">
            <w:pPr>
              <w:pStyle w:val="TableBodyText"/>
              <w:rPr>
                <w:lang w:eastAsia="en-AU"/>
              </w:rPr>
            </w:pPr>
          </w:p>
        </w:tc>
        <w:tc>
          <w:tcPr>
            <w:tcW w:w="4518" w:type="dxa"/>
          </w:tcPr>
          <w:p w14:paraId="28662BCC" w14:textId="77777777" w:rsidR="00061285" w:rsidRDefault="00061285">
            <w:pPr>
              <w:pStyle w:val="TableBodyText"/>
              <w:rPr>
                <w:lang w:eastAsia="en-AU"/>
              </w:rPr>
            </w:pPr>
            <w:r w:rsidRPr="00191F1A">
              <w:t>Whyalla City Council</w:t>
            </w:r>
          </w:p>
        </w:tc>
      </w:tr>
      <w:tr w:rsidR="00152014" w14:paraId="097C31FB" w14:textId="77777777">
        <w:trPr>
          <w:cnfStyle w:val="000000010000" w:firstRow="0" w:lastRow="0" w:firstColumn="0" w:lastColumn="0" w:oddVBand="0" w:evenVBand="0" w:oddHBand="0" w:evenHBand="1" w:firstRowFirstColumn="0" w:firstRowLastColumn="0" w:lastRowFirstColumn="0" w:lastRowLastColumn="0"/>
        </w:trPr>
        <w:tc>
          <w:tcPr>
            <w:tcW w:w="4509" w:type="dxa"/>
            <w:vMerge/>
          </w:tcPr>
          <w:p w14:paraId="23B0C1E7" w14:textId="77777777" w:rsidR="00061285" w:rsidRDefault="00061285">
            <w:pPr>
              <w:pStyle w:val="TableBodyText"/>
              <w:rPr>
                <w:lang w:eastAsia="en-AU"/>
              </w:rPr>
            </w:pPr>
          </w:p>
        </w:tc>
        <w:tc>
          <w:tcPr>
            <w:tcW w:w="4518" w:type="dxa"/>
          </w:tcPr>
          <w:p w14:paraId="4F0B8F10" w14:textId="77777777" w:rsidR="00061285" w:rsidRDefault="00061285">
            <w:pPr>
              <w:pStyle w:val="TableBodyText"/>
              <w:rPr>
                <w:lang w:eastAsia="en-AU"/>
              </w:rPr>
            </w:pPr>
            <w:r w:rsidRPr="00191F1A">
              <w:t>Workskil Australia (Port Pirie Youth)</w:t>
            </w:r>
          </w:p>
        </w:tc>
      </w:tr>
      <w:tr w:rsidR="00061285" w14:paraId="0322DF0A" w14:textId="77777777" w:rsidTr="000F1B7E">
        <w:tc>
          <w:tcPr>
            <w:tcW w:w="4509" w:type="dxa"/>
            <w:vMerge w:val="restart"/>
            <w:vAlign w:val="center"/>
          </w:tcPr>
          <w:p w14:paraId="7C962380" w14:textId="77777777" w:rsidR="00061285" w:rsidRDefault="00061285">
            <w:pPr>
              <w:pStyle w:val="TableBodyText"/>
              <w:rPr>
                <w:lang w:eastAsia="en-AU"/>
              </w:rPr>
            </w:pPr>
            <w:r w:rsidRPr="005961D2">
              <w:t>Western Australia: Broome</w:t>
            </w:r>
          </w:p>
        </w:tc>
        <w:tc>
          <w:tcPr>
            <w:tcW w:w="4518" w:type="dxa"/>
          </w:tcPr>
          <w:p w14:paraId="26DCE3FB" w14:textId="77777777" w:rsidR="00061285" w:rsidRDefault="00061285">
            <w:pPr>
              <w:pStyle w:val="TableBodyText"/>
              <w:rPr>
                <w:lang w:eastAsia="en-AU"/>
              </w:rPr>
            </w:pPr>
            <w:r w:rsidRPr="00191F1A">
              <w:t>Broome Study Hub</w:t>
            </w:r>
          </w:p>
        </w:tc>
      </w:tr>
      <w:tr w:rsidR="00A13456" w14:paraId="1324002C" w14:textId="77777777" w:rsidTr="000F1B7E">
        <w:trPr>
          <w:cnfStyle w:val="000000010000" w:firstRow="0" w:lastRow="0" w:firstColumn="0" w:lastColumn="0" w:oddVBand="0" w:evenVBand="0" w:oddHBand="0" w:evenHBand="1" w:firstRowFirstColumn="0" w:firstRowLastColumn="0" w:lastRowFirstColumn="0" w:lastRowLastColumn="0"/>
        </w:trPr>
        <w:tc>
          <w:tcPr>
            <w:tcW w:w="4509" w:type="dxa"/>
            <w:vMerge/>
            <w:vAlign w:val="center"/>
          </w:tcPr>
          <w:p w14:paraId="6BD347B7" w14:textId="77777777" w:rsidR="00061285" w:rsidRDefault="00061285">
            <w:pPr>
              <w:pStyle w:val="TableBodyText"/>
              <w:rPr>
                <w:lang w:eastAsia="en-AU"/>
              </w:rPr>
            </w:pPr>
          </w:p>
        </w:tc>
        <w:tc>
          <w:tcPr>
            <w:tcW w:w="4518" w:type="dxa"/>
          </w:tcPr>
          <w:p w14:paraId="23732375" w14:textId="77777777" w:rsidR="00061285" w:rsidRDefault="00061285">
            <w:pPr>
              <w:pStyle w:val="TableBodyText"/>
              <w:rPr>
                <w:lang w:eastAsia="en-AU"/>
              </w:rPr>
            </w:pPr>
            <w:r w:rsidRPr="00191F1A">
              <w:t>Headspace Broome</w:t>
            </w:r>
          </w:p>
        </w:tc>
      </w:tr>
      <w:tr w:rsidR="00061285" w14:paraId="190D3631" w14:textId="77777777" w:rsidTr="000F1B7E">
        <w:tc>
          <w:tcPr>
            <w:tcW w:w="4509" w:type="dxa"/>
            <w:vMerge/>
            <w:vAlign w:val="center"/>
          </w:tcPr>
          <w:p w14:paraId="67274218" w14:textId="77777777" w:rsidR="00061285" w:rsidRDefault="00061285">
            <w:pPr>
              <w:pStyle w:val="TableBodyText"/>
              <w:rPr>
                <w:lang w:eastAsia="en-AU"/>
              </w:rPr>
            </w:pPr>
          </w:p>
        </w:tc>
        <w:tc>
          <w:tcPr>
            <w:tcW w:w="4518" w:type="dxa"/>
          </w:tcPr>
          <w:p w14:paraId="681F6FB4" w14:textId="77777777" w:rsidR="00061285" w:rsidRDefault="00061285">
            <w:pPr>
              <w:pStyle w:val="TableBodyText"/>
              <w:rPr>
                <w:lang w:eastAsia="en-AU"/>
              </w:rPr>
            </w:pPr>
            <w:r w:rsidRPr="00191F1A">
              <w:t>West Australian Country Health Service</w:t>
            </w:r>
          </w:p>
        </w:tc>
      </w:tr>
      <w:tr w:rsidR="00A13456" w14:paraId="1E6CCDF2" w14:textId="77777777" w:rsidTr="000F1B7E">
        <w:trPr>
          <w:cnfStyle w:val="000000010000" w:firstRow="0" w:lastRow="0" w:firstColumn="0" w:lastColumn="0" w:oddVBand="0" w:evenVBand="0" w:oddHBand="0" w:evenHBand="1" w:firstRowFirstColumn="0" w:firstRowLastColumn="0" w:lastRowFirstColumn="0" w:lastRowLastColumn="0"/>
        </w:trPr>
        <w:tc>
          <w:tcPr>
            <w:tcW w:w="4509" w:type="dxa"/>
            <w:vMerge/>
            <w:vAlign w:val="center"/>
          </w:tcPr>
          <w:p w14:paraId="2AE4BB90" w14:textId="77777777" w:rsidR="00061285" w:rsidRDefault="00061285">
            <w:pPr>
              <w:pStyle w:val="TableBodyText"/>
              <w:rPr>
                <w:lang w:eastAsia="en-AU"/>
              </w:rPr>
            </w:pPr>
          </w:p>
        </w:tc>
        <w:tc>
          <w:tcPr>
            <w:tcW w:w="4518" w:type="dxa"/>
          </w:tcPr>
          <w:p w14:paraId="23FC3AE9" w14:textId="77777777" w:rsidR="00061285" w:rsidRDefault="00061285">
            <w:pPr>
              <w:pStyle w:val="TableBodyText"/>
              <w:rPr>
                <w:lang w:eastAsia="en-AU"/>
              </w:rPr>
            </w:pPr>
            <w:r w:rsidRPr="00191F1A">
              <w:t>TAFE WA - North region</w:t>
            </w:r>
          </w:p>
        </w:tc>
      </w:tr>
      <w:tr w:rsidR="00061285" w14:paraId="161694E9" w14:textId="77777777" w:rsidTr="000F1B7E">
        <w:tc>
          <w:tcPr>
            <w:tcW w:w="4509" w:type="dxa"/>
            <w:vMerge/>
            <w:vAlign w:val="center"/>
          </w:tcPr>
          <w:p w14:paraId="4F257376" w14:textId="77777777" w:rsidR="00061285" w:rsidRDefault="00061285">
            <w:pPr>
              <w:pStyle w:val="TableBodyText"/>
              <w:rPr>
                <w:lang w:eastAsia="en-AU"/>
              </w:rPr>
            </w:pPr>
          </w:p>
        </w:tc>
        <w:tc>
          <w:tcPr>
            <w:tcW w:w="4518" w:type="dxa"/>
          </w:tcPr>
          <w:p w14:paraId="6ACB58B2" w14:textId="77777777" w:rsidR="00061285" w:rsidRDefault="00061285">
            <w:pPr>
              <w:pStyle w:val="TableBodyText"/>
              <w:rPr>
                <w:lang w:eastAsia="en-AU"/>
              </w:rPr>
            </w:pPr>
            <w:r w:rsidRPr="00191F1A">
              <w:t>Employment Facilitator – Broome</w:t>
            </w:r>
          </w:p>
        </w:tc>
      </w:tr>
      <w:tr w:rsidR="00A13456" w14:paraId="5E73FCAD" w14:textId="77777777" w:rsidTr="000F1B7E">
        <w:trPr>
          <w:cnfStyle w:val="000000010000" w:firstRow="0" w:lastRow="0" w:firstColumn="0" w:lastColumn="0" w:oddVBand="0" w:evenVBand="0" w:oddHBand="0" w:evenHBand="1" w:firstRowFirstColumn="0" w:firstRowLastColumn="0" w:lastRowFirstColumn="0" w:lastRowLastColumn="0"/>
        </w:trPr>
        <w:tc>
          <w:tcPr>
            <w:tcW w:w="4509" w:type="dxa"/>
            <w:vMerge/>
            <w:vAlign w:val="center"/>
          </w:tcPr>
          <w:p w14:paraId="7B5B6603" w14:textId="77777777" w:rsidR="00061285" w:rsidRDefault="00061285">
            <w:pPr>
              <w:pStyle w:val="TableBodyText"/>
              <w:rPr>
                <w:lang w:eastAsia="en-AU"/>
              </w:rPr>
            </w:pPr>
          </w:p>
        </w:tc>
        <w:tc>
          <w:tcPr>
            <w:tcW w:w="4518" w:type="dxa"/>
          </w:tcPr>
          <w:p w14:paraId="7C658A35" w14:textId="77777777" w:rsidR="00061285" w:rsidRDefault="00061285">
            <w:pPr>
              <w:pStyle w:val="TableBodyText"/>
              <w:rPr>
                <w:lang w:eastAsia="en-AU"/>
              </w:rPr>
            </w:pPr>
            <w:r w:rsidRPr="00191F1A">
              <w:t>Kimberley Port Authority</w:t>
            </w:r>
          </w:p>
        </w:tc>
      </w:tr>
      <w:tr w:rsidR="00061285" w14:paraId="66BB3122" w14:textId="77777777" w:rsidTr="000F1B7E">
        <w:tc>
          <w:tcPr>
            <w:tcW w:w="4509" w:type="dxa"/>
            <w:vMerge/>
            <w:vAlign w:val="center"/>
          </w:tcPr>
          <w:p w14:paraId="22B16891" w14:textId="77777777" w:rsidR="00061285" w:rsidRDefault="00061285">
            <w:pPr>
              <w:pStyle w:val="TableBodyText"/>
              <w:rPr>
                <w:lang w:eastAsia="en-AU"/>
              </w:rPr>
            </w:pPr>
          </w:p>
        </w:tc>
        <w:tc>
          <w:tcPr>
            <w:tcW w:w="4518" w:type="dxa"/>
          </w:tcPr>
          <w:p w14:paraId="0B0555DA" w14:textId="77777777" w:rsidR="00061285" w:rsidRDefault="00061285">
            <w:pPr>
              <w:pStyle w:val="TableBodyText"/>
              <w:rPr>
                <w:lang w:eastAsia="en-AU"/>
              </w:rPr>
            </w:pPr>
            <w:r w:rsidRPr="00191F1A">
              <w:t>WA Jobs and Skills Centre</w:t>
            </w:r>
          </w:p>
        </w:tc>
      </w:tr>
      <w:tr w:rsidR="00A13456" w14:paraId="2C8312A0" w14:textId="77777777" w:rsidTr="000F1B7E">
        <w:trPr>
          <w:cnfStyle w:val="000000010000" w:firstRow="0" w:lastRow="0" w:firstColumn="0" w:lastColumn="0" w:oddVBand="0" w:evenVBand="0" w:oddHBand="0" w:evenHBand="1" w:firstRowFirstColumn="0" w:firstRowLastColumn="0" w:lastRowFirstColumn="0" w:lastRowLastColumn="0"/>
        </w:trPr>
        <w:tc>
          <w:tcPr>
            <w:tcW w:w="4509" w:type="dxa"/>
            <w:vMerge w:val="restart"/>
            <w:vAlign w:val="center"/>
          </w:tcPr>
          <w:p w14:paraId="3658D43F" w14:textId="77777777" w:rsidR="00061285" w:rsidRDefault="00061285">
            <w:pPr>
              <w:pStyle w:val="TableBodyText"/>
              <w:rPr>
                <w:lang w:eastAsia="en-AU"/>
              </w:rPr>
            </w:pPr>
            <w:r w:rsidRPr="000F5586">
              <w:t>Tasmania: Hobart &amp; Surrounds</w:t>
            </w:r>
          </w:p>
        </w:tc>
        <w:tc>
          <w:tcPr>
            <w:tcW w:w="4518" w:type="dxa"/>
          </w:tcPr>
          <w:p w14:paraId="08D34823" w14:textId="77777777" w:rsidR="00061285" w:rsidRDefault="00061285">
            <w:pPr>
              <w:pStyle w:val="TableBodyText"/>
              <w:rPr>
                <w:lang w:eastAsia="en-AU"/>
              </w:rPr>
            </w:pPr>
            <w:r w:rsidRPr="00191F1A">
              <w:t>TasTAFE</w:t>
            </w:r>
          </w:p>
        </w:tc>
      </w:tr>
      <w:tr w:rsidR="00061285" w14:paraId="367A6214" w14:textId="77777777" w:rsidTr="000F1B7E">
        <w:tc>
          <w:tcPr>
            <w:tcW w:w="4509" w:type="dxa"/>
            <w:vMerge/>
            <w:vAlign w:val="center"/>
          </w:tcPr>
          <w:p w14:paraId="3B6E4889" w14:textId="77777777" w:rsidR="00061285" w:rsidRDefault="00061285">
            <w:pPr>
              <w:pStyle w:val="TableBodyText"/>
              <w:rPr>
                <w:lang w:eastAsia="en-AU"/>
              </w:rPr>
            </w:pPr>
          </w:p>
        </w:tc>
        <w:tc>
          <w:tcPr>
            <w:tcW w:w="4518" w:type="dxa"/>
          </w:tcPr>
          <w:p w14:paraId="10E18365" w14:textId="77777777" w:rsidR="00061285" w:rsidRDefault="00061285">
            <w:pPr>
              <w:pStyle w:val="TableBodyText"/>
              <w:rPr>
                <w:lang w:eastAsia="en-AU"/>
              </w:rPr>
            </w:pPr>
            <w:r w:rsidRPr="00191F1A">
              <w:t>Skills Tasmania (Department of State Growth)</w:t>
            </w:r>
          </w:p>
        </w:tc>
      </w:tr>
      <w:tr w:rsidR="00A13456" w14:paraId="222D976F" w14:textId="77777777" w:rsidTr="000F1B7E">
        <w:trPr>
          <w:cnfStyle w:val="000000010000" w:firstRow="0" w:lastRow="0" w:firstColumn="0" w:lastColumn="0" w:oddVBand="0" w:evenVBand="0" w:oddHBand="0" w:evenHBand="1" w:firstRowFirstColumn="0" w:firstRowLastColumn="0" w:lastRowFirstColumn="0" w:lastRowLastColumn="0"/>
        </w:trPr>
        <w:tc>
          <w:tcPr>
            <w:tcW w:w="4509" w:type="dxa"/>
            <w:vMerge/>
            <w:vAlign w:val="center"/>
          </w:tcPr>
          <w:p w14:paraId="10116F70" w14:textId="77777777" w:rsidR="00061285" w:rsidRDefault="00061285">
            <w:pPr>
              <w:pStyle w:val="TableBodyText"/>
              <w:rPr>
                <w:lang w:eastAsia="en-AU"/>
              </w:rPr>
            </w:pPr>
          </w:p>
        </w:tc>
        <w:tc>
          <w:tcPr>
            <w:tcW w:w="4518" w:type="dxa"/>
          </w:tcPr>
          <w:p w14:paraId="07ECCAD2" w14:textId="77777777" w:rsidR="00061285" w:rsidRDefault="00061285">
            <w:pPr>
              <w:pStyle w:val="TableBodyText"/>
              <w:rPr>
                <w:lang w:eastAsia="en-AU"/>
              </w:rPr>
            </w:pPr>
            <w:r w:rsidRPr="00191F1A">
              <w:t>University of Tasmania</w:t>
            </w:r>
          </w:p>
        </w:tc>
      </w:tr>
      <w:tr w:rsidR="00061285" w14:paraId="49D28A96" w14:textId="77777777" w:rsidTr="000F1B7E">
        <w:tc>
          <w:tcPr>
            <w:tcW w:w="4509" w:type="dxa"/>
            <w:vMerge/>
            <w:vAlign w:val="center"/>
          </w:tcPr>
          <w:p w14:paraId="4A173931" w14:textId="77777777" w:rsidR="00061285" w:rsidRDefault="00061285">
            <w:pPr>
              <w:pStyle w:val="TableBodyText"/>
              <w:rPr>
                <w:lang w:eastAsia="en-AU"/>
              </w:rPr>
            </w:pPr>
          </w:p>
        </w:tc>
        <w:tc>
          <w:tcPr>
            <w:tcW w:w="4518" w:type="dxa"/>
          </w:tcPr>
          <w:p w14:paraId="77F9EBA8" w14:textId="77777777" w:rsidR="00061285" w:rsidRDefault="00061285">
            <w:pPr>
              <w:pStyle w:val="TableBodyText"/>
              <w:rPr>
                <w:lang w:eastAsia="en-AU"/>
              </w:rPr>
            </w:pPr>
            <w:r w:rsidRPr="00191F1A">
              <w:t>Incat</w:t>
            </w:r>
          </w:p>
        </w:tc>
      </w:tr>
      <w:tr w:rsidR="00A13456" w14:paraId="50045E33" w14:textId="77777777" w:rsidTr="000F1B7E">
        <w:trPr>
          <w:cnfStyle w:val="000000010000" w:firstRow="0" w:lastRow="0" w:firstColumn="0" w:lastColumn="0" w:oddVBand="0" w:evenVBand="0" w:oddHBand="0" w:evenHBand="1" w:firstRowFirstColumn="0" w:firstRowLastColumn="0" w:lastRowFirstColumn="0" w:lastRowLastColumn="0"/>
        </w:trPr>
        <w:tc>
          <w:tcPr>
            <w:tcW w:w="4509" w:type="dxa"/>
            <w:vMerge/>
            <w:vAlign w:val="center"/>
          </w:tcPr>
          <w:p w14:paraId="2D1B6E64" w14:textId="77777777" w:rsidR="00061285" w:rsidRDefault="00061285">
            <w:pPr>
              <w:pStyle w:val="TableBodyText"/>
              <w:rPr>
                <w:lang w:eastAsia="en-AU"/>
              </w:rPr>
            </w:pPr>
          </w:p>
        </w:tc>
        <w:tc>
          <w:tcPr>
            <w:tcW w:w="4518" w:type="dxa"/>
          </w:tcPr>
          <w:p w14:paraId="1066BA43" w14:textId="77777777" w:rsidR="00061285" w:rsidRDefault="00061285">
            <w:pPr>
              <w:pStyle w:val="TableBodyText"/>
              <w:rPr>
                <w:lang w:eastAsia="en-AU"/>
              </w:rPr>
            </w:pPr>
            <w:r w:rsidRPr="00191F1A">
              <w:t>Tassal</w:t>
            </w:r>
          </w:p>
        </w:tc>
      </w:tr>
      <w:tr w:rsidR="00061285" w14:paraId="531D399D" w14:textId="77777777" w:rsidTr="000F1B7E">
        <w:tc>
          <w:tcPr>
            <w:tcW w:w="4509" w:type="dxa"/>
            <w:vMerge/>
            <w:vAlign w:val="center"/>
          </w:tcPr>
          <w:p w14:paraId="529EBDC4" w14:textId="77777777" w:rsidR="00061285" w:rsidRDefault="00061285">
            <w:pPr>
              <w:pStyle w:val="TableBodyText"/>
              <w:rPr>
                <w:lang w:eastAsia="en-AU"/>
              </w:rPr>
            </w:pPr>
          </w:p>
        </w:tc>
        <w:tc>
          <w:tcPr>
            <w:tcW w:w="4518" w:type="dxa"/>
          </w:tcPr>
          <w:p w14:paraId="2EE2EFFB" w14:textId="77777777" w:rsidR="00061285" w:rsidRDefault="00061285">
            <w:pPr>
              <w:pStyle w:val="TableBodyText"/>
              <w:rPr>
                <w:lang w:eastAsia="en-AU"/>
              </w:rPr>
            </w:pPr>
            <w:r w:rsidRPr="00191F1A">
              <w:t xml:space="preserve">Max Employment – Bridgewater </w:t>
            </w:r>
          </w:p>
        </w:tc>
      </w:tr>
      <w:tr w:rsidR="00A13456" w14:paraId="503DC150" w14:textId="77777777" w:rsidTr="000F1B7E">
        <w:trPr>
          <w:cnfStyle w:val="000000010000" w:firstRow="0" w:lastRow="0" w:firstColumn="0" w:lastColumn="0" w:oddVBand="0" w:evenVBand="0" w:oddHBand="0" w:evenHBand="1" w:firstRowFirstColumn="0" w:firstRowLastColumn="0" w:lastRowFirstColumn="0" w:lastRowLastColumn="0"/>
        </w:trPr>
        <w:tc>
          <w:tcPr>
            <w:tcW w:w="4509" w:type="dxa"/>
            <w:vMerge/>
            <w:vAlign w:val="center"/>
          </w:tcPr>
          <w:p w14:paraId="2338162D" w14:textId="77777777" w:rsidR="00061285" w:rsidRDefault="00061285">
            <w:pPr>
              <w:pStyle w:val="TableBodyText"/>
              <w:rPr>
                <w:lang w:eastAsia="en-AU"/>
              </w:rPr>
            </w:pPr>
          </w:p>
        </w:tc>
        <w:tc>
          <w:tcPr>
            <w:tcW w:w="4518" w:type="dxa"/>
          </w:tcPr>
          <w:p w14:paraId="39B78388" w14:textId="77777777" w:rsidR="00061285" w:rsidRDefault="00061285">
            <w:pPr>
              <w:pStyle w:val="TableBodyText"/>
              <w:rPr>
                <w:lang w:eastAsia="en-AU"/>
              </w:rPr>
            </w:pPr>
            <w:r w:rsidRPr="00191F1A">
              <w:t>Employment Facilitator - Hobart &amp; Southern Tasmania</w:t>
            </w:r>
          </w:p>
        </w:tc>
      </w:tr>
      <w:tr w:rsidR="00061285" w14:paraId="0831C116" w14:textId="77777777" w:rsidTr="000F1B7E">
        <w:tc>
          <w:tcPr>
            <w:tcW w:w="4509" w:type="dxa"/>
            <w:vMerge w:val="restart"/>
            <w:vAlign w:val="center"/>
          </w:tcPr>
          <w:p w14:paraId="6C2DE9C9" w14:textId="77777777" w:rsidR="00061285" w:rsidRDefault="00061285">
            <w:pPr>
              <w:pStyle w:val="TableBodyText"/>
              <w:rPr>
                <w:lang w:eastAsia="en-AU"/>
              </w:rPr>
            </w:pPr>
            <w:r w:rsidRPr="005B4A89">
              <w:t>Northern Territory: Alice Springs</w:t>
            </w:r>
          </w:p>
        </w:tc>
        <w:tc>
          <w:tcPr>
            <w:tcW w:w="4518" w:type="dxa"/>
          </w:tcPr>
          <w:p w14:paraId="386EA80D" w14:textId="77777777" w:rsidR="00061285" w:rsidRDefault="00061285">
            <w:pPr>
              <w:pStyle w:val="TableBodyText"/>
              <w:rPr>
                <w:lang w:eastAsia="en-AU"/>
              </w:rPr>
            </w:pPr>
            <w:r w:rsidRPr="00191F1A">
              <w:t>Charles Darwin University TAFE</w:t>
            </w:r>
          </w:p>
        </w:tc>
      </w:tr>
      <w:tr w:rsidR="00152014" w14:paraId="06656DC6" w14:textId="77777777">
        <w:trPr>
          <w:cnfStyle w:val="000000010000" w:firstRow="0" w:lastRow="0" w:firstColumn="0" w:lastColumn="0" w:oddVBand="0" w:evenVBand="0" w:oddHBand="0" w:evenHBand="1" w:firstRowFirstColumn="0" w:firstRowLastColumn="0" w:lastRowFirstColumn="0" w:lastRowLastColumn="0"/>
        </w:trPr>
        <w:tc>
          <w:tcPr>
            <w:tcW w:w="4509" w:type="dxa"/>
            <w:vMerge/>
          </w:tcPr>
          <w:p w14:paraId="77C90B9B" w14:textId="77777777" w:rsidR="00061285" w:rsidRDefault="00061285">
            <w:pPr>
              <w:pStyle w:val="TableBodyText"/>
              <w:rPr>
                <w:lang w:eastAsia="en-AU"/>
              </w:rPr>
            </w:pPr>
          </w:p>
        </w:tc>
        <w:tc>
          <w:tcPr>
            <w:tcW w:w="4518" w:type="dxa"/>
          </w:tcPr>
          <w:p w14:paraId="76CF365C" w14:textId="77777777" w:rsidR="00061285" w:rsidRDefault="00061285">
            <w:pPr>
              <w:pStyle w:val="TableBodyText"/>
              <w:rPr>
                <w:lang w:eastAsia="en-AU"/>
              </w:rPr>
            </w:pPr>
            <w:r w:rsidRPr="00191F1A">
              <w:t>Employment Facilitator Assistant</w:t>
            </w:r>
          </w:p>
        </w:tc>
      </w:tr>
      <w:tr w:rsidR="00061285" w14:paraId="14B55C3F" w14:textId="77777777">
        <w:tc>
          <w:tcPr>
            <w:tcW w:w="4509" w:type="dxa"/>
            <w:vMerge/>
          </w:tcPr>
          <w:p w14:paraId="7C30EC44" w14:textId="77777777" w:rsidR="00061285" w:rsidRDefault="00061285">
            <w:pPr>
              <w:pStyle w:val="TableBodyText"/>
              <w:rPr>
                <w:lang w:eastAsia="en-AU"/>
              </w:rPr>
            </w:pPr>
          </w:p>
        </w:tc>
        <w:tc>
          <w:tcPr>
            <w:tcW w:w="4518" w:type="dxa"/>
          </w:tcPr>
          <w:p w14:paraId="7BE4D467" w14:textId="77777777" w:rsidR="00061285" w:rsidRDefault="00061285">
            <w:pPr>
              <w:pStyle w:val="TableBodyText"/>
              <w:rPr>
                <w:lang w:eastAsia="en-AU"/>
              </w:rPr>
            </w:pPr>
            <w:r w:rsidRPr="00191F1A">
              <w:t>Centre for Appropriate Technology (CfAT)</w:t>
            </w:r>
          </w:p>
        </w:tc>
      </w:tr>
      <w:tr w:rsidR="00152014" w14:paraId="295E6056" w14:textId="77777777">
        <w:trPr>
          <w:cnfStyle w:val="000000010000" w:firstRow="0" w:lastRow="0" w:firstColumn="0" w:lastColumn="0" w:oddVBand="0" w:evenVBand="0" w:oddHBand="0" w:evenHBand="1" w:firstRowFirstColumn="0" w:firstRowLastColumn="0" w:lastRowFirstColumn="0" w:lastRowLastColumn="0"/>
        </w:trPr>
        <w:tc>
          <w:tcPr>
            <w:tcW w:w="4509" w:type="dxa"/>
            <w:vMerge/>
          </w:tcPr>
          <w:p w14:paraId="0CA094DD" w14:textId="77777777" w:rsidR="00061285" w:rsidRDefault="00061285">
            <w:pPr>
              <w:pStyle w:val="TableBodyText"/>
              <w:rPr>
                <w:lang w:eastAsia="en-AU"/>
              </w:rPr>
            </w:pPr>
          </w:p>
        </w:tc>
        <w:tc>
          <w:tcPr>
            <w:tcW w:w="4518" w:type="dxa"/>
          </w:tcPr>
          <w:p w14:paraId="077B89B4" w14:textId="77777777" w:rsidR="00061285" w:rsidRDefault="00061285">
            <w:pPr>
              <w:pStyle w:val="TableBodyText"/>
              <w:rPr>
                <w:lang w:eastAsia="en-AU"/>
              </w:rPr>
            </w:pPr>
            <w:r w:rsidRPr="00191F1A">
              <w:t>Desert Knowledge Australia</w:t>
            </w:r>
          </w:p>
        </w:tc>
      </w:tr>
      <w:tr w:rsidR="00061285" w14:paraId="2C33957E" w14:textId="77777777">
        <w:tc>
          <w:tcPr>
            <w:tcW w:w="4509" w:type="dxa"/>
            <w:vMerge/>
          </w:tcPr>
          <w:p w14:paraId="24A28196" w14:textId="77777777" w:rsidR="00061285" w:rsidRDefault="00061285">
            <w:pPr>
              <w:pStyle w:val="TableBodyText"/>
              <w:rPr>
                <w:lang w:eastAsia="en-AU"/>
              </w:rPr>
            </w:pPr>
          </w:p>
        </w:tc>
        <w:tc>
          <w:tcPr>
            <w:tcW w:w="4518" w:type="dxa"/>
          </w:tcPr>
          <w:p w14:paraId="09520FC4" w14:textId="77777777" w:rsidR="00061285" w:rsidRDefault="00061285">
            <w:pPr>
              <w:pStyle w:val="TableBodyText"/>
              <w:rPr>
                <w:lang w:eastAsia="en-AU"/>
              </w:rPr>
            </w:pPr>
            <w:r w:rsidRPr="00191F1A">
              <w:t>Batchelor Institute of Indigenous Tertiary Education</w:t>
            </w:r>
          </w:p>
        </w:tc>
      </w:tr>
    </w:tbl>
    <w:p w14:paraId="5BA75EC2" w14:textId="77777777" w:rsidR="002D2A28" w:rsidRDefault="002D2A28" w:rsidP="00A50327">
      <w:pPr>
        <w:spacing w:after="160" w:line="259" w:lineRule="auto"/>
      </w:pPr>
    </w:p>
    <w:p w14:paraId="7438D618" w14:textId="59D5F192" w:rsidR="005330C1" w:rsidRDefault="005330C1">
      <w:pPr>
        <w:spacing w:after="160" w:line="259" w:lineRule="auto"/>
        <w:rPr>
          <w:rFonts w:cs="Arial"/>
          <w:b/>
          <w:bCs/>
          <w:color w:val="012749" w:themeColor="accent3"/>
        </w:rPr>
      </w:pPr>
      <w:r>
        <w:br w:type="page"/>
      </w:r>
    </w:p>
    <w:p w14:paraId="5A7486A2" w14:textId="0552F759" w:rsidR="003C08EC" w:rsidRDefault="003C08EC" w:rsidP="00A50327">
      <w:pPr>
        <w:spacing w:after="160" w:line="259" w:lineRule="auto"/>
        <w:sectPr w:rsidR="003C08EC" w:rsidSect="00471C70">
          <w:footnotePr>
            <w:pos w:val="beneathText"/>
          </w:footnotePr>
          <w:pgSz w:w="11907" w:h="16839" w:code="9"/>
          <w:pgMar w:top="1276" w:right="1440" w:bottom="1270" w:left="1440" w:header="0" w:footer="539" w:gutter="0"/>
          <w:pgBorders w:offsetFrom="page">
            <w:top w:val="single" w:sz="4" w:space="24" w:color="A6A6A6" w:themeColor="background1" w:themeShade="A6"/>
            <w:left w:val="single" w:sz="4" w:space="24" w:color="A6A6A6" w:themeColor="background1" w:themeShade="A6"/>
            <w:bottom w:val="single" w:sz="4" w:space="24" w:color="A6A6A6" w:themeColor="background1" w:themeShade="A6"/>
            <w:right w:val="single" w:sz="4" w:space="24" w:color="A6A6A6" w:themeColor="background1" w:themeShade="A6"/>
          </w:pgBorders>
          <w:cols w:space="720"/>
          <w:docGrid w:linePitch="360"/>
        </w:sectPr>
      </w:pPr>
    </w:p>
    <w:p w14:paraId="6AADEAB4" w14:textId="05A81F07" w:rsidR="009038C2" w:rsidRDefault="00730829" w:rsidP="00332CEE">
      <w:pPr>
        <w:pStyle w:val="Heading2"/>
      </w:pPr>
      <w:bookmarkStart w:id="247" w:name="_Toc200637168"/>
      <w:bookmarkStart w:id="248" w:name="_Toc201070210"/>
      <w:bookmarkStart w:id="249" w:name="_Toc201919873"/>
      <w:bookmarkStart w:id="250" w:name="_Toc202361901"/>
      <w:r>
        <w:lastRenderedPageBreak/>
        <w:t xml:space="preserve">Metrics </w:t>
      </w:r>
      <w:r w:rsidR="009038C2" w:rsidRPr="009038C2">
        <w:t>Data Dictionary</w:t>
      </w:r>
      <w:bookmarkEnd w:id="247"/>
      <w:bookmarkEnd w:id="248"/>
      <w:bookmarkEnd w:id="249"/>
      <w:bookmarkEnd w:id="250"/>
    </w:p>
    <w:p w14:paraId="74E856B3" w14:textId="408CFFB9" w:rsidR="00404B46" w:rsidRPr="00A538E2" w:rsidRDefault="009D232C" w:rsidP="009D232C">
      <w:pPr>
        <w:pStyle w:val="Caption"/>
        <w:rPr>
          <w:rFonts w:eastAsia="Arial" w:cs="Arial"/>
        </w:rPr>
      </w:pPr>
      <w:r>
        <w:t xml:space="preserve">Table </w:t>
      </w:r>
      <w:r>
        <w:fldChar w:fldCharType="begin"/>
      </w:r>
      <w:r>
        <w:instrText xml:space="preserve"> SEQ Table \* ARABIC </w:instrText>
      </w:r>
      <w:r>
        <w:fldChar w:fldCharType="separate"/>
      </w:r>
      <w:r w:rsidR="00471863">
        <w:rPr>
          <w:noProof/>
        </w:rPr>
        <w:t>45</w:t>
      </w:r>
      <w:r>
        <w:fldChar w:fldCharType="end"/>
      </w:r>
      <w:r w:rsidR="00404B46" w:rsidRPr="00404B46">
        <w:rPr>
          <w:rFonts w:eastAsia="Arial" w:cs="Arial"/>
          <w:b w:val="0"/>
          <w:bCs w:val="0"/>
        </w:rPr>
        <w:t>:</w:t>
      </w:r>
      <w:r w:rsidR="00A538E2">
        <w:rPr>
          <w:rFonts w:eastAsia="Arial" w:cs="Arial"/>
        </w:rPr>
        <w:t>Metrics Data Dictionary</w:t>
      </w:r>
    </w:p>
    <w:tbl>
      <w:tblPr>
        <w:tblW w:w="14307" w:type="dxa"/>
        <w:tblInd w:w="5" w:type="dxa"/>
        <w:tblLayout w:type="fixed"/>
        <w:tblCellMar>
          <w:left w:w="0" w:type="dxa"/>
          <w:right w:w="0" w:type="dxa"/>
        </w:tblCellMar>
        <w:tblLook w:val="0620" w:firstRow="1" w:lastRow="0" w:firstColumn="0" w:lastColumn="0" w:noHBand="1" w:noVBand="1"/>
      </w:tblPr>
      <w:tblGrid>
        <w:gridCol w:w="1408"/>
        <w:gridCol w:w="2551"/>
        <w:gridCol w:w="4820"/>
        <w:gridCol w:w="3685"/>
        <w:gridCol w:w="1843"/>
      </w:tblGrid>
      <w:tr w:rsidR="00E23966" w:rsidRPr="00CB0C7A" w14:paraId="2E8EC6F8" w14:textId="30938266" w:rsidTr="00730829">
        <w:trPr>
          <w:trHeight w:val="645"/>
          <w:tblHeader/>
        </w:trPr>
        <w:tc>
          <w:tcPr>
            <w:tcW w:w="1408" w:type="dxa"/>
            <w:tcBorders>
              <w:top w:val="single" w:sz="8" w:space="0" w:color="FFFFFF"/>
              <w:left w:val="single" w:sz="4" w:space="0" w:color="370663"/>
              <w:right w:val="single" w:sz="4" w:space="0" w:color="370663"/>
            </w:tcBorders>
            <w:shd w:val="clear" w:color="auto" w:fill="370663"/>
            <w:tcMar>
              <w:top w:w="15" w:type="dxa"/>
              <w:left w:w="15" w:type="dxa"/>
              <w:bottom w:w="0" w:type="dxa"/>
              <w:right w:w="15" w:type="dxa"/>
            </w:tcMar>
            <w:vAlign w:val="center"/>
            <w:hideMark/>
          </w:tcPr>
          <w:p w14:paraId="7485133F" w14:textId="4A635B42" w:rsidR="004A0CA8" w:rsidRPr="000A21EE" w:rsidRDefault="004A0CA8" w:rsidP="004A0CA8">
            <w:pPr>
              <w:spacing w:before="100"/>
              <w:jc w:val="center"/>
              <w:rPr>
                <w:rFonts w:cs="Arial"/>
                <w:b/>
              </w:rPr>
            </w:pPr>
            <w:r w:rsidRPr="000A21EE">
              <w:rPr>
                <w:rFonts w:cs="Arial"/>
                <w:b/>
              </w:rPr>
              <w:t>Vision Principle</w:t>
            </w:r>
          </w:p>
        </w:tc>
        <w:tc>
          <w:tcPr>
            <w:tcW w:w="2551" w:type="dxa"/>
            <w:tcBorders>
              <w:top w:val="single" w:sz="8" w:space="0" w:color="FFFFFF"/>
              <w:left w:val="single" w:sz="4" w:space="0" w:color="370663"/>
              <w:right w:val="single" w:sz="8" w:space="0" w:color="7F7F7F"/>
            </w:tcBorders>
            <w:shd w:val="clear" w:color="auto" w:fill="370663"/>
            <w:tcMar>
              <w:top w:w="15" w:type="dxa"/>
              <w:left w:w="15" w:type="dxa"/>
              <w:bottom w:w="0" w:type="dxa"/>
              <w:right w:w="15" w:type="dxa"/>
            </w:tcMar>
            <w:vAlign w:val="center"/>
            <w:hideMark/>
          </w:tcPr>
          <w:p w14:paraId="304051CC" w14:textId="77777777" w:rsidR="004A0CA8" w:rsidRPr="000A21EE" w:rsidRDefault="004A0CA8" w:rsidP="004A0CA8">
            <w:pPr>
              <w:spacing w:before="100"/>
              <w:ind w:hanging="1065"/>
              <w:jc w:val="center"/>
              <w:rPr>
                <w:rFonts w:cs="Arial"/>
                <w:b/>
                <w:color w:val="370663"/>
              </w:rPr>
            </w:pPr>
            <w:r w:rsidRPr="000A21EE">
              <w:rPr>
                <w:rFonts w:cs="Arial"/>
                <w:b/>
              </w:rPr>
              <w:t>Indicators</w:t>
            </w:r>
          </w:p>
        </w:tc>
        <w:tc>
          <w:tcPr>
            <w:tcW w:w="4820" w:type="dxa"/>
            <w:tcBorders>
              <w:top w:val="single" w:sz="8" w:space="0" w:color="FFFFFF"/>
              <w:left w:val="single" w:sz="4" w:space="0" w:color="370663"/>
              <w:right w:val="single" w:sz="8" w:space="0" w:color="7F7F7F"/>
            </w:tcBorders>
            <w:shd w:val="clear" w:color="auto" w:fill="370663"/>
          </w:tcPr>
          <w:p w14:paraId="174A0B26" w14:textId="24016F69" w:rsidR="004A0CA8" w:rsidRPr="000A21EE" w:rsidRDefault="004A0CA8" w:rsidP="004A0CA8">
            <w:pPr>
              <w:spacing w:before="100"/>
              <w:jc w:val="center"/>
              <w:rPr>
                <w:rFonts w:cs="Arial"/>
                <w:b/>
              </w:rPr>
            </w:pPr>
            <w:r>
              <w:rPr>
                <w:rFonts w:cs="Arial"/>
                <w:b/>
              </w:rPr>
              <w:t xml:space="preserve">Definition </w:t>
            </w:r>
          </w:p>
        </w:tc>
        <w:tc>
          <w:tcPr>
            <w:tcW w:w="3685" w:type="dxa"/>
            <w:tcBorders>
              <w:top w:val="single" w:sz="8" w:space="0" w:color="FFFFFF"/>
              <w:left w:val="single" w:sz="4" w:space="0" w:color="370663"/>
              <w:right w:val="single" w:sz="8" w:space="0" w:color="7F7F7F"/>
            </w:tcBorders>
            <w:shd w:val="clear" w:color="auto" w:fill="370663" w:themeFill="text2" w:themeFillShade="BF"/>
          </w:tcPr>
          <w:p w14:paraId="736DAA13" w14:textId="5A9B0904" w:rsidR="004A0CA8" w:rsidRDefault="004A0CA8" w:rsidP="004A0CA8">
            <w:pPr>
              <w:spacing w:before="100"/>
              <w:jc w:val="center"/>
              <w:rPr>
                <w:rFonts w:cs="Arial"/>
                <w:b/>
              </w:rPr>
            </w:pPr>
            <w:r>
              <w:rPr>
                <w:rFonts w:cs="Arial"/>
                <w:b/>
              </w:rPr>
              <w:t>Source</w:t>
            </w:r>
          </w:p>
        </w:tc>
        <w:tc>
          <w:tcPr>
            <w:tcW w:w="1843" w:type="dxa"/>
            <w:tcBorders>
              <w:top w:val="single" w:sz="8" w:space="0" w:color="FFFFFF"/>
              <w:left w:val="single" w:sz="4" w:space="0" w:color="370663"/>
              <w:right w:val="single" w:sz="8" w:space="0" w:color="7F7F7F"/>
            </w:tcBorders>
            <w:shd w:val="clear" w:color="auto" w:fill="370663" w:themeFill="text2" w:themeFillShade="BF"/>
          </w:tcPr>
          <w:p w14:paraId="25FE5840" w14:textId="4F6FD6AA" w:rsidR="004A0CA8" w:rsidRDefault="004A0CA8" w:rsidP="004A0CA8">
            <w:pPr>
              <w:spacing w:before="100"/>
              <w:jc w:val="center"/>
              <w:rPr>
                <w:rFonts w:cs="Arial"/>
                <w:b/>
              </w:rPr>
            </w:pPr>
            <w:r>
              <w:rPr>
                <w:rFonts w:cs="Arial"/>
                <w:b/>
              </w:rPr>
              <w:t>Geographic availability</w:t>
            </w:r>
          </w:p>
        </w:tc>
      </w:tr>
      <w:tr w:rsidR="00E23966" w:rsidRPr="00CB0C7A" w14:paraId="45534987" w14:textId="4CFB8780" w:rsidTr="00730829">
        <w:trPr>
          <w:trHeight w:val="567"/>
        </w:trPr>
        <w:tc>
          <w:tcPr>
            <w:tcW w:w="1408" w:type="dxa"/>
            <w:vMerge w:val="restart"/>
            <w:tcBorders>
              <w:left w:val="nil"/>
            </w:tcBorders>
            <w:tcMar>
              <w:top w:w="15" w:type="dxa"/>
              <w:left w:w="15" w:type="dxa"/>
              <w:bottom w:w="0" w:type="dxa"/>
              <w:right w:w="15" w:type="dxa"/>
            </w:tcMar>
            <w:vAlign w:val="center"/>
            <w:hideMark/>
          </w:tcPr>
          <w:p w14:paraId="147204E9" w14:textId="5A1959A8" w:rsidR="004A0CA8" w:rsidRPr="004A0CA8" w:rsidRDefault="004A0CA8" w:rsidP="004A0CA8">
            <w:pPr>
              <w:spacing w:after="0"/>
              <w:rPr>
                <w:rFonts w:cs="Arial"/>
                <w:b/>
              </w:rPr>
            </w:pPr>
            <w:r w:rsidRPr="004A0CA8">
              <w:rPr>
                <w:rFonts w:cs="Arial"/>
                <w:b/>
              </w:rPr>
              <w:t>Addressing Barriers</w:t>
            </w:r>
          </w:p>
        </w:tc>
        <w:tc>
          <w:tcPr>
            <w:tcW w:w="2551" w:type="dxa"/>
            <w:tcMar>
              <w:top w:w="15" w:type="dxa"/>
              <w:left w:w="15" w:type="dxa"/>
              <w:bottom w:w="0" w:type="dxa"/>
              <w:right w:w="15" w:type="dxa"/>
            </w:tcMar>
            <w:vAlign w:val="center"/>
            <w:hideMark/>
          </w:tcPr>
          <w:p w14:paraId="75331FAE" w14:textId="434D6F67" w:rsidR="004A0CA8" w:rsidRPr="000718F9" w:rsidRDefault="004A0CA8" w:rsidP="00E23966">
            <w:pPr>
              <w:spacing w:after="0"/>
              <w:ind w:left="113"/>
              <w:rPr>
                <w:rFonts w:cs="Arial"/>
              </w:rPr>
            </w:pPr>
            <w:r w:rsidRPr="000718F9">
              <w:rPr>
                <w:rFonts w:cs="Arial"/>
              </w:rPr>
              <w:t>School attendance rate</w:t>
            </w:r>
          </w:p>
        </w:tc>
        <w:tc>
          <w:tcPr>
            <w:tcW w:w="4820" w:type="dxa"/>
            <w:vAlign w:val="center"/>
          </w:tcPr>
          <w:p w14:paraId="3B9CB84E" w14:textId="71EC0504" w:rsidR="004A0CA8" w:rsidRPr="000718F9" w:rsidRDefault="004A0CA8" w:rsidP="00E23966">
            <w:pPr>
              <w:spacing w:after="0"/>
              <w:ind w:left="113"/>
              <w:rPr>
                <w:rFonts w:cs="Arial"/>
              </w:rPr>
            </w:pPr>
            <w:r>
              <w:rPr>
                <w:rFonts w:cs="Arial"/>
                <w:iCs/>
              </w:rPr>
              <w:t>D</w:t>
            </w:r>
            <w:r w:rsidRPr="00D62C35">
              <w:rPr>
                <w:rFonts w:cs="Arial"/>
                <w:iCs/>
              </w:rPr>
              <w:t xml:space="preserve">ays </w:t>
            </w:r>
            <w:r>
              <w:rPr>
                <w:rFonts w:cs="Arial"/>
                <w:iCs/>
              </w:rPr>
              <w:t xml:space="preserve">not </w:t>
            </w:r>
            <w:r w:rsidRPr="00D62C35">
              <w:rPr>
                <w:rFonts w:cs="Arial"/>
                <w:iCs/>
              </w:rPr>
              <w:t>attended as a proportion of possible days</w:t>
            </w:r>
            <w:r>
              <w:rPr>
                <w:rFonts w:cs="Arial"/>
                <w:iCs/>
              </w:rPr>
              <w:t xml:space="preserve"> (%)</w:t>
            </w:r>
          </w:p>
        </w:tc>
        <w:tc>
          <w:tcPr>
            <w:tcW w:w="3685" w:type="dxa"/>
            <w:vAlign w:val="center"/>
          </w:tcPr>
          <w:p w14:paraId="26228774" w14:textId="73C7931B" w:rsidR="004A0CA8" w:rsidRDefault="004A0CA8" w:rsidP="00E23966">
            <w:pPr>
              <w:spacing w:after="0"/>
              <w:ind w:left="113"/>
              <w:rPr>
                <w:rFonts w:cs="Arial"/>
                <w:iCs/>
              </w:rPr>
            </w:pPr>
            <w:r w:rsidRPr="00D678C4">
              <w:rPr>
                <w:rFonts w:cs="Arial"/>
                <w:iCs/>
              </w:rPr>
              <w:t>Australia Curriculum Assessment and Reporting Authority (ACARA), School Attendance, unpublished data.</w:t>
            </w:r>
          </w:p>
        </w:tc>
        <w:tc>
          <w:tcPr>
            <w:tcW w:w="1843" w:type="dxa"/>
            <w:vAlign w:val="center"/>
          </w:tcPr>
          <w:p w14:paraId="688A1FC6" w14:textId="4A5970C4" w:rsidR="004A0CA8" w:rsidRPr="00D678C4" w:rsidRDefault="004A0CA8" w:rsidP="00E23966">
            <w:pPr>
              <w:spacing w:after="0"/>
              <w:ind w:left="113"/>
              <w:rPr>
                <w:rFonts w:cs="Arial"/>
                <w:iCs/>
              </w:rPr>
            </w:pPr>
            <w:r w:rsidRPr="00D678C4">
              <w:rPr>
                <w:rFonts w:cs="Arial"/>
              </w:rPr>
              <w:t xml:space="preserve">National, </w:t>
            </w:r>
            <w:r>
              <w:rPr>
                <w:rFonts w:cs="Arial"/>
              </w:rPr>
              <w:t>GCCSA</w:t>
            </w:r>
            <w:r w:rsidRPr="00D678C4">
              <w:rPr>
                <w:rFonts w:cs="Arial"/>
              </w:rPr>
              <w:t>, Remote</w:t>
            </w:r>
          </w:p>
        </w:tc>
      </w:tr>
      <w:tr w:rsidR="00E23966" w:rsidRPr="00CB0C7A" w14:paraId="429E1DF9" w14:textId="682C95F5" w:rsidTr="00730829">
        <w:trPr>
          <w:trHeight w:val="397"/>
        </w:trPr>
        <w:tc>
          <w:tcPr>
            <w:tcW w:w="1408" w:type="dxa"/>
            <w:vMerge/>
            <w:tcBorders>
              <w:left w:val="nil"/>
            </w:tcBorders>
            <w:vAlign w:val="center"/>
            <w:hideMark/>
          </w:tcPr>
          <w:p w14:paraId="3ED962C7" w14:textId="77777777" w:rsidR="004A0CA8" w:rsidRPr="000B631D" w:rsidRDefault="004A0CA8" w:rsidP="004A0CA8">
            <w:pPr>
              <w:spacing w:after="0"/>
              <w:jc w:val="center"/>
              <w:rPr>
                <w:rFonts w:cs="Arial"/>
                <w:b/>
                <w:bCs/>
                <w:sz w:val="24"/>
                <w:szCs w:val="24"/>
              </w:rPr>
            </w:pPr>
          </w:p>
        </w:tc>
        <w:tc>
          <w:tcPr>
            <w:tcW w:w="2551" w:type="dxa"/>
            <w:shd w:val="clear" w:color="auto" w:fill="E6E6E6"/>
            <w:tcMar>
              <w:top w:w="15" w:type="dxa"/>
              <w:left w:w="15" w:type="dxa"/>
              <w:bottom w:w="0" w:type="dxa"/>
              <w:right w:w="15" w:type="dxa"/>
            </w:tcMar>
            <w:vAlign w:val="center"/>
            <w:hideMark/>
          </w:tcPr>
          <w:p w14:paraId="34AF42B0" w14:textId="77777777" w:rsidR="004A0CA8" w:rsidRPr="000718F9" w:rsidRDefault="004A0CA8" w:rsidP="00E23966">
            <w:pPr>
              <w:spacing w:after="0"/>
              <w:ind w:left="113"/>
              <w:rPr>
                <w:rFonts w:cs="Arial"/>
              </w:rPr>
            </w:pPr>
            <w:r w:rsidRPr="000718F9">
              <w:rPr>
                <w:rFonts w:cs="Arial"/>
              </w:rPr>
              <w:t>Youth not in employment, education or training</w:t>
            </w:r>
          </w:p>
        </w:tc>
        <w:tc>
          <w:tcPr>
            <w:tcW w:w="4820" w:type="dxa"/>
            <w:shd w:val="clear" w:color="auto" w:fill="E6E6E6"/>
            <w:vAlign w:val="center"/>
          </w:tcPr>
          <w:p w14:paraId="6BC0F08B" w14:textId="169F8481" w:rsidR="004A0CA8" w:rsidRPr="000718F9" w:rsidRDefault="004A0CA8" w:rsidP="00E23966">
            <w:pPr>
              <w:spacing w:after="0"/>
              <w:ind w:left="113"/>
              <w:rPr>
                <w:rFonts w:cs="Arial"/>
              </w:rPr>
            </w:pPr>
            <w:r>
              <w:rPr>
                <w:rFonts w:cs="Arial"/>
                <w:iCs/>
              </w:rPr>
              <w:t>The proportion of the youth (18-24) population not in employment, education or training (%)</w:t>
            </w:r>
          </w:p>
        </w:tc>
        <w:tc>
          <w:tcPr>
            <w:tcW w:w="3685" w:type="dxa"/>
            <w:shd w:val="clear" w:color="auto" w:fill="E6E6E6"/>
            <w:vAlign w:val="center"/>
          </w:tcPr>
          <w:p w14:paraId="5D338318" w14:textId="297DE8D8" w:rsidR="004A0CA8" w:rsidRDefault="004A0CA8" w:rsidP="00E23966">
            <w:pPr>
              <w:spacing w:after="240" w:line="259" w:lineRule="auto"/>
              <w:rPr>
                <w:rFonts w:cs="Arial"/>
              </w:rPr>
            </w:pPr>
            <w:r>
              <w:rPr>
                <w:rFonts w:cs="Arial"/>
              </w:rPr>
              <w:t>ABS, Survey of Education and Work, 2024 (national and GCCSA). ABS, Census of Population and Ageing, 2021 (Remote)</w:t>
            </w:r>
          </w:p>
          <w:p w14:paraId="4E661349" w14:textId="77777777" w:rsidR="004A0CA8" w:rsidRPr="000718F9" w:rsidRDefault="004A0CA8" w:rsidP="00E23966">
            <w:pPr>
              <w:spacing w:after="0"/>
              <w:ind w:left="113"/>
              <w:rPr>
                <w:rFonts w:cs="Arial"/>
              </w:rPr>
            </w:pPr>
          </w:p>
        </w:tc>
        <w:tc>
          <w:tcPr>
            <w:tcW w:w="1843" w:type="dxa"/>
            <w:shd w:val="clear" w:color="auto" w:fill="E6E6E6"/>
            <w:vAlign w:val="center"/>
          </w:tcPr>
          <w:p w14:paraId="1181C122" w14:textId="33148088" w:rsidR="004A0CA8" w:rsidRDefault="003D40C8" w:rsidP="00E23966">
            <w:pPr>
              <w:spacing w:after="240" w:line="259" w:lineRule="auto"/>
              <w:rPr>
                <w:rFonts w:cs="Arial"/>
              </w:rPr>
            </w:pPr>
            <w:r>
              <w:rPr>
                <w:rFonts w:cs="Arial"/>
                <w:iCs/>
              </w:rPr>
              <w:t>National and GCCSA (SEW), Remote (Census)</w:t>
            </w:r>
          </w:p>
        </w:tc>
      </w:tr>
      <w:tr w:rsidR="00E23966" w:rsidRPr="00CB0C7A" w14:paraId="25DCD4C9" w14:textId="567E5E2F" w:rsidTr="00730829">
        <w:trPr>
          <w:trHeight w:val="397"/>
        </w:trPr>
        <w:tc>
          <w:tcPr>
            <w:tcW w:w="1408" w:type="dxa"/>
            <w:vMerge/>
            <w:tcBorders>
              <w:left w:val="nil"/>
            </w:tcBorders>
            <w:vAlign w:val="center"/>
          </w:tcPr>
          <w:p w14:paraId="1AB3C0F1" w14:textId="77777777" w:rsidR="004A0CA8" w:rsidRPr="000B631D" w:rsidRDefault="004A0CA8" w:rsidP="004A0CA8">
            <w:pPr>
              <w:spacing w:after="0"/>
              <w:jc w:val="center"/>
              <w:rPr>
                <w:rFonts w:cs="Arial"/>
                <w:b/>
                <w:bCs/>
                <w:sz w:val="24"/>
                <w:szCs w:val="24"/>
              </w:rPr>
            </w:pPr>
          </w:p>
        </w:tc>
        <w:tc>
          <w:tcPr>
            <w:tcW w:w="2551" w:type="dxa"/>
            <w:shd w:val="clear" w:color="auto" w:fill="FFFFFF" w:themeFill="background1"/>
            <w:tcMar>
              <w:top w:w="15" w:type="dxa"/>
              <w:left w:w="15" w:type="dxa"/>
              <w:bottom w:w="0" w:type="dxa"/>
              <w:right w:w="15" w:type="dxa"/>
            </w:tcMar>
            <w:vAlign w:val="center"/>
          </w:tcPr>
          <w:p w14:paraId="7CFD8B7A" w14:textId="77777777" w:rsidR="004A0CA8" w:rsidRPr="000718F9" w:rsidRDefault="004A0CA8" w:rsidP="00E23966">
            <w:pPr>
              <w:spacing w:after="0"/>
              <w:ind w:left="113"/>
              <w:rPr>
                <w:rFonts w:cs="Arial"/>
              </w:rPr>
            </w:pPr>
            <w:r>
              <w:rPr>
                <w:rFonts w:cs="Arial"/>
              </w:rPr>
              <w:t>Prime age participation rate</w:t>
            </w:r>
          </w:p>
        </w:tc>
        <w:tc>
          <w:tcPr>
            <w:tcW w:w="4820" w:type="dxa"/>
            <w:shd w:val="clear" w:color="auto" w:fill="FFFFFF" w:themeFill="background1"/>
            <w:vAlign w:val="center"/>
          </w:tcPr>
          <w:p w14:paraId="242D620D" w14:textId="77777777" w:rsidR="003D40C8" w:rsidRDefault="003D40C8" w:rsidP="00E23966">
            <w:pPr>
              <w:spacing w:after="0"/>
              <w:ind w:left="113"/>
              <w:rPr>
                <w:rFonts w:cs="Arial"/>
                <w:iCs/>
              </w:rPr>
            </w:pPr>
            <w:r>
              <w:rPr>
                <w:rFonts w:cs="Arial"/>
                <w:iCs/>
              </w:rPr>
              <w:t>The proportion of the population (25-54 years) that is participation in the labour market (either employed or unemployed) (%)</w:t>
            </w:r>
          </w:p>
          <w:p w14:paraId="52770312" w14:textId="77777777" w:rsidR="004A0CA8" w:rsidRDefault="004A0CA8" w:rsidP="00E23966">
            <w:pPr>
              <w:spacing w:after="0"/>
              <w:ind w:left="113"/>
              <w:rPr>
                <w:rFonts w:cs="Arial"/>
              </w:rPr>
            </w:pPr>
          </w:p>
        </w:tc>
        <w:tc>
          <w:tcPr>
            <w:tcW w:w="3685" w:type="dxa"/>
            <w:shd w:val="clear" w:color="auto" w:fill="FFFFFF" w:themeFill="background1"/>
            <w:vAlign w:val="center"/>
          </w:tcPr>
          <w:p w14:paraId="578B277C" w14:textId="50FEE81D" w:rsidR="004A0CA8" w:rsidRDefault="003D40C8" w:rsidP="00E23966">
            <w:pPr>
              <w:spacing w:after="0"/>
              <w:ind w:left="113"/>
              <w:rPr>
                <w:rFonts w:cs="Arial"/>
              </w:rPr>
            </w:pPr>
            <w:r>
              <w:rPr>
                <w:rFonts w:cs="Arial"/>
              </w:rPr>
              <w:t xml:space="preserve">ABS, Labour Force, Detailed, </w:t>
            </w:r>
            <w:r w:rsidR="00CC7E16">
              <w:rPr>
                <w:rFonts w:cs="Arial"/>
              </w:rPr>
              <w:t>12-month</w:t>
            </w:r>
            <w:r>
              <w:rPr>
                <w:rFonts w:cs="Arial"/>
              </w:rPr>
              <w:t xml:space="preserve"> averages of original estimates</w:t>
            </w:r>
          </w:p>
        </w:tc>
        <w:tc>
          <w:tcPr>
            <w:tcW w:w="1843" w:type="dxa"/>
            <w:shd w:val="clear" w:color="auto" w:fill="FFFFFF" w:themeFill="background1"/>
            <w:vAlign w:val="center"/>
          </w:tcPr>
          <w:p w14:paraId="48F00751" w14:textId="2ECF71A0" w:rsidR="004A0CA8" w:rsidRDefault="003D40C8" w:rsidP="00E23966">
            <w:pPr>
              <w:spacing w:after="0"/>
              <w:ind w:left="113"/>
              <w:rPr>
                <w:rFonts w:cs="Arial"/>
              </w:rPr>
            </w:pPr>
            <w:r w:rsidRPr="00D678C4">
              <w:rPr>
                <w:rFonts w:cs="Arial"/>
              </w:rPr>
              <w:t xml:space="preserve">National, </w:t>
            </w:r>
            <w:r>
              <w:rPr>
                <w:rFonts w:cs="Arial"/>
              </w:rPr>
              <w:t>GCCSA</w:t>
            </w:r>
            <w:r w:rsidRPr="00D678C4">
              <w:rPr>
                <w:rFonts w:cs="Arial"/>
              </w:rPr>
              <w:t>, Remote</w:t>
            </w:r>
          </w:p>
        </w:tc>
      </w:tr>
      <w:tr w:rsidR="00E23966" w:rsidRPr="00CB0C7A" w14:paraId="36CF0569" w14:textId="23F33871" w:rsidTr="00730829">
        <w:trPr>
          <w:trHeight w:val="397"/>
        </w:trPr>
        <w:tc>
          <w:tcPr>
            <w:tcW w:w="1408" w:type="dxa"/>
            <w:vMerge/>
            <w:tcBorders>
              <w:left w:val="nil"/>
            </w:tcBorders>
            <w:vAlign w:val="center"/>
          </w:tcPr>
          <w:p w14:paraId="492459BB" w14:textId="77777777" w:rsidR="004A0CA8" w:rsidRPr="000B631D" w:rsidRDefault="004A0CA8" w:rsidP="004A0CA8">
            <w:pPr>
              <w:spacing w:after="0"/>
              <w:jc w:val="center"/>
              <w:rPr>
                <w:rFonts w:cs="Arial"/>
                <w:b/>
                <w:bCs/>
                <w:sz w:val="24"/>
                <w:szCs w:val="24"/>
              </w:rPr>
            </w:pPr>
          </w:p>
        </w:tc>
        <w:tc>
          <w:tcPr>
            <w:tcW w:w="2551" w:type="dxa"/>
            <w:shd w:val="clear" w:color="auto" w:fill="E6E6E6"/>
            <w:tcMar>
              <w:top w:w="15" w:type="dxa"/>
              <w:left w:w="15" w:type="dxa"/>
              <w:bottom w:w="0" w:type="dxa"/>
              <w:right w:w="15" w:type="dxa"/>
            </w:tcMar>
            <w:vAlign w:val="center"/>
          </w:tcPr>
          <w:p w14:paraId="1293451C" w14:textId="77777777" w:rsidR="004A0CA8" w:rsidRPr="000718F9" w:rsidRDefault="004A0CA8" w:rsidP="00E23966">
            <w:pPr>
              <w:spacing w:after="0"/>
              <w:ind w:left="113"/>
              <w:rPr>
                <w:rFonts w:cs="Arial"/>
              </w:rPr>
            </w:pPr>
            <w:r>
              <w:rPr>
                <w:rFonts w:cs="Arial"/>
              </w:rPr>
              <w:t>Unemployment rate</w:t>
            </w:r>
          </w:p>
        </w:tc>
        <w:tc>
          <w:tcPr>
            <w:tcW w:w="4820" w:type="dxa"/>
            <w:shd w:val="clear" w:color="auto" w:fill="E6E6E6"/>
            <w:vAlign w:val="center"/>
          </w:tcPr>
          <w:p w14:paraId="1154F884" w14:textId="2EDE27E6" w:rsidR="004A0CA8" w:rsidRDefault="003D40C8" w:rsidP="00E23966">
            <w:pPr>
              <w:spacing w:after="0"/>
              <w:ind w:left="113"/>
              <w:rPr>
                <w:rFonts w:cs="Arial"/>
              </w:rPr>
            </w:pPr>
            <w:r>
              <w:rPr>
                <w:rFonts w:cs="Arial"/>
                <w:iCs/>
              </w:rPr>
              <w:t>The proportion of the labour force that is unemployed (available and looking for work) (%)</w:t>
            </w:r>
          </w:p>
        </w:tc>
        <w:tc>
          <w:tcPr>
            <w:tcW w:w="3685" w:type="dxa"/>
            <w:shd w:val="clear" w:color="auto" w:fill="E6E6E6"/>
            <w:vAlign w:val="center"/>
          </w:tcPr>
          <w:p w14:paraId="631E5640" w14:textId="12501B18" w:rsidR="003D40C8" w:rsidRDefault="003D40C8" w:rsidP="00730829">
            <w:pPr>
              <w:spacing w:after="0"/>
              <w:ind w:left="113"/>
              <w:rPr>
                <w:rFonts w:cs="Arial"/>
              </w:rPr>
            </w:pPr>
            <w:r>
              <w:rPr>
                <w:rFonts w:cs="Arial"/>
              </w:rPr>
              <w:t xml:space="preserve">ABS, Labour Force, Detailed, </w:t>
            </w:r>
            <w:r w:rsidR="00203A50">
              <w:rPr>
                <w:rFonts w:cs="Arial"/>
              </w:rPr>
              <w:t xml:space="preserve">3-month averages of </w:t>
            </w:r>
            <w:r>
              <w:rPr>
                <w:rFonts w:cs="Arial"/>
              </w:rPr>
              <w:t>modelled estimates</w:t>
            </w:r>
          </w:p>
          <w:p w14:paraId="5BEE5DF4" w14:textId="77777777" w:rsidR="004A0CA8" w:rsidRDefault="004A0CA8" w:rsidP="00E23966">
            <w:pPr>
              <w:spacing w:after="0"/>
              <w:ind w:left="113"/>
              <w:rPr>
                <w:rFonts w:cs="Arial"/>
              </w:rPr>
            </w:pPr>
          </w:p>
        </w:tc>
        <w:tc>
          <w:tcPr>
            <w:tcW w:w="1843" w:type="dxa"/>
            <w:shd w:val="clear" w:color="auto" w:fill="E6E6E6"/>
            <w:vAlign w:val="center"/>
          </w:tcPr>
          <w:p w14:paraId="44C8FC06" w14:textId="50FB29CB" w:rsidR="004A0CA8" w:rsidRDefault="003D40C8" w:rsidP="00E23966">
            <w:pPr>
              <w:spacing w:after="0"/>
              <w:ind w:left="113"/>
              <w:rPr>
                <w:rFonts w:cs="Arial"/>
              </w:rPr>
            </w:pPr>
            <w:r w:rsidRPr="00D678C4">
              <w:rPr>
                <w:rFonts w:cs="Arial"/>
              </w:rPr>
              <w:t xml:space="preserve">National, </w:t>
            </w:r>
            <w:r>
              <w:rPr>
                <w:rFonts w:cs="Arial"/>
              </w:rPr>
              <w:t>GCCSA</w:t>
            </w:r>
            <w:r w:rsidRPr="00D678C4">
              <w:rPr>
                <w:rFonts w:cs="Arial"/>
              </w:rPr>
              <w:t>, Remote</w:t>
            </w:r>
          </w:p>
        </w:tc>
      </w:tr>
      <w:tr w:rsidR="00E23966" w:rsidRPr="00CB0C7A" w14:paraId="760E31E9" w14:textId="450EDC5E" w:rsidTr="00730829">
        <w:trPr>
          <w:trHeight w:val="397"/>
        </w:trPr>
        <w:tc>
          <w:tcPr>
            <w:tcW w:w="1408" w:type="dxa"/>
            <w:vMerge/>
            <w:tcBorders>
              <w:left w:val="nil"/>
              <w:bottom w:val="single" w:sz="4" w:space="0" w:color="370663"/>
            </w:tcBorders>
            <w:vAlign w:val="center"/>
          </w:tcPr>
          <w:p w14:paraId="4A763FAC" w14:textId="77777777" w:rsidR="004A0CA8" w:rsidRPr="000B631D" w:rsidRDefault="004A0CA8" w:rsidP="004A0CA8">
            <w:pPr>
              <w:spacing w:after="0"/>
              <w:jc w:val="center"/>
              <w:rPr>
                <w:rFonts w:cs="Arial"/>
                <w:b/>
                <w:bCs/>
                <w:sz w:val="24"/>
                <w:szCs w:val="24"/>
              </w:rPr>
            </w:pPr>
          </w:p>
        </w:tc>
        <w:tc>
          <w:tcPr>
            <w:tcW w:w="2551" w:type="dxa"/>
            <w:tcBorders>
              <w:bottom w:val="single" w:sz="4" w:space="0" w:color="370663"/>
            </w:tcBorders>
            <w:tcMar>
              <w:top w:w="15" w:type="dxa"/>
              <w:left w:w="15" w:type="dxa"/>
              <w:bottom w:w="0" w:type="dxa"/>
              <w:right w:w="15" w:type="dxa"/>
            </w:tcMar>
            <w:vAlign w:val="center"/>
          </w:tcPr>
          <w:p w14:paraId="357574CA" w14:textId="2DA107D5" w:rsidR="004A0CA8" w:rsidRPr="000718F9" w:rsidRDefault="004A0CA8" w:rsidP="00E23966">
            <w:pPr>
              <w:spacing w:after="0"/>
              <w:ind w:left="113"/>
              <w:rPr>
                <w:rFonts w:cs="Arial"/>
                <w:highlight w:val="yellow"/>
              </w:rPr>
            </w:pPr>
            <w:r w:rsidRPr="000718F9">
              <w:rPr>
                <w:rFonts w:cs="Arial"/>
              </w:rPr>
              <w:t xml:space="preserve">Proportion on income support for </w:t>
            </w:r>
            <w:r w:rsidR="00285E8D">
              <w:rPr>
                <w:rFonts w:cs="Arial"/>
              </w:rPr>
              <w:t>5</w:t>
            </w:r>
            <w:r w:rsidRPr="000718F9">
              <w:rPr>
                <w:rFonts w:cs="Arial"/>
              </w:rPr>
              <w:t xml:space="preserve"> or more years</w:t>
            </w:r>
          </w:p>
        </w:tc>
        <w:tc>
          <w:tcPr>
            <w:tcW w:w="4820" w:type="dxa"/>
            <w:tcBorders>
              <w:bottom w:val="single" w:sz="4" w:space="0" w:color="370663"/>
            </w:tcBorders>
            <w:vAlign w:val="center"/>
          </w:tcPr>
          <w:p w14:paraId="73F64BF9" w14:textId="7E350899" w:rsidR="004A0CA8" w:rsidRPr="000718F9" w:rsidRDefault="003D40C8" w:rsidP="00E23966">
            <w:pPr>
              <w:spacing w:after="0"/>
              <w:ind w:left="113"/>
              <w:rPr>
                <w:rFonts w:cs="Arial"/>
              </w:rPr>
            </w:pPr>
            <w:r w:rsidRPr="00D678C4">
              <w:rPr>
                <w:rFonts w:cs="Arial"/>
                <w:iCs/>
              </w:rPr>
              <w:t>Proportion of the working age (15-64 years) population on JobSeeker income support</w:t>
            </w:r>
            <w:r>
              <w:rPr>
                <w:rFonts w:cs="Arial"/>
                <w:iCs/>
              </w:rPr>
              <w:t xml:space="preserve"> (includes those on JobSeeker payment and Youth Allowance (other)) (%)</w:t>
            </w:r>
          </w:p>
        </w:tc>
        <w:tc>
          <w:tcPr>
            <w:tcW w:w="3685" w:type="dxa"/>
            <w:tcBorders>
              <w:bottom w:val="single" w:sz="4" w:space="0" w:color="370663"/>
            </w:tcBorders>
            <w:vAlign w:val="center"/>
          </w:tcPr>
          <w:p w14:paraId="005992A6" w14:textId="4CA860D8" w:rsidR="004A0CA8" w:rsidRPr="000718F9" w:rsidRDefault="003D40C8" w:rsidP="00E23966">
            <w:pPr>
              <w:spacing w:after="0"/>
              <w:ind w:left="113"/>
              <w:rPr>
                <w:rFonts w:cs="Arial"/>
              </w:rPr>
            </w:pPr>
            <w:r w:rsidRPr="00D678C4">
              <w:rPr>
                <w:rFonts w:cs="Arial"/>
              </w:rPr>
              <w:t>Services Australia Administrative data, and working age population estimates from ABS Labour Force, Australia, Detailed</w:t>
            </w:r>
          </w:p>
        </w:tc>
        <w:tc>
          <w:tcPr>
            <w:tcW w:w="1843" w:type="dxa"/>
            <w:tcBorders>
              <w:bottom w:val="single" w:sz="4" w:space="0" w:color="370663"/>
            </w:tcBorders>
            <w:vAlign w:val="center"/>
          </w:tcPr>
          <w:p w14:paraId="6628DB29" w14:textId="3BD54CFD" w:rsidR="004A0CA8" w:rsidRPr="000718F9" w:rsidRDefault="003D40C8" w:rsidP="00E23966">
            <w:pPr>
              <w:spacing w:after="0"/>
              <w:ind w:left="113"/>
              <w:rPr>
                <w:rFonts w:cs="Arial"/>
              </w:rPr>
            </w:pPr>
            <w:r w:rsidRPr="00D678C4">
              <w:rPr>
                <w:rFonts w:cs="Arial"/>
              </w:rPr>
              <w:t xml:space="preserve">National, </w:t>
            </w:r>
            <w:r>
              <w:rPr>
                <w:rFonts w:cs="Arial"/>
              </w:rPr>
              <w:t>GCCSA</w:t>
            </w:r>
            <w:r w:rsidRPr="00D678C4">
              <w:rPr>
                <w:rFonts w:cs="Arial"/>
              </w:rPr>
              <w:t>, Remote</w:t>
            </w:r>
          </w:p>
        </w:tc>
      </w:tr>
      <w:tr w:rsidR="00E23966" w:rsidRPr="00CB0C7A" w14:paraId="0DC932E4" w14:textId="4A16BD50" w:rsidTr="00730829">
        <w:trPr>
          <w:trHeight w:val="397"/>
        </w:trPr>
        <w:tc>
          <w:tcPr>
            <w:tcW w:w="1408" w:type="dxa"/>
            <w:vMerge w:val="restart"/>
            <w:tcBorders>
              <w:top w:val="single" w:sz="4" w:space="0" w:color="370663"/>
            </w:tcBorders>
            <w:tcMar>
              <w:top w:w="15" w:type="dxa"/>
              <w:left w:w="15" w:type="dxa"/>
              <w:bottom w:w="0" w:type="dxa"/>
              <w:right w:w="15" w:type="dxa"/>
            </w:tcMar>
            <w:vAlign w:val="center"/>
          </w:tcPr>
          <w:p w14:paraId="51A5DCF5" w14:textId="71279791" w:rsidR="003D40C8" w:rsidRPr="004A0CA8" w:rsidRDefault="00CA52DD" w:rsidP="003D40C8">
            <w:pPr>
              <w:spacing w:after="0"/>
              <w:ind w:left="2160"/>
              <w:jc w:val="center"/>
              <w:rPr>
                <w:rFonts w:cs="Arial"/>
                <w:b/>
              </w:rPr>
            </w:pPr>
            <w:r>
              <w:rPr>
                <w:rFonts w:cs="Arial"/>
                <w:b/>
              </w:rPr>
              <w:t>Qu</w:t>
            </w:r>
            <w:r>
              <w:rPr>
                <w:rFonts w:cs="Arial"/>
                <w:b/>
              </w:rPr>
              <w:lastRenderedPageBreak/>
              <w:t>ality Jobs</w:t>
            </w:r>
          </w:p>
        </w:tc>
        <w:tc>
          <w:tcPr>
            <w:tcW w:w="2551" w:type="dxa"/>
            <w:tcBorders>
              <w:top w:val="single" w:sz="4" w:space="0" w:color="370663"/>
            </w:tcBorders>
            <w:shd w:val="clear" w:color="auto" w:fill="F2F2F2" w:themeFill="background1" w:themeFillShade="F2"/>
            <w:tcMar>
              <w:top w:w="15" w:type="dxa"/>
              <w:left w:w="15" w:type="dxa"/>
              <w:bottom w:w="0" w:type="dxa"/>
              <w:right w:w="15" w:type="dxa"/>
            </w:tcMar>
            <w:vAlign w:val="center"/>
            <w:hideMark/>
          </w:tcPr>
          <w:p w14:paraId="631A94BE" w14:textId="77777777" w:rsidR="003D40C8" w:rsidRPr="000718F9" w:rsidRDefault="003D40C8" w:rsidP="00E23966">
            <w:pPr>
              <w:spacing w:after="0"/>
              <w:ind w:left="113"/>
              <w:rPr>
                <w:rFonts w:cs="Arial"/>
                <w:strike/>
              </w:rPr>
            </w:pPr>
            <w:r>
              <w:rPr>
                <w:rFonts w:cs="Arial"/>
              </w:rPr>
              <w:lastRenderedPageBreak/>
              <w:t>Youth tertiary</w:t>
            </w:r>
            <w:r w:rsidRPr="000718F9">
              <w:rPr>
                <w:rFonts w:cs="Arial"/>
              </w:rPr>
              <w:t xml:space="preserve"> participation </w:t>
            </w:r>
            <w:r>
              <w:rPr>
                <w:rFonts w:cs="Arial"/>
              </w:rPr>
              <w:t>rate</w:t>
            </w:r>
          </w:p>
        </w:tc>
        <w:tc>
          <w:tcPr>
            <w:tcW w:w="4820" w:type="dxa"/>
            <w:tcBorders>
              <w:top w:val="single" w:sz="4" w:space="0" w:color="370663"/>
            </w:tcBorders>
            <w:shd w:val="clear" w:color="auto" w:fill="F2F2F2" w:themeFill="background1" w:themeFillShade="F2"/>
            <w:vAlign w:val="center"/>
          </w:tcPr>
          <w:p w14:paraId="5415A77A" w14:textId="0A380620" w:rsidR="003D40C8" w:rsidRDefault="003D40C8" w:rsidP="002B2177">
            <w:pPr>
              <w:spacing w:after="240" w:line="259" w:lineRule="auto"/>
              <w:rPr>
                <w:rFonts w:cs="Arial"/>
              </w:rPr>
            </w:pPr>
            <w:r w:rsidRPr="00D678C4">
              <w:rPr>
                <w:rFonts w:cs="Arial"/>
                <w:iCs/>
              </w:rPr>
              <w:t xml:space="preserve">Proportion of the </w:t>
            </w:r>
            <w:r>
              <w:rPr>
                <w:rFonts w:cs="Arial"/>
                <w:iCs/>
              </w:rPr>
              <w:t xml:space="preserve">population </w:t>
            </w:r>
            <w:r w:rsidRPr="00D678C4">
              <w:rPr>
                <w:rFonts w:cs="Arial"/>
                <w:iCs/>
              </w:rPr>
              <w:t>(15-</w:t>
            </w:r>
            <w:r>
              <w:rPr>
                <w:rFonts w:cs="Arial"/>
                <w:iCs/>
              </w:rPr>
              <w:t>24</w:t>
            </w:r>
            <w:r w:rsidRPr="00D678C4">
              <w:rPr>
                <w:rFonts w:cs="Arial"/>
                <w:iCs/>
              </w:rPr>
              <w:t xml:space="preserve"> years) </w:t>
            </w:r>
            <w:r>
              <w:rPr>
                <w:rFonts w:cs="Arial"/>
                <w:iCs/>
              </w:rPr>
              <w:t xml:space="preserve">participating in Vocational and Educational </w:t>
            </w:r>
            <w:r>
              <w:rPr>
                <w:rFonts w:cs="Arial"/>
                <w:iCs/>
              </w:rPr>
              <w:lastRenderedPageBreak/>
              <w:t xml:space="preserve">Training (VET) </w:t>
            </w:r>
            <w:r w:rsidR="00004ADD">
              <w:rPr>
                <w:rFonts w:cs="Arial"/>
                <w:iCs/>
              </w:rPr>
              <w:t>(</w:t>
            </w:r>
            <w:r w:rsidR="00DD467E">
              <w:rPr>
                <w:rFonts w:cs="Arial"/>
                <w:iCs/>
              </w:rPr>
              <w:t xml:space="preserve">including Adv. Diploma &amp; </w:t>
            </w:r>
            <w:r w:rsidR="00D841EE">
              <w:rPr>
                <w:rFonts w:cs="Arial"/>
                <w:iCs/>
              </w:rPr>
              <w:t>Cert. III/IV)</w:t>
            </w:r>
            <w:r w:rsidR="00DD467E">
              <w:rPr>
                <w:rFonts w:cs="Arial"/>
                <w:iCs/>
              </w:rPr>
              <w:t xml:space="preserve"> </w:t>
            </w:r>
            <w:r>
              <w:rPr>
                <w:rFonts w:cs="Arial"/>
                <w:iCs/>
              </w:rPr>
              <w:t>and/or Higher Education (%)</w:t>
            </w:r>
          </w:p>
        </w:tc>
        <w:tc>
          <w:tcPr>
            <w:tcW w:w="3685" w:type="dxa"/>
            <w:tcBorders>
              <w:top w:val="single" w:sz="4" w:space="0" w:color="370663"/>
            </w:tcBorders>
            <w:shd w:val="clear" w:color="auto" w:fill="F2F2F2" w:themeFill="background1" w:themeFillShade="F2"/>
            <w:vAlign w:val="center"/>
          </w:tcPr>
          <w:p w14:paraId="2E7F3F47" w14:textId="33E22C67" w:rsidR="003D40C8" w:rsidRDefault="003D40C8" w:rsidP="00E23966">
            <w:pPr>
              <w:spacing w:after="0"/>
              <w:ind w:left="113"/>
              <w:rPr>
                <w:rFonts w:cs="Arial"/>
              </w:rPr>
            </w:pPr>
            <w:r>
              <w:rPr>
                <w:rFonts w:cs="Arial"/>
              </w:rPr>
              <w:lastRenderedPageBreak/>
              <w:t>ABS, Survey of Education and Work, 2024</w:t>
            </w:r>
          </w:p>
        </w:tc>
        <w:tc>
          <w:tcPr>
            <w:tcW w:w="1843" w:type="dxa"/>
            <w:tcBorders>
              <w:top w:val="single" w:sz="4" w:space="0" w:color="370663"/>
            </w:tcBorders>
            <w:shd w:val="clear" w:color="auto" w:fill="F2F2F2" w:themeFill="background1" w:themeFillShade="F2"/>
            <w:vAlign w:val="center"/>
          </w:tcPr>
          <w:p w14:paraId="6476BE63" w14:textId="77777777" w:rsidR="003D40C8" w:rsidRDefault="003D40C8" w:rsidP="00E23966">
            <w:pPr>
              <w:spacing w:after="240" w:line="259" w:lineRule="auto"/>
              <w:rPr>
                <w:rFonts w:cs="Arial"/>
                <w:iCs/>
              </w:rPr>
            </w:pPr>
            <w:r>
              <w:rPr>
                <w:rFonts w:cs="Arial"/>
                <w:iCs/>
              </w:rPr>
              <w:t xml:space="preserve">National, GCCSA </w:t>
            </w:r>
          </w:p>
          <w:p w14:paraId="65697230" w14:textId="77777777" w:rsidR="003D40C8" w:rsidRDefault="003D40C8" w:rsidP="00E23966">
            <w:pPr>
              <w:spacing w:after="0"/>
              <w:ind w:left="113"/>
              <w:rPr>
                <w:rFonts w:cs="Arial"/>
              </w:rPr>
            </w:pPr>
          </w:p>
        </w:tc>
      </w:tr>
      <w:tr w:rsidR="00E23966" w:rsidRPr="00CB0C7A" w14:paraId="7AD067FF" w14:textId="2100DE02" w:rsidTr="00730829">
        <w:trPr>
          <w:trHeight w:val="397"/>
        </w:trPr>
        <w:tc>
          <w:tcPr>
            <w:tcW w:w="1408" w:type="dxa"/>
            <w:vMerge/>
            <w:vAlign w:val="center"/>
          </w:tcPr>
          <w:p w14:paraId="195A5C81" w14:textId="77777777" w:rsidR="00E23966" w:rsidRPr="000A21EE" w:rsidRDefault="00E23966" w:rsidP="00E23966">
            <w:pPr>
              <w:spacing w:after="0"/>
              <w:jc w:val="center"/>
              <w:rPr>
                <w:rFonts w:cs="Arial"/>
                <w:b/>
              </w:rPr>
            </w:pPr>
          </w:p>
        </w:tc>
        <w:tc>
          <w:tcPr>
            <w:tcW w:w="2551" w:type="dxa"/>
            <w:shd w:val="clear" w:color="auto" w:fill="FFFFFF" w:themeFill="background1"/>
            <w:tcMar>
              <w:top w:w="15" w:type="dxa"/>
              <w:left w:w="15" w:type="dxa"/>
              <w:bottom w:w="0" w:type="dxa"/>
              <w:right w:w="15" w:type="dxa"/>
            </w:tcMar>
            <w:vAlign w:val="center"/>
          </w:tcPr>
          <w:p w14:paraId="3A9B81D4" w14:textId="47C6150E" w:rsidR="00E23966" w:rsidRPr="00FA460E" w:rsidRDefault="004A7CB1" w:rsidP="00E23966">
            <w:pPr>
              <w:spacing w:after="0"/>
              <w:ind w:left="113"/>
              <w:rPr>
                <w:rFonts w:cs="Arial"/>
                <w:highlight w:val="green"/>
              </w:rPr>
            </w:pPr>
            <w:r>
              <w:rPr>
                <w:rFonts w:cs="Arial"/>
              </w:rPr>
              <w:t>C</w:t>
            </w:r>
            <w:r w:rsidR="00E23966" w:rsidRPr="007363B8">
              <w:rPr>
                <w:rFonts w:cs="Arial"/>
              </w:rPr>
              <w:t>ompletion rates</w:t>
            </w:r>
            <w:r>
              <w:rPr>
                <w:rFonts w:cs="Arial"/>
              </w:rPr>
              <w:t xml:space="preserve"> for apprentices and trainees (commencing 2019)</w:t>
            </w:r>
          </w:p>
        </w:tc>
        <w:tc>
          <w:tcPr>
            <w:tcW w:w="4820" w:type="dxa"/>
            <w:shd w:val="clear" w:color="auto" w:fill="FFFFFF" w:themeFill="background1"/>
            <w:vAlign w:val="center"/>
          </w:tcPr>
          <w:p w14:paraId="26EA9744" w14:textId="3160F179" w:rsidR="00E23966" w:rsidRPr="00FA460E" w:rsidRDefault="00121A2B" w:rsidP="00E23966">
            <w:pPr>
              <w:spacing w:after="240" w:line="259" w:lineRule="auto"/>
              <w:rPr>
                <w:rFonts w:cs="Arial"/>
                <w:highlight w:val="green"/>
              </w:rPr>
            </w:pPr>
            <w:r w:rsidRPr="00121A2B">
              <w:t xml:space="preserve">An estimate of individual completion rates for apprentices and trainees is derived by adjusting the contract completion rates by a factor representing the average recommencements in a particular occupation over a </w:t>
            </w:r>
            <w:r w:rsidR="00285E8D">
              <w:t>5</w:t>
            </w:r>
            <w:r w:rsidRPr="00121A2B">
              <w:t>-year period</w:t>
            </w:r>
            <w:r>
              <w:t xml:space="preserve"> (%)</w:t>
            </w:r>
          </w:p>
        </w:tc>
        <w:tc>
          <w:tcPr>
            <w:tcW w:w="3685" w:type="dxa"/>
            <w:shd w:val="clear" w:color="auto" w:fill="FFFFFF" w:themeFill="background1"/>
            <w:vAlign w:val="center"/>
          </w:tcPr>
          <w:p w14:paraId="1ABB5A7D" w14:textId="117F3A1E" w:rsidR="00E23966" w:rsidRPr="00FA460E" w:rsidRDefault="00545FBD" w:rsidP="00E23966">
            <w:pPr>
              <w:spacing w:after="0"/>
              <w:ind w:left="113"/>
              <w:rPr>
                <w:rFonts w:cs="Arial"/>
                <w:highlight w:val="green"/>
              </w:rPr>
            </w:pPr>
            <w:r w:rsidRPr="007363B8">
              <w:rPr>
                <w:rFonts w:cs="Arial"/>
              </w:rPr>
              <w:t xml:space="preserve">NCVER, </w:t>
            </w:r>
            <w:r w:rsidR="0067411F">
              <w:rPr>
                <w:rFonts w:cs="Arial"/>
              </w:rPr>
              <w:t>2024, A</w:t>
            </w:r>
            <w:r w:rsidR="007363B8" w:rsidRPr="0006306B">
              <w:rPr>
                <w:rFonts w:cs="Arial"/>
              </w:rPr>
              <w:t>pprentices and trainees</w:t>
            </w:r>
            <w:r w:rsidR="0067411F">
              <w:rPr>
                <w:rFonts w:cs="Arial"/>
              </w:rPr>
              <w:t xml:space="preserve"> 2024 – March quarter </w:t>
            </w:r>
            <w:r w:rsidR="001126CF">
              <w:rPr>
                <w:rFonts w:cs="Arial"/>
              </w:rPr>
              <w:t>estimates</w:t>
            </w:r>
            <w:r w:rsidR="007363B8" w:rsidRPr="0006306B">
              <w:rPr>
                <w:rFonts w:cs="Arial"/>
              </w:rPr>
              <w:t>, unpublished data</w:t>
            </w:r>
            <w:r w:rsidR="007363B8" w:rsidRPr="007363B8">
              <w:rPr>
                <w:rFonts w:cs="Arial"/>
                <w:i/>
                <w:iCs/>
              </w:rPr>
              <w:t> </w:t>
            </w:r>
          </w:p>
        </w:tc>
        <w:tc>
          <w:tcPr>
            <w:tcW w:w="1843" w:type="dxa"/>
            <w:shd w:val="clear" w:color="auto" w:fill="FFFFFF" w:themeFill="background1"/>
            <w:vAlign w:val="center"/>
          </w:tcPr>
          <w:p w14:paraId="3951B6D6" w14:textId="15F87B84" w:rsidR="00E23966" w:rsidRPr="00FA460E" w:rsidRDefault="007363B8" w:rsidP="00E23966">
            <w:pPr>
              <w:spacing w:after="240" w:line="259" w:lineRule="auto"/>
              <w:rPr>
                <w:rFonts w:cs="Arial"/>
                <w:highlight w:val="green"/>
              </w:rPr>
            </w:pPr>
            <w:r w:rsidRPr="00EB2D06">
              <w:rPr>
                <w:rFonts w:cs="Arial"/>
                <w:iCs/>
              </w:rPr>
              <w:t xml:space="preserve">National, </w:t>
            </w:r>
            <w:r>
              <w:rPr>
                <w:rFonts w:cs="Arial"/>
                <w:iCs/>
              </w:rPr>
              <w:t>GCCSA</w:t>
            </w:r>
          </w:p>
        </w:tc>
      </w:tr>
      <w:tr w:rsidR="00E23966" w:rsidRPr="00CB0C7A" w14:paraId="49060299" w14:textId="07A7A7A2" w:rsidTr="00730829">
        <w:trPr>
          <w:trHeight w:val="397"/>
        </w:trPr>
        <w:tc>
          <w:tcPr>
            <w:tcW w:w="1408" w:type="dxa"/>
            <w:vMerge/>
            <w:vAlign w:val="center"/>
          </w:tcPr>
          <w:p w14:paraId="3777DDE0" w14:textId="77777777" w:rsidR="00E23966" w:rsidRPr="000A21EE" w:rsidRDefault="00E23966" w:rsidP="00E23966">
            <w:pPr>
              <w:spacing w:after="0"/>
              <w:jc w:val="center"/>
              <w:rPr>
                <w:rFonts w:cs="Arial"/>
                <w:b/>
              </w:rPr>
            </w:pPr>
          </w:p>
        </w:tc>
        <w:tc>
          <w:tcPr>
            <w:tcW w:w="2551" w:type="dxa"/>
            <w:shd w:val="clear" w:color="auto" w:fill="E6E6E6"/>
            <w:tcMar>
              <w:top w:w="15" w:type="dxa"/>
              <w:left w:w="15" w:type="dxa"/>
              <w:bottom w:w="0" w:type="dxa"/>
              <w:right w:w="15" w:type="dxa"/>
            </w:tcMar>
            <w:vAlign w:val="center"/>
          </w:tcPr>
          <w:p w14:paraId="0C879905" w14:textId="77777777" w:rsidR="00E23966" w:rsidRPr="000718F9" w:rsidRDefault="00E23966" w:rsidP="00E23966">
            <w:pPr>
              <w:spacing w:after="0"/>
              <w:ind w:left="113"/>
              <w:rPr>
                <w:rFonts w:cs="Arial"/>
                <w:highlight w:val="yellow"/>
              </w:rPr>
            </w:pPr>
            <w:r w:rsidRPr="000718F9">
              <w:rPr>
                <w:rFonts w:cs="Arial"/>
              </w:rPr>
              <w:t xml:space="preserve">Proportion working in the same field as </w:t>
            </w:r>
            <w:r>
              <w:rPr>
                <w:rFonts w:cs="Arial"/>
              </w:rPr>
              <w:t>most relevant</w:t>
            </w:r>
            <w:r w:rsidRPr="000718F9">
              <w:rPr>
                <w:rFonts w:cs="Arial"/>
              </w:rPr>
              <w:t xml:space="preserve"> qualification</w:t>
            </w:r>
          </w:p>
        </w:tc>
        <w:tc>
          <w:tcPr>
            <w:tcW w:w="4820" w:type="dxa"/>
            <w:shd w:val="clear" w:color="auto" w:fill="E6E6E6"/>
            <w:vAlign w:val="center"/>
          </w:tcPr>
          <w:p w14:paraId="304F4134" w14:textId="77777777" w:rsidR="00E23966" w:rsidRDefault="00E23966" w:rsidP="00E23966">
            <w:pPr>
              <w:spacing w:after="240" w:line="259" w:lineRule="auto"/>
              <w:rPr>
                <w:rFonts w:cs="Arial"/>
                <w:iCs/>
              </w:rPr>
            </w:pPr>
            <w:r w:rsidRPr="00D678C4">
              <w:rPr>
                <w:rFonts w:cs="Arial"/>
                <w:iCs/>
              </w:rPr>
              <w:t xml:space="preserve">Proportion of </w:t>
            </w:r>
            <w:r>
              <w:rPr>
                <w:rFonts w:cs="Arial"/>
                <w:iCs/>
              </w:rPr>
              <w:t>employed (25-44 years) population</w:t>
            </w:r>
            <w:r w:rsidRPr="00D678C4">
              <w:rPr>
                <w:rFonts w:cs="Arial"/>
                <w:iCs/>
              </w:rPr>
              <w:t xml:space="preserve"> </w:t>
            </w:r>
            <w:r>
              <w:rPr>
                <w:rFonts w:cs="Arial"/>
                <w:iCs/>
              </w:rPr>
              <w:t>working in same field as their qualification (%)</w:t>
            </w:r>
          </w:p>
          <w:p w14:paraId="014876EE" w14:textId="77777777" w:rsidR="00E23966" w:rsidRPr="000718F9" w:rsidRDefault="00E23966" w:rsidP="00E23966">
            <w:pPr>
              <w:spacing w:after="0"/>
              <w:ind w:left="113"/>
              <w:rPr>
                <w:rFonts w:cs="Arial"/>
              </w:rPr>
            </w:pPr>
          </w:p>
        </w:tc>
        <w:tc>
          <w:tcPr>
            <w:tcW w:w="3685" w:type="dxa"/>
            <w:shd w:val="clear" w:color="auto" w:fill="E6E6E6"/>
            <w:vAlign w:val="center"/>
          </w:tcPr>
          <w:p w14:paraId="45B18C62" w14:textId="1075C4D3" w:rsidR="00E23966" w:rsidRPr="000718F9" w:rsidRDefault="00E23966" w:rsidP="00E23966">
            <w:pPr>
              <w:spacing w:after="0"/>
              <w:ind w:left="113"/>
              <w:rPr>
                <w:rFonts w:cs="Arial"/>
              </w:rPr>
            </w:pPr>
            <w:r>
              <w:rPr>
                <w:rFonts w:cs="Arial"/>
              </w:rPr>
              <w:t>ABS, Survey of Qualification and Work, 2023</w:t>
            </w:r>
          </w:p>
        </w:tc>
        <w:tc>
          <w:tcPr>
            <w:tcW w:w="1843" w:type="dxa"/>
            <w:shd w:val="clear" w:color="auto" w:fill="E6E6E6"/>
            <w:vAlign w:val="center"/>
          </w:tcPr>
          <w:p w14:paraId="45D6AF11" w14:textId="59D18D24" w:rsidR="00E23966" w:rsidRPr="000718F9" w:rsidRDefault="00E23966" w:rsidP="00E23966">
            <w:pPr>
              <w:spacing w:after="0"/>
              <w:ind w:left="113"/>
              <w:rPr>
                <w:rFonts w:cs="Arial"/>
              </w:rPr>
            </w:pPr>
            <w:r w:rsidRPr="00EB2D06">
              <w:rPr>
                <w:rFonts w:cs="Arial"/>
                <w:iCs/>
              </w:rPr>
              <w:t xml:space="preserve">National, </w:t>
            </w:r>
            <w:r>
              <w:rPr>
                <w:rFonts w:cs="Arial"/>
                <w:iCs/>
              </w:rPr>
              <w:t>GCCSA</w:t>
            </w:r>
          </w:p>
        </w:tc>
      </w:tr>
      <w:tr w:rsidR="00E23966" w:rsidRPr="00CB0C7A" w14:paraId="6AB750E2" w14:textId="4584D09A" w:rsidTr="00730829">
        <w:trPr>
          <w:trHeight w:val="397"/>
        </w:trPr>
        <w:tc>
          <w:tcPr>
            <w:tcW w:w="1408" w:type="dxa"/>
            <w:vMerge/>
            <w:tcBorders>
              <w:bottom w:val="single" w:sz="4" w:space="0" w:color="370663"/>
            </w:tcBorders>
            <w:vAlign w:val="center"/>
          </w:tcPr>
          <w:p w14:paraId="09BDFF13" w14:textId="77777777" w:rsidR="00E23966" w:rsidRPr="000A21EE" w:rsidRDefault="00E23966" w:rsidP="00E23966">
            <w:pPr>
              <w:spacing w:after="0"/>
              <w:jc w:val="center"/>
              <w:rPr>
                <w:rFonts w:cs="Arial"/>
                <w:b/>
              </w:rPr>
            </w:pPr>
          </w:p>
        </w:tc>
        <w:tc>
          <w:tcPr>
            <w:tcW w:w="2551" w:type="dxa"/>
            <w:tcBorders>
              <w:bottom w:val="single" w:sz="4" w:space="0" w:color="370663"/>
            </w:tcBorders>
            <w:tcMar>
              <w:top w:w="15" w:type="dxa"/>
              <w:left w:w="15" w:type="dxa"/>
              <w:bottom w:w="0" w:type="dxa"/>
              <w:right w:w="15" w:type="dxa"/>
            </w:tcMar>
            <w:vAlign w:val="center"/>
          </w:tcPr>
          <w:p w14:paraId="58EF2DA7" w14:textId="77777777" w:rsidR="00E23966" w:rsidRPr="000718F9" w:rsidRDefault="00E23966" w:rsidP="00E23966">
            <w:pPr>
              <w:spacing w:after="0"/>
              <w:ind w:left="113"/>
              <w:rPr>
                <w:rFonts w:cs="Arial"/>
                <w:highlight w:val="yellow"/>
              </w:rPr>
            </w:pPr>
            <w:r w:rsidRPr="000718F9">
              <w:rPr>
                <w:rFonts w:cs="Arial"/>
              </w:rPr>
              <w:t xml:space="preserve">Proportion working in </w:t>
            </w:r>
            <w:r>
              <w:rPr>
                <w:rFonts w:cs="Arial"/>
              </w:rPr>
              <w:t>jobs below their qualification level</w:t>
            </w:r>
          </w:p>
        </w:tc>
        <w:tc>
          <w:tcPr>
            <w:tcW w:w="4820" w:type="dxa"/>
            <w:tcBorders>
              <w:bottom w:val="single" w:sz="4" w:space="0" w:color="370663"/>
            </w:tcBorders>
            <w:vAlign w:val="center"/>
          </w:tcPr>
          <w:p w14:paraId="74618D78" w14:textId="2AFC8A15" w:rsidR="00E23966" w:rsidRPr="000718F9" w:rsidRDefault="00E23966" w:rsidP="00E23966">
            <w:pPr>
              <w:spacing w:after="0"/>
              <w:ind w:left="113"/>
              <w:rPr>
                <w:rFonts w:cs="Arial"/>
              </w:rPr>
            </w:pPr>
            <w:r w:rsidRPr="00E42A36">
              <w:rPr>
                <w:rFonts w:cs="Arial"/>
                <w:iCs/>
              </w:rPr>
              <w:t>Proportion of employed population working at a lower skill level than their qualification (%)</w:t>
            </w:r>
          </w:p>
        </w:tc>
        <w:tc>
          <w:tcPr>
            <w:tcW w:w="3685" w:type="dxa"/>
            <w:tcBorders>
              <w:bottom w:val="single" w:sz="4" w:space="0" w:color="370663"/>
            </w:tcBorders>
            <w:vAlign w:val="center"/>
          </w:tcPr>
          <w:p w14:paraId="3A78ED0A" w14:textId="66543BB7" w:rsidR="00E23966" w:rsidRPr="000718F9" w:rsidRDefault="00E23966" w:rsidP="00E23966">
            <w:pPr>
              <w:spacing w:after="0"/>
              <w:ind w:left="113"/>
              <w:rPr>
                <w:rFonts w:cs="Arial"/>
              </w:rPr>
            </w:pPr>
            <w:r>
              <w:rPr>
                <w:rFonts w:cs="Arial"/>
              </w:rPr>
              <w:t>ABS, Survey of Education and Work, 2024</w:t>
            </w:r>
          </w:p>
        </w:tc>
        <w:tc>
          <w:tcPr>
            <w:tcW w:w="1843" w:type="dxa"/>
            <w:tcBorders>
              <w:bottom w:val="single" w:sz="4" w:space="0" w:color="370663"/>
            </w:tcBorders>
            <w:vAlign w:val="center"/>
          </w:tcPr>
          <w:p w14:paraId="13437240" w14:textId="57208301" w:rsidR="00E23966" w:rsidRPr="000718F9" w:rsidRDefault="00E23966" w:rsidP="00E23966">
            <w:pPr>
              <w:spacing w:after="0"/>
              <w:ind w:left="113"/>
              <w:rPr>
                <w:rFonts w:cs="Arial"/>
              </w:rPr>
            </w:pPr>
            <w:r w:rsidRPr="00EB2D06">
              <w:rPr>
                <w:rFonts w:cs="Arial"/>
                <w:iCs/>
              </w:rPr>
              <w:t xml:space="preserve">National, </w:t>
            </w:r>
            <w:r>
              <w:rPr>
                <w:rFonts w:cs="Arial"/>
                <w:iCs/>
              </w:rPr>
              <w:t>GCCSA</w:t>
            </w:r>
          </w:p>
        </w:tc>
      </w:tr>
      <w:tr w:rsidR="00E23966" w:rsidRPr="00CB0C7A" w14:paraId="2D540AF5" w14:textId="0D86794E" w:rsidTr="00730829">
        <w:trPr>
          <w:trHeight w:val="397"/>
        </w:trPr>
        <w:tc>
          <w:tcPr>
            <w:tcW w:w="1408" w:type="dxa"/>
            <w:vMerge w:val="restart"/>
            <w:tcBorders>
              <w:top w:val="single" w:sz="4" w:space="0" w:color="370663"/>
            </w:tcBorders>
            <w:tcMar>
              <w:top w:w="15" w:type="dxa"/>
              <w:left w:w="15" w:type="dxa"/>
              <w:bottom w:w="0" w:type="dxa"/>
              <w:right w:w="15" w:type="dxa"/>
            </w:tcMar>
            <w:vAlign w:val="center"/>
            <w:hideMark/>
          </w:tcPr>
          <w:p w14:paraId="1F84DC24" w14:textId="77777777" w:rsidR="00E23966" w:rsidRDefault="00E23966" w:rsidP="00E23966">
            <w:pPr>
              <w:spacing w:after="0"/>
              <w:ind w:left="2160"/>
              <w:jc w:val="center"/>
              <w:rPr>
                <w:rFonts w:cs="Arial"/>
                <w:b/>
              </w:rPr>
            </w:pPr>
          </w:p>
          <w:p w14:paraId="3CF4BBD5" w14:textId="1F354435" w:rsidR="00E23966" w:rsidRPr="0028051F" w:rsidRDefault="00E23966" w:rsidP="00E23966">
            <w:pPr>
              <w:rPr>
                <w:rFonts w:cs="Arial"/>
              </w:rPr>
            </w:pPr>
            <w:r>
              <w:rPr>
                <w:rFonts w:cs="Arial"/>
                <w:b/>
              </w:rPr>
              <w:t>Quality Jobs</w:t>
            </w:r>
          </w:p>
        </w:tc>
        <w:tc>
          <w:tcPr>
            <w:tcW w:w="2551" w:type="dxa"/>
            <w:tcBorders>
              <w:top w:val="single" w:sz="4" w:space="0" w:color="370663"/>
            </w:tcBorders>
            <w:shd w:val="clear" w:color="auto" w:fill="E6E6E6"/>
            <w:tcMar>
              <w:top w:w="15" w:type="dxa"/>
              <w:left w:w="15" w:type="dxa"/>
              <w:bottom w:w="0" w:type="dxa"/>
              <w:right w:w="15" w:type="dxa"/>
            </w:tcMar>
            <w:vAlign w:val="center"/>
            <w:hideMark/>
          </w:tcPr>
          <w:p w14:paraId="13D6AA68" w14:textId="1E26556A" w:rsidR="00E23966" w:rsidRPr="000718F9" w:rsidRDefault="00E23966" w:rsidP="00E23966">
            <w:pPr>
              <w:spacing w:after="0"/>
              <w:ind w:left="113"/>
              <w:rPr>
                <w:rFonts w:cs="Arial"/>
              </w:rPr>
            </w:pPr>
            <w:r>
              <w:rPr>
                <w:rFonts w:cs="Arial"/>
              </w:rPr>
              <w:t>High job satisfaction</w:t>
            </w:r>
          </w:p>
        </w:tc>
        <w:tc>
          <w:tcPr>
            <w:tcW w:w="4820" w:type="dxa"/>
            <w:tcBorders>
              <w:top w:val="single" w:sz="4" w:space="0" w:color="370663"/>
            </w:tcBorders>
            <w:shd w:val="clear" w:color="auto" w:fill="E6E6E6"/>
            <w:vAlign w:val="center"/>
          </w:tcPr>
          <w:p w14:paraId="4B110E2F" w14:textId="77777777" w:rsidR="00E23966" w:rsidRDefault="00E23966" w:rsidP="00E23966">
            <w:pPr>
              <w:spacing w:after="240" w:line="259" w:lineRule="auto"/>
              <w:rPr>
                <w:rFonts w:cs="Arial"/>
                <w:iCs/>
              </w:rPr>
            </w:pPr>
            <w:r w:rsidRPr="00D678C4">
              <w:rPr>
                <w:rFonts w:cs="Arial"/>
                <w:iCs/>
              </w:rPr>
              <w:t xml:space="preserve">Proportion of </w:t>
            </w:r>
            <w:r>
              <w:rPr>
                <w:rFonts w:cs="Arial"/>
                <w:iCs/>
              </w:rPr>
              <w:t xml:space="preserve">employed who self-report ‘totally satisfied’ with their job (%) (where ‘totally satisfied’ is responding either 9 or 10 when asked how satisfied or dissatisfied you are with your job) </w:t>
            </w:r>
          </w:p>
          <w:p w14:paraId="471861C0" w14:textId="77777777" w:rsidR="00E23966" w:rsidRPr="000718F9" w:rsidRDefault="00E23966" w:rsidP="00E23966">
            <w:pPr>
              <w:spacing w:after="0"/>
              <w:ind w:left="113"/>
              <w:rPr>
                <w:rFonts w:cs="Arial"/>
              </w:rPr>
            </w:pPr>
          </w:p>
        </w:tc>
        <w:tc>
          <w:tcPr>
            <w:tcW w:w="3685" w:type="dxa"/>
            <w:tcBorders>
              <w:top w:val="single" w:sz="4" w:space="0" w:color="370663"/>
            </w:tcBorders>
            <w:shd w:val="clear" w:color="auto" w:fill="E6E6E6"/>
            <w:vAlign w:val="center"/>
          </w:tcPr>
          <w:p w14:paraId="0CDB6125" w14:textId="506232A0" w:rsidR="00E23966" w:rsidRPr="000718F9" w:rsidRDefault="00E23966" w:rsidP="00E23966">
            <w:pPr>
              <w:spacing w:after="0"/>
              <w:ind w:left="113"/>
              <w:rPr>
                <w:rFonts w:cs="Arial"/>
              </w:rPr>
            </w:pPr>
            <w:r w:rsidRPr="00D62C35">
              <w:rPr>
                <w:rFonts w:cs="Arial"/>
              </w:rPr>
              <w:t>Melbourne University, Household, Income and Labour Dynamics in Australia (HILDA) Survey</w:t>
            </w:r>
          </w:p>
        </w:tc>
        <w:tc>
          <w:tcPr>
            <w:tcW w:w="1843" w:type="dxa"/>
            <w:tcBorders>
              <w:top w:val="single" w:sz="4" w:space="0" w:color="370663"/>
            </w:tcBorders>
            <w:shd w:val="clear" w:color="auto" w:fill="E6E6E6"/>
            <w:vAlign w:val="center"/>
          </w:tcPr>
          <w:p w14:paraId="7AE84FF8" w14:textId="0CB7ABC5" w:rsidR="00E23966" w:rsidRPr="000718F9" w:rsidRDefault="00E23966" w:rsidP="00E23966">
            <w:pPr>
              <w:spacing w:after="0"/>
              <w:ind w:left="113"/>
              <w:rPr>
                <w:rFonts w:cs="Arial"/>
              </w:rPr>
            </w:pPr>
            <w:r w:rsidRPr="00EB2D06">
              <w:rPr>
                <w:rFonts w:cs="Arial"/>
                <w:iCs/>
              </w:rPr>
              <w:t>National</w:t>
            </w:r>
          </w:p>
        </w:tc>
      </w:tr>
      <w:tr w:rsidR="00E23966" w:rsidRPr="00CB0C7A" w14:paraId="1135B01C" w14:textId="305C7FBD" w:rsidTr="00730829">
        <w:trPr>
          <w:trHeight w:val="397"/>
        </w:trPr>
        <w:tc>
          <w:tcPr>
            <w:tcW w:w="1408" w:type="dxa"/>
            <w:vMerge/>
            <w:vAlign w:val="center"/>
            <w:hideMark/>
          </w:tcPr>
          <w:p w14:paraId="70457621" w14:textId="77777777" w:rsidR="00E23966" w:rsidRPr="000A21EE" w:rsidRDefault="00E23966" w:rsidP="00E23966">
            <w:pPr>
              <w:spacing w:after="0"/>
              <w:jc w:val="center"/>
              <w:rPr>
                <w:rFonts w:cs="Arial"/>
                <w:b/>
              </w:rPr>
            </w:pPr>
          </w:p>
        </w:tc>
        <w:tc>
          <w:tcPr>
            <w:tcW w:w="2551" w:type="dxa"/>
            <w:tcMar>
              <w:top w:w="15" w:type="dxa"/>
              <w:left w:w="15" w:type="dxa"/>
              <w:bottom w:w="0" w:type="dxa"/>
              <w:right w:w="15" w:type="dxa"/>
            </w:tcMar>
            <w:vAlign w:val="center"/>
            <w:hideMark/>
          </w:tcPr>
          <w:p w14:paraId="33D1C314" w14:textId="63D71CF3" w:rsidR="00E23966" w:rsidRPr="000718F9" w:rsidRDefault="00E23966" w:rsidP="00E23966">
            <w:pPr>
              <w:spacing w:after="0"/>
              <w:ind w:left="113"/>
              <w:rPr>
                <w:rFonts w:cs="Arial"/>
              </w:rPr>
            </w:pPr>
            <w:r>
              <w:rPr>
                <w:rFonts w:cs="Arial"/>
              </w:rPr>
              <w:t>Underemployment rate</w:t>
            </w:r>
          </w:p>
        </w:tc>
        <w:tc>
          <w:tcPr>
            <w:tcW w:w="4820" w:type="dxa"/>
            <w:vAlign w:val="center"/>
          </w:tcPr>
          <w:p w14:paraId="07B4C29C" w14:textId="4BE8CB26" w:rsidR="00E23966" w:rsidRPr="000718F9" w:rsidRDefault="00E23966" w:rsidP="00E23966">
            <w:pPr>
              <w:spacing w:after="0"/>
              <w:ind w:left="113"/>
              <w:rPr>
                <w:rFonts w:cs="Arial"/>
              </w:rPr>
            </w:pPr>
            <w:r w:rsidRPr="00D678C4">
              <w:rPr>
                <w:rFonts w:cs="Arial"/>
                <w:iCs/>
              </w:rPr>
              <w:t xml:space="preserve">Proportion of </w:t>
            </w:r>
            <w:r>
              <w:rPr>
                <w:rFonts w:cs="Arial"/>
                <w:iCs/>
              </w:rPr>
              <w:t>labour force who are underemployed (p</w:t>
            </w:r>
            <w:r w:rsidRPr="00D62C35">
              <w:rPr>
                <w:rFonts w:cs="Arial"/>
                <w:iCs/>
              </w:rPr>
              <w:t>eople are underemployed if they are part time and want more hours, or full</w:t>
            </w:r>
            <w:r>
              <w:rPr>
                <w:rFonts w:cs="Arial"/>
                <w:iCs/>
              </w:rPr>
              <w:t>-</w:t>
            </w:r>
            <w:r w:rsidRPr="00D62C35">
              <w:rPr>
                <w:rFonts w:cs="Arial"/>
                <w:iCs/>
              </w:rPr>
              <w:t>time and worked part-time hours in the reference week for economic reasons</w:t>
            </w:r>
            <w:r>
              <w:rPr>
                <w:rFonts w:cs="Arial"/>
                <w:iCs/>
              </w:rPr>
              <w:t>) (%)</w:t>
            </w:r>
          </w:p>
        </w:tc>
        <w:tc>
          <w:tcPr>
            <w:tcW w:w="3685" w:type="dxa"/>
            <w:vAlign w:val="center"/>
          </w:tcPr>
          <w:p w14:paraId="3EF03C05" w14:textId="7A1FB0D5" w:rsidR="00E23966" w:rsidRPr="000718F9" w:rsidRDefault="00E23966" w:rsidP="00E23966">
            <w:pPr>
              <w:spacing w:after="0"/>
              <w:ind w:left="113"/>
              <w:rPr>
                <w:rFonts w:cs="Arial"/>
              </w:rPr>
            </w:pPr>
            <w:r>
              <w:rPr>
                <w:rFonts w:cs="Arial"/>
              </w:rPr>
              <w:t xml:space="preserve">ABS, Labour Force, Detailed, Datalab, </w:t>
            </w:r>
            <w:r w:rsidR="00D616D7">
              <w:rPr>
                <w:rFonts w:cs="Arial"/>
              </w:rPr>
              <w:t>12-month</w:t>
            </w:r>
            <w:r>
              <w:rPr>
                <w:rFonts w:cs="Arial"/>
              </w:rPr>
              <w:t xml:space="preserve"> averages of original estimates</w:t>
            </w:r>
          </w:p>
        </w:tc>
        <w:tc>
          <w:tcPr>
            <w:tcW w:w="1843" w:type="dxa"/>
            <w:vAlign w:val="center"/>
          </w:tcPr>
          <w:p w14:paraId="679D3AF7" w14:textId="1DE8371F" w:rsidR="00E23966" w:rsidRPr="000718F9" w:rsidRDefault="00E23966" w:rsidP="00E23966">
            <w:pPr>
              <w:spacing w:after="0"/>
              <w:ind w:left="113"/>
              <w:rPr>
                <w:rFonts w:cs="Arial"/>
              </w:rPr>
            </w:pPr>
            <w:r w:rsidRPr="00EB2D06">
              <w:rPr>
                <w:rFonts w:cs="Arial"/>
                <w:iCs/>
              </w:rPr>
              <w:t xml:space="preserve">National, </w:t>
            </w:r>
            <w:r>
              <w:rPr>
                <w:rFonts w:cs="Arial"/>
                <w:iCs/>
              </w:rPr>
              <w:t>GCCSA</w:t>
            </w:r>
          </w:p>
        </w:tc>
      </w:tr>
      <w:tr w:rsidR="00E23966" w:rsidRPr="00CB0C7A" w14:paraId="5FE3F1BD" w14:textId="412DF18B" w:rsidTr="002561F7">
        <w:trPr>
          <w:trHeight w:val="397"/>
        </w:trPr>
        <w:tc>
          <w:tcPr>
            <w:tcW w:w="1408" w:type="dxa"/>
            <w:vMerge/>
            <w:vAlign w:val="center"/>
          </w:tcPr>
          <w:p w14:paraId="6724C112" w14:textId="77777777" w:rsidR="00E23966" w:rsidRPr="000A21EE" w:rsidRDefault="00E23966" w:rsidP="00E23966">
            <w:pPr>
              <w:spacing w:after="0"/>
              <w:jc w:val="center"/>
              <w:rPr>
                <w:rFonts w:cs="Arial"/>
                <w:b/>
              </w:rPr>
            </w:pPr>
          </w:p>
        </w:tc>
        <w:tc>
          <w:tcPr>
            <w:tcW w:w="2551" w:type="dxa"/>
            <w:shd w:val="clear" w:color="auto" w:fill="E6E6E6"/>
            <w:tcMar>
              <w:top w:w="15" w:type="dxa"/>
              <w:left w:w="15" w:type="dxa"/>
              <w:bottom w:w="0" w:type="dxa"/>
              <w:right w:w="15" w:type="dxa"/>
            </w:tcMar>
            <w:vAlign w:val="center"/>
          </w:tcPr>
          <w:p w14:paraId="080FC422" w14:textId="38922569" w:rsidR="00E23966" w:rsidRPr="00045EE6" w:rsidRDefault="00E23966" w:rsidP="00E23966">
            <w:pPr>
              <w:spacing w:after="0"/>
              <w:ind w:left="113"/>
              <w:rPr>
                <w:rFonts w:cs="Arial"/>
              </w:rPr>
            </w:pPr>
            <w:r>
              <w:rPr>
                <w:rFonts w:cs="Arial"/>
              </w:rPr>
              <w:t>Income inequality ratio (P80/P20)</w:t>
            </w:r>
          </w:p>
        </w:tc>
        <w:tc>
          <w:tcPr>
            <w:tcW w:w="4820" w:type="dxa"/>
            <w:shd w:val="clear" w:color="auto" w:fill="E6E6E6"/>
            <w:vAlign w:val="center"/>
          </w:tcPr>
          <w:p w14:paraId="65C9F591" w14:textId="2BB04504" w:rsidR="00E23966" w:rsidRDefault="00E23966" w:rsidP="00E23966">
            <w:pPr>
              <w:spacing w:after="0"/>
              <w:ind w:left="113"/>
              <w:rPr>
                <w:rFonts w:cs="Arial"/>
              </w:rPr>
            </w:pPr>
            <w:r w:rsidRPr="00E42A36">
              <w:t xml:space="preserve">The </w:t>
            </w:r>
            <w:r w:rsidR="00307225">
              <w:t xml:space="preserve">median </w:t>
            </w:r>
            <w:r w:rsidRPr="00E42A36">
              <w:t>income received by those at the 80</w:t>
            </w:r>
            <w:r w:rsidRPr="00E42A36">
              <w:rPr>
                <w:vertAlign w:val="superscript"/>
              </w:rPr>
              <w:t>th</w:t>
            </w:r>
            <w:r w:rsidRPr="00E42A36">
              <w:t> income percentile (a person who is at the top 20</w:t>
            </w:r>
            <w:r w:rsidR="0040150E">
              <w:t xml:space="preserve">% </w:t>
            </w:r>
            <w:r w:rsidRPr="00E42A36">
              <w:t>of the income distribution) with those at the 20</w:t>
            </w:r>
            <w:r w:rsidRPr="00E42A36">
              <w:rPr>
                <w:vertAlign w:val="superscript"/>
              </w:rPr>
              <w:t>th</w:t>
            </w:r>
            <w:r w:rsidRPr="00E42A36">
              <w:t> income percentile (a person who is at the bottom 20</w:t>
            </w:r>
            <w:r w:rsidR="0040150E">
              <w:t xml:space="preserve">% </w:t>
            </w:r>
            <w:r w:rsidRPr="00E42A36">
              <w:t>of the income distribution) (%)</w:t>
            </w:r>
          </w:p>
        </w:tc>
        <w:tc>
          <w:tcPr>
            <w:tcW w:w="3685" w:type="dxa"/>
            <w:shd w:val="clear" w:color="auto" w:fill="E6E6E6"/>
            <w:vAlign w:val="center"/>
          </w:tcPr>
          <w:p w14:paraId="2B8881B1" w14:textId="76CAB904" w:rsidR="00E23966" w:rsidRDefault="0006306B" w:rsidP="00E23966">
            <w:pPr>
              <w:spacing w:after="0"/>
              <w:ind w:left="113"/>
              <w:rPr>
                <w:rFonts w:cs="Arial"/>
              </w:rPr>
            </w:pPr>
            <w:r>
              <w:rPr>
                <w:rFonts w:cs="Arial"/>
              </w:rPr>
              <w:t>PLIDA</w:t>
            </w:r>
          </w:p>
        </w:tc>
        <w:tc>
          <w:tcPr>
            <w:tcW w:w="1843" w:type="dxa"/>
            <w:shd w:val="clear" w:color="auto" w:fill="E6E6E6"/>
            <w:vAlign w:val="center"/>
          </w:tcPr>
          <w:p w14:paraId="1A983318" w14:textId="6EB2A2A6" w:rsidR="00E23966" w:rsidRDefault="00E23966" w:rsidP="00E23966">
            <w:pPr>
              <w:spacing w:after="0"/>
              <w:ind w:left="113"/>
              <w:rPr>
                <w:rFonts w:cs="Arial"/>
              </w:rPr>
            </w:pPr>
            <w:r w:rsidRPr="00EB2D06">
              <w:rPr>
                <w:rFonts w:cs="Arial"/>
                <w:iCs/>
              </w:rPr>
              <w:t xml:space="preserve">National, </w:t>
            </w:r>
            <w:r>
              <w:rPr>
                <w:rFonts w:cs="Arial"/>
                <w:iCs/>
              </w:rPr>
              <w:t>GCCSA</w:t>
            </w:r>
          </w:p>
        </w:tc>
      </w:tr>
      <w:tr w:rsidR="002561F7" w:rsidRPr="00CB0C7A" w14:paraId="250113FB" w14:textId="77777777" w:rsidTr="002561F7">
        <w:trPr>
          <w:trHeight w:val="397"/>
        </w:trPr>
        <w:tc>
          <w:tcPr>
            <w:tcW w:w="1408" w:type="dxa"/>
            <w:tcBorders>
              <w:bottom w:val="single" w:sz="4" w:space="0" w:color="370663"/>
            </w:tcBorders>
            <w:vAlign w:val="center"/>
          </w:tcPr>
          <w:p w14:paraId="5EBFF7EE" w14:textId="77777777" w:rsidR="002561F7" w:rsidRPr="000A21EE" w:rsidRDefault="002561F7" w:rsidP="00E23966">
            <w:pPr>
              <w:spacing w:after="0"/>
              <w:jc w:val="center"/>
              <w:rPr>
                <w:rFonts w:cs="Arial"/>
                <w:b/>
              </w:rPr>
            </w:pPr>
          </w:p>
        </w:tc>
        <w:tc>
          <w:tcPr>
            <w:tcW w:w="2551" w:type="dxa"/>
            <w:tcBorders>
              <w:bottom w:val="single" w:sz="4" w:space="0" w:color="370663"/>
            </w:tcBorders>
            <w:shd w:val="clear" w:color="auto" w:fill="FFFFFF" w:themeFill="background1"/>
            <w:tcMar>
              <w:top w:w="15" w:type="dxa"/>
              <w:left w:w="15" w:type="dxa"/>
              <w:bottom w:w="0" w:type="dxa"/>
              <w:right w:w="15" w:type="dxa"/>
            </w:tcMar>
            <w:vAlign w:val="center"/>
          </w:tcPr>
          <w:p w14:paraId="05973EC8" w14:textId="56641D4D" w:rsidR="002561F7" w:rsidRDefault="00B17693" w:rsidP="00E23966">
            <w:pPr>
              <w:spacing w:after="0"/>
              <w:ind w:left="113"/>
              <w:rPr>
                <w:rFonts w:cs="Arial"/>
              </w:rPr>
            </w:pPr>
            <w:r w:rsidRPr="00B17693">
              <w:rPr>
                <w:rFonts w:cs="Arial"/>
              </w:rPr>
              <w:t>Workers’ compensation</w:t>
            </w:r>
            <w:r w:rsidR="002561F7">
              <w:rPr>
                <w:rFonts w:cs="Arial"/>
              </w:rPr>
              <w:t xml:space="preserve"> incidence rate</w:t>
            </w:r>
          </w:p>
        </w:tc>
        <w:tc>
          <w:tcPr>
            <w:tcW w:w="4820" w:type="dxa"/>
            <w:tcBorders>
              <w:bottom w:val="single" w:sz="4" w:space="0" w:color="370663"/>
            </w:tcBorders>
            <w:shd w:val="clear" w:color="auto" w:fill="FFFFFF" w:themeFill="background1"/>
            <w:vAlign w:val="center"/>
          </w:tcPr>
          <w:p w14:paraId="16501F8D" w14:textId="782F3BA5" w:rsidR="002561F7" w:rsidRPr="00E42A36" w:rsidRDefault="00FB7C16" w:rsidP="00E23966">
            <w:pPr>
              <w:spacing w:after="0"/>
              <w:ind w:left="113"/>
            </w:pPr>
            <w:r>
              <w:t>Workers</w:t>
            </w:r>
            <w:r w:rsidR="00A1202D">
              <w:t xml:space="preserve"> who have had </w:t>
            </w:r>
            <w:r w:rsidR="00D96172">
              <w:t xml:space="preserve">an accepted </w:t>
            </w:r>
            <w:r w:rsidR="00A1202D">
              <w:t xml:space="preserve">workers compensation claim </w:t>
            </w:r>
            <w:r w:rsidR="00D96172">
              <w:t>involving one or more working weeks lost</w:t>
            </w:r>
            <w:r>
              <w:t>, expressed as a rate per 1</w:t>
            </w:r>
            <w:r w:rsidR="00416932">
              <w:t>,</w:t>
            </w:r>
            <w:r>
              <w:t xml:space="preserve">000 workers </w:t>
            </w:r>
          </w:p>
        </w:tc>
        <w:tc>
          <w:tcPr>
            <w:tcW w:w="3685" w:type="dxa"/>
            <w:tcBorders>
              <w:bottom w:val="single" w:sz="4" w:space="0" w:color="370663"/>
            </w:tcBorders>
            <w:shd w:val="clear" w:color="auto" w:fill="FFFFFF" w:themeFill="background1"/>
            <w:vAlign w:val="center"/>
          </w:tcPr>
          <w:p w14:paraId="58C60B23" w14:textId="1AAC161F" w:rsidR="00A0166C" w:rsidRDefault="0090207E" w:rsidP="00A0166C">
            <w:pPr>
              <w:spacing w:after="0"/>
              <w:ind w:left="113"/>
              <w:rPr>
                <w:rFonts w:cs="Arial"/>
              </w:rPr>
            </w:pPr>
            <w:r>
              <w:rPr>
                <w:rFonts w:cs="Arial"/>
              </w:rPr>
              <w:t xml:space="preserve">Safe Work Australia (SWA), </w:t>
            </w:r>
            <w:r w:rsidRPr="0090207E">
              <w:rPr>
                <w:rFonts w:cs="Arial"/>
              </w:rPr>
              <w:t>National Data</w:t>
            </w:r>
            <w:r w:rsidR="00FB7C16">
              <w:rPr>
                <w:rFonts w:cs="Arial"/>
              </w:rPr>
              <w:t>s</w:t>
            </w:r>
            <w:r w:rsidRPr="0090207E">
              <w:rPr>
                <w:rFonts w:cs="Arial"/>
              </w:rPr>
              <w:t>et for Compensation-based Statistics (NDS)</w:t>
            </w:r>
            <w:r>
              <w:rPr>
                <w:rFonts w:cs="Arial"/>
              </w:rPr>
              <w:t xml:space="preserve">, </w:t>
            </w:r>
            <w:r w:rsidR="00A0166C">
              <w:rPr>
                <w:rFonts w:cs="Arial"/>
              </w:rPr>
              <w:t>and ABS, Labour Force, Detailed, modelled estimates</w:t>
            </w:r>
          </w:p>
          <w:p w14:paraId="1AD73419" w14:textId="40A6250B" w:rsidR="002561F7" w:rsidRDefault="002561F7" w:rsidP="00E23966">
            <w:pPr>
              <w:spacing w:after="0"/>
              <w:ind w:left="113"/>
              <w:rPr>
                <w:rFonts w:cs="Arial"/>
              </w:rPr>
            </w:pPr>
          </w:p>
        </w:tc>
        <w:tc>
          <w:tcPr>
            <w:tcW w:w="1843" w:type="dxa"/>
            <w:tcBorders>
              <w:bottom w:val="single" w:sz="4" w:space="0" w:color="370663"/>
            </w:tcBorders>
            <w:shd w:val="clear" w:color="auto" w:fill="FFFFFF" w:themeFill="background1"/>
            <w:vAlign w:val="center"/>
          </w:tcPr>
          <w:p w14:paraId="4CF66EAF" w14:textId="4E3FCE31" w:rsidR="002561F7" w:rsidRPr="00EB2D06" w:rsidRDefault="0090207E" w:rsidP="00E23966">
            <w:pPr>
              <w:spacing w:after="0"/>
              <w:ind w:left="113"/>
              <w:rPr>
                <w:rFonts w:cs="Arial"/>
                <w:iCs/>
              </w:rPr>
            </w:pPr>
            <w:r>
              <w:rPr>
                <w:rFonts w:cs="Arial"/>
                <w:iCs/>
              </w:rPr>
              <w:t>National and GCCSA</w:t>
            </w:r>
          </w:p>
        </w:tc>
      </w:tr>
      <w:tr w:rsidR="00E23966" w:rsidRPr="00CB0C7A" w14:paraId="452585B9" w14:textId="77777777" w:rsidTr="00730829">
        <w:trPr>
          <w:trHeight w:val="397"/>
        </w:trPr>
        <w:tc>
          <w:tcPr>
            <w:tcW w:w="1408" w:type="dxa"/>
            <w:vMerge w:val="restart"/>
            <w:tcBorders>
              <w:top w:val="single" w:sz="4" w:space="0" w:color="370663"/>
            </w:tcBorders>
            <w:vAlign w:val="center"/>
          </w:tcPr>
          <w:p w14:paraId="0F62C1AF" w14:textId="20BEF072" w:rsidR="00E23966" w:rsidRPr="000A21EE" w:rsidRDefault="00E23966" w:rsidP="00E23966">
            <w:pPr>
              <w:spacing w:after="0"/>
              <w:jc w:val="center"/>
              <w:rPr>
                <w:rFonts w:cs="Arial"/>
                <w:b/>
              </w:rPr>
            </w:pPr>
            <w:r>
              <w:rPr>
                <w:rFonts w:cs="Arial"/>
                <w:b/>
              </w:rPr>
              <w:t>Meeting Demand</w:t>
            </w:r>
          </w:p>
        </w:tc>
        <w:tc>
          <w:tcPr>
            <w:tcW w:w="2551" w:type="dxa"/>
            <w:tcBorders>
              <w:top w:val="single" w:sz="4" w:space="0" w:color="370663"/>
            </w:tcBorders>
            <w:shd w:val="clear" w:color="auto" w:fill="FFFFFF" w:themeFill="background1"/>
            <w:tcMar>
              <w:top w:w="15" w:type="dxa"/>
              <w:left w:w="15" w:type="dxa"/>
              <w:bottom w:w="0" w:type="dxa"/>
              <w:right w:w="15" w:type="dxa"/>
            </w:tcMar>
            <w:vAlign w:val="center"/>
          </w:tcPr>
          <w:p w14:paraId="5AAD0FD1" w14:textId="04B8FD48" w:rsidR="00E23966" w:rsidRDefault="00E23966" w:rsidP="00E23966">
            <w:pPr>
              <w:spacing w:after="0"/>
              <w:ind w:left="113"/>
              <w:rPr>
                <w:rFonts w:cs="Arial"/>
              </w:rPr>
            </w:pPr>
            <w:r>
              <w:rPr>
                <w:rFonts w:cs="Arial"/>
              </w:rPr>
              <w:t>Vacancy fill rate</w:t>
            </w:r>
          </w:p>
        </w:tc>
        <w:tc>
          <w:tcPr>
            <w:tcW w:w="4820" w:type="dxa"/>
            <w:tcBorders>
              <w:top w:val="single" w:sz="4" w:space="0" w:color="370663"/>
            </w:tcBorders>
            <w:shd w:val="clear" w:color="auto" w:fill="FFFFFF" w:themeFill="background1"/>
            <w:vAlign w:val="center"/>
          </w:tcPr>
          <w:p w14:paraId="3C44BC70" w14:textId="08E7C396" w:rsidR="00E23966" w:rsidRPr="00E42A36" w:rsidRDefault="00110428" w:rsidP="00E23966">
            <w:pPr>
              <w:spacing w:after="0"/>
              <w:ind w:left="113"/>
            </w:pPr>
            <w:r w:rsidRPr="00110428">
              <w:t>The percentage of vacancies that have been filled (%)</w:t>
            </w:r>
          </w:p>
        </w:tc>
        <w:tc>
          <w:tcPr>
            <w:tcW w:w="3685" w:type="dxa"/>
            <w:tcBorders>
              <w:top w:val="single" w:sz="4" w:space="0" w:color="370663"/>
            </w:tcBorders>
            <w:shd w:val="clear" w:color="auto" w:fill="FFFFFF" w:themeFill="background1"/>
            <w:vAlign w:val="center"/>
          </w:tcPr>
          <w:p w14:paraId="33FDE3AA" w14:textId="484DE6B5" w:rsidR="00E23966" w:rsidRDefault="00E23966" w:rsidP="00E23966">
            <w:pPr>
              <w:spacing w:after="0"/>
              <w:ind w:left="113"/>
              <w:rPr>
                <w:rFonts w:cs="Arial"/>
              </w:rPr>
            </w:pPr>
            <w:r>
              <w:rPr>
                <w:rFonts w:cs="Arial"/>
              </w:rPr>
              <w:t xml:space="preserve">JSA, Survey of Employers who have recently advertised (SERA), </w:t>
            </w:r>
            <w:r w:rsidR="00D616D7">
              <w:rPr>
                <w:rFonts w:cs="Arial"/>
              </w:rPr>
              <w:t>12-month</w:t>
            </w:r>
            <w:r>
              <w:rPr>
                <w:rFonts w:cs="Arial"/>
              </w:rPr>
              <w:t xml:space="preserve"> averages (national and GCCSA), JSA, Recruitment Experiences and Outlook Survey (REOS)</w:t>
            </w:r>
          </w:p>
        </w:tc>
        <w:tc>
          <w:tcPr>
            <w:tcW w:w="1843" w:type="dxa"/>
            <w:tcBorders>
              <w:top w:val="single" w:sz="4" w:space="0" w:color="370663"/>
            </w:tcBorders>
            <w:shd w:val="clear" w:color="auto" w:fill="FFFFFF" w:themeFill="background1"/>
            <w:vAlign w:val="center"/>
          </w:tcPr>
          <w:p w14:paraId="2E13B578" w14:textId="52F5F6C5" w:rsidR="00E23966" w:rsidRPr="00EB2D06" w:rsidRDefault="00E23966" w:rsidP="00E23966">
            <w:pPr>
              <w:spacing w:after="0"/>
              <w:ind w:left="113"/>
              <w:rPr>
                <w:rFonts w:cs="Arial"/>
                <w:iCs/>
              </w:rPr>
            </w:pPr>
            <w:r w:rsidRPr="00EB2D06">
              <w:rPr>
                <w:rFonts w:cs="Arial"/>
                <w:iCs/>
              </w:rPr>
              <w:t>National</w:t>
            </w:r>
            <w:r>
              <w:rPr>
                <w:rFonts w:cs="Arial"/>
                <w:iCs/>
              </w:rPr>
              <w:t>, GCCSA (JSA SERA) and Remote (JSA REOS)</w:t>
            </w:r>
          </w:p>
        </w:tc>
      </w:tr>
      <w:tr w:rsidR="009F0095" w:rsidRPr="00CB0C7A" w14:paraId="4D6C231F" w14:textId="77777777" w:rsidTr="009F0095">
        <w:trPr>
          <w:trHeight w:val="397"/>
        </w:trPr>
        <w:tc>
          <w:tcPr>
            <w:tcW w:w="1408" w:type="dxa"/>
            <w:vMerge/>
            <w:tcBorders>
              <w:top w:val="single" w:sz="4" w:space="0" w:color="370663"/>
            </w:tcBorders>
            <w:vAlign w:val="center"/>
          </w:tcPr>
          <w:p w14:paraId="7AD523B0" w14:textId="77777777" w:rsidR="009F0095" w:rsidRDefault="009F0095" w:rsidP="00E23966">
            <w:pPr>
              <w:spacing w:after="0"/>
              <w:jc w:val="center"/>
              <w:rPr>
                <w:rFonts w:cs="Arial"/>
                <w:b/>
              </w:rPr>
            </w:pPr>
          </w:p>
        </w:tc>
        <w:tc>
          <w:tcPr>
            <w:tcW w:w="2551" w:type="dxa"/>
            <w:shd w:val="clear" w:color="auto" w:fill="F2F2F2" w:themeFill="background1" w:themeFillShade="F2"/>
            <w:tcMar>
              <w:top w:w="15" w:type="dxa"/>
              <w:left w:w="15" w:type="dxa"/>
              <w:bottom w:w="0" w:type="dxa"/>
              <w:right w:w="15" w:type="dxa"/>
            </w:tcMar>
            <w:vAlign w:val="center"/>
          </w:tcPr>
          <w:p w14:paraId="5DC71D5B" w14:textId="189B2521" w:rsidR="009F0095" w:rsidRDefault="002F59B1" w:rsidP="00E23966">
            <w:pPr>
              <w:spacing w:after="0"/>
              <w:ind w:left="113"/>
              <w:rPr>
                <w:rFonts w:cs="Arial"/>
              </w:rPr>
            </w:pPr>
            <w:r>
              <w:rPr>
                <w:rFonts w:cs="Arial"/>
              </w:rPr>
              <w:t xml:space="preserve">Essential services </w:t>
            </w:r>
            <w:r w:rsidR="00374688">
              <w:rPr>
                <w:rFonts w:cs="Arial"/>
              </w:rPr>
              <w:t>vacancy</w:t>
            </w:r>
            <w:r>
              <w:rPr>
                <w:rFonts w:cs="Arial"/>
              </w:rPr>
              <w:t xml:space="preserve"> rate</w:t>
            </w:r>
          </w:p>
        </w:tc>
        <w:tc>
          <w:tcPr>
            <w:tcW w:w="4820" w:type="dxa"/>
            <w:shd w:val="clear" w:color="auto" w:fill="F2F2F2" w:themeFill="background1" w:themeFillShade="F2"/>
            <w:vAlign w:val="center"/>
          </w:tcPr>
          <w:p w14:paraId="3ABE272B" w14:textId="5ACF269C" w:rsidR="009F0095" w:rsidRPr="00110428" w:rsidRDefault="002F59B1" w:rsidP="00E23966">
            <w:pPr>
              <w:spacing w:after="0"/>
              <w:ind w:left="113"/>
            </w:pPr>
            <w:r>
              <w:t xml:space="preserve">The proportion of the civilian population employed in essential service occupations (defined as Teachers (early childhood, primary and secondary), </w:t>
            </w:r>
            <w:r w:rsidR="00CD620E">
              <w:t xml:space="preserve">Nurses (Managers, Enrolled and Registered), GPs and Resident Medical Officers, </w:t>
            </w:r>
            <w:r w:rsidR="0092200E">
              <w:t xml:space="preserve">Pharmacists, </w:t>
            </w:r>
            <w:r w:rsidR="00CD620E">
              <w:t xml:space="preserve">Police, </w:t>
            </w:r>
            <w:r w:rsidR="0092200E">
              <w:t xml:space="preserve">Fire and Emergency, </w:t>
            </w:r>
            <w:r w:rsidR="00CD620E">
              <w:t>Ambulan</w:t>
            </w:r>
            <w:r w:rsidR="0092200E">
              <w:t>ce and Paramedics)</w:t>
            </w:r>
          </w:p>
        </w:tc>
        <w:tc>
          <w:tcPr>
            <w:tcW w:w="3685" w:type="dxa"/>
            <w:shd w:val="clear" w:color="auto" w:fill="F2F2F2" w:themeFill="background1" w:themeFillShade="F2"/>
            <w:vAlign w:val="center"/>
          </w:tcPr>
          <w:p w14:paraId="2BF160CF" w14:textId="1E421AD2" w:rsidR="009F0095" w:rsidRDefault="0092200E" w:rsidP="00E23966">
            <w:pPr>
              <w:spacing w:after="0"/>
              <w:ind w:left="113"/>
              <w:rPr>
                <w:rFonts w:cs="Arial"/>
              </w:rPr>
            </w:pPr>
            <w:r w:rsidRPr="00545FBD">
              <w:rPr>
                <w:rFonts w:cs="Arial"/>
                <w:iCs/>
              </w:rPr>
              <w:t>JSA Nowcast of Employment by Region and Occupation (NERO)</w:t>
            </w:r>
            <w:r>
              <w:rPr>
                <w:rFonts w:cs="Arial"/>
                <w:iCs/>
              </w:rPr>
              <w:t xml:space="preserve">  and </w:t>
            </w:r>
            <w:r w:rsidR="00374688">
              <w:rPr>
                <w:rFonts w:cs="Arial"/>
              </w:rPr>
              <w:t>JSA, Internet Vacancy Index</w:t>
            </w:r>
            <w:r>
              <w:rPr>
                <w:rFonts w:cs="Arial"/>
                <w:iCs/>
              </w:rPr>
              <w:t xml:space="preserve"> </w:t>
            </w:r>
            <w:r w:rsidR="006D37AB">
              <w:rPr>
                <w:rFonts w:cs="Arial"/>
                <w:iCs/>
              </w:rPr>
              <w:t>(</w:t>
            </w:r>
            <w:r w:rsidR="006D37AB" w:rsidRPr="006D37AB">
              <w:rPr>
                <w:rFonts w:cs="Arial"/>
                <w:iCs/>
              </w:rPr>
              <w:t>adjusted for proportion of jobs advertised online – JSA, Recruitment Experiences and Outlook Survey)</w:t>
            </w:r>
          </w:p>
        </w:tc>
        <w:tc>
          <w:tcPr>
            <w:tcW w:w="1843" w:type="dxa"/>
            <w:shd w:val="clear" w:color="auto" w:fill="F2F2F2" w:themeFill="background1" w:themeFillShade="F2"/>
            <w:vAlign w:val="center"/>
          </w:tcPr>
          <w:p w14:paraId="481D3D0E" w14:textId="5FFB1F98" w:rsidR="0092200E" w:rsidRDefault="0092200E" w:rsidP="0092200E">
            <w:pPr>
              <w:spacing w:after="240" w:line="259" w:lineRule="auto"/>
              <w:rPr>
                <w:rFonts w:cs="Arial"/>
                <w:iCs/>
              </w:rPr>
            </w:pPr>
            <w:r w:rsidRPr="00EB2D06">
              <w:rPr>
                <w:rFonts w:cs="Arial"/>
                <w:iCs/>
              </w:rPr>
              <w:t>National</w:t>
            </w:r>
            <w:r>
              <w:rPr>
                <w:rFonts w:cs="Arial"/>
                <w:iCs/>
              </w:rPr>
              <w:t xml:space="preserve">, GCCSA </w:t>
            </w:r>
          </w:p>
          <w:p w14:paraId="661BA3EA" w14:textId="77777777" w:rsidR="009F0095" w:rsidRPr="00EB2D06" w:rsidRDefault="009F0095" w:rsidP="00E23966">
            <w:pPr>
              <w:spacing w:after="0"/>
              <w:ind w:left="113"/>
              <w:rPr>
                <w:rFonts w:cs="Arial"/>
                <w:iCs/>
              </w:rPr>
            </w:pPr>
          </w:p>
        </w:tc>
      </w:tr>
      <w:tr w:rsidR="00E23966" w:rsidRPr="00CB0C7A" w14:paraId="3CDB5277" w14:textId="77777777" w:rsidTr="002F59B1">
        <w:trPr>
          <w:trHeight w:val="397"/>
        </w:trPr>
        <w:tc>
          <w:tcPr>
            <w:tcW w:w="1408" w:type="dxa"/>
            <w:vMerge/>
            <w:vAlign w:val="center"/>
          </w:tcPr>
          <w:p w14:paraId="77F93249" w14:textId="77777777" w:rsidR="00E23966" w:rsidRDefault="00E23966" w:rsidP="00E23966">
            <w:pPr>
              <w:spacing w:after="0"/>
              <w:jc w:val="center"/>
              <w:rPr>
                <w:rFonts w:cs="Arial"/>
                <w:b/>
              </w:rPr>
            </w:pPr>
          </w:p>
        </w:tc>
        <w:tc>
          <w:tcPr>
            <w:tcW w:w="2551" w:type="dxa"/>
            <w:shd w:val="clear" w:color="auto" w:fill="FFFFFF" w:themeFill="background1"/>
            <w:tcMar>
              <w:top w:w="15" w:type="dxa"/>
              <w:left w:w="15" w:type="dxa"/>
              <w:bottom w:w="0" w:type="dxa"/>
              <w:right w:w="15" w:type="dxa"/>
            </w:tcMar>
            <w:vAlign w:val="center"/>
          </w:tcPr>
          <w:p w14:paraId="2E0B194D" w14:textId="17253BC3" w:rsidR="00E23966" w:rsidRDefault="00E23966" w:rsidP="00E23966">
            <w:pPr>
              <w:spacing w:after="0"/>
              <w:ind w:left="113"/>
              <w:rPr>
                <w:rFonts w:cs="Arial"/>
              </w:rPr>
            </w:pPr>
            <w:r>
              <w:rPr>
                <w:rFonts w:cs="Arial"/>
              </w:rPr>
              <w:t>Persistent hiring pressure</w:t>
            </w:r>
          </w:p>
        </w:tc>
        <w:tc>
          <w:tcPr>
            <w:tcW w:w="4820" w:type="dxa"/>
            <w:shd w:val="clear" w:color="auto" w:fill="FFFFFF" w:themeFill="background1"/>
            <w:vAlign w:val="center"/>
          </w:tcPr>
          <w:p w14:paraId="7AD65F55" w14:textId="3B5EE12C" w:rsidR="00E23966" w:rsidRPr="00E23966" w:rsidRDefault="00545FBD" w:rsidP="00E23966">
            <w:pPr>
              <w:spacing w:after="0"/>
              <w:ind w:left="113"/>
              <w:rPr>
                <w:highlight w:val="green"/>
              </w:rPr>
            </w:pPr>
            <w:r>
              <w:t>P</w:t>
            </w:r>
            <w:r w:rsidRPr="00D06DA3">
              <w:t>roportion of occupations exhibiting high vacancy rates in 18 of the past 24 month</w:t>
            </w:r>
            <w:r>
              <w:t>s (%)</w:t>
            </w:r>
          </w:p>
        </w:tc>
        <w:tc>
          <w:tcPr>
            <w:tcW w:w="3685" w:type="dxa"/>
            <w:shd w:val="clear" w:color="auto" w:fill="FFFFFF" w:themeFill="background1"/>
            <w:vAlign w:val="center"/>
          </w:tcPr>
          <w:p w14:paraId="0D144135" w14:textId="4E70FA12" w:rsidR="00E23966" w:rsidRPr="00545FBD" w:rsidRDefault="00545FBD" w:rsidP="00E23966">
            <w:pPr>
              <w:spacing w:after="0"/>
              <w:ind w:left="113"/>
              <w:rPr>
                <w:rFonts w:cs="Arial"/>
                <w:iCs/>
              </w:rPr>
            </w:pPr>
            <w:r w:rsidRPr="00545FBD">
              <w:rPr>
                <w:rFonts w:cs="Arial"/>
                <w:iCs/>
              </w:rPr>
              <w:t>JSA Internet Vacancy Index (IVI) and JSA Nowcast of Employment by Region and Occupation (NERO).</w:t>
            </w:r>
          </w:p>
        </w:tc>
        <w:tc>
          <w:tcPr>
            <w:tcW w:w="1843" w:type="dxa"/>
            <w:shd w:val="clear" w:color="auto" w:fill="FFFFFF" w:themeFill="background1"/>
            <w:vAlign w:val="center"/>
          </w:tcPr>
          <w:p w14:paraId="6FA6169B" w14:textId="04BF627D" w:rsidR="00E23966" w:rsidRDefault="00E23966" w:rsidP="00E23966">
            <w:pPr>
              <w:spacing w:after="240" w:line="259" w:lineRule="auto"/>
              <w:rPr>
                <w:rFonts w:cs="Arial"/>
                <w:iCs/>
              </w:rPr>
            </w:pPr>
            <w:r w:rsidRPr="00EB2D06">
              <w:rPr>
                <w:rFonts w:cs="Arial"/>
                <w:iCs/>
              </w:rPr>
              <w:t>National</w:t>
            </w:r>
            <w:r>
              <w:rPr>
                <w:rFonts w:cs="Arial"/>
                <w:iCs/>
              </w:rPr>
              <w:t xml:space="preserve">, GCCSA </w:t>
            </w:r>
          </w:p>
          <w:p w14:paraId="5D165582" w14:textId="77777777" w:rsidR="00E23966" w:rsidRPr="00EB2D06" w:rsidRDefault="00E23966" w:rsidP="00E23966">
            <w:pPr>
              <w:spacing w:after="0"/>
              <w:ind w:left="113"/>
              <w:rPr>
                <w:rFonts w:cs="Arial"/>
                <w:iCs/>
              </w:rPr>
            </w:pPr>
          </w:p>
        </w:tc>
      </w:tr>
      <w:tr w:rsidR="00E23966" w:rsidRPr="00CB0C7A" w14:paraId="77FEE5A3" w14:textId="77777777" w:rsidTr="00BA1EE3">
        <w:trPr>
          <w:trHeight w:val="397"/>
        </w:trPr>
        <w:tc>
          <w:tcPr>
            <w:tcW w:w="1408" w:type="dxa"/>
            <w:vMerge/>
            <w:tcBorders>
              <w:bottom w:val="single" w:sz="4" w:space="0" w:color="auto"/>
            </w:tcBorders>
            <w:vAlign w:val="center"/>
          </w:tcPr>
          <w:p w14:paraId="66ED9487" w14:textId="77777777" w:rsidR="00E23966" w:rsidRDefault="00E23966" w:rsidP="00E23966">
            <w:pPr>
              <w:spacing w:after="0"/>
              <w:jc w:val="center"/>
              <w:rPr>
                <w:rFonts w:cs="Arial"/>
                <w:b/>
              </w:rPr>
            </w:pPr>
          </w:p>
        </w:tc>
        <w:tc>
          <w:tcPr>
            <w:tcW w:w="2551" w:type="dxa"/>
            <w:tcBorders>
              <w:bottom w:val="single" w:sz="4" w:space="0" w:color="auto"/>
            </w:tcBorders>
            <w:shd w:val="clear" w:color="auto" w:fill="F2F2F2" w:themeFill="background1" w:themeFillShade="F2"/>
            <w:tcMar>
              <w:top w:w="15" w:type="dxa"/>
              <w:left w:w="15" w:type="dxa"/>
              <w:bottom w:w="0" w:type="dxa"/>
              <w:right w:w="15" w:type="dxa"/>
            </w:tcMar>
            <w:vAlign w:val="center"/>
          </w:tcPr>
          <w:p w14:paraId="4367FDE6" w14:textId="1407E9C2" w:rsidR="00E23966" w:rsidRDefault="006961FA" w:rsidP="00E23966">
            <w:pPr>
              <w:spacing w:after="0"/>
              <w:ind w:left="113"/>
              <w:rPr>
                <w:rFonts w:cs="Arial"/>
              </w:rPr>
            </w:pPr>
            <w:r>
              <w:rPr>
                <w:rFonts w:cs="Arial"/>
              </w:rPr>
              <w:t>Business creation rate</w:t>
            </w:r>
          </w:p>
        </w:tc>
        <w:tc>
          <w:tcPr>
            <w:tcW w:w="4820" w:type="dxa"/>
            <w:tcBorders>
              <w:bottom w:val="single" w:sz="4" w:space="0" w:color="auto"/>
            </w:tcBorders>
            <w:shd w:val="clear" w:color="auto" w:fill="F2F2F2" w:themeFill="background1" w:themeFillShade="F2"/>
            <w:vAlign w:val="center"/>
          </w:tcPr>
          <w:p w14:paraId="078427E4" w14:textId="6144381B" w:rsidR="00E23966" w:rsidRPr="00E42A36" w:rsidRDefault="00CB4FA7" w:rsidP="00E23966">
            <w:pPr>
              <w:spacing w:after="0"/>
              <w:ind w:left="113"/>
            </w:pPr>
            <w:r>
              <w:rPr>
                <w:rFonts w:cs="Arial"/>
                <w:iCs/>
              </w:rPr>
              <w:t>T</w:t>
            </w:r>
            <w:r w:rsidRPr="00CB4FA7">
              <w:rPr>
                <w:rFonts w:cs="Arial"/>
                <w:iCs/>
              </w:rPr>
              <w:t>he proportion of new business entries (over the financial year) as a proportion of the working age (15-64 years) population.</w:t>
            </w:r>
          </w:p>
        </w:tc>
        <w:tc>
          <w:tcPr>
            <w:tcW w:w="3685" w:type="dxa"/>
            <w:tcBorders>
              <w:bottom w:val="single" w:sz="4" w:space="0" w:color="auto"/>
            </w:tcBorders>
            <w:shd w:val="clear" w:color="auto" w:fill="F2F2F2" w:themeFill="background1" w:themeFillShade="F2"/>
            <w:vAlign w:val="center"/>
          </w:tcPr>
          <w:p w14:paraId="73FB064E" w14:textId="4D530D1C" w:rsidR="00E23966" w:rsidRDefault="00E23966" w:rsidP="00E23966">
            <w:pPr>
              <w:spacing w:after="0"/>
              <w:ind w:left="113"/>
              <w:rPr>
                <w:rFonts w:cs="Arial"/>
              </w:rPr>
            </w:pPr>
            <w:r>
              <w:rPr>
                <w:rFonts w:cs="Arial"/>
              </w:rPr>
              <w:t xml:space="preserve">ABS, Counts of Australian Businesses, including Entries and Exits and ABS, Labour Force, Detailed, </w:t>
            </w:r>
            <w:r w:rsidR="006961FA">
              <w:rPr>
                <w:rFonts w:cs="Arial"/>
              </w:rPr>
              <w:t>6-month average of</w:t>
            </w:r>
            <w:r>
              <w:rPr>
                <w:rFonts w:cs="Arial"/>
              </w:rPr>
              <w:t xml:space="preserve"> estimates</w:t>
            </w:r>
          </w:p>
        </w:tc>
        <w:tc>
          <w:tcPr>
            <w:tcW w:w="1843" w:type="dxa"/>
            <w:tcBorders>
              <w:bottom w:val="single" w:sz="4" w:space="0" w:color="auto"/>
            </w:tcBorders>
            <w:shd w:val="clear" w:color="auto" w:fill="F2F2F2" w:themeFill="background1" w:themeFillShade="F2"/>
            <w:vAlign w:val="center"/>
          </w:tcPr>
          <w:p w14:paraId="33133853" w14:textId="77777777" w:rsidR="00E23966" w:rsidRDefault="00E23966" w:rsidP="00E23966">
            <w:pPr>
              <w:spacing w:after="240" w:line="259" w:lineRule="auto"/>
              <w:rPr>
                <w:rFonts w:cs="Arial"/>
                <w:iCs/>
              </w:rPr>
            </w:pPr>
            <w:r w:rsidRPr="00EB2D06">
              <w:rPr>
                <w:rFonts w:cs="Arial"/>
                <w:iCs/>
              </w:rPr>
              <w:t>National</w:t>
            </w:r>
            <w:r>
              <w:rPr>
                <w:rFonts w:cs="Arial"/>
                <w:iCs/>
              </w:rPr>
              <w:t xml:space="preserve">, GCCSA and Remote </w:t>
            </w:r>
          </w:p>
          <w:p w14:paraId="002DCC2F" w14:textId="77777777" w:rsidR="00E23966" w:rsidRPr="00EB2D06" w:rsidRDefault="00E23966" w:rsidP="00E23966">
            <w:pPr>
              <w:spacing w:after="0"/>
              <w:ind w:left="113"/>
              <w:rPr>
                <w:rFonts w:cs="Arial"/>
                <w:iCs/>
              </w:rPr>
            </w:pPr>
          </w:p>
        </w:tc>
      </w:tr>
      <w:tr w:rsidR="00BA1EE3" w:rsidRPr="00CB0C7A" w14:paraId="262B73E9" w14:textId="77777777" w:rsidTr="00E87F35">
        <w:trPr>
          <w:trHeight w:val="893"/>
        </w:trPr>
        <w:tc>
          <w:tcPr>
            <w:tcW w:w="1408" w:type="dxa"/>
            <w:vMerge w:val="restart"/>
            <w:tcBorders>
              <w:top w:val="single" w:sz="4" w:space="0" w:color="auto"/>
            </w:tcBorders>
            <w:vAlign w:val="center"/>
          </w:tcPr>
          <w:p w14:paraId="01C94996" w14:textId="27D398AB" w:rsidR="00BA1EE3" w:rsidRDefault="00BA1EE3" w:rsidP="00FA460E">
            <w:pPr>
              <w:spacing w:after="0"/>
              <w:jc w:val="center"/>
              <w:rPr>
                <w:rFonts w:cs="Arial"/>
                <w:b/>
              </w:rPr>
            </w:pPr>
            <w:r>
              <w:rPr>
                <w:rFonts w:cs="Arial"/>
                <w:b/>
              </w:rPr>
              <w:t>Efficient matching</w:t>
            </w:r>
          </w:p>
        </w:tc>
        <w:tc>
          <w:tcPr>
            <w:tcW w:w="2551" w:type="dxa"/>
            <w:tcBorders>
              <w:top w:val="single" w:sz="4" w:space="0" w:color="auto"/>
            </w:tcBorders>
            <w:tcMar>
              <w:top w:w="15" w:type="dxa"/>
              <w:left w:w="15" w:type="dxa"/>
              <w:bottom w:w="0" w:type="dxa"/>
              <w:right w:w="15" w:type="dxa"/>
            </w:tcMar>
            <w:vAlign w:val="center"/>
          </w:tcPr>
          <w:p w14:paraId="2218A436" w14:textId="5B5C5F69" w:rsidR="00BA1EE3" w:rsidRDefault="00BA1EE3" w:rsidP="00FA460E">
            <w:pPr>
              <w:spacing w:after="0"/>
              <w:ind w:left="113"/>
              <w:rPr>
                <w:rFonts w:cs="Arial"/>
              </w:rPr>
            </w:pPr>
            <w:r>
              <w:rPr>
                <w:rFonts w:cs="Arial"/>
              </w:rPr>
              <w:t>Beveridge Curve</w:t>
            </w:r>
          </w:p>
        </w:tc>
        <w:tc>
          <w:tcPr>
            <w:tcW w:w="4820" w:type="dxa"/>
            <w:tcBorders>
              <w:top w:val="single" w:sz="4" w:space="0" w:color="auto"/>
            </w:tcBorders>
            <w:vAlign w:val="center"/>
          </w:tcPr>
          <w:p w14:paraId="26605F3F" w14:textId="12D7642C" w:rsidR="00BA1EE3" w:rsidRDefault="00E87F35" w:rsidP="00FA460E">
            <w:pPr>
              <w:spacing w:after="0"/>
              <w:ind w:left="113"/>
              <w:rPr>
                <w:rFonts w:cs="Arial"/>
                <w:iCs/>
              </w:rPr>
            </w:pPr>
            <w:r>
              <w:rPr>
                <w:rFonts w:cs="Arial"/>
                <w:iCs/>
              </w:rPr>
              <w:t xml:space="preserve">The current position of the Beveridge Curve, based on the relationship between the vacancy rate and the unemployment rate. </w:t>
            </w:r>
          </w:p>
        </w:tc>
        <w:tc>
          <w:tcPr>
            <w:tcW w:w="3685" w:type="dxa"/>
            <w:tcBorders>
              <w:top w:val="single" w:sz="4" w:space="0" w:color="auto"/>
            </w:tcBorders>
            <w:vAlign w:val="center"/>
          </w:tcPr>
          <w:p w14:paraId="5A32C422" w14:textId="6841D23E" w:rsidR="00BA1EE3" w:rsidRDefault="00E87F35" w:rsidP="00FA460E">
            <w:pPr>
              <w:spacing w:after="0"/>
              <w:ind w:left="113"/>
              <w:rPr>
                <w:rFonts w:cs="Arial"/>
              </w:rPr>
            </w:pPr>
            <w:r w:rsidRPr="00E87F35">
              <w:rPr>
                <w:rFonts w:cs="Arial"/>
              </w:rPr>
              <w:t>JSA, Internet Vacancy Index (adjusted for proportion of jobs advertised online – JSA, Recruitment Experiences and Outlook Survey, April 2025) and ABS, Labour Force, Detailed, March 2025, modelled estimates.</w:t>
            </w:r>
          </w:p>
        </w:tc>
        <w:tc>
          <w:tcPr>
            <w:tcW w:w="1843" w:type="dxa"/>
            <w:tcBorders>
              <w:top w:val="single" w:sz="4" w:space="0" w:color="auto"/>
            </w:tcBorders>
            <w:vAlign w:val="center"/>
          </w:tcPr>
          <w:p w14:paraId="689B3ACB" w14:textId="1813A4BE" w:rsidR="00BA1EE3" w:rsidRPr="00EB2D06" w:rsidRDefault="00BA1EE3" w:rsidP="00BA1EE3">
            <w:pPr>
              <w:spacing w:after="0" w:line="259" w:lineRule="auto"/>
              <w:rPr>
                <w:rFonts w:cs="Arial"/>
                <w:iCs/>
              </w:rPr>
            </w:pPr>
            <w:r>
              <w:rPr>
                <w:rFonts w:cs="Arial"/>
                <w:iCs/>
              </w:rPr>
              <w:t>National, GCCSA and Remote</w:t>
            </w:r>
          </w:p>
        </w:tc>
      </w:tr>
      <w:tr w:rsidR="00BA1EE3" w:rsidRPr="00CB0C7A" w14:paraId="6796B5C1" w14:textId="77777777" w:rsidTr="00BA1EE3">
        <w:trPr>
          <w:trHeight w:val="397"/>
        </w:trPr>
        <w:tc>
          <w:tcPr>
            <w:tcW w:w="1408" w:type="dxa"/>
            <w:vMerge/>
            <w:tcBorders>
              <w:bottom w:val="single" w:sz="4" w:space="0" w:color="370663"/>
            </w:tcBorders>
            <w:vAlign w:val="center"/>
          </w:tcPr>
          <w:p w14:paraId="6616807B" w14:textId="77777777" w:rsidR="00BA1EE3" w:rsidRDefault="00BA1EE3" w:rsidP="00FA460E">
            <w:pPr>
              <w:spacing w:after="0"/>
              <w:jc w:val="center"/>
              <w:rPr>
                <w:rFonts w:cs="Arial"/>
                <w:b/>
              </w:rPr>
            </w:pPr>
          </w:p>
        </w:tc>
        <w:tc>
          <w:tcPr>
            <w:tcW w:w="2551" w:type="dxa"/>
            <w:tcBorders>
              <w:bottom w:val="single" w:sz="4" w:space="0" w:color="370663"/>
            </w:tcBorders>
            <w:shd w:val="clear" w:color="auto" w:fill="F2F2F2" w:themeFill="background1" w:themeFillShade="F2"/>
            <w:tcMar>
              <w:top w:w="15" w:type="dxa"/>
              <w:left w:w="15" w:type="dxa"/>
              <w:bottom w:w="0" w:type="dxa"/>
              <w:right w:w="15" w:type="dxa"/>
            </w:tcMar>
            <w:vAlign w:val="center"/>
          </w:tcPr>
          <w:p w14:paraId="084BD304" w14:textId="084932A6" w:rsidR="00BA1EE3" w:rsidRDefault="00E87F35" w:rsidP="00FA460E">
            <w:pPr>
              <w:spacing w:after="0"/>
              <w:ind w:left="113"/>
              <w:rPr>
                <w:rFonts w:cs="Arial"/>
              </w:rPr>
            </w:pPr>
            <w:r>
              <w:rPr>
                <w:rFonts w:cs="Arial"/>
              </w:rPr>
              <w:t>Efficiency of labour market matching</w:t>
            </w:r>
          </w:p>
        </w:tc>
        <w:tc>
          <w:tcPr>
            <w:tcW w:w="4820" w:type="dxa"/>
            <w:tcBorders>
              <w:bottom w:val="single" w:sz="4" w:space="0" w:color="370663"/>
            </w:tcBorders>
            <w:shd w:val="clear" w:color="auto" w:fill="F2F2F2" w:themeFill="background1" w:themeFillShade="F2"/>
            <w:vAlign w:val="center"/>
          </w:tcPr>
          <w:p w14:paraId="5FEAFC3F" w14:textId="5CD55002" w:rsidR="00BA1EE3" w:rsidRDefault="00E87F35" w:rsidP="00E87F35">
            <w:pPr>
              <w:spacing w:after="0"/>
              <w:rPr>
                <w:rFonts w:cs="Arial"/>
                <w:iCs/>
              </w:rPr>
            </w:pPr>
            <w:r>
              <w:rPr>
                <w:rFonts w:cs="Arial"/>
                <w:iCs/>
              </w:rPr>
              <w:t xml:space="preserve">Matching efficiency indicator (%) based on </w:t>
            </w:r>
            <w:r w:rsidR="00FE6CBF">
              <w:rPr>
                <w:rFonts w:cs="Arial"/>
                <w:iCs/>
              </w:rPr>
              <w:t xml:space="preserve">modelling </w:t>
            </w:r>
            <w:r>
              <w:rPr>
                <w:rFonts w:cs="Arial"/>
                <w:iCs/>
              </w:rPr>
              <w:t>the level of new hires occurring in the labour market</w:t>
            </w:r>
            <w:r w:rsidR="00FE6CBF">
              <w:rPr>
                <w:rFonts w:cs="Arial"/>
                <w:iCs/>
              </w:rPr>
              <w:t xml:space="preserve"> as a function of unemployment and vacancies. R</w:t>
            </w:r>
            <w:r>
              <w:rPr>
                <w:rFonts w:cs="Arial"/>
                <w:iCs/>
              </w:rPr>
              <w:t xml:space="preserve">esults are considered </w:t>
            </w:r>
            <w:r w:rsidR="00306785">
              <w:rPr>
                <w:rFonts w:cs="Arial"/>
                <w:iCs/>
              </w:rPr>
              <w:t>‘</w:t>
            </w:r>
            <w:r>
              <w:rPr>
                <w:rFonts w:cs="Arial"/>
                <w:iCs/>
              </w:rPr>
              <w:t>more efficient</w:t>
            </w:r>
            <w:r w:rsidR="00306785">
              <w:rPr>
                <w:rFonts w:cs="Arial"/>
                <w:iCs/>
              </w:rPr>
              <w:t>’</w:t>
            </w:r>
            <w:r>
              <w:rPr>
                <w:rFonts w:cs="Arial"/>
                <w:iCs/>
              </w:rPr>
              <w:t xml:space="preserve">, and 100% is considered </w:t>
            </w:r>
            <w:r w:rsidR="00306785">
              <w:rPr>
                <w:rFonts w:cs="Arial"/>
                <w:iCs/>
              </w:rPr>
              <w:t>‘</w:t>
            </w:r>
            <w:r>
              <w:rPr>
                <w:rFonts w:cs="Arial"/>
                <w:iCs/>
              </w:rPr>
              <w:t>best practice</w:t>
            </w:r>
            <w:r w:rsidR="00306785">
              <w:rPr>
                <w:rFonts w:cs="Arial"/>
                <w:iCs/>
              </w:rPr>
              <w:t>’</w:t>
            </w:r>
            <w:r>
              <w:rPr>
                <w:rFonts w:cs="Arial"/>
                <w:iCs/>
              </w:rPr>
              <w:t xml:space="preserve"> (based on stochastic </w:t>
            </w:r>
            <w:r w:rsidR="00BA2AAF">
              <w:rPr>
                <w:rFonts w:cs="Arial"/>
                <w:iCs/>
              </w:rPr>
              <w:t>frontier</w:t>
            </w:r>
            <w:r>
              <w:rPr>
                <w:rFonts w:cs="Arial"/>
                <w:iCs/>
              </w:rPr>
              <w:t xml:space="preserve"> analysis).</w:t>
            </w:r>
          </w:p>
        </w:tc>
        <w:tc>
          <w:tcPr>
            <w:tcW w:w="3685" w:type="dxa"/>
            <w:tcBorders>
              <w:bottom w:val="single" w:sz="4" w:space="0" w:color="370663"/>
            </w:tcBorders>
            <w:shd w:val="clear" w:color="auto" w:fill="F2F2F2" w:themeFill="background1" w:themeFillShade="F2"/>
            <w:vAlign w:val="center"/>
          </w:tcPr>
          <w:p w14:paraId="54DBD4C7" w14:textId="260D677B" w:rsidR="00BA1EE3" w:rsidRDefault="00BA1EE3" w:rsidP="00FA460E">
            <w:pPr>
              <w:spacing w:after="0"/>
              <w:ind w:left="113"/>
              <w:rPr>
                <w:rFonts w:cs="Arial"/>
              </w:rPr>
            </w:pPr>
            <w:r>
              <w:rPr>
                <w:rFonts w:cs="Arial"/>
              </w:rPr>
              <w:t>JSA experimental MUVER model</w:t>
            </w:r>
            <w:r w:rsidR="00E87F35">
              <w:rPr>
                <w:rFonts w:cs="Arial"/>
              </w:rPr>
              <w:t xml:space="preserve">, which is based on </w:t>
            </w:r>
            <w:r w:rsidR="00E87F35" w:rsidRPr="00E87F35">
              <w:rPr>
                <w:rFonts w:cs="Arial"/>
              </w:rPr>
              <w:t>JSA, Internet Vacancy Index (adjusted for proportion of jobs advertised online – JSA, Recruitment Experiences and Outlook Survey, April 2025) and ABS, Labour Force, Detailed (estimates of unemployment and new hires), derived from Datalab.</w:t>
            </w:r>
          </w:p>
        </w:tc>
        <w:tc>
          <w:tcPr>
            <w:tcW w:w="1843" w:type="dxa"/>
            <w:tcBorders>
              <w:bottom w:val="single" w:sz="4" w:space="0" w:color="370663"/>
            </w:tcBorders>
            <w:shd w:val="clear" w:color="auto" w:fill="F2F2F2" w:themeFill="background1" w:themeFillShade="F2"/>
            <w:vAlign w:val="center"/>
          </w:tcPr>
          <w:p w14:paraId="107EB29C" w14:textId="2571D0CC" w:rsidR="00BA1EE3" w:rsidRPr="00EB2D06" w:rsidRDefault="00BA1EE3" w:rsidP="00BA1EE3">
            <w:pPr>
              <w:spacing w:after="0" w:line="259" w:lineRule="auto"/>
              <w:rPr>
                <w:rFonts w:cs="Arial"/>
                <w:iCs/>
              </w:rPr>
            </w:pPr>
            <w:r>
              <w:rPr>
                <w:rFonts w:cs="Arial"/>
                <w:iCs/>
              </w:rPr>
              <w:t>National, GCCSA and Remote</w:t>
            </w:r>
          </w:p>
        </w:tc>
      </w:tr>
    </w:tbl>
    <w:p w14:paraId="39E8AF30" w14:textId="77777777" w:rsidR="00742A37" w:rsidRDefault="00742A37">
      <w:pPr>
        <w:spacing w:after="160" w:line="259" w:lineRule="auto"/>
        <w:rPr>
          <w:rFonts w:cs="Arial"/>
        </w:rPr>
      </w:pPr>
    </w:p>
    <w:p w14:paraId="15F19342" w14:textId="77777777" w:rsidR="006E352B" w:rsidRDefault="006E352B">
      <w:pPr>
        <w:spacing w:after="160" w:line="259" w:lineRule="auto"/>
        <w:rPr>
          <w:rFonts w:cs="Arial"/>
        </w:rPr>
        <w:sectPr w:rsidR="006E352B" w:rsidSect="002D2A28">
          <w:footnotePr>
            <w:pos w:val="beneathText"/>
          </w:footnotePr>
          <w:pgSz w:w="16839" w:h="11907" w:orient="landscape" w:code="9"/>
          <w:pgMar w:top="1440" w:right="1270" w:bottom="1440" w:left="1270" w:header="0" w:footer="539" w:gutter="0"/>
          <w:pgBorders w:offsetFrom="page">
            <w:top w:val="single" w:sz="4" w:space="24" w:color="A6A6A6" w:themeColor="background1" w:themeShade="A6"/>
            <w:left w:val="single" w:sz="4" w:space="24" w:color="A6A6A6" w:themeColor="background1" w:themeShade="A6"/>
            <w:bottom w:val="single" w:sz="4" w:space="24" w:color="A6A6A6" w:themeColor="background1" w:themeShade="A6"/>
            <w:right w:val="single" w:sz="4" w:space="24" w:color="A6A6A6" w:themeColor="background1" w:themeShade="A6"/>
          </w:pgBorders>
          <w:cols w:space="720"/>
          <w:docGrid w:linePitch="360"/>
        </w:sectPr>
      </w:pPr>
    </w:p>
    <w:p w14:paraId="0C93AFF9" w14:textId="77777777" w:rsidR="00B658AE" w:rsidRDefault="00B658AE" w:rsidP="00332CEE">
      <w:pPr>
        <w:pStyle w:val="Heading2"/>
      </w:pPr>
      <w:bookmarkStart w:id="251" w:name="_Toc200637169"/>
      <w:bookmarkStart w:id="252" w:name="_Toc201070211"/>
      <w:bookmarkStart w:id="253" w:name="_Toc201919874"/>
      <w:bookmarkStart w:id="254" w:name="_Toc202361902"/>
      <w:r>
        <w:lastRenderedPageBreak/>
        <w:t>Definition of Regional Australia</w:t>
      </w:r>
      <w:bookmarkEnd w:id="251"/>
      <w:bookmarkEnd w:id="252"/>
      <w:bookmarkEnd w:id="253"/>
      <w:bookmarkEnd w:id="254"/>
      <w:r>
        <w:t xml:space="preserve"> </w:t>
      </w:r>
    </w:p>
    <w:p w14:paraId="18D29CC8" w14:textId="2F0638AE" w:rsidR="00B658AE" w:rsidRDefault="00B658AE" w:rsidP="00B658AE">
      <w:pPr>
        <w:rPr>
          <w:rFonts w:cs="Arial"/>
        </w:rPr>
      </w:pPr>
      <w:r w:rsidRPr="00D446E0">
        <w:rPr>
          <w:rStyle w:val="BodyTextChar"/>
        </w:rPr>
        <w:t xml:space="preserve">Table </w:t>
      </w:r>
      <w:r w:rsidR="006303CE">
        <w:rPr>
          <w:rStyle w:val="BodyTextChar"/>
        </w:rPr>
        <w:t>4</w:t>
      </w:r>
      <w:r w:rsidR="00A538E2">
        <w:rPr>
          <w:rStyle w:val="BodyTextChar"/>
        </w:rPr>
        <w:t>6</w:t>
      </w:r>
      <w:r w:rsidRPr="00D446E0">
        <w:rPr>
          <w:rStyle w:val="BodyTextChar"/>
        </w:rPr>
        <w:t xml:space="preserve"> below provides a correspondence of SA4s and remoteness areas to the definition of Regional Australia utilised in this report, namely</w:t>
      </w:r>
      <w:r>
        <w:rPr>
          <w:rFonts w:cs="Arial"/>
        </w:rPr>
        <w:t>:</w:t>
      </w:r>
    </w:p>
    <w:tbl>
      <w:tblPr>
        <w:tblStyle w:val="CustomTablepulloutbox"/>
        <w:tblW w:w="0" w:type="auto"/>
        <w:tblLook w:val="0480" w:firstRow="0" w:lastRow="0" w:firstColumn="1" w:lastColumn="0" w:noHBand="0" w:noVBand="1"/>
      </w:tblPr>
      <w:tblGrid>
        <w:gridCol w:w="8996"/>
      </w:tblGrid>
      <w:tr w:rsidR="00A03141" w14:paraId="0BD61C0F" w14:textId="77777777" w:rsidTr="00DB340F">
        <w:tc>
          <w:tcPr>
            <w:tcW w:w="8997" w:type="dxa"/>
          </w:tcPr>
          <w:p w14:paraId="5A5BB907" w14:textId="77777777" w:rsidR="00A03141" w:rsidRPr="00BA67E0" w:rsidRDefault="00A03141" w:rsidP="00DB340F">
            <w:pPr>
              <w:pStyle w:val="BodyText"/>
            </w:pPr>
            <w:r w:rsidRPr="008409D2">
              <w:rPr>
                <w:sz w:val="22"/>
                <w:szCs w:val="22"/>
              </w:rPr>
              <w:t>Regional Australia includes all regions of Australia except for those in the major capital cities of Sydney, Melbourne, Brisbane, Adelaide and Perth and the Australian Capital Territory (ACT).</w:t>
            </w:r>
          </w:p>
        </w:tc>
      </w:tr>
    </w:tbl>
    <w:p w14:paraId="62D55668" w14:textId="1416305D" w:rsidR="00B658AE" w:rsidRPr="00361AC0" w:rsidRDefault="00A538E2" w:rsidP="00A538E2">
      <w:pPr>
        <w:pStyle w:val="Caption"/>
        <w:rPr>
          <w:rFonts w:cs="Arial"/>
          <w:b w:val="0"/>
        </w:rPr>
      </w:pPr>
      <w:r>
        <w:t xml:space="preserve">Table </w:t>
      </w:r>
      <w:r>
        <w:fldChar w:fldCharType="begin"/>
      </w:r>
      <w:r>
        <w:instrText xml:space="preserve"> SEQ Table \* ARABIC </w:instrText>
      </w:r>
      <w:r>
        <w:fldChar w:fldCharType="separate"/>
      </w:r>
      <w:r w:rsidR="00471863">
        <w:rPr>
          <w:noProof/>
        </w:rPr>
        <w:t>46</w:t>
      </w:r>
      <w:r>
        <w:fldChar w:fldCharType="end"/>
      </w:r>
      <w:r w:rsidR="00B658AE" w:rsidRPr="00361AC0">
        <w:rPr>
          <w:rFonts w:cs="Arial"/>
          <w:b w:val="0"/>
        </w:rPr>
        <w:t xml:space="preserve">: </w:t>
      </w:r>
      <w:r w:rsidR="00B658AE" w:rsidRPr="00A538E2">
        <w:rPr>
          <w:rFonts w:cs="Arial"/>
          <w:bCs w:val="0"/>
        </w:rPr>
        <w:t>Correspondence of SA4s and Remoteness Areas to the definition of Regional Australia</w:t>
      </w:r>
    </w:p>
    <w:tbl>
      <w:tblPr>
        <w:tblStyle w:val="JSATable1"/>
        <w:tblW w:w="0" w:type="auto"/>
        <w:tblLook w:val="04A0" w:firstRow="1" w:lastRow="0" w:firstColumn="1" w:lastColumn="0" w:noHBand="0" w:noVBand="1"/>
      </w:tblPr>
      <w:tblGrid>
        <w:gridCol w:w="784"/>
        <w:gridCol w:w="4744"/>
        <w:gridCol w:w="2127"/>
        <w:gridCol w:w="1371"/>
      </w:tblGrid>
      <w:tr w:rsidR="008060A9" w:rsidRPr="0077587B" w14:paraId="11866182" w14:textId="77777777" w:rsidTr="007912D4">
        <w:trPr>
          <w:cnfStyle w:val="100000000000" w:firstRow="1" w:lastRow="0" w:firstColumn="0" w:lastColumn="0" w:oddVBand="0" w:evenVBand="0" w:oddHBand="0" w:evenHBand="0" w:firstRowFirstColumn="0" w:firstRowLastColumn="0" w:lastRowFirstColumn="0" w:lastRowLastColumn="0"/>
          <w:trHeight w:val="20"/>
          <w:tblHeader/>
        </w:trPr>
        <w:tc>
          <w:tcPr>
            <w:tcW w:w="784" w:type="dxa"/>
            <w:tcBorders>
              <w:bottom w:val="single" w:sz="4" w:space="0" w:color="auto"/>
            </w:tcBorders>
            <w:noWrap/>
            <w:vAlign w:val="center"/>
            <w:hideMark/>
          </w:tcPr>
          <w:p w14:paraId="2D60C500" w14:textId="77777777" w:rsidR="00B658AE" w:rsidRPr="005C45AA" w:rsidRDefault="00B658AE" w:rsidP="0063709E">
            <w:pPr>
              <w:pStyle w:val="BodyText"/>
              <w:spacing w:before="0" w:after="0"/>
              <w:rPr>
                <w:lang w:val="en-US"/>
              </w:rPr>
            </w:pPr>
            <w:r w:rsidRPr="005C45AA">
              <w:rPr>
                <w:lang w:val="en-US"/>
              </w:rPr>
              <w:t>State</w:t>
            </w:r>
          </w:p>
        </w:tc>
        <w:tc>
          <w:tcPr>
            <w:tcW w:w="4744" w:type="dxa"/>
            <w:noWrap/>
            <w:vAlign w:val="center"/>
            <w:hideMark/>
          </w:tcPr>
          <w:p w14:paraId="74725615" w14:textId="77777777" w:rsidR="00B658AE" w:rsidRPr="005C45AA" w:rsidRDefault="00B658AE" w:rsidP="0063709E">
            <w:pPr>
              <w:pStyle w:val="BodyText"/>
              <w:spacing w:before="0" w:after="0"/>
              <w:rPr>
                <w:lang w:val="en-US"/>
              </w:rPr>
            </w:pPr>
            <w:r w:rsidRPr="005C45AA">
              <w:rPr>
                <w:lang w:val="en-US"/>
              </w:rPr>
              <w:t>SA4</w:t>
            </w:r>
          </w:p>
        </w:tc>
        <w:tc>
          <w:tcPr>
            <w:tcW w:w="2127" w:type="dxa"/>
            <w:tcBorders>
              <w:bottom w:val="single" w:sz="4" w:space="0" w:color="auto"/>
            </w:tcBorders>
            <w:noWrap/>
            <w:vAlign w:val="center"/>
            <w:hideMark/>
          </w:tcPr>
          <w:p w14:paraId="615D4F99" w14:textId="77777777" w:rsidR="00B658AE" w:rsidRPr="005C45AA" w:rsidRDefault="00B658AE" w:rsidP="0063709E">
            <w:pPr>
              <w:pStyle w:val="BodyText"/>
              <w:spacing w:before="0" w:after="0"/>
              <w:jc w:val="center"/>
              <w:rPr>
                <w:lang w:val="en-US"/>
              </w:rPr>
            </w:pPr>
            <w:r w:rsidRPr="005C45AA">
              <w:rPr>
                <w:lang w:val="en-US"/>
              </w:rPr>
              <w:t>ABS ARIA definition</w:t>
            </w:r>
          </w:p>
        </w:tc>
        <w:tc>
          <w:tcPr>
            <w:tcW w:w="1371" w:type="dxa"/>
            <w:noWrap/>
            <w:vAlign w:val="center"/>
            <w:hideMark/>
          </w:tcPr>
          <w:p w14:paraId="53C3970B" w14:textId="77777777" w:rsidR="00B658AE" w:rsidRPr="005C45AA" w:rsidRDefault="00B658AE" w:rsidP="0063709E">
            <w:pPr>
              <w:pStyle w:val="BodyText"/>
              <w:spacing w:before="0" w:after="0"/>
              <w:jc w:val="center"/>
              <w:rPr>
                <w:lang w:val="en-US"/>
              </w:rPr>
            </w:pPr>
            <w:r w:rsidRPr="005C45AA">
              <w:rPr>
                <w:lang w:val="en-US"/>
              </w:rPr>
              <w:t>JSA Regional Australia definition</w:t>
            </w:r>
          </w:p>
        </w:tc>
      </w:tr>
      <w:tr w:rsidR="00B658AE" w:rsidRPr="0077587B" w14:paraId="5D014B93" w14:textId="77777777" w:rsidTr="007912D4">
        <w:trPr>
          <w:trHeight w:val="20"/>
        </w:trPr>
        <w:tc>
          <w:tcPr>
            <w:tcW w:w="784" w:type="dxa"/>
            <w:vMerge w:val="restart"/>
            <w:tcBorders>
              <w:top w:val="single" w:sz="4" w:space="0" w:color="auto"/>
              <w:left w:val="single" w:sz="4" w:space="0" w:color="auto"/>
              <w:bottom w:val="single" w:sz="4" w:space="0" w:color="auto"/>
              <w:right w:val="single" w:sz="4" w:space="0" w:color="auto"/>
            </w:tcBorders>
            <w:noWrap/>
            <w:vAlign w:val="center"/>
            <w:hideMark/>
          </w:tcPr>
          <w:p w14:paraId="6B5769E7" w14:textId="77777777" w:rsidR="00B658AE" w:rsidRPr="005C45AA" w:rsidRDefault="00B658AE" w:rsidP="0063709E">
            <w:pPr>
              <w:pStyle w:val="BodyText"/>
              <w:spacing w:before="0" w:after="0"/>
              <w:rPr>
                <w:lang w:val="en-US"/>
              </w:rPr>
            </w:pPr>
            <w:r w:rsidRPr="005C45AA">
              <w:rPr>
                <w:lang w:val="en-US"/>
              </w:rPr>
              <w:t>NSW</w:t>
            </w:r>
          </w:p>
        </w:tc>
        <w:tc>
          <w:tcPr>
            <w:tcW w:w="4744" w:type="dxa"/>
            <w:tcBorders>
              <w:left w:val="single" w:sz="4" w:space="0" w:color="auto"/>
              <w:right w:val="single" w:sz="4" w:space="0" w:color="auto"/>
            </w:tcBorders>
            <w:noWrap/>
            <w:vAlign w:val="center"/>
            <w:hideMark/>
          </w:tcPr>
          <w:p w14:paraId="1386AD2B" w14:textId="77777777" w:rsidR="00B658AE" w:rsidRPr="005C45AA" w:rsidRDefault="00B658AE" w:rsidP="0063709E">
            <w:pPr>
              <w:pStyle w:val="BodyText"/>
              <w:spacing w:before="0" w:after="0"/>
              <w:rPr>
                <w:lang w:val="en-US"/>
              </w:rPr>
            </w:pPr>
            <w:r w:rsidRPr="005C45AA">
              <w:rPr>
                <w:lang w:val="en-US"/>
              </w:rPr>
              <w:t>Capital Region</w:t>
            </w:r>
          </w:p>
        </w:tc>
        <w:tc>
          <w:tcPr>
            <w:tcW w:w="2127" w:type="dxa"/>
            <w:tcBorders>
              <w:top w:val="single" w:sz="4" w:space="0" w:color="auto"/>
              <w:left w:val="single" w:sz="4" w:space="0" w:color="auto"/>
              <w:bottom w:val="nil"/>
              <w:right w:val="single" w:sz="4" w:space="0" w:color="auto"/>
            </w:tcBorders>
            <w:shd w:val="clear" w:color="auto" w:fill="FFFFFF" w:themeFill="background1"/>
            <w:noWrap/>
            <w:vAlign w:val="center"/>
            <w:hideMark/>
          </w:tcPr>
          <w:p w14:paraId="30AE13FA" w14:textId="1AF19535" w:rsidR="00B658AE" w:rsidRPr="007912D4" w:rsidRDefault="007912D4" w:rsidP="0063709E">
            <w:pPr>
              <w:pStyle w:val="BodyText"/>
              <w:spacing w:before="0" w:after="0"/>
              <w:rPr>
                <w:color w:val="FFFFFF" w:themeColor="background1"/>
                <w:lang w:val="en-US"/>
              </w:rPr>
            </w:pPr>
            <w:r w:rsidRPr="007912D4">
              <w:rPr>
                <w:color w:val="FFFFFF" w:themeColor="background1"/>
                <w:lang w:val="en-US"/>
              </w:rPr>
              <w:t>Inner Regional</w:t>
            </w:r>
          </w:p>
        </w:tc>
        <w:tc>
          <w:tcPr>
            <w:tcW w:w="1371" w:type="dxa"/>
            <w:tcBorders>
              <w:left w:val="single" w:sz="4" w:space="0" w:color="auto"/>
              <w:right w:val="single" w:sz="4" w:space="0" w:color="auto"/>
            </w:tcBorders>
            <w:shd w:val="clear" w:color="auto" w:fill="FFFFFF" w:themeFill="background1"/>
            <w:noWrap/>
            <w:vAlign w:val="center"/>
            <w:hideMark/>
          </w:tcPr>
          <w:p w14:paraId="214130FE" w14:textId="77777777" w:rsidR="00B658AE" w:rsidRPr="007912D4" w:rsidRDefault="00B658AE" w:rsidP="0063709E">
            <w:pPr>
              <w:pStyle w:val="BodyText"/>
              <w:spacing w:before="0" w:after="0"/>
              <w:rPr>
                <w:color w:val="FFFFFF" w:themeColor="background1"/>
                <w:lang w:val="en-US"/>
              </w:rPr>
            </w:pPr>
            <w:r w:rsidRPr="007912D4">
              <w:rPr>
                <w:color w:val="FFFFFF" w:themeColor="background1"/>
                <w:lang w:val="en-US"/>
              </w:rPr>
              <w:t>Regional</w:t>
            </w:r>
          </w:p>
        </w:tc>
      </w:tr>
      <w:tr w:rsidR="007912D4" w:rsidRPr="0077587B" w14:paraId="3500FA01" w14:textId="77777777" w:rsidTr="007912D4">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vAlign w:val="center"/>
            <w:hideMark/>
          </w:tcPr>
          <w:p w14:paraId="15BD354D"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16B277DC" w14:textId="77777777" w:rsidR="007912D4" w:rsidRPr="005C45AA" w:rsidRDefault="007912D4" w:rsidP="007912D4">
            <w:pPr>
              <w:pStyle w:val="BodyText"/>
              <w:spacing w:before="0" w:after="0"/>
              <w:rPr>
                <w:lang w:val="en-US"/>
              </w:rPr>
            </w:pPr>
            <w:r w:rsidRPr="005C45AA">
              <w:rPr>
                <w:lang w:val="en-US"/>
              </w:rPr>
              <w:t>New South Wales - Central West</w:t>
            </w:r>
          </w:p>
        </w:tc>
        <w:tc>
          <w:tcPr>
            <w:tcW w:w="2127" w:type="dxa"/>
            <w:tcBorders>
              <w:top w:val="nil"/>
              <w:left w:val="single" w:sz="4" w:space="0" w:color="auto"/>
              <w:bottom w:val="nil"/>
              <w:right w:val="single" w:sz="4" w:space="0" w:color="auto"/>
            </w:tcBorders>
            <w:shd w:val="clear" w:color="auto" w:fill="FFFFFF" w:themeFill="background1"/>
            <w:vAlign w:val="center"/>
            <w:hideMark/>
          </w:tcPr>
          <w:p w14:paraId="57ACDED4" w14:textId="2F114FB8"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Inner Regional</w:t>
            </w:r>
          </w:p>
        </w:tc>
        <w:tc>
          <w:tcPr>
            <w:tcW w:w="1371" w:type="dxa"/>
            <w:tcBorders>
              <w:left w:val="single" w:sz="4" w:space="0" w:color="auto"/>
              <w:right w:val="single" w:sz="4" w:space="0" w:color="auto"/>
            </w:tcBorders>
            <w:shd w:val="clear" w:color="auto" w:fill="FFFFFF" w:themeFill="background1"/>
            <w:vAlign w:val="center"/>
            <w:hideMark/>
          </w:tcPr>
          <w:p w14:paraId="1DED55CA" w14:textId="3A865083"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Regional</w:t>
            </w:r>
          </w:p>
        </w:tc>
      </w:tr>
      <w:tr w:rsidR="007912D4" w:rsidRPr="0077587B" w14:paraId="53C120D4" w14:textId="77777777" w:rsidTr="007912D4">
        <w:trPr>
          <w:trHeight w:val="20"/>
        </w:trPr>
        <w:tc>
          <w:tcPr>
            <w:tcW w:w="784" w:type="dxa"/>
            <w:vMerge/>
            <w:tcBorders>
              <w:left w:val="single" w:sz="4" w:space="0" w:color="auto"/>
              <w:bottom w:val="single" w:sz="4" w:space="0" w:color="auto"/>
              <w:right w:val="single" w:sz="4" w:space="0" w:color="auto"/>
            </w:tcBorders>
            <w:vAlign w:val="center"/>
            <w:hideMark/>
          </w:tcPr>
          <w:p w14:paraId="0183C71E"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noWrap/>
            <w:vAlign w:val="center"/>
            <w:hideMark/>
          </w:tcPr>
          <w:p w14:paraId="377A79B4" w14:textId="77777777" w:rsidR="007912D4" w:rsidRPr="005C45AA" w:rsidRDefault="007912D4" w:rsidP="007912D4">
            <w:pPr>
              <w:pStyle w:val="BodyText"/>
              <w:spacing w:before="0" w:after="0"/>
              <w:rPr>
                <w:lang w:val="en-US"/>
              </w:rPr>
            </w:pPr>
            <w:r w:rsidRPr="005C45AA">
              <w:rPr>
                <w:lang w:val="en-US"/>
              </w:rPr>
              <w:t>Coffs Harbour - Grafton</w:t>
            </w:r>
          </w:p>
        </w:tc>
        <w:tc>
          <w:tcPr>
            <w:tcW w:w="2127" w:type="dxa"/>
            <w:tcBorders>
              <w:top w:val="nil"/>
              <w:left w:val="single" w:sz="4" w:space="0" w:color="auto"/>
              <w:bottom w:val="nil"/>
              <w:right w:val="single" w:sz="4" w:space="0" w:color="auto"/>
            </w:tcBorders>
            <w:shd w:val="clear" w:color="auto" w:fill="FFFFFF" w:themeFill="background1"/>
            <w:vAlign w:val="center"/>
            <w:hideMark/>
          </w:tcPr>
          <w:p w14:paraId="709BC3E2" w14:textId="462C1BB6"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Inner Regional</w:t>
            </w:r>
          </w:p>
        </w:tc>
        <w:tc>
          <w:tcPr>
            <w:tcW w:w="1371" w:type="dxa"/>
            <w:tcBorders>
              <w:left w:val="single" w:sz="4" w:space="0" w:color="auto"/>
              <w:right w:val="single" w:sz="4" w:space="0" w:color="auto"/>
            </w:tcBorders>
            <w:shd w:val="clear" w:color="auto" w:fill="FFFFFF" w:themeFill="background1"/>
            <w:vAlign w:val="center"/>
            <w:hideMark/>
          </w:tcPr>
          <w:p w14:paraId="22B6A413" w14:textId="0C22C6B8"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Regional</w:t>
            </w:r>
          </w:p>
        </w:tc>
      </w:tr>
      <w:tr w:rsidR="007912D4" w:rsidRPr="0077587B" w14:paraId="1041BC3F" w14:textId="77777777" w:rsidTr="007912D4">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vAlign w:val="center"/>
            <w:hideMark/>
          </w:tcPr>
          <w:p w14:paraId="33153A23"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50641161" w14:textId="77777777" w:rsidR="007912D4" w:rsidRPr="005C45AA" w:rsidRDefault="007912D4" w:rsidP="007912D4">
            <w:pPr>
              <w:pStyle w:val="BodyText"/>
              <w:spacing w:before="0" w:after="0"/>
              <w:rPr>
                <w:lang w:val="en-US"/>
              </w:rPr>
            </w:pPr>
            <w:r w:rsidRPr="005C45AA">
              <w:rPr>
                <w:lang w:val="en-US"/>
              </w:rPr>
              <w:t>Mid North Coast</w:t>
            </w:r>
          </w:p>
        </w:tc>
        <w:tc>
          <w:tcPr>
            <w:tcW w:w="2127" w:type="dxa"/>
            <w:tcBorders>
              <w:top w:val="nil"/>
              <w:left w:val="single" w:sz="4" w:space="0" w:color="auto"/>
              <w:bottom w:val="nil"/>
              <w:right w:val="single" w:sz="4" w:space="0" w:color="auto"/>
            </w:tcBorders>
            <w:shd w:val="clear" w:color="auto" w:fill="FFFFFF" w:themeFill="background1"/>
            <w:vAlign w:val="center"/>
            <w:hideMark/>
          </w:tcPr>
          <w:p w14:paraId="29FB86B7" w14:textId="252FF51A"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Inner Regional</w:t>
            </w:r>
          </w:p>
        </w:tc>
        <w:tc>
          <w:tcPr>
            <w:tcW w:w="1371" w:type="dxa"/>
            <w:tcBorders>
              <w:left w:val="single" w:sz="4" w:space="0" w:color="auto"/>
              <w:right w:val="single" w:sz="4" w:space="0" w:color="auto"/>
            </w:tcBorders>
            <w:shd w:val="clear" w:color="auto" w:fill="FFFFFF" w:themeFill="background1"/>
            <w:vAlign w:val="center"/>
            <w:hideMark/>
          </w:tcPr>
          <w:p w14:paraId="316BD11B" w14:textId="5AF185E6"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Regional</w:t>
            </w:r>
          </w:p>
        </w:tc>
      </w:tr>
      <w:tr w:rsidR="007912D4" w:rsidRPr="0077587B" w14:paraId="0461BBAA" w14:textId="77777777" w:rsidTr="007912D4">
        <w:trPr>
          <w:trHeight w:val="20"/>
        </w:trPr>
        <w:tc>
          <w:tcPr>
            <w:tcW w:w="784" w:type="dxa"/>
            <w:vMerge/>
            <w:tcBorders>
              <w:left w:val="single" w:sz="4" w:space="0" w:color="auto"/>
              <w:bottom w:val="single" w:sz="4" w:space="0" w:color="auto"/>
              <w:right w:val="single" w:sz="4" w:space="0" w:color="auto"/>
            </w:tcBorders>
            <w:vAlign w:val="center"/>
            <w:hideMark/>
          </w:tcPr>
          <w:p w14:paraId="44DF82A5"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noWrap/>
            <w:vAlign w:val="center"/>
            <w:hideMark/>
          </w:tcPr>
          <w:p w14:paraId="4DA3D1E7" w14:textId="77777777" w:rsidR="007912D4" w:rsidRPr="005C45AA" w:rsidRDefault="007912D4" w:rsidP="007912D4">
            <w:pPr>
              <w:pStyle w:val="BodyText"/>
              <w:spacing w:before="0" w:after="0"/>
              <w:rPr>
                <w:lang w:val="en-US"/>
              </w:rPr>
            </w:pPr>
            <w:r w:rsidRPr="005C45AA">
              <w:rPr>
                <w:lang w:val="en-US"/>
              </w:rPr>
              <w:t>Murray</w:t>
            </w:r>
          </w:p>
        </w:tc>
        <w:tc>
          <w:tcPr>
            <w:tcW w:w="2127" w:type="dxa"/>
            <w:tcBorders>
              <w:top w:val="nil"/>
              <w:left w:val="single" w:sz="4" w:space="0" w:color="auto"/>
              <w:bottom w:val="nil"/>
              <w:right w:val="single" w:sz="4" w:space="0" w:color="auto"/>
            </w:tcBorders>
            <w:vAlign w:val="center"/>
            <w:hideMark/>
          </w:tcPr>
          <w:p w14:paraId="20B85C38" w14:textId="323D37CD" w:rsidR="007912D4" w:rsidRPr="005C45AA" w:rsidRDefault="007912D4" w:rsidP="00545528">
            <w:pPr>
              <w:pStyle w:val="BodyText"/>
              <w:spacing w:before="0" w:after="0"/>
              <w:jc w:val="center"/>
              <w:rPr>
                <w:lang w:val="en-US"/>
              </w:rPr>
            </w:pPr>
            <w:r>
              <w:rPr>
                <w:lang w:val="en-US"/>
              </w:rPr>
              <w:t>Inner Regional</w:t>
            </w:r>
          </w:p>
        </w:tc>
        <w:tc>
          <w:tcPr>
            <w:tcW w:w="1371" w:type="dxa"/>
            <w:tcBorders>
              <w:left w:val="single" w:sz="4" w:space="0" w:color="auto"/>
              <w:right w:val="single" w:sz="4" w:space="0" w:color="auto"/>
            </w:tcBorders>
            <w:shd w:val="clear" w:color="auto" w:fill="FFFFFF" w:themeFill="background1"/>
            <w:vAlign w:val="center"/>
            <w:hideMark/>
          </w:tcPr>
          <w:p w14:paraId="5BB686E4" w14:textId="33664C4C"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Regional</w:t>
            </w:r>
          </w:p>
        </w:tc>
      </w:tr>
      <w:tr w:rsidR="007912D4" w:rsidRPr="0077587B" w14:paraId="762D4E15" w14:textId="77777777" w:rsidTr="00807253">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vAlign w:val="center"/>
            <w:hideMark/>
          </w:tcPr>
          <w:p w14:paraId="34690C46"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3D08B704" w14:textId="0AAEFBAF" w:rsidR="007912D4" w:rsidRPr="005C45AA" w:rsidRDefault="007912D4" w:rsidP="007912D4">
            <w:pPr>
              <w:pStyle w:val="BodyText"/>
              <w:spacing w:before="0" w:after="0"/>
              <w:rPr>
                <w:lang w:val="en-US"/>
              </w:rPr>
            </w:pPr>
            <w:r w:rsidRPr="005C45AA">
              <w:rPr>
                <w:lang w:val="en-US"/>
              </w:rPr>
              <w:t>New Engl</w:t>
            </w:r>
            <w:r>
              <w:rPr>
                <w:lang w:val="en-US"/>
              </w:rPr>
              <w:t>and</w:t>
            </w:r>
            <w:r w:rsidRPr="005C45AA">
              <w:rPr>
                <w:lang w:val="en-US"/>
              </w:rPr>
              <w:t xml:space="preserve"> &amp; North West</w:t>
            </w:r>
          </w:p>
        </w:tc>
        <w:tc>
          <w:tcPr>
            <w:tcW w:w="2127" w:type="dxa"/>
            <w:tcBorders>
              <w:top w:val="nil"/>
              <w:left w:val="single" w:sz="4" w:space="0" w:color="auto"/>
              <w:bottom w:val="nil"/>
              <w:right w:val="single" w:sz="4" w:space="0" w:color="auto"/>
            </w:tcBorders>
            <w:shd w:val="clear" w:color="auto" w:fill="FFFFFF" w:themeFill="background1"/>
            <w:vAlign w:val="center"/>
            <w:hideMark/>
          </w:tcPr>
          <w:p w14:paraId="1261E946" w14:textId="3BDAB412"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Inner Regional</w:t>
            </w:r>
          </w:p>
        </w:tc>
        <w:tc>
          <w:tcPr>
            <w:tcW w:w="1371" w:type="dxa"/>
            <w:tcBorders>
              <w:left w:val="single" w:sz="4" w:space="0" w:color="auto"/>
              <w:right w:val="single" w:sz="4" w:space="0" w:color="auto"/>
            </w:tcBorders>
            <w:shd w:val="clear" w:color="auto" w:fill="auto"/>
            <w:vAlign w:val="center"/>
            <w:hideMark/>
          </w:tcPr>
          <w:p w14:paraId="513EED95" w14:textId="4750DDF3" w:rsidR="007912D4" w:rsidRPr="005C45AA" w:rsidRDefault="007912D4" w:rsidP="00545528">
            <w:pPr>
              <w:pStyle w:val="BodyText"/>
              <w:spacing w:before="0" w:after="0"/>
              <w:jc w:val="center"/>
              <w:rPr>
                <w:lang w:val="en-US"/>
              </w:rPr>
            </w:pPr>
            <w:r w:rsidRPr="005C45AA">
              <w:rPr>
                <w:lang w:val="en-US"/>
              </w:rPr>
              <w:t>Regional</w:t>
            </w:r>
          </w:p>
        </w:tc>
      </w:tr>
      <w:tr w:rsidR="007912D4" w:rsidRPr="0077587B" w14:paraId="1B33ECEA" w14:textId="77777777" w:rsidTr="007912D4">
        <w:trPr>
          <w:trHeight w:val="20"/>
        </w:trPr>
        <w:tc>
          <w:tcPr>
            <w:tcW w:w="784" w:type="dxa"/>
            <w:vMerge/>
            <w:tcBorders>
              <w:left w:val="single" w:sz="4" w:space="0" w:color="auto"/>
              <w:bottom w:val="single" w:sz="4" w:space="0" w:color="auto"/>
              <w:right w:val="single" w:sz="4" w:space="0" w:color="auto"/>
            </w:tcBorders>
            <w:vAlign w:val="center"/>
            <w:hideMark/>
          </w:tcPr>
          <w:p w14:paraId="43197D7B"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noWrap/>
            <w:vAlign w:val="center"/>
            <w:hideMark/>
          </w:tcPr>
          <w:p w14:paraId="43EFA948" w14:textId="77777777" w:rsidR="007912D4" w:rsidRPr="005C45AA" w:rsidRDefault="007912D4" w:rsidP="007912D4">
            <w:pPr>
              <w:pStyle w:val="BodyText"/>
              <w:spacing w:before="0" w:after="0"/>
              <w:rPr>
                <w:lang w:val="en-US"/>
              </w:rPr>
            </w:pPr>
            <w:r w:rsidRPr="005C45AA">
              <w:rPr>
                <w:lang w:val="en-US"/>
              </w:rPr>
              <w:t>Richmond - Tweed</w:t>
            </w:r>
          </w:p>
        </w:tc>
        <w:tc>
          <w:tcPr>
            <w:tcW w:w="2127" w:type="dxa"/>
            <w:tcBorders>
              <w:top w:val="nil"/>
              <w:left w:val="single" w:sz="4" w:space="0" w:color="auto"/>
              <w:bottom w:val="nil"/>
              <w:right w:val="single" w:sz="4" w:space="0" w:color="auto"/>
            </w:tcBorders>
            <w:shd w:val="clear" w:color="auto" w:fill="FFFFFF" w:themeFill="background1"/>
            <w:vAlign w:val="center"/>
            <w:hideMark/>
          </w:tcPr>
          <w:p w14:paraId="5C3E0193" w14:textId="503AF745"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Inner Regional</w:t>
            </w:r>
          </w:p>
        </w:tc>
        <w:tc>
          <w:tcPr>
            <w:tcW w:w="1371" w:type="dxa"/>
            <w:tcBorders>
              <w:left w:val="single" w:sz="4" w:space="0" w:color="auto"/>
              <w:right w:val="single" w:sz="4" w:space="0" w:color="auto"/>
            </w:tcBorders>
            <w:shd w:val="clear" w:color="auto" w:fill="FFFFFF" w:themeFill="background1"/>
            <w:vAlign w:val="center"/>
            <w:hideMark/>
          </w:tcPr>
          <w:p w14:paraId="51CF5D1C" w14:textId="40324FBB"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Regional</w:t>
            </w:r>
          </w:p>
        </w:tc>
      </w:tr>
      <w:tr w:rsidR="007912D4" w:rsidRPr="0077587B" w14:paraId="5F3DBBEF" w14:textId="77777777" w:rsidTr="007912D4">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vAlign w:val="center"/>
            <w:hideMark/>
          </w:tcPr>
          <w:p w14:paraId="32149C82"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5BC4F659" w14:textId="77777777" w:rsidR="007912D4" w:rsidRPr="005C45AA" w:rsidRDefault="007912D4" w:rsidP="007912D4">
            <w:pPr>
              <w:pStyle w:val="BodyText"/>
              <w:spacing w:before="0" w:after="0"/>
              <w:rPr>
                <w:lang w:val="en-US"/>
              </w:rPr>
            </w:pPr>
            <w:r w:rsidRPr="005C45AA">
              <w:rPr>
                <w:lang w:val="en-US"/>
              </w:rPr>
              <w:t>Riverina</w:t>
            </w:r>
          </w:p>
        </w:tc>
        <w:tc>
          <w:tcPr>
            <w:tcW w:w="2127" w:type="dxa"/>
            <w:tcBorders>
              <w:top w:val="nil"/>
              <w:left w:val="single" w:sz="4" w:space="0" w:color="auto"/>
              <w:bottom w:val="nil"/>
              <w:right w:val="single" w:sz="4" w:space="0" w:color="auto"/>
            </w:tcBorders>
            <w:shd w:val="clear" w:color="auto" w:fill="FFFFFF" w:themeFill="background1"/>
            <w:vAlign w:val="center"/>
            <w:hideMark/>
          </w:tcPr>
          <w:p w14:paraId="2E2BAD58" w14:textId="012CFF04"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Inner Regional</w:t>
            </w:r>
          </w:p>
        </w:tc>
        <w:tc>
          <w:tcPr>
            <w:tcW w:w="1371" w:type="dxa"/>
            <w:tcBorders>
              <w:left w:val="single" w:sz="4" w:space="0" w:color="auto"/>
              <w:right w:val="single" w:sz="4" w:space="0" w:color="auto"/>
            </w:tcBorders>
            <w:shd w:val="clear" w:color="auto" w:fill="FFFFFF" w:themeFill="background1"/>
            <w:vAlign w:val="center"/>
            <w:hideMark/>
          </w:tcPr>
          <w:p w14:paraId="5CA5C9DB" w14:textId="1DFA7283"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Regional</w:t>
            </w:r>
          </w:p>
        </w:tc>
      </w:tr>
      <w:tr w:rsidR="007912D4" w:rsidRPr="0077587B" w14:paraId="2FDB6B07" w14:textId="77777777" w:rsidTr="007912D4">
        <w:trPr>
          <w:trHeight w:val="20"/>
        </w:trPr>
        <w:tc>
          <w:tcPr>
            <w:tcW w:w="784" w:type="dxa"/>
            <w:vMerge/>
            <w:tcBorders>
              <w:left w:val="single" w:sz="4" w:space="0" w:color="auto"/>
              <w:bottom w:val="single" w:sz="4" w:space="0" w:color="auto"/>
              <w:right w:val="single" w:sz="4" w:space="0" w:color="auto"/>
            </w:tcBorders>
            <w:vAlign w:val="center"/>
            <w:hideMark/>
          </w:tcPr>
          <w:p w14:paraId="5E5FB6CF"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noWrap/>
            <w:vAlign w:val="center"/>
            <w:hideMark/>
          </w:tcPr>
          <w:p w14:paraId="18F50E20" w14:textId="77777777" w:rsidR="007912D4" w:rsidRPr="005C45AA" w:rsidRDefault="007912D4" w:rsidP="007912D4">
            <w:pPr>
              <w:pStyle w:val="BodyText"/>
              <w:spacing w:before="0" w:after="0"/>
              <w:rPr>
                <w:lang w:val="en-US"/>
              </w:rPr>
            </w:pPr>
            <w:r w:rsidRPr="005C45AA">
              <w:rPr>
                <w:lang w:val="en-US"/>
              </w:rPr>
              <w:t>Southern Highlands &amp; Shoalhaven</w:t>
            </w:r>
          </w:p>
        </w:tc>
        <w:tc>
          <w:tcPr>
            <w:tcW w:w="2127" w:type="dxa"/>
            <w:tcBorders>
              <w:top w:val="nil"/>
              <w:left w:val="single" w:sz="4" w:space="0" w:color="auto"/>
              <w:bottom w:val="single" w:sz="4" w:space="0" w:color="auto"/>
              <w:right w:val="single" w:sz="4" w:space="0" w:color="auto"/>
            </w:tcBorders>
            <w:shd w:val="clear" w:color="auto" w:fill="FFFFFF" w:themeFill="background1"/>
            <w:vAlign w:val="center"/>
            <w:hideMark/>
          </w:tcPr>
          <w:p w14:paraId="0C2B9CD2" w14:textId="363FF3FA"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Inner Regional</w:t>
            </w:r>
          </w:p>
        </w:tc>
        <w:tc>
          <w:tcPr>
            <w:tcW w:w="1371" w:type="dxa"/>
            <w:tcBorders>
              <w:left w:val="single" w:sz="4" w:space="0" w:color="auto"/>
              <w:right w:val="single" w:sz="4" w:space="0" w:color="auto"/>
            </w:tcBorders>
            <w:shd w:val="clear" w:color="auto" w:fill="FFFFFF" w:themeFill="background1"/>
            <w:vAlign w:val="center"/>
            <w:hideMark/>
          </w:tcPr>
          <w:p w14:paraId="002BEACD" w14:textId="0A8A8DB8"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Regional</w:t>
            </w:r>
          </w:p>
        </w:tc>
      </w:tr>
      <w:tr w:rsidR="007912D4" w:rsidRPr="0077587B" w14:paraId="3011288D" w14:textId="77777777" w:rsidTr="007912D4">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vAlign w:val="center"/>
            <w:hideMark/>
          </w:tcPr>
          <w:p w14:paraId="0FA5B9FF"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63DD3451" w14:textId="77777777" w:rsidR="007912D4" w:rsidRPr="005C45AA" w:rsidRDefault="007912D4" w:rsidP="007912D4">
            <w:pPr>
              <w:pStyle w:val="BodyText"/>
              <w:spacing w:before="0" w:after="0"/>
              <w:rPr>
                <w:lang w:val="en-US"/>
              </w:rPr>
            </w:pPr>
            <w:r w:rsidRPr="005C45AA">
              <w:rPr>
                <w:lang w:val="en-US"/>
              </w:rPr>
              <w:t>Far West &amp; Orana</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2CE89C" w14:textId="77777777" w:rsidR="007912D4" w:rsidRPr="005C45AA" w:rsidRDefault="007912D4" w:rsidP="00545528">
            <w:pPr>
              <w:pStyle w:val="BodyText"/>
              <w:spacing w:before="0" w:after="0"/>
              <w:jc w:val="center"/>
              <w:rPr>
                <w:lang w:val="en-US"/>
              </w:rPr>
            </w:pPr>
            <w:r w:rsidRPr="005C45AA">
              <w:rPr>
                <w:lang w:val="en-US"/>
              </w:rPr>
              <w:t>Outer Regional</w:t>
            </w:r>
          </w:p>
        </w:tc>
        <w:tc>
          <w:tcPr>
            <w:tcW w:w="1371" w:type="dxa"/>
            <w:tcBorders>
              <w:left w:val="single" w:sz="4" w:space="0" w:color="auto"/>
              <w:right w:val="single" w:sz="4" w:space="0" w:color="auto"/>
            </w:tcBorders>
            <w:shd w:val="clear" w:color="auto" w:fill="FFFFFF" w:themeFill="background1"/>
            <w:vAlign w:val="center"/>
            <w:hideMark/>
          </w:tcPr>
          <w:p w14:paraId="2DE472B4" w14:textId="23D4036B"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Regional</w:t>
            </w:r>
          </w:p>
        </w:tc>
      </w:tr>
      <w:tr w:rsidR="007912D4" w:rsidRPr="0077587B" w14:paraId="1122D687" w14:textId="77777777" w:rsidTr="007912D4">
        <w:trPr>
          <w:trHeight w:val="20"/>
        </w:trPr>
        <w:tc>
          <w:tcPr>
            <w:tcW w:w="784" w:type="dxa"/>
            <w:vMerge/>
            <w:tcBorders>
              <w:left w:val="single" w:sz="4" w:space="0" w:color="auto"/>
              <w:bottom w:val="single" w:sz="4" w:space="0" w:color="auto"/>
              <w:right w:val="single" w:sz="4" w:space="0" w:color="auto"/>
            </w:tcBorders>
            <w:vAlign w:val="center"/>
            <w:hideMark/>
          </w:tcPr>
          <w:p w14:paraId="1D4D75CD"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noWrap/>
            <w:vAlign w:val="center"/>
            <w:hideMark/>
          </w:tcPr>
          <w:p w14:paraId="3FAD0560" w14:textId="77777777" w:rsidR="007912D4" w:rsidRPr="005C45AA" w:rsidRDefault="007912D4" w:rsidP="007912D4">
            <w:pPr>
              <w:pStyle w:val="BodyText"/>
              <w:spacing w:before="0" w:after="0"/>
              <w:rPr>
                <w:lang w:val="en-US"/>
              </w:rPr>
            </w:pPr>
            <w:r w:rsidRPr="005C45AA">
              <w:rPr>
                <w:lang w:val="en-US"/>
              </w:rPr>
              <w:t>Hunter Valley exc Newcastle</w:t>
            </w:r>
          </w:p>
        </w:tc>
        <w:tc>
          <w:tcPr>
            <w:tcW w:w="2127" w:type="dxa"/>
            <w:tcBorders>
              <w:top w:val="single" w:sz="4" w:space="0" w:color="auto"/>
              <w:left w:val="single" w:sz="4" w:space="0" w:color="auto"/>
              <w:right w:val="single" w:sz="4" w:space="0" w:color="auto"/>
            </w:tcBorders>
            <w:shd w:val="clear" w:color="auto" w:fill="FFFFFF" w:themeFill="background1"/>
            <w:noWrap/>
            <w:vAlign w:val="center"/>
            <w:hideMark/>
          </w:tcPr>
          <w:p w14:paraId="6BB40DC9" w14:textId="4D94188C"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Major City</w:t>
            </w:r>
          </w:p>
        </w:tc>
        <w:tc>
          <w:tcPr>
            <w:tcW w:w="1371" w:type="dxa"/>
            <w:tcBorders>
              <w:left w:val="single" w:sz="4" w:space="0" w:color="auto"/>
              <w:right w:val="single" w:sz="4" w:space="0" w:color="auto"/>
            </w:tcBorders>
            <w:shd w:val="clear" w:color="auto" w:fill="FFFFFF" w:themeFill="background1"/>
            <w:vAlign w:val="center"/>
            <w:hideMark/>
          </w:tcPr>
          <w:p w14:paraId="7581D705" w14:textId="7B749133"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Regional</w:t>
            </w:r>
          </w:p>
        </w:tc>
      </w:tr>
      <w:tr w:rsidR="007912D4" w:rsidRPr="0077587B" w14:paraId="0640C9BB" w14:textId="77777777" w:rsidTr="007912D4">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vAlign w:val="center"/>
            <w:hideMark/>
          </w:tcPr>
          <w:p w14:paraId="008CA854"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2F22433B" w14:textId="77777777" w:rsidR="007912D4" w:rsidRPr="005C45AA" w:rsidRDefault="007912D4" w:rsidP="007912D4">
            <w:pPr>
              <w:pStyle w:val="BodyText"/>
              <w:spacing w:before="0" w:after="0"/>
              <w:rPr>
                <w:lang w:val="en-US"/>
              </w:rPr>
            </w:pPr>
            <w:r w:rsidRPr="005C45AA">
              <w:rPr>
                <w:lang w:val="en-US"/>
              </w:rPr>
              <w:t>Illawarra</w:t>
            </w:r>
          </w:p>
        </w:tc>
        <w:tc>
          <w:tcPr>
            <w:tcW w:w="2127" w:type="dxa"/>
            <w:tcBorders>
              <w:left w:val="single" w:sz="4" w:space="0" w:color="auto"/>
              <w:right w:val="single" w:sz="4" w:space="0" w:color="auto"/>
            </w:tcBorders>
            <w:shd w:val="clear" w:color="auto" w:fill="FFFFFF" w:themeFill="background1"/>
            <w:vAlign w:val="center"/>
            <w:hideMark/>
          </w:tcPr>
          <w:p w14:paraId="507A086C" w14:textId="002244E6"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Major City</w:t>
            </w:r>
          </w:p>
        </w:tc>
        <w:tc>
          <w:tcPr>
            <w:tcW w:w="1371" w:type="dxa"/>
            <w:tcBorders>
              <w:left w:val="single" w:sz="4" w:space="0" w:color="auto"/>
              <w:right w:val="single" w:sz="4" w:space="0" w:color="auto"/>
            </w:tcBorders>
            <w:shd w:val="clear" w:color="auto" w:fill="FFFFFF" w:themeFill="background1"/>
            <w:vAlign w:val="center"/>
            <w:hideMark/>
          </w:tcPr>
          <w:p w14:paraId="74A20257" w14:textId="2A8B286F"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Regional</w:t>
            </w:r>
          </w:p>
        </w:tc>
      </w:tr>
      <w:tr w:rsidR="007912D4" w:rsidRPr="0077587B" w14:paraId="1E2C67C6" w14:textId="77777777" w:rsidTr="007912D4">
        <w:trPr>
          <w:trHeight w:val="20"/>
        </w:trPr>
        <w:tc>
          <w:tcPr>
            <w:tcW w:w="784" w:type="dxa"/>
            <w:vMerge/>
            <w:tcBorders>
              <w:left w:val="single" w:sz="4" w:space="0" w:color="auto"/>
              <w:bottom w:val="single" w:sz="4" w:space="0" w:color="auto"/>
              <w:right w:val="single" w:sz="4" w:space="0" w:color="auto"/>
            </w:tcBorders>
            <w:vAlign w:val="center"/>
            <w:hideMark/>
          </w:tcPr>
          <w:p w14:paraId="7E87C3CD"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noWrap/>
            <w:vAlign w:val="center"/>
            <w:hideMark/>
          </w:tcPr>
          <w:p w14:paraId="396F8A81" w14:textId="77777777" w:rsidR="007912D4" w:rsidRPr="005C45AA" w:rsidRDefault="007912D4" w:rsidP="007912D4">
            <w:pPr>
              <w:pStyle w:val="BodyText"/>
              <w:spacing w:before="0" w:after="0"/>
              <w:rPr>
                <w:lang w:val="en-US"/>
              </w:rPr>
            </w:pPr>
            <w:r w:rsidRPr="005C45AA">
              <w:rPr>
                <w:lang w:val="en-US"/>
              </w:rPr>
              <w:t>Newcastle &amp; Lake Macquarie</w:t>
            </w:r>
          </w:p>
        </w:tc>
        <w:tc>
          <w:tcPr>
            <w:tcW w:w="2127" w:type="dxa"/>
            <w:tcBorders>
              <w:left w:val="single" w:sz="4" w:space="0" w:color="auto"/>
              <w:right w:val="single" w:sz="4" w:space="0" w:color="auto"/>
            </w:tcBorders>
            <w:shd w:val="clear" w:color="auto" w:fill="FFFFFF" w:themeFill="background1"/>
            <w:vAlign w:val="center"/>
            <w:hideMark/>
          </w:tcPr>
          <w:p w14:paraId="07215A99" w14:textId="3DB9E0D4"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Major City</w:t>
            </w:r>
          </w:p>
        </w:tc>
        <w:tc>
          <w:tcPr>
            <w:tcW w:w="1371" w:type="dxa"/>
            <w:tcBorders>
              <w:left w:val="single" w:sz="4" w:space="0" w:color="auto"/>
              <w:right w:val="single" w:sz="4" w:space="0" w:color="auto"/>
            </w:tcBorders>
            <w:shd w:val="clear" w:color="auto" w:fill="FFFFFF" w:themeFill="background1"/>
            <w:vAlign w:val="center"/>
            <w:hideMark/>
          </w:tcPr>
          <w:p w14:paraId="259D49FE" w14:textId="49DE87DC"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Regional</w:t>
            </w:r>
          </w:p>
        </w:tc>
      </w:tr>
      <w:tr w:rsidR="007912D4" w:rsidRPr="0077587B" w14:paraId="19A88206" w14:textId="77777777" w:rsidTr="007912D4">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vAlign w:val="center"/>
            <w:hideMark/>
          </w:tcPr>
          <w:p w14:paraId="2895C9E2"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156EAA5C" w14:textId="77777777" w:rsidR="007912D4" w:rsidRPr="005C45AA" w:rsidRDefault="007912D4" w:rsidP="007912D4">
            <w:pPr>
              <w:pStyle w:val="BodyText"/>
              <w:spacing w:before="0" w:after="0"/>
              <w:rPr>
                <w:lang w:val="en-US"/>
              </w:rPr>
            </w:pPr>
            <w:r w:rsidRPr="005C45AA">
              <w:rPr>
                <w:lang w:val="en-US"/>
              </w:rPr>
              <w:t>Central Coast</w:t>
            </w:r>
          </w:p>
        </w:tc>
        <w:tc>
          <w:tcPr>
            <w:tcW w:w="2127" w:type="dxa"/>
            <w:tcBorders>
              <w:left w:val="single" w:sz="4" w:space="0" w:color="auto"/>
              <w:right w:val="single" w:sz="4" w:space="0" w:color="auto"/>
            </w:tcBorders>
            <w:shd w:val="clear" w:color="auto" w:fill="FFFFFF" w:themeFill="background1"/>
            <w:noWrap/>
            <w:vAlign w:val="center"/>
            <w:hideMark/>
          </w:tcPr>
          <w:p w14:paraId="518A5B4B" w14:textId="1EF3047A"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Major City</w:t>
            </w:r>
          </w:p>
        </w:tc>
        <w:tc>
          <w:tcPr>
            <w:tcW w:w="1371" w:type="dxa"/>
            <w:tcBorders>
              <w:top w:val="single" w:sz="4" w:space="0" w:color="auto"/>
              <w:left w:val="single" w:sz="4" w:space="0" w:color="auto"/>
              <w:right w:val="single" w:sz="4" w:space="0" w:color="auto"/>
            </w:tcBorders>
            <w:shd w:val="clear" w:color="auto" w:fill="FFFFFF" w:themeFill="background1"/>
            <w:noWrap/>
            <w:vAlign w:val="center"/>
            <w:hideMark/>
          </w:tcPr>
          <w:p w14:paraId="43DD3E36" w14:textId="77777777"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Major City</w:t>
            </w:r>
          </w:p>
        </w:tc>
      </w:tr>
      <w:tr w:rsidR="007912D4" w:rsidRPr="0077587B" w14:paraId="7972315F" w14:textId="77777777" w:rsidTr="007912D4">
        <w:trPr>
          <w:trHeight w:val="20"/>
        </w:trPr>
        <w:tc>
          <w:tcPr>
            <w:tcW w:w="784" w:type="dxa"/>
            <w:vMerge/>
            <w:tcBorders>
              <w:left w:val="single" w:sz="4" w:space="0" w:color="auto"/>
              <w:bottom w:val="single" w:sz="4" w:space="0" w:color="auto"/>
              <w:right w:val="single" w:sz="4" w:space="0" w:color="auto"/>
            </w:tcBorders>
            <w:vAlign w:val="center"/>
            <w:hideMark/>
          </w:tcPr>
          <w:p w14:paraId="7090E2F0"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noWrap/>
            <w:vAlign w:val="center"/>
            <w:hideMark/>
          </w:tcPr>
          <w:p w14:paraId="015F0B53" w14:textId="77777777" w:rsidR="007912D4" w:rsidRPr="005C45AA" w:rsidRDefault="007912D4" w:rsidP="007912D4">
            <w:pPr>
              <w:pStyle w:val="BodyText"/>
              <w:spacing w:before="0" w:after="0"/>
              <w:rPr>
                <w:lang w:val="en-US"/>
              </w:rPr>
            </w:pPr>
            <w:r w:rsidRPr="005C45AA">
              <w:rPr>
                <w:lang w:val="en-US"/>
              </w:rPr>
              <w:t>Sydney - Baulkham Hills &amp; Hawkesbury</w:t>
            </w:r>
          </w:p>
        </w:tc>
        <w:tc>
          <w:tcPr>
            <w:tcW w:w="2127" w:type="dxa"/>
            <w:tcBorders>
              <w:left w:val="single" w:sz="4" w:space="0" w:color="auto"/>
              <w:right w:val="single" w:sz="4" w:space="0" w:color="auto"/>
            </w:tcBorders>
            <w:shd w:val="clear" w:color="auto" w:fill="FFFFFF" w:themeFill="background1"/>
            <w:vAlign w:val="center"/>
            <w:hideMark/>
          </w:tcPr>
          <w:p w14:paraId="364225A0" w14:textId="6BFF8DEA"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Major City</w:t>
            </w:r>
          </w:p>
        </w:tc>
        <w:tc>
          <w:tcPr>
            <w:tcW w:w="1371" w:type="dxa"/>
            <w:tcBorders>
              <w:left w:val="single" w:sz="4" w:space="0" w:color="auto"/>
              <w:right w:val="single" w:sz="4" w:space="0" w:color="auto"/>
            </w:tcBorders>
            <w:shd w:val="clear" w:color="auto" w:fill="FFFFFF" w:themeFill="background1"/>
            <w:vAlign w:val="center"/>
            <w:hideMark/>
          </w:tcPr>
          <w:p w14:paraId="22AA46FE" w14:textId="01FE17D6"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Major City</w:t>
            </w:r>
          </w:p>
        </w:tc>
      </w:tr>
      <w:tr w:rsidR="007912D4" w:rsidRPr="0077587B" w14:paraId="526A056D" w14:textId="77777777" w:rsidTr="007912D4">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vAlign w:val="center"/>
            <w:hideMark/>
          </w:tcPr>
          <w:p w14:paraId="2CDD0512"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36184B3F" w14:textId="77777777" w:rsidR="007912D4" w:rsidRPr="005C45AA" w:rsidRDefault="007912D4" w:rsidP="007912D4">
            <w:pPr>
              <w:pStyle w:val="BodyText"/>
              <w:spacing w:before="0" w:after="0"/>
              <w:rPr>
                <w:lang w:val="en-US"/>
              </w:rPr>
            </w:pPr>
            <w:r w:rsidRPr="005C45AA">
              <w:rPr>
                <w:lang w:val="en-US"/>
              </w:rPr>
              <w:t>Sydney - North Sydney &amp; Hornsby</w:t>
            </w:r>
          </w:p>
        </w:tc>
        <w:tc>
          <w:tcPr>
            <w:tcW w:w="2127" w:type="dxa"/>
            <w:tcBorders>
              <w:left w:val="single" w:sz="4" w:space="0" w:color="auto"/>
              <w:right w:val="single" w:sz="4" w:space="0" w:color="auto"/>
            </w:tcBorders>
            <w:shd w:val="clear" w:color="auto" w:fill="FFFFFF" w:themeFill="background1"/>
            <w:vAlign w:val="center"/>
            <w:hideMark/>
          </w:tcPr>
          <w:p w14:paraId="5D0B8335" w14:textId="45F442CB"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Major City</w:t>
            </w:r>
          </w:p>
        </w:tc>
        <w:tc>
          <w:tcPr>
            <w:tcW w:w="1371" w:type="dxa"/>
            <w:tcBorders>
              <w:left w:val="single" w:sz="4" w:space="0" w:color="auto"/>
              <w:right w:val="single" w:sz="4" w:space="0" w:color="auto"/>
            </w:tcBorders>
            <w:shd w:val="clear" w:color="auto" w:fill="FFFFFF" w:themeFill="background1"/>
            <w:vAlign w:val="center"/>
            <w:hideMark/>
          </w:tcPr>
          <w:p w14:paraId="1DB5617F" w14:textId="0BE51AC0"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Major City</w:t>
            </w:r>
          </w:p>
        </w:tc>
      </w:tr>
      <w:tr w:rsidR="007912D4" w:rsidRPr="0077587B" w14:paraId="3011FB3A" w14:textId="77777777" w:rsidTr="007912D4">
        <w:trPr>
          <w:trHeight w:val="20"/>
        </w:trPr>
        <w:tc>
          <w:tcPr>
            <w:tcW w:w="784" w:type="dxa"/>
            <w:vMerge/>
            <w:tcBorders>
              <w:left w:val="single" w:sz="4" w:space="0" w:color="auto"/>
              <w:bottom w:val="single" w:sz="4" w:space="0" w:color="auto"/>
              <w:right w:val="single" w:sz="4" w:space="0" w:color="auto"/>
            </w:tcBorders>
            <w:vAlign w:val="center"/>
            <w:hideMark/>
          </w:tcPr>
          <w:p w14:paraId="485EFA98"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noWrap/>
            <w:vAlign w:val="center"/>
            <w:hideMark/>
          </w:tcPr>
          <w:p w14:paraId="7EC06471" w14:textId="77777777" w:rsidR="007912D4" w:rsidRPr="005C45AA" w:rsidRDefault="007912D4" w:rsidP="007912D4">
            <w:pPr>
              <w:pStyle w:val="BodyText"/>
              <w:spacing w:before="0" w:after="0"/>
              <w:rPr>
                <w:lang w:val="en-US"/>
              </w:rPr>
            </w:pPr>
            <w:r w:rsidRPr="005C45AA">
              <w:rPr>
                <w:lang w:val="en-US"/>
              </w:rPr>
              <w:t>Sydney - Northern Beaches</w:t>
            </w:r>
          </w:p>
        </w:tc>
        <w:tc>
          <w:tcPr>
            <w:tcW w:w="2127" w:type="dxa"/>
            <w:tcBorders>
              <w:left w:val="single" w:sz="4" w:space="0" w:color="auto"/>
              <w:right w:val="single" w:sz="4" w:space="0" w:color="auto"/>
            </w:tcBorders>
            <w:shd w:val="clear" w:color="auto" w:fill="FFFFFF" w:themeFill="background1"/>
            <w:vAlign w:val="center"/>
            <w:hideMark/>
          </w:tcPr>
          <w:p w14:paraId="35DA5157" w14:textId="46B33818"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Major City</w:t>
            </w:r>
          </w:p>
        </w:tc>
        <w:tc>
          <w:tcPr>
            <w:tcW w:w="1371" w:type="dxa"/>
            <w:tcBorders>
              <w:left w:val="single" w:sz="4" w:space="0" w:color="auto"/>
              <w:right w:val="single" w:sz="4" w:space="0" w:color="auto"/>
            </w:tcBorders>
            <w:shd w:val="clear" w:color="auto" w:fill="FFFFFF" w:themeFill="background1"/>
            <w:vAlign w:val="center"/>
            <w:hideMark/>
          </w:tcPr>
          <w:p w14:paraId="136F4E0D" w14:textId="6F3FFF75"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Major City</w:t>
            </w:r>
          </w:p>
        </w:tc>
      </w:tr>
      <w:tr w:rsidR="007912D4" w:rsidRPr="0077587B" w14:paraId="43B07E70" w14:textId="77777777" w:rsidTr="007912D4">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vAlign w:val="center"/>
            <w:hideMark/>
          </w:tcPr>
          <w:p w14:paraId="3CDFA3E2"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6A9ED756" w14:textId="77777777" w:rsidR="007912D4" w:rsidRPr="005C45AA" w:rsidRDefault="007912D4" w:rsidP="007912D4">
            <w:pPr>
              <w:pStyle w:val="BodyText"/>
              <w:spacing w:before="0" w:after="0"/>
              <w:rPr>
                <w:lang w:val="en-US"/>
              </w:rPr>
            </w:pPr>
            <w:r w:rsidRPr="005C45AA">
              <w:rPr>
                <w:lang w:val="en-US"/>
              </w:rPr>
              <w:t>Sydney - Ryde</w:t>
            </w:r>
          </w:p>
        </w:tc>
        <w:tc>
          <w:tcPr>
            <w:tcW w:w="2127" w:type="dxa"/>
            <w:tcBorders>
              <w:left w:val="single" w:sz="4" w:space="0" w:color="auto"/>
              <w:right w:val="single" w:sz="4" w:space="0" w:color="auto"/>
            </w:tcBorders>
            <w:shd w:val="clear" w:color="auto" w:fill="FFFFFF" w:themeFill="background1"/>
            <w:vAlign w:val="center"/>
            <w:hideMark/>
          </w:tcPr>
          <w:p w14:paraId="6AB7EDF5" w14:textId="647BBC18"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Major City</w:t>
            </w:r>
          </w:p>
        </w:tc>
        <w:tc>
          <w:tcPr>
            <w:tcW w:w="1371" w:type="dxa"/>
            <w:tcBorders>
              <w:left w:val="single" w:sz="4" w:space="0" w:color="auto"/>
              <w:right w:val="single" w:sz="4" w:space="0" w:color="auto"/>
            </w:tcBorders>
            <w:shd w:val="clear" w:color="auto" w:fill="FFFFFF" w:themeFill="background1"/>
            <w:vAlign w:val="center"/>
            <w:hideMark/>
          </w:tcPr>
          <w:p w14:paraId="2D30C98A" w14:textId="053815D2"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Major City</w:t>
            </w:r>
          </w:p>
        </w:tc>
      </w:tr>
      <w:tr w:rsidR="007912D4" w:rsidRPr="0077587B" w14:paraId="5C149FC0" w14:textId="77777777" w:rsidTr="007912D4">
        <w:trPr>
          <w:trHeight w:val="20"/>
        </w:trPr>
        <w:tc>
          <w:tcPr>
            <w:tcW w:w="784" w:type="dxa"/>
            <w:vMerge/>
            <w:tcBorders>
              <w:left w:val="single" w:sz="4" w:space="0" w:color="auto"/>
              <w:bottom w:val="single" w:sz="4" w:space="0" w:color="auto"/>
              <w:right w:val="single" w:sz="4" w:space="0" w:color="auto"/>
            </w:tcBorders>
            <w:vAlign w:val="center"/>
            <w:hideMark/>
          </w:tcPr>
          <w:p w14:paraId="64EF5737"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noWrap/>
            <w:vAlign w:val="center"/>
            <w:hideMark/>
          </w:tcPr>
          <w:p w14:paraId="4CF1D297" w14:textId="77777777" w:rsidR="007912D4" w:rsidRPr="005C45AA" w:rsidRDefault="007912D4" w:rsidP="007912D4">
            <w:pPr>
              <w:pStyle w:val="BodyText"/>
              <w:spacing w:before="0" w:after="0"/>
              <w:rPr>
                <w:lang w:val="en-US"/>
              </w:rPr>
            </w:pPr>
            <w:r w:rsidRPr="005C45AA">
              <w:rPr>
                <w:lang w:val="en-US"/>
              </w:rPr>
              <w:t>Sydney - Blacktown</w:t>
            </w:r>
          </w:p>
        </w:tc>
        <w:tc>
          <w:tcPr>
            <w:tcW w:w="2127" w:type="dxa"/>
            <w:tcBorders>
              <w:left w:val="single" w:sz="4" w:space="0" w:color="auto"/>
              <w:right w:val="single" w:sz="4" w:space="0" w:color="auto"/>
            </w:tcBorders>
            <w:vAlign w:val="center"/>
            <w:hideMark/>
          </w:tcPr>
          <w:p w14:paraId="7428BD20" w14:textId="46A3B2B0" w:rsidR="007912D4" w:rsidRPr="007912D4" w:rsidRDefault="007912D4" w:rsidP="00545528">
            <w:pPr>
              <w:pStyle w:val="BodyText"/>
              <w:spacing w:before="0" w:after="0"/>
              <w:jc w:val="center"/>
              <w:rPr>
                <w:lang w:val="en-US"/>
              </w:rPr>
            </w:pPr>
            <w:r w:rsidRPr="007912D4">
              <w:rPr>
                <w:lang w:val="en-US"/>
              </w:rPr>
              <w:t>Major City</w:t>
            </w:r>
          </w:p>
        </w:tc>
        <w:tc>
          <w:tcPr>
            <w:tcW w:w="1371" w:type="dxa"/>
            <w:tcBorders>
              <w:left w:val="single" w:sz="4" w:space="0" w:color="auto"/>
              <w:right w:val="single" w:sz="4" w:space="0" w:color="auto"/>
            </w:tcBorders>
            <w:shd w:val="clear" w:color="auto" w:fill="FFFFFF" w:themeFill="background1"/>
            <w:vAlign w:val="center"/>
            <w:hideMark/>
          </w:tcPr>
          <w:p w14:paraId="59EC5F66" w14:textId="53A9DA40"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Major City</w:t>
            </w:r>
          </w:p>
        </w:tc>
      </w:tr>
      <w:tr w:rsidR="007912D4" w:rsidRPr="0077587B" w14:paraId="7C3247AD" w14:textId="77777777" w:rsidTr="007912D4">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vAlign w:val="center"/>
            <w:hideMark/>
          </w:tcPr>
          <w:p w14:paraId="1E415E78"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4CD1F3A4" w14:textId="77777777" w:rsidR="007912D4" w:rsidRPr="005C45AA" w:rsidRDefault="007912D4" w:rsidP="007912D4">
            <w:pPr>
              <w:pStyle w:val="BodyText"/>
              <w:spacing w:before="0" w:after="0"/>
              <w:rPr>
                <w:lang w:val="en-US"/>
              </w:rPr>
            </w:pPr>
            <w:r w:rsidRPr="005C45AA">
              <w:rPr>
                <w:lang w:val="en-US"/>
              </w:rPr>
              <w:t>Sydney - Outer West &amp; Blue Mountains</w:t>
            </w:r>
          </w:p>
        </w:tc>
        <w:tc>
          <w:tcPr>
            <w:tcW w:w="2127" w:type="dxa"/>
            <w:tcBorders>
              <w:left w:val="single" w:sz="4" w:space="0" w:color="auto"/>
              <w:right w:val="single" w:sz="4" w:space="0" w:color="auto"/>
            </w:tcBorders>
            <w:shd w:val="clear" w:color="auto" w:fill="FFFFFF" w:themeFill="background1"/>
            <w:vAlign w:val="center"/>
            <w:hideMark/>
          </w:tcPr>
          <w:p w14:paraId="2D7CB073" w14:textId="79EBDA94"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Major City</w:t>
            </w:r>
          </w:p>
        </w:tc>
        <w:tc>
          <w:tcPr>
            <w:tcW w:w="1371" w:type="dxa"/>
            <w:tcBorders>
              <w:left w:val="single" w:sz="4" w:space="0" w:color="auto"/>
              <w:right w:val="single" w:sz="4" w:space="0" w:color="auto"/>
            </w:tcBorders>
            <w:shd w:val="clear" w:color="auto" w:fill="FFFFFF" w:themeFill="background1"/>
            <w:vAlign w:val="center"/>
            <w:hideMark/>
          </w:tcPr>
          <w:p w14:paraId="2389E566" w14:textId="3626B599"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Major City</w:t>
            </w:r>
          </w:p>
        </w:tc>
      </w:tr>
      <w:tr w:rsidR="007912D4" w:rsidRPr="0077587B" w14:paraId="62658276" w14:textId="77777777" w:rsidTr="007912D4">
        <w:trPr>
          <w:trHeight w:val="20"/>
        </w:trPr>
        <w:tc>
          <w:tcPr>
            <w:tcW w:w="784" w:type="dxa"/>
            <w:vMerge/>
            <w:tcBorders>
              <w:left w:val="single" w:sz="4" w:space="0" w:color="auto"/>
              <w:bottom w:val="single" w:sz="4" w:space="0" w:color="auto"/>
              <w:right w:val="single" w:sz="4" w:space="0" w:color="auto"/>
            </w:tcBorders>
            <w:vAlign w:val="center"/>
            <w:hideMark/>
          </w:tcPr>
          <w:p w14:paraId="2FF4BEF2"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noWrap/>
            <w:vAlign w:val="center"/>
            <w:hideMark/>
          </w:tcPr>
          <w:p w14:paraId="5B4E1092" w14:textId="77777777" w:rsidR="007912D4" w:rsidRPr="005C45AA" w:rsidRDefault="007912D4" w:rsidP="007912D4">
            <w:pPr>
              <w:pStyle w:val="BodyText"/>
              <w:spacing w:before="0" w:after="0"/>
              <w:rPr>
                <w:lang w:val="en-US"/>
              </w:rPr>
            </w:pPr>
            <w:r w:rsidRPr="005C45AA">
              <w:rPr>
                <w:lang w:val="en-US"/>
              </w:rPr>
              <w:t>Sydney - Parramatta</w:t>
            </w:r>
          </w:p>
        </w:tc>
        <w:tc>
          <w:tcPr>
            <w:tcW w:w="2127" w:type="dxa"/>
            <w:tcBorders>
              <w:left w:val="single" w:sz="4" w:space="0" w:color="auto"/>
              <w:right w:val="single" w:sz="4" w:space="0" w:color="auto"/>
            </w:tcBorders>
            <w:shd w:val="clear" w:color="auto" w:fill="FFFFFF" w:themeFill="background1"/>
            <w:vAlign w:val="center"/>
            <w:hideMark/>
          </w:tcPr>
          <w:p w14:paraId="5CDE95E4" w14:textId="682D5540"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Major City</w:t>
            </w:r>
          </w:p>
        </w:tc>
        <w:tc>
          <w:tcPr>
            <w:tcW w:w="1371" w:type="dxa"/>
            <w:tcBorders>
              <w:left w:val="single" w:sz="4" w:space="0" w:color="auto"/>
              <w:right w:val="single" w:sz="4" w:space="0" w:color="auto"/>
            </w:tcBorders>
            <w:shd w:val="clear" w:color="auto" w:fill="FFFFFF" w:themeFill="background1"/>
            <w:vAlign w:val="center"/>
            <w:hideMark/>
          </w:tcPr>
          <w:p w14:paraId="62293866" w14:textId="06117B16" w:rsidR="007912D4" w:rsidRPr="005C45AA" w:rsidRDefault="007912D4" w:rsidP="007912D4">
            <w:pPr>
              <w:pStyle w:val="BodyText"/>
              <w:spacing w:before="0" w:after="0"/>
              <w:rPr>
                <w:lang w:val="en-US"/>
              </w:rPr>
            </w:pPr>
            <w:r w:rsidRPr="005C45AA">
              <w:rPr>
                <w:lang w:val="en-US"/>
              </w:rPr>
              <w:t>Major City</w:t>
            </w:r>
          </w:p>
        </w:tc>
      </w:tr>
      <w:tr w:rsidR="007912D4" w:rsidRPr="0077587B" w14:paraId="151A2058" w14:textId="77777777" w:rsidTr="007912D4">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vAlign w:val="center"/>
            <w:hideMark/>
          </w:tcPr>
          <w:p w14:paraId="6B4AC7CD"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2EDFE2A2" w14:textId="77777777" w:rsidR="007912D4" w:rsidRPr="005C45AA" w:rsidRDefault="007912D4" w:rsidP="007912D4">
            <w:pPr>
              <w:pStyle w:val="BodyText"/>
              <w:spacing w:before="0" w:after="0"/>
              <w:rPr>
                <w:lang w:val="en-US"/>
              </w:rPr>
            </w:pPr>
            <w:r w:rsidRPr="005C45AA">
              <w:rPr>
                <w:lang w:val="en-US"/>
              </w:rPr>
              <w:t>Sydney - City &amp; Inner South</w:t>
            </w:r>
          </w:p>
        </w:tc>
        <w:tc>
          <w:tcPr>
            <w:tcW w:w="2127" w:type="dxa"/>
            <w:tcBorders>
              <w:left w:val="single" w:sz="4" w:space="0" w:color="auto"/>
              <w:right w:val="single" w:sz="4" w:space="0" w:color="auto"/>
            </w:tcBorders>
            <w:shd w:val="clear" w:color="auto" w:fill="FFFFFF" w:themeFill="background1"/>
            <w:vAlign w:val="center"/>
            <w:hideMark/>
          </w:tcPr>
          <w:p w14:paraId="5E062EB3" w14:textId="2E2C7143"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Major City</w:t>
            </w:r>
          </w:p>
        </w:tc>
        <w:tc>
          <w:tcPr>
            <w:tcW w:w="1371" w:type="dxa"/>
            <w:tcBorders>
              <w:left w:val="single" w:sz="4" w:space="0" w:color="auto"/>
              <w:right w:val="single" w:sz="4" w:space="0" w:color="auto"/>
            </w:tcBorders>
            <w:shd w:val="clear" w:color="auto" w:fill="FFFFFF" w:themeFill="background1"/>
            <w:vAlign w:val="center"/>
            <w:hideMark/>
          </w:tcPr>
          <w:p w14:paraId="2E3A7EAB" w14:textId="67ABBFED"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Major City</w:t>
            </w:r>
          </w:p>
        </w:tc>
      </w:tr>
      <w:tr w:rsidR="007912D4" w:rsidRPr="0077587B" w14:paraId="4443893B" w14:textId="77777777" w:rsidTr="007912D4">
        <w:trPr>
          <w:trHeight w:val="20"/>
        </w:trPr>
        <w:tc>
          <w:tcPr>
            <w:tcW w:w="784" w:type="dxa"/>
            <w:vMerge/>
            <w:tcBorders>
              <w:left w:val="single" w:sz="4" w:space="0" w:color="auto"/>
              <w:bottom w:val="single" w:sz="4" w:space="0" w:color="auto"/>
              <w:right w:val="single" w:sz="4" w:space="0" w:color="auto"/>
            </w:tcBorders>
            <w:vAlign w:val="center"/>
            <w:hideMark/>
          </w:tcPr>
          <w:p w14:paraId="2657889E"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noWrap/>
            <w:vAlign w:val="center"/>
            <w:hideMark/>
          </w:tcPr>
          <w:p w14:paraId="0720D52B" w14:textId="77777777" w:rsidR="007912D4" w:rsidRPr="005C45AA" w:rsidRDefault="007912D4" w:rsidP="007912D4">
            <w:pPr>
              <w:pStyle w:val="BodyText"/>
              <w:spacing w:before="0" w:after="0"/>
              <w:rPr>
                <w:lang w:val="en-US"/>
              </w:rPr>
            </w:pPr>
            <w:r w:rsidRPr="005C45AA">
              <w:rPr>
                <w:lang w:val="en-US"/>
              </w:rPr>
              <w:t>Sydney - Eastern Suburbs</w:t>
            </w:r>
          </w:p>
        </w:tc>
        <w:tc>
          <w:tcPr>
            <w:tcW w:w="2127" w:type="dxa"/>
            <w:tcBorders>
              <w:left w:val="single" w:sz="4" w:space="0" w:color="auto"/>
              <w:right w:val="single" w:sz="4" w:space="0" w:color="auto"/>
            </w:tcBorders>
            <w:shd w:val="clear" w:color="auto" w:fill="FFFFFF" w:themeFill="background1"/>
            <w:vAlign w:val="center"/>
            <w:hideMark/>
          </w:tcPr>
          <w:p w14:paraId="119E75D7" w14:textId="7A01D839"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Major City</w:t>
            </w:r>
          </w:p>
        </w:tc>
        <w:tc>
          <w:tcPr>
            <w:tcW w:w="1371" w:type="dxa"/>
            <w:tcBorders>
              <w:left w:val="single" w:sz="4" w:space="0" w:color="auto"/>
              <w:right w:val="single" w:sz="4" w:space="0" w:color="auto"/>
            </w:tcBorders>
            <w:shd w:val="clear" w:color="auto" w:fill="FFFFFF" w:themeFill="background1"/>
            <w:vAlign w:val="center"/>
            <w:hideMark/>
          </w:tcPr>
          <w:p w14:paraId="071B7AD2" w14:textId="42EEC522"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Major City</w:t>
            </w:r>
          </w:p>
        </w:tc>
      </w:tr>
      <w:tr w:rsidR="007912D4" w:rsidRPr="0077587B" w14:paraId="011623EE" w14:textId="77777777" w:rsidTr="007912D4">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vAlign w:val="center"/>
            <w:hideMark/>
          </w:tcPr>
          <w:p w14:paraId="6DF46616"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53FD4909" w14:textId="77777777" w:rsidR="007912D4" w:rsidRPr="005C45AA" w:rsidRDefault="007912D4" w:rsidP="007912D4">
            <w:pPr>
              <w:pStyle w:val="BodyText"/>
              <w:spacing w:before="0" w:after="0"/>
              <w:rPr>
                <w:lang w:val="en-US"/>
              </w:rPr>
            </w:pPr>
            <w:r w:rsidRPr="005C45AA">
              <w:rPr>
                <w:lang w:val="en-US"/>
              </w:rPr>
              <w:t>Sydney - Inner South West</w:t>
            </w:r>
          </w:p>
        </w:tc>
        <w:tc>
          <w:tcPr>
            <w:tcW w:w="2127" w:type="dxa"/>
            <w:tcBorders>
              <w:left w:val="single" w:sz="4" w:space="0" w:color="auto"/>
              <w:right w:val="single" w:sz="4" w:space="0" w:color="auto"/>
            </w:tcBorders>
            <w:shd w:val="clear" w:color="auto" w:fill="FFFFFF" w:themeFill="background1"/>
            <w:vAlign w:val="center"/>
            <w:hideMark/>
          </w:tcPr>
          <w:p w14:paraId="36E7BF9A" w14:textId="33D10E73"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Major City</w:t>
            </w:r>
          </w:p>
        </w:tc>
        <w:tc>
          <w:tcPr>
            <w:tcW w:w="1371" w:type="dxa"/>
            <w:tcBorders>
              <w:left w:val="single" w:sz="4" w:space="0" w:color="auto"/>
              <w:right w:val="single" w:sz="4" w:space="0" w:color="auto"/>
            </w:tcBorders>
            <w:shd w:val="clear" w:color="auto" w:fill="FFFFFF" w:themeFill="background1"/>
            <w:vAlign w:val="center"/>
            <w:hideMark/>
          </w:tcPr>
          <w:p w14:paraId="73AE4EE9" w14:textId="5D0D819E"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Major City</w:t>
            </w:r>
          </w:p>
        </w:tc>
      </w:tr>
      <w:tr w:rsidR="007912D4" w:rsidRPr="0077587B" w14:paraId="279898A8" w14:textId="77777777" w:rsidTr="007912D4">
        <w:trPr>
          <w:trHeight w:val="20"/>
        </w:trPr>
        <w:tc>
          <w:tcPr>
            <w:tcW w:w="784" w:type="dxa"/>
            <w:vMerge/>
            <w:tcBorders>
              <w:left w:val="single" w:sz="4" w:space="0" w:color="auto"/>
              <w:bottom w:val="single" w:sz="4" w:space="0" w:color="auto"/>
              <w:right w:val="single" w:sz="4" w:space="0" w:color="auto"/>
            </w:tcBorders>
            <w:vAlign w:val="center"/>
            <w:hideMark/>
          </w:tcPr>
          <w:p w14:paraId="496D0880"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noWrap/>
            <w:vAlign w:val="center"/>
            <w:hideMark/>
          </w:tcPr>
          <w:p w14:paraId="76EBE253" w14:textId="77777777" w:rsidR="007912D4" w:rsidRPr="005C45AA" w:rsidRDefault="007912D4" w:rsidP="007912D4">
            <w:pPr>
              <w:pStyle w:val="BodyText"/>
              <w:spacing w:before="0" w:after="0"/>
              <w:rPr>
                <w:lang w:val="en-US"/>
              </w:rPr>
            </w:pPr>
            <w:r w:rsidRPr="005C45AA">
              <w:rPr>
                <w:lang w:val="en-US"/>
              </w:rPr>
              <w:t>Sydney - Inner West</w:t>
            </w:r>
          </w:p>
        </w:tc>
        <w:tc>
          <w:tcPr>
            <w:tcW w:w="2127" w:type="dxa"/>
            <w:tcBorders>
              <w:left w:val="single" w:sz="4" w:space="0" w:color="auto"/>
              <w:right w:val="single" w:sz="4" w:space="0" w:color="auto"/>
            </w:tcBorders>
            <w:shd w:val="clear" w:color="auto" w:fill="FFFFFF" w:themeFill="background1"/>
            <w:vAlign w:val="center"/>
            <w:hideMark/>
          </w:tcPr>
          <w:p w14:paraId="52568EED" w14:textId="76242279"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Major City</w:t>
            </w:r>
          </w:p>
        </w:tc>
        <w:tc>
          <w:tcPr>
            <w:tcW w:w="1371" w:type="dxa"/>
            <w:tcBorders>
              <w:left w:val="single" w:sz="4" w:space="0" w:color="auto"/>
              <w:right w:val="single" w:sz="4" w:space="0" w:color="auto"/>
            </w:tcBorders>
            <w:shd w:val="clear" w:color="auto" w:fill="FFFFFF" w:themeFill="background1"/>
            <w:vAlign w:val="center"/>
            <w:hideMark/>
          </w:tcPr>
          <w:p w14:paraId="5DB5EED7" w14:textId="6A326330"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Major City</w:t>
            </w:r>
          </w:p>
        </w:tc>
      </w:tr>
      <w:tr w:rsidR="007912D4" w:rsidRPr="0077587B" w14:paraId="72F7D02D" w14:textId="77777777" w:rsidTr="007912D4">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vAlign w:val="center"/>
            <w:hideMark/>
          </w:tcPr>
          <w:p w14:paraId="242523C0"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3FD93180" w14:textId="5BC80526" w:rsidR="007912D4" w:rsidRPr="005C45AA" w:rsidRDefault="007912D4" w:rsidP="007912D4">
            <w:pPr>
              <w:pStyle w:val="BodyText"/>
              <w:spacing w:before="0" w:after="0"/>
              <w:rPr>
                <w:lang w:val="en-US"/>
              </w:rPr>
            </w:pPr>
            <w:r w:rsidRPr="005C45AA">
              <w:rPr>
                <w:lang w:val="en-US"/>
              </w:rPr>
              <w:t>Sydney - Sutherl</w:t>
            </w:r>
            <w:r>
              <w:rPr>
                <w:lang w:val="en-US"/>
              </w:rPr>
              <w:t>and</w:t>
            </w:r>
          </w:p>
        </w:tc>
        <w:tc>
          <w:tcPr>
            <w:tcW w:w="2127" w:type="dxa"/>
            <w:tcBorders>
              <w:left w:val="single" w:sz="4" w:space="0" w:color="auto"/>
              <w:right w:val="single" w:sz="4" w:space="0" w:color="auto"/>
            </w:tcBorders>
            <w:shd w:val="clear" w:color="auto" w:fill="FFFFFF" w:themeFill="background1"/>
            <w:vAlign w:val="center"/>
            <w:hideMark/>
          </w:tcPr>
          <w:p w14:paraId="0A4CD08C" w14:textId="634B6DD9"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Major City</w:t>
            </w:r>
          </w:p>
        </w:tc>
        <w:tc>
          <w:tcPr>
            <w:tcW w:w="1371" w:type="dxa"/>
            <w:tcBorders>
              <w:left w:val="single" w:sz="4" w:space="0" w:color="auto"/>
              <w:right w:val="single" w:sz="4" w:space="0" w:color="auto"/>
            </w:tcBorders>
            <w:shd w:val="clear" w:color="auto" w:fill="FFFFFF" w:themeFill="background1"/>
            <w:vAlign w:val="center"/>
            <w:hideMark/>
          </w:tcPr>
          <w:p w14:paraId="3FE9448E" w14:textId="2A140BA5"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Major City</w:t>
            </w:r>
          </w:p>
        </w:tc>
      </w:tr>
      <w:tr w:rsidR="007912D4" w:rsidRPr="0077587B" w14:paraId="3EA84B77" w14:textId="77777777" w:rsidTr="007912D4">
        <w:trPr>
          <w:trHeight w:val="20"/>
        </w:trPr>
        <w:tc>
          <w:tcPr>
            <w:tcW w:w="784" w:type="dxa"/>
            <w:vMerge/>
            <w:tcBorders>
              <w:left w:val="single" w:sz="4" w:space="0" w:color="auto"/>
              <w:bottom w:val="single" w:sz="4" w:space="0" w:color="auto"/>
              <w:right w:val="single" w:sz="4" w:space="0" w:color="auto"/>
            </w:tcBorders>
            <w:vAlign w:val="center"/>
            <w:hideMark/>
          </w:tcPr>
          <w:p w14:paraId="27FA5153"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noWrap/>
            <w:vAlign w:val="center"/>
            <w:hideMark/>
          </w:tcPr>
          <w:p w14:paraId="490EA41C" w14:textId="77777777" w:rsidR="007912D4" w:rsidRPr="005C45AA" w:rsidRDefault="007912D4" w:rsidP="007912D4">
            <w:pPr>
              <w:pStyle w:val="BodyText"/>
              <w:spacing w:before="0" w:after="0"/>
              <w:rPr>
                <w:lang w:val="en-US"/>
              </w:rPr>
            </w:pPr>
            <w:r w:rsidRPr="005C45AA">
              <w:rPr>
                <w:lang w:val="en-US"/>
              </w:rPr>
              <w:t>Sydney - Outer South West</w:t>
            </w:r>
          </w:p>
        </w:tc>
        <w:tc>
          <w:tcPr>
            <w:tcW w:w="2127" w:type="dxa"/>
            <w:tcBorders>
              <w:left w:val="single" w:sz="4" w:space="0" w:color="auto"/>
              <w:right w:val="single" w:sz="4" w:space="0" w:color="auto"/>
            </w:tcBorders>
            <w:shd w:val="clear" w:color="auto" w:fill="FFFFFF" w:themeFill="background1"/>
            <w:vAlign w:val="center"/>
            <w:hideMark/>
          </w:tcPr>
          <w:p w14:paraId="51BAA089" w14:textId="5FC1FB44"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Major City</w:t>
            </w:r>
          </w:p>
        </w:tc>
        <w:tc>
          <w:tcPr>
            <w:tcW w:w="1371" w:type="dxa"/>
            <w:tcBorders>
              <w:left w:val="single" w:sz="4" w:space="0" w:color="auto"/>
              <w:right w:val="single" w:sz="4" w:space="0" w:color="auto"/>
            </w:tcBorders>
            <w:shd w:val="clear" w:color="auto" w:fill="FFFFFF" w:themeFill="background1"/>
            <w:vAlign w:val="center"/>
            <w:hideMark/>
          </w:tcPr>
          <w:p w14:paraId="7FAD83DA" w14:textId="5E0F7F4C"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Major City</w:t>
            </w:r>
          </w:p>
        </w:tc>
      </w:tr>
      <w:tr w:rsidR="007912D4" w:rsidRPr="0077587B" w14:paraId="2F8DF51D" w14:textId="77777777" w:rsidTr="007D2C39">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vAlign w:val="center"/>
            <w:hideMark/>
          </w:tcPr>
          <w:p w14:paraId="5963E514" w14:textId="77777777" w:rsidR="007912D4" w:rsidRPr="005C45AA" w:rsidRDefault="007912D4" w:rsidP="007912D4">
            <w:pPr>
              <w:pStyle w:val="BodyText"/>
              <w:spacing w:before="0" w:after="0"/>
              <w:rPr>
                <w:lang w:val="en-US"/>
              </w:rPr>
            </w:pPr>
          </w:p>
        </w:tc>
        <w:tc>
          <w:tcPr>
            <w:tcW w:w="4744" w:type="dxa"/>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685809BA" w14:textId="77777777" w:rsidR="007912D4" w:rsidRPr="005C45AA" w:rsidRDefault="007912D4" w:rsidP="007912D4">
            <w:pPr>
              <w:pStyle w:val="BodyText"/>
              <w:spacing w:before="0" w:after="0"/>
              <w:rPr>
                <w:lang w:val="en-US"/>
              </w:rPr>
            </w:pPr>
            <w:r w:rsidRPr="005C45AA">
              <w:rPr>
                <w:lang w:val="en-US"/>
              </w:rPr>
              <w:t>Sydney - South West</w:t>
            </w:r>
          </w:p>
        </w:tc>
        <w:tc>
          <w:tcPr>
            <w:tcW w:w="2127" w:type="dxa"/>
            <w:tcBorders>
              <w:left w:val="single" w:sz="4" w:space="0" w:color="auto"/>
              <w:bottom w:val="single" w:sz="4" w:space="0" w:color="auto"/>
              <w:right w:val="single" w:sz="4" w:space="0" w:color="auto"/>
            </w:tcBorders>
            <w:shd w:val="clear" w:color="auto" w:fill="FFFFFF" w:themeFill="background1"/>
            <w:vAlign w:val="center"/>
            <w:hideMark/>
          </w:tcPr>
          <w:p w14:paraId="147A2021" w14:textId="2FD14CF3"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Major City</w:t>
            </w:r>
          </w:p>
        </w:tc>
        <w:tc>
          <w:tcPr>
            <w:tcW w:w="1371" w:type="dxa"/>
            <w:tcBorders>
              <w:left w:val="single" w:sz="4" w:space="0" w:color="auto"/>
              <w:bottom w:val="single" w:sz="4" w:space="0" w:color="auto"/>
              <w:right w:val="single" w:sz="4" w:space="0" w:color="auto"/>
            </w:tcBorders>
            <w:shd w:val="clear" w:color="auto" w:fill="FFFFFF" w:themeFill="background1"/>
            <w:vAlign w:val="center"/>
            <w:hideMark/>
          </w:tcPr>
          <w:p w14:paraId="2C2F599F" w14:textId="139375F5" w:rsidR="007912D4" w:rsidRPr="007912D4" w:rsidRDefault="007912D4" w:rsidP="007912D4">
            <w:pPr>
              <w:pStyle w:val="BodyText"/>
              <w:spacing w:before="0" w:after="0"/>
              <w:rPr>
                <w:color w:val="FFFFFF" w:themeColor="background1"/>
                <w:lang w:val="en-US"/>
              </w:rPr>
            </w:pPr>
            <w:r w:rsidRPr="007912D4">
              <w:rPr>
                <w:color w:val="FFFFFF" w:themeColor="background1"/>
                <w:lang w:val="en-US"/>
              </w:rPr>
              <w:t>Major City</w:t>
            </w:r>
          </w:p>
        </w:tc>
      </w:tr>
      <w:tr w:rsidR="007912D4" w:rsidRPr="0077587B" w14:paraId="12CBB42E" w14:textId="77777777" w:rsidTr="00545528">
        <w:trPr>
          <w:trHeight w:val="20"/>
        </w:trPr>
        <w:tc>
          <w:tcPr>
            <w:tcW w:w="78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0136E5" w14:textId="77777777" w:rsidR="007912D4" w:rsidRPr="005C45AA" w:rsidRDefault="007912D4" w:rsidP="007912D4">
            <w:pPr>
              <w:pStyle w:val="BodyText"/>
              <w:spacing w:before="0" w:after="0"/>
              <w:rPr>
                <w:lang w:val="en-US"/>
              </w:rPr>
            </w:pPr>
            <w:r w:rsidRPr="005C45AA">
              <w:rPr>
                <w:lang w:val="en-US"/>
              </w:rPr>
              <w:t>Vic.</w:t>
            </w:r>
          </w:p>
        </w:tc>
        <w:tc>
          <w:tcPr>
            <w:tcW w:w="4744" w:type="dxa"/>
            <w:tcBorders>
              <w:top w:val="single" w:sz="4" w:space="0" w:color="auto"/>
              <w:left w:val="single" w:sz="4" w:space="0" w:color="auto"/>
              <w:right w:val="single" w:sz="4" w:space="0" w:color="auto"/>
            </w:tcBorders>
            <w:noWrap/>
            <w:vAlign w:val="center"/>
            <w:hideMark/>
          </w:tcPr>
          <w:p w14:paraId="6DA3D577" w14:textId="77777777" w:rsidR="007912D4" w:rsidRPr="005C45AA" w:rsidRDefault="007912D4" w:rsidP="007912D4">
            <w:pPr>
              <w:pStyle w:val="BodyText"/>
              <w:spacing w:before="0" w:after="0"/>
              <w:rPr>
                <w:lang w:val="en-US"/>
              </w:rPr>
            </w:pPr>
            <w:r w:rsidRPr="005C45AA">
              <w:rPr>
                <w:lang w:val="en-US"/>
              </w:rPr>
              <w:t>Ballarat</w:t>
            </w:r>
          </w:p>
        </w:tc>
        <w:tc>
          <w:tcPr>
            <w:tcW w:w="2127" w:type="dxa"/>
            <w:tcBorders>
              <w:top w:val="single" w:sz="4" w:space="0" w:color="auto"/>
              <w:left w:val="single" w:sz="4" w:space="0" w:color="auto"/>
              <w:bottom w:val="nil"/>
              <w:right w:val="single" w:sz="4" w:space="0" w:color="auto"/>
            </w:tcBorders>
            <w:shd w:val="clear" w:color="auto" w:fill="FFFFFF" w:themeFill="background1"/>
            <w:noWrap/>
            <w:vAlign w:val="center"/>
            <w:hideMark/>
          </w:tcPr>
          <w:p w14:paraId="4141342F" w14:textId="77777777" w:rsidR="007912D4" w:rsidRPr="007D2C39" w:rsidRDefault="007912D4" w:rsidP="00545528">
            <w:pPr>
              <w:pStyle w:val="BodyText"/>
              <w:spacing w:before="0" w:after="0"/>
              <w:jc w:val="center"/>
              <w:rPr>
                <w:color w:val="FFFFFF" w:themeColor="background1"/>
                <w:lang w:val="en-US"/>
              </w:rPr>
            </w:pPr>
            <w:r w:rsidRPr="007D2C39">
              <w:rPr>
                <w:color w:val="FFFFFF" w:themeColor="background1"/>
                <w:lang w:val="en-US"/>
              </w:rPr>
              <w:t>Inner Regional</w:t>
            </w:r>
          </w:p>
        </w:tc>
        <w:tc>
          <w:tcPr>
            <w:tcW w:w="1371" w:type="dxa"/>
            <w:tcBorders>
              <w:top w:val="single" w:sz="4" w:space="0" w:color="auto"/>
              <w:left w:val="single" w:sz="4" w:space="0" w:color="auto"/>
              <w:bottom w:val="nil"/>
              <w:right w:val="single" w:sz="4" w:space="0" w:color="auto"/>
            </w:tcBorders>
            <w:shd w:val="clear" w:color="auto" w:fill="FFFFFF" w:themeFill="background1"/>
            <w:noWrap/>
            <w:vAlign w:val="center"/>
            <w:hideMark/>
          </w:tcPr>
          <w:p w14:paraId="7D7BD5F3" w14:textId="77777777" w:rsidR="007912D4" w:rsidRPr="007D2C39" w:rsidRDefault="007912D4" w:rsidP="00545528">
            <w:pPr>
              <w:pStyle w:val="BodyText"/>
              <w:spacing w:before="0" w:after="0"/>
              <w:jc w:val="center"/>
              <w:rPr>
                <w:color w:val="FFFFFF" w:themeColor="background1"/>
                <w:lang w:val="en-US"/>
              </w:rPr>
            </w:pPr>
            <w:r w:rsidRPr="007D2C39">
              <w:rPr>
                <w:color w:val="FFFFFF" w:themeColor="background1"/>
                <w:lang w:val="en-US"/>
              </w:rPr>
              <w:t>Regional</w:t>
            </w:r>
          </w:p>
        </w:tc>
      </w:tr>
      <w:tr w:rsidR="007D2C39" w:rsidRPr="0077587B" w14:paraId="01D461FA" w14:textId="77777777" w:rsidTr="00545528">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2BCC0794"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4D4B7B74" w14:textId="77777777" w:rsidR="007912D4" w:rsidRPr="005C45AA" w:rsidRDefault="007912D4" w:rsidP="007912D4">
            <w:pPr>
              <w:pStyle w:val="BodyText"/>
              <w:spacing w:before="0" w:after="0"/>
              <w:rPr>
                <w:lang w:val="en-US"/>
              </w:rPr>
            </w:pPr>
            <w:r w:rsidRPr="005C45AA">
              <w:rPr>
                <w:lang w:val="en-US"/>
              </w:rPr>
              <w:t>Bendigo</w:t>
            </w:r>
          </w:p>
        </w:tc>
        <w:tc>
          <w:tcPr>
            <w:tcW w:w="2127" w:type="dxa"/>
            <w:tcBorders>
              <w:left w:val="single" w:sz="4" w:space="0" w:color="auto"/>
              <w:bottom w:val="nil"/>
              <w:right w:val="single" w:sz="4" w:space="0" w:color="auto"/>
            </w:tcBorders>
            <w:shd w:val="clear" w:color="auto" w:fill="FFFFFF" w:themeFill="background1"/>
            <w:vAlign w:val="center"/>
            <w:hideMark/>
          </w:tcPr>
          <w:p w14:paraId="63CBDDF1" w14:textId="43C8ABF1" w:rsidR="007912D4" w:rsidRPr="007D2C39" w:rsidRDefault="007D2C39" w:rsidP="00545528">
            <w:pPr>
              <w:pStyle w:val="BodyText"/>
              <w:spacing w:before="0" w:after="0"/>
              <w:jc w:val="center"/>
              <w:rPr>
                <w:color w:val="FFFFFF" w:themeColor="background1"/>
                <w:lang w:val="en-US"/>
              </w:rPr>
            </w:pPr>
            <w:r w:rsidRPr="007D2C39">
              <w:rPr>
                <w:color w:val="FFFFFF" w:themeColor="background1"/>
                <w:lang w:val="en-US"/>
              </w:rPr>
              <w:t>Inner Regional</w:t>
            </w:r>
          </w:p>
        </w:tc>
        <w:tc>
          <w:tcPr>
            <w:tcW w:w="1371" w:type="dxa"/>
            <w:tcBorders>
              <w:left w:val="single" w:sz="4" w:space="0" w:color="auto"/>
              <w:bottom w:val="nil"/>
              <w:right w:val="single" w:sz="4" w:space="0" w:color="auto"/>
            </w:tcBorders>
            <w:shd w:val="clear" w:color="auto" w:fill="FFFFFF" w:themeFill="background1"/>
            <w:vAlign w:val="center"/>
            <w:hideMark/>
          </w:tcPr>
          <w:p w14:paraId="1F0E475C" w14:textId="610509DF" w:rsidR="007912D4" w:rsidRPr="007D2C39" w:rsidRDefault="007D2C39" w:rsidP="00545528">
            <w:pPr>
              <w:pStyle w:val="BodyText"/>
              <w:spacing w:before="0" w:after="0"/>
              <w:jc w:val="center"/>
              <w:rPr>
                <w:color w:val="FFFFFF" w:themeColor="background1"/>
                <w:lang w:val="en-US"/>
              </w:rPr>
            </w:pPr>
            <w:r w:rsidRPr="007D2C39">
              <w:rPr>
                <w:color w:val="FFFFFF" w:themeColor="background1"/>
                <w:lang w:val="en-US"/>
              </w:rPr>
              <w:t>Regional</w:t>
            </w:r>
          </w:p>
        </w:tc>
      </w:tr>
      <w:tr w:rsidR="007912D4" w:rsidRPr="0077587B" w14:paraId="61775CCF" w14:textId="77777777" w:rsidTr="00545528">
        <w:trPr>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4BBF6739"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noWrap/>
            <w:vAlign w:val="center"/>
            <w:hideMark/>
          </w:tcPr>
          <w:p w14:paraId="08E7C06B" w14:textId="77777777" w:rsidR="007912D4" w:rsidRPr="005C45AA" w:rsidRDefault="007912D4" w:rsidP="007912D4">
            <w:pPr>
              <w:pStyle w:val="BodyText"/>
              <w:spacing w:before="0" w:after="0"/>
              <w:rPr>
                <w:lang w:val="en-US"/>
              </w:rPr>
            </w:pPr>
            <w:r w:rsidRPr="005C45AA">
              <w:rPr>
                <w:lang w:val="en-US"/>
              </w:rPr>
              <w:t>Hume</w:t>
            </w:r>
          </w:p>
        </w:tc>
        <w:tc>
          <w:tcPr>
            <w:tcW w:w="2127" w:type="dxa"/>
            <w:tcBorders>
              <w:left w:val="single" w:sz="4" w:space="0" w:color="auto"/>
              <w:bottom w:val="nil"/>
              <w:right w:val="single" w:sz="4" w:space="0" w:color="auto"/>
            </w:tcBorders>
            <w:shd w:val="clear" w:color="auto" w:fill="FFFFFF" w:themeFill="background1"/>
            <w:vAlign w:val="center"/>
            <w:hideMark/>
          </w:tcPr>
          <w:p w14:paraId="3DCD70A9" w14:textId="0479236E" w:rsidR="007912D4" w:rsidRPr="007D2C39" w:rsidRDefault="007D2C39" w:rsidP="00545528">
            <w:pPr>
              <w:pStyle w:val="BodyText"/>
              <w:spacing w:before="0" w:after="0"/>
              <w:jc w:val="center"/>
              <w:rPr>
                <w:lang w:val="en-US"/>
              </w:rPr>
            </w:pPr>
            <w:r w:rsidRPr="007D2C39">
              <w:rPr>
                <w:lang w:val="en-US"/>
              </w:rPr>
              <w:t>Inner Regional</w:t>
            </w:r>
          </w:p>
        </w:tc>
        <w:tc>
          <w:tcPr>
            <w:tcW w:w="1371" w:type="dxa"/>
            <w:tcBorders>
              <w:left w:val="single" w:sz="4" w:space="0" w:color="auto"/>
              <w:bottom w:val="nil"/>
              <w:right w:val="single" w:sz="4" w:space="0" w:color="auto"/>
            </w:tcBorders>
            <w:shd w:val="clear" w:color="auto" w:fill="FFFFFF" w:themeFill="background1"/>
            <w:vAlign w:val="center"/>
            <w:hideMark/>
          </w:tcPr>
          <w:p w14:paraId="0D67C82F" w14:textId="1958A341" w:rsidR="007912D4" w:rsidRPr="007D2C39" w:rsidRDefault="007D2C39" w:rsidP="00545528">
            <w:pPr>
              <w:pStyle w:val="BodyText"/>
              <w:spacing w:before="0" w:after="0"/>
              <w:jc w:val="center"/>
              <w:rPr>
                <w:lang w:val="en-US"/>
              </w:rPr>
            </w:pPr>
            <w:r w:rsidRPr="007D2C39">
              <w:rPr>
                <w:lang w:val="en-US"/>
              </w:rPr>
              <w:t>Regional</w:t>
            </w:r>
          </w:p>
        </w:tc>
      </w:tr>
      <w:tr w:rsidR="007D2C39" w:rsidRPr="0077587B" w14:paraId="051D77C8" w14:textId="77777777" w:rsidTr="00545528">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3B3051B5"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47BB64CB" w14:textId="77777777" w:rsidR="007912D4" w:rsidRPr="005C45AA" w:rsidRDefault="007912D4" w:rsidP="007912D4">
            <w:pPr>
              <w:pStyle w:val="BodyText"/>
              <w:spacing w:before="0" w:after="0"/>
              <w:rPr>
                <w:lang w:val="en-US"/>
              </w:rPr>
            </w:pPr>
            <w:r w:rsidRPr="005C45AA">
              <w:rPr>
                <w:lang w:val="en-US"/>
              </w:rPr>
              <w:t>Latrobe - Gippsland</w:t>
            </w:r>
          </w:p>
        </w:tc>
        <w:tc>
          <w:tcPr>
            <w:tcW w:w="2127" w:type="dxa"/>
            <w:tcBorders>
              <w:left w:val="single" w:sz="4" w:space="0" w:color="auto"/>
              <w:bottom w:val="single" w:sz="4" w:space="0" w:color="auto"/>
              <w:right w:val="single" w:sz="4" w:space="0" w:color="auto"/>
            </w:tcBorders>
            <w:shd w:val="clear" w:color="auto" w:fill="FFFFFF" w:themeFill="background1"/>
            <w:vAlign w:val="center"/>
            <w:hideMark/>
          </w:tcPr>
          <w:p w14:paraId="7B16A9FE" w14:textId="3650F580" w:rsidR="007912D4" w:rsidRPr="007D2C39" w:rsidRDefault="007D2C39" w:rsidP="00545528">
            <w:pPr>
              <w:pStyle w:val="BodyText"/>
              <w:spacing w:before="0" w:after="0"/>
              <w:jc w:val="center"/>
              <w:rPr>
                <w:color w:val="FFFFFF" w:themeColor="background1"/>
                <w:lang w:val="en-US"/>
              </w:rPr>
            </w:pPr>
            <w:r w:rsidRPr="007D2C39">
              <w:rPr>
                <w:color w:val="FFFFFF" w:themeColor="background1"/>
                <w:lang w:val="en-US"/>
              </w:rPr>
              <w:t>Inner Regional</w:t>
            </w:r>
          </w:p>
        </w:tc>
        <w:tc>
          <w:tcPr>
            <w:tcW w:w="1371" w:type="dxa"/>
            <w:tcBorders>
              <w:left w:val="single" w:sz="4" w:space="0" w:color="auto"/>
              <w:bottom w:val="single" w:sz="4" w:space="0" w:color="auto"/>
              <w:right w:val="single" w:sz="4" w:space="0" w:color="auto"/>
            </w:tcBorders>
            <w:shd w:val="clear" w:color="auto" w:fill="FFFFFF" w:themeFill="background1"/>
            <w:vAlign w:val="center"/>
            <w:hideMark/>
          </w:tcPr>
          <w:p w14:paraId="2F8464D8" w14:textId="787BB606" w:rsidR="007912D4" w:rsidRPr="007D2C39" w:rsidRDefault="007D2C39" w:rsidP="00545528">
            <w:pPr>
              <w:pStyle w:val="BodyText"/>
              <w:spacing w:before="0" w:after="0"/>
              <w:jc w:val="center"/>
              <w:rPr>
                <w:color w:val="FFFFFF" w:themeColor="background1"/>
                <w:lang w:val="en-US"/>
              </w:rPr>
            </w:pPr>
            <w:r w:rsidRPr="007D2C39">
              <w:rPr>
                <w:color w:val="FFFFFF" w:themeColor="background1"/>
                <w:lang w:val="en-US"/>
              </w:rPr>
              <w:t>Regional</w:t>
            </w:r>
          </w:p>
        </w:tc>
      </w:tr>
      <w:tr w:rsidR="007912D4" w:rsidRPr="0077587B" w14:paraId="3BFF41C7" w14:textId="77777777" w:rsidTr="00545528">
        <w:trPr>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5688E7CE"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noWrap/>
            <w:vAlign w:val="center"/>
            <w:hideMark/>
          </w:tcPr>
          <w:p w14:paraId="5D31B3DC" w14:textId="77777777" w:rsidR="007912D4" w:rsidRPr="005C45AA" w:rsidRDefault="007912D4" w:rsidP="007912D4">
            <w:pPr>
              <w:pStyle w:val="BodyText"/>
              <w:spacing w:before="0" w:after="0"/>
              <w:rPr>
                <w:lang w:val="en-US"/>
              </w:rPr>
            </w:pPr>
            <w:r w:rsidRPr="005C45AA">
              <w:rPr>
                <w:lang w:val="en-US"/>
              </w:rPr>
              <w:t>Shepparton</w:t>
            </w:r>
          </w:p>
        </w:tc>
        <w:tc>
          <w:tcPr>
            <w:tcW w:w="2127" w:type="dxa"/>
            <w:tcBorders>
              <w:top w:val="single" w:sz="4" w:space="0" w:color="auto"/>
              <w:left w:val="single" w:sz="4" w:space="0" w:color="auto"/>
              <w:bottom w:val="nil"/>
              <w:right w:val="single" w:sz="4" w:space="0" w:color="auto"/>
            </w:tcBorders>
            <w:shd w:val="clear" w:color="auto" w:fill="FFFFFF" w:themeFill="background1"/>
            <w:vAlign w:val="center"/>
            <w:hideMark/>
          </w:tcPr>
          <w:p w14:paraId="56CDD996" w14:textId="5AE6EE5D" w:rsidR="007912D4" w:rsidRPr="007D2C39" w:rsidRDefault="007D2C39" w:rsidP="007912D4">
            <w:pPr>
              <w:pStyle w:val="BodyText"/>
              <w:spacing w:before="0" w:after="0"/>
              <w:rPr>
                <w:color w:val="FFFFFF" w:themeColor="background1"/>
                <w:lang w:val="en-US"/>
              </w:rPr>
            </w:pPr>
            <w:r w:rsidRPr="007D2C39">
              <w:rPr>
                <w:color w:val="FFFFFF" w:themeColor="background1"/>
                <w:lang w:val="en-US"/>
              </w:rPr>
              <w:t>Inner Regional</w:t>
            </w:r>
          </w:p>
        </w:tc>
        <w:tc>
          <w:tcPr>
            <w:tcW w:w="1371" w:type="dxa"/>
            <w:tcBorders>
              <w:top w:val="single" w:sz="4" w:space="0" w:color="auto"/>
              <w:left w:val="single" w:sz="4" w:space="0" w:color="auto"/>
              <w:bottom w:val="nil"/>
              <w:right w:val="single" w:sz="4" w:space="0" w:color="auto"/>
            </w:tcBorders>
            <w:shd w:val="clear" w:color="auto" w:fill="FFFFFF" w:themeFill="background1"/>
            <w:vAlign w:val="center"/>
            <w:hideMark/>
          </w:tcPr>
          <w:p w14:paraId="32212117" w14:textId="3D02F3F9" w:rsidR="007912D4" w:rsidRPr="007D2C39" w:rsidRDefault="007D2C39" w:rsidP="007912D4">
            <w:pPr>
              <w:pStyle w:val="BodyText"/>
              <w:spacing w:before="0" w:after="0"/>
              <w:rPr>
                <w:color w:val="FFFFFF" w:themeColor="background1"/>
                <w:lang w:val="en-US"/>
              </w:rPr>
            </w:pPr>
            <w:r w:rsidRPr="007D2C39">
              <w:rPr>
                <w:color w:val="FFFFFF" w:themeColor="background1"/>
                <w:lang w:val="en-US"/>
              </w:rPr>
              <w:t>Regional</w:t>
            </w:r>
          </w:p>
        </w:tc>
      </w:tr>
      <w:tr w:rsidR="007D2C39" w:rsidRPr="0077587B" w14:paraId="54E3908E" w14:textId="77777777" w:rsidTr="00545528">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4A8B41A4"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5B61FBF4" w14:textId="77777777" w:rsidR="007912D4" w:rsidRPr="005C45AA" w:rsidRDefault="007912D4" w:rsidP="007912D4">
            <w:pPr>
              <w:pStyle w:val="BodyText"/>
              <w:spacing w:before="0" w:after="0"/>
              <w:rPr>
                <w:lang w:val="en-US"/>
              </w:rPr>
            </w:pPr>
            <w:r w:rsidRPr="005C45AA">
              <w:rPr>
                <w:lang w:val="en-US"/>
              </w:rPr>
              <w:t>Warrnambool &amp; South West</w:t>
            </w:r>
          </w:p>
        </w:tc>
        <w:tc>
          <w:tcPr>
            <w:tcW w:w="2127" w:type="dxa"/>
            <w:tcBorders>
              <w:left w:val="single" w:sz="4" w:space="0" w:color="auto"/>
              <w:bottom w:val="single" w:sz="4" w:space="0" w:color="auto"/>
              <w:right w:val="single" w:sz="4" w:space="0" w:color="auto"/>
            </w:tcBorders>
            <w:shd w:val="clear" w:color="auto" w:fill="FFFFFF" w:themeFill="background1"/>
            <w:vAlign w:val="center"/>
            <w:hideMark/>
          </w:tcPr>
          <w:p w14:paraId="590BB580" w14:textId="68534ED5" w:rsidR="007912D4" w:rsidRPr="007D2C39" w:rsidRDefault="007D2C39" w:rsidP="007912D4">
            <w:pPr>
              <w:pStyle w:val="BodyText"/>
              <w:spacing w:before="0" w:after="0"/>
              <w:rPr>
                <w:color w:val="FFFFFF" w:themeColor="background1"/>
                <w:lang w:val="en-US"/>
              </w:rPr>
            </w:pPr>
            <w:r w:rsidRPr="007D2C39">
              <w:rPr>
                <w:color w:val="FFFFFF" w:themeColor="background1"/>
                <w:lang w:val="en-US"/>
              </w:rPr>
              <w:t>Inner Regional</w:t>
            </w:r>
          </w:p>
        </w:tc>
        <w:tc>
          <w:tcPr>
            <w:tcW w:w="1371" w:type="dxa"/>
            <w:tcBorders>
              <w:left w:val="single" w:sz="4" w:space="0" w:color="auto"/>
              <w:bottom w:val="nil"/>
              <w:right w:val="single" w:sz="4" w:space="0" w:color="auto"/>
            </w:tcBorders>
            <w:shd w:val="clear" w:color="auto" w:fill="FFFFFF" w:themeFill="background1"/>
            <w:vAlign w:val="center"/>
            <w:hideMark/>
          </w:tcPr>
          <w:p w14:paraId="313EE4FD" w14:textId="35567199" w:rsidR="007912D4" w:rsidRPr="007D2C39" w:rsidRDefault="007D2C39" w:rsidP="007912D4">
            <w:pPr>
              <w:pStyle w:val="BodyText"/>
              <w:spacing w:before="0" w:after="0"/>
              <w:rPr>
                <w:color w:val="FFFFFF" w:themeColor="background1"/>
                <w:lang w:val="en-US"/>
              </w:rPr>
            </w:pPr>
            <w:r w:rsidRPr="007D2C39">
              <w:rPr>
                <w:color w:val="FFFFFF" w:themeColor="background1"/>
                <w:lang w:val="en-US"/>
              </w:rPr>
              <w:t>Regional</w:t>
            </w:r>
          </w:p>
        </w:tc>
      </w:tr>
      <w:tr w:rsidR="007912D4" w:rsidRPr="0077587B" w14:paraId="55A75ABC" w14:textId="77777777" w:rsidTr="00545528">
        <w:trPr>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392D7ED6"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noWrap/>
            <w:vAlign w:val="center"/>
            <w:hideMark/>
          </w:tcPr>
          <w:p w14:paraId="2167BD1F" w14:textId="77777777" w:rsidR="007912D4" w:rsidRPr="005C45AA" w:rsidRDefault="007912D4" w:rsidP="007912D4">
            <w:pPr>
              <w:pStyle w:val="BodyText"/>
              <w:spacing w:before="0" w:after="0"/>
              <w:rPr>
                <w:lang w:val="en-US"/>
              </w:rPr>
            </w:pPr>
            <w:r w:rsidRPr="005C45AA">
              <w:rPr>
                <w:lang w:val="en-US"/>
              </w:rPr>
              <w:t>Victoria - North West</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23CF1EE3" w14:textId="77777777" w:rsidR="007912D4" w:rsidRPr="005C45AA" w:rsidRDefault="007912D4" w:rsidP="00545528">
            <w:pPr>
              <w:pStyle w:val="BodyText"/>
              <w:spacing w:before="0" w:after="0"/>
              <w:jc w:val="center"/>
              <w:rPr>
                <w:lang w:val="en-US"/>
              </w:rPr>
            </w:pPr>
            <w:r w:rsidRPr="005C45AA">
              <w:rPr>
                <w:lang w:val="en-US"/>
              </w:rPr>
              <w:t>Outer Regional</w:t>
            </w:r>
          </w:p>
        </w:tc>
        <w:tc>
          <w:tcPr>
            <w:tcW w:w="1371" w:type="dxa"/>
            <w:tcBorders>
              <w:left w:val="single" w:sz="4" w:space="0" w:color="auto"/>
              <w:bottom w:val="nil"/>
              <w:right w:val="single" w:sz="4" w:space="0" w:color="auto"/>
            </w:tcBorders>
            <w:shd w:val="clear" w:color="auto" w:fill="FFFFFF" w:themeFill="background1"/>
            <w:vAlign w:val="center"/>
            <w:hideMark/>
          </w:tcPr>
          <w:p w14:paraId="5BE0AF06" w14:textId="5050C1C3" w:rsidR="007912D4" w:rsidRPr="007D2C39" w:rsidRDefault="007D2C39" w:rsidP="007912D4">
            <w:pPr>
              <w:pStyle w:val="BodyText"/>
              <w:spacing w:before="0" w:after="0"/>
              <w:rPr>
                <w:color w:val="FFFFFF" w:themeColor="background1"/>
                <w:lang w:val="en-US"/>
              </w:rPr>
            </w:pPr>
            <w:r w:rsidRPr="007D2C39">
              <w:rPr>
                <w:color w:val="FFFFFF" w:themeColor="background1"/>
                <w:lang w:val="en-US"/>
              </w:rPr>
              <w:t>Regional</w:t>
            </w:r>
          </w:p>
        </w:tc>
      </w:tr>
      <w:tr w:rsidR="007D2C39" w:rsidRPr="0077587B" w14:paraId="5DC667FF" w14:textId="77777777" w:rsidTr="00545528">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1050CB2C"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068F078B" w14:textId="77777777" w:rsidR="007912D4" w:rsidRPr="005C45AA" w:rsidRDefault="007912D4" w:rsidP="007912D4">
            <w:pPr>
              <w:pStyle w:val="BodyText"/>
              <w:spacing w:before="0" w:after="0"/>
              <w:rPr>
                <w:lang w:val="en-US"/>
              </w:rPr>
            </w:pPr>
            <w:r w:rsidRPr="005C45AA">
              <w:rPr>
                <w:lang w:val="en-US"/>
              </w:rPr>
              <w:t>Geelong</w:t>
            </w:r>
          </w:p>
        </w:tc>
        <w:tc>
          <w:tcPr>
            <w:tcW w:w="2127" w:type="dxa"/>
            <w:tcBorders>
              <w:top w:val="single" w:sz="4" w:space="0" w:color="auto"/>
              <w:left w:val="single" w:sz="4" w:space="0" w:color="auto"/>
              <w:bottom w:val="nil"/>
              <w:right w:val="single" w:sz="4" w:space="0" w:color="auto"/>
            </w:tcBorders>
            <w:shd w:val="clear" w:color="auto" w:fill="auto"/>
            <w:noWrap/>
            <w:vAlign w:val="center"/>
            <w:hideMark/>
          </w:tcPr>
          <w:p w14:paraId="38210795" w14:textId="77777777" w:rsidR="007912D4" w:rsidRPr="00545528" w:rsidRDefault="007912D4" w:rsidP="00545528">
            <w:pPr>
              <w:pStyle w:val="BodyText"/>
              <w:spacing w:before="0" w:after="0"/>
              <w:jc w:val="center"/>
              <w:rPr>
                <w:color w:val="FFFFFF" w:themeColor="background1"/>
                <w:lang w:val="en-US"/>
              </w:rPr>
            </w:pPr>
            <w:r w:rsidRPr="00545528">
              <w:rPr>
                <w:color w:val="FFFFFF" w:themeColor="background1"/>
                <w:lang w:val="en-US"/>
              </w:rPr>
              <w:t>Major City</w:t>
            </w:r>
          </w:p>
        </w:tc>
        <w:tc>
          <w:tcPr>
            <w:tcW w:w="1371" w:type="dxa"/>
            <w:tcBorders>
              <w:left w:val="single" w:sz="4" w:space="0" w:color="auto"/>
              <w:bottom w:val="single" w:sz="4" w:space="0" w:color="auto"/>
              <w:right w:val="single" w:sz="4" w:space="0" w:color="auto"/>
            </w:tcBorders>
            <w:shd w:val="clear" w:color="auto" w:fill="FFFFFF" w:themeFill="background1"/>
            <w:vAlign w:val="center"/>
            <w:hideMark/>
          </w:tcPr>
          <w:p w14:paraId="662CBFC9" w14:textId="4526451C" w:rsidR="007912D4" w:rsidRPr="007D2C39" w:rsidRDefault="007D2C39" w:rsidP="007912D4">
            <w:pPr>
              <w:pStyle w:val="BodyText"/>
              <w:spacing w:before="0" w:after="0"/>
              <w:rPr>
                <w:color w:val="FFFFFF" w:themeColor="background1"/>
                <w:lang w:val="en-US"/>
              </w:rPr>
            </w:pPr>
            <w:r w:rsidRPr="007D2C39">
              <w:rPr>
                <w:color w:val="FFFFFF" w:themeColor="background1"/>
                <w:lang w:val="en-US"/>
              </w:rPr>
              <w:t>Regional</w:t>
            </w:r>
          </w:p>
        </w:tc>
      </w:tr>
      <w:tr w:rsidR="007912D4" w:rsidRPr="0077587B" w14:paraId="75B2E684" w14:textId="77777777" w:rsidTr="00807253">
        <w:trPr>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1F9083A5"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noWrap/>
            <w:vAlign w:val="center"/>
            <w:hideMark/>
          </w:tcPr>
          <w:p w14:paraId="06171AE6" w14:textId="77777777" w:rsidR="007912D4" w:rsidRPr="005C45AA" w:rsidRDefault="007912D4" w:rsidP="007912D4">
            <w:pPr>
              <w:pStyle w:val="BodyText"/>
              <w:spacing w:before="0" w:after="0"/>
              <w:rPr>
                <w:lang w:val="en-US"/>
              </w:rPr>
            </w:pPr>
            <w:r w:rsidRPr="005C45AA">
              <w:rPr>
                <w:lang w:val="en-US"/>
              </w:rPr>
              <w:t>Melbourne - Inner</w:t>
            </w:r>
          </w:p>
        </w:tc>
        <w:tc>
          <w:tcPr>
            <w:tcW w:w="2127" w:type="dxa"/>
            <w:tcBorders>
              <w:left w:val="single" w:sz="4" w:space="0" w:color="auto"/>
              <w:bottom w:val="nil"/>
              <w:right w:val="single" w:sz="4" w:space="0" w:color="auto"/>
            </w:tcBorders>
            <w:shd w:val="clear" w:color="auto" w:fill="auto"/>
            <w:vAlign w:val="center"/>
            <w:hideMark/>
          </w:tcPr>
          <w:p w14:paraId="3F6FA7BF" w14:textId="2080EEC9" w:rsidR="007912D4" w:rsidRPr="00545528" w:rsidRDefault="00545528" w:rsidP="00545528">
            <w:pPr>
              <w:pStyle w:val="BodyText"/>
              <w:spacing w:before="0" w:after="0"/>
              <w:jc w:val="center"/>
              <w:rPr>
                <w:color w:val="FFFFFF" w:themeColor="background1"/>
                <w:lang w:val="en-US"/>
              </w:rPr>
            </w:pPr>
            <w:r w:rsidRPr="00545528">
              <w:rPr>
                <w:color w:val="FFFFFF" w:themeColor="background1"/>
                <w:lang w:val="en-US"/>
              </w:rPr>
              <w:t>Major City</w:t>
            </w:r>
          </w:p>
        </w:tc>
        <w:tc>
          <w:tcPr>
            <w:tcW w:w="1371" w:type="dxa"/>
            <w:tcBorders>
              <w:top w:val="single" w:sz="4" w:space="0" w:color="auto"/>
              <w:left w:val="single" w:sz="4" w:space="0" w:color="auto"/>
              <w:bottom w:val="nil"/>
              <w:right w:val="single" w:sz="4" w:space="0" w:color="auto"/>
            </w:tcBorders>
            <w:shd w:val="clear" w:color="auto" w:fill="auto"/>
            <w:noWrap/>
            <w:vAlign w:val="center"/>
            <w:hideMark/>
          </w:tcPr>
          <w:p w14:paraId="39831B16" w14:textId="77777777" w:rsidR="007912D4" w:rsidRPr="00545528" w:rsidRDefault="007912D4" w:rsidP="00545528">
            <w:pPr>
              <w:pStyle w:val="BodyText"/>
              <w:spacing w:before="0" w:after="0"/>
              <w:jc w:val="center"/>
              <w:rPr>
                <w:color w:val="FFFFFF" w:themeColor="background1"/>
                <w:lang w:val="en-US"/>
              </w:rPr>
            </w:pPr>
            <w:r w:rsidRPr="00545528">
              <w:rPr>
                <w:color w:val="FFFFFF" w:themeColor="background1"/>
                <w:lang w:val="en-US"/>
              </w:rPr>
              <w:t>Major City</w:t>
            </w:r>
          </w:p>
        </w:tc>
      </w:tr>
      <w:tr w:rsidR="00545528" w:rsidRPr="0077587B" w14:paraId="2AE4B908" w14:textId="77777777" w:rsidTr="00807253">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6B4259C0"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6B7A0811" w14:textId="77777777" w:rsidR="007912D4" w:rsidRPr="005C45AA" w:rsidRDefault="007912D4" w:rsidP="007912D4">
            <w:pPr>
              <w:pStyle w:val="BodyText"/>
              <w:spacing w:before="0" w:after="0"/>
              <w:rPr>
                <w:lang w:val="en-US"/>
              </w:rPr>
            </w:pPr>
            <w:r w:rsidRPr="005C45AA">
              <w:rPr>
                <w:lang w:val="en-US"/>
              </w:rPr>
              <w:t>Melbourne - Inner East</w:t>
            </w:r>
          </w:p>
        </w:tc>
        <w:tc>
          <w:tcPr>
            <w:tcW w:w="2127" w:type="dxa"/>
            <w:tcBorders>
              <w:left w:val="single" w:sz="4" w:space="0" w:color="auto"/>
              <w:bottom w:val="nil"/>
              <w:right w:val="single" w:sz="4" w:space="0" w:color="auto"/>
            </w:tcBorders>
            <w:shd w:val="clear" w:color="auto" w:fill="auto"/>
            <w:vAlign w:val="center"/>
            <w:hideMark/>
          </w:tcPr>
          <w:p w14:paraId="439474FA" w14:textId="0D554DD2" w:rsidR="007912D4" w:rsidRPr="00545528" w:rsidRDefault="00545528" w:rsidP="00545528">
            <w:pPr>
              <w:pStyle w:val="BodyText"/>
              <w:spacing w:before="0" w:after="0"/>
              <w:jc w:val="center"/>
              <w:rPr>
                <w:color w:val="FFFFFF" w:themeColor="background1"/>
                <w:lang w:val="en-US"/>
              </w:rPr>
            </w:pPr>
            <w:r w:rsidRPr="00545528">
              <w:rPr>
                <w:color w:val="FFFFFF" w:themeColor="background1"/>
                <w:lang w:val="en-US"/>
              </w:rPr>
              <w:t>Major City</w:t>
            </w:r>
          </w:p>
        </w:tc>
        <w:tc>
          <w:tcPr>
            <w:tcW w:w="1371" w:type="dxa"/>
            <w:tcBorders>
              <w:left w:val="single" w:sz="4" w:space="0" w:color="auto"/>
              <w:bottom w:val="nil"/>
              <w:right w:val="single" w:sz="4" w:space="0" w:color="auto"/>
            </w:tcBorders>
            <w:shd w:val="clear" w:color="auto" w:fill="auto"/>
            <w:vAlign w:val="center"/>
            <w:hideMark/>
          </w:tcPr>
          <w:p w14:paraId="31587DF4" w14:textId="142BEAFE" w:rsidR="007912D4" w:rsidRPr="00545528" w:rsidRDefault="00545528" w:rsidP="00545528">
            <w:pPr>
              <w:pStyle w:val="BodyText"/>
              <w:spacing w:before="0" w:after="0"/>
              <w:jc w:val="center"/>
              <w:rPr>
                <w:color w:val="FFFFFF" w:themeColor="background1"/>
                <w:lang w:val="en-US"/>
              </w:rPr>
            </w:pPr>
            <w:r w:rsidRPr="00545528">
              <w:rPr>
                <w:color w:val="FFFFFF" w:themeColor="background1"/>
                <w:lang w:val="en-US"/>
              </w:rPr>
              <w:t>Major City</w:t>
            </w:r>
          </w:p>
        </w:tc>
      </w:tr>
      <w:tr w:rsidR="007912D4" w:rsidRPr="0077587B" w14:paraId="4219D00D" w14:textId="77777777" w:rsidTr="00807253">
        <w:trPr>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239B3502"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noWrap/>
            <w:vAlign w:val="center"/>
            <w:hideMark/>
          </w:tcPr>
          <w:p w14:paraId="144D640C" w14:textId="77777777" w:rsidR="007912D4" w:rsidRPr="005C45AA" w:rsidRDefault="007912D4" w:rsidP="007912D4">
            <w:pPr>
              <w:pStyle w:val="BodyText"/>
              <w:spacing w:before="0" w:after="0"/>
              <w:rPr>
                <w:lang w:val="en-US"/>
              </w:rPr>
            </w:pPr>
            <w:r w:rsidRPr="005C45AA">
              <w:rPr>
                <w:lang w:val="en-US"/>
              </w:rPr>
              <w:t>Melbourne - Inner South</w:t>
            </w:r>
          </w:p>
        </w:tc>
        <w:tc>
          <w:tcPr>
            <w:tcW w:w="2127" w:type="dxa"/>
            <w:tcBorders>
              <w:left w:val="single" w:sz="4" w:space="0" w:color="auto"/>
              <w:bottom w:val="nil"/>
              <w:right w:val="single" w:sz="4" w:space="0" w:color="auto"/>
            </w:tcBorders>
            <w:shd w:val="clear" w:color="auto" w:fill="auto"/>
            <w:vAlign w:val="center"/>
            <w:hideMark/>
          </w:tcPr>
          <w:p w14:paraId="7803DD6C" w14:textId="1C9718A1" w:rsidR="007912D4" w:rsidRPr="00545528" w:rsidRDefault="00545528" w:rsidP="00545528">
            <w:pPr>
              <w:pStyle w:val="BodyText"/>
              <w:spacing w:before="0" w:after="0"/>
              <w:jc w:val="center"/>
              <w:rPr>
                <w:color w:val="FFFFFF" w:themeColor="background1"/>
                <w:lang w:val="en-US"/>
              </w:rPr>
            </w:pPr>
            <w:r w:rsidRPr="00545528">
              <w:rPr>
                <w:color w:val="FFFFFF" w:themeColor="background1"/>
                <w:lang w:val="en-US"/>
              </w:rPr>
              <w:t>Major City</w:t>
            </w:r>
          </w:p>
        </w:tc>
        <w:tc>
          <w:tcPr>
            <w:tcW w:w="1371" w:type="dxa"/>
            <w:tcBorders>
              <w:left w:val="single" w:sz="4" w:space="0" w:color="auto"/>
              <w:bottom w:val="nil"/>
              <w:right w:val="single" w:sz="4" w:space="0" w:color="auto"/>
            </w:tcBorders>
            <w:shd w:val="clear" w:color="auto" w:fill="auto"/>
            <w:vAlign w:val="center"/>
            <w:hideMark/>
          </w:tcPr>
          <w:p w14:paraId="475279DC" w14:textId="73E2BFD4" w:rsidR="007912D4" w:rsidRPr="00545528" w:rsidRDefault="00545528" w:rsidP="00545528">
            <w:pPr>
              <w:pStyle w:val="BodyText"/>
              <w:spacing w:before="0" w:after="0"/>
              <w:jc w:val="center"/>
              <w:rPr>
                <w:color w:val="FFFFFF" w:themeColor="background1"/>
                <w:lang w:val="en-US"/>
              </w:rPr>
            </w:pPr>
            <w:r w:rsidRPr="00545528">
              <w:rPr>
                <w:color w:val="FFFFFF" w:themeColor="background1"/>
                <w:lang w:val="en-US"/>
              </w:rPr>
              <w:t>Major City</w:t>
            </w:r>
          </w:p>
        </w:tc>
      </w:tr>
      <w:tr w:rsidR="00545528" w:rsidRPr="0077587B" w14:paraId="1888FDD3" w14:textId="77777777" w:rsidTr="00807253">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734F6879"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4867DD6C" w14:textId="77777777" w:rsidR="007912D4" w:rsidRPr="005C45AA" w:rsidRDefault="007912D4" w:rsidP="007912D4">
            <w:pPr>
              <w:pStyle w:val="BodyText"/>
              <w:spacing w:before="0" w:after="0"/>
              <w:rPr>
                <w:lang w:val="en-US"/>
              </w:rPr>
            </w:pPr>
            <w:r w:rsidRPr="005C45AA">
              <w:rPr>
                <w:lang w:val="en-US"/>
              </w:rPr>
              <w:t>Melbourne - North East</w:t>
            </w:r>
          </w:p>
        </w:tc>
        <w:tc>
          <w:tcPr>
            <w:tcW w:w="2127" w:type="dxa"/>
            <w:tcBorders>
              <w:left w:val="single" w:sz="4" w:space="0" w:color="auto"/>
              <w:bottom w:val="nil"/>
              <w:right w:val="single" w:sz="4" w:space="0" w:color="auto"/>
            </w:tcBorders>
            <w:shd w:val="clear" w:color="auto" w:fill="auto"/>
            <w:vAlign w:val="center"/>
            <w:hideMark/>
          </w:tcPr>
          <w:p w14:paraId="53A64EA0" w14:textId="6B9899D3" w:rsidR="007912D4" w:rsidRPr="005C45AA" w:rsidRDefault="00545528" w:rsidP="00545528">
            <w:pPr>
              <w:pStyle w:val="BodyText"/>
              <w:spacing w:before="0" w:after="0"/>
              <w:jc w:val="center"/>
              <w:rPr>
                <w:lang w:val="en-US"/>
              </w:rPr>
            </w:pPr>
            <w:r w:rsidRPr="005C45AA">
              <w:rPr>
                <w:lang w:val="en-US"/>
              </w:rPr>
              <w:t>Major City</w:t>
            </w:r>
          </w:p>
        </w:tc>
        <w:tc>
          <w:tcPr>
            <w:tcW w:w="1371" w:type="dxa"/>
            <w:tcBorders>
              <w:left w:val="single" w:sz="4" w:space="0" w:color="auto"/>
              <w:bottom w:val="nil"/>
              <w:right w:val="single" w:sz="4" w:space="0" w:color="auto"/>
            </w:tcBorders>
            <w:shd w:val="clear" w:color="auto" w:fill="auto"/>
            <w:vAlign w:val="center"/>
            <w:hideMark/>
          </w:tcPr>
          <w:p w14:paraId="2E233A86" w14:textId="5CE612A3" w:rsidR="007912D4" w:rsidRPr="00545528" w:rsidRDefault="00545528" w:rsidP="00545528">
            <w:pPr>
              <w:pStyle w:val="BodyText"/>
              <w:spacing w:before="0" w:after="0"/>
              <w:jc w:val="center"/>
              <w:rPr>
                <w:color w:val="FFFFFF" w:themeColor="background1"/>
                <w:lang w:val="en-US"/>
              </w:rPr>
            </w:pPr>
            <w:r w:rsidRPr="00545528">
              <w:rPr>
                <w:color w:val="FFFFFF" w:themeColor="background1"/>
                <w:lang w:val="en-US"/>
              </w:rPr>
              <w:t>Major City</w:t>
            </w:r>
          </w:p>
        </w:tc>
      </w:tr>
      <w:tr w:rsidR="007912D4" w:rsidRPr="0077587B" w14:paraId="2197B381" w14:textId="77777777" w:rsidTr="00807253">
        <w:trPr>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5A7E44A5"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noWrap/>
            <w:vAlign w:val="center"/>
            <w:hideMark/>
          </w:tcPr>
          <w:p w14:paraId="391C423D" w14:textId="77777777" w:rsidR="007912D4" w:rsidRPr="005C45AA" w:rsidRDefault="007912D4" w:rsidP="007912D4">
            <w:pPr>
              <w:pStyle w:val="BodyText"/>
              <w:spacing w:before="0" w:after="0"/>
              <w:rPr>
                <w:lang w:val="en-US"/>
              </w:rPr>
            </w:pPr>
            <w:r w:rsidRPr="005C45AA">
              <w:rPr>
                <w:lang w:val="en-US"/>
              </w:rPr>
              <w:t>Melbourne - Outer East</w:t>
            </w:r>
          </w:p>
        </w:tc>
        <w:tc>
          <w:tcPr>
            <w:tcW w:w="2127" w:type="dxa"/>
            <w:tcBorders>
              <w:left w:val="single" w:sz="4" w:space="0" w:color="auto"/>
              <w:bottom w:val="nil"/>
              <w:right w:val="single" w:sz="4" w:space="0" w:color="auto"/>
            </w:tcBorders>
            <w:shd w:val="clear" w:color="auto" w:fill="auto"/>
            <w:vAlign w:val="center"/>
            <w:hideMark/>
          </w:tcPr>
          <w:p w14:paraId="0C25DEE7" w14:textId="58521C7A" w:rsidR="007912D4" w:rsidRPr="00545528" w:rsidRDefault="00545528" w:rsidP="00545528">
            <w:pPr>
              <w:pStyle w:val="BodyText"/>
              <w:spacing w:before="0" w:after="0"/>
              <w:jc w:val="center"/>
              <w:rPr>
                <w:color w:val="FFFFFF" w:themeColor="background1"/>
                <w:lang w:val="en-US"/>
              </w:rPr>
            </w:pPr>
            <w:r w:rsidRPr="00545528">
              <w:rPr>
                <w:color w:val="FFFFFF" w:themeColor="background1"/>
                <w:lang w:val="en-US"/>
              </w:rPr>
              <w:t>Major City</w:t>
            </w:r>
          </w:p>
        </w:tc>
        <w:tc>
          <w:tcPr>
            <w:tcW w:w="1371" w:type="dxa"/>
            <w:tcBorders>
              <w:left w:val="single" w:sz="4" w:space="0" w:color="auto"/>
              <w:bottom w:val="nil"/>
              <w:right w:val="single" w:sz="4" w:space="0" w:color="auto"/>
            </w:tcBorders>
            <w:shd w:val="clear" w:color="auto" w:fill="auto"/>
            <w:vAlign w:val="center"/>
            <w:hideMark/>
          </w:tcPr>
          <w:p w14:paraId="23E4F4FF" w14:textId="0165E357" w:rsidR="007912D4" w:rsidRPr="00545528" w:rsidRDefault="00545528" w:rsidP="00545528">
            <w:pPr>
              <w:pStyle w:val="BodyText"/>
              <w:spacing w:before="0" w:after="0"/>
              <w:jc w:val="center"/>
              <w:rPr>
                <w:lang w:val="en-US"/>
              </w:rPr>
            </w:pPr>
            <w:r w:rsidRPr="00545528">
              <w:rPr>
                <w:lang w:val="en-US"/>
              </w:rPr>
              <w:t>Major City</w:t>
            </w:r>
          </w:p>
        </w:tc>
      </w:tr>
      <w:tr w:rsidR="00545528" w:rsidRPr="0077587B" w14:paraId="57123C2A" w14:textId="77777777" w:rsidTr="00807253">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53CE1FAC"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25A1F216" w14:textId="77777777" w:rsidR="007912D4" w:rsidRPr="005C45AA" w:rsidRDefault="007912D4" w:rsidP="007912D4">
            <w:pPr>
              <w:pStyle w:val="BodyText"/>
              <w:spacing w:before="0" w:after="0"/>
              <w:rPr>
                <w:lang w:val="en-US"/>
              </w:rPr>
            </w:pPr>
            <w:r w:rsidRPr="005C45AA">
              <w:rPr>
                <w:lang w:val="en-US"/>
              </w:rPr>
              <w:t>Melbourne - North West</w:t>
            </w:r>
          </w:p>
        </w:tc>
        <w:tc>
          <w:tcPr>
            <w:tcW w:w="2127" w:type="dxa"/>
            <w:tcBorders>
              <w:left w:val="single" w:sz="4" w:space="0" w:color="auto"/>
              <w:bottom w:val="nil"/>
              <w:right w:val="single" w:sz="4" w:space="0" w:color="auto"/>
            </w:tcBorders>
            <w:shd w:val="clear" w:color="auto" w:fill="auto"/>
            <w:vAlign w:val="center"/>
            <w:hideMark/>
          </w:tcPr>
          <w:p w14:paraId="50D0FF59" w14:textId="611B52A7" w:rsidR="007912D4" w:rsidRPr="00545528" w:rsidRDefault="00545528" w:rsidP="00545528">
            <w:pPr>
              <w:pStyle w:val="BodyText"/>
              <w:spacing w:before="0" w:after="0"/>
              <w:jc w:val="center"/>
              <w:rPr>
                <w:color w:val="FFFFFF" w:themeColor="background1"/>
                <w:lang w:val="en-US"/>
              </w:rPr>
            </w:pPr>
            <w:r w:rsidRPr="00545528">
              <w:rPr>
                <w:color w:val="FFFFFF" w:themeColor="background1"/>
                <w:lang w:val="en-US"/>
              </w:rPr>
              <w:t>Major City</w:t>
            </w:r>
          </w:p>
        </w:tc>
        <w:tc>
          <w:tcPr>
            <w:tcW w:w="1371" w:type="dxa"/>
            <w:tcBorders>
              <w:left w:val="single" w:sz="4" w:space="0" w:color="auto"/>
              <w:bottom w:val="nil"/>
              <w:right w:val="single" w:sz="4" w:space="0" w:color="auto"/>
            </w:tcBorders>
            <w:shd w:val="clear" w:color="auto" w:fill="auto"/>
            <w:vAlign w:val="center"/>
            <w:hideMark/>
          </w:tcPr>
          <w:p w14:paraId="7CE0CC80" w14:textId="3CCF3834" w:rsidR="007912D4" w:rsidRPr="00545528" w:rsidRDefault="00545528" w:rsidP="00545528">
            <w:pPr>
              <w:pStyle w:val="BodyText"/>
              <w:spacing w:before="0" w:after="0"/>
              <w:jc w:val="center"/>
              <w:rPr>
                <w:color w:val="FFFFFF" w:themeColor="background1"/>
                <w:lang w:val="en-US"/>
              </w:rPr>
            </w:pPr>
            <w:r w:rsidRPr="00545528">
              <w:rPr>
                <w:color w:val="FFFFFF" w:themeColor="background1"/>
                <w:lang w:val="en-US"/>
              </w:rPr>
              <w:t>Major City</w:t>
            </w:r>
          </w:p>
        </w:tc>
      </w:tr>
      <w:tr w:rsidR="007912D4" w:rsidRPr="0077587B" w14:paraId="0BA1712B" w14:textId="77777777" w:rsidTr="00807253">
        <w:trPr>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719B0639"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noWrap/>
            <w:vAlign w:val="center"/>
            <w:hideMark/>
          </w:tcPr>
          <w:p w14:paraId="634AB948" w14:textId="77777777" w:rsidR="007912D4" w:rsidRPr="005C45AA" w:rsidRDefault="007912D4" w:rsidP="007912D4">
            <w:pPr>
              <w:pStyle w:val="BodyText"/>
              <w:spacing w:before="0" w:after="0"/>
              <w:rPr>
                <w:lang w:val="en-US"/>
              </w:rPr>
            </w:pPr>
            <w:r w:rsidRPr="005C45AA">
              <w:rPr>
                <w:lang w:val="en-US"/>
              </w:rPr>
              <w:t>Melbourne - South East</w:t>
            </w:r>
          </w:p>
        </w:tc>
        <w:tc>
          <w:tcPr>
            <w:tcW w:w="2127" w:type="dxa"/>
            <w:tcBorders>
              <w:left w:val="single" w:sz="4" w:space="0" w:color="auto"/>
              <w:bottom w:val="nil"/>
              <w:right w:val="single" w:sz="4" w:space="0" w:color="auto"/>
            </w:tcBorders>
            <w:shd w:val="clear" w:color="auto" w:fill="auto"/>
            <w:vAlign w:val="center"/>
            <w:hideMark/>
          </w:tcPr>
          <w:p w14:paraId="44B2F3AB" w14:textId="703EC4CE" w:rsidR="007912D4" w:rsidRPr="00545528" w:rsidRDefault="00545528" w:rsidP="00545528">
            <w:pPr>
              <w:pStyle w:val="BodyText"/>
              <w:spacing w:before="0" w:after="0"/>
              <w:jc w:val="center"/>
              <w:rPr>
                <w:color w:val="FFFFFF" w:themeColor="background1"/>
                <w:lang w:val="en-US"/>
              </w:rPr>
            </w:pPr>
            <w:r w:rsidRPr="00545528">
              <w:rPr>
                <w:color w:val="FFFFFF" w:themeColor="background1"/>
                <w:lang w:val="en-US"/>
              </w:rPr>
              <w:t>Major City</w:t>
            </w:r>
          </w:p>
        </w:tc>
        <w:tc>
          <w:tcPr>
            <w:tcW w:w="1371" w:type="dxa"/>
            <w:tcBorders>
              <w:left w:val="single" w:sz="4" w:space="0" w:color="auto"/>
              <w:bottom w:val="nil"/>
              <w:right w:val="single" w:sz="4" w:space="0" w:color="auto"/>
            </w:tcBorders>
            <w:shd w:val="clear" w:color="auto" w:fill="auto"/>
            <w:vAlign w:val="center"/>
            <w:hideMark/>
          </w:tcPr>
          <w:p w14:paraId="203AD245" w14:textId="74ABF430" w:rsidR="007912D4" w:rsidRPr="00545528" w:rsidRDefault="00545528" w:rsidP="00545528">
            <w:pPr>
              <w:pStyle w:val="BodyText"/>
              <w:spacing w:before="0" w:after="0"/>
              <w:jc w:val="center"/>
              <w:rPr>
                <w:color w:val="FFFFFF" w:themeColor="background1"/>
                <w:lang w:val="en-US"/>
              </w:rPr>
            </w:pPr>
            <w:r w:rsidRPr="00545528">
              <w:rPr>
                <w:color w:val="FFFFFF" w:themeColor="background1"/>
                <w:lang w:val="en-US"/>
              </w:rPr>
              <w:t>Major City</w:t>
            </w:r>
          </w:p>
        </w:tc>
      </w:tr>
      <w:tr w:rsidR="00545528" w:rsidRPr="0077587B" w14:paraId="65DF23F2" w14:textId="77777777" w:rsidTr="00807253">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4B7F38C4" w14:textId="77777777" w:rsidR="007912D4" w:rsidRPr="005C45AA" w:rsidRDefault="007912D4" w:rsidP="007912D4">
            <w:pPr>
              <w:pStyle w:val="BodyText"/>
              <w:spacing w:before="0" w:after="0"/>
              <w:rPr>
                <w:lang w:val="en-US"/>
              </w:rPr>
            </w:pPr>
          </w:p>
        </w:tc>
        <w:tc>
          <w:tcPr>
            <w:tcW w:w="4744" w:type="dxa"/>
            <w:tcBorders>
              <w:left w:val="single" w:sz="4" w:space="0" w:color="auto"/>
              <w:bottom w:val="nil"/>
              <w:right w:val="single" w:sz="4" w:space="0" w:color="auto"/>
            </w:tcBorders>
            <w:shd w:val="clear" w:color="auto" w:fill="F2F2F2" w:themeFill="background1" w:themeFillShade="F2"/>
            <w:noWrap/>
            <w:vAlign w:val="center"/>
            <w:hideMark/>
          </w:tcPr>
          <w:p w14:paraId="6AB18F3E" w14:textId="77777777" w:rsidR="007912D4" w:rsidRPr="005C45AA" w:rsidRDefault="007912D4" w:rsidP="007912D4">
            <w:pPr>
              <w:pStyle w:val="BodyText"/>
              <w:spacing w:before="0" w:after="0"/>
              <w:rPr>
                <w:lang w:val="en-US"/>
              </w:rPr>
            </w:pPr>
            <w:r w:rsidRPr="005C45AA">
              <w:rPr>
                <w:lang w:val="en-US"/>
              </w:rPr>
              <w:t>Mornington Peninsula</w:t>
            </w:r>
          </w:p>
        </w:tc>
        <w:tc>
          <w:tcPr>
            <w:tcW w:w="2127" w:type="dxa"/>
            <w:tcBorders>
              <w:left w:val="single" w:sz="4" w:space="0" w:color="auto"/>
              <w:bottom w:val="nil"/>
              <w:right w:val="single" w:sz="4" w:space="0" w:color="auto"/>
            </w:tcBorders>
            <w:shd w:val="clear" w:color="auto" w:fill="auto"/>
            <w:vAlign w:val="center"/>
            <w:hideMark/>
          </w:tcPr>
          <w:p w14:paraId="38D127C6" w14:textId="33110182" w:rsidR="007912D4" w:rsidRPr="00545528" w:rsidRDefault="00545528" w:rsidP="00545528">
            <w:pPr>
              <w:pStyle w:val="BodyText"/>
              <w:spacing w:before="0" w:after="0"/>
              <w:jc w:val="center"/>
              <w:rPr>
                <w:color w:val="FFFFFF" w:themeColor="background1"/>
                <w:lang w:val="en-US"/>
              </w:rPr>
            </w:pPr>
            <w:r w:rsidRPr="00545528">
              <w:rPr>
                <w:color w:val="FFFFFF" w:themeColor="background1"/>
                <w:lang w:val="en-US"/>
              </w:rPr>
              <w:t>Major City</w:t>
            </w:r>
          </w:p>
        </w:tc>
        <w:tc>
          <w:tcPr>
            <w:tcW w:w="1371" w:type="dxa"/>
            <w:tcBorders>
              <w:left w:val="single" w:sz="4" w:space="0" w:color="auto"/>
              <w:bottom w:val="nil"/>
              <w:right w:val="single" w:sz="4" w:space="0" w:color="auto"/>
            </w:tcBorders>
            <w:shd w:val="clear" w:color="auto" w:fill="auto"/>
            <w:vAlign w:val="center"/>
            <w:hideMark/>
          </w:tcPr>
          <w:p w14:paraId="4AEFA022" w14:textId="03C3BDD1" w:rsidR="007912D4" w:rsidRPr="00545528" w:rsidRDefault="00545528" w:rsidP="00545528">
            <w:pPr>
              <w:pStyle w:val="BodyText"/>
              <w:spacing w:before="0" w:after="0"/>
              <w:jc w:val="center"/>
              <w:rPr>
                <w:color w:val="FFFFFF" w:themeColor="background1"/>
                <w:lang w:val="en-US"/>
              </w:rPr>
            </w:pPr>
            <w:r w:rsidRPr="00545528">
              <w:rPr>
                <w:color w:val="FFFFFF" w:themeColor="background1"/>
                <w:lang w:val="en-US"/>
              </w:rPr>
              <w:t>Major City</w:t>
            </w:r>
          </w:p>
        </w:tc>
      </w:tr>
      <w:tr w:rsidR="007912D4" w:rsidRPr="0077587B" w14:paraId="5335B932" w14:textId="77777777" w:rsidTr="00807253">
        <w:trPr>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3C72F4D3" w14:textId="77777777" w:rsidR="007912D4" w:rsidRPr="005C45AA" w:rsidRDefault="007912D4" w:rsidP="007912D4">
            <w:pPr>
              <w:pStyle w:val="BodyText"/>
              <w:spacing w:before="0" w:after="0"/>
              <w:rPr>
                <w:lang w:val="en-US"/>
              </w:rPr>
            </w:pPr>
          </w:p>
        </w:tc>
        <w:tc>
          <w:tcPr>
            <w:tcW w:w="4744" w:type="dxa"/>
            <w:tcBorders>
              <w:left w:val="single" w:sz="4" w:space="0" w:color="auto"/>
              <w:bottom w:val="single" w:sz="4" w:space="0" w:color="auto"/>
              <w:right w:val="single" w:sz="4" w:space="0" w:color="auto"/>
            </w:tcBorders>
            <w:noWrap/>
            <w:vAlign w:val="center"/>
            <w:hideMark/>
          </w:tcPr>
          <w:p w14:paraId="21270A70" w14:textId="77777777" w:rsidR="007912D4" w:rsidRPr="005C45AA" w:rsidRDefault="007912D4" w:rsidP="007912D4">
            <w:pPr>
              <w:pStyle w:val="BodyText"/>
              <w:spacing w:before="0" w:after="0"/>
              <w:rPr>
                <w:lang w:val="en-US"/>
              </w:rPr>
            </w:pPr>
            <w:r w:rsidRPr="005C45AA">
              <w:rPr>
                <w:lang w:val="en-US"/>
              </w:rPr>
              <w:t>Melbourne - West</w:t>
            </w:r>
          </w:p>
        </w:tc>
        <w:tc>
          <w:tcPr>
            <w:tcW w:w="2127" w:type="dxa"/>
            <w:tcBorders>
              <w:left w:val="single" w:sz="4" w:space="0" w:color="auto"/>
              <w:bottom w:val="single" w:sz="4" w:space="0" w:color="auto"/>
              <w:right w:val="single" w:sz="4" w:space="0" w:color="auto"/>
            </w:tcBorders>
            <w:shd w:val="clear" w:color="auto" w:fill="auto"/>
            <w:vAlign w:val="center"/>
            <w:hideMark/>
          </w:tcPr>
          <w:p w14:paraId="71C81E9C" w14:textId="2E7396A5" w:rsidR="007912D4" w:rsidRPr="00545528" w:rsidRDefault="00545528" w:rsidP="00545528">
            <w:pPr>
              <w:pStyle w:val="BodyText"/>
              <w:spacing w:before="0" w:after="0"/>
              <w:jc w:val="center"/>
              <w:rPr>
                <w:color w:val="FFFFFF" w:themeColor="background1"/>
                <w:lang w:val="en-US"/>
              </w:rPr>
            </w:pPr>
            <w:r w:rsidRPr="00545528">
              <w:rPr>
                <w:color w:val="FFFFFF" w:themeColor="background1"/>
                <w:lang w:val="en-US"/>
              </w:rPr>
              <w:t>Major City</w:t>
            </w:r>
          </w:p>
        </w:tc>
        <w:tc>
          <w:tcPr>
            <w:tcW w:w="1371" w:type="dxa"/>
            <w:tcBorders>
              <w:left w:val="single" w:sz="4" w:space="0" w:color="auto"/>
              <w:bottom w:val="single" w:sz="4" w:space="0" w:color="auto"/>
              <w:right w:val="single" w:sz="4" w:space="0" w:color="auto"/>
            </w:tcBorders>
            <w:shd w:val="clear" w:color="auto" w:fill="auto"/>
            <w:vAlign w:val="center"/>
            <w:hideMark/>
          </w:tcPr>
          <w:p w14:paraId="254B4228" w14:textId="0755AF74" w:rsidR="007912D4" w:rsidRPr="00545528" w:rsidRDefault="00545528" w:rsidP="00545528">
            <w:pPr>
              <w:pStyle w:val="BodyText"/>
              <w:spacing w:before="0" w:after="0"/>
              <w:jc w:val="center"/>
              <w:rPr>
                <w:color w:val="FFFFFF" w:themeColor="background1"/>
                <w:lang w:val="en-US"/>
              </w:rPr>
            </w:pPr>
            <w:r w:rsidRPr="00545528">
              <w:rPr>
                <w:color w:val="FFFFFF" w:themeColor="background1"/>
                <w:lang w:val="en-US"/>
              </w:rPr>
              <w:t>Major City</w:t>
            </w:r>
          </w:p>
        </w:tc>
      </w:tr>
      <w:tr w:rsidR="00E16D0C" w:rsidRPr="0077587B" w14:paraId="0207AA65" w14:textId="77777777" w:rsidTr="00E16D0C">
        <w:trPr>
          <w:cnfStyle w:val="000000010000" w:firstRow="0" w:lastRow="0" w:firstColumn="0" w:lastColumn="0" w:oddVBand="0" w:evenVBand="0" w:oddHBand="0" w:evenHBand="1" w:firstRowFirstColumn="0" w:firstRowLastColumn="0" w:lastRowFirstColumn="0" w:lastRowLastColumn="0"/>
          <w:trHeight w:val="20"/>
        </w:trPr>
        <w:tc>
          <w:tcPr>
            <w:tcW w:w="78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0E83A3" w14:textId="77777777" w:rsidR="007912D4" w:rsidRPr="005C45AA" w:rsidRDefault="007912D4" w:rsidP="007912D4">
            <w:pPr>
              <w:pStyle w:val="BodyText"/>
              <w:spacing w:before="0" w:after="0"/>
              <w:rPr>
                <w:lang w:val="en-US"/>
              </w:rPr>
            </w:pPr>
            <w:r w:rsidRPr="005C45AA">
              <w:rPr>
                <w:lang w:val="en-US"/>
              </w:rPr>
              <w:t>Qld.</w:t>
            </w:r>
          </w:p>
        </w:tc>
        <w:tc>
          <w:tcPr>
            <w:tcW w:w="4744"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7ADCE133" w14:textId="77777777" w:rsidR="007912D4" w:rsidRPr="005C45AA" w:rsidRDefault="007912D4" w:rsidP="007912D4">
            <w:pPr>
              <w:pStyle w:val="BodyText"/>
              <w:spacing w:before="0" w:after="0"/>
              <w:rPr>
                <w:lang w:val="en-US"/>
              </w:rPr>
            </w:pPr>
            <w:r w:rsidRPr="005C45AA">
              <w:rPr>
                <w:lang w:val="en-US"/>
              </w:rPr>
              <w:t>Darling Downs - Maranoa</w:t>
            </w:r>
          </w:p>
        </w:tc>
        <w:tc>
          <w:tcPr>
            <w:tcW w:w="2127" w:type="dxa"/>
            <w:tcBorders>
              <w:top w:val="single" w:sz="4" w:space="0" w:color="auto"/>
              <w:left w:val="single" w:sz="4" w:space="0" w:color="auto"/>
              <w:bottom w:val="nil"/>
              <w:right w:val="single" w:sz="4" w:space="0" w:color="auto"/>
            </w:tcBorders>
            <w:shd w:val="clear" w:color="auto" w:fill="auto"/>
            <w:noWrap/>
            <w:vAlign w:val="center"/>
            <w:hideMark/>
          </w:tcPr>
          <w:p w14:paraId="06B84B54" w14:textId="77777777" w:rsidR="007912D4" w:rsidRPr="00E16D0C" w:rsidRDefault="007912D4" w:rsidP="00E16D0C">
            <w:pPr>
              <w:pStyle w:val="BodyText"/>
              <w:spacing w:before="0" w:after="0"/>
              <w:jc w:val="center"/>
              <w:rPr>
                <w:color w:val="FFFFFF" w:themeColor="background1"/>
                <w:lang w:val="en-US"/>
              </w:rPr>
            </w:pPr>
            <w:r w:rsidRPr="00E16D0C">
              <w:rPr>
                <w:color w:val="FFFFFF" w:themeColor="background1"/>
                <w:lang w:val="en-US"/>
              </w:rPr>
              <w:t>Inner Regional</w:t>
            </w:r>
          </w:p>
        </w:tc>
        <w:tc>
          <w:tcPr>
            <w:tcW w:w="1371" w:type="dxa"/>
            <w:tcBorders>
              <w:top w:val="single" w:sz="4" w:space="0" w:color="auto"/>
              <w:left w:val="single" w:sz="4" w:space="0" w:color="auto"/>
              <w:bottom w:val="nil"/>
              <w:right w:val="single" w:sz="4" w:space="0" w:color="auto"/>
            </w:tcBorders>
            <w:shd w:val="clear" w:color="auto" w:fill="auto"/>
            <w:noWrap/>
            <w:vAlign w:val="center"/>
            <w:hideMark/>
          </w:tcPr>
          <w:p w14:paraId="672E9B46" w14:textId="77777777" w:rsidR="007912D4" w:rsidRPr="00E16D0C" w:rsidRDefault="007912D4" w:rsidP="00E16D0C">
            <w:pPr>
              <w:pStyle w:val="BodyText"/>
              <w:spacing w:before="0" w:after="0"/>
              <w:jc w:val="center"/>
              <w:rPr>
                <w:color w:val="FFFFFF" w:themeColor="background1"/>
                <w:lang w:val="en-US"/>
              </w:rPr>
            </w:pPr>
            <w:r w:rsidRPr="00E16D0C">
              <w:rPr>
                <w:color w:val="FFFFFF" w:themeColor="background1"/>
                <w:lang w:val="en-US"/>
              </w:rPr>
              <w:t>Regional</w:t>
            </w:r>
          </w:p>
        </w:tc>
      </w:tr>
      <w:tr w:rsidR="007912D4" w:rsidRPr="0077587B" w14:paraId="1F215510" w14:textId="77777777" w:rsidTr="00E16D0C">
        <w:trPr>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7B208F9F"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noWrap/>
            <w:vAlign w:val="center"/>
            <w:hideMark/>
          </w:tcPr>
          <w:p w14:paraId="2B32CA0A" w14:textId="77777777" w:rsidR="007912D4" w:rsidRPr="005C45AA" w:rsidRDefault="007912D4" w:rsidP="007912D4">
            <w:pPr>
              <w:pStyle w:val="BodyText"/>
              <w:spacing w:before="0" w:after="0"/>
              <w:rPr>
                <w:lang w:val="en-US"/>
              </w:rPr>
            </w:pPr>
            <w:r w:rsidRPr="005C45AA">
              <w:rPr>
                <w:lang w:val="en-US"/>
              </w:rPr>
              <w:t>Central Queensland</w:t>
            </w:r>
          </w:p>
        </w:tc>
        <w:tc>
          <w:tcPr>
            <w:tcW w:w="2127" w:type="dxa"/>
            <w:tcBorders>
              <w:left w:val="single" w:sz="4" w:space="0" w:color="auto"/>
              <w:bottom w:val="nil"/>
              <w:right w:val="single" w:sz="4" w:space="0" w:color="auto"/>
            </w:tcBorders>
            <w:shd w:val="clear" w:color="auto" w:fill="auto"/>
            <w:vAlign w:val="center"/>
            <w:hideMark/>
          </w:tcPr>
          <w:p w14:paraId="567DB52D" w14:textId="21AD0685" w:rsidR="007912D4" w:rsidRPr="00E16D0C" w:rsidRDefault="00E16D0C" w:rsidP="00E16D0C">
            <w:pPr>
              <w:pStyle w:val="BodyText"/>
              <w:spacing w:before="0" w:after="0"/>
              <w:jc w:val="center"/>
              <w:rPr>
                <w:color w:val="FFFFFF" w:themeColor="background1"/>
                <w:lang w:val="en-US"/>
              </w:rPr>
            </w:pPr>
            <w:r w:rsidRPr="00E16D0C">
              <w:rPr>
                <w:color w:val="FFFFFF" w:themeColor="background1"/>
                <w:lang w:val="en-US"/>
              </w:rPr>
              <w:t>Inner Regional</w:t>
            </w:r>
          </w:p>
        </w:tc>
        <w:tc>
          <w:tcPr>
            <w:tcW w:w="1371" w:type="dxa"/>
            <w:tcBorders>
              <w:left w:val="single" w:sz="4" w:space="0" w:color="auto"/>
              <w:bottom w:val="nil"/>
              <w:right w:val="single" w:sz="4" w:space="0" w:color="auto"/>
            </w:tcBorders>
            <w:shd w:val="clear" w:color="auto" w:fill="auto"/>
            <w:vAlign w:val="center"/>
            <w:hideMark/>
          </w:tcPr>
          <w:p w14:paraId="2F9C6D7E" w14:textId="29D27277" w:rsidR="007912D4" w:rsidRPr="00E16D0C" w:rsidRDefault="00E16D0C" w:rsidP="00E16D0C">
            <w:pPr>
              <w:pStyle w:val="BodyText"/>
              <w:spacing w:before="0" w:after="0"/>
              <w:jc w:val="center"/>
              <w:rPr>
                <w:color w:val="FFFFFF" w:themeColor="background1"/>
                <w:lang w:val="en-US"/>
              </w:rPr>
            </w:pPr>
            <w:r w:rsidRPr="00E16D0C">
              <w:rPr>
                <w:color w:val="FFFFFF" w:themeColor="background1"/>
                <w:lang w:val="en-US"/>
              </w:rPr>
              <w:t>Regional</w:t>
            </w:r>
          </w:p>
        </w:tc>
      </w:tr>
      <w:tr w:rsidR="00E16D0C" w:rsidRPr="0077587B" w14:paraId="3B7627CB" w14:textId="77777777" w:rsidTr="00E16D0C">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5CC91BEE"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2A41607D" w14:textId="77777777" w:rsidR="007912D4" w:rsidRPr="005C45AA" w:rsidRDefault="007912D4" w:rsidP="007912D4">
            <w:pPr>
              <w:pStyle w:val="BodyText"/>
              <w:spacing w:before="0" w:after="0"/>
              <w:rPr>
                <w:lang w:val="en-US"/>
              </w:rPr>
            </w:pPr>
            <w:r w:rsidRPr="005C45AA">
              <w:rPr>
                <w:lang w:val="en-US"/>
              </w:rPr>
              <w:t>Mackay - Isaac - Whitsunday</w:t>
            </w:r>
          </w:p>
        </w:tc>
        <w:tc>
          <w:tcPr>
            <w:tcW w:w="2127" w:type="dxa"/>
            <w:tcBorders>
              <w:left w:val="single" w:sz="4" w:space="0" w:color="auto"/>
              <w:bottom w:val="nil"/>
              <w:right w:val="single" w:sz="4" w:space="0" w:color="auto"/>
            </w:tcBorders>
            <w:shd w:val="clear" w:color="auto" w:fill="auto"/>
            <w:vAlign w:val="center"/>
            <w:hideMark/>
          </w:tcPr>
          <w:p w14:paraId="291F6BE3" w14:textId="05DFEEAB" w:rsidR="007912D4" w:rsidRPr="005C45AA" w:rsidRDefault="00E16D0C" w:rsidP="00E16D0C">
            <w:pPr>
              <w:pStyle w:val="BodyText"/>
              <w:spacing w:before="0" w:after="0"/>
              <w:jc w:val="center"/>
              <w:rPr>
                <w:lang w:val="en-US"/>
              </w:rPr>
            </w:pPr>
            <w:r w:rsidRPr="005C45AA">
              <w:rPr>
                <w:lang w:val="en-US"/>
              </w:rPr>
              <w:t>Inner Regional</w:t>
            </w:r>
          </w:p>
        </w:tc>
        <w:tc>
          <w:tcPr>
            <w:tcW w:w="1371" w:type="dxa"/>
            <w:tcBorders>
              <w:left w:val="single" w:sz="4" w:space="0" w:color="auto"/>
              <w:bottom w:val="nil"/>
              <w:right w:val="single" w:sz="4" w:space="0" w:color="auto"/>
            </w:tcBorders>
            <w:shd w:val="clear" w:color="auto" w:fill="auto"/>
            <w:vAlign w:val="center"/>
            <w:hideMark/>
          </w:tcPr>
          <w:p w14:paraId="357A9A17" w14:textId="097DF568" w:rsidR="007912D4" w:rsidRPr="00E16D0C" w:rsidRDefault="00E16D0C" w:rsidP="00E16D0C">
            <w:pPr>
              <w:pStyle w:val="BodyText"/>
              <w:spacing w:before="0" w:after="0"/>
              <w:jc w:val="center"/>
              <w:rPr>
                <w:color w:val="FFFFFF" w:themeColor="background1"/>
                <w:lang w:val="en-US"/>
              </w:rPr>
            </w:pPr>
            <w:r w:rsidRPr="00E16D0C">
              <w:rPr>
                <w:color w:val="FFFFFF" w:themeColor="background1"/>
                <w:lang w:val="en-US"/>
              </w:rPr>
              <w:t>Regional</w:t>
            </w:r>
          </w:p>
        </w:tc>
      </w:tr>
      <w:tr w:rsidR="007912D4" w:rsidRPr="0077587B" w14:paraId="280C1C45" w14:textId="77777777" w:rsidTr="00E16D0C">
        <w:trPr>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3EE15C81"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noWrap/>
            <w:vAlign w:val="center"/>
            <w:hideMark/>
          </w:tcPr>
          <w:p w14:paraId="66A69ED2" w14:textId="77777777" w:rsidR="007912D4" w:rsidRPr="005C45AA" w:rsidRDefault="007912D4" w:rsidP="007912D4">
            <w:pPr>
              <w:pStyle w:val="BodyText"/>
              <w:spacing w:before="0" w:after="0"/>
              <w:rPr>
                <w:lang w:val="en-US"/>
              </w:rPr>
            </w:pPr>
            <w:r w:rsidRPr="005C45AA">
              <w:rPr>
                <w:lang w:val="en-US"/>
              </w:rPr>
              <w:t>Toowoomba</w:t>
            </w:r>
          </w:p>
        </w:tc>
        <w:tc>
          <w:tcPr>
            <w:tcW w:w="2127" w:type="dxa"/>
            <w:tcBorders>
              <w:left w:val="single" w:sz="4" w:space="0" w:color="auto"/>
              <w:bottom w:val="nil"/>
              <w:right w:val="single" w:sz="4" w:space="0" w:color="auto"/>
            </w:tcBorders>
            <w:shd w:val="clear" w:color="auto" w:fill="auto"/>
            <w:vAlign w:val="center"/>
            <w:hideMark/>
          </w:tcPr>
          <w:p w14:paraId="2127D5F4" w14:textId="7AD3BB22" w:rsidR="007912D4" w:rsidRPr="00E16D0C" w:rsidRDefault="00E16D0C" w:rsidP="00E16D0C">
            <w:pPr>
              <w:pStyle w:val="BodyText"/>
              <w:spacing w:before="0" w:after="0"/>
              <w:jc w:val="center"/>
              <w:rPr>
                <w:color w:val="FFFFFF" w:themeColor="background1"/>
                <w:lang w:val="en-US"/>
              </w:rPr>
            </w:pPr>
            <w:r w:rsidRPr="00E16D0C">
              <w:rPr>
                <w:color w:val="FFFFFF" w:themeColor="background1"/>
                <w:lang w:val="en-US"/>
              </w:rPr>
              <w:t>Inner Regional</w:t>
            </w:r>
          </w:p>
        </w:tc>
        <w:tc>
          <w:tcPr>
            <w:tcW w:w="1371" w:type="dxa"/>
            <w:tcBorders>
              <w:left w:val="single" w:sz="4" w:space="0" w:color="auto"/>
              <w:bottom w:val="nil"/>
              <w:right w:val="single" w:sz="4" w:space="0" w:color="auto"/>
            </w:tcBorders>
            <w:shd w:val="clear" w:color="auto" w:fill="auto"/>
            <w:vAlign w:val="center"/>
            <w:hideMark/>
          </w:tcPr>
          <w:p w14:paraId="1047A831" w14:textId="403C56C5" w:rsidR="007912D4" w:rsidRPr="00E16D0C" w:rsidRDefault="00E16D0C" w:rsidP="00E16D0C">
            <w:pPr>
              <w:pStyle w:val="BodyText"/>
              <w:spacing w:before="0" w:after="0"/>
              <w:jc w:val="center"/>
              <w:rPr>
                <w:color w:val="FFFFFF" w:themeColor="background1"/>
                <w:lang w:val="en-US"/>
              </w:rPr>
            </w:pPr>
            <w:r w:rsidRPr="00E16D0C">
              <w:rPr>
                <w:color w:val="FFFFFF" w:themeColor="background1"/>
                <w:lang w:val="en-US"/>
              </w:rPr>
              <w:t>Regional</w:t>
            </w:r>
          </w:p>
        </w:tc>
      </w:tr>
      <w:tr w:rsidR="00E16D0C" w:rsidRPr="0077587B" w14:paraId="4E29B866" w14:textId="77777777" w:rsidTr="00E16D0C">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73A54CF1"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2785BD80" w14:textId="77777777" w:rsidR="007912D4" w:rsidRPr="005C45AA" w:rsidRDefault="007912D4" w:rsidP="007912D4">
            <w:pPr>
              <w:pStyle w:val="BodyText"/>
              <w:spacing w:before="0" w:after="0"/>
              <w:rPr>
                <w:lang w:val="en-US"/>
              </w:rPr>
            </w:pPr>
            <w:r w:rsidRPr="005C45AA">
              <w:rPr>
                <w:lang w:val="en-US"/>
              </w:rPr>
              <w:t>Wide Bay</w:t>
            </w:r>
          </w:p>
        </w:tc>
        <w:tc>
          <w:tcPr>
            <w:tcW w:w="2127" w:type="dxa"/>
            <w:tcBorders>
              <w:left w:val="single" w:sz="4" w:space="0" w:color="auto"/>
              <w:bottom w:val="single" w:sz="4" w:space="0" w:color="auto"/>
              <w:right w:val="single" w:sz="4" w:space="0" w:color="auto"/>
            </w:tcBorders>
            <w:shd w:val="clear" w:color="auto" w:fill="auto"/>
            <w:vAlign w:val="center"/>
            <w:hideMark/>
          </w:tcPr>
          <w:p w14:paraId="50C3AC65" w14:textId="27BEFD37" w:rsidR="007912D4" w:rsidRPr="00E16D0C" w:rsidRDefault="00E16D0C" w:rsidP="00E16D0C">
            <w:pPr>
              <w:pStyle w:val="BodyText"/>
              <w:spacing w:before="0" w:after="0"/>
              <w:jc w:val="center"/>
              <w:rPr>
                <w:color w:val="FFFFFF" w:themeColor="background1"/>
                <w:lang w:val="en-US"/>
              </w:rPr>
            </w:pPr>
            <w:r w:rsidRPr="00E16D0C">
              <w:rPr>
                <w:color w:val="FFFFFF" w:themeColor="background1"/>
                <w:lang w:val="en-US"/>
              </w:rPr>
              <w:t>Inner Regional</w:t>
            </w:r>
          </w:p>
        </w:tc>
        <w:tc>
          <w:tcPr>
            <w:tcW w:w="1371" w:type="dxa"/>
            <w:tcBorders>
              <w:left w:val="single" w:sz="4" w:space="0" w:color="auto"/>
              <w:bottom w:val="nil"/>
              <w:right w:val="single" w:sz="4" w:space="0" w:color="auto"/>
            </w:tcBorders>
            <w:shd w:val="clear" w:color="auto" w:fill="auto"/>
            <w:vAlign w:val="center"/>
            <w:hideMark/>
          </w:tcPr>
          <w:p w14:paraId="7DB970CF" w14:textId="65D9A20D" w:rsidR="007912D4" w:rsidRPr="00E16D0C" w:rsidRDefault="00E16D0C" w:rsidP="00E16D0C">
            <w:pPr>
              <w:pStyle w:val="BodyText"/>
              <w:spacing w:before="0" w:after="0"/>
              <w:jc w:val="center"/>
              <w:rPr>
                <w:color w:val="FFFFFF" w:themeColor="background1"/>
                <w:lang w:val="en-US"/>
              </w:rPr>
            </w:pPr>
            <w:r w:rsidRPr="00E16D0C">
              <w:rPr>
                <w:color w:val="FFFFFF" w:themeColor="background1"/>
                <w:lang w:val="en-US"/>
              </w:rPr>
              <w:t>Regional</w:t>
            </w:r>
          </w:p>
        </w:tc>
      </w:tr>
      <w:tr w:rsidR="007912D4" w:rsidRPr="0077587B" w14:paraId="24CDD4FD" w14:textId="77777777" w:rsidTr="00E16D0C">
        <w:trPr>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3193FCFE"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noWrap/>
            <w:vAlign w:val="center"/>
            <w:hideMark/>
          </w:tcPr>
          <w:p w14:paraId="155D713F" w14:textId="77777777" w:rsidR="007912D4" w:rsidRPr="005C45AA" w:rsidRDefault="007912D4" w:rsidP="007912D4">
            <w:pPr>
              <w:pStyle w:val="BodyText"/>
              <w:spacing w:before="0" w:after="0"/>
              <w:rPr>
                <w:lang w:val="en-US"/>
              </w:rPr>
            </w:pPr>
            <w:r w:rsidRPr="005C45AA">
              <w:rPr>
                <w:lang w:val="en-US"/>
              </w:rPr>
              <w:t>Cairns</w:t>
            </w:r>
          </w:p>
        </w:tc>
        <w:tc>
          <w:tcPr>
            <w:tcW w:w="2127" w:type="dxa"/>
            <w:tcBorders>
              <w:top w:val="single" w:sz="4" w:space="0" w:color="auto"/>
              <w:left w:val="single" w:sz="4" w:space="0" w:color="auto"/>
              <w:bottom w:val="nil"/>
              <w:right w:val="single" w:sz="4" w:space="0" w:color="auto"/>
            </w:tcBorders>
            <w:shd w:val="clear" w:color="auto" w:fill="auto"/>
            <w:noWrap/>
            <w:vAlign w:val="center"/>
            <w:hideMark/>
          </w:tcPr>
          <w:p w14:paraId="3CCE309D" w14:textId="77777777" w:rsidR="007912D4" w:rsidRPr="005C45AA" w:rsidRDefault="007912D4" w:rsidP="00E16D0C">
            <w:pPr>
              <w:pStyle w:val="BodyText"/>
              <w:spacing w:before="0" w:after="0"/>
              <w:jc w:val="center"/>
              <w:rPr>
                <w:lang w:val="en-US"/>
              </w:rPr>
            </w:pPr>
            <w:r w:rsidRPr="005C45AA">
              <w:rPr>
                <w:lang w:val="en-US"/>
              </w:rPr>
              <w:t>Outer Regional</w:t>
            </w:r>
          </w:p>
        </w:tc>
        <w:tc>
          <w:tcPr>
            <w:tcW w:w="1371" w:type="dxa"/>
            <w:tcBorders>
              <w:left w:val="single" w:sz="4" w:space="0" w:color="auto"/>
              <w:bottom w:val="nil"/>
              <w:right w:val="single" w:sz="4" w:space="0" w:color="auto"/>
            </w:tcBorders>
            <w:shd w:val="clear" w:color="auto" w:fill="auto"/>
            <w:vAlign w:val="center"/>
            <w:hideMark/>
          </w:tcPr>
          <w:p w14:paraId="4D2BCFC0" w14:textId="692AA86F" w:rsidR="007912D4" w:rsidRPr="005C45AA" w:rsidRDefault="00E16D0C" w:rsidP="00E16D0C">
            <w:pPr>
              <w:pStyle w:val="BodyText"/>
              <w:spacing w:before="0" w:after="0"/>
              <w:jc w:val="center"/>
              <w:rPr>
                <w:lang w:val="en-US"/>
              </w:rPr>
            </w:pPr>
            <w:r w:rsidRPr="005C45AA">
              <w:rPr>
                <w:lang w:val="en-US"/>
              </w:rPr>
              <w:t>Regional</w:t>
            </w:r>
          </w:p>
        </w:tc>
      </w:tr>
      <w:tr w:rsidR="00E16D0C" w:rsidRPr="0077587B" w14:paraId="1CF92BCE" w14:textId="77777777" w:rsidTr="00E16D0C">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0770B865"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0A5E9CF0" w14:textId="77777777" w:rsidR="007912D4" w:rsidRPr="005C45AA" w:rsidRDefault="007912D4" w:rsidP="007912D4">
            <w:pPr>
              <w:pStyle w:val="BodyText"/>
              <w:spacing w:before="0" w:after="0"/>
              <w:rPr>
                <w:lang w:val="en-US"/>
              </w:rPr>
            </w:pPr>
            <w:r w:rsidRPr="005C45AA">
              <w:rPr>
                <w:lang w:val="en-US"/>
              </w:rPr>
              <w:t>Townsville</w:t>
            </w:r>
          </w:p>
        </w:tc>
        <w:tc>
          <w:tcPr>
            <w:tcW w:w="2127" w:type="dxa"/>
            <w:tcBorders>
              <w:left w:val="single" w:sz="4" w:space="0" w:color="auto"/>
              <w:bottom w:val="single" w:sz="4" w:space="0" w:color="auto"/>
              <w:right w:val="single" w:sz="4" w:space="0" w:color="auto"/>
            </w:tcBorders>
            <w:shd w:val="clear" w:color="auto" w:fill="auto"/>
            <w:vAlign w:val="center"/>
            <w:hideMark/>
          </w:tcPr>
          <w:p w14:paraId="6AB75709" w14:textId="51769826" w:rsidR="007912D4" w:rsidRPr="005C45AA" w:rsidRDefault="00E16D0C" w:rsidP="00E16D0C">
            <w:pPr>
              <w:pStyle w:val="BodyText"/>
              <w:spacing w:before="0" w:after="0"/>
              <w:jc w:val="center"/>
              <w:rPr>
                <w:lang w:val="en-US"/>
              </w:rPr>
            </w:pPr>
            <w:r w:rsidRPr="00E16D0C">
              <w:rPr>
                <w:color w:val="FFFFFF" w:themeColor="background1"/>
                <w:lang w:val="en-US"/>
              </w:rPr>
              <w:t>Outer Regional</w:t>
            </w:r>
          </w:p>
        </w:tc>
        <w:tc>
          <w:tcPr>
            <w:tcW w:w="1371" w:type="dxa"/>
            <w:tcBorders>
              <w:left w:val="single" w:sz="4" w:space="0" w:color="auto"/>
              <w:bottom w:val="nil"/>
              <w:right w:val="single" w:sz="4" w:space="0" w:color="auto"/>
            </w:tcBorders>
            <w:shd w:val="clear" w:color="auto" w:fill="auto"/>
            <w:vAlign w:val="center"/>
            <w:hideMark/>
          </w:tcPr>
          <w:p w14:paraId="1692E8C9" w14:textId="248C90C1" w:rsidR="007912D4" w:rsidRPr="00E16D0C" w:rsidRDefault="00E16D0C" w:rsidP="00E16D0C">
            <w:pPr>
              <w:pStyle w:val="BodyText"/>
              <w:spacing w:before="0" w:after="0"/>
              <w:jc w:val="center"/>
              <w:rPr>
                <w:color w:val="FFFFFF" w:themeColor="background1"/>
                <w:lang w:val="en-US"/>
              </w:rPr>
            </w:pPr>
            <w:r w:rsidRPr="00E16D0C">
              <w:rPr>
                <w:color w:val="FFFFFF" w:themeColor="background1"/>
                <w:lang w:val="en-US"/>
              </w:rPr>
              <w:t>Regional</w:t>
            </w:r>
          </w:p>
        </w:tc>
      </w:tr>
      <w:tr w:rsidR="007912D4" w:rsidRPr="0077587B" w14:paraId="35071FF8" w14:textId="77777777" w:rsidTr="00E16D0C">
        <w:trPr>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1E124DF0"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noWrap/>
            <w:vAlign w:val="center"/>
            <w:hideMark/>
          </w:tcPr>
          <w:p w14:paraId="3F44AA55" w14:textId="77777777" w:rsidR="007912D4" w:rsidRPr="005C45AA" w:rsidRDefault="007912D4" w:rsidP="007912D4">
            <w:pPr>
              <w:pStyle w:val="BodyText"/>
              <w:spacing w:before="0" w:after="0"/>
              <w:rPr>
                <w:lang w:val="en-US"/>
              </w:rPr>
            </w:pPr>
            <w:r w:rsidRPr="005C45AA">
              <w:rPr>
                <w:lang w:val="en-US"/>
              </w:rPr>
              <w:t>Queensland - Outback</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756EB" w14:textId="77777777" w:rsidR="007912D4" w:rsidRPr="005C45AA" w:rsidRDefault="007912D4" w:rsidP="00E16D0C">
            <w:pPr>
              <w:pStyle w:val="BodyText"/>
              <w:spacing w:before="0" w:after="0"/>
              <w:jc w:val="center"/>
              <w:rPr>
                <w:lang w:val="en-US"/>
              </w:rPr>
            </w:pPr>
            <w:r w:rsidRPr="005C45AA">
              <w:rPr>
                <w:lang w:val="en-US"/>
              </w:rPr>
              <w:t>Remote Australia</w:t>
            </w:r>
          </w:p>
        </w:tc>
        <w:tc>
          <w:tcPr>
            <w:tcW w:w="1371" w:type="dxa"/>
            <w:tcBorders>
              <w:left w:val="single" w:sz="4" w:space="0" w:color="auto"/>
              <w:bottom w:val="nil"/>
              <w:right w:val="single" w:sz="4" w:space="0" w:color="auto"/>
            </w:tcBorders>
            <w:shd w:val="clear" w:color="auto" w:fill="auto"/>
            <w:vAlign w:val="center"/>
            <w:hideMark/>
          </w:tcPr>
          <w:p w14:paraId="73DE5F9E" w14:textId="3F99FB34" w:rsidR="007912D4" w:rsidRPr="00E16D0C" w:rsidRDefault="00E16D0C" w:rsidP="00E16D0C">
            <w:pPr>
              <w:pStyle w:val="BodyText"/>
              <w:spacing w:before="0" w:after="0"/>
              <w:jc w:val="center"/>
              <w:rPr>
                <w:color w:val="FFFFFF" w:themeColor="background1"/>
                <w:lang w:val="en-US"/>
              </w:rPr>
            </w:pPr>
            <w:r w:rsidRPr="00E16D0C">
              <w:rPr>
                <w:color w:val="FFFFFF" w:themeColor="background1"/>
                <w:lang w:val="en-US"/>
              </w:rPr>
              <w:t>Regional</w:t>
            </w:r>
          </w:p>
        </w:tc>
      </w:tr>
      <w:tr w:rsidR="00E16D0C" w:rsidRPr="0077587B" w14:paraId="1D56BD96" w14:textId="77777777" w:rsidTr="00E16D0C">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6D623266"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6B3473EE" w14:textId="77777777" w:rsidR="007912D4" w:rsidRPr="005C45AA" w:rsidRDefault="007912D4" w:rsidP="007912D4">
            <w:pPr>
              <w:pStyle w:val="BodyText"/>
              <w:spacing w:before="0" w:after="0"/>
              <w:rPr>
                <w:lang w:val="en-US"/>
              </w:rPr>
            </w:pPr>
            <w:r w:rsidRPr="005C45AA">
              <w:rPr>
                <w:lang w:val="en-US"/>
              </w:rPr>
              <w:t>Gold Coast</w:t>
            </w:r>
          </w:p>
        </w:tc>
        <w:tc>
          <w:tcPr>
            <w:tcW w:w="2127" w:type="dxa"/>
            <w:tcBorders>
              <w:top w:val="single" w:sz="4" w:space="0" w:color="auto"/>
              <w:left w:val="single" w:sz="4" w:space="0" w:color="auto"/>
              <w:bottom w:val="nil"/>
              <w:right w:val="single" w:sz="4" w:space="0" w:color="auto"/>
            </w:tcBorders>
            <w:shd w:val="clear" w:color="auto" w:fill="auto"/>
            <w:noWrap/>
            <w:vAlign w:val="center"/>
            <w:hideMark/>
          </w:tcPr>
          <w:p w14:paraId="56505B7C" w14:textId="77777777" w:rsidR="007912D4" w:rsidRPr="00E16D0C" w:rsidRDefault="007912D4" w:rsidP="00E16D0C">
            <w:pPr>
              <w:pStyle w:val="BodyText"/>
              <w:spacing w:before="0" w:after="0"/>
              <w:jc w:val="center"/>
              <w:rPr>
                <w:color w:val="FFFFFF" w:themeColor="background1"/>
                <w:lang w:val="en-US"/>
              </w:rPr>
            </w:pPr>
            <w:r w:rsidRPr="00E16D0C">
              <w:rPr>
                <w:color w:val="FFFFFF" w:themeColor="background1"/>
                <w:lang w:val="en-US"/>
              </w:rPr>
              <w:t>Major City</w:t>
            </w:r>
          </w:p>
        </w:tc>
        <w:tc>
          <w:tcPr>
            <w:tcW w:w="1371" w:type="dxa"/>
            <w:tcBorders>
              <w:left w:val="single" w:sz="4" w:space="0" w:color="auto"/>
              <w:bottom w:val="nil"/>
              <w:right w:val="single" w:sz="4" w:space="0" w:color="auto"/>
            </w:tcBorders>
            <w:shd w:val="clear" w:color="auto" w:fill="auto"/>
            <w:vAlign w:val="center"/>
            <w:hideMark/>
          </w:tcPr>
          <w:p w14:paraId="63D27EC8" w14:textId="1146D17C" w:rsidR="007912D4" w:rsidRPr="00E16D0C" w:rsidRDefault="00E16D0C" w:rsidP="00E16D0C">
            <w:pPr>
              <w:pStyle w:val="BodyText"/>
              <w:spacing w:before="0" w:after="0"/>
              <w:jc w:val="center"/>
              <w:rPr>
                <w:color w:val="FFFFFF" w:themeColor="background1"/>
                <w:lang w:val="en-US"/>
              </w:rPr>
            </w:pPr>
            <w:r w:rsidRPr="00E16D0C">
              <w:rPr>
                <w:color w:val="FFFFFF" w:themeColor="background1"/>
                <w:lang w:val="en-US"/>
              </w:rPr>
              <w:t>Regional</w:t>
            </w:r>
          </w:p>
        </w:tc>
      </w:tr>
      <w:tr w:rsidR="007912D4" w:rsidRPr="0077587B" w14:paraId="0191C545" w14:textId="77777777" w:rsidTr="00E16D0C">
        <w:trPr>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23B3F1CB"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noWrap/>
            <w:vAlign w:val="center"/>
            <w:hideMark/>
          </w:tcPr>
          <w:p w14:paraId="494FCB77" w14:textId="77777777" w:rsidR="007912D4" w:rsidRPr="005C45AA" w:rsidRDefault="007912D4" w:rsidP="007912D4">
            <w:pPr>
              <w:pStyle w:val="BodyText"/>
              <w:spacing w:before="0" w:after="0"/>
              <w:rPr>
                <w:lang w:val="en-US"/>
              </w:rPr>
            </w:pPr>
            <w:r w:rsidRPr="005C45AA">
              <w:rPr>
                <w:lang w:val="en-US"/>
              </w:rPr>
              <w:t>Sunshine Coast</w:t>
            </w:r>
          </w:p>
        </w:tc>
        <w:tc>
          <w:tcPr>
            <w:tcW w:w="2127" w:type="dxa"/>
            <w:tcBorders>
              <w:left w:val="single" w:sz="4" w:space="0" w:color="auto"/>
              <w:bottom w:val="nil"/>
              <w:right w:val="single" w:sz="4" w:space="0" w:color="auto"/>
            </w:tcBorders>
            <w:shd w:val="clear" w:color="auto" w:fill="auto"/>
            <w:vAlign w:val="center"/>
            <w:hideMark/>
          </w:tcPr>
          <w:p w14:paraId="153D8274" w14:textId="72631240" w:rsidR="007912D4" w:rsidRPr="00E16D0C" w:rsidRDefault="00E16D0C" w:rsidP="00E16D0C">
            <w:pPr>
              <w:pStyle w:val="BodyText"/>
              <w:spacing w:before="0" w:after="0"/>
              <w:jc w:val="center"/>
              <w:rPr>
                <w:color w:val="FFFFFF" w:themeColor="background1"/>
                <w:lang w:val="en-US"/>
              </w:rPr>
            </w:pPr>
            <w:r w:rsidRPr="00E16D0C">
              <w:rPr>
                <w:color w:val="FFFFFF" w:themeColor="background1"/>
                <w:lang w:val="en-US"/>
              </w:rPr>
              <w:t>Major City</w:t>
            </w:r>
          </w:p>
        </w:tc>
        <w:tc>
          <w:tcPr>
            <w:tcW w:w="1371" w:type="dxa"/>
            <w:tcBorders>
              <w:left w:val="single" w:sz="4" w:space="0" w:color="auto"/>
              <w:bottom w:val="single" w:sz="4" w:space="0" w:color="auto"/>
              <w:right w:val="single" w:sz="4" w:space="0" w:color="auto"/>
            </w:tcBorders>
            <w:shd w:val="clear" w:color="auto" w:fill="auto"/>
            <w:vAlign w:val="center"/>
            <w:hideMark/>
          </w:tcPr>
          <w:p w14:paraId="73C25708" w14:textId="64DF427C" w:rsidR="007912D4" w:rsidRPr="00E16D0C" w:rsidRDefault="00E16D0C" w:rsidP="00E16D0C">
            <w:pPr>
              <w:pStyle w:val="BodyText"/>
              <w:spacing w:before="0" w:after="0"/>
              <w:jc w:val="center"/>
              <w:rPr>
                <w:color w:val="FFFFFF" w:themeColor="background1"/>
                <w:lang w:val="en-US"/>
              </w:rPr>
            </w:pPr>
            <w:r w:rsidRPr="00E16D0C">
              <w:rPr>
                <w:color w:val="FFFFFF" w:themeColor="background1"/>
                <w:lang w:val="en-US"/>
              </w:rPr>
              <w:t>Regional</w:t>
            </w:r>
          </w:p>
        </w:tc>
      </w:tr>
      <w:tr w:rsidR="00E16D0C" w:rsidRPr="0077587B" w14:paraId="274F9E9C" w14:textId="77777777" w:rsidTr="00E16D0C">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5049A92E"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34EC1DA2" w14:textId="77777777" w:rsidR="007912D4" w:rsidRPr="005C45AA" w:rsidRDefault="007912D4" w:rsidP="007912D4">
            <w:pPr>
              <w:pStyle w:val="BodyText"/>
              <w:spacing w:before="0" w:after="0"/>
              <w:rPr>
                <w:lang w:val="en-US"/>
              </w:rPr>
            </w:pPr>
            <w:r w:rsidRPr="005C45AA">
              <w:rPr>
                <w:lang w:val="en-US"/>
              </w:rPr>
              <w:t>Brisbane - East</w:t>
            </w:r>
          </w:p>
        </w:tc>
        <w:tc>
          <w:tcPr>
            <w:tcW w:w="2127" w:type="dxa"/>
            <w:tcBorders>
              <w:left w:val="single" w:sz="4" w:space="0" w:color="auto"/>
              <w:bottom w:val="nil"/>
              <w:right w:val="single" w:sz="4" w:space="0" w:color="auto"/>
            </w:tcBorders>
            <w:shd w:val="clear" w:color="auto" w:fill="auto"/>
            <w:vAlign w:val="center"/>
            <w:hideMark/>
          </w:tcPr>
          <w:p w14:paraId="61399F93" w14:textId="5DC01430" w:rsidR="007912D4" w:rsidRPr="00E16D0C" w:rsidRDefault="00E16D0C" w:rsidP="00E16D0C">
            <w:pPr>
              <w:pStyle w:val="BodyText"/>
              <w:spacing w:before="0" w:after="0"/>
              <w:jc w:val="center"/>
              <w:rPr>
                <w:color w:val="FFFFFF" w:themeColor="background1"/>
                <w:lang w:val="en-US"/>
              </w:rPr>
            </w:pPr>
            <w:r w:rsidRPr="00E16D0C">
              <w:rPr>
                <w:color w:val="FFFFFF" w:themeColor="background1"/>
                <w:lang w:val="en-US"/>
              </w:rPr>
              <w:t>Major City</w:t>
            </w:r>
          </w:p>
        </w:tc>
        <w:tc>
          <w:tcPr>
            <w:tcW w:w="1371" w:type="dxa"/>
            <w:tcBorders>
              <w:top w:val="single" w:sz="4" w:space="0" w:color="auto"/>
              <w:left w:val="single" w:sz="4" w:space="0" w:color="auto"/>
              <w:bottom w:val="nil"/>
              <w:right w:val="single" w:sz="4" w:space="0" w:color="auto"/>
            </w:tcBorders>
            <w:shd w:val="clear" w:color="auto" w:fill="auto"/>
            <w:noWrap/>
            <w:vAlign w:val="center"/>
            <w:hideMark/>
          </w:tcPr>
          <w:p w14:paraId="7AABAE6E" w14:textId="77777777" w:rsidR="007912D4" w:rsidRPr="00E16D0C" w:rsidRDefault="007912D4" w:rsidP="00E16D0C">
            <w:pPr>
              <w:pStyle w:val="BodyText"/>
              <w:spacing w:before="0" w:after="0"/>
              <w:jc w:val="center"/>
              <w:rPr>
                <w:color w:val="FFFFFF" w:themeColor="background1"/>
                <w:lang w:val="en-US"/>
              </w:rPr>
            </w:pPr>
            <w:r w:rsidRPr="00E16D0C">
              <w:rPr>
                <w:color w:val="FFFFFF" w:themeColor="background1"/>
                <w:lang w:val="en-US"/>
              </w:rPr>
              <w:t>Major City</w:t>
            </w:r>
          </w:p>
        </w:tc>
      </w:tr>
      <w:tr w:rsidR="007912D4" w:rsidRPr="0077587B" w14:paraId="4886360B" w14:textId="77777777" w:rsidTr="00E16D0C">
        <w:trPr>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348488D6"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noWrap/>
            <w:vAlign w:val="center"/>
            <w:hideMark/>
          </w:tcPr>
          <w:p w14:paraId="5B823C21" w14:textId="77777777" w:rsidR="007912D4" w:rsidRPr="005C45AA" w:rsidRDefault="007912D4" w:rsidP="007912D4">
            <w:pPr>
              <w:pStyle w:val="BodyText"/>
              <w:spacing w:before="0" w:after="0"/>
              <w:rPr>
                <w:lang w:val="en-US"/>
              </w:rPr>
            </w:pPr>
            <w:r w:rsidRPr="005C45AA">
              <w:rPr>
                <w:lang w:val="en-US"/>
              </w:rPr>
              <w:t>Brisbane - South</w:t>
            </w:r>
          </w:p>
        </w:tc>
        <w:tc>
          <w:tcPr>
            <w:tcW w:w="2127" w:type="dxa"/>
            <w:tcBorders>
              <w:left w:val="single" w:sz="4" w:space="0" w:color="auto"/>
              <w:bottom w:val="nil"/>
              <w:right w:val="single" w:sz="4" w:space="0" w:color="auto"/>
            </w:tcBorders>
            <w:shd w:val="clear" w:color="auto" w:fill="auto"/>
            <w:vAlign w:val="center"/>
            <w:hideMark/>
          </w:tcPr>
          <w:p w14:paraId="2E499548" w14:textId="2CD367DB" w:rsidR="007912D4" w:rsidRPr="00E16D0C" w:rsidRDefault="00E16D0C" w:rsidP="00E16D0C">
            <w:pPr>
              <w:pStyle w:val="BodyText"/>
              <w:spacing w:before="0" w:after="0"/>
              <w:jc w:val="center"/>
              <w:rPr>
                <w:color w:val="FFFFFF" w:themeColor="background1"/>
                <w:lang w:val="en-US"/>
              </w:rPr>
            </w:pPr>
            <w:r w:rsidRPr="00E16D0C">
              <w:rPr>
                <w:color w:val="FFFFFF" w:themeColor="background1"/>
                <w:lang w:val="en-US"/>
              </w:rPr>
              <w:t>Major City</w:t>
            </w:r>
          </w:p>
        </w:tc>
        <w:tc>
          <w:tcPr>
            <w:tcW w:w="1371" w:type="dxa"/>
            <w:tcBorders>
              <w:left w:val="single" w:sz="4" w:space="0" w:color="auto"/>
              <w:bottom w:val="nil"/>
              <w:right w:val="single" w:sz="4" w:space="0" w:color="auto"/>
            </w:tcBorders>
            <w:shd w:val="clear" w:color="auto" w:fill="auto"/>
            <w:vAlign w:val="center"/>
            <w:hideMark/>
          </w:tcPr>
          <w:p w14:paraId="57F0B615" w14:textId="32338AF4" w:rsidR="007912D4" w:rsidRPr="00E16D0C" w:rsidRDefault="00E16D0C" w:rsidP="00E16D0C">
            <w:pPr>
              <w:pStyle w:val="BodyText"/>
              <w:spacing w:before="0" w:after="0"/>
              <w:jc w:val="center"/>
              <w:rPr>
                <w:color w:val="FFFFFF" w:themeColor="background1"/>
                <w:lang w:val="en-US"/>
              </w:rPr>
            </w:pPr>
            <w:r w:rsidRPr="00E16D0C">
              <w:rPr>
                <w:color w:val="FFFFFF" w:themeColor="background1"/>
                <w:lang w:val="en-US"/>
              </w:rPr>
              <w:t>Major City</w:t>
            </w:r>
          </w:p>
        </w:tc>
      </w:tr>
      <w:tr w:rsidR="00E16D0C" w:rsidRPr="0077587B" w14:paraId="41BF1669" w14:textId="77777777" w:rsidTr="00E16D0C">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5FD42BD8"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69A2F43A" w14:textId="77777777" w:rsidR="007912D4" w:rsidRPr="005C45AA" w:rsidRDefault="007912D4" w:rsidP="007912D4">
            <w:pPr>
              <w:pStyle w:val="BodyText"/>
              <w:spacing w:before="0" w:after="0"/>
              <w:rPr>
                <w:lang w:val="en-US"/>
              </w:rPr>
            </w:pPr>
            <w:r w:rsidRPr="005C45AA">
              <w:rPr>
                <w:lang w:val="en-US"/>
              </w:rPr>
              <w:t>Logan - Beaudesert</w:t>
            </w:r>
          </w:p>
        </w:tc>
        <w:tc>
          <w:tcPr>
            <w:tcW w:w="2127" w:type="dxa"/>
            <w:tcBorders>
              <w:left w:val="single" w:sz="4" w:space="0" w:color="auto"/>
              <w:bottom w:val="nil"/>
              <w:right w:val="single" w:sz="4" w:space="0" w:color="auto"/>
            </w:tcBorders>
            <w:shd w:val="clear" w:color="auto" w:fill="auto"/>
            <w:vAlign w:val="center"/>
            <w:hideMark/>
          </w:tcPr>
          <w:p w14:paraId="2B805174" w14:textId="4543FE0C" w:rsidR="007912D4" w:rsidRPr="00E16D0C" w:rsidRDefault="00E16D0C" w:rsidP="00E16D0C">
            <w:pPr>
              <w:pStyle w:val="BodyText"/>
              <w:spacing w:before="0" w:after="0"/>
              <w:jc w:val="center"/>
              <w:rPr>
                <w:color w:val="FFFFFF" w:themeColor="background1"/>
                <w:lang w:val="en-US"/>
              </w:rPr>
            </w:pPr>
            <w:r w:rsidRPr="00E16D0C">
              <w:rPr>
                <w:color w:val="FFFFFF" w:themeColor="background1"/>
                <w:lang w:val="en-US"/>
              </w:rPr>
              <w:t>Major City</w:t>
            </w:r>
          </w:p>
        </w:tc>
        <w:tc>
          <w:tcPr>
            <w:tcW w:w="1371" w:type="dxa"/>
            <w:tcBorders>
              <w:left w:val="single" w:sz="4" w:space="0" w:color="auto"/>
              <w:bottom w:val="nil"/>
              <w:right w:val="single" w:sz="4" w:space="0" w:color="auto"/>
            </w:tcBorders>
            <w:shd w:val="clear" w:color="auto" w:fill="auto"/>
            <w:vAlign w:val="center"/>
            <w:hideMark/>
          </w:tcPr>
          <w:p w14:paraId="74C196B2" w14:textId="7E668163" w:rsidR="007912D4" w:rsidRPr="00E16D0C" w:rsidRDefault="00E16D0C" w:rsidP="00E16D0C">
            <w:pPr>
              <w:pStyle w:val="BodyText"/>
              <w:spacing w:before="0" w:after="0"/>
              <w:jc w:val="center"/>
              <w:rPr>
                <w:color w:val="FFFFFF" w:themeColor="background1"/>
                <w:lang w:val="en-US"/>
              </w:rPr>
            </w:pPr>
            <w:r w:rsidRPr="00E16D0C">
              <w:rPr>
                <w:color w:val="FFFFFF" w:themeColor="background1"/>
                <w:lang w:val="en-US"/>
              </w:rPr>
              <w:t>Major City</w:t>
            </w:r>
          </w:p>
        </w:tc>
      </w:tr>
      <w:tr w:rsidR="007912D4" w:rsidRPr="0077587B" w14:paraId="77EA01CE" w14:textId="77777777" w:rsidTr="00E16D0C">
        <w:trPr>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5ACB9BC6"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noWrap/>
            <w:vAlign w:val="center"/>
            <w:hideMark/>
          </w:tcPr>
          <w:p w14:paraId="5023EEC5" w14:textId="77777777" w:rsidR="007912D4" w:rsidRPr="005C45AA" w:rsidRDefault="007912D4" w:rsidP="007912D4">
            <w:pPr>
              <w:pStyle w:val="BodyText"/>
              <w:spacing w:before="0" w:after="0"/>
              <w:rPr>
                <w:lang w:val="en-US"/>
              </w:rPr>
            </w:pPr>
            <w:r w:rsidRPr="005C45AA">
              <w:rPr>
                <w:lang w:val="en-US"/>
              </w:rPr>
              <w:t>Brisbane - North</w:t>
            </w:r>
          </w:p>
        </w:tc>
        <w:tc>
          <w:tcPr>
            <w:tcW w:w="2127" w:type="dxa"/>
            <w:tcBorders>
              <w:left w:val="single" w:sz="4" w:space="0" w:color="auto"/>
              <w:bottom w:val="nil"/>
              <w:right w:val="single" w:sz="4" w:space="0" w:color="auto"/>
            </w:tcBorders>
            <w:shd w:val="clear" w:color="auto" w:fill="auto"/>
            <w:vAlign w:val="center"/>
            <w:hideMark/>
          </w:tcPr>
          <w:p w14:paraId="0D8BCE5E" w14:textId="5C75E2C2" w:rsidR="007912D4" w:rsidRPr="005C45AA" w:rsidRDefault="00E16D0C" w:rsidP="00E16D0C">
            <w:pPr>
              <w:pStyle w:val="BodyText"/>
              <w:spacing w:before="0" w:after="0"/>
              <w:jc w:val="center"/>
              <w:rPr>
                <w:lang w:val="en-US"/>
              </w:rPr>
            </w:pPr>
            <w:r w:rsidRPr="005C45AA">
              <w:rPr>
                <w:lang w:val="en-US"/>
              </w:rPr>
              <w:t>Major City</w:t>
            </w:r>
          </w:p>
        </w:tc>
        <w:tc>
          <w:tcPr>
            <w:tcW w:w="1371" w:type="dxa"/>
            <w:tcBorders>
              <w:left w:val="single" w:sz="4" w:space="0" w:color="auto"/>
              <w:bottom w:val="nil"/>
              <w:right w:val="single" w:sz="4" w:space="0" w:color="auto"/>
            </w:tcBorders>
            <w:shd w:val="clear" w:color="auto" w:fill="auto"/>
            <w:vAlign w:val="center"/>
            <w:hideMark/>
          </w:tcPr>
          <w:p w14:paraId="4778949C" w14:textId="3D7EAF7F" w:rsidR="007912D4" w:rsidRPr="00E16D0C" w:rsidRDefault="00E16D0C" w:rsidP="00E16D0C">
            <w:pPr>
              <w:pStyle w:val="BodyText"/>
              <w:spacing w:before="0" w:after="0"/>
              <w:jc w:val="center"/>
              <w:rPr>
                <w:color w:val="FFFFFF" w:themeColor="background1"/>
                <w:lang w:val="en-US"/>
              </w:rPr>
            </w:pPr>
            <w:r w:rsidRPr="00E16D0C">
              <w:rPr>
                <w:color w:val="FFFFFF" w:themeColor="background1"/>
                <w:lang w:val="en-US"/>
              </w:rPr>
              <w:t>Major City</w:t>
            </w:r>
          </w:p>
        </w:tc>
      </w:tr>
      <w:tr w:rsidR="00E16D0C" w:rsidRPr="0077587B" w14:paraId="701AE8A5" w14:textId="77777777" w:rsidTr="00E16D0C">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67543392"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244B4C12" w14:textId="77777777" w:rsidR="007912D4" w:rsidRPr="005C45AA" w:rsidRDefault="007912D4" w:rsidP="007912D4">
            <w:pPr>
              <w:pStyle w:val="BodyText"/>
              <w:spacing w:before="0" w:after="0"/>
              <w:rPr>
                <w:lang w:val="en-US"/>
              </w:rPr>
            </w:pPr>
            <w:r w:rsidRPr="005C45AA">
              <w:rPr>
                <w:lang w:val="en-US"/>
              </w:rPr>
              <w:t>Brisbane Inner City</w:t>
            </w:r>
          </w:p>
        </w:tc>
        <w:tc>
          <w:tcPr>
            <w:tcW w:w="2127" w:type="dxa"/>
            <w:tcBorders>
              <w:left w:val="single" w:sz="4" w:space="0" w:color="auto"/>
              <w:bottom w:val="nil"/>
              <w:right w:val="single" w:sz="4" w:space="0" w:color="auto"/>
            </w:tcBorders>
            <w:shd w:val="clear" w:color="auto" w:fill="auto"/>
            <w:vAlign w:val="center"/>
            <w:hideMark/>
          </w:tcPr>
          <w:p w14:paraId="77B214D2" w14:textId="3189027F" w:rsidR="007912D4" w:rsidRPr="00E16D0C" w:rsidRDefault="00E16D0C" w:rsidP="00E16D0C">
            <w:pPr>
              <w:pStyle w:val="BodyText"/>
              <w:spacing w:before="0" w:after="0"/>
              <w:jc w:val="center"/>
              <w:rPr>
                <w:color w:val="FFFFFF" w:themeColor="background1"/>
                <w:lang w:val="en-US"/>
              </w:rPr>
            </w:pPr>
            <w:r w:rsidRPr="00E16D0C">
              <w:rPr>
                <w:color w:val="FFFFFF" w:themeColor="background1"/>
                <w:lang w:val="en-US"/>
              </w:rPr>
              <w:t>Major City</w:t>
            </w:r>
          </w:p>
        </w:tc>
        <w:tc>
          <w:tcPr>
            <w:tcW w:w="1371" w:type="dxa"/>
            <w:tcBorders>
              <w:left w:val="single" w:sz="4" w:space="0" w:color="auto"/>
              <w:bottom w:val="nil"/>
              <w:right w:val="single" w:sz="4" w:space="0" w:color="auto"/>
            </w:tcBorders>
            <w:shd w:val="clear" w:color="auto" w:fill="auto"/>
            <w:vAlign w:val="center"/>
            <w:hideMark/>
          </w:tcPr>
          <w:p w14:paraId="05D5A4AB" w14:textId="401F70C8" w:rsidR="007912D4" w:rsidRPr="005C45AA" w:rsidRDefault="00E16D0C" w:rsidP="00E16D0C">
            <w:pPr>
              <w:pStyle w:val="BodyText"/>
              <w:spacing w:before="0" w:after="0"/>
              <w:jc w:val="center"/>
              <w:rPr>
                <w:lang w:val="en-US"/>
              </w:rPr>
            </w:pPr>
            <w:r w:rsidRPr="005C45AA">
              <w:rPr>
                <w:lang w:val="en-US"/>
              </w:rPr>
              <w:t>Major City</w:t>
            </w:r>
          </w:p>
        </w:tc>
      </w:tr>
      <w:tr w:rsidR="007912D4" w:rsidRPr="0077587B" w14:paraId="20EE6257" w14:textId="77777777" w:rsidTr="00E16D0C">
        <w:trPr>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535BE871"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noWrap/>
            <w:vAlign w:val="center"/>
            <w:hideMark/>
          </w:tcPr>
          <w:p w14:paraId="07F1237A" w14:textId="77777777" w:rsidR="007912D4" w:rsidRPr="005C45AA" w:rsidRDefault="007912D4" w:rsidP="007912D4">
            <w:pPr>
              <w:pStyle w:val="BodyText"/>
              <w:spacing w:before="0" w:after="0"/>
              <w:rPr>
                <w:lang w:val="en-US"/>
              </w:rPr>
            </w:pPr>
            <w:r w:rsidRPr="005C45AA">
              <w:rPr>
                <w:lang w:val="en-US"/>
              </w:rPr>
              <w:t>Moreton Bay - North</w:t>
            </w:r>
          </w:p>
        </w:tc>
        <w:tc>
          <w:tcPr>
            <w:tcW w:w="2127" w:type="dxa"/>
            <w:tcBorders>
              <w:left w:val="single" w:sz="4" w:space="0" w:color="auto"/>
              <w:bottom w:val="nil"/>
              <w:right w:val="single" w:sz="4" w:space="0" w:color="auto"/>
            </w:tcBorders>
            <w:shd w:val="clear" w:color="auto" w:fill="auto"/>
            <w:vAlign w:val="center"/>
            <w:hideMark/>
          </w:tcPr>
          <w:p w14:paraId="48EAAC6D" w14:textId="703189B1" w:rsidR="007912D4" w:rsidRPr="00E16D0C" w:rsidRDefault="00E16D0C" w:rsidP="00E16D0C">
            <w:pPr>
              <w:pStyle w:val="BodyText"/>
              <w:spacing w:before="0" w:after="0"/>
              <w:jc w:val="center"/>
              <w:rPr>
                <w:color w:val="FFFFFF" w:themeColor="background1"/>
                <w:lang w:val="en-US"/>
              </w:rPr>
            </w:pPr>
            <w:r w:rsidRPr="00E16D0C">
              <w:rPr>
                <w:color w:val="FFFFFF" w:themeColor="background1"/>
                <w:lang w:val="en-US"/>
              </w:rPr>
              <w:t>Major City</w:t>
            </w:r>
          </w:p>
        </w:tc>
        <w:tc>
          <w:tcPr>
            <w:tcW w:w="1371" w:type="dxa"/>
            <w:tcBorders>
              <w:left w:val="single" w:sz="4" w:space="0" w:color="auto"/>
              <w:bottom w:val="nil"/>
              <w:right w:val="single" w:sz="4" w:space="0" w:color="auto"/>
            </w:tcBorders>
            <w:shd w:val="clear" w:color="auto" w:fill="auto"/>
            <w:vAlign w:val="center"/>
            <w:hideMark/>
          </w:tcPr>
          <w:p w14:paraId="6DE5B8C5" w14:textId="113673BD" w:rsidR="007912D4" w:rsidRPr="00E16D0C" w:rsidRDefault="00E16D0C" w:rsidP="00E16D0C">
            <w:pPr>
              <w:pStyle w:val="BodyText"/>
              <w:spacing w:before="0" w:after="0"/>
              <w:jc w:val="center"/>
              <w:rPr>
                <w:color w:val="FFFFFF" w:themeColor="background1"/>
                <w:lang w:val="en-US"/>
              </w:rPr>
            </w:pPr>
            <w:r w:rsidRPr="00E16D0C">
              <w:rPr>
                <w:color w:val="FFFFFF" w:themeColor="background1"/>
                <w:lang w:val="en-US"/>
              </w:rPr>
              <w:t>Major City</w:t>
            </w:r>
          </w:p>
        </w:tc>
      </w:tr>
      <w:tr w:rsidR="00E16D0C" w:rsidRPr="0077587B" w14:paraId="44B63576" w14:textId="77777777" w:rsidTr="00E16D0C">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743F7859"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41F8D8E1" w14:textId="77777777" w:rsidR="007912D4" w:rsidRPr="005C45AA" w:rsidRDefault="007912D4" w:rsidP="007912D4">
            <w:pPr>
              <w:pStyle w:val="BodyText"/>
              <w:spacing w:before="0" w:after="0"/>
              <w:rPr>
                <w:lang w:val="en-US"/>
              </w:rPr>
            </w:pPr>
            <w:r w:rsidRPr="005C45AA">
              <w:rPr>
                <w:lang w:val="en-US"/>
              </w:rPr>
              <w:t>Moreton Bay - South</w:t>
            </w:r>
          </w:p>
        </w:tc>
        <w:tc>
          <w:tcPr>
            <w:tcW w:w="2127" w:type="dxa"/>
            <w:tcBorders>
              <w:left w:val="single" w:sz="4" w:space="0" w:color="auto"/>
              <w:bottom w:val="nil"/>
              <w:right w:val="single" w:sz="4" w:space="0" w:color="auto"/>
            </w:tcBorders>
            <w:shd w:val="clear" w:color="auto" w:fill="auto"/>
            <w:vAlign w:val="center"/>
            <w:hideMark/>
          </w:tcPr>
          <w:p w14:paraId="02A514F8" w14:textId="377C370C" w:rsidR="007912D4" w:rsidRPr="00E16D0C" w:rsidRDefault="00E16D0C" w:rsidP="00E16D0C">
            <w:pPr>
              <w:pStyle w:val="BodyText"/>
              <w:spacing w:before="0" w:after="0"/>
              <w:jc w:val="center"/>
              <w:rPr>
                <w:color w:val="FFFFFF" w:themeColor="background1"/>
                <w:lang w:val="en-US"/>
              </w:rPr>
            </w:pPr>
            <w:r w:rsidRPr="00E16D0C">
              <w:rPr>
                <w:color w:val="FFFFFF" w:themeColor="background1"/>
                <w:lang w:val="en-US"/>
              </w:rPr>
              <w:t>Major City</w:t>
            </w:r>
          </w:p>
        </w:tc>
        <w:tc>
          <w:tcPr>
            <w:tcW w:w="1371" w:type="dxa"/>
            <w:tcBorders>
              <w:left w:val="single" w:sz="4" w:space="0" w:color="auto"/>
              <w:bottom w:val="nil"/>
              <w:right w:val="single" w:sz="4" w:space="0" w:color="auto"/>
            </w:tcBorders>
            <w:shd w:val="clear" w:color="auto" w:fill="auto"/>
            <w:vAlign w:val="center"/>
            <w:hideMark/>
          </w:tcPr>
          <w:p w14:paraId="122230C8" w14:textId="7102CD48" w:rsidR="007912D4" w:rsidRPr="00E16D0C" w:rsidRDefault="00E16D0C" w:rsidP="00E16D0C">
            <w:pPr>
              <w:pStyle w:val="BodyText"/>
              <w:spacing w:before="0" w:after="0"/>
              <w:jc w:val="center"/>
              <w:rPr>
                <w:color w:val="FFFFFF" w:themeColor="background1"/>
                <w:lang w:val="en-US"/>
              </w:rPr>
            </w:pPr>
            <w:r w:rsidRPr="00E16D0C">
              <w:rPr>
                <w:color w:val="FFFFFF" w:themeColor="background1"/>
                <w:lang w:val="en-US"/>
              </w:rPr>
              <w:t>Major City</w:t>
            </w:r>
          </w:p>
        </w:tc>
      </w:tr>
      <w:tr w:rsidR="007912D4" w:rsidRPr="0077587B" w14:paraId="01A27504" w14:textId="77777777" w:rsidTr="00E16D0C">
        <w:trPr>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1D2DC151" w14:textId="77777777" w:rsidR="007912D4" w:rsidRPr="005C45AA" w:rsidRDefault="007912D4" w:rsidP="007912D4">
            <w:pPr>
              <w:pStyle w:val="BodyText"/>
              <w:spacing w:before="0" w:after="0"/>
              <w:rPr>
                <w:lang w:val="en-US"/>
              </w:rPr>
            </w:pPr>
          </w:p>
        </w:tc>
        <w:tc>
          <w:tcPr>
            <w:tcW w:w="4744" w:type="dxa"/>
            <w:tcBorders>
              <w:left w:val="single" w:sz="4" w:space="0" w:color="auto"/>
              <w:bottom w:val="nil"/>
              <w:right w:val="single" w:sz="4" w:space="0" w:color="auto"/>
            </w:tcBorders>
            <w:noWrap/>
            <w:vAlign w:val="center"/>
            <w:hideMark/>
          </w:tcPr>
          <w:p w14:paraId="7F5E04E8" w14:textId="77777777" w:rsidR="007912D4" w:rsidRPr="005C45AA" w:rsidRDefault="007912D4" w:rsidP="007912D4">
            <w:pPr>
              <w:pStyle w:val="BodyText"/>
              <w:spacing w:before="0" w:after="0"/>
              <w:rPr>
                <w:lang w:val="en-US"/>
              </w:rPr>
            </w:pPr>
            <w:r w:rsidRPr="005C45AA">
              <w:rPr>
                <w:lang w:val="en-US"/>
              </w:rPr>
              <w:t>Brisbane - West</w:t>
            </w:r>
          </w:p>
        </w:tc>
        <w:tc>
          <w:tcPr>
            <w:tcW w:w="2127" w:type="dxa"/>
            <w:tcBorders>
              <w:left w:val="single" w:sz="4" w:space="0" w:color="auto"/>
              <w:bottom w:val="nil"/>
              <w:right w:val="single" w:sz="4" w:space="0" w:color="auto"/>
            </w:tcBorders>
            <w:shd w:val="clear" w:color="auto" w:fill="auto"/>
            <w:vAlign w:val="center"/>
            <w:hideMark/>
          </w:tcPr>
          <w:p w14:paraId="54EF393B" w14:textId="3358A8FE" w:rsidR="007912D4" w:rsidRPr="00E16D0C" w:rsidRDefault="00E16D0C" w:rsidP="00E16D0C">
            <w:pPr>
              <w:pStyle w:val="BodyText"/>
              <w:spacing w:before="0" w:after="0"/>
              <w:jc w:val="center"/>
              <w:rPr>
                <w:color w:val="FFFFFF" w:themeColor="background1"/>
                <w:lang w:val="en-US"/>
              </w:rPr>
            </w:pPr>
            <w:r w:rsidRPr="00E16D0C">
              <w:rPr>
                <w:color w:val="FFFFFF" w:themeColor="background1"/>
                <w:lang w:val="en-US"/>
              </w:rPr>
              <w:t>Major City</w:t>
            </w:r>
          </w:p>
        </w:tc>
        <w:tc>
          <w:tcPr>
            <w:tcW w:w="1371" w:type="dxa"/>
            <w:tcBorders>
              <w:left w:val="single" w:sz="4" w:space="0" w:color="auto"/>
              <w:bottom w:val="nil"/>
              <w:right w:val="single" w:sz="4" w:space="0" w:color="auto"/>
            </w:tcBorders>
            <w:shd w:val="clear" w:color="auto" w:fill="auto"/>
            <w:vAlign w:val="center"/>
            <w:hideMark/>
          </w:tcPr>
          <w:p w14:paraId="78737D7F" w14:textId="138A4922" w:rsidR="007912D4" w:rsidRPr="00E16D0C" w:rsidRDefault="00E16D0C" w:rsidP="00E16D0C">
            <w:pPr>
              <w:pStyle w:val="BodyText"/>
              <w:spacing w:before="0" w:after="0"/>
              <w:jc w:val="center"/>
              <w:rPr>
                <w:color w:val="FFFFFF" w:themeColor="background1"/>
                <w:lang w:val="en-US"/>
              </w:rPr>
            </w:pPr>
            <w:r w:rsidRPr="00E16D0C">
              <w:rPr>
                <w:color w:val="FFFFFF" w:themeColor="background1"/>
                <w:lang w:val="en-US"/>
              </w:rPr>
              <w:t>Major City</w:t>
            </w:r>
          </w:p>
        </w:tc>
      </w:tr>
      <w:tr w:rsidR="007912D4" w:rsidRPr="0077587B" w14:paraId="0FC4DE3D" w14:textId="77777777" w:rsidTr="00135C5A">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506FC1F1" w14:textId="77777777" w:rsidR="007912D4" w:rsidRPr="005C45AA" w:rsidRDefault="007912D4" w:rsidP="007912D4">
            <w:pPr>
              <w:pStyle w:val="BodyText"/>
              <w:spacing w:before="0" w:after="0"/>
              <w:rPr>
                <w:lang w:val="en-US"/>
              </w:rPr>
            </w:pPr>
          </w:p>
        </w:tc>
        <w:tc>
          <w:tcPr>
            <w:tcW w:w="4744" w:type="dxa"/>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6A7009D3" w14:textId="77777777" w:rsidR="007912D4" w:rsidRPr="005C45AA" w:rsidRDefault="007912D4" w:rsidP="007912D4">
            <w:pPr>
              <w:pStyle w:val="BodyText"/>
              <w:spacing w:before="0" w:after="0"/>
              <w:rPr>
                <w:lang w:val="en-US"/>
              </w:rPr>
            </w:pPr>
            <w:r w:rsidRPr="005C45AA">
              <w:rPr>
                <w:lang w:val="en-US"/>
              </w:rPr>
              <w:t>Ipswich</w:t>
            </w:r>
          </w:p>
        </w:tc>
        <w:tc>
          <w:tcPr>
            <w:tcW w:w="2127" w:type="dxa"/>
            <w:tcBorders>
              <w:left w:val="single" w:sz="4" w:space="0" w:color="auto"/>
              <w:bottom w:val="single" w:sz="4" w:space="0" w:color="auto"/>
              <w:right w:val="single" w:sz="4" w:space="0" w:color="auto"/>
            </w:tcBorders>
            <w:shd w:val="clear" w:color="auto" w:fill="auto"/>
            <w:vAlign w:val="center"/>
            <w:hideMark/>
          </w:tcPr>
          <w:p w14:paraId="6735CFB2" w14:textId="6B57E5BF" w:rsidR="007912D4" w:rsidRPr="00E16D0C" w:rsidRDefault="00E16D0C" w:rsidP="00E16D0C">
            <w:pPr>
              <w:pStyle w:val="BodyText"/>
              <w:spacing w:before="0" w:after="0"/>
              <w:jc w:val="center"/>
              <w:rPr>
                <w:color w:val="FFFFFF" w:themeColor="background1"/>
                <w:lang w:val="en-US"/>
              </w:rPr>
            </w:pPr>
            <w:r w:rsidRPr="00E16D0C">
              <w:rPr>
                <w:color w:val="FFFFFF" w:themeColor="background1"/>
                <w:lang w:val="en-US"/>
              </w:rPr>
              <w:t>Major City</w:t>
            </w:r>
          </w:p>
        </w:tc>
        <w:tc>
          <w:tcPr>
            <w:tcW w:w="1371" w:type="dxa"/>
            <w:tcBorders>
              <w:left w:val="single" w:sz="4" w:space="0" w:color="auto"/>
              <w:bottom w:val="single" w:sz="4" w:space="0" w:color="auto"/>
              <w:right w:val="single" w:sz="4" w:space="0" w:color="auto"/>
            </w:tcBorders>
            <w:shd w:val="clear" w:color="auto" w:fill="auto"/>
            <w:vAlign w:val="center"/>
            <w:hideMark/>
          </w:tcPr>
          <w:p w14:paraId="166DDD06" w14:textId="3B244823" w:rsidR="007912D4" w:rsidRPr="00E16D0C" w:rsidRDefault="00E16D0C" w:rsidP="00E16D0C">
            <w:pPr>
              <w:pStyle w:val="BodyText"/>
              <w:spacing w:before="0" w:after="0"/>
              <w:jc w:val="center"/>
              <w:rPr>
                <w:color w:val="FFFFFF" w:themeColor="background1"/>
                <w:lang w:val="en-US"/>
              </w:rPr>
            </w:pPr>
            <w:r w:rsidRPr="00E16D0C">
              <w:rPr>
                <w:color w:val="FFFFFF" w:themeColor="background1"/>
                <w:lang w:val="en-US"/>
              </w:rPr>
              <w:t>Major City</w:t>
            </w:r>
          </w:p>
        </w:tc>
      </w:tr>
      <w:tr w:rsidR="007912D4" w:rsidRPr="0077587B" w14:paraId="13B3BF0F" w14:textId="77777777" w:rsidTr="00135C5A">
        <w:trPr>
          <w:trHeight w:val="20"/>
        </w:trPr>
        <w:tc>
          <w:tcPr>
            <w:tcW w:w="78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8E8056" w14:textId="77777777" w:rsidR="007912D4" w:rsidRPr="005C45AA" w:rsidRDefault="007912D4" w:rsidP="007912D4">
            <w:pPr>
              <w:pStyle w:val="BodyText"/>
              <w:spacing w:before="0" w:after="0"/>
              <w:rPr>
                <w:lang w:val="en-US"/>
              </w:rPr>
            </w:pPr>
            <w:r w:rsidRPr="005C45AA">
              <w:rPr>
                <w:lang w:val="en-US"/>
              </w:rPr>
              <w:t>SA</w:t>
            </w:r>
          </w:p>
        </w:tc>
        <w:tc>
          <w:tcPr>
            <w:tcW w:w="4744" w:type="dxa"/>
            <w:tcBorders>
              <w:top w:val="single" w:sz="4" w:space="0" w:color="auto"/>
              <w:left w:val="single" w:sz="4" w:space="0" w:color="auto"/>
              <w:right w:val="single" w:sz="4" w:space="0" w:color="auto"/>
            </w:tcBorders>
            <w:noWrap/>
            <w:vAlign w:val="center"/>
            <w:hideMark/>
          </w:tcPr>
          <w:p w14:paraId="0BDE233C" w14:textId="77777777" w:rsidR="007912D4" w:rsidRPr="005C45AA" w:rsidRDefault="007912D4" w:rsidP="007912D4">
            <w:pPr>
              <w:pStyle w:val="BodyText"/>
              <w:spacing w:before="0" w:after="0"/>
              <w:rPr>
                <w:lang w:val="en-US"/>
              </w:rPr>
            </w:pPr>
            <w:r w:rsidRPr="005C45AA">
              <w:rPr>
                <w:lang w:val="en-US"/>
              </w:rPr>
              <w:t>Barossa - Yorke - Mid North</w:t>
            </w:r>
          </w:p>
        </w:tc>
        <w:tc>
          <w:tcPr>
            <w:tcW w:w="2127" w:type="dxa"/>
            <w:tcBorders>
              <w:top w:val="single" w:sz="4" w:space="0" w:color="auto"/>
              <w:left w:val="single" w:sz="4" w:space="0" w:color="auto"/>
              <w:bottom w:val="nil"/>
              <w:right w:val="single" w:sz="4" w:space="0" w:color="auto"/>
            </w:tcBorders>
            <w:shd w:val="clear" w:color="auto" w:fill="auto"/>
            <w:noWrap/>
            <w:vAlign w:val="center"/>
            <w:hideMark/>
          </w:tcPr>
          <w:p w14:paraId="63FA6CEB" w14:textId="77777777" w:rsidR="007912D4" w:rsidRPr="005C45AA" w:rsidRDefault="007912D4" w:rsidP="00E16D0C">
            <w:pPr>
              <w:pStyle w:val="BodyText"/>
              <w:spacing w:before="0" w:after="0"/>
              <w:jc w:val="center"/>
              <w:rPr>
                <w:lang w:val="en-US"/>
              </w:rPr>
            </w:pPr>
            <w:r w:rsidRPr="00E16D0C">
              <w:rPr>
                <w:color w:val="FFFFFF" w:themeColor="background1"/>
                <w:lang w:val="en-US"/>
              </w:rPr>
              <w:t>Outer Regional</w:t>
            </w:r>
          </w:p>
        </w:tc>
        <w:tc>
          <w:tcPr>
            <w:tcW w:w="1371" w:type="dxa"/>
            <w:tcBorders>
              <w:top w:val="single" w:sz="4" w:space="0" w:color="auto"/>
              <w:left w:val="single" w:sz="4" w:space="0" w:color="auto"/>
              <w:bottom w:val="nil"/>
              <w:right w:val="single" w:sz="4" w:space="0" w:color="auto"/>
            </w:tcBorders>
            <w:shd w:val="clear" w:color="auto" w:fill="auto"/>
            <w:noWrap/>
            <w:vAlign w:val="center"/>
            <w:hideMark/>
          </w:tcPr>
          <w:p w14:paraId="19314F16" w14:textId="77777777" w:rsidR="007912D4" w:rsidRPr="005C45AA" w:rsidRDefault="007912D4" w:rsidP="00E16D0C">
            <w:pPr>
              <w:pStyle w:val="BodyText"/>
              <w:spacing w:before="0" w:after="0"/>
              <w:jc w:val="center"/>
              <w:rPr>
                <w:lang w:val="en-US"/>
              </w:rPr>
            </w:pPr>
            <w:r w:rsidRPr="00135C5A">
              <w:rPr>
                <w:color w:val="FFFFFF" w:themeColor="background1"/>
                <w:lang w:val="en-US"/>
              </w:rPr>
              <w:t>Regional</w:t>
            </w:r>
          </w:p>
        </w:tc>
      </w:tr>
      <w:tr w:rsidR="00E16D0C" w:rsidRPr="0077587B" w14:paraId="48BAA045" w14:textId="77777777" w:rsidTr="00135C5A">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71B56189"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566BC2B9" w14:textId="77777777" w:rsidR="007912D4" w:rsidRPr="005C45AA" w:rsidRDefault="007912D4" w:rsidP="007912D4">
            <w:pPr>
              <w:pStyle w:val="BodyText"/>
              <w:spacing w:before="0" w:after="0"/>
              <w:rPr>
                <w:lang w:val="en-US"/>
              </w:rPr>
            </w:pPr>
            <w:r w:rsidRPr="005C45AA">
              <w:rPr>
                <w:lang w:val="en-US"/>
              </w:rPr>
              <w:t>South Australia - Outback</w:t>
            </w:r>
          </w:p>
        </w:tc>
        <w:tc>
          <w:tcPr>
            <w:tcW w:w="2127" w:type="dxa"/>
            <w:tcBorders>
              <w:left w:val="single" w:sz="4" w:space="0" w:color="auto"/>
              <w:bottom w:val="nil"/>
              <w:right w:val="single" w:sz="4" w:space="0" w:color="auto"/>
            </w:tcBorders>
            <w:shd w:val="clear" w:color="auto" w:fill="auto"/>
            <w:vAlign w:val="center"/>
            <w:hideMark/>
          </w:tcPr>
          <w:p w14:paraId="7F1A1A14" w14:textId="2B1DBDBC" w:rsidR="007912D4" w:rsidRPr="005C45AA" w:rsidRDefault="00E16D0C" w:rsidP="00E16D0C">
            <w:pPr>
              <w:pStyle w:val="BodyText"/>
              <w:spacing w:before="0" w:after="0"/>
              <w:jc w:val="center"/>
              <w:rPr>
                <w:lang w:val="en-US"/>
              </w:rPr>
            </w:pPr>
            <w:r w:rsidRPr="005C45AA">
              <w:rPr>
                <w:lang w:val="en-US"/>
              </w:rPr>
              <w:t>Outer Regional</w:t>
            </w:r>
          </w:p>
        </w:tc>
        <w:tc>
          <w:tcPr>
            <w:tcW w:w="1371" w:type="dxa"/>
            <w:tcBorders>
              <w:left w:val="single" w:sz="4" w:space="0" w:color="auto"/>
              <w:bottom w:val="nil"/>
              <w:right w:val="single" w:sz="4" w:space="0" w:color="auto"/>
            </w:tcBorders>
            <w:shd w:val="clear" w:color="auto" w:fill="auto"/>
            <w:vAlign w:val="center"/>
            <w:hideMark/>
          </w:tcPr>
          <w:p w14:paraId="27678088" w14:textId="01ECDEDD" w:rsidR="007912D4" w:rsidRPr="005C45AA" w:rsidRDefault="00135C5A" w:rsidP="00E16D0C">
            <w:pPr>
              <w:pStyle w:val="BodyText"/>
              <w:spacing w:before="0" w:after="0"/>
              <w:jc w:val="center"/>
              <w:rPr>
                <w:lang w:val="en-US"/>
              </w:rPr>
            </w:pPr>
            <w:r>
              <w:rPr>
                <w:lang w:val="en-US"/>
              </w:rPr>
              <w:t>Regional</w:t>
            </w:r>
          </w:p>
        </w:tc>
      </w:tr>
      <w:tr w:rsidR="007912D4" w:rsidRPr="0077587B" w14:paraId="47C17C03" w14:textId="77777777" w:rsidTr="003A1B9B">
        <w:trPr>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3AA3601E"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noWrap/>
            <w:vAlign w:val="center"/>
            <w:hideMark/>
          </w:tcPr>
          <w:p w14:paraId="28AB2BB4" w14:textId="77777777" w:rsidR="007912D4" w:rsidRPr="005C45AA" w:rsidRDefault="007912D4" w:rsidP="007912D4">
            <w:pPr>
              <w:pStyle w:val="BodyText"/>
              <w:spacing w:before="0" w:after="0"/>
              <w:rPr>
                <w:lang w:val="en-US"/>
              </w:rPr>
            </w:pPr>
            <w:r w:rsidRPr="005C45AA">
              <w:rPr>
                <w:lang w:val="en-US"/>
              </w:rPr>
              <w:t>South Australia - South East</w:t>
            </w:r>
          </w:p>
        </w:tc>
        <w:tc>
          <w:tcPr>
            <w:tcW w:w="2127" w:type="dxa"/>
            <w:tcBorders>
              <w:left w:val="single" w:sz="4" w:space="0" w:color="auto"/>
              <w:bottom w:val="single" w:sz="4" w:space="0" w:color="auto"/>
              <w:right w:val="single" w:sz="4" w:space="0" w:color="auto"/>
            </w:tcBorders>
            <w:shd w:val="clear" w:color="auto" w:fill="auto"/>
            <w:vAlign w:val="center"/>
            <w:hideMark/>
          </w:tcPr>
          <w:p w14:paraId="49B852D6" w14:textId="2F049510" w:rsidR="007912D4" w:rsidRPr="005C45AA" w:rsidRDefault="00E16D0C" w:rsidP="00E16D0C">
            <w:pPr>
              <w:pStyle w:val="BodyText"/>
              <w:spacing w:before="0" w:after="0"/>
              <w:jc w:val="center"/>
              <w:rPr>
                <w:lang w:val="en-US"/>
              </w:rPr>
            </w:pPr>
            <w:r w:rsidRPr="00E16D0C">
              <w:rPr>
                <w:color w:val="FFFFFF" w:themeColor="background1"/>
                <w:lang w:val="en-US"/>
              </w:rPr>
              <w:t>Outer Regional</w:t>
            </w:r>
          </w:p>
        </w:tc>
        <w:tc>
          <w:tcPr>
            <w:tcW w:w="1371" w:type="dxa"/>
            <w:tcBorders>
              <w:left w:val="single" w:sz="4" w:space="0" w:color="auto"/>
              <w:bottom w:val="single" w:sz="4" w:space="0" w:color="auto"/>
              <w:right w:val="single" w:sz="4" w:space="0" w:color="auto"/>
            </w:tcBorders>
            <w:shd w:val="clear" w:color="auto" w:fill="auto"/>
            <w:vAlign w:val="center"/>
            <w:hideMark/>
          </w:tcPr>
          <w:p w14:paraId="3F4EA94B" w14:textId="5CF4FB5C" w:rsidR="007912D4" w:rsidRPr="005C45AA" w:rsidRDefault="00135C5A" w:rsidP="00E16D0C">
            <w:pPr>
              <w:pStyle w:val="BodyText"/>
              <w:spacing w:before="0" w:after="0"/>
              <w:jc w:val="center"/>
              <w:rPr>
                <w:lang w:val="en-US"/>
              </w:rPr>
            </w:pPr>
            <w:r w:rsidRPr="00135C5A">
              <w:rPr>
                <w:color w:val="FFFFFF" w:themeColor="background1"/>
                <w:lang w:val="en-US"/>
              </w:rPr>
              <w:t>Regional</w:t>
            </w:r>
          </w:p>
        </w:tc>
      </w:tr>
      <w:tr w:rsidR="00135C5A" w:rsidRPr="0077587B" w14:paraId="0729BA78" w14:textId="77777777" w:rsidTr="003A1B9B">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64BF49CB"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197ECE42" w14:textId="77777777" w:rsidR="007912D4" w:rsidRPr="005C45AA" w:rsidRDefault="007912D4" w:rsidP="007912D4">
            <w:pPr>
              <w:pStyle w:val="BodyText"/>
              <w:spacing w:before="0" w:after="0"/>
              <w:rPr>
                <w:lang w:val="en-US"/>
              </w:rPr>
            </w:pPr>
            <w:r w:rsidRPr="005C45AA">
              <w:rPr>
                <w:lang w:val="en-US"/>
              </w:rPr>
              <w:t>Adelaide - Central &amp; Hills</w:t>
            </w:r>
          </w:p>
        </w:tc>
        <w:tc>
          <w:tcPr>
            <w:tcW w:w="2127" w:type="dxa"/>
            <w:tcBorders>
              <w:top w:val="single" w:sz="4" w:space="0" w:color="auto"/>
              <w:left w:val="single" w:sz="4" w:space="0" w:color="auto"/>
              <w:bottom w:val="nil"/>
              <w:right w:val="single" w:sz="4" w:space="0" w:color="auto"/>
            </w:tcBorders>
            <w:shd w:val="clear" w:color="auto" w:fill="auto"/>
            <w:noWrap/>
            <w:vAlign w:val="center"/>
            <w:hideMark/>
          </w:tcPr>
          <w:p w14:paraId="30BB87D4" w14:textId="77777777" w:rsidR="007912D4" w:rsidRPr="005C45AA" w:rsidRDefault="007912D4" w:rsidP="00E16D0C">
            <w:pPr>
              <w:pStyle w:val="BodyText"/>
              <w:spacing w:before="0" w:after="0"/>
              <w:jc w:val="center"/>
              <w:rPr>
                <w:lang w:val="en-US"/>
              </w:rPr>
            </w:pPr>
            <w:r w:rsidRPr="003A1B9B">
              <w:rPr>
                <w:color w:val="FFFFFF" w:themeColor="background1"/>
                <w:lang w:val="en-US"/>
              </w:rPr>
              <w:t>Major City</w:t>
            </w:r>
          </w:p>
        </w:tc>
        <w:tc>
          <w:tcPr>
            <w:tcW w:w="1371" w:type="dxa"/>
            <w:tcBorders>
              <w:top w:val="single" w:sz="4" w:space="0" w:color="auto"/>
              <w:left w:val="single" w:sz="4" w:space="0" w:color="auto"/>
              <w:bottom w:val="nil"/>
              <w:right w:val="single" w:sz="4" w:space="0" w:color="auto"/>
            </w:tcBorders>
            <w:shd w:val="clear" w:color="auto" w:fill="auto"/>
            <w:noWrap/>
            <w:vAlign w:val="center"/>
            <w:hideMark/>
          </w:tcPr>
          <w:p w14:paraId="25569F4B" w14:textId="77777777" w:rsidR="007912D4" w:rsidRPr="005C45AA" w:rsidRDefault="007912D4" w:rsidP="00E16D0C">
            <w:pPr>
              <w:pStyle w:val="BodyText"/>
              <w:spacing w:before="0" w:after="0"/>
              <w:jc w:val="center"/>
              <w:rPr>
                <w:lang w:val="en-US"/>
              </w:rPr>
            </w:pPr>
            <w:r w:rsidRPr="003A1B9B">
              <w:rPr>
                <w:color w:val="FFFFFF" w:themeColor="background1"/>
                <w:lang w:val="en-US"/>
              </w:rPr>
              <w:t>Major City</w:t>
            </w:r>
          </w:p>
        </w:tc>
      </w:tr>
      <w:tr w:rsidR="007912D4" w:rsidRPr="0077587B" w14:paraId="33A4B8DB" w14:textId="77777777" w:rsidTr="003A1B9B">
        <w:trPr>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66E3463D"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noWrap/>
            <w:vAlign w:val="center"/>
            <w:hideMark/>
          </w:tcPr>
          <w:p w14:paraId="380A784A" w14:textId="77777777" w:rsidR="007912D4" w:rsidRPr="005C45AA" w:rsidRDefault="007912D4" w:rsidP="007912D4">
            <w:pPr>
              <w:pStyle w:val="BodyText"/>
              <w:spacing w:before="0" w:after="0"/>
              <w:rPr>
                <w:lang w:val="en-US"/>
              </w:rPr>
            </w:pPr>
            <w:r w:rsidRPr="005C45AA">
              <w:rPr>
                <w:lang w:val="en-US"/>
              </w:rPr>
              <w:t>Adelaide - South</w:t>
            </w:r>
          </w:p>
        </w:tc>
        <w:tc>
          <w:tcPr>
            <w:tcW w:w="2127" w:type="dxa"/>
            <w:tcBorders>
              <w:left w:val="single" w:sz="4" w:space="0" w:color="auto"/>
              <w:bottom w:val="nil"/>
              <w:right w:val="single" w:sz="4" w:space="0" w:color="auto"/>
            </w:tcBorders>
            <w:shd w:val="clear" w:color="auto" w:fill="auto"/>
            <w:vAlign w:val="center"/>
            <w:hideMark/>
          </w:tcPr>
          <w:p w14:paraId="04B57877" w14:textId="21442A62" w:rsidR="007912D4" w:rsidRPr="005C45AA" w:rsidRDefault="003A1B9B" w:rsidP="00E16D0C">
            <w:pPr>
              <w:pStyle w:val="BodyText"/>
              <w:spacing w:before="0" w:after="0"/>
              <w:jc w:val="center"/>
              <w:rPr>
                <w:lang w:val="en-US"/>
              </w:rPr>
            </w:pPr>
            <w:r w:rsidRPr="005C45AA">
              <w:rPr>
                <w:lang w:val="en-US"/>
              </w:rPr>
              <w:t>Major City</w:t>
            </w:r>
          </w:p>
        </w:tc>
        <w:tc>
          <w:tcPr>
            <w:tcW w:w="1371" w:type="dxa"/>
            <w:tcBorders>
              <w:left w:val="single" w:sz="4" w:space="0" w:color="auto"/>
              <w:bottom w:val="nil"/>
              <w:right w:val="single" w:sz="4" w:space="0" w:color="auto"/>
            </w:tcBorders>
            <w:shd w:val="clear" w:color="auto" w:fill="auto"/>
            <w:vAlign w:val="center"/>
            <w:hideMark/>
          </w:tcPr>
          <w:p w14:paraId="40DB2EF1" w14:textId="174C45E7" w:rsidR="007912D4" w:rsidRPr="005C45AA" w:rsidRDefault="003A1B9B" w:rsidP="00E16D0C">
            <w:pPr>
              <w:pStyle w:val="BodyText"/>
              <w:spacing w:before="0" w:after="0"/>
              <w:jc w:val="center"/>
              <w:rPr>
                <w:lang w:val="en-US"/>
              </w:rPr>
            </w:pPr>
            <w:r w:rsidRPr="005C45AA">
              <w:rPr>
                <w:lang w:val="en-US"/>
              </w:rPr>
              <w:t>Major City</w:t>
            </w:r>
          </w:p>
        </w:tc>
      </w:tr>
      <w:tr w:rsidR="003A1B9B" w:rsidRPr="0077587B" w14:paraId="1F3BE745" w14:textId="77777777" w:rsidTr="003A1B9B">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51547336" w14:textId="77777777" w:rsidR="007912D4" w:rsidRPr="005C45AA" w:rsidRDefault="007912D4" w:rsidP="007912D4">
            <w:pPr>
              <w:pStyle w:val="BodyText"/>
              <w:spacing w:before="0" w:after="0"/>
              <w:rPr>
                <w:lang w:val="en-US"/>
              </w:rPr>
            </w:pPr>
          </w:p>
        </w:tc>
        <w:tc>
          <w:tcPr>
            <w:tcW w:w="4744" w:type="dxa"/>
            <w:tcBorders>
              <w:left w:val="single" w:sz="4" w:space="0" w:color="auto"/>
              <w:bottom w:val="nil"/>
              <w:right w:val="single" w:sz="4" w:space="0" w:color="auto"/>
            </w:tcBorders>
            <w:shd w:val="clear" w:color="auto" w:fill="F2F2F2" w:themeFill="background1" w:themeFillShade="F2"/>
            <w:noWrap/>
            <w:vAlign w:val="center"/>
            <w:hideMark/>
          </w:tcPr>
          <w:p w14:paraId="2FD4CDAA" w14:textId="77777777" w:rsidR="007912D4" w:rsidRPr="005C45AA" w:rsidRDefault="007912D4" w:rsidP="007912D4">
            <w:pPr>
              <w:pStyle w:val="BodyText"/>
              <w:spacing w:before="0" w:after="0"/>
              <w:rPr>
                <w:lang w:val="en-US"/>
              </w:rPr>
            </w:pPr>
            <w:r w:rsidRPr="005C45AA">
              <w:rPr>
                <w:lang w:val="en-US"/>
              </w:rPr>
              <w:t>Adelaide - North</w:t>
            </w:r>
          </w:p>
        </w:tc>
        <w:tc>
          <w:tcPr>
            <w:tcW w:w="2127" w:type="dxa"/>
            <w:tcBorders>
              <w:left w:val="single" w:sz="4" w:space="0" w:color="auto"/>
              <w:bottom w:val="nil"/>
              <w:right w:val="single" w:sz="4" w:space="0" w:color="auto"/>
            </w:tcBorders>
            <w:shd w:val="clear" w:color="auto" w:fill="auto"/>
            <w:vAlign w:val="center"/>
            <w:hideMark/>
          </w:tcPr>
          <w:p w14:paraId="11E2AD94" w14:textId="4F1AC765" w:rsidR="007912D4" w:rsidRPr="003A1B9B" w:rsidRDefault="003A1B9B" w:rsidP="00E16D0C">
            <w:pPr>
              <w:pStyle w:val="BodyText"/>
              <w:spacing w:before="0" w:after="0"/>
              <w:jc w:val="center"/>
              <w:rPr>
                <w:color w:val="FFFFFF" w:themeColor="background1"/>
                <w:lang w:val="en-US"/>
              </w:rPr>
            </w:pPr>
            <w:r w:rsidRPr="003A1B9B">
              <w:rPr>
                <w:color w:val="FFFFFF" w:themeColor="background1"/>
                <w:lang w:val="en-US"/>
              </w:rPr>
              <w:t>Major City</w:t>
            </w:r>
          </w:p>
        </w:tc>
        <w:tc>
          <w:tcPr>
            <w:tcW w:w="1371" w:type="dxa"/>
            <w:tcBorders>
              <w:left w:val="single" w:sz="4" w:space="0" w:color="auto"/>
              <w:bottom w:val="nil"/>
              <w:right w:val="single" w:sz="4" w:space="0" w:color="auto"/>
            </w:tcBorders>
            <w:shd w:val="clear" w:color="auto" w:fill="auto"/>
            <w:vAlign w:val="center"/>
            <w:hideMark/>
          </w:tcPr>
          <w:p w14:paraId="4029D0CC" w14:textId="64225A00" w:rsidR="007912D4" w:rsidRPr="003A1B9B" w:rsidRDefault="003A1B9B" w:rsidP="00E16D0C">
            <w:pPr>
              <w:pStyle w:val="BodyText"/>
              <w:spacing w:before="0" w:after="0"/>
              <w:jc w:val="center"/>
              <w:rPr>
                <w:color w:val="FFFFFF" w:themeColor="background1"/>
                <w:lang w:val="en-US"/>
              </w:rPr>
            </w:pPr>
            <w:r w:rsidRPr="003A1B9B">
              <w:rPr>
                <w:color w:val="FFFFFF" w:themeColor="background1"/>
                <w:lang w:val="en-US"/>
              </w:rPr>
              <w:t>Major City</w:t>
            </w:r>
          </w:p>
        </w:tc>
      </w:tr>
      <w:tr w:rsidR="007912D4" w:rsidRPr="0077587B" w14:paraId="38D486CB" w14:textId="77777777" w:rsidTr="00BE60C7">
        <w:trPr>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58240EA4" w14:textId="77777777" w:rsidR="007912D4" w:rsidRPr="005C45AA" w:rsidRDefault="007912D4" w:rsidP="007912D4">
            <w:pPr>
              <w:pStyle w:val="BodyText"/>
              <w:spacing w:before="0" w:after="0"/>
              <w:rPr>
                <w:lang w:val="en-US"/>
              </w:rPr>
            </w:pPr>
          </w:p>
        </w:tc>
        <w:tc>
          <w:tcPr>
            <w:tcW w:w="4744" w:type="dxa"/>
            <w:tcBorders>
              <w:left w:val="single" w:sz="4" w:space="0" w:color="auto"/>
              <w:bottom w:val="single" w:sz="4" w:space="0" w:color="auto"/>
              <w:right w:val="single" w:sz="4" w:space="0" w:color="auto"/>
            </w:tcBorders>
            <w:noWrap/>
            <w:vAlign w:val="center"/>
            <w:hideMark/>
          </w:tcPr>
          <w:p w14:paraId="7A529BD7" w14:textId="77777777" w:rsidR="007912D4" w:rsidRPr="005C45AA" w:rsidRDefault="007912D4" w:rsidP="007912D4">
            <w:pPr>
              <w:pStyle w:val="BodyText"/>
              <w:spacing w:before="0" w:after="0"/>
              <w:rPr>
                <w:lang w:val="en-US"/>
              </w:rPr>
            </w:pPr>
            <w:r w:rsidRPr="005C45AA">
              <w:rPr>
                <w:lang w:val="en-US"/>
              </w:rPr>
              <w:t>Adelaide - West</w:t>
            </w:r>
          </w:p>
        </w:tc>
        <w:tc>
          <w:tcPr>
            <w:tcW w:w="2127" w:type="dxa"/>
            <w:tcBorders>
              <w:left w:val="single" w:sz="4" w:space="0" w:color="auto"/>
              <w:bottom w:val="single" w:sz="4" w:space="0" w:color="auto"/>
              <w:right w:val="single" w:sz="4" w:space="0" w:color="auto"/>
            </w:tcBorders>
            <w:shd w:val="clear" w:color="auto" w:fill="auto"/>
            <w:vAlign w:val="center"/>
            <w:hideMark/>
          </w:tcPr>
          <w:p w14:paraId="4E318762" w14:textId="516046B5" w:rsidR="007912D4" w:rsidRPr="003A1B9B" w:rsidRDefault="003A1B9B" w:rsidP="00E16D0C">
            <w:pPr>
              <w:pStyle w:val="BodyText"/>
              <w:spacing w:before="0" w:after="0"/>
              <w:jc w:val="center"/>
              <w:rPr>
                <w:color w:val="FFFFFF" w:themeColor="background1"/>
                <w:lang w:val="en-US"/>
              </w:rPr>
            </w:pPr>
            <w:r w:rsidRPr="003A1B9B">
              <w:rPr>
                <w:color w:val="FFFFFF" w:themeColor="background1"/>
                <w:lang w:val="en-US"/>
              </w:rPr>
              <w:t>Major City</w:t>
            </w:r>
          </w:p>
        </w:tc>
        <w:tc>
          <w:tcPr>
            <w:tcW w:w="1371" w:type="dxa"/>
            <w:tcBorders>
              <w:left w:val="single" w:sz="4" w:space="0" w:color="auto"/>
              <w:bottom w:val="single" w:sz="4" w:space="0" w:color="auto"/>
              <w:right w:val="single" w:sz="4" w:space="0" w:color="auto"/>
            </w:tcBorders>
            <w:shd w:val="clear" w:color="auto" w:fill="auto"/>
            <w:vAlign w:val="center"/>
            <w:hideMark/>
          </w:tcPr>
          <w:p w14:paraId="5D23933E" w14:textId="14E39CDA" w:rsidR="007912D4" w:rsidRPr="003A1B9B" w:rsidRDefault="003A1B9B" w:rsidP="00E16D0C">
            <w:pPr>
              <w:pStyle w:val="BodyText"/>
              <w:spacing w:before="0" w:after="0"/>
              <w:jc w:val="center"/>
              <w:rPr>
                <w:color w:val="FFFFFF" w:themeColor="background1"/>
                <w:lang w:val="en-US"/>
              </w:rPr>
            </w:pPr>
            <w:r w:rsidRPr="003A1B9B">
              <w:rPr>
                <w:color w:val="FFFFFF" w:themeColor="background1"/>
                <w:lang w:val="en-US"/>
              </w:rPr>
              <w:t>Major City</w:t>
            </w:r>
          </w:p>
        </w:tc>
      </w:tr>
      <w:tr w:rsidR="007912D4" w:rsidRPr="0077587B" w14:paraId="265154F6" w14:textId="77777777" w:rsidTr="00BE60C7">
        <w:trPr>
          <w:cnfStyle w:val="000000010000" w:firstRow="0" w:lastRow="0" w:firstColumn="0" w:lastColumn="0" w:oddVBand="0" w:evenVBand="0" w:oddHBand="0" w:evenHBand="1" w:firstRowFirstColumn="0" w:firstRowLastColumn="0" w:lastRowFirstColumn="0" w:lastRowLastColumn="0"/>
          <w:trHeight w:val="20"/>
        </w:trPr>
        <w:tc>
          <w:tcPr>
            <w:tcW w:w="78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43E858" w14:textId="77777777" w:rsidR="007912D4" w:rsidRPr="005C45AA" w:rsidRDefault="007912D4" w:rsidP="007912D4">
            <w:pPr>
              <w:pStyle w:val="BodyText"/>
              <w:spacing w:before="0" w:after="0"/>
              <w:rPr>
                <w:lang w:val="en-US"/>
              </w:rPr>
            </w:pPr>
            <w:r w:rsidRPr="005C45AA">
              <w:rPr>
                <w:lang w:val="en-US"/>
              </w:rPr>
              <w:t>WA</w:t>
            </w:r>
          </w:p>
        </w:tc>
        <w:tc>
          <w:tcPr>
            <w:tcW w:w="4744"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64356690" w14:textId="77777777" w:rsidR="007912D4" w:rsidRPr="005C45AA" w:rsidRDefault="007912D4" w:rsidP="007912D4">
            <w:pPr>
              <w:pStyle w:val="BodyText"/>
              <w:spacing w:before="0" w:after="0"/>
              <w:rPr>
                <w:lang w:val="en-US"/>
              </w:rPr>
            </w:pPr>
            <w:r w:rsidRPr="005C45AA">
              <w:rPr>
                <w:lang w:val="en-US"/>
              </w:rPr>
              <w:t>Bunbury</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C800C" w14:textId="77777777" w:rsidR="007912D4" w:rsidRPr="005C45AA" w:rsidRDefault="007912D4" w:rsidP="00E16D0C">
            <w:pPr>
              <w:pStyle w:val="BodyText"/>
              <w:spacing w:before="0" w:after="0"/>
              <w:jc w:val="center"/>
              <w:rPr>
                <w:lang w:val="en-US"/>
              </w:rPr>
            </w:pPr>
            <w:r w:rsidRPr="005C45AA">
              <w:rPr>
                <w:lang w:val="en-US"/>
              </w:rPr>
              <w:t>Inner Regional</w:t>
            </w:r>
          </w:p>
        </w:tc>
        <w:tc>
          <w:tcPr>
            <w:tcW w:w="1371" w:type="dxa"/>
            <w:tcBorders>
              <w:top w:val="single" w:sz="4" w:space="0" w:color="auto"/>
              <w:left w:val="single" w:sz="4" w:space="0" w:color="auto"/>
              <w:bottom w:val="nil"/>
              <w:right w:val="single" w:sz="4" w:space="0" w:color="auto"/>
            </w:tcBorders>
            <w:shd w:val="clear" w:color="auto" w:fill="auto"/>
            <w:noWrap/>
            <w:vAlign w:val="center"/>
            <w:hideMark/>
          </w:tcPr>
          <w:p w14:paraId="47B92F1D" w14:textId="77777777" w:rsidR="007912D4" w:rsidRPr="005C45AA" w:rsidRDefault="007912D4" w:rsidP="00E16D0C">
            <w:pPr>
              <w:pStyle w:val="BodyText"/>
              <w:spacing w:before="0" w:after="0"/>
              <w:jc w:val="center"/>
              <w:rPr>
                <w:lang w:val="en-US"/>
              </w:rPr>
            </w:pPr>
            <w:r w:rsidRPr="00BE60C7">
              <w:rPr>
                <w:color w:val="FFFFFF" w:themeColor="background1"/>
                <w:lang w:val="en-US"/>
              </w:rPr>
              <w:t>Regional</w:t>
            </w:r>
          </w:p>
        </w:tc>
      </w:tr>
      <w:tr w:rsidR="007912D4" w:rsidRPr="0077587B" w14:paraId="5FE20B7E" w14:textId="77777777" w:rsidTr="00BE60C7">
        <w:trPr>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19352AA6"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noWrap/>
            <w:vAlign w:val="center"/>
            <w:hideMark/>
          </w:tcPr>
          <w:p w14:paraId="27B1EE82" w14:textId="77777777" w:rsidR="007912D4" w:rsidRPr="005C45AA" w:rsidRDefault="007912D4" w:rsidP="007912D4">
            <w:pPr>
              <w:pStyle w:val="BodyText"/>
              <w:spacing w:before="0" w:after="0"/>
              <w:rPr>
                <w:lang w:val="en-US"/>
              </w:rPr>
            </w:pPr>
            <w:r w:rsidRPr="005C45AA">
              <w:rPr>
                <w:lang w:val="en-US"/>
              </w:rPr>
              <w:t>Western Australia - Wheat Belt</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7C0A6" w14:textId="77777777" w:rsidR="007912D4" w:rsidRPr="005C45AA" w:rsidRDefault="007912D4" w:rsidP="00E16D0C">
            <w:pPr>
              <w:pStyle w:val="BodyText"/>
              <w:spacing w:before="0" w:after="0"/>
              <w:jc w:val="center"/>
              <w:rPr>
                <w:lang w:val="en-US"/>
              </w:rPr>
            </w:pPr>
            <w:r w:rsidRPr="005C45AA">
              <w:rPr>
                <w:lang w:val="en-US"/>
              </w:rPr>
              <w:t>Outer Regional</w:t>
            </w:r>
          </w:p>
        </w:tc>
        <w:tc>
          <w:tcPr>
            <w:tcW w:w="1371" w:type="dxa"/>
            <w:tcBorders>
              <w:left w:val="single" w:sz="4" w:space="0" w:color="auto"/>
              <w:bottom w:val="nil"/>
              <w:right w:val="single" w:sz="4" w:space="0" w:color="auto"/>
            </w:tcBorders>
            <w:shd w:val="clear" w:color="auto" w:fill="auto"/>
            <w:vAlign w:val="center"/>
            <w:hideMark/>
          </w:tcPr>
          <w:p w14:paraId="5A468ED3" w14:textId="7646B38A" w:rsidR="007912D4" w:rsidRPr="005C45AA" w:rsidRDefault="00BE60C7" w:rsidP="00E16D0C">
            <w:pPr>
              <w:pStyle w:val="BodyText"/>
              <w:spacing w:before="0" w:after="0"/>
              <w:jc w:val="center"/>
              <w:rPr>
                <w:lang w:val="en-US"/>
              </w:rPr>
            </w:pPr>
            <w:r>
              <w:rPr>
                <w:lang w:val="en-US"/>
              </w:rPr>
              <w:t>Regional</w:t>
            </w:r>
          </w:p>
        </w:tc>
      </w:tr>
      <w:tr w:rsidR="007912D4" w:rsidRPr="0077587B" w14:paraId="1A37DD4A" w14:textId="77777777" w:rsidTr="00BE60C7">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7DDFCE9D"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0E06682E" w14:textId="77777777" w:rsidR="007912D4" w:rsidRPr="005C45AA" w:rsidRDefault="007912D4" w:rsidP="007912D4">
            <w:pPr>
              <w:pStyle w:val="BodyText"/>
              <w:spacing w:before="0" w:after="0"/>
              <w:rPr>
                <w:lang w:val="en-US"/>
              </w:rPr>
            </w:pPr>
            <w:r w:rsidRPr="005C45AA">
              <w:rPr>
                <w:lang w:val="en-US"/>
              </w:rPr>
              <w:t>Western Australia - Outback (North &amp; South)</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76C07" w14:textId="77777777" w:rsidR="007912D4" w:rsidRPr="005C45AA" w:rsidRDefault="007912D4" w:rsidP="00E16D0C">
            <w:pPr>
              <w:pStyle w:val="BodyText"/>
              <w:spacing w:before="0" w:after="0"/>
              <w:jc w:val="center"/>
              <w:rPr>
                <w:lang w:val="en-US"/>
              </w:rPr>
            </w:pPr>
            <w:r w:rsidRPr="005C45AA">
              <w:rPr>
                <w:lang w:val="en-US"/>
              </w:rPr>
              <w:t>Remote</w:t>
            </w:r>
          </w:p>
        </w:tc>
        <w:tc>
          <w:tcPr>
            <w:tcW w:w="1371" w:type="dxa"/>
            <w:tcBorders>
              <w:left w:val="single" w:sz="4" w:space="0" w:color="auto"/>
              <w:bottom w:val="single" w:sz="4" w:space="0" w:color="auto"/>
              <w:right w:val="single" w:sz="4" w:space="0" w:color="auto"/>
            </w:tcBorders>
            <w:shd w:val="clear" w:color="auto" w:fill="auto"/>
            <w:vAlign w:val="center"/>
            <w:hideMark/>
          </w:tcPr>
          <w:p w14:paraId="31580EAD" w14:textId="277CE042" w:rsidR="007912D4" w:rsidRPr="005C45AA" w:rsidRDefault="00BE60C7" w:rsidP="00E16D0C">
            <w:pPr>
              <w:pStyle w:val="BodyText"/>
              <w:spacing w:before="0" w:after="0"/>
              <w:jc w:val="center"/>
              <w:rPr>
                <w:lang w:val="en-US"/>
              </w:rPr>
            </w:pPr>
            <w:r w:rsidRPr="00BE60C7">
              <w:rPr>
                <w:color w:val="FFFFFF" w:themeColor="background1"/>
                <w:lang w:val="en-US"/>
              </w:rPr>
              <w:t>Regional</w:t>
            </w:r>
          </w:p>
        </w:tc>
      </w:tr>
      <w:tr w:rsidR="007912D4" w:rsidRPr="0077587B" w14:paraId="0A3D0517" w14:textId="77777777" w:rsidTr="00BE60C7">
        <w:trPr>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6C311C93"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noWrap/>
            <w:vAlign w:val="center"/>
            <w:hideMark/>
          </w:tcPr>
          <w:p w14:paraId="33221230" w14:textId="77777777" w:rsidR="007912D4" w:rsidRPr="005C45AA" w:rsidRDefault="007912D4" w:rsidP="007912D4">
            <w:pPr>
              <w:pStyle w:val="BodyText"/>
              <w:spacing w:before="0" w:after="0"/>
              <w:rPr>
                <w:lang w:val="en-US"/>
              </w:rPr>
            </w:pPr>
            <w:r w:rsidRPr="005C45AA">
              <w:rPr>
                <w:lang w:val="en-US"/>
              </w:rPr>
              <w:t>Mandurah</w:t>
            </w:r>
          </w:p>
        </w:tc>
        <w:tc>
          <w:tcPr>
            <w:tcW w:w="2127" w:type="dxa"/>
            <w:tcBorders>
              <w:top w:val="single" w:sz="4" w:space="0" w:color="auto"/>
              <w:left w:val="single" w:sz="4" w:space="0" w:color="auto"/>
              <w:bottom w:val="nil"/>
              <w:right w:val="single" w:sz="4" w:space="0" w:color="auto"/>
            </w:tcBorders>
            <w:shd w:val="clear" w:color="auto" w:fill="auto"/>
            <w:noWrap/>
            <w:vAlign w:val="center"/>
            <w:hideMark/>
          </w:tcPr>
          <w:p w14:paraId="3D208CBC" w14:textId="77777777" w:rsidR="007912D4" w:rsidRPr="005C45AA" w:rsidRDefault="007912D4" w:rsidP="00BE60C7">
            <w:pPr>
              <w:pStyle w:val="BodyText"/>
              <w:spacing w:before="0" w:after="0"/>
              <w:jc w:val="center"/>
              <w:rPr>
                <w:lang w:val="en-US"/>
              </w:rPr>
            </w:pPr>
            <w:r w:rsidRPr="00BE60C7">
              <w:rPr>
                <w:color w:val="FFFFFF" w:themeColor="background1"/>
                <w:lang w:val="en-US"/>
              </w:rPr>
              <w:t>Major City</w:t>
            </w:r>
          </w:p>
        </w:tc>
        <w:tc>
          <w:tcPr>
            <w:tcW w:w="1371" w:type="dxa"/>
            <w:tcBorders>
              <w:top w:val="single" w:sz="4" w:space="0" w:color="auto"/>
              <w:left w:val="single" w:sz="4" w:space="0" w:color="auto"/>
              <w:bottom w:val="nil"/>
              <w:right w:val="single" w:sz="4" w:space="0" w:color="auto"/>
            </w:tcBorders>
            <w:shd w:val="clear" w:color="auto" w:fill="auto"/>
            <w:noWrap/>
            <w:vAlign w:val="center"/>
            <w:hideMark/>
          </w:tcPr>
          <w:p w14:paraId="24C3E536" w14:textId="77777777" w:rsidR="007912D4" w:rsidRPr="005C45AA" w:rsidRDefault="007912D4" w:rsidP="00BE60C7">
            <w:pPr>
              <w:pStyle w:val="BodyText"/>
              <w:spacing w:before="0" w:after="0"/>
              <w:jc w:val="center"/>
              <w:rPr>
                <w:lang w:val="en-US"/>
              </w:rPr>
            </w:pPr>
            <w:r w:rsidRPr="00BE60C7">
              <w:rPr>
                <w:color w:val="FFFFFF" w:themeColor="background1"/>
                <w:lang w:val="en-US"/>
              </w:rPr>
              <w:t>Major City</w:t>
            </w:r>
          </w:p>
        </w:tc>
      </w:tr>
      <w:tr w:rsidR="00BE60C7" w:rsidRPr="0077587B" w14:paraId="01325400" w14:textId="77777777" w:rsidTr="00BE60C7">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61F8E6DF"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24BDD699" w14:textId="77777777" w:rsidR="007912D4" w:rsidRPr="005C45AA" w:rsidRDefault="007912D4" w:rsidP="007912D4">
            <w:pPr>
              <w:pStyle w:val="BodyText"/>
              <w:spacing w:before="0" w:after="0"/>
              <w:rPr>
                <w:lang w:val="en-US"/>
              </w:rPr>
            </w:pPr>
            <w:r w:rsidRPr="005C45AA">
              <w:rPr>
                <w:lang w:val="en-US"/>
              </w:rPr>
              <w:t>Perth - South East</w:t>
            </w:r>
          </w:p>
        </w:tc>
        <w:tc>
          <w:tcPr>
            <w:tcW w:w="2127" w:type="dxa"/>
            <w:tcBorders>
              <w:left w:val="single" w:sz="4" w:space="0" w:color="auto"/>
              <w:bottom w:val="single" w:sz="4" w:space="0" w:color="auto"/>
              <w:right w:val="single" w:sz="4" w:space="0" w:color="auto"/>
            </w:tcBorders>
            <w:shd w:val="clear" w:color="auto" w:fill="auto"/>
            <w:vAlign w:val="center"/>
            <w:hideMark/>
          </w:tcPr>
          <w:p w14:paraId="21DE8067" w14:textId="175FCE05" w:rsidR="007912D4" w:rsidRPr="005C45AA" w:rsidRDefault="00BE60C7" w:rsidP="00BE60C7">
            <w:pPr>
              <w:pStyle w:val="BodyText"/>
              <w:spacing w:before="0" w:after="0"/>
              <w:jc w:val="center"/>
              <w:rPr>
                <w:lang w:val="en-US"/>
              </w:rPr>
            </w:pPr>
            <w:r w:rsidRPr="005C45AA">
              <w:rPr>
                <w:lang w:val="en-US"/>
              </w:rPr>
              <w:t>Major City</w:t>
            </w:r>
          </w:p>
        </w:tc>
        <w:tc>
          <w:tcPr>
            <w:tcW w:w="1371" w:type="dxa"/>
            <w:tcBorders>
              <w:left w:val="single" w:sz="4" w:space="0" w:color="auto"/>
              <w:bottom w:val="single" w:sz="4" w:space="0" w:color="auto"/>
              <w:right w:val="single" w:sz="4" w:space="0" w:color="auto"/>
            </w:tcBorders>
            <w:shd w:val="clear" w:color="auto" w:fill="auto"/>
            <w:vAlign w:val="center"/>
            <w:hideMark/>
          </w:tcPr>
          <w:p w14:paraId="6FF0BA92" w14:textId="669EAA8D" w:rsidR="007912D4" w:rsidRPr="005C45AA" w:rsidRDefault="00BE60C7" w:rsidP="00BE60C7">
            <w:pPr>
              <w:pStyle w:val="BodyText"/>
              <w:spacing w:before="0" w:after="0"/>
              <w:jc w:val="center"/>
              <w:rPr>
                <w:lang w:val="en-US"/>
              </w:rPr>
            </w:pPr>
            <w:r w:rsidRPr="005C45AA">
              <w:rPr>
                <w:lang w:val="en-US"/>
              </w:rPr>
              <w:t>Major City</w:t>
            </w:r>
          </w:p>
        </w:tc>
      </w:tr>
      <w:tr w:rsidR="007912D4" w:rsidRPr="0077587B" w14:paraId="524AE613" w14:textId="77777777" w:rsidTr="00BE60C7">
        <w:trPr>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02CD3947"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noWrap/>
            <w:vAlign w:val="center"/>
            <w:hideMark/>
          </w:tcPr>
          <w:p w14:paraId="161B11E4" w14:textId="77777777" w:rsidR="007912D4" w:rsidRPr="005C45AA" w:rsidRDefault="007912D4" w:rsidP="007912D4">
            <w:pPr>
              <w:pStyle w:val="BodyText"/>
              <w:spacing w:before="0" w:after="0"/>
              <w:rPr>
                <w:lang w:val="en-US"/>
              </w:rPr>
            </w:pPr>
            <w:r w:rsidRPr="005C45AA">
              <w:rPr>
                <w:lang w:val="en-US"/>
              </w:rPr>
              <w:t>Perth - South West</w:t>
            </w:r>
          </w:p>
        </w:tc>
        <w:tc>
          <w:tcPr>
            <w:tcW w:w="2127" w:type="dxa"/>
            <w:tcBorders>
              <w:top w:val="single" w:sz="4" w:space="0" w:color="auto"/>
              <w:left w:val="single" w:sz="4" w:space="0" w:color="auto"/>
              <w:bottom w:val="nil"/>
              <w:right w:val="single" w:sz="4" w:space="0" w:color="auto"/>
            </w:tcBorders>
            <w:shd w:val="clear" w:color="auto" w:fill="auto"/>
            <w:vAlign w:val="center"/>
            <w:hideMark/>
          </w:tcPr>
          <w:p w14:paraId="278A268A" w14:textId="516F5FD8" w:rsidR="007912D4" w:rsidRPr="00BE60C7" w:rsidRDefault="00BE60C7" w:rsidP="00BE60C7">
            <w:pPr>
              <w:pStyle w:val="BodyText"/>
              <w:spacing w:before="0" w:after="0"/>
              <w:jc w:val="center"/>
              <w:rPr>
                <w:color w:val="FFFFFF" w:themeColor="background1"/>
                <w:lang w:val="en-US"/>
              </w:rPr>
            </w:pPr>
            <w:r w:rsidRPr="00BE60C7">
              <w:rPr>
                <w:color w:val="FFFFFF" w:themeColor="background1"/>
                <w:lang w:val="en-US"/>
              </w:rPr>
              <w:t>Major City</w:t>
            </w:r>
          </w:p>
        </w:tc>
        <w:tc>
          <w:tcPr>
            <w:tcW w:w="1371" w:type="dxa"/>
            <w:tcBorders>
              <w:top w:val="single" w:sz="4" w:space="0" w:color="auto"/>
              <w:left w:val="single" w:sz="4" w:space="0" w:color="auto"/>
              <w:bottom w:val="nil"/>
              <w:right w:val="single" w:sz="4" w:space="0" w:color="auto"/>
            </w:tcBorders>
            <w:shd w:val="clear" w:color="auto" w:fill="auto"/>
            <w:vAlign w:val="center"/>
            <w:hideMark/>
          </w:tcPr>
          <w:p w14:paraId="79F54AFE" w14:textId="7001DACE" w:rsidR="007912D4" w:rsidRPr="00BE60C7" w:rsidRDefault="00BE60C7" w:rsidP="00BE60C7">
            <w:pPr>
              <w:pStyle w:val="BodyText"/>
              <w:spacing w:before="0" w:after="0"/>
              <w:jc w:val="center"/>
              <w:rPr>
                <w:color w:val="FFFFFF" w:themeColor="background1"/>
                <w:lang w:val="en-US"/>
              </w:rPr>
            </w:pPr>
            <w:r w:rsidRPr="00BE60C7">
              <w:rPr>
                <w:color w:val="FFFFFF" w:themeColor="background1"/>
                <w:lang w:val="en-US"/>
              </w:rPr>
              <w:t>Major City</w:t>
            </w:r>
          </w:p>
        </w:tc>
      </w:tr>
      <w:tr w:rsidR="00BE60C7" w:rsidRPr="0077587B" w14:paraId="14F0329F" w14:textId="77777777" w:rsidTr="00BE60C7">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1E69496F"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4832FBB1" w14:textId="77777777" w:rsidR="007912D4" w:rsidRPr="005C45AA" w:rsidRDefault="007912D4" w:rsidP="007912D4">
            <w:pPr>
              <w:pStyle w:val="BodyText"/>
              <w:spacing w:before="0" w:after="0"/>
              <w:rPr>
                <w:lang w:val="en-US"/>
              </w:rPr>
            </w:pPr>
            <w:r w:rsidRPr="005C45AA">
              <w:rPr>
                <w:lang w:val="en-US"/>
              </w:rPr>
              <w:t>Perth - Inner</w:t>
            </w:r>
          </w:p>
        </w:tc>
        <w:tc>
          <w:tcPr>
            <w:tcW w:w="2127" w:type="dxa"/>
            <w:tcBorders>
              <w:left w:val="single" w:sz="4" w:space="0" w:color="auto"/>
              <w:bottom w:val="nil"/>
              <w:right w:val="single" w:sz="4" w:space="0" w:color="auto"/>
            </w:tcBorders>
            <w:shd w:val="clear" w:color="auto" w:fill="auto"/>
            <w:vAlign w:val="center"/>
            <w:hideMark/>
          </w:tcPr>
          <w:p w14:paraId="66EEA35E" w14:textId="38BCCCFE" w:rsidR="007912D4" w:rsidRPr="00BE60C7" w:rsidRDefault="00BE60C7" w:rsidP="00BE60C7">
            <w:pPr>
              <w:pStyle w:val="BodyText"/>
              <w:spacing w:before="0" w:after="0"/>
              <w:jc w:val="center"/>
              <w:rPr>
                <w:color w:val="FFFFFF" w:themeColor="background1"/>
                <w:lang w:val="en-US"/>
              </w:rPr>
            </w:pPr>
            <w:r w:rsidRPr="00BE60C7">
              <w:rPr>
                <w:color w:val="FFFFFF" w:themeColor="background1"/>
                <w:lang w:val="en-US"/>
              </w:rPr>
              <w:t>Major City</w:t>
            </w:r>
          </w:p>
        </w:tc>
        <w:tc>
          <w:tcPr>
            <w:tcW w:w="1371" w:type="dxa"/>
            <w:tcBorders>
              <w:left w:val="single" w:sz="4" w:space="0" w:color="auto"/>
              <w:bottom w:val="nil"/>
              <w:right w:val="single" w:sz="4" w:space="0" w:color="auto"/>
            </w:tcBorders>
            <w:shd w:val="clear" w:color="auto" w:fill="auto"/>
            <w:vAlign w:val="center"/>
            <w:hideMark/>
          </w:tcPr>
          <w:p w14:paraId="6BFE46D4" w14:textId="12340D25" w:rsidR="007912D4" w:rsidRPr="00BE60C7" w:rsidRDefault="00BE60C7" w:rsidP="00BE60C7">
            <w:pPr>
              <w:pStyle w:val="BodyText"/>
              <w:spacing w:before="0" w:after="0"/>
              <w:jc w:val="center"/>
              <w:rPr>
                <w:color w:val="FFFFFF" w:themeColor="background1"/>
                <w:lang w:val="en-US"/>
              </w:rPr>
            </w:pPr>
            <w:r w:rsidRPr="00BE60C7">
              <w:rPr>
                <w:color w:val="FFFFFF" w:themeColor="background1"/>
                <w:lang w:val="en-US"/>
              </w:rPr>
              <w:t>Major City</w:t>
            </w:r>
          </w:p>
        </w:tc>
      </w:tr>
      <w:tr w:rsidR="007912D4" w:rsidRPr="0077587B" w14:paraId="70DA1FD5" w14:textId="77777777" w:rsidTr="00BE60C7">
        <w:trPr>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5DD2BE20" w14:textId="77777777" w:rsidR="007912D4" w:rsidRPr="005C45AA" w:rsidRDefault="007912D4" w:rsidP="007912D4">
            <w:pPr>
              <w:pStyle w:val="BodyText"/>
              <w:spacing w:before="0" w:after="0"/>
              <w:rPr>
                <w:lang w:val="en-US"/>
              </w:rPr>
            </w:pPr>
          </w:p>
        </w:tc>
        <w:tc>
          <w:tcPr>
            <w:tcW w:w="4744" w:type="dxa"/>
            <w:tcBorders>
              <w:left w:val="single" w:sz="4" w:space="0" w:color="auto"/>
              <w:bottom w:val="nil"/>
              <w:right w:val="single" w:sz="4" w:space="0" w:color="auto"/>
            </w:tcBorders>
            <w:noWrap/>
            <w:vAlign w:val="center"/>
            <w:hideMark/>
          </w:tcPr>
          <w:p w14:paraId="78D4AC96" w14:textId="77777777" w:rsidR="007912D4" w:rsidRPr="005C45AA" w:rsidRDefault="007912D4" w:rsidP="007912D4">
            <w:pPr>
              <w:pStyle w:val="BodyText"/>
              <w:spacing w:before="0" w:after="0"/>
              <w:rPr>
                <w:lang w:val="en-US"/>
              </w:rPr>
            </w:pPr>
            <w:r w:rsidRPr="005C45AA">
              <w:rPr>
                <w:lang w:val="en-US"/>
              </w:rPr>
              <w:t>Perth - North East</w:t>
            </w:r>
          </w:p>
        </w:tc>
        <w:tc>
          <w:tcPr>
            <w:tcW w:w="2127" w:type="dxa"/>
            <w:tcBorders>
              <w:left w:val="single" w:sz="4" w:space="0" w:color="auto"/>
              <w:bottom w:val="nil"/>
              <w:right w:val="single" w:sz="4" w:space="0" w:color="auto"/>
            </w:tcBorders>
            <w:shd w:val="clear" w:color="auto" w:fill="auto"/>
            <w:vAlign w:val="center"/>
            <w:hideMark/>
          </w:tcPr>
          <w:p w14:paraId="11EDE3F7" w14:textId="3E10F8DA" w:rsidR="007912D4" w:rsidRPr="00BE60C7" w:rsidRDefault="00BE60C7" w:rsidP="00BE60C7">
            <w:pPr>
              <w:pStyle w:val="BodyText"/>
              <w:spacing w:before="0" w:after="0"/>
              <w:jc w:val="center"/>
              <w:rPr>
                <w:color w:val="FFFFFF" w:themeColor="background1"/>
                <w:lang w:val="en-US"/>
              </w:rPr>
            </w:pPr>
            <w:r w:rsidRPr="00BE60C7">
              <w:rPr>
                <w:color w:val="FFFFFF" w:themeColor="background1"/>
                <w:lang w:val="en-US"/>
              </w:rPr>
              <w:t>Major City</w:t>
            </w:r>
          </w:p>
        </w:tc>
        <w:tc>
          <w:tcPr>
            <w:tcW w:w="1371" w:type="dxa"/>
            <w:tcBorders>
              <w:left w:val="single" w:sz="4" w:space="0" w:color="auto"/>
              <w:bottom w:val="nil"/>
              <w:right w:val="single" w:sz="4" w:space="0" w:color="auto"/>
            </w:tcBorders>
            <w:shd w:val="clear" w:color="auto" w:fill="auto"/>
            <w:vAlign w:val="center"/>
            <w:hideMark/>
          </w:tcPr>
          <w:p w14:paraId="6E4F3CBD" w14:textId="71E9051A" w:rsidR="007912D4" w:rsidRPr="00BE60C7" w:rsidRDefault="00BE60C7" w:rsidP="00BE60C7">
            <w:pPr>
              <w:pStyle w:val="BodyText"/>
              <w:spacing w:before="0" w:after="0"/>
              <w:jc w:val="center"/>
              <w:rPr>
                <w:color w:val="FFFFFF" w:themeColor="background1"/>
                <w:lang w:val="en-US"/>
              </w:rPr>
            </w:pPr>
            <w:r w:rsidRPr="00BE60C7">
              <w:rPr>
                <w:color w:val="FFFFFF" w:themeColor="background1"/>
                <w:lang w:val="en-US"/>
              </w:rPr>
              <w:t>Major City</w:t>
            </w:r>
          </w:p>
        </w:tc>
      </w:tr>
      <w:tr w:rsidR="007912D4" w:rsidRPr="0077587B" w14:paraId="3BF1D35A" w14:textId="77777777" w:rsidTr="00BE60C7">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7B043446" w14:textId="77777777" w:rsidR="007912D4" w:rsidRPr="005C45AA" w:rsidRDefault="007912D4" w:rsidP="007912D4">
            <w:pPr>
              <w:pStyle w:val="BodyText"/>
              <w:spacing w:before="0" w:after="0"/>
              <w:rPr>
                <w:lang w:val="en-US"/>
              </w:rPr>
            </w:pPr>
          </w:p>
        </w:tc>
        <w:tc>
          <w:tcPr>
            <w:tcW w:w="4744" w:type="dxa"/>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6B56520B" w14:textId="77777777" w:rsidR="007912D4" w:rsidRPr="005C45AA" w:rsidRDefault="007912D4" w:rsidP="007912D4">
            <w:pPr>
              <w:pStyle w:val="BodyText"/>
              <w:spacing w:before="0" w:after="0"/>
              <w:rPr>
                <w:lang w:val="en-US"/>
              </w:rPr>
            </w:pPr>
            <w:r w:rsidRPr="005C45AA">
              <w:rPr>
                <w:lang w:val="en-US"/>
              </w:rPr>
              <w:t>Perth - North West</w:t>
            </w:r>
          </w:p>
        </w:tc>
        <w:tc>
          <w:tcPr>
            <w:tcW w:w="2127" w:type="dxa"/>
            <w:tcBorders>
              <w:left w:val="single" w:sz="4" w:space="0" w:color="auto"/>
              <w:bottom w:val="single" w:sz="4" w:space="0" w:color="auto"/>
              <w:right w:val="single" w:sz="4" w:space="0" w:color="auto"/>
            </w:tcBorders>
            <w:shd w:val="clear" w:color="auto" w:fill="auto"/>
            <w:vAlign w:val="center"/>
            <w:hideMark/>
          </w:tcPr>
          <w:p w14:paraId="6996707F" w14:textId="2C278F19" w:rsidR="007912D4" w:rsidRPr="00BE60C7" w:rsidRDefault="00BE60C7" w:rsidP="00BE60C7">
            <w:pPr>
              <w:pStyle w:val="BodyText"/>
              <w:spacing w:before="0" w:after="0"/>
              <w:jc w:val="center"/>
              <w:rPr>
                <w:color w:val="FFFFFF" w:themeColor="background1"/>
                <w:lang w:val="en-US"/>
              </w:rPr>
            </w:pPr>
            <w:r w:rsidRPr="00BE60C7">
              <w:rPr>
                <w:color w:val="FFFFFF" w:themeColor="background1"/>
                <w:lang w:val="en-US"/>
              </w:rPr>
              <w:t>Major City</w:t>
            </w:r>
          </w:p>
        </w:tc>
        <w:tc>
          <w:tcPr>
            <w:tcW w:w="1371" w:type="dxa"/>
            <w:tcBorders>
              <w:left w:val="single" w:sz="4" w:space="0" w:color="auto"/>
              <w:bottom w:val="single" w:sz="4" w:space="0" w:color="auto"/>
              <w:right w:val="single" w:sz="4" w:space="0" w:color="auto"/>
            </w:tcBorders>
            <w:shd w:val="clear" w:color="auto" w:fill="auto"/>
            <w:vAlign w:val="center"/>
            <w:hideMark/>
          </w:tcPr>
          <w:p w14:paraId="4B66A5C2" w14:textId="1375AD49" w:rsidR="007912D4" w:rsidRPr="00BE60C7" w:rsidRDefault="00BE60C7" w:rsidP="00BE60C7">
            <w:pPr>
              <w:pStyle w:val="BodyText"/>
              <w:spacing w:before="0" w:after="0"/>
              <w:jc w:val="center"/>
              <w:rPr>
                <w:color w:val="FFFFFF" w:themeColor="background1"/>
                <w:lang w:val="en-US"/>
              </w:rPr>
            </w:pPr>
            <w:r w:rsidRPr="00BE60C7">
              <w:rPr>
                <w:color w:val="FFFFFF" w:themeColor="background1"/>
                <w:lang w:val="en-US"/>
              </w:rPr>
              <w:t>Major City</w:t>
            </w:r>
          </w:p>
        </w:tc>
      </w:tr>
      <w:tr w:rsidR="007912D4" w:rsidRPr="0077587B" w14:paraId="5BBA9296" w14:textId="77777777" w:rsidTr="00807253">
        <w:trPr>
          <w:trHeight w:val="20"/>
        </w:trPr>
        <w:tc>
          <w:tcPr>
            <w:tcW w:w="78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45EF4C" w14:textId="77777777" w:rsidR="007912D4" w:rsidRPr="005C45AA" w:rsidRDefault="007912D4" w:rsidP="007912D4">
            <w:pPr>
              <w:pStyle w:val="BodyText"/>
              <w:spacing w:before="0" w:after="0"/>
              <w:rPr>
                <w:lang w:val="en-US"/>
              </w:rPr>
            </w:pPr>
            <w:r w:rsidRPr="005C45AA">
              <w:rPr>
                <w:lang w:val="en-US"/>
              </w:rPr>
              <w:t>Tas.</w:t>
            </w:r>
          </w:p>
        </w:tc>
        <w:tc>
          <w:tcPr>
            <w:tcW w:w="4744" w:type="dxa"/>
            <w:tcBorders>
              <w:top w:val="single" w:sz="4" w:space="0" w:color="auto"/>
              <w:left w:val="single" w:sz="4" w:space="0" w:color="auto"/>
              <w:right w:val="single" w:sz="4" w:space="0" w:color="auto"/>
            </w:tcBorders>
            <w:noWrap/>
            <w:vAlign w:val="center"/>
            <w:hideMark/>
          </w:tcPr>
          <w:p w14:paraId="60FA1B03" w14:textId="77777777" w:rsidR="007912D4" w:rsidRPr="005C45AA" w:rsidRDefault="007912D4" w:rsidP="007912D4">
            <w:pPr>
              <w:pStyle w:val="BodyText"/>
              <w:spacing w:before="0" w:after="0"/>
              <w:rPr>
                <w:lang w:val="en-US"/>
              </w:rPr>
            </w:pPr>
            <w:r w:rsidRPr="005C45AA">
              <w:rPr>
                <w:lang w:val="en-US"/>
              </w:rPr>
              <w:t>Launceston &amp; North East</w:t>
            </w:r>
          </w:p>
        </w:tc>
        <w:tc>
          <w:tcPr>
            <w:tcW w:w="2127" w:type="dxa"/>
            <w:tcBorders>
              <w:top w:val="single" w:sz="4" w:space="0" w:color="auto"/>
              <w:left w:val="single" w:sz="4" w:space="0" w:color="auto"/>
              <w:bottom w:val="nil"/>
              <w:right w:val="single" w:sz="4" w:space="0" w:color="auto"/>
            </w:tcBorders>
            <w:noWrap/>
            <w:vAlign w:val="center"/>
            <w:hideMark/>
          </w:tcPr>
          <w:p w14:paraId="75EB2B36" w14:textId="77777777" w:rsidR="007912D4" w:rsidRPr="005C45AA" w:rsidRDefault="007912D4" w:rsidP="00BE60C7">
            <w:pPr>
              <w:pStyle w:val="BodyText"/>
              <w:spacing w:before="0" w:after="0"/>
              <w:jc w:val="center"/>
              <w:rPr>
                <w:lang w:val="en-US"/>
              </w:rPr>
            </w:pPr>
            <w:r w:rsidRPr="005C45AA">
              <w:rPr>
                <w:lang w:val="en-US"/>
              </w:rPr>
              <w:t>Inner Regional</w:t>
            </w:r>
          </w:p>
        </w:tc>
        <w:tc>
          <w:tcPr>
            <w:tcW w:w="1371" w:type="dxa"/>
            <w:tcBorders>
              <w:top w:val="single" w:sz="4" w:space="0" w:color="auto"/>
              <w:left w:val="single" w:sz="4" w:space="0" w:color="auto"/>
              <w:bottom w:val="nil"/>
              <w:right w:val="single" w:sz="4" w:space="0" w:color="auto"/>
            </w:tcBorders>
            <w:shd w:val="clear" w:color="auto" w:fill="auto"/>
            <w:noWrap/>
            <w:vAlign w:val="center"/>
            <w:hideMark/>
          </w:tcPr>
          <w:p w14:paraId="59E5B0C0" w14:textId="77777777" w:rsidR="007912D4" w:rsidRPr="005C45AA" w:rsidRDefault="007912D4" w:rsidP="00BE60C7">
            <w:pPr>
              <w:pStyle w:val="BodyText"/>
              <w:spacing w:before="0" w:after="0"/>
              <w:jc w:val="center"/>
              <w:rPr>
                <w:lang w:val="en-US"/>
              </w:rPr>
            </w:pPr>
            <w:r w:rsidRPr="00BE60C7">
              <w:rPr>
                <w:color w:val="FFFFFF" w:themeColor="background1"/>
                <w:lang w:val="en-US"/>
              </w:rPr>
              <w:t>Regional</w:t>
            </w:r>
          </w:p>
        </w:tc>
      </w:tr>
      <w:tr w:rsidR="00BE60C7" w:rsidRPr="0077587B" w14:paraId="0A223C0F" w14:textId="77777777" w:rsidTr="00807253">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1F96605B" w14:textId="77777777" w:rsidR="007912D4" w:rsidRPr="005C45AA" w:rsidRDefault="007912D4" w:rsidP="007912D4">
            <w:pPr>
              <w:pStyle w:val="BodyText"/>
              <w:spacing w:before="0" w:after="0"/>
              <w:rPr>
                <w:lang w:val="en-US"/>
              </w:rPr>
            </w:pPr>
          </w:p>
        </w:tc>
        <w:tc>
          <w:tcPr>
            <w:tcW w:w="4744" w:type="dxa"/>
            <w:tcBorders>
              <w:left w:val="single" w:sz="4" w:space="0" w:color="auto"/>
              <w:right w:val="single" w:sz="4" w:space="0" w:color="auto"/>
            </w:tcBorders>
            <w:shd w:val="clear" w:color="auto" w:fill="F2F2F2" w:themeFill="background1" w:themeFillShade="F2"/>
            <w:noWrap/>
            <w:vAlign w:val="center"/>
            <w:hideMark/>
          </w:tcPr>
          <w:p w14:paraId="66FB510F" w14:textId="77777777" w:rsidR="007912D4" w:rsidRPr="005C45AA" w:rsidRDefault="007912D4" w:rsidP="007912D4">
            <w:pPr>
              <w:pStyle w:val="BodyText"/>
              <w:spacing w:before="0" w:after="0"/>
              <w:rPr>
                <w:lang w:val="en-US"/>
              </w:rPr>
            </w:pPr>
            <w:r w:rsidRPr="005C45AA">
              <w:rPr>
                <w:lang w:val="en-US"/>
              </w:rPr>
              <w:t>Greater Hobart</w:t>
            </w:r>
          </w:p>
        </w:tc>
        <w:tc>
          <w:tcPr>
            <w:tcW w:w="2127" w:type="dxa"/>
            <w:tcBorders>
              <w:left w:val="single" w:sz="4" w:space="0" w:color="auto"/>
              <w:bottom w:val="single" w:sz="4" w:space="0" w:color="auto"/>
              <w:right w:val="single" w:sz="4" w:space="0" w:color="auto"/>
            </w:tcBorders>
            <w:shd w:val="clear" w:color="auto" w:fill="FFFFFF" w:themeFill="background1"/>
            <w:vAlign w:val="center"/>
            <w:hideMark/>
          </w:tcPr>
          <w:p w14:paraId="526189A9" w14:textId="6E6EA156" w:rsidR="007912D4" w:rsidRPr="005C45AA" w:rsidRDefault="00BE60C7" w:rsidP="007912D4">
            <w:pPr>
              <w:pStyle w:val="BodyText"/>
              <w:spacing w:before="0" w:after="0"/>
              <w:rPr>
                <w:lang w:val="en-US"/>
              </w:rPr>
            </w:pPr>
            <w:r w:rsidRPr="00BE60C7">
              <w:rPr>
                <w:color w:val="FFFFFF" w:themeColor="background1"/>
                <w:lang w:val="en-US"/>
              </w:rPr>
              <w:t>Inner Regional</w:t>
            </w:r>
          </w:p>
        </w:tc>
        <w:tc>
          <w:tcPr>
            <w:tcW w:w="1371" w:type="dxa"/>
            <w:tcBorders>
              <w:left w:val="single" w:sz="4" w:space="0" w:color="auto"/>
              <w:bottom w:val="nil"/>
              <w:right w:val="single" w:sz="4" w:space="0" w:color="auto"/>
            </w:tcBorders>
            <w:shd w:val="clear" w:color="auto" w:fill="auto"/>
            <w:vAlign w:val="center"/>
            <w:hideMark/>
          </w:tcPr>
          <w:p w14:paraId="02EAF0BD" w14:textId="1E0EF1EE" w:rsidR="007912D4" w:rsidRPr="005C45AA" w:rsidRDefault="00BE60C7" w:rsidP="00BE60C7">
            <w:pPr>
              <w:pStyle w:val="BodyText"/>
              <w:spacing w:before="0" w:after="0"/>
              <w:jc w:val="center"/>
              <w:rPr>
                <w:lang w:val="en-US"/>
              </w:rPr>
            </w:pPr>
            <w:r>
              <w:rPr>
                <w:lang w:val="en-US"/>
              </w:rPr>
              <w:t>Regional</w:t>
            </w:r>
          </w:p>
        </w:tc>
      </w:tr>
      <w:tr w:rsidR="007912D4" w:rsidRPr="0077587B" w14:paraId="5FE2A987" w14:textId="77777777" w:rsidTr="00807253">
        <w:trPr>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5E66C42C" w14:textId="77777777" w:rsidR="007912D4" w:rsidRPr="005C45AA" w:rsidRDefault="007912D4" w:rsidP="007912D4">
            <w:pPr>
              <w:pStyle w:val="BodyText"/>
              <w:spacing w:before="0" w:after="0"/>
              <w:rPr>
                <w:lang w:val="en-US"/>
              </w:rPr>
            </w:pPr>
          </w:p>
        </w:tc>
        <w:tc>
          <w:tcPr>
            <w:tcW w:w="4744" w:type="dxa"/>
            <w:tcBorders>
              <w:left w:val="single" w:sz="4" w:space="0" w:color="auto"/>
              <w:bottom w:val="nil"/>
              <w:right w:val="single" w:sz="4" w:space="0" w:color="auto"/>
            </w:tcBorders>
            <w:noWrap/>
            <w:vAlign w:val="center"/>
            <w:hideMark/>
          </w:tcPr>
          <w:p w14:paraId="2780A9B6" w14:textId="77777777" w:rsidR="007912D4" w:rsidRPr="005C45AA" w:rsidRDefault="007912D4" w:rsidP="007912D4">
            <w:pPr>
              <w:pStyle w:val="BodyText"/>
              <w:spacing w:before="0" w:after="0"/>
              <w:rPr>
                <w:lang w:val="en-US"/>
              </w:rPr>
            </w:pPr>
            <w:r w:rsidRPr="005C45AA">
              <w:rPr>
                <w:lang w:val="en-US"/>
              </w:rPr>
              <w:t>Tasmania - South East</w:t>
            </w:r>
          </w:p>
        </w:tc>
        <w:tc>
          <w:tcPr>
            <w:tcW w:w="2127" w:type="dxa"/>
            <w:tcBorders>
              <w:top w:val="single" w:sz="4" w:space="0" w:color="auto"/>
              <w:left w:val="single" w:sz="4" w:space="0" w:color="auto"/>
              <w:bottom w:val="nil"/>
              <w:right w:val="single" w:sz="4" w:space="0" w:color="auto"/>
            </w:tcBorders>
            <w:shd w:val="clear" w:color="auto" w:fill="FFFFFF" w:themeFill="background1"/>
            <w:noWrap/>
            <w:vAlign w:val="center"/>
            <w:hideMark/>
          </w:tcPr>
          <w:p w14:paraId="0DFB7E97" w14:textId="77777777" w:rsidR="007912D4" w:rsidRPr="005C45AA" w:rsidRDefault="007912D4" w:rsidP="00BE60C7">
            <w:pPr>
              <w:pStyle w:val="BodyText"/>
              <w:spacing w:before="0" w:after="0"/>
              <w:jc w:val="center"/>
              <w:rPr>
                <w:lang w:val="en-US"/>
              </w:rPr>
            </w:pPr>
            <w:r w:rsidRPr="005C45AA">
              <w:rPr>
                <w:lang w:val="en-US"/>
              </w:rPr>
              <w:t>Outer Regional</w:t>
            </w:r>
          </w:p>
        </w:tc>
        <w:tc>
          <w:tcPr>
            <w:tcW w:w="1371" w:type="dxa"/>
            <w:tcBorders>
              <w:left w:val="single" w:sz="4" w:space="0" w:color="auto"/>
              <w:bottom w:val="nil"/>
              <w:right w:val="single" w:sz="4" w:space="0" w:color="auto"/>
            </w:tcBorders>
            <w:shd w:val="clear" w:color="auto" w:fill="auto"/>
            <w:vAlign w:val="center"/>
            <w:hideMark/>
          </w:tcPr>
          <w:p w14:paraId="043427AC" w14:textId="04A7B454" w:rsidR="007912D4" w:rsidRPr="00BE60C7" w:rsidRDefault="00BE60C7" w:rsidP="00BE60C7">
            <w:pPr>
              <w:pStyle w:val="BodyText"/>
              <w:spacing w:before="0" w:after="0"/>
              <w:jc w:val="center"/>
              <w:rPr>
                <w:color w:val="FFFFFF" w:themeColor="background1"/>
                <w:lang w:val="en-US"/>
              </w:rPr>
            </w:pPr>
            <w:r w:rsidRPr="00BE60C7">
              <w:rPr>
                <w:color w:val="FFFFFF" w:themeColor="background1"/>
                <w:lang w:val="en-US"/>
              </w:rPr>
              <w:t>Regional</w:t>
            </w:r>
          </w:p>
        </w:tc>
      </w:tr>
      <w:tr w:rsidR="00BE60C7" w:rsidRPr="0077587B" w14:paraId="68E5460A" w14:textId="77777777" w:rsidTr="00BE60C7">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shd w:val="clear" w:color="auto" w:fill="FFFFFF" w:themeFill="background1"/>
            <w:vAlign w:val="center"/>
            <w:hideMark/>
          </w:tcPr>
          <w:p w14:paraId="158E9B27" w14:textId="77777777" w:rsidR="007912D4" w:rsidRPr="005C45AA" w:rsidRDefault="007912D4" w:rsidP="007912D4">
            <w:pPr>
              <w:pStyle w:val="BodyText"/>
              <w:spacing w:before="0" w:after="0"/>
              <w:rPr>
                <w:lang w:val="en-US"/>
              </w:rPr>
            </w:pPr>
          </w:p>
        </w:tc>
        <w:tc>
          <w:tcPr>
            <w:tcW w:w="4744" w:type="dxa"/>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1AE2EB5B" w14:textId="77777777" w:rsidR="007912D4" w:rsidRPr="005C45AA" w:rsidRDefault="007912D4" w:rsidP="007912D4">
            <w:pPr>
              <w:pStyle w:val="BodyText"/>
              <w:spacing w:before="0" w:after="0"/>
              <w:rPr>
                <w:lang w:val="en-US"/>
              </w:rPr>
            </w:pPr>
            <w:r w:rsidRPr="005C45AA">
              <w:rPr>
                <w:lang w:val="en-US"/>
              </w:rPr>
              <w:t>Tasmania - West &amp; North West</w:t>
            </w:r>
          </w:p>
        </w:tc>
        <w:tc>
          <w:tcPr>
            <w:tcW w:w="2127" w:type="dxa"/>
            <w:tcBorders>
              <w:left w:val="single" w:sz="4" w:space="0" w:color="auto"/>
              <w:bottom w:val="single" w:sz="4" w:space="0" w:color="auto"/>
              <w:right w:val="single" w:sz="4" w:space="0" w:color="auto"/>
            </w:tcBorders>
            <w:shd w:val="clear" w:color="auto" w:fill="FFFFFF" w:themeFill="background1"/>
            <w:vAlign w:val="center"/>
            <w:hideMark/>
          </w:tcPr>
          <w:p w14:paraId="0E6BC0C7" w14:textId="01B40A17" w:rsidR="007912D4" w:rsidRPr="005C45AA" w:rsidRDefault="00BE60C7" w:rsidP="00BE60C7">
            <w:pPr>
              <w:pStyle w:val="BodyText"/>
              <w:spacing w:before="0" w:after="0"/>
              <w:jc w:val="center"/>
              <w:rPr>
                <w:lang w:val="en-US"/>
              </w:rPr>
            </w:pPr>
            <w:r w:rsidRPr="00BE60C7">
              <w:rPr>
                <w:color w:val="FFFFFF" w:themeColor="background1"/>
                <w:lang w:val="en-US"/>
              </w:rPr>
              <w:t>Outer Regional</w:t>
            </w:r>
          </w:p>
        </w:tc>
        <w:tc>
          <w:tcPr>
            <w:tcW w:w="1371" w:type="dxa"/>
            <w:tcBorders>
              <w:left w:val="single" w:sz="4" w:space="0" w:color="auto"/>
              <w:bottom w:val="single" w:sz="4" w:space="0" w:color="auto"/>
              <w:right w:val="single" w:sz="4" w:space="0" w:color="auto"/>
            </w:tcBorders>
            <w:shd w:val="clear" w:color="auto" w:fill="FFFFFF" w:themeFill="background1"/>
            <w:vAlign w:val="center"/>
            <w:hideMark/>
          </w:tcPr>
          <w:p w14:paraId="56CF470B" w14:textId="796BEA04" w:rsidR="007912D4" w:rsidRPr="00BE60C7" w:rsidRDefault="00BE60C7" w:rsidP="00BE60C7">
            <w:pPr>
              <w:pStyle w:val="BodyText"/>
              <w:spacing w:before="0" w:after="0"/>
              <w:jc w:val="center"/>
              <w:rPr>
                <w:color w:val="FFFFFF" w:themeColor="background1"/>
                <w:lang w:val="en-US"/>
              </w:rPr>
            </w:pPr>
            <w:r w:rsidRPr="00BE60C7">
              <w:rPr>
                <w:color w:val="FFFFFF" w:themeColor="background1"/>
                <w:lang w:val="en-US"/>
              </w:rPr>
              <w:t>Regional</w:t>
            </w:r>
          </w:p>
        </w:tc>
      </w:tr>
      <w:tr w:rsidR="007912D4" w:rsidRPr="0077587B" w14:paraId="767AAB1B" w14:textId="77777777" w:rsidTr="00807253">
        <w:trPr>
          <w:trHeight w:val="20"/>
        </w:trPr>
        <w:tc>
          <w:tcPr>
            <w:tcW w:w="784" w:type="dxa"/>
            <w:vMerge w:val="restart"/>
            <w:tcBorders>
              <w:top w:val="single" w:sz="4" w:space="0" w:color="auto"/>
              <w:left w:val="single" w:sz="4" w:space="0" w:color="auto"/>
              <w:bottom w:val="single" w:sz="4" w:space="0" w:color="auto"/>
              <w:right w:val="single" w:sz="4" w:space="0" w:color="auto"/>
            </w:tcBorders>
            <w:noWrap/>
            <w:vAlign w:val="center"/>
            <w:hideMark/>
          </w:tcPr>
          <w:p w14:paraId="3EBCCDB1" w14:textId="77777777" w:rsidR="007912D4" w:rsidRPr="005C45AA" w:rsidRDefault="007912D4" w:rsidP="007912D4">
            <w:pPr>
              <w:pStyle w:val="BodyText"/>
              <w:spacing w:before="0" w:after="0"/>
              <w:rPr>
                <w:lang w:val="en-US"/>
              </w:rPr>
            </w:pPr>
            <w:r w:rsidRPr="005C45AA">
              <w:rPr>
                <w:lang w:val="en-US"/>
              </w:rPr>
              <w:t>NT</w:t>
            </w:r>
          </w:p>
        </w:tc>
        <w:tc>
          <w:tcPr>
            <w:tcW w:w="4744" w:type="dxa"/>
            <w:tcBorders>
              <w:top w:val="single" w:sz="4" w:space="0" w:color="auto"/>
              <w:left w:val="single" w:sz="4" w:space="0" w:color="auto"/>
              <w:right w:val="single" w:sz="4" w:space="0" w:color="auto"/>
            </w:tcBorders>
            <w:noWrap/>
            <w:vAlign w:val="center"/>
            <w:hideMark/>
          </w:tcPr>
          <w:p w14:paraId="6C2BD3E4" w14:textId="77777777" w:rsidR="007912D4" w:rsidRPr="005C45AA" w:rsidRDefault="007912D4" w:rsidP="007912D4">
            <w:pPr>
              <w:pStyle w:val="BodyText"/>
              <w:spacing w:before="0" w:after="0"/>
              <w:rPr>
                <w:lang w:val="en-US"/>
              </w:rPr>
            </w:pPr>
            <w:r w:rsidRPr="005C45AA">
              <w:rPr>
                <w:lang w:val="en-US"/>
              </w:rPr>
              <w:t>Darwin</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6CD4CD" w14:textId="77777777" w:rsidR="007912D4" w:rsidRPr="005C45AA" w:rsidRDefault="007912D4" w:rsidP="00BE60C7">
            <w:pPr>
              <w:pStyle w:val="BodyText"/>
              <w:spacing w:before="0" w:after="0"/>
              <w:jc w:val="center"/>
              <w:rPr>
                <w:lang w:val="en-US"/>
              </w:rPr>
            </w:pPr>
            <w:r w:rsidRPr="005C45AA">
              <w:rPr>
                <w:lang w:val="en-US"/>
              </w:rPr>
              <w:t>Outer Regional</w:t>
            </w:r>
          </w:p>
        </w:tc>
        <w:tc>
          <w:tcPr>
            <w:tcW w:w="1371" w:type="dxa"/>
            <w:tcBorders>
              <w:top w:val="single" w:sz="4" w:space="0" w:color="auto"/>
              <w:left w:val="single" w:sz="4" w:space="0" w:color="auto"/>
              <w:bottom w:val="nil"/>
              <w:right w:val="single" w:sz="4" w:space="0" w:color="auto"/>
            </w:tcBorders>
            <w:shd w:val="clear" w:color="auto" w:fill="auto"/>
            <w:noWrap/>
            <w:vAlign w:val="center"/>
            <w:hideMark/>
          </w:tcPr>
          <w:p w14:paraId="322CA9CB" w14:textId="77777777" w:rsidR="007912D4" w:rsidRPr="005C45AA" w:rsidRDefault="007912D4" w:rsidP="00BE60C7">
            <w:pPr>
              <w:pStyle w:val="BodyText"/>
              <w:spacing w:before="0" w:after="0"/>
              <w:jc w:val="center"/>
              <w:rPr>
                <w:lang w:val="en-US"/>
              </w:rPr>
            </w:pPr>
            <w:r w:rsidRPr="005C45AA">
              <w:rPr>
                <w:lang w:val="en-US"/>
              </w:rPr>
              <w:t>Regional</w:t>
            </w:r>
          </w:p>
        </w:tc>
      </w:tr>
      <w:tr w:rsidR="007912D4" w:rsidRPr="0077587B" w14:paraId="283E2E6C" w14:textId="77777777" w:rsidTr="00807253">
        <w:trPr>
          <w:cnfStyle w:val="000000010000" w:firstRow="0" w:lastRow="0" w:firstColumn="0" w:lastColumn="0" w:oddVBand="0" w:evenVBand="0" w:oddHBand="0" w:evenHBand="1" w:firstRowFirstColumn="0" w:firstRowLastColumn="0" w:lastRowFirstColumn="0" w:lastRowLastColumn="0"/>
          <w:trHeight w:val="20"/>
        </w:trPr>
        <w:tc>
          <w:tcPr>
            <w:tcW w:w="784" w:type="dxa"/>
            <w:vMerge/>
            <w:tcBorders>
              <w:left w:val="single" w:sz="4" w:space="0" w:color="auto"/>
              <w:bottom w:val="single" w:sz="4" w:space="0" w:color="auto"/>
              <w:right w:val="single" w:sz="4" w:space="0" w:color="auto"/>
            </w:tcBorders>
            <w:vAlign w:val="center"/>
            <w:hideMark/>
          </w:tcPr>
          <w:p w14:paraId="5B032D42" w14:textId="77777777" w:rsidR="007912D4" w:rsidRPr="005C45AA" w:rsidRDefault="007912D4" w:rsidP="007912D4">
            <w:pPr>
              <w:pStyle w:val="BodyText"/>
              <w:spacing w:before="0" w:after="0"/>
              <w:rPr>
                <w:lang w:val="en-US"/>
              </w:rPr>
            </w:pPr>
          </w:p>
        </w:tc>
        <w:tc>
          <w:tcPr>
            <w:tcW w:w="4744" w:type="dxa"/>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23EC1FF5" w14:textId="77777777" w:rsidR="007912D4" w:rsidRPr="005C45AA" w:rsidRDefault="007912D4" w:rsidP="007912D4">
            <w:pPr>
              <w:pStyle w:val="BodyText"/>
              <w:spacing w:before="0" w:after="0"/>
              <w:rPr>
                <w:lang w:val="en-US"/>
              </w:rPr>
            </w:pPr>
            <w:r w:rsidRPr="005C45AA">
              <w:rPr>
                <w:lang w:val="en-US"/>
              </w:rPr>
              <w:t>Northern Territory - Outback</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92D1D2" w14:textId="717F78A6" w:rsidR="007912D4" w:rsidRPr="005C45AA" w:rsidRDefault="007912D4" w:rsidP="00BE60C7">
            <w:pPr>
              <w:pStyle w:val="BodyText"/>
              <w:spacing w:before="0" w:after="0"/>
              <w:jc w:val="center"/>
              <w:rPr>
                <w:lang w:val="en-US"/>
              </w:rPr>
            </w:pPr>
            <w:r w:rsidRPr="005C45AA">
              <w:rPr>
                <w:lang w:val="en-US"/>
              </w:rPr>
              <w:t>Remote</w:t>
            </w:r>
          </w:p>
        </w:tc>
        <w:tc>
          <w:tcPr>
            <w:tcW w:w="1371" w:type="dxa"/>
            <w:tcBorders>
              <w:left w:val="single" w:sz="4" w:space="0" w:color="auto"/>
              <w:bottom w:val="single" w:sz="4" w:space="0" w:color="auto"/>
              <w:right w:val="single" w:sz="4" w:space="0" w:color="auto"/>
            </w:tcBorders>
            <w:shd w:val="clear" w:color="auto" w:fill="auto"/>
            <w:vAlign w:val="center"/>
            <w:hideMark/>
          </w:tcPr>
          <w:p w14:paraId="7F883AA1" w14:textId="46CB3EB1" w:rsidR="007912D4" w:rsidRPr="005C45AA" w:rsidRDefault="00BE60C7" w:rsidP="00BE60C7">
            <w:pPr>
              <w:pStyle w:val="BodyText"/>
              <w:spacing w:before="0" w:after="0"/>
              <w:jc w:val="center"/>
              <w:rPr>
                <w:lang w:val="en-US"/>
              </w:rPr>
            </w:pPr>
            <w:r w:rsidRPr="00BE60C7">
              <w:rPr>
                <w:color w:val="FFFFFF" w:themeColor="background1"/>
                <w:lang w:val="en-US"/>
              </w:rPr>
              <w:t>Regional</w:t>
            </w:r>
          </w:p>
        </w:tc>
      </w:tr>
      <w:tr w:rsidR="007912D4" w:rsidRPr="0077587B" w14:paraId="7C827BDE" w14:textId="77777777" w:rsidTr="00BE60C7">
        <w:trPr>
          <w:trHeight w:val="77"/>
        </w:trPr>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87A97E" w14:textId="77777777" w:rsidR="007912D4" w:rsidRPr="005C45AA" w:rsidRDefault="007912D4" w:rsidP="007912D4">
            <w:pPr>
              <w:pStyle w:val="BodyText"/>
              <w:spacing w:before="0" w:after="0"/>
              <w:rPr>
                <w:lang w:val="en-US"/>
              </w:rPr>
            </w:pPr>
            <w:r w:rsidRPr="005C45AA">
              <w:rPr>
                <w:lang w:val="en-US"/>
              </w:rPr>
              <w:t>ACT</w:t>
            </w:r>
          </w:p>
        </w:tc>
        <w:tc>
          <w:tcPr>
            <w:tcW w:w="4744" w:type="dxa"/>
            <w:tcBorders>
              <w:top w:val="single" w:sz="4" w:space="0" w:color="auto"/>
              <w:left w:val="single" w:sz="4" w:space="0" w:color="auto"/>
              <w:bottom w:val="single" w:sz="4" w:space="0" w:color="auto"/>
              <w:right w:val="single" w:sz="4" w:space="0" w:color="auto"/>
            </w:tcBorders>
            <w:noWrap/>
            <w:vAlign w:val="center"/>
            <w:hideMark/>
          </w:tcPr>
          <w:p w14:paraId="137E32D3" w14:textId="77777777" w:rsidR="007912D4" w:rsidRPr="005C45AA" w:rsidRDefault="007912D4" w:rsidP="007912D4">
            <w:pPr>
              <w:pStyle w:val="BodyText"/>
              <w:spacing w:before="0" w:after="0"/>
              <w:rPr>
                <w:lang w:val="en-US"/>
              </w:rPr>
            </w:pPr>
            <w:r w:rsidRPr="005C45AA">
              <w:rPr>
                <w:lang w:val="en-US"/>
              </w:rPr>
              <w:t>Australian Capital Territory</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70796E" w14:textId="77777777" w:rsidR="007912D4" w:rsidRPr="005C45AA" w:rsidRDefault="007912D4" w:rsidP="00BE60C7">
            <w:pPr>
              <w:pStyle w:val="BodyText"/>
              <w:spacing w:before="0" w:after="0"/>
              <w:jc w:val="center"/>
              <w:rPr>
                <w:lang w:val="en-US"/>
              </w:rPr>
            </w:pPr>
            <w:r w:rsidRPr="005C45AA">
              <w:rPr>
                <w:lang w:val="en-US"/>
              </w:rPr>
              <w:t>Major City</w:t>
            </w:r>
          </w:p>
        </w:tc>
        <w:tc>
          <w:tcPr>
            <w:tcW w:w="1371" w:type="dxa"/>
            <w:tcBorders>
              <w:top w:val="single" w:sz="4" w:space="0" w:color="auto"/>
              <w:left w:val="single" w:sz="4" w:space="0" w:color="auto"/>
              <w:bottom w:val="single" w:sz="4" w:space="0" w:color="auto"/>
              <w:right w:val="single" w:sz="4" w:space="0" w:color="auto"/>
            </w:tcBorders>
            <w:noWrap/>
            <w:vAlign w:val="center"/>
            <w:hideMark/>
          </w:tcPr>
          <w:p w14:paraId="54EF5451" w14:textId="77777777" w:rsidR="007912D4" w:rsidRPr="005C45AA" w:rsidRDefault="007912D4" w:rsidP="00BE60C7">
            <w:pPr>
              <w:pStyle w:val="BodyText"/>
              <w:spacing w:before="0" w:after="0"/>
              <w:jc w:val="center"/>
              <w:rPr>
                <w:lang w:val="en-US"/>
              </w:rPr>
            </w:pPr>
            <w:r w:rsidRPr="005C45AA">
              <w:rPr>
                <w:lang w:val="en-US"/>
              </w:rPr>
              <w:t>Major City</w:t>
            </w:r>
          </w:p>
        </w:tc>
      </w:tr>
    </w:tbl>
    <w:p w14:paraId="34D6E8B0" w14:textId="77777777" w:rsidR="00B658AE" w:rsidRDefault="00B658AE" w:rsidP="00B658AE">
      <w:pPr>
        <w:spacing w:after="160" w:line="259" w:lineRule="auto"/>
        <w:rPr>
          <w:b/>
          <w:bCs/>
          <w:sz w:val="32"/>
          <w:szCs w:val="32"/>
        </w:rPr>
      </w:pPr>
      <w:r>
        <w:rPr>
          <w:b/>
          <w:bCs/>
          <w:sz w:val="32"/>
          <w:szCs w:val="32"/>
        </w:rPr>
        <w:br w:type="page"/>
      </w:r>
    </w:p>
    <w:p w14:paraId="3B919329" w14:textId="05517C19" w:rsidR="00014962" w:rsidRDefault="00014962" w:rsidP="00332CEE">
      <w:pPr>
        <w:pStyle w:val="Heading2"/>
      </w:pPr>
      <w:bookmarkStart w:id="255" w:name="_Toc200637170"/>
      <w:bookmarkStart w:id="256" w:name="_Toc201070212"/>
      <w:bookmarkStart w:id="257" w:name="_Toc201919875"/>
      <w:bookmarkStart w:id="258" w:name="_Toc202361903"/>
      <w:r>
        <w:lastRenderedPageBreak/>
        <w:t>List of Figures</w:t>
      </w:r>
      <w:bookmarkEnd w:id="255"/>
      <w:bookmarkEnd w:id="256"/>
      <w:bookmarkEnd w:id="257"/>
      <w:bookmarkEnd w:id="258"/>
    </w:p>
    <w:p w14:paraId="0A3A423C" w14:textId="5FF13614" w:rsidR="00737C0D" w:rsidRPr="00737C0D" w:rsidRDefault="00014962"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r w:rsidRPr="00737C0D">
        <w:rPr>
          <w:rFonts w:cs="Arial"/>
          <w:sz w:val="20"/>
          <w:szCs w:val="20"/>
        </w:rPr>
        <w:fldChar w:fldCharType="begin"/>
      </w:r>
      <w:r w:rsidRPr="00737C0D">
        <w:rPr>
          <w:rFonts w:cs="Arial"/>
          <w:sz w:val="20"/>
          <w:szCs w:val="20"/>
        </w:rPr>
        <w:instrText xml:space="preserve"> TOC \h \z \c "Figure" </w:instrText>
      </w:r>
      <w:r w:rsidRPr="00737C0D">
        <w:rPr>
          <w:rFonts w:cs="Arial"/>
          <w:sz w:val="20"/>
          <w:szCs w:val="20"/>
        </w:rPr>
        <w:fldChar w:fldCharType="separate"/>
      </w:r>
      <w:hyperlink w:anchor="_Toc201916567" w:history="1">
        <w:r w:rsidR="00737C0D" w:rsidRPr="00737C0D">
          <w:rPr>
            <w:rStyle w:val="Hyperlink"/>
            <w:noProof/>
          </w:rPr>
          <w:t>Figure 1</w:t>
        </w:r>
        <w:r w:rsidR="00737C0D" w:rsidRPr="00737C0D">
          <w:rPr>
            <w:rStyle w:val="Hyperlink"/>
            <w:rFonts w:cs="Arial"/>
            <w:noProof/>
          </w:rPr>
          <w:t>: Overview of JSA Regional Roadmap- Phase 1 and Phase 2</w:t>
        </w:r>
        <w:r w:rsidR="00737C0D" w:rsidRPr="00737C0D">
          <w:rPr>
            <w:noProof/>
            <w:webHidden/>
          </w:rPr>
          <w:tab/>
        </w:r>
        <w:r w:rsidR="00737C0D" w:rsidRPr="00737C0D">
          <w:rPr>
            <w:noProof/>
            <w:webHidden/>
          </w:rPr>
          <w:fldChar w:fldCharType="begin"/>
        </w:r>
        <w:r w:rsidR="00737C0D" w:rsidRPr="00737C0D">
          <w:rPr>
            <w:noProof/>
            <w:webHidden/>
          </w:rPr>
          <w:instrText xml:space="preserve"> PAGEREF _Toc201916567 \h </w:instrText>
        </w:r>
        <w:r w:rsidR="00737C0D" w:rsidRPr="00737C0D">
          <w:rPr>
            <w:noProof/>
            <w:webHidden/>
          </w:rPr>
        </w:r>
        <w:r w:rsidR="00737C0D" w:rsidRPr="00737C0D">
          <w:rPr>
            <w:noProof/>
            <w:webHidden/>
          </w:rPr>
          <w:fldChar w:fldCharType="separate"/>
        </w:r>
        <w:r w:rsidR="00471863">
          <w:rPr>
            <w:noProof/>
            <w:webHidden/>
          </w:rPr>
          <w:t>13</w:t>
        </w:r>
        <w:r w:rsidR="00737C0D" w:rsidRPr="00737C0D">
          <w:rPr>
            <w:noProof/>
            <w:webHidden/>
          </w:rPr>
          <w:fldChar w:fldCharType="end"/>
        </w:r>
      </w:hyperlink>
    </w:p>
    <w:p w14:paraId="780BA98C" w14:textId="7EB4482F"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568" w:history="1">
        <w:r w:rsidRPr="00737C0D">
          <w:rPr>
            <w:rStyle w:val="Hyperlink"/>
            <w:noProof/>
          </w:rPr>
          <w:t xml:space="preserve">Figure 2: </w:t>
        </w:r>
        <w:r w:rsidRPr="00737C0D">
          <w:rPr>
            <w:rStyle w:val="Hyperlink"/>
            <w:rFonts w:cs="Arial"/>
            <w:noProof/>
          </w:rPr>
          <w:t>Selected statistics on the size and importance of Regional Australia</w:t>
        </w:r>
        <w:r w:rsidRPr="00737C0D">
          <w:rPr>
            <w:noProof/>
            <w:webHidden/>
          </w:rPr>
          <w:tab/>
        </w:r>
        <w:r w:rsidRPr="00737C0D">
          <w:rPr>
            <w:noProof/>
            <w:webHidden/>
          </w:rPr>
          <w:fldChar w:fldCharType="begin"/>
        </w:r>
        <w:r w:rsidRPr="00737C0D">
          <w:rPr>
            <w:noProof/>
            <w:webHidden/>
          </w:rPr>
          <w:instrText xml:space="preserve"> PAGEREF _Toc201916568 \h </w:instrText>
        </w:r>
        <w:r w:rsidRPr="00737C0D">
          <w:rPr>
            <w:noProof/>
            <w:webHidden/>
          </w:rPr>
        </w:r>
        <w:r w:rsidRPr="00737C0D">
          <w:rPr>
            <w:noProof/>
            <w:webHidden/>
          </w:rPr>
          <w:fldChar w:fldCharType="separate"/>
        </w:r>
        <w:r w:rsidR="00471863">
          <w:rPr>
            <w:noProof/>
            <w:webHidden/>
          </w:rPr>
          <w:t>16</w:t>
        </w:r>
        <w:r w:rsidRPr="00737C0D">
          <w:rPr>
            <w:noProof/>
            <w:webHidden/>
          </w:rPr>
          <w:fldChar w:fldCharType="end"/>
        </w:r>
      </w:hyperlink>
    </w:p>
    <w:p w14:paraId="72745113" w14:textId="349120C1"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569" w:history="1">
        <w:r w:rsidRPr="00737C0D">
          <w:rPr>
            <w:rStyle w:val="Hyperlink"/>
            <w:noProof/>
          </w:rPr>
          <w:t xml:space="preserve">Figure 3: JSA </w:t>
        </w:r>
        <w:r w:rsidRPr="00737C0D">
          <w:rPr>
            <w:rStyle w:val="Hyperlink"/>
            <w:rFonts w:cs="Arial"/>
            <w:noProof/>
          </w:rPr>
          <w:t>RLMI ratings of labour market strength by SA3 regions</w:t>
        </w:r>
        <w:r w:rsidRPr="00737C0D">
          <w:rPr>
            <w:noProof/>
            <w:webHidden/>
          </w:rPr>
          <w:tab/>
        </w:r>
        <w:r w:rsidRPr="00737C0D">
          <w:rPr>
            <w:noProof/>
            <w:webHidden/>
          </w:rPr>
          <w:fldChar w:fldCharType="begin"/>
        </w:r>
        <w:r w:rsidRPr="00737C0D">
          <w:rPr>
            <w:noProof/>
            <w:webHidden/>
          </w:rPr>
          <w:instrText xml:space="preserve"> PAGEREF _Toc201916569 \h </w:instrText>
        </w:r>
        <w:r w:rsidRPr="00737C0D">
          <w:rPr>
            <w:noProof/>
            <w:webHidden/>
          </w:rPr>
        </w:r>
        <w:r w:rsidRPr="00737C0D">
          <w:rPr>
            <w:noProof/>
            <w:webHidden/>
          </w:rPr>
          <w:fldChar w:fldCharType="separate"/>
        </w:r>
        <w:r w:rsidR="00471863">
          <w:rPr>
            <w:noProof/>
            <w:webHidden/>
          </w:rPr>
          <w:t>17</w:t>
        </w:r>
        <w:r w:rsidRPr="00737C0D">
          <w:rPr>
            <w:noProof/>
            <w:webHidden/>
          </w:rPr>
          <w:fldChar w:fldCharType="end"/>
        </w:r>
      </w:hyperlink>
    </w:p>
    <w:p w14:paraId="7357316C" w14:textId="72DB651A"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570" w:history="1">
        <w:r w:rsidRPr="00737C0D">
          <w:rPr>
            <w:rStyle w:val="Hyperlink"/>
            <w:noProof/>
          </w:rPr>
          <w:t xml:space="preserve">Figure 4: </w:t>
        </w:r>
        <w:r w:rsidRPr="00737C0D">
          <w:rPr>
            <w:rStyle w:val="Hyperlink"/>
            <w:rFonts w:cs="Arial"/>
            <w:noProof/>
          </w:rPr>
          <w:t>Visual representation of the definition of ‘Regional Australia’ for the purposes of the JSA Regional Roadmap</w:t>
        </w:r>
        <w:r w:rsidRPr="00737C0D">
          <w:rPr>
            <w:noProof/>
            <w:webHidden/>
          </w:rPr>
          <w:tab/>
        </w:r>
        <w:r w:rsidRPr="00737C0D">
          <w:rPr>
            <w:noProof/>
            <w:webHidden/>
          </w:rPr>
          <w:fldChar w:fldCharType="begin"/>
        </w:r>
        <w:r w:rsidRPr="00737C0D">
          <w:rPr>
            <w:noProof/>
            <w:webHidden/>
          </w:rPr>
          <w:instrText xml:space="preserve"> PAGEREF _Toc201916570 \h </w:instrText>
        </w:r>
        <w:r w:rsidRPr="00737C0D">
          <w:rPr>
            <w:noProof/>
            <w:webHidden/>
          </w:rPr>
        </w:r>
        <w:r w:rsidRPr="00737C0D">
          <w:rPr>
            <w:noProof/>
            <w:webHidden/>
          </w:rPr>
          <w:fldChar w:fldCharType="separate"/>
        </w:r>
        <w:r w:rsidR="00471863">
          <w:rPr>
            <w:noProof/>
            <w:webHidden/>
          </w:rPr>
          <w:t>19</w:t>
        </w:r>
        <w:r w:rsidRPr="00737C0D">
          <w:rPr>
            <w:noProof/>
            <w:webHidden/>
          </w:rPr>
          <w:fldChar w:fldCharType="end"/>
        </w:r>
      </w:hyperlink>
    </w:p>
    <w:p w14:paraId="730FEF3F" w14:textId="71573B4C"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571" w:history="1">
        <w:r w:rsidRPr="00737C0D">
          <w:rPr>
            <w:rStyle w:val="Hyperlink"/>
            <w:noProof/>
          </w:rPr>
          <w:t xml:space="preserve">Figure 5: </w:t>
        </w:r>
        <w:r w:rsidRPr="00737C0D">
          <w:rPr>
            <w:rStyle w:val="Hyperlink"/>
            <w:rFonts w:cs="Arial"/>
            <w:noProof/>
          </w:rPr>
          <w:t>Overview of the jobs and skills system, stakeholders and policies</w:t>
        </w:r>
        <w:r w:rsidRPr="00737C0D">
          <w:rPr>
            <w:noProof/>
            <w:webHidden/>
          </w:rPr>
          <w:tab/>
        </w:r>
        <w:r w:rsidRPr="00737C0D">
          <w:rPr>
            <w:noProof/>
            <w:webHidden/>
          </w:rPr>
          <w:fldChar w:fldCharType="begin"/>
        </w:r>
        <w:r w:rsidRPr="00737C0D">
          <w:rPr>
            <w:noProof/>
            <w:webHidden/>
          </w:rPr>
          <w:instrText xml:space="preserve"> PAGEREF _Toc201916571 \h </w:instrText>
        </w:r>
        <w:r w:rsidRPr="00737C0D">
          <w:rPr>
            <w:noProof/>
            <w:webHidden/>
          </w:rPr>
        </w:r>
        <w:r w:rsidRPr="00737C0D">
          <w:rPr>
            <w:noProof/>
            <w:webHidden/>
          </w:rPr>
          <w:fldChar w:fldCharType="separate"/>
        </w:r>
        <w:r w:rsidR="00471863">
          <w:rPr>
            <w:noProof/>
            <w:webHidden/>
          </w:rPr>
          <w:t>23</w:t>
        </w:r>
        <w:r w:rsidRPr="00737C0D">
          <w:rPr>
            <w:noProof/>
            <w:webHidden/>
          </w:rPr>
          <w:fldChar w:fldCharType="end"/>
        </w:r>
      </w:hyperlink>
    </w:p>
    <w:p w14:paraId="455A3D32" w14:textId="7AA0E910"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572" w:history="1">
        <w:r w:rsidRPr="00737C0D">
          <w:rPr>
            <w:rStyle w:val="Hyperlink"/>
            <w:noProof/>
          </w:rPr>
          <w:t>Figure 6: Issues impacting Regional Australia</w:t>
        </w:r>
        <w:r w:rsidRPr="00737C0D">
          <w:rPr>
            <w:noProof/>
            <w:webHidden/>
          </w:rPr>
          <w:tab/>
        </w:r>
        <w:r w:rsidRPr="00737C0D">
          <w:rPr>
            <w:noProof/>
            <w:webHidden/>
          </w:rPr>
          <w:fldChar w:fldCharType="begin"/>
        </w:r>
        <w:r w:rsidRPr="00737C0D">
          <w:rPr>
            <w:noProof/>
            <w:webHidden/>
          </w:rPr>
          <w:instrText xml:space="preserve"> PAGEREF _Toc201916572 \h </w:instrText>
        </w:r>
        <w:r w:rsidRPr="00737C0D">
          <w:rPr>
            <w:noProof/>
            <w:webHidden/>
          </w:rPr>
        </w:r>
        <w:r w:rsidRPr="00737C0D">
          <w:rPr>
            <w:noProof/>
            <w:webHidden/>
          </w:rPr>
          <w:fldChar w:fldCharType="separate"/>
        </w:r>
        <w:r w:rsidR="00471863">
          <w:rPr>
            <w:noProof/>
            <w:webHidden/>
          </w:rPr>
          <w:t>26</w:t>
        </w:r>
        <w:r w:rsidRPr="00737C0D">
          <w:rPr>
            <w:noProof/>
            <w:webHidden/>
          </w:rPr>
          <w:fldChar w:fldCharType="end"/>
        </w:r>
      </w:hyperlink>
    </w:p>
    <w:p w14:paraId="31EA8400" w14:textId="22B29AF6"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573" w:history="1">
        <w:r w:rsidRPr="00737C0D">
          <w:rPr>
            <w:rStyle w:val="Hyperlink"/>
            <w:noProof/>
          </w:rPr>
          <w:t>Figure 7: Strengths and attractions of Regional Australia</w:t>
        </w:r>
        <w:r w:rsidRPr="00737C0D">
          <w:rPr>
            <w:noProof/>
            <w:webHidden/>
          </w:rPr>
          <w:tab/>
        </w:r>
        <w:r w:rsidRPr="00737C0D">
          <w:rPr>
            <w:noProof/>
            <w:webHidden/>
          </w:rPr>
          <w:fldChar w:fldCharType="begin"/>
        </w:r>
        <w:r w:rsidRPr="00737C0D">
          <w:rPr>
            <w:noProof/>
            <w:webHidden/>
          </w:rPr>
          <w:instrText xml:space="preserve"> PAGEREF _Toc201916573 \h </w:instrText>
        </w:r>
        <w:r w:rsidRPr="00737C0D">
          <w:rPr>
            <w:noProof/>
            <w:webHidden/>
          </w:rPr>
        </w:r>
        <w:r w:rsidRPr="00737C0D">
          <w:rPr>
            <w:noProof/>
            <w:webHidden/>
          </w:rPr>
          <w:fldChar w:fldCharType="separate"/>
        </w:r>
        <w:r w:rsidR="00471863">
          <w:rPr>
            <w:noProof/>
            <w:webHidden/>
          </w:rPr>
          <w:t>27</w:t>
        </w:r>
        <w:r w:rsidRPr="00737C0D">
          <w:rPr>
            <w:noProof/>
            <w:webHidden/>
          </w:rPr>
          <w:fldChar w:fldCharType="end"/>
        </w:r>
      </w:hyperlink>
    </w:p>
    <w:p w14:paraId="0CD6CFDE" w14:textId="58AEFC4D"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574" w:history="1">
        <w:r w:rsidRPr="00737C0D">
          <w:rPr>
            <w:rStyle w:val="Hyperlink"/>
            <w:noProof/>
          </w:rPr>
          <w:t>Figure 8: Annual population growth (%), 2002 to 2024</w:t>
        </w:r>
        <w:r w:rsidRPr="00737C0D">
          <w:rPr>
            <w:noProof/>
            <w:webHidden/>
          </w:rPr>
          <w:tab/>
        </w:r>
        <w:r w:rsidRPr="00737C0D">
          <w:rPr>
            <w:noProof/>
            <w:webHidden/>
          </w:rPr>
          <w:fldChar w:fldCharType="begin"/>
        </w:r>
        <w:r w:rsidRPr="00737C0D">
          <w:rPr>
            <w:noProof/>
            <w:webHidden/>
          </w:rPr>
          <w:instrText xml:space="preserve"> PAGEREF _Toc201916574 \h </w:instrText>
        </w:r>
        <w:r w:rsidRPr="00737C0D">
          <w:rPr>
            <w:noProof/>
            <w:webHidden/>
          </w:rPr>
        </w:r>
        <w:r w:rsidRPr="00737C0D">
          <w:rPr>
            <w:noProof/>
            <w:webHidden/>
          </w:rPr>
          <w:fldChar w:fldCharType="separate"/>
        </w:r>
        <w:r w:rsidR="00471863">
          <w:rPr>
            <w:noProof/>
            <w:webHidden/>
          </w:rPr>
          <w:t>29</w:t>
        </w:r>
        <w:r w:rsidRPr="00737C0D">
          <w:rPr>
            <w:noProof/>
            <w:webHidden/>
          </w:rPr>
          <w:fldChar w:fldCharType="end"/>
        </w:r>
      </w:hyperlink>
    </w:p>
    <w:p w14:paraId="27F11F4A" w14:textId="6A010F83"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575" w:history="1">
        <w:r w:rsidRPr="00737C0D">
          <w:rPr>
            <w:rStyle w:val="Hyperlink"/>
            <w:noProof/>
          </w:rPr>
          <w:t>Figure 9: Population components, 2017 to 2024</w:t>
        </w:r>
        <w:r w:rsidRPr="00737C0D">
          <w:rPr>
            <w:noProof/>
            <w:webHidden/>
          </w:rPr>
          <w:tab/>
        </w:r>
        <w:r w:rsidRPr="00737C0D">
          <w:rPr>
            <w:noProof/>
            <w:webHidden/>
          </w:rPr>
          <w:fldChar w:fldCharType="begin"/>
        </w:r>
        <w:r w:rsidRPr="00737C0D">
          <w:rPr>
            <w:noProof/>
            <w:webHidden/>
          </w:rPr>
          <w:instrText xml:space="preserve"> PAGEREF _Toc201916575 \h </w:instrText>
        </w:r>
        <w:r w:rsidRPr="00737C0D">
          <w:rPr>
            <w:noProof/>
            <w:webHidden/>
          </w:rPr>
        </w:r>
        <w:r w:rsidRPr="00737C0D">
          <w:rPr>
            <w:noProof/>
            <w:webHidden/>
          </w:rPr>
          <w:fldChar w:fldCharType="separate"/>
        </w:r>
        <w:r w:rsidR="00471863">
          <w:rPr>
            <w:noProof/>
            <w:webHidden/>
          </w:rPr>
          <w:t>29</w:t>
        </w:r>
        <w:r w:rsidRPr="00737C0D">
          <w:rPr>
            <w:noProof/>
            <w:webHidden/>
          </w:rPr>
          <w:fldChar w:fldCharType="end"/>
        </w:r>
      </w:hyperlink>
    </w:p>
    <w:p w14:paraId="684A10BA" w14:textId="00BCADF7" w:rsidR="00737C0D" w:rsidRPr="00737C0D" w:rsidRDefault="00737C0D" w:rsidP="00737C0D">
      <w:pPr>
        <w:pStyle w:val="TableofFigures"/>
        <w:tabs>
          <w:tab w:val="right" w:leader="dot" w:pos="9016"/>
        </w:tabs>
        <w:spacing w:before="60" w:after="60"/>
        <w:rPr>
          <w:rFonts w:asciiTheme="minorHAnsi" w:eastAsiaTheme="minorEastAsia" w:hAnsiTheme="minorHAnsi"/>
          <w:noProof/>
          <w:kern w:val="2"/>
          <w:lang w:eastAsia="en-AU"/>
          <w14:ligatures w14:val="standardContextual"/>
        </w:rPr>
      </w:pPr>
      <w:hyperlink w:anchor="_Toc201916576" w:history="1">
        <w:r w:rsidRPr="00737C0D">
          <w:rPr>
            <w:rStyle w:val="Hyperlink"/>
            <w:noProof/>
          </w:rPr>
          <w:t>Figure 10: Proportion of population (%) by age by remoteness category, 2025</w:t>
        </w:r>
        <w:r w:rsidRPr="00737C0D">
          <w:rPr>
            <w:noProof/>
            <w:webHidden/>
          </w:rPr>
          <w:tab/>
        </w:r>
        <w:r w:rsidRPr="00737C0D">
          <w:rPr>
            <w:noProof/>
            <w:webHidden/>
          </w:rPr>
          <w:fldChar w:fldCharType="begin"/>
        </w:r>
        <w:r w:rsidRPr="00737C0D">
          <w:rPr>
            <w:noProof/>
            <w:webHidden/>
          </w:rPr>
          <w:instrText xml:space="preserve"> PAGEREF _Toc201916576 \h </w:instrText>
        </w:r>
        <w:r w:rsidRPr="00737C0D">
          <w:rPr>
            <w:noProof/>
            <w:webHidden/>
          </w:rPr>
        </w:r>
        <w:r w:rsidRPr="00737C0D">
          <w:rPr>
            <w:noProof/>
            <w:webHidden/>
          </w:rPr>
          <w:fldChar w:fldCharType="separate"/>
        </w:r>
        <w:r w:rsidR="00471863">
          <w:rPr>
            <w:noProof/>
            <w:webHidden/>
          </w:rPr>
          <w:t>30</w:t>
        </w:r>
        <w:r w:rsidRPr="00737C0D">
          <w:rPr>
            <w:noProof/>
            <w:webHidden/>
          </w:rPr>
          <w:fldChar w:fldCharType="end"/>
        </w:r>
      </w:hyperlink>
    </w:p>
    <w:p w14:paraId="7C70AE45" w14:textId="5283D7E6"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577" w:history="1">
        <w:r w:rsidRPr="00737C0D">
          <w:rPr>
            <w:rStyle w:val="Hyperlink"/>
            <w:noProof/>
          </w:rPr>
          <w:t>Figure 11: Skill level employment share, change (% pts) between 2019 and 2024</w:t>
        </w:r>
        <w:r w:rsidRPr="00737C0D">
          <w:rPr>
            <w:noProof/>
            <w:webHidden/>
          </w:rPr>
          <w:tab/>
        </w:r>
        <w:r w:rsidRPr="00737C0D">
          <w:rPr>
            <w:noProof/>
            <w:webHidden/>
          </w:rPr>
          <w:fldChar w:fldCharType="begin"/>
        </w:r>
        <w:r w:rsidRPr="00737C0D">
          <w:rPr>
            <w:noProof/>
            <w:webHidden/>
          </w:rPr>
          <w:instrText xml:space="preserve"> PAGEREF _Toc201916577 \h </w:instrText>
        </w:r>
        <w:r w:rsidRPr="00737C0D">
          <w:rPr>
            <w:noProof/>
            <w:webHidden/>
          </w:rPr>
        </w:r>
        <w:r w:rsidRPr="00737C0D">
          <w:rPr>
            <w:noProof/>
            <w:webHidden/>
          </w:rPr>
          <w:fldChar w:fldCharType="separate"/>
        </w:r>
        <w:r w:rsidR="00471863">
          <w:rPr>
            <w:noProof/>
            <w:webHidden/>
          </w:rPr>
          <w:t>31</w:t>
        </w:r>
        <w:r w:rsidRPr="00737C0D">
          <w:rPr>
            <w:noProof/>
            <w:webHidden/>
          </w:rPr>
          <w:fldChar w:fldCharType="end"/>
        </w:r>
      </w:hyperlink>
    </w:p>
    <w:p w14:paraId="09DA9331" w14:textId="089FBB3B"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578" w:history="1">
        <w:r w:rsidRPr="00737C0D">
          <w:rPr>
            <w:rStyle w:val="Hyperlink"/>
            <w:noProof/>
          </w:rPr>
          <w:t>Figure 12: Regions with high proportions of local employment in transitioning industries</w:t>
        </w:r>
        <w:r w:rsidRPr="00737C0D">
          <w:rPr>
            <w:noProof/>
            <w:webHidden/>
          </w:rPr>
          <w:tab/>
        </w:r>
        <w:r w:rsidRPr="00737C0D">
          <w:rPr>
            <w:noProof/>
            <w:webHidden/>
          </w:rPr>
          <w:fldChar w:fldCharType="begin"/>
        </w:r>
        <w:r w:rsidRPr="00737C0D">
          <w:rPr>
            <w:noProof/>
            <w:webHidden/>
          </w:rPr>
          <w:instrText xml:space="preserve"> PAGEREF _Toc201916578 \h </w:instrText>
        </w:r>
        <w:r w:rsidRPr="00737C0D">
          <w:rPr>
            <w:noProof/>
            <w:webHidden/>
          </w:rPr>
        </w:r>
        <w:r w:rsidRPr="00737C0D">
          <w:rPr>
            <w:noProof/>
            <w:webHidden/>
          </w:rPr>
          <w:fldChar w:fldCharType="separate"/>
        </w:r>
        <w:r w:rsidR="00471863">
          <w:rPr>
            <w:noProof/>
            <w:webHidden/>
          </w:rPr>
          <w:t>33</w:t>
        </w:r>
        <w:r w:rsidRPr="00737C0D">
          <w:rPr>
            <w:noProof/>
            <w:webHidden/>
          </w:rPr>
          <w:fldChar w:fldCharType="end"/>
        </w:r>
      </w:hyperlink>
    </w:p>
    <w:p w14:paraId="214D77AC" w14:textId="5C08F08A"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579" w:history="1">
        <w:r w:rsidRPr="00737C0D">
          <w:rPr>
            <w:rStyle w:val="Hyperlink"/>
            <w:noProof/>
          </w:rPr>
          <w:t>Figure 13: School student non-attendance rates, by Regional Australia and Major City</w:t>
        </w:r>
        <w:r w:rsidRPr="00737C0D">
          <w:rPr>
            <w:noProof/>
            <w:webHidden/>
          </w:rPr>
          <w:tab/>
        </w:r>
        <w:r w:rsidRPr="00737C0D">
          <w:rPr>
            <w:noProof/>
            <w:webHidden/>
          </w:rPr>
          <w:fldChar w:fldCharType="begin"/>
        </w:r>
        <w:r w:rsidRPr="00737C0D">
          <w:rPr>
            <w:noProof/>
            <w:webHidden/>
          </w:rPr>
          <w:instrText xml:space="preserve"> PAGEREF _Toc201916579 \h </w:instrText>
        </w:r>
        <w:r w:rsidRPr="00737C0D">
          <w:rPr>
            <w:noProof/>
            <w:webHidden/>
          </w:rPr>
        </w:r>
        <w:r w:rsidRPr="00737C0D">
          <w:rPr>
            <w:noProof/>
            <w:webHidden/>
          </w:rPr>
          <w:fldChar w:fldCharType="separate"/>
        </w:r>
        <w:r w:rsidR="00471863">
          <w:rPr>
            <w:noProof/>
            <w:webHidden/>
          </w:rPr>
          <w:t>44</w:t>
        </w:r>
        <w:r w:rsidRPr="00737C0D">
          <w:rPr>
            <w:noProof/>
            <w:webHidden/>
          </w:rPr>
          <w:fldChar w:fldCharType="end"/>
        </w:r>
      </w:hyperlink>
    </w:p>
    <w:p w14:paraId="33F4D628" w14:textId="5E98865E"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580" w:history="1">
        <w:r w:rsidRPr="00737C0D">
          <w:rPr>
            <w:rStyle w:val="Hyperlink"/>
            <w:noProof/>
          </w:rPr>
          <w:t>Figure 14: Youth (18-24) NEET rate (%), by Major City and Regional Australia</w:t>
        </w:r>
        <w:r w:rsidRPr="00737C0D">
          <w:rPr>
            <w:noProof/>
            <w:webHidden/>
          </w:rPr>
          <w:tab/>
        </w:r>
        <w:r w:rsidRPr="00737C0D">
          <w:rPr>
            <w:noProof/>
            <w:webHidden/>
          </w:rPr>
          <w:fldChar w:fldCharType="begin"/>
        </w:r>
        <w:r w:rsidRPr="00737C0D">
          <w:rPr>
            <w:noProof/>
            <w:webHidden/>
          </w:rPr>
          <w:instrText xml:space="preserve"> PAGEREF _Toc201916580 \h </w:instrText>
        </w:r>
        <w:r w:rsidRPr="00737C0D">
          <w:rPr>
            <w:noProof/>
            <w:webHidden/>
          </w:rPr>
        </w:r>
        <w:r w:rsidRPr="00737C0D">
          <w:rPr>
            <w:noProof/>
            <w:webHidden/>
          </w:rPr>
          <w:fldChar w:fldCharType="separate"/>
        </w:r>
        <w:r w:rsidR="00471863">
          <w:rPr>
            <w:noProof/>
            <w:webHidden/>
          </w:rPr>
          <w:t>46</w:t>
        </w:r>
        <w:r w:rsidRPr="00737C0D">
          <w:rPr>
            <w:noProof/>
            <w:webHidden/>
          </w:rPr>
          <w:fldChar w:fldCharType="end"/>
        </w:r>
      </w:hyperlink>
    </w:p>
    <w:p w14:paraId="52C879BF" w14:textId="4E9D7F26"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581" w:history="1">
        <w:r w:rsidRPr="00737C0D">
          <w:rPr>
            <w:rStyle w:val="Hyperlink"/>
            <w:noProof/>
          </w:rPr>
          <w:t>Figure 15: Youth (18-24) NEET rate (%), by gender in Regional Australia, 2016 and 2021</w:t>
        </w:r>
        <w:r w:rsidRPr="00737C0D">
          <w:rPr>
            <w:noProof/>
            <w:webHidden/>
          </w:rPr>
          <w:tab/>
        </w:r>
        <w:r w:rsidRPr="00737C0D">
          <w:rPr>
            <w:noProof/>
            <w:webHidden/>
          </w:rPr>
          <w:fldChar w:fldCharType="begin"/>
        </w:r>
        <w:r w:rsidRPr="00737C0D">
          <w:rPr>
            <w:noProof/>
            <w:webHidden/>
          </w:rPr>
          <w:instrText xml:space="preserve"> PAGEREF _Toc201916581 \h </w:instrText>
        </w:r>
        <w:r w:rsidRPr="00737C0D">
          <w:rPr>
            <w:noProof/>
            <w:webHidden/>
          </w:rPr>
        </w:r>
        <w:r w:rsidRPr="00737C0D">
          <w:rPr>
            <w:noProof/>
            <w:webHidden/>
          </w:rPr>
          <w:fldChar w:fldCharType="separate"/>
        </w:r>
        <w:r w:rsidR="00471863">
          <w:rPr>
            <w:noProof/>
            <w:webHidden/>
          </w:rPr>
          <w:t>47</w:t>
        </w:r>
        <w:r w:rsidRPr="00737C0D">
          <w:rPr>
            <w:noProof/>
            <w:webHidden/>
          </w:rPr>
          <w:fldChar w:fldCharType="end"/>
        </w:r>
      </w:hyperlink>
    </w:p>
    <w:p w14:paraId="6FF37D95" w14:textId="75AD220E"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582" w:history="1">
        <w:r w:rsidRPr="00737C0D">
          <w:rPr>
            <w:rStyle w:val="Hyperlink"/>
            <w:noProof/>
          </w:rPr>
          <w:t>Figure 16: Prime age (25-54) participation rate (%), by Major City and Regional Australia</w:t>
        </w:r>
        <w:r w:rsidRPr="00737C0D">
          <w:rPr>
            <w:noProof/>
            <w:webHidden/>
          </w:rPr>
          <w:tab/>
        </w:r>
        <w:r w:rsidRPr="00737C0D">
          <w:rPr>
            <w:noProof/>
            <w:webHidden/>
          </w:rPr>
          <w:fldChar w:fldCharType="begin"/>
        </w:r>
        <w:r w:rsidRPr="00737C0D">
          <w:rPr>
            <w:noProof/>
            <w:webHidden/>
          </w:rPr>
          <w:instrText xml:space="preserve"> PAGEREF _Toc201916582 \h </w:instrText>
        </w:r>
        <w:r w:rsidRPr="00737C0D">
          <w:rPr>
            <w:noProof/>
            <w:webHidden/>
          </w:rPr>
        </w:r>
        <w:r w:rsidRPr="00737C0D">
          <w:rPr>
            <w:noProof/>
            <w:webHidden/>
          </w:rPr>
          <w:fldChar w:fldCharType="separate"/>
        </w:r>
        <w:r w:rsidR="00471863">
          <w:rPr>
            <w:noProof/>
            <w:webHidden/>
          </w:rPr>
          <w:t>48</w:t>
        </w:r>
        <w:r w:rsidRPr="00737C0D">
          <w:rPr>
            <w:noProof/>
            <w:webHidden/>
          </w:rPr>
          <w:fldChar w:fldCharType="end"/>
        </w:r>
      </w:hyperlink>
    </w:p>
    <w:p w14:paraId="6B25BE3A" w14:textId="410BFE5F"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583" w:history="1">
        <w:r w:rsidRPr="00737C0D">
          <w:rPr>
            <w:rStyle w:val="Hyperlink"/>
            <w:noProof/>
          </w:rPr>
          <w:t>Figure 17: Prime age (25-54) participation rate (%), selected cohorts, Regional Australia and Major City</w:t>
        </w:r>
        <w:r w:rsidRPr="00737C0D">
          <w:rPr>
            <w:noProof/>
            <w:webHidden/>
          </w:rPr>
          <w:tab/>
        </w:r>
        <w:r w:rsidRPr="00737C0D">
          <w:rPr>
            <w:noProof/>
            <w:webHidden/>
          </w:rPr>
          <w:fldChar w:fldCharType="begin"/>
        </w:r>
        <w:r w:rsidRPr="00737C0D">
          <w:rPr>
            <w:noProof/>
            <w:webHidden/>
          </w:rPr>
          <w:instrText xml:space="preserve"> PAGEREF _Toc201916583 \h </w:instrText>
        </w:r>
        <w:r w:rsidRPr="00737C0D">
          <w:rPr>
            <w:noProof/>
            <w:webHidden/>
          </w:rPr>
        </w:r>
        <w:r w:rsidRPr="00737C0D">
          <w:rPr>
            <w:noProof/>
            <w:webHidden/>
          </w:rPr>
          <w:fldChar w:fldCharType="separate"/>
        </w:r>
        <w:r w:rsidR="00471863">
          <w:rPr>
            <w:noProof/>
            <w:webHidden/>
          </w:rPr>
          <w:t>49</w:t>
        </w:r>
        <w:r w:rsidRPr="00737C0D">
          <w:rPr>
            <w:noProof/>
            <w:webHidden/>
          </w:rPr>
          <w:fldChar w:fldCharType="end"/>
        </w:r>
      </w:hyperlink>
    </w:p>
    <w:p w14:paraId="21FFB613" w14:textId="6A89FED2"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584" w:history="1">
        <w:r w:rsidRPr="00737C0D">
          <w:rPr>
            <w:rStyle w:val="Hyperlink"/>
            <w:noProof/>
          </w:rPr>
          <w:t>Figure 18: Unemployment rate (%), by Major City and Regional Australia</w:t>
        </w:r>
        <w:r w:rsidRPr="00737C0D">
          <w:rPr>
            <w:noProof/>
            <w:webHidden/>
          </w:rPr>
          <w:tab/>
        </w:r>
        <w:r w:rsidRPr="00737C0D">
          <w:rPr>
            <w:noProof/>
            <w:webHidden/>
          </w:rPr>
          <w:fldChar w:fldCharType="begin"/>
        </w:r>
        <w:r w:rsidRPr="00737C0D">
          <w:rPr>
            <w:noProof/>
            <w:webHidden/>
          </w:rPr>
          <w:instrText xml:space="preserve"> PAGEREF _Toc201916584 \h </w:instrText>
        </w:r>
        <w:r w:rsidRPr="00737C0D">
          <w:rPr>
            <w:noProof/>
            <w:webHidden/>
          </w:rPr>
        </w:r>
        <w:r w:rsidRPr="00737C0D">
          <w:rPr>
            <w:noProof/>
            <w:webHidden/>
          </w:rPr>
          <w:fldChar w:fldCharType="separate"/>
        </w:r>
        <w:r w:rsidR="00471863">
          <w:rPr>
            <w:noProof/>
            <w:webHidden/>
          </w:rPr>
          <w:t>50</w:t>
        </w:r>
        <w:r w:rsidRPr="00737C0D">
          <w:rPr>
            <w:noProof/>
            <w:webHidden/>
          </w:rPr>
          <w:fldChar w:fldCharType="end"/>
        </w:r>
      </w:hyperlink>
    </w:p>
    <w:p w14:paraId="69F8CC3E" w14:textId="17D4148D"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585" w:history="1">
        <w:r w:rsidRPr="00737C0D">
          <w:rPr>
            <w:rStyle w:val="Hyperlink"/>
            <w:noProof/>
          </w:rPr>
          <w:t>Figure 19: Proportion of population (15-64) on income support for more than 5 years (%), by Major City and Regional Australia</w:t>
        </w:r>
        <w:r w:rsidRPr="00737C0D">
          <w:rPr>
            <w:noProof/>
            <w:webHidden/>
          </w:rPr>
          <w:tab/>
        </w:r>
        <w:r w:rsidRPr="00737C0D">
          <w:rPr>
            <w:noProof/>
            <w:webHidden/>
          </w:rPr>
          <w:fldChar w:fldCharType="begin"/>
        </w:r>
        <w:r w:rsidRPr="00737C0D">
          <w:rPr>
            <w:noProof/>
            <w:webHidden/>
          </w:rPr>
          <w:instrText xml:space="preserve"> PAGEREF _Toc201916585 \h </w:instrText>
        </w:r>
        <w:r w:rsidRPr="00737C0D">
          <w:rPr>
            <w:noProof/>
            <w:webHidden/>
          </w:rPr>
        </w:r>
        <w:r w:rsidRPr="00737C0D">
          <w:rPr>
            <w:noProof/>
            <w:webHidden/>
          </w:rPr>
          <w:fldChar w:fldCharType="separate"/>
        </w:r>
        <w:r w:rsidR="00471863">
          <w:rPr>
            <w:noProof/>
            <w:webHidden/>
          </w:rPr>
          <w:t>51</w:t>
        </w:r>
        <w:r w:rsidRPr="00737C0D">
          <w:rPr>
            <w:noProof/>
            <w:webHidden/>
          </w:rPr>
          <w:fldChar w:fldCharType="end"/>
        </w:r>
      </w:hyperlink>
    </w:p>
    <w:p w14:paraId="08C06275" w14:textId="30A73766"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586" w:history="1">
        <w:r w:rsidRPr="00737C0D">
          <w:rPr>
            <w:rStyle w:val="Hyperlink"/>
            <w:noProof/>
          </w:rPr>
          <w:t>Figure 20: Youth (15-24 years) tertiary participation rates (%) by Major City and Regional Australia</w:t>
        </w:r>
        <w:r w:rsidRPr="00737C0D">
          <w:rPr>
            <w:noProof/>
            <w:webHidden/>
          </w:rPr>
          <w:tab/>
        </w:r>
        <w:r w:rsidRPr="00737C0D">
          <w:rPr>
            <w:noProof/>
            <w:webHidden/>
          </w:rPr>
          <w:fldChar w:fldCharType="begin"/>
        </w:r>
        <w:r w:rsidRPr="00737C0D">
          <w:rPr>
            <w:noProof/>
            <w:webHidden/>
          </w:rPr>
          <w:instrText xml:space="preserve"> PAGEREF _Toc201916586 \h </w:instrText>
        </w:r>
        <w:r w:rsidRPr="00737C0D">
          <w:rPr>
            <w:noProof/>
            <w:webHidden/>
          </w:rPr>
        </w:r>
        <w:r w:rsidRPr="00737C0D">
          <w:rPr>
            <w:noProof/>
            <w:webHidden/>
          </w:rPr>
          <w:fldChar w:fldCharType="separate"/>
        </w:r>
        <w:r w:rsidR="00471863">
          <w:rPr>
            <w:noProof/>
            <w:webHidden/>
          </w:rPr>
          <w:t>58</w:t>
        </w:r>
        <w:r w:rsidRPr="00737C0D">
          <w:rPr>
            <w:noProof/>
            <w:webHidden/>
          </w:rPr>
          <w:fldChar w:fldCharType="end"/>
        </w:r>
      </w:hyperlink>
    </w:p>
    <w:p w14:paraId="578DE69D" w14:textId="4EF46769"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587" w:history="1">
        <w:r w:rsidRPr="00737C0D">
          <w:rPr>
            <w:rStyle w:val="Hyperlink"/>
            <w:noProof/>
          </w:rPr>
          <w:t>Figure 21: Youth share of higher education, VET and population (%) by Major City and Regional Australia</w:t>
        </w:r>
        <w:r w:rsidRPr="00737C0D">
          <w:rPr>
            <w:noProof/>
            <w:webHidden/>
          </w:rPr>
          <w:tab/>
        </w:r>
        <w:r w:rsidRPr="00737C0D">
          <w:rPr>
            <w:noProof/>
            <w:webHidden/>
          </w:rPr>
          <w:fldChar w:fldCharType="begin"/>
        </w:r>
        <w:r w:rsidRPr="00737C0D">
          <w:rPr>
            <w:noProof/>
            <w:webHidden/>
          </w:rPr>
          <w:instrText xml:space="preserve"> PAGEREF _Toc201916587 \h </w:instrText>
        </w:r>
        <w:r w:rsidRPr="00737C0D">
          <w:rPr>
            <w:noProof/>
            <w:webHidden/>
          </w:rPr>
        </w:r>
        <w:r w:rsidRPr="00737C0D">
          <w:rPr>
            <w:noProof/>
            <w:webHidden/>
          </w:rPr>
          <w:fldChar w:fldCharType="separate"/>
        </w:r>
        <w:r w:rsidR="00471863">
          <w:rPr>
            <w:noProof/>
            <w:webHidden/>
          </w:rPr>
          <w:t>58</w:t>
        </w:r>
        <w:r w:rsidRPr="00737C0D">
          <w:rPr>
            <w:noProof/>
            <w:webHidden/>
          </w:rPr>
          <w:fldChar w:fldCharType="end"/>
        </w:r>
      </w:hyperlink>
    </w:p>
    <w:p w14:paraId="79D4F324" w14:textId="78E1FDE1"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588" w:history="1">
        <w:r w:rsidRPr="00737C0D">
          <w:rPr>
            <w:rStyle w:val="Hyperlink"/>
            <w:noProof/>
          </w:rPr>
          <w:t>Figure 22: Completion rates for apprentices and trainees (commencing year 2019) – all occupations, by Regional Australia and Major City (%)</w:t>
        </w:r>
        <w:r w:rsidRPr="00737C0D">
          <w:rPr>
            <w:noProof/>
            <w:webHidden/>
          </w:rPr>
          <w:tab/>
        </w:r>
        <w:r w:rsidRPr="00737C0D">
          <w:rPr>
            <w:noProof/>
            <w:webHidden/>
          </w:rPr>
          <w:fldChar w:fldCharType="begin"/>
        </w:r>
        <w:r w:rsidRPr="00737C0D">
          <w:rPr>
            <w:noProof/>
            <w:webHidden/>
          </w:rPr>
          <w:instrText xml:space="preserve"> PAGEREF _Toc201916588 \h </w:instrText>
        </w:r>
        <w:r w:rsidRPr="00737C0D">
          <w:rPr>
            <w:noProof/>
            <w:webHidden/>
          </w:rPr>
        </w:r>
        <w:r w:rsidRPr="00737C0D">
          <w:rPr>
            <w:noProof/>
            <w:webHidden/>
          </w:rPr>
          <w:fldChar w:fldCharType="separate"/>
        </w:r>
        <w:r w:rsidR="00471863">
          <w:rPr>
            <w:noProof/>
            <w:webHidden/>
          </w:rPr>
          <w:t>62</w:t>
        </w:r>
        <w:r w:rsidRPr="00737C0D">
          <w:rPr>
            <w:noProof/>
            <w:webHidden/>
          </w:rPr>
          <w:fldChar w:fldCharType="end"/>
        </w:r>
      </w:hyperlink>
    </w:p>
    <w:p w14:paraId="7980B1AC" w14:textId="6F9D2315"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589" w:history="1">
        <w:r w:rsidRPr="00737C0D">
          <w:rPr>
            <w:rStyle w:val="Hyperlink"/>
            <w:noProof/>
          </w:rPr>
          <w:t>Figure 23: Share of trade apprenticeship commencements that are female (15-29 years) (%)</w:t>
        </w:r>
        <w:r w:rsidRPr="00737C0D">
          <w:rPr>
            <w:noProof/>
            <w:webHidden/>
          </w:rPr>
          <w:tab/>
        </w:r>
        <w:r w:rsidRPr="00737C0D">
          <w:rPr>
            <w:noProof/>
            <w:webHidden/>
          </w:rPr>
          <w:fldChar w:fldCharType="begin"/>
        </w:r>
        <w:r w:rsidRPr="00737C0D">
          <w:rPr>
            <w:noProof/>
            <w:webHidden/>
          </w:rPr>
          <w:instrText xml:space="preserve"> PAGEREF _Toc201916589 \h </w:instrText>
        </w:r>
        <w:r w:rsidRPr="00737C0D">
          <w:rPr>
            <w:noProof/>
            <w:webHidden/>
          </w:rPr>
        </w:r>
        <w:r w:rsidRPr="00737C0D">
          <w:rPr>
            <w:noProof/>
            <w:webHidden/>
          </w:rPr>
          <w:fldChar w:fldCharType="separate"/>
        </w:r>
        <w:r w:rsidR="00471863">
          <w:rPr>
            <w:noProof/>
            <w:webHidden/>
          </w:rPr>
          <w:t>63</w:t>
        </w:r>
        <w:r w:rsidRPr="00737C0D">
          <w:rPr>
            <w:noProof/>
            <w:webHidden/>
          </w:rPr>
          <w:fldChar w:fldCharType="end"/>
        </w:r>
      </w:hyperlink>
    </w:p>
    <w:p w14:paraId="592D0E97" w14:textId="18973F81"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590" w:history="1">
        <w:r w:rsidRPr="00737C0D">
          <w:rPr>
            <w:rStyle w:val="Hyperlink"/>
            <w:noProof/>
          </w:rPr>
          <w:t>Figure 24: Proportion working at lower skilled level than qualification (%), by Major City and Regional Australia</w:t>
        </w:r>
        <w:r w:rsidRPr="00737C0D">
          <w:rPr>
            <w:noProof/>
            <w:webHidden/>
          </w:rPr>
          <w:tab/>
        </w:r>
        <w:r w:rsidRPr="00737C0D">
          <w:rPr>
            <w:noProof/>
            <w:webHidden/>
          </w:rPr>
          <w:fldChar w:fldCharType="begin"/>
        </w:r>
        <w:r w:rsidRPr="00737C0D">
          <w:rPr>
            <w:noProof/>
            <w:webHidden/>
          </w:rPr>
          <w:instrText xml:space="preserve"> PAGEREF _Toc201916590 \h </w:instrText>
        </w:r>
        <w:r w:rsidRPr="00737C0D">
          <w:rPr>
            <w:noProof/>
            <w:webHidden/>
          </w:rPr>
        </w:r>
        <w:r w:rsidRPr="00737C0D">
          <w:rPr>
            <w:noProof/>
            <w:webHidden/>
          </w:rPr>
          <w:fldChar w:fldCharType="separate"/>
        </w:r>
        <w:r w:rsidR="00471863">
          <w:rPr>
            <w:noProof/>
            <w:webHidden/>
          </w:rPr>
          <w:t>64</w:t>
        </w:r>
        <w:r w:rsidRPr="00737C0D">
          <w:rPr>
            <w:noProof/>
            <w:webHidden/>
          </w:rPr>
          <w:fldChar w:fldCharType="end"/>
        </w:r>
      </w:hyperlink>
    </w:p>
    <w:p w14:paraId="3095A17B" w14:textId="31E5269F"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591" w:history="1">
        <w:r w:rsidRPr="00737C0D">
          <w:rPr>
            <w:rStyle w:val="Hyperlink"/>
            <w:noProof/>
          </w:rPr>
          <w:t>Figure 25: Proportion working at lower skilled level than qualification (%), by Major City and Regional Australia</w:t>
        </w:r>
        <w:r w:rsidRPr="00737C0D">
          <w:rPr>
            <w:noProof/>
            <w:webHidden/>
          </w:rPr>
          <w:tab/>
        </w:r>
        <w:r w:rsidRPr="00737C0D">
          <w:rPr>
            <w:noProof/>
            <w:webHidden/>
          </w:rPr>
          <w:fldChar w:fldCharType="begin"/>
        </w:r>
        <w:r w:rsidRPr="00737C0D">
          <w:rPr>
            <w:noProof/>
            <w:webHidden/>
          </w:rPr>
          <w:instrText xml:space="preserve"> PAGEREF _Toc201916591 \h </w:instrText>
        </w:r>
        <w:r w:rsidRPr="00737C0D">
          <w:rPr>
            <w:noProof/>
            <w:webHidden/>
          </w:rPr>
        </w:r>
        <w:r w:rsidRPr="00737C0D">
          <w:rPr>
            <w:noProof/>
            <w:webHidden/>
          </w:rPr>
          <w:fldChar w:fldCharType="separate"/>
        </w:r>
        <w:r w:rsidR="00471863">
          <w:rPr>
            <w:noProof/>
            <w:webHidden/>
          </w:rPr>
          <w:t>65</w:t>
        </w:r>
        <w:r w:rsidRPr="00737C0D">
          <w:rPr>
            <w:noProof/>
            <w:webHidden/>
          </w:rPr>
          <w:fldChar w:fldCharType="end"/>
        </w:r>
      </w:hyperlink>
    </w:p>
    <w:p w14:paraId="7760B15D" w14:textId="1B2F2ADD"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592" w:history="1">
        <w:r w:rsidRPr="00737C0D">
          <w:rPr>
            <w:rStyle w:val="Hyperlink"/>
            <w:noProof/>
          </w:rPr>
          <w:t>Figure 26: Proportion of population (25-44 years) working in the same field as most relevant qualifications (%), by Major City and Regional Australia</w:t>
        </w:r>
        <w:r w:rsidRPr="00737C0D">
          <w:rPr>
            <w:noProof/>
            <w:webHidden/>
          </w:rPr>
          <w:tab/>
        </w:r>
        <w:r w:rsidRPr="00737C0D">
          <w:rPr>
            <w:noProof/>
            <w:webHidden/>
          </w:rPr>
          <w:fldChar w:fldCharType="begin"/>
        </w:r>
        <w:r w:rsidRPr="00737C0D">
          <w:rPr>
            <w:noProof/>
            <w:webHidden/>
          </w:rPr>
          <w:instrText xml:space="preserve"> PAGEREF _Toc201916592 \h </w:instrText>
        </w:r>
        <w:r w:rsidRPr="00737C0D">
          <w:rPr>
            <w:noProof/>
            <w:webHidden/>
          </w:rPr>
        </w:r>
        <w:r w:rsidRPr="00737C0D">
          <w:rPr>
            <w:noProof/>
            <w:webHidden/>
          </w:rPr>
          <w:fldChar w:fldCharType="separate"/>
        </w:r>
        <w:r w:rsidR="00471863">
          <w:rPr>
            <w:noProof/>
            <w:webHidden/>
          </w:rPr>
          <w:t>66</w:t>
        </w:r>
        <w:r w:rsidRPr="00737C0D">
          <w:rPr>
            <w:noProof/>
            <w:webHidden/>
          </w:rPr>
          <w:fldChar w:fldCharType="end"/>
        </w:r>
      </w:hyperlink>
    </w:p>
    <w:p w14:paraId="53813A24" w14:textId="4A8B12BB"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593" w:history="1">
        <w:r w:rsidRPr="00737C0D">
          <w:rPr>
            <w:rStyle w:val="Hyperlink"/>
            <w:noProof/>
          </w:rPr>
          <w:t>Figure 27: Students who have attended a regional school who return to live in Regional Australia after studying at university in a Major City (%)</w:t>
        </w:r>
        <w:r w:rsidRPr="00737C0D">
          <w:rPr>
            <w:noProof/>
            <w:webHidden/>
          </w:rPr>
          <w:tab/>
        </w:r>
        <w:r w:rsidRPr="00737C0D">
          <w:rPr>
            <w:noProof/>
            <w:webHidden/>
          </w:rPr>
          <w:fldChar w:fldCharType="begin"/>
        </w:r>
        <w:r w:rsidRPr="00737C0D">
          <w:rPr>
            <w:noProof/>
            <w:webHidden/>
          </w:rPr>
          <w:instrText xml:space="preserve"> PAGEREF _Toc201916593 \h </w:instrText>
        </w:r>
        <w:r w:rsidRPr="00737C0D">
          <w:rPr>
            <w:noProof/>
            <w:webHidden/>
          </w:rPr>
        </w:r>
        <w:r w:rsidRPr="00737C0D">
          <w:rPr>
            <w:noProof/>
            <w:webHidden/>
          </w:rPr>
          <w:fldChar w:fldCharType="separate"/>
        </w:r>
        <w:r w:rsidR="00471863">
          <w:rPr>
            <w:noProof/>
            <w:webHidden/>
          </w:rPr>
          <w:t>68</w:t>
        </w:r>
        <w:r w:rsidRPr="00737C0D">
          <w:rPr>
            <w:noProof/>
            <w:webHidden/>
          </w:rPr>
          <w:fldChar w:fldCharType="end"/>
        </w:r>
      </w:hyperlink>
    </w:p>
    <w:p w14:paraId="1FA04C93" w14:textId="2E0586AB"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594" w:history="1">
        <w:r w:rsidRPr="00737C0D">
          <w:rPr>
            <w:rStyle w:val="Hyperlink"/>
            <w:noProof/>
          </w:rPr>
          <w:t>Figure 28: Proportion of employed who self-report ‘totally satisfied’ with their job, by Major City and Regional Australia</w:t>
        </w:r>
        <w:r w:rsidRPr="00737C0D">
          <w:rPr>
            <w:noProof/>
            <w:webHidden/>
          </w:rPr>
          <w:tab/>
        </w:r>
        <w:r w:rsidRPr="00737C0D">
          <w:rPr>
            <w:noProof/>
            <w:webHidden/>
          </w:rPr>
          <w:fldChar w:fldCharType="begin"/>
        </w:r>
        <w:r w:rsidRPr="00737C0D">
          <w:rPr>
            <w:noProof/>
            <w:webHidden/>
          </w:rPr>
          <w:instrText xml:space="preserve"> PAGEREF _Toc201916594 \h </w:instrText>
        </w:r>
        <w:r w:rsidRPr="00737C0D">
          <w:rPr>
            <w:noProof/>
            <w:webHidden/>
          </w:rPr>
        </w:r>
        <w:r w:rsidRPr="00737C0D">
          <w:rPr>
            <w:noProof/>
            <w:webHidden/>
          </w:rPr>
          <w:fldChar w:fldCharType="separate"/>
        </w:r>
        <w:r w:rsidR="00471863">
          <w:rPr>
            <w:noProof/>
            <w:webHidden/>
          </w:rPr>
          <w:t>73</w:t>
        </w:r>
        <w:r w:rsidRPr="00737C0D">
          <w:rPr>
            <w:noProof/>
            <w:webHidden/>
          </w:rPr>
          <w:fldChar w:fldCharType="end"/>
        </w:r>
      </w:hyperlink>
    </w:p>
    <w:p w14:paraId="63A6608B" w14:textId="5D29A843"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595" w:history="1">
        <w:r w:rsidRPr="00737C0D">
          <w:rPr>
            <w:rStyle w:val="Hyperlink"/>
            <w:noProof/>
          </w:rPr>
          <w:t>Figure 29: Underemployment rate (%), by Major City and Regional Australia</w:t>
        </w:r>
        <w:r w:rsidRPr="00737C0D">
          <w:rPr>
            <w:noProof/>
            <w:webHidden/>
          </w:rPr>
          <w:tab/>
        </w:r>
        <w:r w:rsidRPr="00737C0D">
          <w:rPr>
            <w:noProof/>
            <w:webHidden/>
          </w:rPr>
          <w:fldChar w:fldCharType="begin"/>
        </w:r>
        <w:r w:rsidRPr="00737C0D">
          <w:rPr>
            <w:noProof/>
            <w:webHidden/>
          </w:rPr>
          <w:instrText xml:space="preserve"> PAGEREF _Toc201916595 \h </w:instrText>
        </w:r>
        <w:r w:rsidRPr="00737C0D">
          <w:rPr>
            <w:noProof/>
            <w:webHidden/>
          </w:rPr>
        </w:r>
        <w:r w:rsidRPr="00737C0D">
          <w:rPr>
            <w:noProof/>
            <w:webHidden/>
          </w:rPr>
          <w:fldChar w:fldCharType="separate"/>
        </w:r>
        <w:r w:rsidR="00471863">
          <w:rPr>
            <w:noProof/>
            <w:webHidden/>
          </w:rPr>
          <w:t>74</w:t>
        </w:r>
        <w:r w:rsidRPr="00737C0D">
          <w:rPr>
            <w:noProof/>
            <w:webHidden/>
          </w:rPr>
          <w:fldChar w:fldCharType="end"/>
        </w:r>
      </w:hyperlink>
    </w:p>
    <w:p w14:paraId="00D296BB" w14:textId="1B99BD1A"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596" w:history="1">
        <w:r w:rsidRPr="00737C0D">
          <w:rPr>
            <w:rStyle w:val="Hyperlink"/>
            <w:noProof/>
          </w:rPr>
          <w:t>Figure 30: Income ratio (p80 and p20), Regional Australia and Major Cities</w:t>
        </w:r>
        <w:r w:rsidRPr="00737C0D">
          <w:rPr>
            <w:noProof/>
            <w:webHidden/>
          </w:rPr>
          <w:tab/>
        </w:r>
        <w:r w:rsidRPr="00737C0D">
          <w:rPr>
            <w:noProof/>
            <w:webHidden/>
          </w:rPr>
          <w:fldChar w:fldCharType="begin"/>
        </w:r>
        <w:r w:rsidRPr="00737C0D">
          <w:rPr>
            <w:noProof/>
            <w:webHidden/>
          </w:rPr>
          <w:instrText xml:space="preserve"> PAGEREF _Toc201916596 \h </w:instrText>
        </w:r>
        <w:r w:rsidRPr="00737C0D">
          <w:rPr>
            <w:noProof/>
            <w:webHidden/>
          </w:rPr>
        </w:r>
        <w:r w:rsidRPr="00737C0D">
          <w:rPr>
            <w:noProof/>
            <w:webHidden/>
          </w:rPr>
          <w:fldChar w:fldCharType="separate"/>
        </w:r>
        <w:r w:rsidR="00471863">
          <w:rPr>
            <w:noProof/>
            <w:webHidden/>
          </w:rPr>
          <w:t>75</w:t>
        </w:r>
        <w:r w:rsidRPr="00737C0D">
          <w:rPr>
            <w:noProof/>
            <w:webHidden/>
          </w:rPr>
          <w:fldChar w:fldCharType="end"/>
        </w:r>
      </w:hyperlink>
    </w:p>
    <w:p w14:paraId="29ED3C6E" w14:textId="1A38DC0A"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597" w:history="1">
        <w:r w:rsidRPr="00737C0D">
          <w:rPr>
            <w:rStyle w:val="Hyperlink"/>
            <w:noProof/>
          </w:rPr>
          <w:t>Figure 31: Workers’ compensation incidence rate (per 1,000 workers), Regional Australia</w:t>
        </w:r>
        <w:r w:rsidRPr="00737C0D">
          <w:rPr>
            <w:noProof/>
            <w:webHidden/>
          </w:rPr>
          <w:tab/>
        </w:r>
        <w:r w:rsidRPr="00737C0D">
          <w:rPr>
            <w:noProof/>
            <w:webHidden/>
          </w:rPr>
          <w:fldChar w:fldCharType="begin"/>
        </w:r>
        <w:r w:rsidRPr="00737C0D">
          <w:rPr>
            <w:noProof/>
            <w:webHidden/>
          </w:rPr>
          <w:instrText xml:space="preserve"> PAGEREF _Toc201916597 \h </w:instrText>
        </w:r>
        <w:r w:rsidRPr="00737C0D">
          <w:rPr>
            <w:noProof/>
            <w:webHidden/>
          </w:rPr>
        </w:r>
        <w:r w:rsidRPr="00737C0D">
          <w:rPr>
            <w:noProof/>
            <w:webHidden/>
          </w:rPr>
          <w:fldChar w:fldCharType="separate"/>
        </w:r>
        <w:r w:rsidR="00471863">
          <w:rPr>
            <w:noProof/>
            <w:webHidden/>
          </w:rPr>
          <w:t>77</w:t>
        </w:r>
        <w:r w:rsidRPr="00737C0D">
          <w:rPr>
            <w:noProof/>
            <w:webHidden/>
          </w:rPr>
          <w:fldChar w:fldCharType="end"/>
        </w:r>
      </w:hyperlink>
    </w:p>
    <w:p w14:paraId="0D342028" w14:textId="4488110B"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598" w:history="1">
        <w:r w:rsidRPr="00737C0D">
          <w:rPr>
            <w:rStyle w:val="Hyperlink"/>
            <w:noProof/>
          </w:rPr>
          <w:t>Figure 32: Workers’ compensation incidence rate, 2021-22, Regional Australia</w:t>
        </w:r>
        <w:r w:rsidRPr="00737C0D">
          <w:rPr>
            <w:noProof/>
            <w:webHidden/>
          </w:rPr>
          <w:tab/>
        </w:r>
        <w:r w:rsidRPr="00737C0D">
          <w:rPr>
            <w:noProof/>
            <w:webHidden/>
          </w:rPr>
          <w:fldChar w:fldCharType="begin"/>
        </w:r>
        <w:r w:rsidRPr="00737C0D">
          <w:rPr>
            <w:noProof/>
            <w:webHidden/>
          </w:rPr>
          <w:instrText xml:space="preserve"> PAGEREF _Toc201916598 \h </w:instrText>
        </w:r>
        <w:r w:rsidRPr="00737C0D">
          <w:rPr>
            <w:noProof/>
            <w:webHidden/>
          </w:rPr>
        </w:r>
        <w:r w:rsidRPr="00737C0D">
          <w:rPr>
            <w:noProof/>
            <w:webHidden/>
          </w:rPr>
          <w:fldChar w:fldCharType="separate"/>
        </w:r>
        <w:r w:rsidR="00471863">
          <w:rPr>
            <w:noProof/>
            <w:webHidden/>
          </w:rPr>
          <w:t>77</w:t>
        </w:r>
        <w:r w:rsidRPr="00737C0D">
          <w:rPr>
            <w:noProof/>
            <w:webHidden/>
          </w:rPr>
          <w:fldChar w:fldCharType="end"/>
        </w:r>
      </w:hyperlink>
    </w:p>
    <w:p w14:paraId="23C2557E" w14:textId="0A680B80"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599" w:history="1">
        <w:r w:rsidRPr="00737C0D">
          <w:rPr>
            <w:rStyle w:val="Hyperlink"/>
            <w:noProof/>
          </w:rPr>
          <w:t>Figure 33</w:t>
        </w:r>
        <w:r w:rsidRPr="00737C0D">
          <w:rPr>
            <w:rStyle w:val="Hyperlink"/>
            <w:rFonts w:cs="Arial"/>
            <w:noProof/>
          </w:rPr>
          <w:t>: Illustrative representation of labour market activity and the role of entrepreneurialism, business creation and portfolio self-employment</w:t>
        </w:r>
        <w:r w:rsidRPr="00737C0D">
          <w:rPr>
            <w:noProof/>
            <w:webHidden/>
          </w:rPr>
          <w:tab/>
        </w:r>
        <w:r w:rsidRPr="00737C0D">
          <w:rPr>
            <w:noProof/>
            <w:webHidden/>
          </w:rPr>
          <w:fldChar w:fldCharType="begin"/>
        </w:r>
        <w:r w:rsidRPr="00737C0D">
          <w:rPr>
            <w:noProof/>
            <w:webHidden/>
          </w:rPr>
          <w:instrText xml:space="preserve"> PAGEREF _Toc201916599 \h </w:instrText>
        </w:r>
        <w:r w:rsidRPr="00737C0D">
          <w:rPr>
            <w:noProof/>
            <w:webHidden/>
          </w:rPr>
        </w:r>
        <w:r w:rsidRPr="00737C0D">
          <w:rPr>
            <w:noProof/>
            <w:webHidden/>
          </w:rPr>
          <w:fldChar w:fldCharType="separate"/>
        </w:r>
        <w:r w:rsidR="00471863">
          <w:rPr>
            <w:noProof/>
            <w:webHidden/>
          </w:rPr>
          <w:t>80</w:t>
        </w:r>
        <w:r w:rsidRPr="00737C0D">
          <w:rPr>
            <w:noProof/>
            <w:webHidden/>
          </w:rPr>
          <w:fldChar w:fldCharType="end"/>
        </w:r>
      </w:hyperlink>
    </w:p>
    <w:p w14:paraId="71569262" w14:textId="648C0B01"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600" w:history="1">
        <w:r w:rsidRPr="00737C0D">
          <w:rPr>
            <w:rStyle w:val="Hyperlink"/>
            <w:noProof/>
          </w:rPr>
          <w:t>Figure 34: Proportion of prime-age (25-54 yrs old) employment by occupation and whether the person moved from a Major City to Regional Australia or remained in Regional Australia, 2016 to 2021</w:t>
        </w:r>
        <w:r w:rsidRPr="00737C0D">
          <w:rPr>
            <w:noProof/>
            <w:webHidden/>
          </w:rPr>
          <w:tab/>
        </w:r>
        <w:r w:rsidRPr="00737C0D">
          <w:rPr>
            <w:noProof/>
            <w:webHidden/>
          </w:rPr>
          <w:fldChar w:fldCharType="begin"/>
        </w:r>
        <w:r w:rsidRPr="00737C0D">
          <w:rPr>
            <w:noProof/>
            <w:webHidden/>
          </w:rPr>
          <w:instrText xml:space="preserve"> PAGEREF _Toc201916600 \h </w:instrText>
        </w:r>
        <w:r w:rsidRPr="00737C0D">
          <w:rPr>
            <w:noProof/>
            <w:webHidden/>
          </w:rPr>
        </w:r>
        <w:r w:rsidRPr="00737C0D">
          <w:rPr>
            <w:noProof/>
            <w:webHidden/>
          </w:rPr>
          <w:fldChar w:fldCharType="separate"/>
        </w:r>
        <w:r w:rsidR="00471863">
          <w:rPr>
            <w:noProof/>
            <w:webHidden/>
          </w:rPr>
          <w:t>83</w:t>
        </w:r>
        <w:r w:rsidRPr="00737C0D">
          <w:rPr>
            <w:noProof/>
            <w:webHidden/>
          </w:rPr>
          <w:fldChar w:fldCharType="end"/>
        </w:r>
      </w:hyperlink>
    </w:p>
    <w:p w14:paraId="213AA65D" w14:textId="6ABB5EB6"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601" w:history="1">
        <w:r w:rsidRPr="00737C0D">
          <w:rPr>
            <w:rStyle w:val="Hyperlink"/>
            <w:noProof/>
          </w:rPr>
          <w:t>Figure 35: Vacancy Fill Rate (%), by Major City and Regional Australia</w:t>
        </w:r>
        <w:r w:rsidRPr="00737C0D">
          <w:rPr>
            <w:noProof/>
            <w:webHidden/>
          </w:rPr>
          <w:tab/>
        </w:r>
        <w:r w:rsidRPr="00737C0D">
          <w:rPr>
            <w:noProof/>
            <w:webHidden/>
          </w:rPr>
          <w:fldChar w:fldCharType="begin"/>
        </w:r>
        <w:r w:rsidRPr="00737C0D">
          <w:rPr>
            <w:noProof/>
            <w:webHidden/>
          </w:rPr>
          <w:instrText xml:space="preserve"> PAGEREF _Toc201916601 \h </w:instrText>
        </w:r>
        <w:r w:rsidRPr="00737C0D">
          <w:rPr>
            <w:noProof/>
            <w:webHidden/>
          </w:rPr>
        </w:r>
        <w:r w:rsidRPr="00737C0D">
          <w:rPr>
            <w:noProof/>
            <w:webHidden/>
          </w:rPr>
          <w:fldChar w:fldCharType="separate"/>
        </w:r>
        <w:r w:rsidR="00471863">
          <w:rPr>
            <w:noProof/>
            <w:webHidden/>
          </w:rPr>
          <w:t>86</w:t>
        </w:r>
        <w:r w:rsidRPr="00737C0D">
          <w:rPr>
            <w:noProof/>
            <w:webHidden/>
          </w:rPr>
          <w:fldChar w:fldCharType="end"/>
        </w:r>
      </w:hyperlink>
    </w:p>
    <w:p w14:paraId="620CF71B" w14:textId="34EC6B1F"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602" w:history="1">
        <w:r w:rsidRPr="00737C0D">
          <w:rPr>
            <w:rStyle w:val="Hyperlink"/>
            <w:noProof/>
          </w:rPr>
          <w:t>Figure 36: Job advertisements (adjusted for proportion of jobs advertised online as a proportion of employed persons) (2013=100), by Major City and Regional Australia</w:t>
        </w:r>
        <w:r w:rsidRPr="00737C0D">
          <w:rPr>
            <w:noProof/>
            <w:webHidden/>
          </w:rPr>
          <w:tab/>
        </w:r>
        <w:r w:rsidRPr="00737C0D">
          <w:rPr>
            <w:noProof/>
            <w:webHidden/>
          </w:rPr>
          <w:fldChar w:fldCharType="begin"/>
        </w:r>
        <w:r w:rsidRPr="00737C0D">
          <w:rPr>
            <w:noProof/>
            <w:webHidden/>
          </w:rPr>
          <w:instrText xml:space="preserve"> PAGEREF _Toc201916602 \h </w:instrText>
        </w:r>
        <w:r w:rsidRPr="00737C0D">
          <w:rPr>
            <w:noProof/>
            <w:webHidden/>
          </w:rPr>
        </w:r>
        <w:r w:rsidRPr="00737C0D">
          <w:rPr>
            <w:noProof/>
            <w:webHidden/>
          </w:rPr>
          <w:fldChar w:fldCharType="separate"/>
        </w:r>
        <w:r w:rsidR="00471863">
          <w:rPr>
            <w:noProof/>
            <w:webHidden/>
          </w:rPr>
          <w:t>87</w:t>
        </w:r>
        <w:r w:rsidRPr="00737C0D">
          <w:rPr>
            <w:noProof/>
            <w:webHidden/>
          </w:rPr>
          <w:fldChar w:fldCharType="end"/>
        </w:r>
      </w:hyperlink>
    </w:p>
    <w:p w14:paraId="26709EED" w14:textId="72F6CA61"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603" w:history="1">
        <w:r w:rsidRPr="00737C0D">
          <w:rPr>
            <w:rStyle w:val="Hyperlink"/>
            <w:noProof/>
          </w:rPr>
          <w:t>Figure 37: Essential services vacancy ratio (job advertisements adjusted for proportion of jobs advertised online as a proportion of employed persons) (%), Major City and Regional Australia</w:t>
        </w:r>
        <w:r w:rsidRPr="00737C0D">
          <w:rPr>
            <w:noProof/>
            <w:webHidden/>
          </w:rPr>
          <w:tab/>
        </w:r>
        <w:r w:rsidRPr="00737C0D">
          <w:rPr>
            <w:noProof/>
            <w:webHidden/>
          </w:rPr>
          <w:fldChar w:fldCharType="begin"/>
        </w:r>
        <w:r w:rsidRPr="00737C0D">
          <w:rPr>
            <w:noProof/>
            <w:webHidden/>
          </w:rPr>
          <w:instrText xml:space="preserve"> PAGEREF _Toc201916603 \h </w:instrText>
        </w:r>
        <w:r w:rsidRPr="00737C0D">
          <w:rPr>
            <w:noProof/>
            <w:webHidden/>
          </w:rPr>
        </w:r>
        <w:r w:rsidRPr="00737C0D">
          <w:rPr>
            <w:noProof/>
            <w:webHidden/>
          </w:rPr>
          <w:fldChar w:fldCharType="separate"/>
        </w:r>
        <w:r w:rsidR="00471863">
          <w:rPr>
            <w:noProof/>
            <w:webHidden/>
          </w:rPr>
          <w:t>89</w:t>
        </w:r>
        <w:r w:rsidRPr="00737C0D">
          <w:rPr>
            <w:noProof/>
            <w:webHidden/>
          </w:rPr>
          <w:fldChar w:fldCharType="end"/>
        </w:r>
      </w:hyperlink>
    </w:p>
    <w:p w14:paraId="498DB4F3" w14:textId="34F9BB37"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604" w:history="1">
        <w:r w:rsidRPr="00737C0D">
          <w:rPr>
            <w:rStyle w:val="Hyperlink"/>
            <w:noProof/>
          </w:rPr>
          <w:t>Figure 38: Incidence of persistent hiring pressure (%) – proportion of occupations exhibiting high vacancy rates in 18 of the past 24 months</w:t>
        </w:r>
        <w:r w:rsidRPr="00737C0D">
          <w:rPr>
            <w:noProof/>
            <w:webHidden/>
          </w:rPr>
          <w:tab/>
        </w:r>
        <w:r w:rsidRPr="00737C0D">
          <w:rPr>
            <w:noProof/>
            <w:webHidden/>
          </w:rPr>
          <w:fldChar w:fldCharType="begin"/>
        </w:r>
        <w:r w:rsidRPr="00737C0D">
          <w:rPr>
            <w:noProof/>
            <w:webHidden/>
          </w:rPr>
          <w:instrText xml:space="preserve"> PAGEREF _Toc201916604 \h </w:instrText>
        </w:r>
        <w:r w:rsidRPr="00737C0D">
          <w:rPr>
            <w:noProof/>
            <w:webHidden/>
          </w:rPr>
        </w:r>
        <w:r w:rsidRPr="00737C0D">
          <w:rPr>
            <w:noProof/>
            <w:webHidden/>
          </w:rPr>
          <w:fldChar w:fldCharType="separate"/>
        </w:r>
        <w:r w:rsidR="00471863">
          <w:rPr>
            <w:noProof/>
            <w:webHidden/>
          </w:rPr>
          <w:t>90</w:t>
        </w:r>
        <w:r w:rsidRPr="00737C0D">
          <w:rPr>
            <w:noProof/>
            <w:webHidden/>
          </w:rPr>
          <w:fldChar w:fldCharType="end"/>
        </w:r>
      </w:hyperlink>
    </w:p>
    <w:p w14:paraId="5C63B9B9" w14:textId="0F0F2737"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605" w:history="1">
        <w:r w:rsidRPr="00737C0D">
          <w:rPr>
            <w:rStyle w:val="Hyperlink"/>
            <w:noProof/>
          </w:rPr>
          <w:t>Figure 39: Incidence of occupations reportedly only exhibiting ‘regional’ shortages</w:t>
        </w:r>
        <w:r w:rsidRPr="00737C0D">
          <w:rPr>
            <w:noProof/>
            <w:webHidden/>
          </w:rPr>
          <w:tab/>
        </w:r>
        <w:r w:rsidRPr="00737C0D">
          <w:rPr>
            <w:noProof/>
            <w:webHidden/>
          </w:rPr>
          <w:fldChar w:fldCharType="begin"/>
        </w:r>
        <w:r w:rsidRPr="00737C0D">
          <w:rPr>
            <w:noProof/>
            <w:webHidden/>
          </w:rPr>
          <w:instrText xml:space="preserve"> PAGEREF _Toc201916605 \h </w:instrText>
        </w:r>
        <w:r w:rsidRPr="00737C0D">
          <w:rPr>
            <w:noProof/>
            <w:webHidden/>
          </w:rPr>
        </w:r>
        <w:r w:rsidRPr="00737C0D">
          <w:rPr>
            <w:noProof/>
            <w:webHidden/>
          </w:rPr>
          <w:fldChar w:fldCharType="separate"/>
        </w:r>
        <w:r w:rsidR="00471863">
          <w:rPr>
            <w:noProof/>
            <w:webHidden/>
          </w:rPr>
          <w:t>91</w:t>
        </w:r>
        <w:r w:rsidRPr="00737C0D">
          <w:rPr>
            <w:noProof/>
            <w:webHidden/>
          </w:rPr>
          <w:fldChar w:fldCharType="end"/>
        </w:r>
      </w:hyperlink>
    </w:p>
    <w:p w14:paraId="78D8DA2D" w14:textId="2BFF25D9"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606" w:history="1">
        <w:r w:rsidRPr="00737C0D">
          <w:rPr>
            <w:rStyle w:val="Hyperlink"/>
            <w:noProof/>
          </w:rPr>
          <w:t>Figure 40: Business creation rate (%), Major City and Regional Australia</w:t>
        </w:r>
        <w:r w:rsidRPr="00737C0D">
          <w:rPr>
            <w:noProof/>
            <w:webHidden/>
          </w:rPr>
          <w:tab/>
        </w:r>
        <w:r w:rsidRPr="00737C0D">
          <w:rPr>
            <w:noProof/>
            <w:webHidden/>
          </w:rPr>
          <w:fldChar w:fldCharType="begin"/>
        </w:r>
        <w:r w:rsidRPr="00737C0D">
          <w:rPr>
            <w:noProof/>
            <w:webHidden/>
          </w:rPr>
          <w:instrText xml:space="preserve"> PAGEREF _Toc201916606 \h </w:instrText>
        </w:r>
        <w:r w:rsidRPr="00737C0D">
          <w:rPr>
            <w:noProof/>
            <w:webHidden/>
          </w:rPr>
        </w:r>
        <w:r w:rsidRPr="00737C0D">
          <w:rPr>
            <w:noProof/>
            <w:webHidden/>
          </w:rPr>
          <w:fldChar w:fldCharType="separate"/>
        </w:r>
        <w:r w:rsidR="00471863">
          <w:rPr>
            <w:noProof/>
            <w:webHidden/>
          </w:rPr>
          <w:t>93</w:t>
        </w:r>
        <w:r w:rsidRPr="00737C0D">
          <w:rPr>
            <w:noProof/>
            <w:webHidden/>
          </w:rPr>
          <w:fldChar w:fldCharType="end"/>
        </w:r>
      </w:hyperlink>
    </w:p>
    <w:p w14:paraId="3236E6BC" w14:textId="363E8494"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607" w:history="1">
        <w:r w:rsidRPr="00737C0D">
          <w:rPr>
            <w:rStyle w:val="Hyperlink"/>
            <w:noProof/>
          </w:rPr>
          <w:t>Figure 41: Conceptualising labour market efficiency</w:t>
        </w:r>
        <w:r w:rsidRPr="00737C0D">
          <w:rPr>
            <w:noProof/>
            <w:webHidden/>
          </w:rPr>
          <w:tab/>
        </w:r>
        <w:r w:rsidRPr="00737C0D">
          <w:rPr>
            <w:noProof/>
            <w:webHidden/>
          </w:rPr>
          <w:fldChar w:fldCharType="begin"/>
        </w:r>
        <w:r w:rsidRPr="00737C0D">
          <w:rPr>
            <w:noProof/>
            <w:webHidden/>
          </w:rPr>
          <w:instrText xml:space="preserve"> PAGEREF _Toc201916607 \h </w:instrText>
        </w:r>
        <w:r w:rsidRPr="00737C0D">
          <w:rPr>
            <w:noProof/>
            <w:webHidden/>
          </w:rPr>
        </w:r>
        <w:r w:rsidRPr="00737C0D">
          <w:rPr>
            <w:noProof/>
            <w:webHidden/>
          </w:rPr>
          <w:fldChar w:fldCharType="separate"/>
        </w:r>
        <w:r w:rsidR="00471863">
          <w:rPr>
            <w:noProof/>
            <w:webHidden/>
          </w:rPr>
          <w:t>96</w:t>
        </w:r>
        <w:r w:rsidRPr="00737C0D">
          <w:rPr>
            <w:noProof/>
            <w:webHidden/>
          </w:rPr>
          <w:fldChar w:fldCharType="end"/>
        </w:r>
      </w:hyperlink>
    </w:p>
    <w:p w14:paraId="7F3E93D5" w14:textId="62A54FAC"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608" w:history="1">
        <w:r w:rsidRPr="00737C0D">
          <w:rPr>
            <w:rStyle w:val="Hyperlink"/>
            <w:noProof/>
          </w:rPr>
          <w:t>Figure 42: Beveridge Curves show labour market efficiency and tightness</w:t>
        </w:r>
        <w:r w:rsidRPr="00737C0D">
          <w:rPr>
            <w:noProof/>
            <w:webHidden/>
          </w:rPr>
          <w:tab/>
        </w:r>
        <w:r w:rsidRPr="00737C0D">
          <w:rPr>
            <w:noProof/>
            <w:webHidden/>
          </w:rPr>
          <w:fldChar w:fldCharType="begin"/>
        </w:r>
        <w:r w:rsidRPr="00737C0D">
          <w:rPr>
            <w:noProof/>
            <w:webHidden/>
          </w:rPr>
          <w:instrText xml:space="preserve"> PAGEREF _Toc201916608 \h </w:instrText>
        </w:r>
        <w:r w:rsidRPr="00737C0D">
          <w:rPr>
            <w:noProof/>
            <w:webHidden/>
          </w:rPr>
        </w:r>
        <w:r w:rsidRPr="00737C0D">
          <w:rPr>
            <w:noProof/>
            <w:webHidden/>
          </w:rPr>
          <w:fldChar w:fldCharType="separate"/>
        </w:r>
        <w:r w:rsidR="00471863">
          <w:rPr>
            <w:noProof/>
            <w:webHidden/>
          </w:rPr>
          <w:t>97</w:t>
        </w:r>
        <w:r w:rsidRPr="00737C0D">
          <w:rPr>
            <w:noProof/>
            <w:webHidden/>
          </w:rPr>
          <w:fldChar w:fldCharType="end"/>
        </w:r>
      </w:hyperlink>
    </w:p>
    <w:p w14:paraId="1EBA54E8" w14:textId="25021D30"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609" w:history="1">
        <w:r w:rsidRPr="00737C0D">
          <w:rPr>
            <w:rStyle w:val="Hyperlink"/>
            <w:noProof/>
          </w:rPr>
          <w:t>Figure 43: Beveridge Curve for Major City and Regional areas of Australia, 2019 to 2025</w:t>
        </w:r>
        <w:r w:rsidRPr="00737C0D">
          <w:rPr>
            <w:noProof/>
            <w:webHidden/>
          </w:rPr>
          <w:tab/>
        </w:r>
        <w:r w:rsidRPr="00737C0D">
          <w:rPr>
            <w:noProof/>
            <w:webHidden/>
          </w:rPr>
          <w:fldChar w:fldCharType="begin"/>
        </w:r>
        <w:r w:rsidRPr="00737C0D">
          <w:rPr>
            <w:noProof/>
            <w:webHidden/>
          </w:rPr>
          <w:instrText xml:space="preserve"> PAGEREF _Toc201916609 \h </w:instrText>
        </w:r>
        <w:r w:rsidRPr="00737C0D">
          <w:rPr>
            <w:noProof/>
            <w:webHidden/>
          </w:rPr>
        </w:r>
        <w:r w:rsidRPr="00737C0D">
          <w:rPr>
            <w:noProof/>
            <w:webHidden/>
          </w:rPr>
          <w:fldChar w:fldCharType="separate"/>
        </w:r>
        <w:r w:rsidR="00471863">
          <w:rPr>
            <w:noProof/>
            <w:webHidden/>
          </w:rPr>
          <w:t>99</w:t>
        </w:r>
        <w:r w:rsidRPr="00737C0D">
          <w:rPr>
            <w:noProof/>
            <w:webHidden/>
          </w:rPr>
          <w:fldChar w:fldCharType="end"/>
        </w:r>
      </w:hyperlink>
    </w:p>
    <w:p w14:paraId="6D580BF0" w14:textId="282AE679"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610" w:history="1">
        <w:r w:rsidRPr="00737C0D">
          <w:rPr>
            <w:rStyle w:val="Hyperlink"/>
            <w:noProof/>
          </w:rPr>
          <w:t>Figure 44: Fill rate (%), suitable applicants and qualified applicants (no.), January 2025</w:t>
        </w:r>
        <w:r w:rsidRPr="00737C0D">
          <w:rPr>
            <w:noProof/>
            <w:webHidden/>
          </w:rPr>
          <w:tab/>
        </w:r>
        <w:r w:rsidRPr="00737C0D">
          <w:rPr>
            <w:noProof/>
            <w:webHidden/>
          </w:rPr>
          <w:fldChar w:fldCharType="begin"/>
        </w:r>
        <w:r w:rsidRPr="00737C0D">
          <w:rPr>
            <w:noProof/>
            <w:webHidden/>
          </w:rPr>
          <w:instrText xml:space="preserve"> PAGEREF _Toc201916610 \h </w:instrText>
        </w:r>
        <w:r w:rsidRPr="00737C0D">
          <w:rPr>
            <w:noProof/>
            <w:webHidden/>
          </w:rPr>
        </w:r>
        <w:r w:rsidRPr="00737C0D">
          <w:rPr>
            <w:noProof/>
            <w:webHidden/>
          </w:rPr>
          <w:fldChar w:fldCharType="separate"/>
        </w:r>
        <w:r w:rsidR="00471863">
          <w:rPr>
            <w:noProof/>
            <w:webHidden/>
          </w:rPr>
          <w:t>100</w:t>
        </w:r>
        <w:r w:rsidRPr="00737C0D">
          <w:rPr>
            <w:noProof/>
            <w:webHidden/>
          </w:rPr>
          <w:fldChar w:fldCharType="end"/>
        </w:r>
      </w:hyperlink>
    </w:p>
    <w:p w14:paraId="65CEF736" w14:textId="5A8D926C"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611" w:history="1">
        <w:r w:rsidRPr="00737C0D">
          <w:rPr>
            <w:rStyle w:val="Hyperlink"/>
            <w:noProof/>
          </w:rPr>
          <w:t>Figure 45: Beveridge Curve for Regional Australia, including position of selected regions</w:t>
        </w:r>
        <w:r w:rsidRPr="00737C0D">
          <w:rPr>
            <w:noProof/>
            <w:webHidden/>
          </w:rPr>
          <w:tab/>
        </w:r>
        <w:r w:rsidRPr="00737C0D">
          <w:rPr>
            <w:noProof/>
            <w:webHidden/>
          </w:rPr>
          <w:fldChar w:fldCharType="begin"/>
        </w:r>
        <w:r w:rsidRPr="00737C0D">
          <w:rPr>
            <w:noProof/>
            <w:webHidden/>
          </w:rPr>
          <w:instrText xml:space="preserve"> PAGEREF _Toc201916611 \h </w:instrText>
        </w:r>
        <w:r w:rsidRPr="00737C0D">
          <w:rPr>
            <w:noProof/>
            <w:webHidden/>
          </w:rPr>
        </w:r>
        <w:r w:rsidRPr="00737C0D">
          <w:rPr>
            <w:noProof/>
            <w:webHidden/>
          </w:rPr>
          <w:fldChar w:fldCharType="separate"/>
        </w:r>
        <w:r w:rsidR="00471863">
          <w:rPr>
            <w:noProof/>
            <w:webHidden/>
          </w:rPr>
          <w:t>101</w:t>
        </w:r>
        <w:r w:rsidRPr="00737C0D">
          <w:rPr>
            <w:noProof/>
            <w:webHidden/>
          </w:rPr>
          <w:fldChar w:fldCharType="end"/>
        </w:r>
      </w:hyperlink>
    </w:p>
    <w:p w14:paraId="4FEECABA" w14:textId="53366B4B"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612" w:history="1">
        <w:r w:rsidRPr="00737C0D">
          <w:rPr>
            <w:rStyle w:val="Hyperlink"/>
            <w:noProof/>
          </w:rPr>
          <w:t>Figure 46: A simple model underpinning the Beveridge Curve</w:t>
        </w:r>
        <w:r w:rsidRPr="00737C0D">
          <w:rPr>
            <w:noProof/>
            <w:webHidden/>
          </w:rPr>
          <w:tab/>
        </w:r>
        <w:r w:rsidRPr="00737C0D">
          <w:rPr>
            <w:noProof/>
            <w:webHidden/>
          </w:rPr>
          <w:fldChar w:fldCharType="begin"/>
        </w:r>
        <w:r w:rsidRPr="00737C0D">
          <w:rPr>
            <w:noProof/>
            <w:webHidden/>
          </w:rPr>
          <w:instrText xml:space="preserve"> PAGEREF _Toc201916612 \h </w:instrText>
        </w:r>
        <w:r w:rsidRPr="00737C0D">
          <w:rPr>
            <w:noProof/>
            <w:webHidden/>
          </w:rPr>
        </w:r>
        <w:r w:rsidRPr="00737C0D">
          <w:rPr>
            <w:noProof/>
            <w:webHidden/>
          </w:rPr>
          <w:fldChar w:fldCharType="separate"/>
        </w:r>
        <w:r w:rsidR="00471863">
          <w:rPr>
            <w:noProof/>
            <w:webHidden/>
          </w:rPr>
          <w:t>102</w:t>
        </w:r>
        <w:r w:rsidRPr="00737C0D">
          <w:rPr>
            <w:noProof/>
            <w:webHidden/>
          </w:rPr>
          <w:fldChar w:fldCharType="end"/>
        </w:r>
      </w:hyperlink>
    </w:p>
    <w:p w14:paraId="16E421EE" w14:textId="5F0D2EFD"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613" w:history="1">
        <w:r w:rsidRPr="00737C0D">
          <w:rPr>
            <w:rStyle w:val="Hyperlink"/>
            <w:noProof/>
          </w:rPr>
          <w:t>Figure 47: JSA experimental estimates of matching efficiency (</w:t>
        </w:r>
        <w:r w:rsidRPr="00737C0D">
          <w:rPr>
            <w:rStyle w:val="Hyperlink"/>
            <w:i/>
            <w:iCs/>
            <w:noProof/>
          </w:rPr>
          <w:t xml:space="preserve">MUVER </w:t>
        </w:r>
        <w:r w:rsidRPr="00737C0D">
          <w:rPr>
            <w:rStyle w:val="Hyperlink"/>
            <w:noProof/>
          </w:rPr>
          <w:t>model)</w:t>
        </w:r>
        <w:r w:rsidRPr="00737C0D">
          <w:rPr>
            <w:rStyle w:val="Hyperlink"/>
            <w:i/>
            <w:iCs/>
            <w:noProof/>
          </w:rPr>
          <w:t xml:space="preserve">, </w:t>
        </w:r>
        <w:r w:rsidRPr="00737C0D">
          <w:rPr>
            <w:rStyle w:val="Hyperlink"/>
            <w:noProof/>
          </w:rPr>
          <w:t>Major City and Regional Australia</w:t>
        </w:r>
        <w:r w:rsidRPr="00737C0D">
          <w:rPr>
            <w:noProof/>
            <w:webHidden/>
          </w:rPr>
          <w:tab/>
        </w:r>
        <w:r w:rsidRPr="00737C0D">
          <w:rPr>
            <w:noProof/>
            <w:webHidden/>
          </w:rPr>
          <w:fldChar w:fldCharType="begin"/>
        </w:r>
        <w:r w:rsidRPr="00737C0D">
          <w:rPr>
            <w:noProof/>
            <w:webHidden/>
          </w:rPr>
          <w:instrText xml:space="preserve"> PAGEREF _Toc201916613 \h </w:instrText>
        </w:r>
        <w:r w:rsidRPr="00737C0D">
          <w:rPr>
            <w:noProof/>
            <w:webHidden/>
          </w:rPr>
        </w:r>
        <w:r w:rsidRPr="00737C0D">
          <w:rPr>
            <w:noProof/>
            <w:webHidden/>
          </w:rPr>
          <w:fldChar w:fldCharType="separate"/>
        </w:r>
        <w:r w:rsidR="00471863">
          <w:rPr>
            <w:noProof/>
            <w:webHidden/>
          </w:rPr>
          <w:t>103</w:t>
        </w:r>
        <w:r w:rsidRPr="00737C0D">
          <w:rPr>
            <w:noProof/>
            <w:webHidden/>
          </w:rPr>
          <w:fldChar w:fldCharType="end"/>
        </w:r>
      </w:hyperlink>
    </w:p>
    <w:p w14:paraId="48F67191" w14:textId="3681EDE7"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614" w:history="1">
        <w:r w:rsidRPr="00737C0D">
          <w:rPr>
            <w:rStyle w:val="Hyperlink"/>
            <w:noProof/>
          </w:rPr>
          <w:t>Figure 48: JSA experimental estimates of matching efficiency (</w:t>
        </w:r>
        <w:r w:rsidRPr="00737C0D">
          <w:rPr>
            <w:rStyle w:val="Hyperlink"/>
            <w:i/>
            <w:iCs/>
            <w:noProof/>
          </w:rPr>
          <w:t>MUVER model), 2025</w:t>
        </w:r>
        <w:r w:rsidRPr="00737C0D">
          <w:rPr>
            <w:noProof/>
            <w:webHidden/>
          </w:rPr>
          <w:tab/>
        </w:r>
        <w:r w:rsidRPr="00737C0D">
          <w:rPr>
            <w:noProof/>
            <w:webHidden/>
          </w:rPr>
          <w:fldChar w:fldCharType="begin"/>
        </w:r>
        <w:r w:rsidRPr="00737C0D">
          <w:rPr>
            <w:noProof/>
            <w:webHidden/>
          </w:rPr>
          <w:instrText xml:space="preserve"> PAGEREF _Toc201916614 \h </w:instrText>
        </w:r>
        <w:r w:rsidRPr="00737C0D">
          <w:rPr>
            <w:noProof/>
            <w:webHidden/>
          </w:rPr>
        </w:r>
        <w:r w:rsidRPr="00737C0D">
          <w:rPr>
            <w:noProof/>
            <w:webHidden/>
          </w:rPr>
          <w:fldChar w:fldCharType="separate"/>
        </w:r>
        <w:r w:rsidR="00471863">
          <w:rPr>
            <w:noProof/>
            <w:webHidden/>
          </w:rPr>
          <w:t>103</w:t>
        </w:r>
        <w:r w:rsidRPr="00737C0D">
          <w:rPr>
            <w:noProof/>
            <w:webHidden/>
          </w:rPr>
          <w:fldChar w:fldCharType="end"/>
        </w:r>
      </w:hyperlink>
    </w:p>
    <w:p w14:paraId="316F93CE" w14:textId="0FF78C35"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615" w:history="1">
        <w:r w:rsidRPr="00737C0D">
          <w:rPr>
            <w:rStyle w:val="Hyperlink"/>
            <w:noProof/>
          </w:rPr>
          <w:t>Figure 49: Tasmanian Jobs Hub</w:t>
        </w:r>
        <w:r w:rsidRPr="00737C0D">
          <w:rPr>
            <w:noProof/>
            <w:webHidden/>
          </w:rPr>
          <w:tab/>
        </w:r>
        <w:r w:rsidRPr="00737C0D">
          <w:rPr>
            <w:noProof/>
            <w:webHidden/>
          </w:rPr>
          <w:fldChar w:fldCharType="begin"/>
        </w:r>
        <w:r w:rsidRPr="00737C0D">
          <w:rPr>
            <w:noProof/>
            <w:webHidden/>
          </w:rPr>
          <w:instrText xml:space="preserve"> PAGEREF _Toc201916615 \h </w:instrText>
        </w:r>
        <w:r w:rsidRPr="00737C0D">
          <w:rPr>
            <w:noProof/>
            <w:webHidden/>
          </w:rPr>
        </w:r>
        <w:r w:rsidRPr="00737C0D">
          <w:rPr>
            <w:noProof/>
            <w:webHidden/>
          </w:rPr>
          <w:fldChar w:fldCharType="separate"/>
        </w:r>
        <w:r w:rsidR="00471863">
          <w:rPr>
            <w:noProof/>
            <w:webHidden/>
          </w:rPr>
          <w:t>120</w:t>
        </w:r>
        <w:r w:rsidRPr="00737C0D">
          <w:rPr>
            <w:noProof/>
            <w:webHidden/>
          </w:rPr>
          <w:fldChar w:fldCharType="end"/>
        </w:r>
      </w:hyperlink>
    </w:p>
    <w:p w14:paraId="20860E4B" w14:textId="418B59AD"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616" w:history="1">
        <w:r w:rsidRPr="00737C0D">
          <w:rPr>
            <w:rStyle w:val="Hyperlink"/>
            <w:noProof/>
          </w:rPr>
          <w:t>Figure 50: Overview of Incat Tasmania’s model of engaging and supporting apprentices</w:t>
        </w:r>
        <w:r w:rsidRPr="00737C0D">
          <w:rPr>
            <w:noProof/>
            <w:webHidden/>
          </w:rPr>
          <w:tab/>
        </w:r>
        <w:r w:rsidRPr="00737C0D">
          <w:rPr>
            <w:noProof/>
            <w:webHidden/>
          </w:rPr>
          <w:fldChar w:fldCharType="begin"/>
        </w:r>
        <w:r w:rsidRPr="00737C0D">
          <w:rPr>
            <w:noProof/>
            <w:webHidden/>
          </w:rPr>
          <w:instrText xml:space="preserve"> PAGEREF _Toc201916616 \h </w:instrText>
        </w:r>
        <w:r w:rsidRPr="00737C0D">
          <w:rPr>
            <w:noProof/>
            <w:webHidden/>
          </w:rPr>
        </w:r>
        <w:r w:rsidRPr="00737C0D">
          <w:rPr>
            <w:noProof/>
            <w:webHidden/>
          </w:rPr>
          <w:fldChar w:fldCharType="separate"/>
        </w:r>
        <w:r w:rsidR="00471863">
          <w:rPr>
            <w:noProof/>
            <w:webHidden/>
          </w:rPr>
          <w:t>125</w:t>
        </w:r>
        <w:r w:rsidRPr="00737C0D">
          <w:rPr>
            <w:noProof/>
            <w:webHidden/>
          </w:rPr>
          <w:fldChar w:fldCharType="end"/>
        </w:r>
      </w:hyperlink>
    </w:p>
    <w:p w14:paraId="51DF1F86" w14:textId="760FD401"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617" w:history="1">
        <w:r w:rsidRPr="00737C0D">
          <w:rPr>
            <w:rStyle w:val="Hyperlink"/>
            <w:noProof/>
          </w:rPr>
          <w:t xml:space="preserve">Figure 51: </w:t>
        </w:r>
        <w:r w:rsidRPr="00737C0D">
          <w:rPr>
            <w:rStyle w:val="Hyperlink"/>
            <w:rFonts w:cs="Arial"/>
            <w:noProof/>
          </w:rPr>
          <w:t>Overview of JSA Regional Roadmap - Phase 1 and Phase 2</w:t>
        </w:r>
        <w:r w:rsidRPr="00737C0D">
          <w:rPr>
            <w:noProof/>
            <w:webHidden/>
          </w:rPr>
          <w:tab/>
        </w:r>
        <w:r w:rsidRPr="00737C0D">
          <w:rPr>
            <w:noProof/>
            <w:webHidden/>
          </w:rPr>
          <w:fldChar w:fldCharType="begin"/>
        </w:r>
        <w:r w:rsidRPr="00737C0D">
          <w:rPr>
            <w:noProof/>
            <w:webHidden/>
          </w:rPr>
          <w:instrText xml:space="preserve"> PAGEREF _Toc201916617 \h </w:instrText>
        </w:r>
        <w:r w:rsidRPr="00737C0D">
          <w:rPr>
            <w:noProof/>
            <w:webHidden/>
          </w:rPr>
        </w:r>
        <w:r w:rsidRPr="00737C0D">
          <w:rPr>
            <w:noProof/>
            <w:webHidden/>
          </w:rPr>
          <w:fldChar w:fldCharType="separate"/>
        </w:r>
        <w:r w:rsidR="00471863">
          <w:rPr>
            <w:noProof/>
            <w:webHidden/>
          </w:rPr>
          <w:t>129</w:t>
        </w:r>
        <w:r w:rsidRPr="00737C0D">
          <w:rPr>
            <w:noProof/>
            <w:webHidden/>
          </w:rPr>
          <w:fldChar w:fldCharType="end"/>
        </w:r>
      </w:hyperlink>
    </w:p>
    <w:p w14:paraId="77C92E12" w14:textId="711447B2" w:rsidR="00737C0D" w:rsidRPr="00737C0D" w:rsidRDefault="00737C0D" w:rsidP="00737C0D">
      <w:pPr>
        <w:pStyle w:val="TableofFigures"/>
        <w:tabs>
          <w:tab w:val="right" w:leader="dot" w:pos="9016"/>
        </w:tabs>
        <w:spacing w:before="120" w:after="120"/>
        <w:rPr>
          <w:rFonts w:asciiTheme="minorHAnsi" w:eastAsiaTheme="minorEastAsia" w:hAnsiTheme="minorHAnsi"/>
          <w:noProof/>
          <w:kern w:val="2"/>
          <w:lang w:eastAsia="en-AU"/>
          <w14:ligatures w14:val="standardContextual"/>
        </w:rPr>
      </w:pPr>
      <w:hyperlink w:anchor="_Toc201916618" w:history="1">
        <w:r w:rsidRPr="00737C0D">
          <w:rPr>
            <w:rStyle w:val="Hyperlink"/>
            <w:noProof/>
          </w:rPr>
          <w:t>Figure 52: Unemployment rate (%) by LGA for Remote Australia, December 2024</w:t>
        </w:r>
        <w:r w:rsidRPr="00737C0D">
          <w:rPr>
            <w:noProof/>
            <w:webHidden/>
          </w:rPr>
          <w:tab/>
        </w:r>
        <w:r w:rsidRPr="00737C0D">
          <w:rPr>
            <w:noProof/>
            <w:webHidden/>
          </w:rPr>
          <w:fldChar w:fldCharType="begin"/>
        </w:r>
        <w:r w:rsidRPr="00737C0D">
          <w:rPr>
            <w:noProof/>
            <w:webHidden/>
          </w:rPr>
          <w:instrText xml:space="preserve"> PAGEREF _Toc201916618 \h </w:instrText>
        </w:r>
        <w:r w:rsidRPr="00737C0D">
          <w:rPr>
            <w:noProof/>
            <w:webHidden/>
          </w:rPr>
        </w:r>
        <w:r w:rsidRPr="00737C0D">
          <w:rPr>
            <w:noProof/>
            <w:webHidden/>
          </w:rPr>
          <w:fldChar w:fldCharType="separate"/>
        </w:r>
        <w:r w:rsidR="00471863">
          <w:rPr>
            <w:noProof/>
            <w:webHidden/>
          </w:rPr>
          <w:t>148</w:t>
        </w:r>
        <w:r w:rsidRPr="00737C0D">
          <w:rPr>
            <w:noProof/>
            <w:webHidden/>
          </w:rPr>
          <w:fldChar w:fldCharType="end"/>
        </w:r>
      </w:hyperlink>
    </w:p>
    <w:p w14:paraId="3618F56F" w14:textId="7BF952EF" w:rsidR="00865A12" w:rsidRPr="00902758" w:rsidRDefault="00014962" w:rsidP="00902758">
      <w:r w:rsidRPr="00737C0D">
        <w:rPr>
          <w:rFonts w:cs="Arial"/>
          <w:sz w:val="20"/>
          <w:szCs w:val="20"/>
        </w:rPr>
        <w:fldChar w:fldCharType="end"/>
      </w:r>
      <w:bookmarkStart w:id="259" w:name="_Toc200637171"/>
    </w:p>
    <w:p w14:paraId="041B236C" w14:textId="77777777" w:rsidR="00865A12" w:rsidRPr="00902758" w:rsidRDefault="00865A12" w:rsidP="00902758">
      <w:r w:rsidRPr="00902758">
        <w:br w:type="page"/>
      </w:r>
    </w:p>
    <w:p w14:paraId="2C0236B4" w14:textId="768C6C14" w:rsidR="00501547" w:rsidRPr="008E4235" w:rsidRDefault="00501547" w:rsidP="00332CEE">
      <w:pPr>
        <w:pStyle w:val="Heading2"/>
      </w:pPr>
      <w:bookmarkStart w:id="260" w:name="_Toc201070213"/>
      <w:bookmarkStart w:id="261" w:name="_Toc201919876"/>
      <w:bookmarkStart w:id="262" w:name="_Toc202361904"/>
      <w:r w:rsidRPr="008E4235">
        <w:lastRenderedPageBreak/>
        <w:t>References</w:t>
      </w:r>
      <w:bookmarkEnd w:id="259"/>
      <w:bookmarkEnd w:id="260"/>
      <w:bookmarkEnd w:id="261"/>
      <w:bookmarkEnd w:id="262"/>
    </w:p>
    <w:p w14:paraId="6BF97293" w14:textId="77777777" w:rsidR="00501547" w:rsidRDefault="00501547" w:rsidP="00501547">
      <w:pPr>
        <w:pStyle w:val="Bibliography"/>
        <w:ind w:left="720" w:hanging="720"/>
        <w:rPr>
          <w:noProof/>
        </w:rPr>
      </w:pPr>
      <w:r>
        <w:rPr>
          <w:noProof/>
        </w:rPr>
        <w:t xml:space="preserve">Australian Bureau of Statistics. (2021, June). </w:t>
      </w:r>
      <w:r>
        <w:rPr>
          <w:i/>
          <w:iCs/>
          <w:noProof/>
        </w:rPr>
        <w:t>Statistical Area Level 4 Australian Statistical Geography Standard (ASGS) Edition 3 July 2021 - June 2026</w:t>
      </w:r>
      <w:r>
        <w:rPr>
          <w:noProof/>
        </w:rPr>
        <w:t xml:space="preserve">. Retrieved from </w:t>
      </w:r>
      <w:hyperlink r:id="rId97" w:history="1">
        <w:r>
          <w:rPr>
            <w:rStyle w:val="Hyperlink"/>
            <w:noProof/>
          </w:rPr>
          <w:t>https://www.abs.gov.au/statistics/standards/australian-statistical-geography-standard-asgs-edition-3/jul2021-jun2026/main-structure-and-greater-capital-city-statistical-areas</w:t>
        </w:r>
      </w:hyperlink>
    </w:p>
    <w:p w14:paraId="5BAD73C7" w14:textId="77777777" w:rsidR="00501547" w:rsidRDefault="00501547" w:rsidP="00501547">
      <w:pPr>
        <w:ind w:left="720" w:hanging="720"/>
      </w:pPr>
      <w:r>
        <w:t xml:space="preserve">Australian Government (2014). Productivity Commission. </w:t>
      </w:r>
      <w:r w:rsidRPr="002563C4">
        <w:rPr>
          <w:i/>
          <w:iCs/>
        </w:rPr>
        <w:t>Geographic labour mobility – Commissioned Study.</w:t>
      </w:r>
      <w:r>
        <w:t xml:space="preserve"> Retrieved from </w:t>
      </w:r>
      <w:hyperlink r:id="rId98" w:history="1">
        <w:r>
          <w:rPr>
            <w:rStyle w:val="Hyperlink"/>
          </w:rPr>
          <w:t>https://www.pc.gov.au/inquiries/completed/labour-mobility/report</w:t>
        </w:r>
      </w:hyperlink>
    </w:p>
    <w:p w14:paraId="283F753B" w14:textId="77777777" w:rsidR="00501547" w:rsidRDefault="00501547" w:rsidP="00501547">
      <w:pPr>
        <w:ind w:left="720" w:hanging="720"/>
      </w:pPr>
      <w:r>
        <w:t xml:space="preserve">Australian Government (2025) Department of Employment and Workplace Relations. </w:t>
      </w:r>
      <w:r w:rsidRPr="002563C4">
        <w:rPr>
          <w:i/>
          <w:iCs/>
        </w:rPr>
        <w:t>Local Jobs – A Workforce Australia Program.</w:t>
      </w:r>
      <w:r>
        <w:t xml:space="preserve"> Retrieved from </w:t>
      </w:r>
      <w:hyperlink r:id="rId99" w:history="1">
        <w:r w:rsidRPr="00CF3E11">
          <w:rPr>
            <w:rStyle w:val="Hyperlink"/>
          </w:rPr>
          <w:t>https://www.dewr.gov.au/local-jobs</w:t>
        </w:r>
      </w:hyperlink>
    </w:p>
    <w:p w14:paraId="25812D67" w14:textId="77777777" w:rsidR="00501547" w:rsidRDefault="00501547" w:rsidP="00501547">
      <w:pPr>
        <w:ind w:left="720" w:hanging="720"/>
      </w:pPr>
      <w:r>
        <w:t xml:space="preserve">Australian Government (2025). Department of Education, </w:t>
      </w:r>
      <w:r w:rsidRPr="00C47243">
        <w:rPr>
          <w:i/>
          <w:iCs/>
        </w:rPr>
        <w:t xml:space="preserve">Regional University Study Hubs. </w:t>
      </w:r>
      <w:r>
        <w:t xml:space="preserve">Retrieved from </w:t>
      </w:r>
      <w:hyperlink r:id="rId100" w:history="1">
        <w:r>
          <w:rPr>
            <w:rStyle w:val="Hyperlink"/>
          </w:rPr>
          <w:t>https://www.education.gov.au/regional-university-study-hubs</w:t>
        </w:r>
      </w:hyperlink>
    </w:p>
    <w:p w14:paraId="67B7A181" w14:textId="77777777" w:rsidR="00501547" w:rsidRDefault="00501547" w:rsidP="00501547">
      <w:pPr>
        <w:ind w:left="720" w:hanging="720"/>
      </w:pPr>
      <w:r>
        <w:t xml:space="preserve">Australian Government (2025). Department of Education. Tertiary Access Payment. Retrieved from </w:t>
      </w:r>
      <w:hyperlink r:id="rId101" w:history="1">
        <w:r>
          <w:rPr>
            <w:rStyle w:val="Hyperlink"/>
          </w:rPr>
          <w:t>https://www.education.gov.au/tertiary-access-payment</w:t>
        </w:r>
      </w:hyperlink>
    </w:p>
    <w:p w14:paraId="0ABBD0F2" w14:textId="77777777" w:rsidR="00501547" w:rsidRDefault="00501547" w:rsidP="00501547">
      <w:pPr>
        <w:ind w:left="720" w:hanging="720"/>
        <w:rPr>
          <w:color w:val="000000" w:themeColor="text1"/>
          <w:spacing w:val="-10"/>
        </w:rPr>
      </w:pPr>
      <w:r w:rsidRPr="0052144F">
        <w:rPr>
          <w:color w:val="000000" w:themeColor="text1"/>
          <w:spacing w:val="-10"/>
        </w:rPr>
        <w:t xml:space="preserve">Australian Government (2025). Department of Employment and Workplace Relations. </w:t>
      </w:r>
      <w:r w:rsidRPr="0052144F">
        <w:rPr>
          <w:i/>
          <w:iCs/>
          <w:color w:val="000000" w:themeColor="text1"/>
          <w:spacing w:val="-10"/>
        </w:rPr>
        <w:t xml:space="preserve">Skills for Education and Employment (SEE) Program. </w:t>
      </w:r>
      <w:r w:rsidRPr="0052144F">
        <w:rPr>
          <w:color w:val="000000" w:themeColor="text1"/>
          <w:spacing w:val="-10"/>
        </w:rPr>
        <w:t xml:space="preserve">Retrieved from </w:t>
      </w:r>
      <w:hyperlink r:id="rId102" w:history="1">
        <w:r w:rsidRPr="0052144F">
          <w:rPr>
            <w:rStyle w:val="Hyperlink"/>
            <w:spacing w:val="-10"/>
          </w:rPr>
          <w:t>Skills for Education and Employment (SEE) Program - Department of Employment and Workplace Relations, Australian Government</w:t>
        </w:r>
      </w:hyperlink>
    </w:p>
    <w:p w14:paraId="624B89C9" w14:textId="77777777" w:rsidR="00501547" w:rsidRDefault="00501547" w:rsidP="00501547">
      <w:pPr>
        <w:ind w:left="720" w:hanging="720"/>
        <w:rPr>
          <w:color w:val="000000" w:themeColor="text1"/>
          <w:spacing w:val="-10"/>
        </w:rPr>
      </w:pPr>
      <w:r>
        <w:rPr>
          <w:color w:val="000000" w:themeColor="text1"/>
          <w:spacing w:val="-10"/>
        </w:rPr>
        <w:t xml:space="preserve">Australian Government (2025). Department of the Prime Minister and Cabinet. </w:t>
      </w:r>
      <w:r w:rsidRPr="00677FB1">
        <w:rPr>
          <w:i/>
          <w:iCs/>
          <w:color w:val="000000" w:themeColor="text1"/>
          <w:spacing w:val="-10"/>
        </w:rPr>
        <w:t>Care and Support Economy Reform.</w:t>
      </w:r>
      <w:r>
        <w:rPr>
          <w:color w:val="000000" w:themeColor="text1"/>
          <w:spacing w:val="-10"/>
        </w:rPr>
        <w:t xml:space="preserve"> Retrieved from </w:t>
      </w:r>
      <w:hyperlink r:id="rId103" w:history="1">
        <w:r>
          <w:rPr>
            <w:rStyle w:val="Hyperlink"/>
            <w:spacing w:val="-10"/>
          </w:rPr>
          <w:t>https://www.pmc.gov.au/domestic-policy/care-and-support-economy</w:t>
        </w:r>
      </w:hyperlink>
    </w:p>
    <w:p w14:paraId="06F1D4DE" w14:textId="77777777" w:rsidR="00501547" w:rsidRDefault="00501547" w:rsidP="00501547">
      <w:pPr>
        <w:pStyle w:val="Bibliography"/>
        <w:ind w:left="720" w:hanging="720"/>
        <w:rPr>
          <w:noProof/>
        </w:rPr>
      </w:pPr>
      <w:r>
        <w:rPr>
          <w:noProof/>
        </w:rPr>
        <w:t xml:space="preserve">Australian Government. (2024). </w:t>
      </w:r>
      <w:r>
        <w:rPr>
          <w:i/>
          <w:iCs/>
          <w:noProof/>
        </w:rPr>
        <w:t>Australian Universities Accord Final Report.</w:t>
      </w:r>
      <w:r>
        <w:rPr>
          <w:noProof/>
        </w:rPr>
        <w:t xml:space="preserve"> Canberra: Department of Education. Retrieved from </w:t>
      </w:r>
      <w:hyperlink r:id="rId104" w:history="1">
        <w:r>
          <w:rPr>
            <w:rStyle w:val="Hyperlink"/>
            <w:noProof/>
          </w:rPr>
          <w:t>https://www.education.gov.au/australian-universities-accord/resources/final-report</w:t>
        </w:r>
      </w:hyperlink>
    </w:p>
    <w:p w14:paraId="067FEAE5" w14:textId="77777777" w:rsidR="00501547" w:rsidRDefault="00501547" w:rsidP="00501547">
      <w:pPr>
        <w:ind w:left="720" w:hanging="720"/>
        <w:rPr>
          <w:color w:val="000000" w:themeColor="text1"/>
          <w:spacing w:val="-10"/>
        </w:rPr>
      </w:pPr>
      <w:r>
        <w:rPr>
          <w:color w:val="000000" w:themeColor="text1"/>
          <w:spacing w:val="-10"/>
        </w:rPr>
        <w:t xml:space="preserve">Australian Government. (2025). Department of Climate Change, Energy, the Environment and Water. </w:t>
      </w:r>
      <w:r w:rsidRPr="00677FB1">
        <w:rPr>
          <w:i/>
          <w:iCs/>
          <w:color w:val="000000" w:themeColor="text1"/>
          <w:spacing w:val="-10"/>
        </w:rPr>
        <w:t>the Net Zero Plan.</w:t>
      </w:r>
      <w:r>
        <w:rPr>
          <w:color w:val="000000" w:themeColor="text1"/>
          <w:spacing w:val="-10"/>
        </w:rPr>
        <w:t xml:space="preserve"> Retrieved from </w:t>
      </w:r>
      <w:hyperlink r:id="rId105" w:history="1">
        <w:r>
          <w:rPr>
            <w:rStyle w:val="Hyperlink"/>
            <w:spacing w:val="-10"/>
          </w:rPr>
          <w:t>https://www.dcceew.gov.au/climate-change/emissions-reduction/net-zero</w:t>
        </w:r>
      </w:hyperlink>
      <w:r>
        <w:rPr>
          <w:color w:val="000000" w:themeColor="text1"/>
          <w:spacing w:val="-10"/>
        </w:rPr>
        <w:t>.</w:t>
      </w:r>
    </w:p>
    <w:p w14:paraId="7463070A" w14:textId="77777777" w:rsidR="00501547" w:rsidRDefault="00501547" w:rsidP="00501547">
      <w:pPr>
        <w:ind w:left="720" w:hanging="720"/>
        <w:rPr>
          <w:color w:val="000000" w:themeColor="text1"/>
          <w:spacing w:val="-10"/>
        </w:rPr>
      </w:pPr>
      <w:r>
        <w:rPr>
          <w:color w:val="000000" w:themeColor="text1"/>
          <w:spacing w:val="-10"/>
        </w:rPr>
        <w:t xml:space="preserve">Australian Government. (2025). Department of Social Services. </w:t>
      </w:r>
      <w:r w:rsidRPr="00577E88">
        <w:rPr>
          <w:i/>
          <w:iCs/>
          <w:color w:val="000000" w:themeColor="text1"/>
          <w:spacing w:val="-10"/>
        </w:rPr>
        <w:t>Social Enterprise Development Initiative.</w:t>
      </w:r>
      <w:r>
        <w:rPr>
          <w:color w:val="000000" w:themeColor="text1"/>
          <w:spacing w:val="-10"/>
        </w:rPr>
        <w:t xml:space="preserve"> Retrieved from </w:t>
      </w:r>
      <w:hyperlink r:id="rId106" w:history="1">
        <w:r>
          <w:rPr>
            <w:rStyle w:val="Hyperlink"/>
            <w:spacing w:val="-10"/>
          </w:rPr>
          <w:t>https://www.dss.gov.au/social-impact-investing/social-enterprise-development-initiative</w:t>
        </w:r>
      </w:hyperlink>
    </w:p>
    <w:p w14:paraId="1611FF26" w14:textId="77777777" w:rsidR="00501547" w:rsidRDefault="00501547" w:rsidP="00501547">
      <w:pPr>
        <w:ind w:left="720" w:hanging="720"/>
        <w:rPr>
          <w:color w:val="000000" w:themeColor="text1"/>
          <w:spacing w:val="-10"/>
        </w:rPr>
      </w:pPr>
      <w:r>
        <w:rPr>
          <w:color w:val="000000" w:themeColor="text1"/>
          <w:spacing w:val="-10"/>
        </w:rPr>
        <w:t xml:space="preserve">Australian Government. (2025). Department of Social Services. </w:t>
      </w:r>
      <w:r w:rsidRPr="00677FB1">
        <w:rPr>
          <w:i/>
          <w:iCs/>
          <w:color w:val="000000" w:themeColor="text1"/>
          <w:spacing w:val="-10"/>
        </w:rPr>
        <w:t>The Entrenched Disadvantage Package.</w:t>
      </w:r>
      <w:r>
        <w:rPr>
          <w:color w:val="000000" w:themeColor="text1"/>
          <w:spacing w:val="-10"/>
        </w:rPr>
        <w:t xml:space="preserve"> Retrieved from </w:t>
      </w:r>
      <w:hyperlink r:id="rId107" w:history="1">
        <w:r>
          <w:rPr>
            <w:rStyle w:val="Hyperlink"/>
            <w:spacing w:val="-10"/>
          </w:rPr>
          <w:t>https://www.dss.gov.au/supporting-community-change/resource/entrenched-disadvantage-package</w:t>
        </w:r>
      </w:hyperlink>
    </w:p>
    <w:p w14:paraId="4B7619AA" w14:textId="77777777" w:rsidR="00501547" w:rsidRDefault="00501547" w:rsidP="00501547">
      <w:pPr>
        <w:ind w:left="720" w:hanging="720"/>
        <w:rPr>
          <w:color w:val="000000" w:themeColor="text1"/>
          <w:spacing w:val="-10"/>
        </w:rPr>
      </w:pPr>
      <w:r>
        <w:rPr>
          <w:color w:val="000000" w:themeColor="text1"/>
          <w:spacing w:val="-10"/>
        </w:rPr>
        <w:t xml:space="preserve">Australian Government. (2025). The Treasury. </w:t>
      </w:r>
      <w:r w:rsidRPr="00677FB1">
        <w:rPr>
          <w:i/>
          <w:iCs/>
          <w:color w:val="000000" w:themeColor="text1"/>
          <w:spacing w:val="-10"/>
        </w:rPr>
        <w:t>Future Made in Australia.</w:t>
      </w:r>
      <w:r>
        <w:rPr>
          <w:color w:val="000000" w:themeColor="text1"/>
          <w:spacing w:val="-10"/>
        </w:rPr>
        <w:t xml:space="preserve"> Retrieved from </w:t>
      </w:r>
      <w:hyperlink r:id="rId108" w:history="1">
        <w:r>
          <w:rPr>
            <w:rStyle w:val="Hyperlink"/>
            <w:spacing w:val="-10"/>
          </w:rPr>
          <w:t>https://treasury.gov.au/policy-topics/future-made-australia</w:t>
        </w:r>
      </w:hyperlink>
    </w:p>
    <w:p w14:paraId="0CC365D4" w14:textId="77777777" w:rsidR="00501547" w:rsidRDefault="00501547" w:rsidP="00501547">
      <w:pPr>
        <w:ind w:left="720" w:hanging="720"/>
      </w:pPr>
      <w:r>
        <w:t xml:space="preserve">Brotherhood of St. Laurence – Social Policy and Research Centre (2024). </w:t>
      </w:r>
      <w:r w:rsidRPr="005E19CB">
        <w:rPr>
          <w:i/>
          <w:iCs/>
        </w:rPr>
        <w:t xml:space="preserve">Regional Jobs Hubs Initiative Final Evaluation Report. </w:t>
      </w:r>
      <w:r>
        <w:t xml:space="preserve">Retrieved from </w:t>
      </w:r>
      <w:hyperlink r:id="rId109" w:history="1">
        <w:r>
          <w:rPr>
            <w:rStyle w:val="Hyperlink"/>
          </w:rPr>
          <w:t>https://library.bsl.org.au/bsljspui/bitstream/1/13495/1/RegionalJobsHub_Final_Eval_Report_2024.pdf</w:t>
        </w:r>
      </w:hyperlink>
    </w:p>
    <w:p w14:paraId="3F262C0A" w14:textId="77777777" w:rsidR="00501547" w:rsidRPr="004565C4" w:rsidRDefault="00501547" w:rsidP="00501547">
      <w:pPr>
        <w:pStyle w:val="Bibliography"/>
        <w:ind w:left="720" w:hanging="720"/>
        <w:rPr>
          <w:noProof/>
        </w:rPr>
      </w:pPr>
      <w:r>
        <w:rPr>
          <w:noProof/>
        </w:rPr>
        <w:t xml:space="preserve">Commonwealth of Australia. (2023a). </w:t>
      </w:r>
      <w:r>
        <w:rPr>
          <w:i/>
          <w:iCs/>
          <w:noProof/>
        </w:rPr>
        <w:t>Working Future: the Australian Government's White Paper on Jobs and Opportunities.</w:t>
      </w:r>
      <w:r>
        <w:rPr>
          <w:noProof/>
        </w:rPr>
        <w:t xml:space="preserve"> Canberra: Commonwealth of Australia. Retrieved from </w:t>
      </w:r>
      <w:hyperlink r:id="rId110" w:history="1">
        <w:r w:rsidRPr="004565C4">
          <w:rPr>
            <w:rStyle w:val="Hyperlink"/>
            <w:noProof/>
          </w:rPr>
          <w:t>https://treasury.gov.au/sites/default/files/2023-10/p2023-447996-working-future.pdf</w:t>
        </w:r>
      </w:hyperlink>
    </w:p>
    <w:p w14:paraId="3674540D" w14:textId="77777777" w:rsidR="00501547" w:rsidRDefault="00501547" w:rsidP="00501547">
      <w:pPr>
        <w:ind w:left="720" w:hanging="720"/>
      </w:pPr>
      <w:r>
        <w:lastRenderedPageBreak/>
        <w:t xml:space="preserve">Firth, J. (2020). </w:t>
      </w:r>
      <w:r w:rsidRPr="00904ACD">
        <w:rPr>
          <w:i/>
          <w:iCs/>
        </w:rPr>
        <w:t>Review into vocational and applied learning pathways in senior secondary schooling Final Report November 2020.</w:t>
      </w:r>
      <w:r>
        <w:t xml:space="preserve"> Retrieved from </w:t>
      </w:r>
      <w:hyperlink r:id="rId111" w:history="1">
        <w:r>
          <w:rPr>
            <w:rStyle w:val="Hyperlink"/>
          </w:rPr>
          <w:t>https://www.education.vic.gov.au/Documents/school/vocational-applied-learning-pathways-report.pdf</w:t>
        </w:r>
      </w:hyperlink>
    </w:p>
    <w:p w14:paraId="27C93716" w14:textId="77777777" w:rsidR="00501547" w:rsidRDefault="00501547" w:rsidP="00501547">
      <w:pPr>
        <w:ind w:left="720" w:hanging="720"/>
        <w:rPr>
          <w:color w:val="000000" w:themeColor="text1"/>
          <w:spacing w:val="-10"/>
        </w:rPr>
      </w:pPr>
      <w:r>
        <w:rPr>
          <w:color w:val="000000" w:themeColor="text1"/>
          <w:spacing w:val="-10"/>
        </w:rPr>
        <w:t xml:space="preserve">Jobs and Skills Australia (2023a). </w:t>
      </w:r>
      <w:r w:rsidRPr="0052144F">
        <w:rPr>
          <w:i/>
          <w:iCs/>
          <w:color w:val="000000" w:themeColor="text1"/>
          <w:spacing w:val="-10"/>
        </w:rPr>
        <w:t>Foundation Skills Study.</w:t>
      </w:r>
      <w:r>
        <w:rPr>
          <w:color w:val="000000" w:themeColor="text1"/>
          <w:spacing w:val="-10"/>
        </w:rPr>
        <w:t xml:space="preserve"> Retrieved from </w:t>
      </w:r>
      <w:hyperlink r:id="rId112" w:history="1">
        <w:r>
          <w:rPr>
            <w:rStyle w:val="Hyperlink"/>
            <w:spacing w:val="-10"/>
          </w:rPr>
          <w:t>https://www.jobsandskills.gov.au/studies/foundation-skills-study</w:t>
        </w:r>
      </w:hyperlink>
    </w:p>
    <w:p w14:paraId="6D5321F4" w14:textId="77777777" w:rsidR="00501547" w:rsidRDefault="00501547" w:rsidP="00501547">
      <w:pPr>
        <w:ind w:left="720" w:hanging="720"/>
        <w:rPr>
          <w:color w:val="000000" w:themeColor="text1"/>
          <w:spacing w:val="-10"/>
        </w:rPr>
      </w:pPr>
      <w:r>
        <w:rPr>
          <w:color w:val="000000" w:themeColor="text1"/>
          <w:spacing w:val="-10"/>
        </w:rPr>
        <w:t xml:space="preserve">Jobs and Skills Australia (2023b). </w:t>
      </w:r>
      <w:r w:rsidRPr="0052144F">
        <w:rPr>
          <w:i/>
          <w:iCs/>
          <w:color w:val="000000" w:themeColor="text1"/>
          <w:spacing w:val="-10"/>
        </w:rPr>
        <w:t>JSA Foundation Skills Study</w:t>
      </w:r>
      <w:r>
        <w:rPr>
          <w:i/>
          <w:iCs/>
          <w:color w:val="000000" w:themeColor="text1"/>
          <w:spacing w:val="-10"/>
        </w:rPr>
        <w:t xml:space="preserve"> Discussion Paper April 2023</w:t>
      </w:r>
      <w:r w:rsidRPr="0052144F">
        <w:rPr>
          <w:i/>
          <w:iCs/>
          <w:color w:val="000000" w:themeColor="text1"/>
          <w:spacing w:val="-10"/>
        </w:rPr>
        <w:t>.</w:t>
      </w:r>
      <w:r>
        <w:rPr>
          <w:color w:val="000000" w:themeColor="text1"/>
          <w:spacing w:val="-10"/>
        </w:rPr>
        <w:t xml:space="preserve"> Retrieved from </w:t>
      </w:r>
      <w:hyperlink r:id="rId113" w:history="1">
        <w:r>
          <w:rPr>
            <w:rStyle w:val="Hyperlink"/>
            <w:spacing w:val="-10"/>
          </w:rPr>
          <w:t>https://www.jobsandskills.gov.au/sites/default/files/2023-04/Foundation%20Skills%20Study%20-%20Discussion%20paper.pdf</w:t>
        </w:r>
      </w:hyperlink>
    </w:p>
    <w:p w14:paraId="294A7B1D" w14:textId="77777777" w:rsidR="00501547" w:rsidRDefault="00501547" w:rsidP="00501547">
      <w:pPr>
        <w:ind w:left="720" w:hanging="720"/>
        <w:rPr>
          <w:color w:val="000000" w:themeColor="text1"/>
          <w:spacing w:val="-10"/>
        </w:rPr>
      </w:pPr>
      <w:r>
        <w:rPr>
          <w:color w:val="000000" w:themeColor="text1"/>
          <w:spacing w:val="-10"/>
        </w:rPr>
        <w:t xml:space="preserve">Jobs and Skills Australia (2024). </w:t>
      </w:r>
      <w:r w:rsidRPr="00C32D26">
        <w:rPr>
          <w:i/>
          <w:iCs/>
          <w:color w:val="000000" w:themeColor="text1"/>
          <w:spacing w:val="-10"/>
        </w:rPr>
        <w:t>Better Together The Jobs and Skills Report November 2024.</w:t>
      </w:r>
      <w:r>
        <w:rPr>
          <w:color w:val="000000" w:themeColor="text1"/>
          <w:spacing w:val="-10"/>
        </w:rPr>
        <w:t xml:space="preserve"> Retrieved from </w:t>
      </w:r>
      <w:hyperlink r:id="rId114" w:history="1">
        <w:r>
          <w:rPr>
            <w:rStyle w:val="Hyperlink"/>
            <w:spacing w:val="-10"/>
          </w:rPr>
          <w:t>https://www.jobsandskills.gov.au/download/19681/jobs-and-skills-report-2024/2833/better-together-jobs-and-skills-report-2024/pdf</w:t>
        </w:r>
      </w:hyperlink>
    </w:p>
    <w:p w14:paraId="2961C98C" w14:textId="77777777" w:rsidR="00501547" w:rsidRDefault="00501547" w:rsidP="00501547">
      <w:pPr>
        <w:ind w:left="720" w:hanging="720"/>
        <w:rPr>
          <w:color w:val="000000" w:themeColor="text1"/>
          <w:spacing w:val="-10"/>
        </w:rPr>
      </w:pPr>
      <w:r>
        <w:rPr>
          <w:color w:val="000000" w:themeColor="text1"/>
          <w:spacing w:val="-10"/>
        </w:rPr>
        <w:t xml:space="preserve">Jobs and Skills Australia (2024). </w:t>
      </w:r>
      <w:r w:rsidRPr="00DD5475">
        <w:rPr>
          <w:i/>
          <w:iCs/>
          <w:color w:val="000000" w:themeColor="text1"/>
          <w:spacing w:val="-10"/>
        </w:rPr>
        <w:t>From the Big Smoke to the Back of Bourke: Recruitment experiences across Australia’s regions.</w:t>
      </w:r>
      <w:r>
        <w:rPr>
          <w:color w:val="000000" w:themeColor="text1"/>
          <w:spacing w:val="-10"/>
        </w:rPr>
        <w:t xml:space="preserve"> Retrieved from </w:t>
      </w:r>
      <w:hyperlink r:id="rId115" w:history="1">
        <w:r>
          <w:rPr>
            <w:rStyle w:val="Hyperlink"/>
            <w:spacing w:val="-10"/>
          </w:rPr>
          <w:t>https://www.jobsandskills.gov.au/sites/default/files/2024-10/recruitment_experiences_across_australias_regions_-_october_2024.pdf</w:t>
        </w:r>
      </w:hyperlink>
    </w:p>
    <w:p w14:paraId="277DDAAD" w14:textId="77777777" w:rsidR="00501547" w:rsidRDefault="00501547" w:rsidP="00501547">
      <w:pPr>
        <w:ind w:left="720" w:hanging="720"/>
        <w:rPr>
          <w:color w:val="000000" w:themeColor="text1"/>
          <w:spacing w:val="-10"/>
        </w:rPr>
      </w:pPr>
      <w:r>
        <w:rPr>
          <w:color w:val="000000" w:themeColor="text1"/>
          <w:spacing w:val="-10"/>
        </w:rPr>
        <w:t xml:space="preserve">Jobs and Skills Australia (2025). Opportunity and Productivity </w:t>
      </w:r>
      <w:r w:rsidRPr="00C32D26">
        <w:rPr>
          <w:i/>
          <w:iCs/>
          <w:color w:val="000000" w:themeColor="text1"/>
          <w:spacing w:val="-10"/>
        </w:rPr>
        <w:t>Towards a Tertiary Harmonisation Roadmap.</w:t>
      </w:r>
      <w:r>
        <w:rPr>
          <w:color w:val="000000" w:themeColor="text1"/>
          <w:spacing w:val="-10"/>
        </w:rPr>
        <w:t xml:space="preserve"> Retrieved from </w:t>
      </w:r>
      <w:hyperlink r:id="rId116" w:history="1">
        <w:r>
          <w:rPr>
            <w:rStyle w:val="Hyperlink"/>
            <w:spacing w:val="-10"/>
          </w:rPr>
          <w:t>https://www.jobsandskills.gov.au/publications/opportunity-and-productivity-towards-tertiary-harmonisation-roadmap</w:t>
        </w:r>
      </w:hyperlink>
    </w:p>
    <w:p w14:paraId="223AD805" w14:textId="77777777" w:rsidR="00501547" w:rsidRDefault="00501547" w:rsidP="00501547">
      <w:pPr>
        <w:ind w:left="720" w:hanging="720"/>
      </w:pPr>
      <w:r>
        <w:t xml:space="preserve">Mount Isa City Council (2025) </w:t>
      </w:r>
      <w:r>
        <w:rPr>
          <w:i/>
          <w:iCs/>
        </w:rPr>
        <w:t>Mount Isa Future Ready Economy Roadmap</w:t>
      </w:r>
      <w:r>
        <w:t xml:space="preserve">, February 2025. Retrieved from </w:t>
      </w:r>
      <w:hyperlink r:id="rId117" w:history="1">
        <w:r>
          <w:rPr>
            <w:rStyle w:val="Hyperlink"/>
          </w:rPr>
          <w:t>https://www.mountisa.qld.gov.au/files/assets/public/v/3/council/documents/future-ready-economy-roadmap.pdf</w:t>
        </w:r>
      </w:hyperlink>
    </w:p>
    <w:p w14:paraId="467E01FF" w14:textId="77777777" w:rsidR="00501547" w:rsidRDefault="00501547" w:rsidP="00501547">
      <w:pPr>
        <w:ind w:left="720" w:hanging="720"/>
      </w:pPr>
      <w:r>
        <w:t xml:space="preserve">Parliament of Australia (2013). </w:t>
      </w:r>
      <w:r w:rsidRPr="002563C4">
        <w:t>House of Representatives Standing Committee on Regional Australia.</w:t>
      </w:r>
      <w:r w:rsidRPr="002563C4">
        <w:rPr>
          <w:i/>
          <w:iCs/>
        </w:rPr>
        <w:t xml:space="preserve"> Cancer of the bush or salvation for our cities?</w:t>
      </w:r>
      <w:r>
        <w:t xml:space="preserve"> Retrieved from </w:t>
      </w:r>
      <w:hyperlink r:id="rId118" w:history="1">
        <w:r>
          <w:rPr>
            <w:rStyle w:val="Hyperlink"/>
          </w:rPr>
          <w:t>https://www.aph.gov.au/parliamentary_business/committees/house_of_representatives_committees?url=ra/fifodido/report/index.htm</w:t>
        </w:r>
      </w:hyperlink>
    </w:p>
    <w:p w14:paraId="6B1F66BB" w14:textId="77777777" w:rsidR="00501547" w:rsidRDefault="00501547" w:rsidP="00501547">
      <w:pPr>
        <w:ind w:left="720" w:hanging="720"/>
      </w:pPr>
      <w:r>
        <w:t xml:space="preserve">Queensland Government (2025) Department of Trade, Employment and Training. </w:t>
      </w:r>
      <w:r w:rsidRPr="00C47243">
        <w:rPr>
          <w:i/>
          <w:iCs/>
        </w:rPr>
        <w:t>User Choice program documents.</w:t>
      </w:r>
      <w:r>
        <w:t xml:space="preserve"> Retrieved from </w:t>
      </w:r>
      <w:hyperlink r:id="rId119" w:history="1">
        <w:r>
          <w:rPr>
            <w:rStyle w:val="Hyperlink"/>
          </w:rPr>
          <w:t>https://desbt.qld.gov.au/training/providers/funded/userchoice/resources</w:t>
        </w:r>
      </w:hyperlink>
    </w:p>
    <w:p w14:paraId="2EB4FEA2" w14:textId="77777777" w:rsidR="00501547" w:rsidRPr="00611F81" w:rsidRDefault="00501547" w:rsidP="00501547">
      <w:pPr>
        <w:ind w:left="720" w:hanging="720"/>
      </w:pPr>
      <w:r w:rsidRPr="00611F81">
        <w:t xml:space="preserve">Regional Australia Institute (2022). </w:t>
      </w:r>
      <w:r w:rsidRPr="00611F81">
        <w:rPr>
          <w:i/>
          <w:iCs/>
        </w:rPr>
        <w:t>Regionalisation Ambition 2032: A Framework to Rebalance the Nation</w:t>
      </w:r>
      <w:r w:rsidRPr="00611F81">
        <w:t xml:space="preserve">. Retrieved from </w:t>
      </w:r>
      <w:hyperlink r:id="rId120" w:history="1">
        <w:r w:rsidRPr="00611F81">
          <w:rPr>
            <w:rStyle w:val="Hyperlink"/>
          </w:rPr>
          <w:t>https://rebalancethenation.com.au/common/Uploaded%20files/Rebalance-the-Nation/Rebalance-the-Nation-Report-2022.pdf</w:t>
        </w:r>
      </w:hyperlink>
    </w:p>
    <w:p w14:paraId="70995980" w14:textId="77777777" w:rsidR="00501547" w:rsidRDefault="00501547" w:rsidP="00501547">
      <w:pPr>
        <w:ind w:left="720" w:hanging="720"/>
      </w:pPr>
      <w:r w:rsidRPr="004565C4">
        <w:t xml:space="preserve">Regional Australia Institute (2025). </w:t>
      </w:r>
      <w:r w:rsidRPr="00677FB1">
        <w:rPr>
          <w:i/>
          <w:iCs/>
        </w:rPr>
        <w:t>What is Regional Australia?,</w:t>
      </w:r>
      <w:r w:rsidRPr="004565C4">
        <w:t xml:space="preserve"> Retrieved from </w:t>
      </w:r>
      <w:hyperlink r:id="rId121" w:history="1">
        <w:r>
          <w:rPr>
            <w:rStyle w:val="Hyperlink"/>
          </w:rPr>
          <w:t>https://www.regionalaustralia.org.au/Web/Web/About-Us/What-is-Regional-Australia.aspx</w:t>
        </w:r>
      </w:hyperlink>
    </w:p>
    <w:p w14:paraId="460B7CBC" w14:textId="77777777" w:rsidR="00501547" w:rsidRDefault="00501547" w:rsidP="00501547">
      <w:pPr>
        <w:ind w:left="720" w:hanging="720"/>
      </w:pPr>
      <w:r>
        <w:t xml:space="preserve">UniHub Spencer Gulf (2025) </w:t>
      </w:r>
      <w:r w:rsidRPr="00C47243">
        <w:rPr>
          <w:i/>
          <w:iCs/>
        </w:rPr>
        <w:t>Welcome to UniHub</w:t>
      </w:r>
      <w:r>
        <w:t xml:space="preserve">. Retrieved from </w:t>
      </w:r>
      <w:hyperlink r:id="rId122" w:history="1">
        <w:r>
          <w:rPr>
            <w:rStyle w:val="Hyperlink"/>
          </w:rPr>
          <w:t>https://unihubsg.org/</w:t>
        </w:r>
      </w:hyperlink>
    </w:p>
    <w:p w14:paraId="41BD0E3D" w14:textId="77777777" w:rsidR="00501547" w:rsidRDefault="00501547" w:rsidP="00501547">
      <w:pPr>
        <w:ind w:left="720" w:hanging="720"/>
      </w:pPr>
      <w:r>
        <w:t xml:space="preserve">Victorian Government (2025). </w:t>
      </w:r>
      <w:r w:rsidRPr="00904ACD">
        <w:rPr>
          <w:i/>
          <w:iCs/>
        </w:rPr>
        <w:t>Senior secondary schooling pathway reforms.</w:t>
      </w:r>
      <w:r>
        <w:t xml:space="preserve"> Retrieved from </w:t>
      </w:r>
      <w:hyperlink r:id="rId123" w:history="1">
        <w:r>
          <w:rPr>
            <w:rStyle w:val="Hyperlink"/>
          </w:rPr>
          <w:t>https://www.vic.gov.au/senior-secondary-schooling-pathway-reforms</w:t>
        </w:r>
      </w:hyperlink>
    </w:p>
    <w:p w14:paraId="0CD8211D" w14:textId="77777777" w:rsidR="00501547" w:rsidRPr="00E34101" w:rsidRDefault="00501547" w:rsidP="00501547">
      <w:pPr>
        <w:ind w:left="720" w:hanging="720"/>
        <w:rPr>
          <w:rFonts w:cs="Arial"/>
        </w:rPr>
      </w:pPr>
      <w:r w:rsidRPr="00E34101">
        <w:rPr>
          <w:rFonts w:cs="Arial"/>
        </w:rPr>
        <w:t xml:space="preserve">Volunteering Australia (2015) </w:t>
      </w:r>
      <w:r w:rsidRPr="00E34101">
        <w:rPr>
          <w:rFonts w:cs="Arial"/>
          <w:i/>
          <w:iCs/>
        </w:rPr>
        <w:t>The National Standards for Volunteer Involvement</w:t>
      </w:r>
      <w:r>
        <w:rPr>
          <w:rFonts w:cs="Arial"/>
          <w:i/>
          <w:iCs/>
        </w:rPr>
        <w:t xml:space="preserve">. Retrieved from </w:t>
      </w:r>
      <w:hyperlink r:id="rId124" w:history="1">
        <w:r>
          <w:rPr>
            <w:rStyle w:val="Hyperlink"/>
            <w:rFonts w:cs="Arial"/>
            <w:i/>
            <w:iCs/>
          </w:rPr>
          <w:t>https://www.volunteeringaustralia.org/wp-content/uploads/National-Standards-Document-FINAL_Web.pdf</w:t>
        </w:r>
      </w:hyperlink>
    </w:p>
    <w:p w14:paraId="5A7B1F0A" w14:textId="77777777" w:rsidR="00501547" w:rsidRPr="00E34101" w:rsidRDefault="00501547" w:rsidP="00501547">
      <w:pPr>
        <w:ind w:left="720" w:hanging="720"/>
      </w:pPr>
      <w:r w:rsidRPr="00E34101">
        <w:rPr>
          <w:rFonts w:cs="Arial"/>
        </w:rPr>
        <w:t xml:space="preserve">Volunteering Australia (2020), </w:t>
      </w:r>
      <w:r w:rsidRPr="00E34101">
        <w:rPr>
          <w:rFonts w:cs="Arial"/>
          <w:i/>
          <w:iCs/>
        </w:rPr>
        <w:t>Submission made to the Review to achieve educational excellence in Australian Schools</w:t>
      </w:r>
      <w:r>
        <w:rPr>
          <w:rFonts w:cs="Arial"/>
          <w:i/>
          <w:iCs/>
        </w:rPr>
        <w:t xml:space="preserve">, </w:t>
      </w:r>
      <w:r w:rsidRPr="00E34101">
        <w:rPr>
          <w:rFonts w:cs="Arial"/>
        </w:rPr>
        <w:t>Volunteering Australia</w:t>
      </w:r>
      <w:r>
        <w:rPr>
          <w:rFonts w:cs="Arial"/>
        </w:rPr>
        <w:t xml:space="preserve">. Retrieved from </w:t>
      </w:r>
      <w:hyperlink r:id="rId125" w:history="1">
        <w:r>
          <w:rPr>
            <w:rStyle w:val="Hyperlink"/>
            <w:rFonts w:cs="Arial"/>
          </w:rPr>
          <w:t>https://www.education.gov.au/system/files/documents/document-file/2020-12/volunteering-australia.pdf</w:t>
        </w:r>
      </w:hyperlink>
    </w:p>
    <w:p w14:paraId="4062A3BD" w14:textId="77777777" w:rsidR="00501547" w:rsidRDefault="00501547" w:rsidP="00501547">
      <w:pPr>
        <w:ind w:left="720" w:hanging="720"/>
      </w:pPr>
      <w:r>
        <w:t xml:space="preserve">WISE Employment (2025). </w:t>
      </w:r>
      <w:r w:rsidRPr="00577E88">
        <w:rPr>
          <w:i/>
          <w:iCs/>
        </w:rPr>
        <w:t>Peppergreen Farm.</w:t>
      </w:r>
      <w:r>
        <w:t xml:space="preserve"> Retrieved from </w:t>
      </w:r>
      <w:hyperlink r:id="rId126" w:history="1">
        <w:r>
          <w:rPr>
            <w:rStyle w:val="Hyperlink"/>
          </w:rPr>
          <w:t>https://www.peppergreenfarm.com.au/</w:t>
        </w:r>
      </w:hyperlink>
    </w:p>
    <w:p w14:paraId="5C9E5A74" w14:textId="66C5FE35" w:rsidR="00322FEC" w:rsidRDefault="00322FEC">
      <w:pPr>
        <w:spacing w:after="160" w:line="259" w:lineRule="auto"/>
        <w:rPr>
          <w:rFonts w:cs="Arial"/>
        </w:rPr>
      </w:pPr>
      <w:r>
        <w:rPr>
          <w:rFonts w:cs="Arial"/>
        </w:rPr>
        <w:br w:type="page"/>
      </w:r>
    </w:p>
    <w:bookmarkEnd w:id="0"/>
    <w:bookmarkEnd w:id="1"/>
    <w:bookmarkEnd w:id="2"/>
    <w:p w14:paraId="7BCA45F7" w14:textId="77777777" w:rsidR="00AE353A" w:rsidRPr="00CB0C7A" w:rsidRDefault="00AE353A" w:rsidP="00AE353A">
      <w:pPr>
        <w:pStyle w:val="Image"/>
        <w:spacing w:before="0" w:after="100" w:line="266" w:lineRule="auto"/>
        <w:rPr>
          <w:rFonts w:cs="Arial"/>
        </w:rPr>
      </w:pPr>
      <w:r w:rsidRPr="00CB0C7A">
        <w:rPr>
          <w:rFonts w:cs="Arial"/>
          <w:noProof/>
        </w:rPr>
        <w:lastRenderedPageBreak/>
        <w:drawing>
          <wp:inline distT="0" distB="0" distL="0" distR="0" wp14:anchorId="5AF45016" wp14:editId="7B77474D">
            <wp:extent cx="1227411" cy="429442"/>
            <wp:effectExtent l="0" t="0" r="0" b="8890"/>
            <wp:docPr id="21245836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83608" name="Picture 1">
                      <a:extLst>
                        <a:ext uri="{C183D7F6-B498-43B3-948B-1728B52AA6E4}">
                          <adec:decorative xmlns:adec="http://schemas.microsoft.com/office/drawing/2017/decorative" val="1"/>
                        </a:ext>
                      </a:extLst>
                    </pic:cNvPr>
                    <pic:cNvPicPr/>
                  </pic:nvPicPr>
                  <pic:blipFill>
                    <a:blip r:embed="rId127" cstate="email">
                      <a:extLst>
                        <a:ext uri="{28A0092B-C50C-407E-A947-70E740481C1C}">
                          <a14:useLocalDpi xmlns:a14="http://schemas.microsoft.com/office/drawing/2010/main"/>
                        </a:ext>
                      </a:extLst>
                    </a:blip>
                    <a:stretch>
                      <a:fillRect/>
                    </a:stretch>
                  </pic:blipFill>
                  <pic:spPr>
                    <a:xfrm>
                      <a:off x="0" y="0"/>
                      <a:ext cx="1227411" cy="429442"/>
                    </a:xfrm>
                    <a:prstGeom prst="rect">
                      <a:avLst/>
                    </a:prstGeom>
                  </pic:spPr>
                </pic:pic>
              </a:graphicData>
            </a:graphic>
          </wp:inline>
        </w:drawing>
      </w:r>
    </w:p>
    <w:p w14:paraId="19EB0AA2" w14:textId="77777777" w:rsidR="00AE353A" w:rsidRPr="00CB0C7A" w:rsidRDefault="00AE353A" w:rsidP="00AE353A">
      <w:pPr>
        <w:pStyle w:val="BodyText"/>
        <w:spacing w:before="0" w:after="100" w:line="266" w:lineRule="auto"/>
        <w:rPr>
          <w:rFonts w:cs="Arial"/>
        </w:rPr>
      </w:pPr>
      <w:r w:rsidRPr="00CB0C7A">
        <w:rPr>
          <w:rFonts w:cs="Arial"/>
        </w:rPr>
        <w:t>All content is provided under a Creative Commons Attribution 4.0 International Licence with the exception of:</w:t>
      </w:r>
    </w:p>
    <w:p w14:paraId="6903A850" w14:textId="77777777" w:rsidR="00AE353A" w:rsidRPr="00CB0C7A" w:rsidRDefault="00AE353A" w:rsidP="00AE353A">
      <w:pPr>
        <w:pStyle w:val="ListBullet"/>
        <w:tabs>
          <w:tab w:val="num" w:pos="644"/>
        </w:tabs>
        <w:spacing w:after="100" w:line="266" w:lineRule="auto"/>
        <w:ind w:left="357" w:hanging="357"/>
        <w:rPr>
          <w:rFonts w:cs="Arial"/>
        </w:rPr>
      </w:pPr>
      <w:r w:rsidRPr="00CB0C7A">
        <w:rPr>
          <w:rFonts w:cs="Arial"/>
        </w:rPr>
        <w:t>content supplied by third parties</w:t>
      </w:r>
    </w:p>
    <w:p w14:paraId="4C5CFF7F" w14:textId="77777777" w:rsidR="00AE353A" w:rsidRPr="00CB0C7A" w:rsidRDefault="00AE353A" w:rsidP="00AE353A">
      <w:pPr>
        <w:pStyle w:val="ListBullet"/>
        <w:tabs>
          <w:tab w:val="num" w:pos="644"/>
        </w:tabs>
        <w:spacing w:after="100" w:line="266" w:lineRule="auto"/>
        <w:ind w:left="357" w:hanging="357"/>
        <w:rPr>
          <w:rFonts w:cs="Arial"/>
        </w:rPr>
      </w:pPr>
      <w:r w:rsidRPr="00CB0C7A">
        <w:rPr>
          <w:rFonts w:cs="Arial"/>
        </w:rPr>
        <w:t>the Commonwealth Coat of Arms</w:t>
      </w:r>
    </w:p>
    <w:p w14:paraId="26C27D56" w14:textId="77777777" w:rsidR="00AE353A" w:rsidRPr="00CB0C7A" w:rsidRDefault="00AE353A" w:rsidP="00AE353A">
      <w:pPr>
        <w:pStyle w:val="ListBullet"/>
        <w:tabs>
          <w:tab w:val="num" w:pos="644"/>
        </w:tabs>
        <w:spacing w:after="100" w:line="266" w:lineRule="auto"/>
        <w:ind w:left="357" w:hanging="357"/>
        <w:rPr>
          <w:rFonts w:cs="Arial"/>
        </w:rPr>
      </w:pPr>
      <w:r w:rsidRPr="00CB0C7A">
        <w:rPr>
          <w:rFonts w:cs="Arial"/>
        </w:rPr>
        <w:t>material protected by a trade mark</w:t>
      </w:r>
    </w:p>
    <w:p w14:paraId="0E4F09B0" w14:textId="77777777" w:rsidR="00AE353A" w:rsidRPr="00CB0C7A" w:rsidRDefault="00AE353A" w:rsidP="00AE353A">
      <w:pPr>
        <w:pStyle w:val="ListBullet"/>
        <w:tabs>
          <w:tab w:val="num" w:pos="644"/>
        </w:tabs>
        <w:spacing w:after="100" w:line="266" w:lineRule="auto"/>
        <w:ind w:left="357" w:hanging="357"/>
        <w:rPr>
          <w:rFonts w:cs="Arial"/>
        </w:rPr>
      </w:pPr>
      <w:r w:rsidRPr="00CB0C7A">
        <w:rPr>
          <w:rFonts w:cs="Arial"/>
        </w:rPr>
        <w:t>any images and/or photographs.</w:t>
      </w:r>
    </w:p>
    <w:p w14:paraId="09335652" w14:textId="77777777" w:rsidR="00AE353A" w:rsidRPr="00CB0C7A" w:rsidRDefault="00AE353A" w:rsidP="00AE353A">
      <w:pPr>
        <w:pStyle w:val="BodyText"/>
        <w:spacing w:before="0" w:after="100" w:line="266" w:lineRule="auto"/>
        <w:rPr>
          <w:rFonts w:cs="Arial"/>
        </w:rPr>
      </w:pPr>
      <w:r w:rsidRPr="00CB0C7A">
        <w:rPr>
          <w:rFonts w:cs="Arial"/>
        </w:rPr>
        <w:t xml:space="preserve">Details of the Creative Commons BY 4.0 licence are available on the </w:t>
      </w:r>
      <w:hyperlink r:id="rId128" w:history="1">
        <w:r w:rsidRPr="00CB0C7A">
          <w:rPr>
            <w:rStyle w:val="Hyperlink"/>
            <w:rFonts w:cs="Arial"/>
          </w:rPr>
          <w:t>Creative Commons website</w:t>
        </w:r>
      </w:hyperlink>
      <w:r w:rsidRPr="00CB0C7A">
        <w:rPr>
          <w:rFonts w:cs="Arial"/>
        </w:rPr>
        <w:t>.</w:t>
      </w:r>
    </w:p>
    <w:p w14:paraId="11832FCE" w14:textId="77777777" w:rsidR="00AE353A" w:rsidRPr="00CB0C7A" w:rsidRDefault="00AE353A" w:rsidP="00AE353A">
      <w:pPr>
        <w:pStyle w:val="BodyText"/>
        <w:spacing w:before="0" w:after="100" w:line="266" w:lineRule="auto"/>
        <w:rPr>
          <w:rFonts w:cs="Arial"/>
        </w:rPr>
      </w:pPr>
      <w:r w:rsidRPr="00CB0C7A">
        <w:rPr>
          <w:rFonts w:cs="Arial"/>
        </w:rPr>
        <w:t>Use of all or part of any material on this website must include the following attribution:</w:t>
      </w:r>
    </w:p>
    <w:p w14:paraId="70CDA529" w14:textId="77777777" w:rsidR="00AE353A" w:rsidRPr="00CB0C7A" w:rsidRDefault="00AE353A" w:rsidP="00AE353A">
      <w:pPr>
        <w:pStyle w:val="BodyText"/>
        <w:spacing w:before="0" w:after="100" w:line="266" w:lineRule="auto"/>
        <w:rPr>
          <w:rFonts w:cs="Arial"/>
        </w:rPr>
      </w:pPr>
      <w:r w:rsidRPr="00CB0C7A">
        <w:rPr>
          <w:rFonts w:cs="Arial"/>
        </w:rPr>
        <w:t>© Commonwealth of Australia</w:t>
      </w:r>
    </w:p>
    <w:p w14:paraId="1C45FFFF" w14:textId="77777777" w:rsidR="00AE353A" w:rsidRPr="00CB0C7A" w:rsidRDefault="00AE353A" w:rsidP="00AE353A">
      <w:pPr>
        <w:pStyle w:val="BodyText"/>
        <w:spacing w:before="0" w:after="100" w:line="266" w:lineRule="auto"/>
        <w:rPr>
          <w:rFonts w:cs="Arial"/>
        </w:rPr>
      </w:pPr>
      <w:r w:rsidRPr="00CB0C7A">
        <w:rPr>
          <w:rFonts w:cs="Arial"/>
        </w:rPr>
        <w:t xml:space="preserve">Terms under which the Commonwealth Coat of Arms can be used are set out on the </w:t>
      </w:r>
      <w:hyperlink r:id="rId129" w:history="1">
        <w:r w:rsidRPr="00CB0C7A">
          <w:rPr>
            <w:rStyle w:val="Hyperlink"/>
            <w:rFonts w:cs="Arial"/>
          </w:rPr>
          <w:t>Department of the Prime Minister and Cabinet website</w:t>
        </w:r>
      </w:hyperlink>
      <w:r w:rsidRPr="00CB0C7A">
        <w:rPr>
          <w:rFonts w:cs="Arial"/>
        </w:rPr>
        <w:t>.</w:t>
      </w:r>
    </w:p>
    <w:p w14:paraId="447A94E8" w14:textId="77777777" w:rsidR="00AE353A" w:rsidRPr="0049464E" w:rsidRDefault="00AE353A" w:rsidP="00AE353A">
      <w:pPr>
        <w:pStyle w:val="BodyText"/>
        <w:spacing w:before="0" w:after="100" w:line="266" w:lineRule="auto"/>
        <w:rPr>
          <w:rStyle w:val="Characterbold"/>
        </w:rPr>
      </w:pPr>
      <w:r w:rsidRPr="0049464E">
        <w:rPr>
          <w:rStyle w:val="Characterbold"/>
        </w:rPr>
        <w:t>Attribution</w:t>
      </w:r>
    </w:p>
    <w:p w14:paraId="2DAF55C2" w14:textId="77777777" w:rsidR="00AE353A" w:rsidRPr="00CB0C7A" w:rsidRDefault="00AE353A" w:rsidP="00AE353A">
      <w:pPr>
        <w:pStyle w:val="BodyText"/>
        <w:spacing w:before="0" w:after="100" w:line="266" w:lineRule="auto"/>
        <w:rPr>
          <w:rFonts w:cs="Arial"/>
          <w:lang w:val="en-US"/>
        </w:rPr>
      </w:pPr>
      <w:r w:rsidRPr="00CB0C7A">
        <w:rPr>
          <w:rFonts w:cs="Arial"/>
        </w:rPr>
        <w:t>You may link to this website at your full expense and responsibility. In doing so you must not alter any of the website's contents, frame or reformat the files, pages, images, information and materials from this website on any other website. We reserve the right to prevent linking.</w:t>
      </w:r>
    </w:p>
    <w:p w14:paraId="3A79C646" w14:textId="77777777" w:rsidR="00AE353A" w:rsidRPr="00CB0C7A" w:rsidRDefault="00AE353A" w:rsidP="00AE353A">
      <w:pPr>
        <w:pStyle w:val="BodyText"/>
        <w:spacing w:before="0" w:after="100" w:line="266" w:lineRule="auto"/>
        <w:rPr>
          <w:rStyle w:val="Characterbold"/>
          <w:rFonts w:cs="Arial"/>
        </w:rPr>
      </w:pPr>
      <w:r w:rsidRPr="00CB0C7A">
        <w:rPr>
          <w:rStyle w:val="Characterbold"/>
          <w:rFonts w:cs="Arial"/>
        </w:rPr>
        <w:t>Other use</w:t>
      </w:r>
    </w:p>
    <w:p w14:paraId="6CB83A40" w14:textId="77777777" w:rsidR="00AE353A" w:rsidRPr="00CB0C7A" w:rsidRDefault="00AE353A" w:rsidP="00AE353A">
      <w:pPr>
        <w:pStyle w:val="BodyText"/>
        <w:spacing w:before="0" w:after="100" w:line="266" w:lineRule="auto"/>
        <w:rPr>
          <w:rFonts w:cs="Arial"/>
          <w:lang w:val="en-US"/>
        </w:rPr>
      </w:pPr>
      <w:r w:rsidRPr="00CB0C7A">
        <w:rPr>
          <w:rFonts w:cs="Arial"/>
        </w:rPr>
        <w:t xml:space="preserve">If you want to use material on this website in a way that is beyond the scope of the terms of use that apply to it, ask us for authorisation. You could infringe our copyright if you use anything on this website in a way that is not permitted or otherwise allowed under the </w:t>
      </w:r>
      <w:r w:rsidRPr="00CB0C7A">
        <w:rPr>
          <w:rStyle w:val="Characteritalic"/>
          <w:rFonts w:cs="Arial"/>
        </w:rPr>
        <w:t>Copyright Act 1968</w:t>
      </w:r>
      <w:r w:rsidRPr="00CB0C7A">
        <w:rPr>
          <w:rFonts w:cs="Arial"/>
        </w:rPr>
        <w:t xml:space="preserve"> (Cth).</w:t>
      </w:r>
    </w:p>
    <w:p w14:paraId="729FACBF" w14:textId="77777777" w:rsidR="00AE353A" w:rsidRPr="00CB0C7A" w:rsidRDefault="00AE353A" w:rsidP="00AE353A">
      <w:pPr>
        <w:pStyle w:val="BodyText"/>
        <w:spacing w:before="0" w:after="100" w:line="266" w:lineRule="auto"/>
        <w:rPr>
          <w:rFonts w:cs="Arial"/>
        </w:rPr>
      </w:pPr>
      <w:r w:rsidRPr="00CB0C7A">
        <w:rPr>
          <w:rFonts w:cs="Arial"/>
        </w:rPr>
        <w:t xml:space="preserve">Please email </w:t>
      </w:r>
      <w:hyperlink r:id="rId130" w:history="1">
        <w:r w:rsidRPr="00CB0C7A">
          <w:rPr>
            <w:rStyle w:val="Hyperlink"/>
            <w:rFonts w:cs="Arial"/>
          </w:rPr>
          <w:t>copyright@dewr.gov.au</w:t>
        </w:r>
      </w:hyperlink>
      <w:r w:rsidRPr="00CB0C7A">
        <w:rPr>
          <w:rFonts w:cs="Arial"/>
        </w:rPr>
        <w:t xml:space="preserve"> or address requests and enquiries to:</w:t>
      </w:r>
    </w:p>
    <w:p w14:paraId="72B31332" w14:textId="77777777" w:rsidR="00AE353A" w:rsidRDefault="00AE353A" w:rsidP="00AE353A">
      <w:pPr>
        <w:pStyle w:val="BodyText"/>
        <w:spacing w:before="0" w:after="100" w:line="266" w:lineRule="auto"/>
        <w:rPr>
          <w:rFonts w:cs="Arial"/>
        </w:rPr>
      </w:pPr>
      <w:r w:rsidRPr="00CB0C7A">
        <w:rPr>
          <w:rFonts w:cs="Arial"/>
        </w:rPr>
        <w:t>The Copyright Officer</w:t>
      </w:r>
      <w:r w:rsidRPr="00CB0C7A">
        <w:rPr>
          <w:rFonts w:cs="Arial"/>
        </w:rPr>
        <w:br/>
        <w:t>Department of Employment and Workplace Relations</w:t>
      </w:r>
      <w:r w:rsidRPr="00CB0C7A">
        <w:rPr>
          <w:rFonts w:cs="Arial"/>
        </w:rPr>
        <w:br/>
        <w:t>GPO Box 9828 Canberra ACT 2601.</w:t>
      </w:r>
    </w:p>
    <w:p w14:paraId="6C9DD98F" w14:textId="0F59C3EC" w:rsidR="00AE353A" w:rsidRDefault="00AE353A">
      <w:pPr>
        <w:spacing w:after="160" w:line="259" w:lineRule="auto"/>
        <w:rPr>
          <w:rFonts w:cs="Arial"/>
        </w:rPr>
      </w:pPr>
      <w:r>
        <w:rPr>
          <w:rFonts w:cs="Arial"/>
        </w:rPr>
        <w:br w:type="page"/>
      </w:r>
    </w:p>
    <w:p w14:paraId="4B6DB3A2" w14:textId="65098A83" w:rsidR="009C6967" w:rsidRPr="009C6967" w:rsidRDefault="009C6967" w:rsidP="009C6967">
      <w:pPr>
        <w:spacing w:after="160" w:line="259" w:lineRule="auto"/>
        <w:rPr>
          <w:rFonts w:cs="Arial"/>
        </w:rPr>
      </w:pPr>
      <w:r w:rsidRPr="009C6967">
        <w:rPr>
          <w:rFonts w:cs="Arial"/>
          <w:noProof/>
        </w:rPr>
        <w:lastRenderedPageBreak/>
        <w:drawing>
          <wp:anchor distT="0" distB="0" distL="114300" distR="114300" simplePos="0" relativeHeight="251972096" behindDoc="1" locked="0" layoutInCell="1" allowOverlap="1" wp14:anchorId="7C5B08CE" wp14:editId="16E52152">
            <wp:simplePos x="0" y="0"/>
            <wp:positionH relativeFrom="page">
              <wp:posOffset>-23751</wp:posOffset>
            </wp:positionH>
            <wp:positionV relativeFrom="paragraph">
              <wp:posOffset>-857761</wp:posOffset>
            </wp:positionV>
            <wp:extent cx="7598022" cy="10747169"/>
            <wp:effectExtent l="0" t="0" r="3175" b="0"/>
            <wp:wrapNone/>
            <wp:docPr id="45815920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159205" name="Picture 10">
                      <a:extLst>
                        <a:ext uri="{C183D7F6-B498-43B3-948B-1728B52AA6E4}">
                          <adec:decorative xmlns:adec="http://schemas.microsoft.com/office/drawing/2017/decorative" val="1"/>
                        </a:ext>
                      </a:extLst>
                    </pic:cNvPr>
                    <pic:cNvPicPr>
                      <a:picLocks noChangeAspect="1" noChangeArrowheads="1"/>
                    </pic:cNvPicPr>
                  </pic:nvPicPr>
                  <pic:blipFill>
                    <a:blip r:embed="rId131" cstate="email">
                      <a:extLst>
                        <a:ext uri="{28A0092B-C50C-407E-A947-70E740481C1C}">
                          <a14:useLocalDpi xmlns:a14="http://schemas.microsoft.com/office/drawing/2010/main" val="0"/>
                        </a:ext>
                      </a:extLst>
                    </a:blip>
                    <a:srcRect/>
                    <a:stretch>
                      <a:fillRect/>
                    </a:stretch>
                  </pic:blipFill>
                  <pic:spPr bwMode="auto">
                    <a:xfrm>
                      <a:off x="0" y="0"/>
                      <a:ext cx="7598022" cy="107471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BDF0C2" w14:textId="2DE6047C" w:rsidR="00AE353A" w:rsidRDefault="00AE353A">
      <w:pPr>
        <w:spacing w:after="160" w:line="259" w:lineRule="auto"/>
        <w:rPr>
          <w:rFonts w:cs="Arial"/>
        </w:rPr>
      </w:pPr>
    </w:p>
    <w:p w14:paraId="53A7B1BE" w14:textId="70517757" w:rsidR="009E75CA" w:rsidRDefault="009E75CA" w:rsidP="009D473A">
      <w:pPr>
        <w:rPr>
          <w:rFonts w:cs="Arial"/>
        </w:rPr>
      </w:pPr>
    </w:p>
    <w:p w14:paraId="0E673136" w14:textId="38B60D30" w:rsidR="00D16B99" w:rsidRPr="00ED087B" w:rsidRDefault="00D16B99" w:rsidP="009D473A">
      <w:pPr>
        <w:rPr>
          <w:rFonts w:cs="Arial"/>
        </w:rPr>
      </w:pPr>
    </w:p>
    <w:sectPr w:rsidR="00D16B99" w:rsidRPr="00ED087B" w:rsidSect="00676356">
      <w:headerReference w:type="default" r:id="rId132"/>
      <w:footerReference w:type="default" r:id="rId133"/>
      <w:headerReference w:type="first" r:id="rId134"/>
      <w:footerReference w:type="first" r:id="rId135"/>
      <w:pgSz w:w="11906" w:h="16838"/>
      <w:pgMar w:top="1276" w:right="1440" w:bottom="1134" w:left="1440" w:header="0" w:footer="0" w:gutter="0"/>
      <w:pgBorders w:offsetFrom="page">
        <w:top w:val="single" w:sz="4" w:space="24" w:color="A6A6A6" w:themeColor="background1" w:themeShade="A6"/>
        <w:left w:val="single" w:sz="4" w:space="24" w:color="A6A6A6" w:themeColor="background1" w:themeShade="A6"/>
        <w:bottom w:val="single" w:sz="4" w:space="24" w:color="A6A6A6" w:themeColor="background1" w:themeShade="A6"/>
        <w:right w:val="single" w:sz="4" w:space="24" w:color="A6A6A6" w:themeColor="background1" w:themeShade="A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E7693" w14:textId="77777777" w:rsidR="008126C3" w:rsidRDefault="008126C3" w:rsidP="008C0056">
      <w:r>
        <w:separator/>
      </w:r>
    </w:p>
  </w:endnote>
  <w:endnote w:type="continuationSeparator" w:id="0">
    <w:p w14:paraId="7F7270B5" w14:textId="77777777" w:rsidR="008126C3" w:rsidRDefault="008126C3" w:rsidP="008C0056">
      <w:r>
        <w:continuationSeparator/>
      </w:r>
    </w:p>
  </w:endnote>
  <w:endnote w:type="continuationNotice" w:id="1">
    <w:p w14:paraId="0AA97E99" w14:textId="77777777" w:rsidR="008126C3" w:rsidRDefault="008126C3" w:rsidP="008C00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2709672"/>
      <w:docPartObj>
        <w:docPartGallery w:val="Page Numbers (Bottom of Page)"/>
        <w:docPartUnique/>
      </w:docPartObj>
    </w:sdtPr>
    <w:sdtEndPr>
      <w:rPr>
        <w:noProof/>
      </w:rPr>
    </w:sdtEndPr>
    <w:sdtContent>
      <w:p w14:paraId="0C0B1790" w14:textId="2539862A" w:rsidR="00D95E9A" w:rsidRDefault="00D95E9A">
        <w:pPr>
          <w:pStyle w:val="Footer"/>
        </w:pPr>
        <w:r>
          <w:fldChar w:fldCharType="begin"/>
        </w:r>
        <w:r>
          <w:instrText xml:space="preserve"> PAGE   \* MERGEFORMAT </w:instrText>
        </w:r>
        <w:r>
          <w:fldChar w:fldCharType="separate"/>
        </w:r>
        <w:r>
          <w:rPr>
            <w:noProof/>
          </w:rPr>
          <w:t>2</w:t>
        </w:r>
        <w:r>
          <w:rPr>
            <w:noProof/>
          </w:rPr>
          <w:fldChar w:fldCharType="end"/>
        </w:r>
        <w:r>
          <w:rPr>
            <w:noProof/>
          </w:rPr>
          <w:t xml:space="preserve"> | </w:t>
        </w:r>
        <w:r w:rsidRPr="00835A0D">
          <w:t>Jobs and Skills Australia –</w:t>
        </w:r>
        <w:r>
          <w:t xml:space="preserve"> </w:t>
        </w:r>
        <w:fldSimple w:instr=" STYLEREF  Title  \* MERGEFORMAT ">
          <w:r w:rsidR="00471863" w:rsidRPr="00471863">
            <w:rPr>
              <w:b/>
              <w:bCs/>
              <w:noProof/>
              <w:lang w:val="en-US"/>
            </w:rPr>
            <w:t>Jobs and Skills Roadmap for Regional Australia</w:t>
          </w:r>
        </w:fldSimple>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4413811"/>
      <w:docPartObj>
        <w:docPartGallery w:val="Page Numbers (Bottom of Page)"/>
        <w:docPartUnique/>
      </w:docPartObj>
    </w:sdtPr>
    <w:sdtEndPr>
      <w:rPr>
        <w:noProof/>
      </w:rPr>
    </w:sdtEndPr>
    <w:sdtContent>
      <w:p w14:paraId="05E257FC" w14:textId="75A3CB8D" w:rsidR="00E87E01" w:rsidRDefault="00E87E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19B6B0" w14:textId="77777777" w:rsidR="00343E30" w:rsidRDefault="00343E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8ACCF" w14:textId="77777777" w:rsidR="00343E30" w:rsidRDefault="00343E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5133363"/>
      <w:docPartObj>
        <w:docPartGallery w:val="Page Numbers (Bottom of Page)"/>
        <w:docPartUnique/>
      </w:docPartObj>
    </w:sdtPr>
    <w:sdtEndPr>
      <w:rPr>
        <w:noProof/>
      </w:rPr>
    </w:sdtEndPr>
    <w:sdtContent>
      <w:p w14:paraId="48E04F0E" w14:textId="3F995731" w:rsidR="00895863" w:rsidRDefault="0089586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D35D29" w14:textId="7C9C9E99" w:rsidR="00D95E9A" w:rsidRPr="00576BAF" w:rsidRDefault="00D95E9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CA336" w14:textId="77777777" w:rsidR="00D95E9A" w:rsidRDefault="00D95E9A">
    <w:pPr>
      <w:pStyle w:val="Footerlandscape"/>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Pr>
        <w:rStyle w:val="PageNumber"/>
        <w:noProof/>
      </w:rPr>
      <w:t>2</w:t>
    </w:r>
    <w:r w:rsidRPr="00024595">
      <w:rPr>
        <w:rStyle w:val="PageNumber"/>
      </w:rPr>
      <w:fldChar w:fldCharType="end"/>
    </w:r>
  </w:p>
  <w:p w14:paraId="331E2EAD" w14:textId="77777777" w:rsidR="00D95E9A" w:rsidRDefault="00D95E9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0916433"/>
      <w:docPartObj>
        <w:docPartGallery w:val="Page Numbers (Bottom of Page)"/>
        <w:docPartUnique/>
      </w:docPartObj>
    </w:sdtPr>
    <w:sdtEndPr>
      <w:rPr>
        <w:noProof/>
      </w:rPr>
    </w:sdtEndPr>
    <w:sdtContent>
      <w:p w14:paraId="6DA20F41" w14:textId="77777777" w:rsidR="00C16693" w:rsidRDefault="00C1669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3019F6" w14:textId="77777777" w:rsidR="00C16693" w:rsidRDefault="00C16693" w:rsidP="00BC4A50">
    <w:pPr>
      <w:pStyle w:val="Footer"/>
      <w:jc w:val="right"/>
      <w:rPr>
        <w:sz w:val="22"/>
        <w:szCs w:val="2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496659"/>
      <w:docPartObj>
        <w:docPartGallery w:val="Page Numbers (Bottom of Page)"/>
        <w:docPartUnique/>
      </w:docPartObj>
    </w:sdtPr>
    <w:sdtEndPr>
      <w:rPr>
        <w:noProof/>
      </w:rPr>
    </w:sdtEndPr>
    <w:sdtContent>
      <w:p w14:paraId="5976323E" w14:textId="4D424C2D" w:rsidR="00676356" w:rsidRDefault="0067635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1650F1" w14:textId="3D663947" w:rsidR="576AB269" w:rsidRDefault="576AB269" w:rsidP="576AB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289E4" w14:textId="77777777" w:rsidR="008126C3" w:rsidRDefault="008126C3" w:rsidP="008C0056">
      <w:r>
        <w:separator/>
      </w:r>
    </w:p>
  </w:footnote>
  <w:footnote w:type="continuationSeparator" w:id="0">
    <w:p w14:paraId="5FA26102" w14:textId="77777777" w:rsidR="008126C3" w:rsidRDefault="008126C3" w:rsidP="008C0056">
      <w:r>
        <w:continuationSeparator/>
      </w:r>
    </w:p>
  </w:footnote>
  <w:footnote w:type="continuationNotice" w:id="1">
    <w:p w14:paraId="3C6303EC" w14:textId="77777777" w:rsidR="008126C3" w:rsidRDefault="008126C3" w:rsidP="008C0056"/>
  </w:footnote>
  <w:footnote w:id="2">
    <w:p w14:paraId="7BCB3E58" w14:textId="77777777" w:rsidR="00D93A84" w:rsidRPr="001365AC" w:rsidRDefault="00D93A84" w:rsidP="00D93A84">
      <w:pPr>
        <w:pStyle w:val="FootnoteText"/>
        <w:rPr>
          <w:sz w:val="18"/>
          <w:szCs w:val="18"/>
        </w:rPr>
      </w:pPr>
      <w:r>
        <w:rPr>
          <w:rStyle w:val="FootnoteReference"/>
        </w:rPr>
        <w:footnoteRef/>
      </w:r>
      <w:r>
        <w:t xml:space="preserve"> </w:t>
      </w:r>
      <w:r w:rsidRPr="00D90081">
        <w:rPr>
          <w:sz w:val="18"/>
          <w:szCs w:val="18"/>
        </w:rPr>
        <w:t xml:space="preserve">See, for example, </w:t>
      </w:r>
      <w:hyperlink r:id="rId1" w:history="1">
        <w:r w:rsidRPr="001365AC">
          <w:rPr>
            <w:rStyle w:val="Hyperlink"/>
            <w:i/>
            <w:iCs/>
            <w:sz w:val="18"/>
            <w:szCs w:val="18"/>
          </w:rPr>
          <w:t>Working Future: The Australian Government’s White Paper on Jobs and Opportunities</w:t>
        </w:r>
      </w:hyperlink>
      <w:r w:rsidRPr="001365AC">
        <w:rPr>
          <w:i/>
          <w:iCs/>
          <w:sz w:val="18"/>
          <w:szCs w:val="18"/>
        </w:rPr>
        <w:t xml:space="preserve">; </w:t>
      </w:r>
      <w:r w:rsidRPr="001365AC">
        <w:rPr>
          <w:sz w:val="18"/>
          <w:szCs w:val="18"/>
        </w:rPr>
        <w:t xml:space="preserve">the </w:t>
      </w:r>
      <w:hyperlink r:id="rId2" w:history="1">
        <w:r w:rsidRPr="001365AC">
          <w:rPr>
            <w:rStyle w:val="Hyperlink"/>
            <w:i/>
            <w:iCs/>
            <w:sz w:val="18"/>
            <w:szCs w:val="18"/>
          </w:rPr>
          <w:t>Net Zero Plan</w:t>
        </w:r>
      </w:hyperlink>
      <w:r w:rsidRPr="001365AC">
        <w:rPr>
          <w:sz w:val="18"/>
          <w:szCs w:val="18"/>
        </w:rPr>
        <w:t xml:space="preserve">, </w:t>
      </w:r>
      <w:hyperlink r:id="rId3" w:history="1">
        <w:r w:rsidRPr="00653808">
          <w:rPr>
            <w:rStyle w:val="Hyperlink"/>
            <w:i/>
            <w:iCs/>
            <w:sz w:val="18"/>
            <w:szCs w:val="18"/>
          </w:rPr>
          <w:t>Future Made in Australia,</w:t>
        </w:r>
      </w:hyperlink>
      <w:r>
        <w:rPr>
          <w:i/>
          <w:iCs/>
          <w:sz w:val="18"/>
          <w:szCs w:val="18"/>
        </w:rPr>
        <w:t xml:space="preserve"> </w:t>
      </w:r>
      <w:hyperlink r:id="rId4" w:history="1">
        <w:r w:rsidRPr="001365AC">
          <w:rPr>
            <w:rStyle w:val="Hyperlink"/>
            <w:i/>
            <w:iCs/>
            <w:sz w:val="18"/>
            <w:szCs w:val="18"/>
          </w:rPr>
          <w:t>The Entrenched Disadvantage Package</w:t>
        </w:r>
      </w:hyperlink>
      <w:r w:rsidRPr="001365AC">
        <w:rPr>
          <w:sz w:val="18"/>
          <w:szCs w:val="18"/>
        </w:rPr>
        <w:t xml:space="preserve">, and </w:t>
      </w:r>
      <w:hyperlink r:id="rId5" w:history="1">
        <w:r w:rsidRPr="001365AC">
          <w:rPr>
            <w:rStyle w:val="Hyperlink"/>
            <w:i/>
            <w:iCs/>
            <w:sz w:val="18"/>
            <w:szCs w:val="18"/>
          </w:rPr>
          <w:t>Care and Support Economy Reform</w:t>
        </w:r>
      </w:hyperlink>
      <w:r w:rsidRPr="001365AC">
        <w:rPr>
          <w:i/>
          <w:iCs/>
          <w:sz w:val="18"/>
          <w:szCs w:val="18"/>
        </w:rPr>
        <w:t>.</w:t>
      </w:r>
    </w:p>
  </w:footnote>
  <w:footnote w:id="3">
    <w:p w14:paraId="2E83BF72" w14:textId="77777777" w:rsidR="00946813" w:rsidRDefault="00946813" w:rsidP="00946813">
      <w:pPr>
        <w:pStyle w:val="FootnoteText"/>
      </w:pPr>
      <w:r>
        <w:rPr>
          <w:rStyle w:val="FootnoteReference"/>
        </w:rPr>
        <w:footnoteRef/>
      </w:r>
      <w:r>
        <w:t xml:space="preserve"> </w:t>
      </w:r>
      <w:r w:rsidRPr="00B07733">
        <w:rPr>
          <w:rFonts w:cstheme="minorHAnsi"/>
          <w:sz w:val="18"/>
          <w:szCs w:val="18"/>
        </w:rPr>
        <w:t>In some cases, however, the currency and source of the data differs from that used for the SA4 ratings due to limitations on data availability at the SA3 level</w:t>
      </w:r>
      <w:r>
        <w:rPr>
          <w:rFonts w:cstheme="minorHAnsi"/>
          <w:sz w:val="18"/>
          <w:szCs w:val="18"/>
        </w:rPr>
        <w:t>.</w:t>
      </w:r>
    </w:p>
  </w:footnote>
  <w:footnote w:id="4">
    <w:p w14:paraId="234E8B93" w14:textId="77777777" w:rsidR="00D95E9A" w:rsidRDefault="00D95E9A" w:rsidP="00D95E9A">
      <w:pPr>
        <w:pStyle w:val="FootnoteText"/>
      </w:pPr>
      <w:r w:rsidRPr="00ED497B">
        <w:rPr>
          <w:rStyle w:val="FootnoteReference"/>
          <w:sz w:val="18"/>
          <w:szCs w:val="18"/>
        </w:rPr>
        <w:footnoteRef/>
      </w:r>
      <w:r w:rsidRPr="00ED497B">
        <w:rPr>
          <w:sz w:val="18"/>
          <w:szCs w:val="18"/>
        </w:rPr>
        <w:t xml:space="preserve"> </w:t>
      </w:r>
      <w:hyperlink r:id="rId6" w:history="1">
        <w:r w:rsidRPr="00ED497B">
          <w:rPr>
            <w:rStyle w:val="Hyperlink"/>
            <w:sz w:val="18"/>
            <w:szCs w:val="18"/>
          </w:rPr>
          <w:t>Main Structure and Greater Capital City Statistical Areas</w:t>
        </w:r>
      </w:hyperlink>
      <w:r w:rsidRPr="00ED497B">
        <w:rPr>
          <w:sz w:val="18"/>
          <w:szCs w:val="18"/>
        </w:rPr>
        <w:t>, Australian Bureau of Statistics (ABS), accessed April 2025.</w:t>
      </w:r>
    </w:p>
  </w:footnote>
  <w:footnote w:id="5">
    <w:p w14:paraId="48982F13" w14:textId="42826AE6" w:rsidR="00B84EE4" w:rsidRDefault="00B84EE4">
      <w:pPr>
        <w:pStyle w:val="FootnoteText"/>
      </w:pPr>
      <w:r>
        <w:rPr>
          <w:rStyle w:val="FootnoteReference"/>
        </w:rPr>
        <w:footnoteRef/>
      </w:r>
      <w:r>
        <w:t xml:space="preserve"> </w:t>
      </w:r>
      <w:r w:rsidR="004E6CD1" w:rsidRPr="00B84EE4">
        <w:rPr>
          <w:sz w:val="18"/>
          <w:szCs w:val="18"/>
        </w:rPr>
        <w:t>Coastal</w:t>
      </w:r>
      <w:r w:rsidRPr="00B84EE4">
        <w:rPr>
          <w:sz w:val="18"/>
          <w:szCs w:val="18"/>
        </w:rPr>
        <w:t xml:space="preserve"> and inland regions have been determined using an SA2 population weighted concordance.</w:t>
      </w:r>
    </w:p>
  </w:footnote>
  <w:footnote w:id="6">
    <w:p w14:paraId="4DDAA31E" w14:textId="77777777" w:rsidR="0028166A" w:rsidRPr="003D4477" w:rsidRDefault="0028166A" w:rsidP="0028166A">
      <w:pPr>
        <w:pStyle w:val="FootnoteText"/>
        <w:rPr>
          <w:sz w:val="18"/>
          <w:szCs w:val="18"/>
        </w:rPr>
      </w:pPr>
      <w:r>
        <w:rPr>
          <w:rStyle w:val="FootnoteReference"/>
        </w:rPr>
        <w:footnoteRef/>
      </w:r>
      <w:r>
        <w:t xml:space="preserve"> </w:t>
      </w:r>
      <w:r w:rsidRPr="003D4477">
        <w:rPr>
          <w:sz w:val="18"/>
          <w:szCs w:val="18"/>
        </w:rPr>
        <w:t xml:space="preserve">Regional Australia Institute, </w:t>
      </w:r>
      <w:r w:rsidRPr="003D4477">
        <w:rPr>
          <w:i/>
          <w:iCs/>
          <w:sz w:val="18"/>
          <w:szCs w:val="18"/>
        </w:rPr>
        <w:t>Regional Movers Index</w:t>
      </w:r>
      <w:r w:rsidRPr="003D4477">
        <w:rPr>
          <w:sz w:val="18"/>
          <w:szCs w:val="18"/>
        </w:rPr>
        <w:t>, December 2024</w:t>
      </w:r>
    </w:p>
  </w:footnote>
  <w:footnote w:id="7">
    <w:p w14:paraId="4117EDCA" w14:textId="1E4CCF20" w:rsidR="002F2EC3" w:rsidRDefault="002F2EC3">
      <w:pPr>
        <w:pStyle w:val="FootnoteText"/>
      </w:pPr>
      <w:r>
        <w:rPr>
          <w:rStyle w:val="FootnoteReference"/>
        </w:rPr>
        <w:footnoteRef/>
      </w:r>
      <w:r>
        <w:t xml:space="preserve"> </w:t>
      </w:r>
      <w:r w:rsidRPr="003D4477">
        <w:rPr>
          <w:sz w:val="18"/>
          <w:szCs w:val="18"/>
        </w:rPr>
        <w:t xml:space="preserve">Australian Government, </w:t>
      </w:r>
      <w:r w:rsidRPr="003D4477">
        <w:rPr>
          <w:i/>
          <w:iCs/>
          <w:sz w:val="18"/>
          <w:szCs w:val="18"/>
        </w:rPr>
        <w:t>State of Australia’s Regions 2024</w:t>
      </w:r>
    </w:p>
  </w:footnote>
  <w:footnote w:id="8">
    <w:p w14:paraId="02B3ABFA" w14:textId="546A843D" w:rsidR="00322283" w:rsidRDefault="00322283">
      <w:pPr>
        <w:pStyle w:val="FootnoteText"/>
      </w:pPr>
      <w:r>
        <w:rPr>
          <w:rStyle w:val="FootnoteReference"/>
        </w:rPr>
        <w:footnoteRef/>
      </w:r>
      <w:r>
        <w:t xml:space="preserve"> </w:t>
      </w:r>
      <w:r w:rsidRPr="003D4477">
        <w:rPr>
          <w:sz w:val="18"/>
          <w:szCs w:val="18"/>
        </w:rPr>
        <w:t xml:space="preserve">Reserve Bank of Australia (2017), </w:t>
      </w:r>
      <w:r w:rsidRPr="003D4477">
        <w:rPr>
          <w:i/>
          <w:iCs/>
          <w:sz w:val="18"/>
          <w:szCs w:val="18"/>
        </w:rPr>
        <w:t>Ageing and Labour Supply in Advanced Economies</w:t>
      </w:r>
    </w:p>
  </w:footnote>
  <w:footnote w:id="9">
    <w:p w14:paraId="06C125C6" w14:textId="5CBB45C4" w:rsidR="003D4477" w:rsidRDefault="003D4477">
      <w:pPr>
        <w:pStyle w:val="FootnoteText"/>
      </w:pPr>
      <w:r>
        <w:rPr>
          <w:rStyle w:val="FootnoteReference"/>
        </w:rPr>
        <w:footnoteRef/>
      </w:r>
      <w:r>
        <w:t xml:space="preserve"> Treasury (2023) </w:t>
      </w:r>
      <w:r w:rsidRPr="003D4477">
        <w:rPr>
          <w:i/>
          <w:iCs/>
        </w:rPr>
        <w:t>Intergenerational Report 2023, Australia’s future to 2063.</w:t>
      </w:r>
    </w:p>
  </w:footnote>
  <w:footnote w:id="10">
    <w:p w14:paraId="2BF4C5F1" w14:textId="061197A6" w:rsidR="003D4477" w:rsidRDefault="003D4477">
      <w:pPr>
        <w:pStyle w:val="FootnoteText"/>
      </w:pPr>
      <w:r>
        <w:rPr>
          <w:rStyle w:val="FootnoteReference"/>
        </w:rPr>
        <w:footnoteRef/>
      </w:r>
      <w:r>
        <w:t xml:space="preserve"> </w:t>
      </w:r>
      <w:r w:rsidR="00BB6770" w:rsidRPr="00BB6770">
        <w:rPr>
          <w:sz w:val="18"/>
          <w:szCs w:val="18"/>
        </w:rPr>
        <w:t>While there is no academic consensus on the relationship between population ageing and productivity, some recent international studies identify a negative impact (see Maestas, N., Mullen, K. J. &amp; Powell, D, 2023, Poplawski-Ribeiro, M, 2020 and Calvo-Sotomayor, I., Laka, J. &amp; Aguado, R 2019).</w:t>
      </w:r>
    </w:p>
  </w:footnote>
  <w:footnote w:id="11">
    <w:p w14:paraId="108A92A2" w14:textId="26728773" w:rsidR="00475F4B" w:rsidRDefault="00475F4B">
      <w:pPr>
        <w:pStyle w:val="FootnoteText"/>
      </w:pPr>
      <w:r>
        <w:rPr>
          <w:rStyle w:val="FootnoteReference"/>
        </w:rPr>
        <w:footnoteRef/>
      </w:r>
      <w:r>
        <w:t xml:space="preserve"> </w:t>
      </w:r>
      <w:r w:rsidRPr="00475F4B">
        <w:rPr>
          <w:sz w:val="18"/>
          <w:szCs w:val="18"/>
        </w:rPr>
        <w:t>Close to 80% of workers are employed in the service industries. Service industries include all industries besides Manufacturing; Construction; Agriculture, Forestry and Fishing; Mining; and Electricity, Gas, Water and Waste Services, although, even within these industries, there are service components.</w:t>
      </w:r>
    </w:p>
  </w:footnote>
  <w:footnote w:id="12">
    <w:p w14:paraId="67CD6F22" w14:textId="18F13FA9" w:rsidR="00475F4B" w:rsidRDefault="00475F4B">
      <w:pPr>
        <w:pStyle w:val="FootnoteText"/>
      </w:pPr>
      <w:r>
        <w:rPr>
          <w:rStyle w:val="FootnoteReference"/>
        </w:rPr>
        <w:footnoteRef/>
      </w:r>
      <w:r>
        <w:t xml:space="preserve"> </w:t>
      </w:r>
      <w:r w:rsidR="003753E1" w:rsidRPr="003753E1">
        <w:rPr>
          <w:sz w:val="18"/>
          <w:szCs w:val="18"/>
        </w:rPr>
        <w:t xml:space="preserve">Borland &amp; Coelli (2022). </w:t>
      </w:r>
      <w:r w:rsidR="003753E1" w:rsidRPr="009A4502">
        <w:rPr>
          <w:i/>
          <w:iCs/>
          <w:sz w:val="18"/>
          <w:szCs w:val="18"/>
        </w:rPr>
        <w:t>The Australian labour market and the digital economy</w:t>
      </w:r>
      <w:r w:rsidR="009A4502">
        <w:rPr>
          <w:i/>
          <w:iCs/>
          <w:sz w:val="18"/>
          <w:szCs w:val="18"/>
        </w:rPr>
        <w:t>.</w:t>
      </w:r>
    </w:p>
  </w:footnote>
  <w:footnote w:id="13">
    <w:p w14:paraId="0D1EE011" w14:textId="70DC8D5B" w:rsidR="003753E1" w:rsidRDefault="003753E1">
      <w:pPr>
        <w:pStyle w:val="FootnoteText"/>
      </w:pPr>
      <w:r>
        <w:rPr>
          <w:rStyle w:val="FootnoteReference"/>
        </w:rPr>
        <w:footnoteRef/>
      </w:r>
      <w:r>
        <w:t xml:space="preserve"> </w:t>
      </w:r>
      <w:r w:rsidR="009A4502" w:rsidRPr="009A4502">
        <w:rPr>
          <w:rFonts w:cstheme="minorHAnsi"/>
          <w:sz w:val="18"/>
          <w:szCs w:val="18"/>
        </w:rPr>
        <w:t xml:space="preserve">Treasury: </w:t>
      </w:r>
      <w:r w:rsidR="009A4502" w:rsidRPr="009A4502">
        <w:rPr>
          <w:rFonts w:cstheme="minorHAnsi"/>
          <w:i/>
          <w:iCs/>
          <w:sz w:val="18"/>
          <w:szCs w:val="18"/>
        </w:rPr>
        <w:t>Working Future. The Australian Government’s White Paper on Jobs and Opportunities</w:t>
      </w:r>
      <w:r w:rsidR="009A4502" w:rsidRPr="009A4502">
        <w:rPr>
          <w:rFonts w:cstheme="minorHAnsi"/>
          <w:sz w:val="18"/>
          <w:szCs w:val="18"/>
        </w:rPr>
        <w:t>, September 2023</w:t>
      </w:r>
    </w:p>
  </w:footnote>
  <w:footnote w:id="14">
    <w:p w14:paraId="4BA8495F" w14:textId="7956FB3D" w:rsidR="009A4502" w:rsidRDefault="009A4502">
      <w:pPr>
        <w:pStyle w:val="FootnoteText"/>
      </w:pPr>
      <w:r>
        <w:rPr>
          <w:rStyle w:val="FootnoteReference"/>
        </w:rPr>
        <w:footnoteRef/>
      </w:r>
      <w:r>
        <w:t xml:space="preserve"> </w:t>
      </w:r>
      <w:r w:rsidRPr="009A4502">
        <w:rPr>
          <w:sz w:val="18"/>
          <w:szCs w:val="18"/>
        </w:rPr>
        <w:t xml:space="preserve">JSA (2023). </w:t>
      </w:r>
      <w:r w:rsidRPr="009A4502">
        <w:rPr>
          <w:i/>
          <w:iCs/>
          <w:sz w:val="18"/>
          <w:szCs w:val="18"/>
        </w:rPr>
        <w:t>Towards a National Jobs and Skills Roadmap.</w:t>
      </w:r>
    </w:p>
  </w:footnote>
  <w:footnote w:id="15">
    <w:p w14:paraId="30B54FC8" w14:textId="2B36344E" w:rsidR="00254D80" w:rsidRDefault="00254D80">
      <w:pPr>
        <w:pStyle w:val="FootnoteText"/>
      </w:pPr>
      <w:r>
        <w:rPr>
          <w:rStyle w:val="FootnoteReference"/>
        </w:rPr>
        <w:footnoteRef/>
      </w:r>
      <w:r>
        <w:t xml:space="preserve"> </w:t>
      </w:r>
      <w:r w:rsidRPr="00254D80">
        <w:rPr>
          <w:sz w:val="18"/>
          <w:szCs w:val="18"/>
        </w:rPr>
        <w:t>In 2023 JSA undertook a comprehensive workforce capacity study on the clean energy transformation (</w:t>
      </w:r>
      <w:r w:rsidRPr="00254D80">
        <w:rPr>
          <w:i/>
          <w:iCs/>
          <w:sz w:val="18"/>
          <w:szCs w:val="18"/>
        </w:rPr>
        <w:t>The Clean Energy Generation: workforce needs for a net zero economy</w:t>
      </w:r>
      <w:r w:rsidRPr="00254D80">
        <w:rPr>
          <w:sz w:val="18"/>
          <w:szCs w:val="18"/>
        </w:rPr>
        <w:t>), including an analysis on future skill needs, transition challenges, and opportunities for innovation in the education and training system, to support a successful clean energy transformation. This section draws on material from this study</w:t>
      </w:r>
    </w:p>
  </w:footnote>
  <w:footnote w:id="16">
    <w:p w14:paraId="12FD6B3E" w14:textId="521ECF76" w:rsidR="00BC5229" w:rsidRDefault="00BC5229">
      <w:pPr>
        <w:pStyle w:val="FootnoteText"/>
      </w:pPr>
      <w:r>
        <w:rPr>
          <w:rStyle w:val="FootnoteReference"/>
        </w:rPr>
        <w:footnoteRef/>
      </w:r>
      <w:r>
        <w:t xml:space="preserve"> </w:t>
      </w:r>
      <w:r w:rsidRPr="00BC5229">
        <w:rPr>
          <w:sz w:val="18"/>
          <w:szCs w:val="18"/>
        </w:rPr>
        <w:t>Fossil-fuel related groups which will decline and transform substantially as a result of decarbonisation.</w:t>
      </w:r>
    </w:p>
  </w:footnote>
  <w:footnote w:id="17">
    <w:p w14:paraId="01394B8C" w14:textId="3417901E" w:rsidR="00254F39" w:rsidRPr="009E69AD" w:rsidRDefault="00254F39" w:rsidP="00254F39">
      <w:pPr>
        <w:rPr>
          <w:sz w:val="18"/>
          <w:szCs w:val="18"/>
        </w:rPr>
      </w:pPr>
      <w:r w:rsidRPr="009E69AD">
        <w:rPr>
          <w:rStyle w:val="FootnoteReference"/>
          <w:sz w:val="18"/>
          <w:szCs w:val="18"/>
        </w:rPr>
        <w:footnoteRef/>
      </w:r>
      <w:r w:rsidRPr="009E69AD">
        <w:rPr>
          <w:sz w:val="18"/>
          <w:szCs w:val="18"/>
        </w:rPr>
        <w:t xml:space="preserve"> </w:t>
      </w:r>
      <w:r w:rsidR="00984779" w:rsidRPr="00CF1F2C">
        <w:rPr>
          <w:sz w:val="18"/>
          <w:szCs w:val="18"/>
        </w:rPr>
        <w:t xml:space="preserve">‘Income support’ is a combination of the JobSeeker payment and Youth Allowance (other) payment. </w:t>
      </w:r>
      <w:r w:rsidR="00771BA6" w:rsidRPr="00CF1F2C">
        <w:rPr>
          <w:sz w:val="18"/>
          <w:szCs w:val="18"/>
        </w:rPr>
        <w:t>The payment is designed to provide financial assistance to support those looking for work, including those who may be working part-time</w:t>
      </w:r>
      <w:r w:rsidR="00CF1F2C" w:rsidRPr="00CF1F2C">
        <w:rPr>
          <w:sz w:val="18"/>
          <w:szCs w:val="18"/>
        </w:rPr>
        <w:t xml:space="preserve">. It is also worth noting that the payment is designed to provide financial assistance to those who are sick or injured and cannot work for short periods of time. </w:t>
      </w:r>
      <w:r w:rsidRPr="00CF1F2C">
        <w:rPr>
          <w:sz w:val="18"/>
          <w:szCs w:val="18"/>
        </w:rPr>
        <w:t xml:space="preserve"> </w:t>
      </w:r>
    </w:p>
  </w:footnote>
  <w:footnote w:id="18">
    <w:p w14:paraId="5859284E" w14:textId="49B3F2DE" w:rsidR="00D95E9A" w:rsidRPr="002B6D2D" w:rsidRDefault="00D95E9A" w:rsidP="00D95E9A">
      <w:pPr>
        <w:pStyle w:val="FootnoteText"/>
        <w:rPr>
          <w:rFonts w:ascii="Calibri" w:hAnsi="Calibri" w:cs="Calibri"/>
        </w:rPr>
      </w:pPr>
      <w:r w:rsidRPr="002B6D2D">
        <w:rPr>
          <w:rStyle w:val="FootnoteReference"/>
          <w:rFonts w:ascii="Calibri" w:hAnsi="Calibri" w:cs="Calibri"/>
          <w:sz w:val="18"/>
          <w:szCs w:val="18"/>
        </w:rPr>
        <w:footnoteRef/>
      </w:r>
      <w:r w:rsidRPr="002B6D2D">
        <w:rPr>
          <w:rFonts w:ascii="Calibri" w:hAnsi="Calibri" w:cs="Calibri"/>
          <w:sz w:val="18"/>
          <w:szCs w:val="18"/>
        </w:rPr>
        <w:t xml:space="preserve"> </w:t>
      </w:r>
      <w:r w:rsidRPr="0080768A">
        <w:rPr>
          <w:rFonts w:ascii="Arial" w:hAnsi="Arial" w:cs="Arial"/>
          <w:sz w:val="18"/>
          <w:szCs w:val="18"/>
        </w:rPr>
        <w:t xml:space="preserve">As measured by the Australia Curriculum Assessment and Reporting Authority (ACARA) and applies to all government, Catholic and Independent schools in Australia. </w:t>
      </w:r>
      <w:r w:rsidR="00A15ACF" w:rsidRPr="00A15ACF">
        <w:rPr>
          <w:rFonts w:ascii="Arial" w:hAnsi="Arial" w:cs="Arial"/>
          <w:sz w:val="18"/>
          <w:szCs w:val="18"/>
        </w:rPr>
        <w:t>The student attendance rate</w:t>
      </w:r>
      <w:r w:rsidR="0007520D">
        <w:rPr>
          <w:rFonts w:ascii="Arial" w:hAnsi="Arial" w:cs="Arial"/>
          <w:sz w:val="18"/>
          <w:szCs w:val="18"/>
        </w:rPr>
        <w:t xml:space="preserve"> refers to </w:t>
      </w:r>
      <w:r w:rsidR="00A15ACF" w:rsidRPr="00A15ACF">
        <w:rPr>
          <w:rFonts w:ascii="Arial" w:hAnsi="Arial" w:cs="Arial"/>
          <w:sz w:val="18"/>
          <w:szCs w:val="18"/>
        </w:rPr>
        <w:t>days attended as a proportion of possible days</w:t>
      </w:r>
      <w:r w:rsidR="0007520D">
        <w:rPr>
          <w:rFonts w:ascii="Arial" w:hAnsi="Arial" w:cs="Arial"/>
          <w:sz w:val="18"/>
          <w:szCs w:val="18"/>
        </w:rPr>
        <w:t>.</w:t>
      </w:r>
    </w:p>
  </w:footnote>
  <w:footnote w:id="19">
    <w:p w14:paraId="2D535D3B" w14:textId="127EA4B6" w:rsidR="00892D42" w:rsidRDefault="00892D42">
      <w:pPr>
        <w:pStyle w:val="FootnoteText"/>
      </w:pPr>
      <w:r>
        <w:rPr>
          <w:rStyle w:val="FootnoteReference"/>
        </w:rPr>
        <w:footnoteRef/>
      </w:r>
      <w:r>
        <w:t xml:space="preserve"> </w:t>
      </w:r>
      <w:r w:rsidR="00711A7B" w:rsidRPr="00D10CD1">
        <w:rPr>
          <w:sz w:val="18"/>
          <w:szCs w:val="18"/>
        </w:rPr>
        <w:t>Victoria Department of Education and Training</w:t>
      </w:r>
      <w:r w:rsidR="008F62FC" w:rsidRPr="00D10CD1">
        <w:rPr>
          <w:sz w:val="18"/>
          <w:szCs w:val="18"/>
        </w:rPr>
        <w:t>, 20</w:t>
      </w:r>
      <w:r w:rsidR="00EB4AB3" w:rsidRPr="00D10CD1">
        <w:rPr>
          <w:sz w:val="18"/>
          <w:szCs w:val="18"/>
        </w:rPr>
        <w:t>25</w:t>
      </w:r>
      <w:r w:rsidR="008F62FC" w:rsidRPr="00D10CD1">
        <w:rPr>
          <w:sz w:val="18"/>
          <w:szCs w:val="18"/>
        </w:rPr>
        <w:t>. Attendance and Missin</w:t>
      </w:r>
      <w:r w:rsidR="00D10CD1" w:rsidRPr="00D10CD1">
        <w:rPr>
          <w:sz w:val="18"/>
          <w:szCs w:val="18"/>
        </w:rPr>
        <w:t>g</w:t>
      </w:r>
      <w:r w:rsidR="008F62FC" w:rsidRPr="00D10CD1">
        <w:rPr>
          <w:sz w:val="18"/>
          <w:szCs w:val="18"/>
        </w:rPr>
        <w:t xml:space="preserve"> School </w:t>
      </w:r>
      <w:r w:rsidR="00711A7B" w:rsidRPr="00D10CD1">
        <w:rPr>
          <w:sz w:val="18"/>
          <w:szCs w:val="18"/>
        </w:rPr>
        <w:t xml:space="preserve"> </w:t>
      </w:r>
    </w:p>
  </w:footnote>
  <w:footnote w:id="20">
    <w:p w14:paraId="53228ADA" w14:textId="65C46265" w:rsidR="00CC29D4" w:rsidRDefault="00CC29D4">
      <w:pPr>
        <w:pStyle w:val="FootnoteText"/>
      </w:pPr>
      <w:r>
        <w:rPr>
          <w:rStyle w:val="FootnoteReference"/>
        </w:rPr>
        <w:footnoteRef/>
      </w:r>
      <w:r>
        <w:t xml:space="preserve"> Australian Treasury, </w:t>
      </w:r>
      <w:r w:rsidR="008E3882">
        <w:t xml:space="preserve">2023, </w:t>
      </w:r>
      <w:r w:rsidRPr="008E3882">
        <w:rPr>
          <w:i/>
          <w:iCs/>
        </w:rPr>
        <w:t>Working Future</w:t>
      </w:r>
      <w:r w:rsidR="008E3882" w:rsidRPr="008E3882">
        <w:rPr>
          <w:i/>
          <w:iCs/>
        </w:rPr>
        <w:t>: The Australia Government’s White Paper on Jobs and Opportunities</w:t>
      </w:r>
      <w:r w:rsidR="008E3882">
        <w:t xml:space="preserve"> </w:t>
      </w:r>
    </w:p>
  </w:footnote>
  <w:footnote w:id="21">
    <w:p w14:paraId="26D571A9" w14:textId="77777777" w:rsidR="00314D7F" w:rsidRPr="009E69AD" w:rsidRDefault="00314D7F" w:rsidP="00314D7F">
      <w:pPr>
        <w:rPr>
          <w:sz w:val="18"/>
          <w:szCs w:val="18"/>
        </w:rPr>
      </w:pPr>
      <w:r w:rsidRPr="009E69AD">
        <w:rPr>
          <w:rStyle w:val="FootnoteReference"/>
          <w:sz w:val="18"/>
          <w:szCs w:val="18"/>
        </w:rPr>
        <w:footnoteRef/>
      </w:r>
      <w:r w:rsidRPr="009E69AD">
        <w:rPr>
          <w:sz w:val="18"/>
          <w:szCs w:val="18"/>
        </w:rPr>
        <w:t xml:space="preserve"> </w:t>
      </w:r>
      <w:r w:rsidRPr="00CF1F2C">
        <w:rPr>
          <w:sz w:val="18"/>
          <w:szCs w:val="18"/>
        </w:rPr>
        <w:t xml:space="preserve">‘Income support’ is a combination of the JobSeeker payment and Youth Allowance (other) payment. The payment is designed to provide financial assistance to support those looking for work, including those who may be working part-time. It is also worth noting that the payment is designed to provide financial assistance to those who are sick or injured and cannot work for short periods of time.  </w:t>
      </w:r>
    </w:p>
  </w:footnote>
  <w:footnote w:id="22">
    <w:p w14:paraId="271CF321" w14:textId="77777777" w:rsidR="0046514E" w:rsidRDefault="0046514E" w:rsidP="0046514E">
      <w:pPr>
        <w:pStyle w:val="FootnoteText"/>
      </w:pPr>
      <w:r>
        <w:rPr>
          <w:rStyle w:val="FootnoteReference"/>
        </w:rPr>
        <w:footnoteRef/>
      </w:r>
      <w:r>
        <w:t xml:space="preserve"> </w:t>
      </w:r>
      <w:r w:rsidRPr="009A4502">
        <w:rPr>
          <w:sz w:val="18"/>
          <w:szCs w:val="18"/>
        </w:rPr>
        <w:t xml:space="preserve">JSA (2023). </w:t>
      </w:r>
      <w:r w:rsidRPr="009A4502">
        <w:rPr>
          <w:i/>
          <w:iCs/>
          <w:sz w:val="18"/>
          <w:szCs w:val="18"/>
        </w:rPr>
        <w:t>Towards a National Jobs and Skills Roadmap.</w:t>
      </w:r>
    </w:p>
  </w:footnote>
  <w:footnote w:id="23">
    <w:p w14:paraId="63D1BA8B" w14:textId="2B6BAA5B" w:rsidR="0007112A" w:rsidRDefault="0007112A">
      <w:pPr>
        <w:pStyle w:val="FootnoteText"/>
      </w:pPr>
      <w:r>
        <w:rPr>
          <w:rStyle w:val="FootnoteReference"/>
        </w:rPr>
        <w:footnoteRef/>
      </w:r>
      <w:r>
        <w:t xml:space="preserve"> </w:t>
      </w:r>
      <w:r w:rsidR="002B364B" w:rsidRPr="002B364B">
        <w:rPr>
          <w:sz w:val="18"/>
          <w:szCs w:val="18"/>
        </w:rPr>
        <w:t xml:space="preserve">Australian Government, </w:t>
      </w:r>
      <w:r w:rsidR="002B364B" w:rsidRPr="002B364B">
        <w:rPr>
          <w:i/>
          <w:iCs/>
          <w:sz w:val="18"/>
          <w:szCs w:val="18"/>
        </w:rPr>
        <w:t>Strategic Review of the Australian Apprenticeship Incentive System - Skills for tomorrow: Shaping the future of Australian apprenticeships</w:t>
      </w:r>
    </w:p>
  </w:footnote>
  <w:footnote w:id="24">
    <w:p w14:paraId="43D11086" w14:textId="5136442E" w:rsidR="000D3C99" w:rsidRPr="00A62B37" w:rsidRDefault="000D3C99" w:rsidP="000D3C99">
      <w:pPr>
        <w:pStyle w:val="FootnoteText"/>
      </w:pPr>
      <w:r>
        <w:rPr>
          <w:rStyle w:val="FootnoteReference"/>
        </w:rPr>
        <w:footnoteRef/>
      </w:r>
      <w:r>
        <w:t xml:space="preserve"> </w:t>
      </w:r>
      <w:r w:rsidR="00AE05A2">
        <w:rPr>
          <w:sz w:val="18"/>
          <w:szCs w:val="18"/>
        </w:rPr>
        <w:t xml:space="preserve">JSA, </w:t>
      </w:r>
      <w:hyperlink r:id="rId7" w:history="1">
        <w:r w:rsidR="00AE05A2" w:rsidRPr="00AE05A2">
          <w:rPr>
            <w:rStyle w:val="Hyperlink"/>
            <w:i/>
            <w:iCs/>
            <w:sz w:val="18"/>
            <w:szCs w:val="18"/>
          </w:rPr>
          <w:t>2024 Occupation Shortage List</w:t>
        </w:r>
      </w:hyperlink>
    </w:p>
  </w:footnote>
  <w:footnote w:id="25">
    <w:p w14:paraId="2C9A61D5" w14:textId="7E73FC76" w:rsidR="006B72E0" w:rsidRDefault="006B72E0">
      <w:pPr>
        <w:pStyle w:val="FootnoteText"/>
      </w:pPr>
      <w:r>
        <w:rPr>
          <w:rStyle w:val="FootnoteReference"/>
        </w:rPr>
        <w:footnoteRef/>
      </w:r>
      <w:r>
        <w:t xml:space="preserve"> </w:t>
      </w:r>
      <w:r w:rsidR="001A6249" w:rsidRPr="00650A8B">
        <w:rPr>
          <w:sz w:val="18"/>
          <w:szCs w:val="18"/>
        </w:rPr>
        <w:t xml:space="preserve">Income ratios (such as the P80/P20) are a </w:t>
      </w:r>
      <w:r w:rsidR="00552026" w:rsidRPr="00650A8B">
        <w:rPr>
          <w:sz w:val="18"/>
          <w:szCs w:val="18"/>
        </w:rPr>
        <w:t xml:space="preserve">common measure </w:t>
      </w:r>
      <w:r w:rsidR="001A6249" w:rsidRPr="00650A8B">
        <w:rPr>
          <w:sz w:val="18"/>
          <w:szCs w:val="18"/>
        </w:rPr>
        <w:t>of income inequality</w:t>
      </w:r>
      <w:r w:rsidR="00552026" w:rsidRPr="00650A8B">
        <w:rPr>
          <w:sz w:val="18"/>
          <w:szCs w:val="18"/>
        </w:rPr>
        <w:t xml:space="preserve">. </w:t>
      </w:r>
      <w:r w:rsidR="001A6249" w:rsidRPr="00650A8B">
        <w:rPr>
          <w:sz w:val="18"/>
          <w:szCs w:val="18"/>
        </w:rPr>
        <w:t xml:space="preserve">They </w:t>
      </w:r>
      <w:r w:rsidR="00552026" w:rsidRPr="00650A8B">
        <w:rPr>
          <w:sz w:val="18"/>
          <w:szCs w:val="18"/>
        </w:rPr>
        <w:t>compare</w:t>
      </w:r>
      <w:r w:rsidR="001A6249" w:rsidRPr="00650A8B">
        <w:rPr>
          <w:sz w:val="18"/>
          <w:szCs w:val="18"/>
        </w:rPr>
        <w:t xml:space="preserve"> </w:t>
      </w:r>
      <w:r w:rsidR="00552026" w:rsidRPr="00650A8B">
        <w:rPr>
          <w:sz w:val="18"/>
          <w:szCs w:val="18"/>
        </w:rPr>
        <w:t>the</w:t>
      </w:r>
      <w:r w:rsidR="002E0F55">
        <w:rPr>
          <w:sz w:val="18"/>
          <w:szCs w:val="18"/>
        </w:rPr>
        <w:t xml:space="preserve"> median</w:t>
      </w:r>
      <w:r w:rsidR="00552026" w:rsidRPr="00650A8B">
        <w:rPr>
          <w:sz w:val="18"/>
          <w:szCs w:val="18"/>
        </w:rPr>
        <w:t xml:space="preserve"> income received by those at the 80</w:t>
      </w:r>
      <w:r w:rsidR="00552026" w:rsidRPr="00650A8B">
        <w:rPr>
          <w:sz w:val="18"/>
          <w:szCs w:val="18"/>
          <w:vertAlign w:val="superscript"/>
        </w:rPr>
        <w:t>th</w:t>
      </w:r>
      <w:r w:rsidR="00552026" w:rsidRPr="00650A8B">
        <w:rPr>
          <w:sz w:val="18"/>
          <w:szCs w:val="18"/>
        </w:rPr>
        <w:t> income percentile (a person who is at the top 20</w:t>
      </w:r>
      <w:r w:rsidR="0040150E">
        <w:rPr>
          <w:sz w:val="18"/>
          <w:szCs w:val="18"/>
        </w:rPr>
        <w:t>%</w:t>
      </w:r>
      <w:r w:rsidR="00552026" w:rsidRPr="00650A8B">
        <w:rPr>
          <w:sz w:val="18"/>
          <w:szCs w:val="18"/>
        </w:rPr>
        <w:t xml:space="preserve"> of the income distribution) with those at the 20</w:t>
      </w:r>
      <w:r w:rsidR="00552026" w:rsidRPr="00650A8B">
        <w:rPr>
          <w:sz w:val="18"/>
          <w:szCs w:val="18"/>
          <w:vertAlign w:val="superscript"/>
        </w:rPr>
        <w:t>th</w:t>
      </w:r>
      <w:r w:rsidR="00552026" w:rsidRPr="00650A8B">
        <w:rPr>
          <w:sz w:val="18"/>
          <w:szCs w:val="18"/>
        </w:rPr>
        <w:t> income percentile (a person who is at the bottom 20</w:t>
      </w:r>
      <w:r w:rsidR="00305F0B">
        <w:rPr>
          <w:sz w:val="18"/>
          <w:szCs w:val="18"/>
        </w:rPr>
        <w:t xml:space="preserve">% </w:t>
      </w:r>
      <w:r w:rsidR="00552026" w:rsidRPr="00650A8B">
        <w:rPr>
          <w:sz w:val="18"/>
          <w:szCs w:val="18"/>
        </w:rPr>
        <w:t>of the income distribution)</w:t>
      </w:r>
      <w:r w:rsidR="00E20AAC" w:rsidRPr="00650A8B">
        <w:rPr>
          <w:sz w:val="18"/>
          <w:szCs w:val="18"/>
        </w:rPr>
        <w:t xml:space="preserve"> (see Australian Treasury, </w:t>
      </w:r>
      <w:hyperlink r:id="rId8" w:history="1">
        <w:r w:rsidR="00E20AAC" w:rsidRPr="005374CC">
          <w:rPr>
            <w:rStyle w:val="Hyperlink"/>
            <w:i/>
            <w:iCs/>
            <w:sz w:val="18"/>
            <w:szCs w:val="18"/>
          </w:rPr>
          <w:t>Income inequality in Australia</w:t>
        </w:r>
      </w:hyperlink>
      <w:r w:rsidR="00E20AAC" w:rsidRPr="00650A8B">
        <w:rPr>
          <w:sz w:val="18"/>
          <w:szCs w:val="18"/>
        </w:rPr>
        <w:t>, November 2013)</w:t>
      </w:r>
      <w:r w:rsidR="00552026" w:rsidRPr="00650A8B">
        <w:rPr>
          <w:sz w:val="18"/>
          <w:szCs w:val="18"/>
        </w:rPr>
        <w:t>.</w:t>
      </w:r>
    </w:p>
  </w:footnote>
  <w:footnote w:id="26">
    <w:p w14:paraId="2C7D405D" w14:textId="449B12A2" w:rsidR="0017339F" w:rsidRPr="00FE59C9" w:rsidRDefault="0017339F" w:rsidP="0017339F">
      <w:pPr>
        <w:pStyle w:val="FootnoteText"/>
        <w:rPr>
          <w:i/>
          <w:sz w:val="18"/>
          <w:szCs w:val="18"/>
        </w:rPr>
      </w:pPr>
      <w:r>
        <w:rPr>
          <w:rStyle w:val="FootnoteReference"/>
        </w:rPr>
        <w:footnoteRef/>
      </w:r>
      <w:r w:rsidR="005A3484">
        <w:t xml:space="preserve"> </w:t>
      </w:r>
      <w:r w:rsidR="00DF2CFB" w:rsidRPr="00D72163">
        <w:rPr>
          <w:sz w:val="18"/>
          <w:szCs w:val="18"/>
        </w:rPr>
        <w:t xml:space="preserve">Measured by </w:t>
      </w:r>
      <w:r w:rsidR="00654062" w:rsidRPr="00D72163">
        <w:rPr>
          <w:sz w:val="18"/>
          <w:szCs w:val="18"/>
        </w:rPr>
        <w:t>the serious claim incidence rate</w:t>
      </w:r>
      <w:r w:rsidR="00D72163" w:rsidRPr="00D72163">
        <w:rPr>
          <w:sz w:val="18"/>
          <w:szCs w:val="18"/>
        </w:rPr>
        <w:t xml:space="preserve"> (per 1,000 workers)</w:t>
      </w:r>
      <w:r w:rsidR="00654062" w:rsidRPr="00D72163">
        <w:rPr>
          <w:sz w:val="18"/>
          <w:szCs w:val="18"/>
        </w:rPr>
        <w:t xml:space="preserve"> </w:t>
      </w:r>
      <w:r w:rsidR="00D72163" w:rsidRPr="00D72163">
        <w:rPr>
          <w:sz w:val="18"/>
          <w:szCs w:val="18"/>
        </w:rPr>
        <w:t>(</w:t>
      </w:r>
      <w:r w:rsidR="006A7B6D" w:rsidRPr="00D72163">
        <w:rPr>
          <w:sz w:val="18"/>
          <w:szCs w:val="18"/>
        </w:rPr>
        <w:t xml:space="preserve">serious workers compensation claims </w:t>
      </w:r>
      <w:r w:rsidR="00D72163" w:rsidRPr="00D72163">
        <w:rPr>
          <w:sz w:val="18"/>
          <w:szCs w:val="18"/>
        </w:rPr>
        <w:t xml:space="preserve">are </w:t>
      </w:r>
      <w:r w:rsidR="006A7B6D" w:rsidRPr="00D72163">
        <w:rPr>
          <w:sz w:val="18"/>
          <w:szCs w:val="18"/>
        </w:rPr>
        <w:t xml:space="preserve">accepted claims </w:t>
      </w:r>
      <w:r w:rsidR="00C57C81" w:rsidRPr="00D72163">
        <w:rPr>
          <w:sz w:val="18"/>
          <w:szCs w:val="18"/>
        </w:rPr>
        <w:t>involving one or more working weeks lost).</w:t>
      </w:r>
      <w:r w:rsidR="005A3484">
        <w:t xml:space="preserve"> </w:t>
      </w:r>
      <w:r w:rsidR="005A3484" w:rsidRPr="00346333">
        <w:rPr>
          <w:sz w:val="18"/>
          <w:szCs w:val="18"/>
        </w:rPr>
        <w:t xml:space="preserve">Please note that </w:t>
      </w:r>
      <w:r w:rsidR="00FE6A13" w:rsidRPr="00346333">
        <w:rPr>
          <w:sz w:val="18"/>
          <w:szCs w:val="18"/>
        </w:rPr>
        <w:t xml:space="preserve">this rate </w:t>
      </w:r>
      <w:r w:rsidR="003B4ED1">
        <w:rPr>
          <w:sz w:val="18"/>
          <w:szCs w:val="18"/>
        </w:rPr>
        <w:t xml:space="preserve">should be considered as a proxy measure </w:t>
      </w:r>
      <w:r w:rsidR="00472B16">
        <w:rPr>
          <w:sz w:val="18"/>
          <w:szCs w:val="18"/>
        </w:rPr>
        <w:t xml:space="preserve">as it </w:t>
      </w:r>
      <w:r w:rsidR="00FE6A13" w:rsidRPr="00346333">
        <w:rPr>
          <w:sz w:val="18"/>
          <w:szCs w:val="18"/>
        </w:rPr>
        <w:t xml:space="preserve">is not strictly comparable to the incidence rate of serious claims published by Safe Work Australia (SWA) </w:t>
      </w:r>
      <w:r w:rsidR="00346333" w:rsidRPr="00346333">
        <w:rPr>
          <w:sz w:val="18"/>
          <w:szCs w:val="18"/>
        </w:rPr>
        <w:t>given differences in data sources and methods of calculation</w:t>
      </w:r>
      <w:r w:rsidR="00346333">
        <w:t>.</w:t>
      </w:r>
      <w:r>
        <w:t xml:space="preserve"> </w:t>
      </w:r>
    </w:p>
  </w:footnote>
  <w:footnote w:id="27">
    <w:p w14:paraId="2E861086" w14:textId="4E4789D4" w:rsidR="00F35D4C" w:rsidRDefault="00F35D4C">
      <w:pPr>
        <w:pStyle w:val="FootnoteText"/>
      </w:pPr>
      <w:r>
        <w:rPr>
          <w:rStyle w:val="FootnoteReference"/>
        </w:rPr>
        <w:footnoteRef/>
      </w:r>
      <w:r>
        <w:t xml:space="preserve"> </w:t>
      </w:r>
      <w:r w:rsidRPr="009A4502">
        <w:rPr>
          <w:rFonts w:cstheme="minorHAnsi"/>
          <w:sz w:val="18"/>
          <w:szCs w:val="18"/>
        </w:rPr>
        <w:t xml:space="preserve">Treasury: </w:t>
      </w:r>
      <w:r w:rsidRPr="009A4502">
        <w:rPr>
          <w:rFonts w:cstheme="minorHAnsi"/>
          <w:i/>
          <w:iCs/>
          <w:sz w:val="18"/>
          <w:szCs w:val="18"/>
        </w:rPr>
        <w:t>Working Future. The Australian Government’s White Paper on Jobs and Opportunities</w:t>
      </w:r>
      <w:r w:rsidRPr="009A4502">
        <w:rPr>
          <w:rFonts w:cstheme="minorHAnsi"/>
          <w:sz w:val="18"/>
          <w:szCs w:val="18"/>
        </w:rPr>
        <w:t>, September 2023</w:t>
      </w:r>
    </w:p>
  </w:footnote>
  <w:footnote w:id="28">
    <w:p w14:paraId="033626BD" w14:textId="65406EB8" w:rsidR="00E46338" w:rsidRDefault="00E46338">
      <w:pPr>
        <w:pStyle w:val="FootnoteText"/>
      </w:pPr>
      <w:r>
        <w:rPr>
          <w:rStyle w:val="FootnoteReference"/>
        </w:rPr>
        <w:footnoteRef/>
      </w:r>
      <w:r>
        <w:t xml:space="preserve"> </w:t>
      </w:r>
      <w:r w:rsidR="004A6DE6">
        <w:rPr>
          <w:sz w:val="18"/>
          <w:szCs w:val="18"/>
        </w:rPr>
        <w:t>Safe Work Australia</w:t>
      </w:r>
      <w:r w:rsidR="004D05F6" w:rsidRPr="00272B60">
        <w:rPr>
          <w:sz w:val="18"/>
          <w:szCs w:val="18"/>
        </w:rPr>
        <w:t xml:space="preserve">, </w:t>
      </w:r>
      <w:r w:rsidR="004D05F6" w:rsidRPr="00272B60">
        <w:rPr>
          <w:i/>
          <w:iCs/>
          <w:sz w:val="18"/>
          <w:szCs w:val="18"/>
        </w:rPr>
        <w:t xml:space="preserve">Safer healthier, wealthier: The economic value of reducing </w:t>
      </w:r>
      <w:r w:rsidR="00272B60" w:rsidRPr="00272B60">
        <w:rPr>
          <w:i/>
          <w:iCs/>
          <w:sz w:val="18"/>
          <w:szCs w:val="18"/>
        </w:rPr>
        <w:t>work-related injuries and illnesses</w:t>
      </w:r>
      <w:r w:rsidR="00272B60" w:rsidRPr="00272B60">
        <w:rPr>
          <w:sz w:val="18"/>
          <w:szCs w:val="18"/>
        </w:rPr>
        <w:t>, October 2022</w:t>
      </w:r>
    </w:p>
  </w:footnote>
  <w:footnote w:id="29">
    <w:p w14:paraId="5914838B" w14:textId="77777777" w:rsidR="00ED5C95" w:rsidRPr="002450E9" w:rsidRDefault="00ED5C95" w:rsidP="00ED5C95">
      <w:pPr>
        <w:pStyle w:val="FootnoteText"/>
      </w:pPr>
      <w:r>
        <w:rPr>
          <w:rStyle w:val="FootnoteReference"/>
        </w:rPr>
        <w:footnoteRef/>
      </w:r>
      <w:r>
        <w:t xml:space="preserve"> </w:t>
      </w:r>
      <w:r w:rsidRPr="00340F44">
        <w:rPr>
          <w:sz w:val="18"/>
          <w:szCs w:val="18"/>
        </w:rPr>
        <w:t xml:space="preserve">Safe Work Australia, </w:t>
      </w:r>
      <w:r w:rsidRPr="00340F44">
        <w:rPr>
          <w:i/>
          <w:iCs/>
          <w:sz w:val="18"/>
          <w:szCs w:val="18"/>
        </w:rPr>
        <w:t>Comparison of Workers’ Compensation Arrangements in Australia and New Zealand 2023</w:t>
      </w:r>
      <w:r w:rsidRPr="00340F44">
        <w:rPr>
          <w:sz w:val="18"/>
          <w:szCs w:val="18"/>
        </w:rPr>
        <w:t>, April 2024, https://www.safeworkaustralia.gov.au/doc/comparison-workers-compensation-arrangements-australia-and-new-zealand-2023</w:t>
      </w:r>
    </w:p>
  </w:footnote>
  <w:footnote w:id="30">
    <w:p w14:paraId="3D312CB8" w14:textId="039846B7" w:rsidR="00462580" w:rsidRDefault="00462580">
      <w:pPr>
        <w:pStyle w:val="FootnoteText"/>
      </w:pPr>
      <w:r>
        <w:rPr>
          <w:rStyle w:val="FootnoteReference"/>
        </w:rPr>
        <w:footnoteRef/>
      </w:r>
      <w:r w:rsidR="00996815">
        <w:t>Definitions of essential services vary, but for the purposes of this analysis</w:t>
      </w:r>
      <w:r w:rsidR="00996815" w:rsidRPr="00996815">
        <w:t xml:space="preserve"> </w:t>
      </w:r>
      <w:r w:rsidR="00996815">
        <w:t>essential</w:t>
      </w:r>
      <w:r>
        <w:t xml:space="preserve"> service occupations include</w:t>
      </w:r>
      <w:r w:rsidR="001B43A7">
        <w:t xml:space="preserve"> Teachers (early childhood, primary and secondary), </w:t>
      </w:r>
      <w:r w:rsidR="00E51EF5">
        <w:t>Child Carers (inc. Managers),</w:t>
      </w:r>
      <w:r w:rsidR="00AA3910">
        <w:t xml:space="preserve"> </w:t>
      </w:r>
      <w:r w:rsidR="001B43A7">
        <w:t>Nurses (</w:t>
      </w:r>
      <w:r w:rsidR="0017297D">
        <w:t xml:space="preserve">Managers, Enrolled and Registered), GPs and Resident Medical Officers, </w:t>
      </w:r>
      <w:r w:rsidR="00E76C1A">
        <w:t xml:space="preserve">Pharmacists, </w:t>
      </w:r>
      <w:r w:rsidR="009D5CA7">
        <w:t>Police, Fire and Emergency</w:t>
      </w:r>
      <w:r w:rsidR="00E51EF5">
        <w:t xml:space="preserve"> and Ambulance and Paramedics.</w:t>
      </w:r>
    </w:p>
  </w:footnote>
  <w:footnote w:id="31">
    <w:p w14:paraId="6F1EBD75" w14:textId="171A919E" w:rsidR="008F09A8" w:rsidRDefault="008F09A8" w:rsidP="008F09A8">
      <w:pPr>
        <w:pStyle w:val="FootnoteText"/>
      </w:pPr>
      <w:r>
        <w:rPr>
          <w:rStyle w:val="FootnoteReference"/>
        </w:rPr>
        <w:footnoteRef/>
      </w:r>
      <w:r w:rsidR="00BC36FA">
        <w:t xml:space="preserve"> The business creation rate is </w:t>
      </w:r>
      <w:r w:rsidR="004C46BC">
        <w:t>calculated</w:t>
      </w:r>
      <w:r w:rsidR="00BC36FA">
        <w:t xml:space="preserve"> </w:t>
      </w:r>
      <w:r w:rsidR="00EB3E12">
        <w:t>by dividing the proportion of new business entries (over the financial year) as a proportion of the working age (15-64 years) population</w:t>
      </w:r>
      <w:r w:rsidR="004C46BC">
        <w:t xml:space="preserve">. </w:t>
      </w:r>
      <w:r w:rsidR="00F053E4">
        <w:t xml:space="preserve">This </w:t>
      </w:r>
      <w:r w:rsidR="007C7D63">
        <w:t>measurement is</w:t>
      </w:r>
      <w:r w:rsidR="00F053E4">
        <w:t xml:space="preserve"> consistent with </w:t>
      </w:r>
      <w:r w:rsidR="00E5176B">
        <w:t xml:space="preserve">the </w:t>
      </w:r>
      <w:r w:rsidR="007C7D63">
        <w:t xml:space="preserve">approach taken by the </w:t>
      </w:r>
      <w:hyperlink r:id="rId9" w:history="1">
        <w:r w:rsidR="00E5176B" w:rsidRPr="007C7D63">
          <w:rPr>
            <w:rStyle w:val="Hyperlink"/>
          </w:rPr>
          <w:t>Institute of Public Affairs</w:t>
        </w:r>
      </w:hyperlink>
      <w:r w:rsidR="007C7D63">
        <w:t>.</w:t>
      </w:r>
    </w:p>
  </w:footnote>
  <w:footnote w:id="32">
    <w:p w14:paraId="36BFD699" w14:textId="77777777" w:rsidR="00225345" w:rsidRDefault="00225345" w:rsidP="00225345">
      <w:pPr>
        <w:pStyle w:val="FootnoteText"/>
      </w:pPr>
      <w:r>
        <w:rPr>
          <w:rStyle w:val="FootnoteReference"/>
        </w:rPr>
        <w:footnoteRef/>
      </w:r>
      <w:r>
        <w:t xml:space="preserve">ABS, </w:t>
      </w:r>
      <w:hyperlink r:id="rId10" w:history="1">
        <w:r w:rsidRPr="00B46755">
          <w:rPr>
            <w:rStyle w:val="Hyperlink"/>
          </w:rPr>
          <w:t>Recent Developments in Small Business Finance and Economic Conditions</w:t>
        </w:r>
      </w:hyperlink>
      <w:r>
        <w:t>, 2023</w:t>
      </w:r>
    </w:p>
  </w:footnote>
  <w:footnote w:id="33">
    <w:p w14:paraId="602F7A3F" w14:textId="0AD59963" w:rsidR="00273F8A" w:rsidRPr="00A62B37" w:rsidRDefault="00273F8A" w:rsidP="00273F8A">
      <w:pPr>
        <w:pStyle w:val="FootnoteText"/>
      </w:pPr>
      <w:r>
        <w:rPr>
          <w:rStyle w:val="FootnoteReference"/>
        </w:rPr>
        <w:footnoteRef/>
      </w:r>
      <w:r>
        <w:t xml:space="preserve"> </w:t>
      </w:r>
      <w:r w:rsidR="00BC2618" w:rsidRPr="00856304">
        <w:rPr>
          <w:sz w:val="18"/>
          <w:szCs w:val="18"/>
        </w:rPr>
        <w:t>Productivity Commission</w:t>
      </w:r>
      <w:r w:rsidR="00697228" w:rsidRPr="00856304">
        <w:rPr>
          <w:sz w:val="18"/>
          <w:szCs w:val="18"/>
        </w:rPr>
        <w:t xml:space="preserve"> (2023)</w:t>
      </w:r>
      <w:r w:rsidR="00FA7CE2" w:rsidRPr="00856304">
        <w:rPr>
          <w:sz w:val="18"/>
          <w:szCs w:val="18"/>
        </w:rPr>
        <w:t xml:space="preserve"> </w:t>
      </w:r>
      <w:hyperlink r:id="rId11" w:history="1">
        <w:r w:rsidR="00FA7CE2" w:rsidRPr="00856304">
          <w:rPr>
            <w:rStyle w:val="Hyperlink"/>
            <w:i/>
            <w:iCs/>
            <w:sz w:val="18"/>
            <w:szCs w:val="18"/>
          </w:rPr>
          <w:t>5-year Productivity Inquiry: A more productive labour market</w:t>
        </w:r>
      </w:hyperlink>
      <w:r w:rsidR="00A62B37" w:rsidRPr="00856304">
        <w:rPr>
          <w:sz w:val="18"/>
          <w:szCs w:val="18"/>
        </w:rPr>
        <w:t xml:space="preserve">, accessed </w:t>
      </w:r>
      <w:r w:rsidR="00856304" w:rsidRPr="00856304">
        <w:rPr>
          <w:sz w:val="18"/>
          <w:szCs w:val="18"/>
        </w:rPr>
        <w:t>21 May 2025</w:t>
      </w:r>
    </w:p>
  </w:footnote>
  <w:footnote w:id="34">
    <w:p w14:paraId="6D708D90" w14:textId="581B3135" w:rsidR="00856304" w:rsidRPr="00A62B37" w:rsidRDefault="00856304" w:rsidP="00856304">
      <w:pPr>
        <w:pStyle w:val="FootnoteText"/>
      </w:pPr>
      <w:r>
        <w:rPr>
          <w:rStyle w:val="FootnoteReference"/>
        </w:rPr>
        <w:footnoteRef/>
      </w:r>
      <w:r>
        <w:t xml:space="preserve"> </w:t>
      </w:r>
      <w:r w:rsidR="00124BF6">
        <w:rPr>
          <w:sz w:val="18"/>
          <w:szCs w:val="18"/>
        </w:rPr>
        <w:t xml:space="preserve">The </w:t>
      </w:r>
      <w:r w:rsidR="00912E79">
        <w:rPr>
          <w:sz w:val="18"/>
          <w:szCs w:val="18"/>
        </w:rPr>
        <w:t>Treasury</w:t>
      </w:r>
      <w:r w:rsidRPr="00856304">
        <w:rPr>
          <w:sz w:val="18"/>
          <w:szCs w:val="18"/>
        </w:rPr>
        <w:t xml:space="preserve"> (202</w:t>
      </w:r>
      <w:r w:rsidR="00912E79">
        <w:rPr>
          <w:sz w:val="18"/>
          <w:szCs w:val="18"/>
        </w:rPr>
        <w:t>5</w:t>
      </w:r>
      <w:r w:rsidRPr="00856304">
        <w:rPr>
          <w:sz w:val="18"/>
          <w:szCs w:val="18"/>
        </w:rPr>
        <w:t xml:space="preserve">) </w:t>
      </w:r>
      <w:hyperlink r:id="rId12" w:history="1">
        <w:r w:rsidR="00912E79" w:rsidRPr="00912E79">
          <w:rPr>
            <w:rStyle w:val="Hyperlink"/>
            <w:i/>
            <w:iCs/>
            <w:sz w:val="18"/>
            <w:szCs w:val="18"/>
          </w:rPr>
          <w:t>Treasury Round Up</w:t>
        </w:r>
      </w:hyperlink>
      <w:r w:rsidRPr="00856304">
        <w:rPr>
          <w:sz w:val="18"/>
          <w:szCs w:val="18"/>
        </w:rPr>
        <w:t>, accessed 21 May 2025</w:t>
      </w:r>
    </w:p>
  </w:footnote>
  <w:footnote w:id="35">
    <w:p w14:paraId="6300556C" w14:textId="19EAE3AF" w:rsidR="003C32D4" w:rsidRPr="00A62B37" w:rsidRDefault="003C32D4" w:rsidP="003C32D4">
      <w:pPr>
        <w:pStyle w:val="FootnoteText"/>
      </w:pPr>
      <w:r>
        <w:rPr>
          <w:rStyle w:val="FootnoteReference"/>
        </w:rPr>
        <w:footnoteRef/>
      </w:r>
      <w:r>
        <w:t xml:space="preserve"> </w:t>
      </w:r>
      <w:r w:rsidRPr="0013511C">
        <w:rPr>
          <w:sz w:val="18"/>
          <w:szCs w:val="18"/>
        </w:rPr>
        <w:t xml:space="preserve">Lake P et al. (2024) </w:t>
      </w:r>
      <w:r w:rsidR="00306785">
        <w:rPr>
          <w:sz w:val="18"/>
          <w:szCs w:val="18"/>
        </w:rPr>
        <w:t>‘</w:t>
      </w:r>
      <w:r w:rsidRPr="0013511C">
        <w:rPr>
          <w:sz w:val="18"/>
          <w:szCs w:val="18"/>
        </w:rPr>
        <w:t>How efficient is the Australian labour market? Analysing job matching efficiency for regions</w:t>
      </w:r>
      <w:r w:rsidR="00306785">
        <w:rPr>
          <w:sz w:val="18"/>
          <w:szCs w:val="18"/>
        </w:rPr>
        <w:t>’</w:t>
      </w:r>
      <w:r w:rsidRPr="0013511C">
        <w:rPr>
          <w:sz w:val="18"/>
          <w:szCs w:val="18"/>
        </w:rPr>
        <w:t>, occupations and industries</w:t>
      </w:r>
      <w:r w:rsidRPr="0013511C">
        <w:rPr>
          <w:i/>
          <w:sz w:val="18"/>
          <w:szCs w:val="18"/>
        </w:rPr>
        <w:t xml:space="preserve">, Australian Journal Labour Economics, </w:t>
      </w:r>
      <w:r w:rsidRPr="0013511C">
        <w:rPr>
          <w:sz w:val="18"/>
          <w:szCs w:val="18"/>
        </w:rPr>
        <w:t>Vol. 27 No 1, pp. 101-117, accessed 22 May 2025</w:t>
      </w:r>
    </w:p>
  </w:footnote>
  <w:footnote w:id="36">
    <w:p w14:paraId="02C49E43" w14:textId="77777777" w:rsidR="00D64596" w:rsidRPr="009E69AD" w:rsidRDefault="00D64596" w:rsidP="00D64596">
      <w:pPr>
        <w:rPr>
          <w:sz w:val="18"/>
          <w:szCs w:val="18"/>
        </w:rPr>
      </w:pPr>
      <w:r w:rsidRPr="009E69AD">
        <w:rPr>
          <w:rStyle w:val="FootnoteReference"/>
          <w:sz w:val="18"/>
          <w:szCs w:val="18"/>
        </w:rPr>
        <w:footnoteRef/>
      </w:r>
      <w:r w:rsidRPr="009E69AD">
        <w:rPr>
          <w:sz w:val="18"/>
          <w:szCs w:val="18"/>
        </w:rPr>
        <w:t xml:space="preserve"> </w:t>
      </w:r>
      <w:hyperlink r:id="rId13" w:history="1">
        <w:r w:rsidRPr="009E69AD">
          <w:rPr>
            <w:rStyle w:val="Hyperlink"/>
            <w:i/>
            <w:sz w:val="18"/>
            <w:szCs w:val="18"/>
          </w:rPr>
          <w:t>JSA Foundation Skills Study</w:t>
        </w:r>
      </w:hyperlink>
      <w:r w:rsidRPr="009E69AD">
        <w:rPr>
          <w:sz w:val="18"/>
          <w:szCs w:val="18"/>
        </w:rPr>
        <w:t xml:space="preserve">; JSA (2023) </w:t>
      </w:r>
      <w:hyperlink r:id="rId14" w:history="1">
        <w:r w:rsidRPr="009E69AD">
          <w:rPr>
            <w:rStyle w:val="Hyperlink"/>
            <w:i/>
            <w:sz w:val="18"/>
            <w:szCs w:val="18"/>
          </w:rPr>
          <w:t>JSA Foundation Skills Study Discussion Paper</w:t>
        </w:r>
      </w:hyperlink>
      <w:r w:rsidRPr="009E69AD">
        <w:rPr>
          <w:sz w:val="18"/>
          <w:szCs w:val="18"/>
        </w:rPr>
        <w:t xml:space="preserve">, April; JSA (2024) </w:t>
      </w:r>
      <w:hyperlink r:id="rId15" w:history="1">
        <w:r w:rsidRPr="009E69AD">
          <w:rPr>
            <w:rStyle w:val="Hyperlink"/>
            <w:i/>
            <w:sz w:val="18"/>
            <w:szCs w:val="18"/>
          </w:rPr>
          <w:t>Better Together: The Jobs and Skills Report 2024</w:t>
        </w:r>
      </w:hyperlink>
      <w:r w:rsidRPr="009E69AD">
        <w:rPr>
          <w:sz w:val="18"/>
          <w:szCs w:val="18"/>
        </w:rPr>
        <w:t xml:space="preserve">, pp33-34, November. </w:t>
      </w:r>
    </w:p>
  </w:footnote>
  <w:footnote w:id="37">
    <w:p w14:paraId="455BF763" w14:textId="77777777" w:rsidR="00086E77" w:rsidRPr="00503DEF" w:rsidRDefault="00086E77" w:rsidP="00086E77">
      <w:pPr>
        <w:pStyle w:val="FootnoteText"/>
      </w:pPr>
      <w:r>
        <w:rPr>
          <w:rStyle w:val="FootnoteReference"/>
        </w:rPr>
        <w:footnoteRef/>
      </w:r>
      <w:r>
        <w:t xml:space="preserve"> Mount Isa City Council (2025) </w:t>
      </w:r>
      <w:r>
        <w:rPr>
          <w:i/>
          <w:iCs/>
        </w:rPr>
        <w:t>Mount Isa Future Ready Economy Roadmap</w:t>
      </w:r>
      <w:r>
        <w:t>, February 2025.</w:t>
      </w:r>
    </w:p>
  </w:footnote>
  <w:footnote w:id="38">
    <w:p w14:paraId="60307551" w14:textId="1C5BD263" w:rsidR="00CB53F4" w:rsidRDefault="00CB53F4" w:rsidP="00CB53F4">
      <w:pPr>
        <w:pStyle w:val="FootnoteText"/>
      </w:pPr>
      <w:r>
        <w:rPr>
          <w:rStyle w:val="FootnoteReference"/>
        </w:rPr>
        <w:footnoteRef/>
      </w:r>
      <w:r>
        <w:t xml:space="preserve"> </w:t>
      </w:r>
      <w:r w:rsidR="000751A8" w:rsidRPr="000751A8">
        <w:rPr>
          <w:sz w:val="18"/>
          <w:szCs w:val="18"/>
        </w:rPr>
        <w:t>Please</w:t>
      </w:r>
      <w:r w:rsidRPr="00921CB1">
        <w:rPr>
          <w:sz w:val="18"/>
          <w:szCs w:val="18"/>
        </w:rPr>
        <w:t xml:space="preserve"> note data for Remote Australia are subject to considerable statistical variability and should be viewed with caution.</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A2757" w14:textId="25FDFF7E" w:rsidR="00343E30" w:rsidRDefault="00343E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92571" w14:textId="4D0EF4F1" w:rsidR="00343E30" w:rsidRDefault="00343E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E3AB6" w14:textId="77777777" w:rsidR="00343E30" w:rsidRDefault="00343E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A3796" w14:textId="77777777" w:rsidR="00D95E9A" w:rsidRDefault="00D95E9A">
    <w:pPr>
      <w:pStyle w:val="Header"/>
    </w:pPr>
    <w:r>
      <w:t>Header</w:t>
    </w:r>
  </w:p>
  <w:p w14:paraId="7EA35A91" w14:textId="77777777" w:rsidR="00D95E9A" w:rsidRDefault="00D95E9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76AB269" w14:paraId="57D53ECD" w14:textId="77777777" w:rsidTr="576AB269">
      <w:trPr>
        <w:trHeight w:val="300"/>
      </w:trPr>
      <w:tc>
        <w:tcPr>
          <w:tcW w:w="3005" w:type="dxa"/>
        </w:tcPr>
        <w:p w14:paraId="461FE6D5" w14:textId="076F802E" w:rsidR="576AB269" w:rsidRDefault="576AB269" w:rsidP="576AB269">
          <w:pPr>
            <w:pStyle w:val="Header"/>
            <w:ind w:left="-115"/>
          </w:pPr>
        </w:p>
      </w:tc>
      <w:tc>
        <w:tcPr>
          <w:tcW w:w="3005" w:type="dxa"/>
        </w:tcPr>
        <w:p w14:paraId="6DC3180F" w14:textId="5C42AEB9" w:rsidR="576AB269" w:rsidRDefault="576AB269" w:rsidP="576AB269">
          <w:pPr>
            <w:pStyle w:val="Header"/>
            <w:jc w:val="center"/>
          </w:pPr>
        </w:p>
      </w:tc>
      <w:tc>
        <w:tcPr>
          <w:tcW w:w="3005" w:type="dxa"/>
        </w:tcPr>
        <w:p w14:paraId="6ABE341D" w14:textId="3D021FE0" w:rsidR="576AB269" w:rsidRDefault="576AB269" w:rsidP="576AB269">
          <w:pPr>
            <w:pStyle w:val="Header"/>
            <w:ind w:right="-115"/>
            <w:jc w:val="right"/>
          </w:pPr>
        </w:p>
      </w:tc>
    </w:tr>
  </w:tbl>
  <w:p w14:paraId="6B853316" w14:textId="7EFB1D91" w:rsidR="576AB269" w:rsidRDefault="576AB269" w:rsidP="576AB26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76AB269" w14:paraId="5C2BE72E" w14:textId="77777777" w:rsidTr="576AB269">
      <w:trPr>
        <w:trHeight w:val="300"/>
      </w:trPr>
      <w:tc>
        <w:tcPr>
          <w:tcW w:w="3005" w:type="dxa"/>
        </w:tcPr>
        <w:p w14:paraId="5860EF61" w14:textId="59D9ABBB" w:rsidR="576AB269" w:rsidRDefault="576AB269" w:rsidP="576AB269">
          <w:pPr>
            <w:pStyle w:val="Header"/>
            <w:ind w:left="-115"/>
          </w:pPr>
        </w:p>
      </w:tc>
      <w:tc>
        <w:tcPr>
          <w:tcW w:w="3005" w:type="dxa"/>
        </w:tcPr>
        <w:p w14:paraId="51FE75E4" w14:textId="5B3E34E1" w:rsidR="576AB269" w:rsidRDefault="576AB269" w:rsidP="576AB269">
          <w:pPr>
            <w:pStyle w:val="Header"/>
            <w:jc w:val="center"/>
          </w:pPr>
        </w:p>
      </w:tc>
      <w:tc>
        <w:tcPr>
          <w:tcW w:w="3005" w:type="dxa"/>
        </w:tcPr>
        <w:p w14:paraId="3298DFA3" w14:textId="0F46A30B" w:rsidR="576AB269" w:rsidRDefault="576AB269" w:rsidP="576AB269">
          <w:pPr>
            <w:pStyle w:val="Header"/>
            <w:ind w:right="-115"/>
            <w:jc w:val="right"/>
          </w:pPr>
        </w:p>
      </w:tc>
    </w:tr>
  </w:tbl>
  <w:p w14:paraId="6EDC3CA4" w14:textId="3BF3ECCB" w:rsidR="576AB269" w:rsidRDefault="576AB269" w:rsidP="576AB2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014F2"/>
    <w:multiLevelType w:val="multilevel"/>
    <w:tmpl w:val="3740028A"/>
    <w:lvl w:ilvl="0">
      <w:start w:val="1"/>
      <w:numFmt w:val="decimal"/>
      <w:lvlText w:val="%1."/>
      <w:lvlJc w:val="left"/>
      <w:pPr>
        <w:ind w:left="284" w:hanging="284"/>
      </w:pPr>
      <w:rPr>
        <w:rFonts w:hint="default"/>
        <w:b w:val="0"/>
        <w:bCs w:val="0"/>
        <w:color w:val="auto"/>
      </w:rPr>
    </w:lvl>
    <w:lvl w:ilvl="1">
      <w:start w:val="1"/>
      <w:numFmt w:val="lowerLetter"/>
      <w:lvlText w:val="%2."/>
      <w:lvlJc w:val="left"/>
      <w:pPr>
        <w:ind w:left="567" w:hanging="283"/>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A255388"/>
    <w:multiLevelType w:val="hybridMultilevel"/>
    <w:tmpl w:val="A8986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ED2162"/>
    <w:multiLevelType w:val="hybridMultilevel"/>
    <w:tmpl w:val="BCC2F8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167765"/>
    <w:multiLevelType w:val="multilevel"/>
    <w:tmpl w:val="0D96AACA"/>
    <w:styleLink w:val="AppendixHeadingmaster"/>
    <w:lvl w:ilvl="0">
      <w:start w:val="1"/>
      <w:numFmt w:val="upperLetter"/>
      <w:pStyle w:val="AppendixHeading1"/>
      <w:lvlText w:val="Appendix %1"/>
      <w:lvlJc w:val="left"/>
      <w:pPr>
        <w:ind w:left="2268" w:hanging="2268"/>
      </w:pPr>
      <w:rPr>
        <w:rFonts w:ascii="Arial Bold" w:hAnsi="Arial Bold" w:hint="default"/>
        <w:b/>
        <w:i w:val="0"/>
        <w:color w:val="4B0985"/>
        <w:sz w:val="56"/>
      </w:rPr>
    </w:lvl>
    <w:lvl w:ilvl="1">
      <w:start w:val="1"/>
      <w:numFmt w:val="decimal"/>
      <w:pStyle w:val="AppendixHeading2"/>
      <w:lvlText w:val="%1.%2."/>
      <w:lvlJc w:val="left"/>
      <w:pPr>
        <w:ind w:left="1021" w:hanging="1021"/>
      </w:pPr>
      <w:rPr>
        <w:rFonts w:hint="default"/>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F3B0D01"/>
    <w:multiLevelType w:val="hybridMultilevel"/>
    <w:tmpl w:val="7B644A96"/>
    <w:lvl w:ilvl="0" w:tplc="FE72E130">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FE90359"/>
    <w:multiLevelType w:val="hybridMultilevel"/>
    <w:tmpl w:val="58B82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DA261A"/>
    <w:multiLevelType w:val="hybridMultilevel"/>
    <w:tmpl w:val="03E60C3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31007FB"/>
    <w:multiLevelType w:val="hybridMultilevel"/>
    <w:tmpl w:val="7B644A9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35444A3"/>
    <w:multiLevelType w:val="hybridMultilevel"/>
    <w:tmpl w:val="449EC976"/>
    <w:lvl w:ilvl="0" w:tplc="0C090019">
      <w:start w:val="1"/>
      <w:numFmt w:val="lowerLetter"/>
      <w:lvlText w:val="%1."/>
      <w:lvlJc w:val="left"/>
      <w:pPr>
        <w:ind w:left="1074" w:hanging="360"/>
      </w:p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9" w15:restartNumberingAfterBreak="0">
    <w:nsid w:val="13AD7940"/>
    <w:multiLevelType w:val="hybridMultilevel"/>
    <w:tmpl w:val="AAE4737E"/>
    <w:lvl w:ilvl="0" w:tplc="2A986184">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67439A"/>
    <w:multiLevelType w:val="hybridMultilevel"/>
    <w:tmpl w:val="B2948AAE"/>
    <w:lvl w:ilvl="0" w:tplc="960EFF0E">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8220D5F"/>
    <w:multiLevelType w:val="hybridMultilevel"/>
    <w:tmpl w:val="5920AAF0"/>
    <w:lvl w:ilvl="0" w:tplc="0C090019">
      <w:start w:val="1"/>
      <w:numFmt w:val="lowerLetter"/>
      <w:lvlText w:val="%1."/>
      <w:lvlJc w:val="left"/>
      <w:pPr>
        <w:ind w:left="1074" w:hanging="360"/>
      </w:p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2" w15:restartNumberingAfterBreak="0">
    <w:nsid w:val="187D19D8"/>
    <w:multiLevelType w:val="hybridMultilevel"/>
    <w:tmpl w:val="3DC88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16235E"/>
    <w:multiLevelType w:val="multilevel"/>
    <w:tmpl w:val="29A89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753D77"/>
    <w:multiLevelType w:val="multilevel"/>
    <w:tmpl w:val="113457F2"/>
    <w:styleLink w:val="Headingsmaster"/>
    <w:lvl w:ilvl="0">
      <w:start w:val="1"/>
      <w:numFmt w:val="decimal"/>
      <w:lvlText w:val="Chapter %1"/>
      <w:lvlJc w:val="left"/>
      <w:pPr>
        <w:ind w:left="0" w:firstLine="0"/>
      </w:pPr>
      <w:rPr>
        <w:rFonts w:hint="default"/>
      </w:rPr>
    </w:lvl>
    <w:lvl w:ilvl="1">
      <w:start w:val="1"/>
      <w:numFmt w:val="decimal"/>
      <w:lvlText w:val="%1.%2"/>
      <w:lvlJc w:val="left"/>
      <w:pPr>
        <w:ind w:left="1072" w:hanging="1072"/>
      </w:pPr>
      <w:rPr>
        <w:rFonts w:hint="default"/>
      </w:rPr>
    </w:lvl>
    <w:lvl w:ilvl="2">
      <w:start w:val="1"/>
      <w:numFmt w:val="decimal"/>
      <w:lvlText w:val="%1.%2.%3"/>
      <w:lvlJc w:val="left"/>
      <w:pPr>
        <w:ind w:left="1072" w:hanging="1072"/>
      </w:pPr>
      <w:rPr>
        <w:rFonts w:hint="default"/>
      </w:rPr>
    </w:lvl>
    <w:lvl w:ilvl="3">
      <w:start w:val="1"/>
      <w:numFmt w:val="decimal"/>
      <w:lvlText w:val="%1.%2.%3.%4"/>
      <w:lvlJc w:val="left"/>
      <w:pPr>
        <w:ind w:left="1072" w:hanging="1072"/>
      </w:pPr>
      <w:rPr>
        <w:rFonts w:hint="default"/>
      </w:rPr>
    </w:lvl>
    <w:lvl w:ilvl="4">
      <w:start w:val="1"/>
      <w:numFmt w:val="decimal"/>
      <w:lvlText w:val="%1.%2.%3.%4.%5"/>
      <w:lvlJc w:val="left"/>
      <w:pPr>
        <w:ind w:left="1072" w:hanging="107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B16413F"/>
    <w:multiLevelType w:val="hybridMultilevel"/>
    <w:tmpl w:val="FA60CD3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1D585F53"/>
    <w:multiLevelType w:val="multilevel"/>
    <w:tmpl w:val="A3E88540"/>
    <w:name w:val="ListBullets"/>
    <w:lvl w:ilvl="0">
      <w:start w:val="1"/>
      <w:numFmt w:val="bullet"/>
      <w:pStyle w:val="ListBullet"/>
      <w:lvlText w:val="•"/>
      <w:lvlJc w:val="left"/>
      <w:pPr>
        <w:ind w:left="340" w:hanging="340"/>
      </w:pPr>
      <w:rPr>
        <w:rFonts w:ascii="Calibri" w:hAnsi="Calibri" w:hint="default"/>
        <w:color w:val="auto"/>
      </w:rPr>
    </w:lvl>
    <w:lvl w:ilvl="1">
      <w:start w:val="1"/>
      <w:numFmt w:val="bullet"/>
      <w:pStyle w:val="ListBullet2"/>
      <w:lvlText w:val="–"/>
      <w:lvlJc w:val="left"/>
      <w:pPr>
        <w:ind w:left="680" w:hanging="340"/>
      </w:pPr>
      <w:rPr>
        <w:rFonts w:ascii="Arial" w:hAnsi="Arial" w:hint="default"/>
        <w:color w:val="auto"/>
      </w:rPr>
    </w:lvl>
    <w:lvl w:ilvl="2">
      <w:start w:val="1"/>
      <w:numFmt w:val="bullet"/>
      <w:pStyle w:val="ListBullet3"/>
      <w:lvlText w:val="○"/>
      <w:lvlJc w:val="left"/>
      <w:pPr>
        <w:ind w:left="1020" w:hanging="340"/>
      </w:pPr>
      <w:rPr>
        <w:rFonts w:ascii="Times New Roman" w:hAnsi="Times New Roman" w:cs="Times New Roman" w:hint="default"/>
        <w:color w:val="auto"/>
      </w:rPr>
    </w:lvl>
    <w:lvl w:ilvl="3">
      <w:start w:val="1"/>
      <w:numFmt w:val="bullet"/>
      <w:pStyle w:val="ListBullet4"/>
      <w:lvlText w:val="•"/>
      <w:lvlJc w:val="left"/>
      <w:pPr>
        <w:ind w:left="1360" w:hanging="340"/>
      </w:pPr>
      <w:rPr>
        <w:rFonts w:ascii="Arial" w:hAnsi="Arial" w:hint="default"/>
        <w:color w:val="auto"/>
      </w:rPr>
    </w:lvl>
    <w:lvl w:ilvl="4">
      <w:start w:val="1"/>
      <w:numFmt w:val="none"/>
      <w:lvlText w:val=""/>
      <w:lvlJc w:val="left"/>
      <w:pPr>
        <w:tabs>
          <w:tab w:val="num" w:pos="1712"/>
        </w:tabs>
        <w:ind w:left="1700" w:hanging="340"/>
      </w:pPr>
      <w:rPr>
        <w:rFonts w:hint="default"/>
      </w:rPr>
    </w:lvl>
    <w:lvl w:ilvl="5">
      <w:start w:val="1"/>
      <w:numFmt w:val="none"/>
      <w:lvlText w:val=""/>
      <w:lvlJc w:val="left"/>
      <w:pPr>
        <w:tabs>
          <w:tab w:val="num" w:pos="2069"/>
        </w:tabs>
        <w:ind w:left="2040" w:hanging="340"/>
      </w:pPr>
      <w:rPr>
        <w:rFonts w:hint="default"/>
      </w:rPr>
    </w:lvl>
    <w:lvl w:ilvl="6">
      <w:start w:val="1"/>
      <w:numFmt w:val="none"/>
      <w:lvlText w:val=""/>
      <w:lvlJc w:val="left"/>
      <w:pPr>
        <w:tabs>
          <w:tab w:val="num" w:pos="2426"/>
        </w:tabs>
        <w:ind w:left="2380" w:hanging="340"/>
      </w:pPr>
      <w:rPr>
        <w:rFonts w:hint="default"/>
      </w:rPr>
    </w:lvl>
    <w:lvl w:ilvl="7">
      <w:start w:val="1"/>
      <w:numFmt w:val="none"/>
      <w:lvlText w:val=""/>
      <w:lvlJc w:val="left"/>
      <w:pPr>
        <w:tabs>
          <w:tab w:val="num" w:pos="2783"/>
        </w:tabs>
        <w:ind w:left="2720" w:hanging="340"/>
      </w:pPr>
      <w:rPr>
        <w:rFonts w:hint="default"/>
      </w:rPr>
    </w:lvl>
    <w:lvl w:ilvl="8">
      <w:start w:val="1"/>
      <w:numFmt w:val="none"/>
      <w:lvlText w:val=""/>
      <w:lvlJc w:val="left"/>
      <w:pPr>
        <w:tabs>
          <w:tab w:val="num" w:pos="3140"/>
        </w:tabs>
        <w:ind w:left="3060" w:hanging="340"/>
      </w:pPr>
      <w:rPr>
        <w:rFonts w:hint="default"/>
      </w:rPr>
    </w:lvl>
  </w:abstractNum>
  <w:abstractNum w:abstractNumId="17" w15:restartNumberingAfterBreak="0">
    <w:nsid w:val="20AC28C2"/>
    <w:multiLevelType w:val="hybridMultilevel"/>
    <w:tmpl w:val="9E409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08763C"/>
    <w:multiLevelType w:val="multilevel"/>
    <w:tmpl w:val="EAA2F742"/>
    <w:styleLink w:val="TableListNumbermaster"/>
    <w:lvl w:ilvl="0">
      <w:start w:val="1"/>
      <w:numFmt w:val="decimal"/>
      <w:lvlText w:val="%1."/>
      <w:lvlJc w:val="left"/>
      <w:pPr>
        <w:ind w:left="284" w:hanging="284"/>
      </w:pPr>
      <w:rPr>
        <w:rFonts w:hint="default"/>
        <w:color w:val="auto"/>
      </w:rPr>
    </w:lvl>
    <w:lvl w:ilvl="1">
      <w:start w:val="1"/>
      <w:numFmt w:val="lowerLetter"/>
      <w:lvlText w:val="%2."/>
      <w:lvlJc w:val="left"/>
      <w:pPr>
        <w:ind w:left="567" w:hanging="283"/>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2695D78"/>
    <w:multiLevelType w:val="multilevel"/>
    <w:tmpl w:val="EAA2F742"/>
    <w:lvl w:ilvl="0">
      <w:start w:val="1"/>
      <w:numFmt w:val="decimal"/>
      <w:lvlText w:val="%1."/>
      <w:lvlJc w:val="left"/>
      <w:pPr>
        <w:ind w:left="-76" w:hanging="284"/>
      </w:pPr>
      <w:rPr>
        <w:rFonts w:hint="default"/>
        <w:color w:val="auto"/>
      </w:rPr>
    </w:lvl>
    <w:lvl w:ilvl="1">
      <w:start w:val="1"/>
      <w:numFmt w:val="lowerLetter"/>
      <w:lvlText w:val="%2."/>
      <w:lvlJc w:val="left"/>
      <w:pPr>
        <w:ind w:left="207" w:hanging="283"/>
      </w:pPr>
      <w:rPr>
        <w:rFonts w:hint="default"/>
        <w:color w:val="auto"/>
      </w:rPr>
    </w:lvl>
    <w:lvl w:ilvl="2">
      <w:start w:val="1"/>
      <w:numFmt w:val="lowerRoman"/>
      <w:lvlText w:val="%3)"/>
      <w:lvlJc w:val="left"/>
      <w:pPr>
        <w:ind w:left="720" w:hanging="360"/>
      </w:pPr>
      <w:rPr>
        <w:rFonts w:hint="default"/>
      </w:rPr>
    </w:lvl>
    <w:lvl w:ilvl="3">
      <w:start w:val="1"/>
      <w:numFmt w:val="decimal"/>
      <w:lvlText w:val="(%4)"/>
      <w:lvlJc w:val="left"/>
      <w:pPr>
        <w:ind w:left="1080" w:hanging="360"/>
      </w:pPr>
      <w:rPr>
        <w:rFonts w:hint="default"/>
      </w:rPr>
    </w:lvl>
    <w:lvl w:ilvl="4">
      <w:start w:val="1"/>
      <w:numFmt w:val="lowerLetter"/>
      <w:lvlText w:val="(%5)"/>
      <w:lvlJc w:val="left"/>
      <w:pPr>
        <w:ind w:left="1440" w:hanging="360"/>
      </w:pPr>
      <w:rPr>
        <w:rFonts w:hint="default"/>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20" w15:restartNumberingAfterBreak="0">
    <w:nsid w:val="2358123D"/>
    <w:multiLevelType w:val="hybridMultilevel"/>
    <w:tmpl w:val="BFA48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6EA22D8"/>
    <w:multiLevelType w:val="hybridMultilevel"/>
    <w:tmpl w:val="2A4C34B6"/>
    <w:lvl w:ilvl="0" w:tplc="FFFFFFFF">
      <w:start w:val="1"/>
      <w:numFmt w:val="decimal"/>
      <w:lvlText w:val="%1."/>
      <w:lvlJc w:val="left"/>
      <w:pPr>
        <w:ind w:left="360" w:hanging="360"/>
      </w:pPr>
      <w:rPr>
        <w:b/>
        <w:bCs/>
        <w:color w:val="auto"/>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27CC6503"/>
    <w:multiLevelType w:val="hybridMultilevel"/>
    <w:tmpl w:val="C7E06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89C32BF"/>
    <w:multiLevelType w:val="hybridMultilevel"/>
    <w:tmpl w:val="2A4C34B6"/>
    <w:lvl w:ilvl="0" w:tplc="7F020FD0">
      <w:start w:val="1"/>
      <w:numFmt w:val="decimal"/>
      <w:lvlText w:val="%1."/>
      <w:lvlJc w:val="left"/>
      <w:pPr>
        <w:ind w:left="360" w:hanging="360"/>
      </w:pPr>
      <w:rPr>
        <w:b/>
        <w:bCs/>
        <w:color w:val="auto"/>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2A9E1C9D"/>
    <w:multiLevelType w:val="hybridMultilevel"/>
    <w:tmpl w:val="E37CB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B924914"/>
    <w:multiLevelType w:val="hybridMultilevel"/>
    <w:tmpl w:val="9EC8D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C0E4DE9"/>
    <w:multiLevelType w:val="multilevel"/>
    <w:tmpl w:val="716E0072"/>
    <w:numStyleLink w:val="TableListBulletmaster"/>
  </w:abstractNum>
  <w:abstractNum w:abstractNumId="27" w15:restartNumberingAfterBreak="0">
    <w:nsid w:val="2D9328E2"/>
    <w:multiLevelType w:val="multilevel"/>
    <w:tmpl w:val="56043EA4"/>
    <w:styleLink w:val="ListNumbermaster"/>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0DB7219"/>
    <w:multiLevelType w:val="hybridMultilevel"/>
    <w:tmpl w:val="DEFAB4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1B93674"/>
    <w:multiLevelType w:val="hybridMultilevel"/>
    <w:tmpl w:val="5E787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6B75813"/>
    <w:multiLevelType w:val="multilevel"/>
    <w:tmpl w:val="0D96AACA"/>
    <w:numStyleLink w:val="AppendixHeadingmaster"/>
  </w:abstractNum>
  <w:abstractNum w:abstractNumId="31" w15:restartNumberingAfterBreak="0">
    <w:nsid w:val="40F82474"/>
    <w:multiLevelType w:val="hybridMultilevel"/>
    <w:tmpl w:val="6638C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18142BD"/>
    <w:multiLevelType w:val="hybridMultilevel"/>
    <w:tmpl w:val="3AE26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2D824F1"/>
    <w:multiLevelType w:val="hybridMultilevel"/>
    <w:tmpl w:val="B0508378"/>
    <w:lvl w:ilvl="0" w:tplc="1D665D8C">
      <w:start w:val="1"/>
      <w:numFmt w:val="decimal"/>
      <w:lvlText w:val="%1."/>
      <w:lvlJc w:val="left"/>
      <w:pPr>
        <w:ind w:left="360" w:hanging="360"/>
      </w:pPr>
      <w:rPr>
        <w:b/>
        <w:bCs/>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47891005"/>
    <w:multiLevelType w:val="hybridMultilevel"/>
    <w:tmpl w:val="87566F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9F45D53"/>
    <w:multiLevelType w:val="hybridMultilevel"/>
    <w:tmpl w:val="B4EC3D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C4F3E9D"/>
    <w:multiLevelType w:val="multilevel"/>
    <w:tmpl w:val="EAA2F742"/>
    <w:lvl w:ilvl="0">
      <w:start w:val="1"/>
      <w:numFmt w:val="decimal"/>
      <w:lvlText w:val="%1."/>
      <w:lvlJc w:val="left"/>
      <w:pPr>
        <w:ind w:left="284" w:hanging="284"/>
      </w:pPr>
      <w:rPr>
        <w:rFonts w:hint="default"/>
        <w:color w:val="auto"/>
      </w:rPr>
    </w:lvl>
    <w:lvl w:ilvl="1">
      <w:start w:val="1"/>
      <w:numFmt w:val="lowerLetter"/>
      <w:lvlText w:val="%2."/>
      <w:lvlJc w:val="left"/>
      <w:pPr>
        <w:ind w:left="567" w:hanging="283"/>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F5B1443"/>
    <w:multiLevelType w:val="hybridMultilevel"/>
    <w:tmpl w:val="E872F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362143E"/>
    <w:multiLevelType w:val="hybridMultilevel"/>
    <w:tmpl w:val="7AEC5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3785A65"/>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3AE063B"/>
    <w:multiLevelType w:val="hybridMultilevel"/>
    <w:tmpl w:val="A580A13C"/>
    <w:lvl w:ilvl="0" w:tplc="F20C7F1A">
      <w:start w:val="1"/>
      <w:numFmt w:val="decimal"/>
      <w:lvlText w:val="%1."/>
      <w:lvlJc w:val="left"/>
      <w:pPr>
        <w:ind w:left="1788" w:hanging="360"/>
      </w:pPr>
      <w:rPr>
        <w:b/>
        <w:bCs/>
      </w:rPr>
    </w:lvl>
    <w:lvl w:ilvl="1" w:tplc="0C090019">
      <w:start w:val="1"/>
      <w:numFmt w:val="lowerLetter"/>
      <w:lvlText w:val="%2."/>
      <w:lvlJc w:val="left"/>
      <w:pPr>
        <w:ind w:left="2508" w:hanging="360"/>
      </w:pPr>
    </w:lvl>
    <w:lvl w:ilvl="2" w:tplc="0C09001B" w:tentative="1">
      <w:start w:val="1"/>
      <w:numFmt w:val="lowerRoman"/>
      <w:lvlText w:val="%3."/>
      <w:lvlJc w:val="right"/>
      <w:pPr>
        <w:ind w:left="3228" w:hanging="180"/>
      </w:pPr>
    </w:lvl>
    <w:lvl w:ilvl="3" w:tplc="0C09000F" w:tentative="1">
      <w:start w:val="1"/>
      <w:numFmt w:val="decimal"/>
      <w:lvlText w:val="%4."/>
      <w:lvlJc w:val="left"/>
      <w:pPr>
        <w:ind w:left="3948" w:hanging="360"/>
      </w:pPr>
    </w:lvl>
    <w:lvl w:ilvl="4" w:tplc="0C090019" w:tentative="1">
      <w:start w:val="1"/>
      <w:numFmt w:val="lowerLetter"/>
      <w:lvlText w:val="%5."/>
      <w:lvlJc w:val="left"/>
      <w:pPr>
        <w:ind w:left="4668" w:hanging="360"/>
      </w:pPr>
    </w:lvl>
    <w:lvl w:ilvl="5" w:tplc="0C09001B" w:tentative="1">
      <w:start w:val="1"/>
      <w:numFmt w:val="lowerRoman"/>
      <w:lvlText w:val="%6."/>
      <w:lvlJc w:val="right"/>
      <w:pPr>
        <w:ind w:left="5388" w:hanging="180"/>
      </w:pPr>
    </w:lvl>
    <w:lvl w:ilvl="6" w:tplc="0C09000F" w:tentative="1">
      <w:start w:val="1"/>
      <w:numFmt w:val="decimal"/>
      <w:lvlText w:val="%7."/>
      <w:lvlJc w:val="left"/>
      <w:pPr>
        <w:ind w:left="6108" w:hanging="360"/>
      </w:pPr>
    </w:lvl>
    <w:lvl w:ilvl="7" w:tplc="0C090019" w:tentative="1">
      <w:start w:val="1"/>
      <w:numFmt w:val="lowerLetter"/>
      <w:lvlText w:val="%8."/>
      <w:lvlJc w:val="left"/>
      <w:pPr>
        <w:ind w:left="6828" w:hanging="360"/>
      </w:pPr>
    </w:lvl>
    <w:lvl w:ilvl="8" w:tplc="0C09001B" w:tentative="1">
      <w:start w:val="1"/>
      <w:numFmt w:val="lowerRoman"/>
      <w:lvlText w:val="%9."/>
      <w:lvlJc w:val="right"/>
      <w:pPr>
        <w:ind w:left="7548" w:hanging="180"/>
      </w:pPr>
    </w:lvl>
  </w:abstractNum>
  <w:abstractNum w:abstractNumId="41" w15:restartNumberingAfterBreak="0">
    <w:nsid w:val="55F71D38"/>
    <w:multiLevelType w:val="hybridMultilevel"/>
    <w:tmpl w:val="46549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8C95AB3"/>
    <w:multiLevelType w:val="multilevel"/>
    <w:tmpl w:val="EAA2F742"/>
    <w:lvl w:ilvl="0">
      <w:start w:val="1"/>
      <w:numFmt w:val="decimal"/>
      <w:lvlText w:val="%1."/>
      <w:lvlJc w:val="left"/>
      <w:pPr>
        <w:ind w:left="284" w:hanging="284"/>
      </w:pPr>
      <w:rPr>
        <w:rFonts w:hint="default"/>
        <w:color w:val="auto"/>
      </w:rPr>
    </w:lvl>
    <w:lvl w:ilvl="1">
      <w:start w:val="1"/>
      <w:numFmt w:val="lowerLetter"/>
      <w:lvlText w:val="%2."/>
      <w:lvlJc w:val="left"/>
      <w:pPr>
        <w:ind w:left="567" w:hanging="283"/>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5ACE49C1"/>
    <w:multiLevelType w:val="hybridMultilevel"/>
    <w:tmpl w:val="8D882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3BA2E80"/>
    <w:multiLevelType w:val="hybridMultilevel"/>
    <w:tmpl w:val="4AF6307C"/>
    <w:lvl w:ilvl="0" w:tplc="0C090019">
      <w:start w:val="1"/>
      <w:numFmt w:val="lowerLetter"/>
      <w:lvlText w:val="%1."/>
      <w:lvlJc w:val="left"/>
      <w:pPr>
        <w:ind w:left="1074" w:hanging="360"/>
      </w:p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45" w15:restartNumberingAfterBreak="0">
    <w:nsid w:val="648E6CBA"/>
    <w:multiLevelType w:val="multilevel"/>
    <w:tmpl w:val="9F703E2E"/>
    <w:styleLink w:val="ListBulletmaster"/>
    <w:lvl w:ilvl="0">
      <w:start w:val="1"/>
      <w:numFmt w:val="bullet"/>
      <w:lvlText w:val=""/>
      <w:lvlJc w:val="left"/>
      <w:pPr>
        <w:tabs>
          <w:tab w:val="num" w:pos="644"/>
        </w:tabs>
        <w:ind w:left="644"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67D158D"/>
    <w:multiLevelType w:val="hybridMultilevel"/>
    <w:tmpl w:val="F6523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70F00D2"/>
    <w:multiLevelType w:val="hybridMultilevel"/>
    <w:tmpl w:val="5276E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D1E6683"/>
    <w:multiLevelType w:val="hybridMultilevel"/>
    <w:tmpl w:val="E8FEF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E116188"/>
    <w:multiLevelType w:val="hybridMultilevel"/>
    <w:tmpl w:val="3528BA4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6EEA63E2"/>
    <w:multiLevelType w:val="hybridMultilevel"/>
    <w:tmpl w:val="716E0072"/>
    <w:styleLink w:val="TableListBulletmaster"/>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72F31AD2"/>
    <w:multiLevelType w:val="hybridMultilevel"/>
    <w:tmpl w:val="51048D06"/>
    <w:lvl w:ilvl="0" w:tplc="5DC23ADA">
      <w:start w:val="1"/>
      <w:numFmt w:val="decimal"/>
      <w:lvlText w:val="%1."/>
      <w:lvlJc w:val="left"/>
      <w:pPr>
        <w:ind w:left="1495"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45649DA"/>
    <w:multiLevelType w:val="hybridMultilevel"/>
    <w:tmpl w:val="DDE42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4B462F1"/>
    <w:multiLevelType w:val="hybridMultilevel"/>
    <w:tmpl w:val="905C9F6E"/>
    <w:lvl w:ilvl="0" w:tplc="AAF02C56">
      <w:start w:val="1"/>
      <w:numFmt w:val="decimal"/>
      <w:lvlText w:val="%1."/>
      <w:lvlJc w:val="left"/>
      <w:pPr>
        <w:ind w:left="927" w:hanging="360"/>
      </w:pPr>
      <w:rPr>
        <w:b w:val="0"/>
        <w:bCs w:val="0"/>
        <w:color w:val="auto"/>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54" w15:restartNumberingAfterBreak="0">
    <w:nsid w:val="754C3777"/>
    <w:multiLevelType w:val="hybridMultilevel"/>
    <w:tmpl w:val="297281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75A0E3C"/>
    <w:multiLevelType w:val="hybridMultilevel"/>
    <w:tmpl w:val="962A6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A154C93"/>
    <w:multiLevelType w:val="hybridMultilevel"/>
    <w:tmpl w:val="7618F2A0"/>
    <w:lvl w:ilvl="0" w:tplc="0C090019">
      <w:start w:val="1"/>
      <w:numFmt w:val="lowerLetter"/>
      <w:lvlText w:val="%1."/>
      <w:lvlJc w:val="left"/>
      <w:pPr>
        <w:ind w:left="1074" w:hanging="360"/>
      </w:p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57" w15:restartNumberingAfterBreak="0">
    <w:nsid w:val="7B442B61"/>
    <w:multiLevelType w:val="hybridMultilevel"/>
    <w:tmpl w:val="77D496A8"/>
    <w:lvl w:ilvl="0" w:tplc="FFFFFFFF">
      <w:start w:val="1"/>
      <w:numFmt w:val="decimal"/>
      <w:lvlText w:val="%1."/>
      <w:lvlJc w:val="left"/>
      <w:pPr>
        <w:ind w:left="1495"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F9B41A8"/>
    <w:multiLevelType w:val="hybridMultilevel"/>
    <w:tmpl w:val="41D26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47246184">
    <w:abstractNumId w:val="16"/>
  </w:num>
  <w:num w:numId="2" w16cid:durableId="328336156">
    <w:abstractNumId w:val="3"/>
  </w:num>
  <w:num w:numId="3" w16cid:durableId="290287643">
    <w:abstractNumId w:val="14"/>
  </w:num>
  <w:num w:numId="4" w16cid:durableId="1869679674">
    <w:abstractNumId w:val="45"/>
  </w:num>
  <w:num w:numId="5" w16cid:durableId="1742405919">
    <w:abstractNumId w:val="30"/>
    <w:lvlOverride w:ilvl="0">
      <w:lvl w:ilvl="0">
        <w:start w:val="1"/>
        <w:numFmt w:val="upperLetter"/>
        <w:pStyle w:val="AppendixHeading1"/>
        <w:lvlText w:val="Appendix %1"/>
        <w:lvlJc w:val="left"/>
        <w:pPr>
          <w:ind w:left="3118" w:hanging="2268"/>
        </w:pPr>
        <w:rPr>
          <w:b/>
          <w:bCs/>
        </w:rPr>
      </w:lvl>
    </w:lvlOverride>
  </w:num>
  <w:num w:numId="6" w16cid:durableId="1207333350">
    <w:abstractNumId w:val="40"/>
  </w:num>
  <w:num w:numId="7" w16cid:durableId="1978139859">
    <w:abstractNumId w:val="33"/>
  </w:num>
  <w:num w:numId="8" w16cid:durableId="976029144">
    <w:abstractNumId w:val="0"/>
  </w:num>
  <w:num w:numId="9" w16cid:durableId="980425059">
    <w:abstractNumId w:val="10"/>
  </w:num>
  <w:num w:numId="10" w16cid:durableId="112285544">
    <w:abstractNumId w:val="23"/>
  </w:num>
  <w:num w:numId="11" w16cid:durableId="117843493">
    <w:abstractNumId w:val="53"/>
  </w:num>
  <w:num w:numId="12" w16cid:durableId="633563425">
    <w:abstractNumId w:val="51"/>
  </w:num>
  <w:num w:numId="13" w16cid:durableId="59522701">
    <w:abstractNumId w:val="21"/>
  </w:num>
  <w:num w:numId="14" w16cid:durableId="1471938787">
    <w:abstractNumId w:val="9"/>
  </w:num>
  <w:num w:numId="15" w16cid:durableId="1219635809">
    <w:abstractNumId w:val="15"/>
  </w:num>
  <w:num w:numId="16" w16cid:durableId="1712680890">
    <w:abstractNumId w:val="6"/>
  </w:num>
  <w:num w:numId="17" w16cid:durableId="1509638853">
    <w:abstractNumId w:val="49"/>
  </w:num>
  <w:num w:numId="18" w16cid:durableId="473720500">
    <w:abstractNumId w:val="50"/>
  </w:num>
  <w:num w:numId="19" w16cid:durableId="382484705">
    <w:abstractNumId w:val="4"/>
  </w:num>
  <w:num w:numId="20" w16cid:durableId="1275333957">
    <w:abstractNumId w:val="7"/>
  </w:num>
  <w:num w:numId="21" w16cid:durableId="24016276">
    <w:abstractNumId w:val="27"/>
  </w:num>
  <w:num w:numId="22" w16cid:durableId="613751935">
    <w:abstractNumId w:val="39"/>
  </w:num>
  <w:num w:numId="23" w16cid:durableId="3147978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48759377">
    <w:abstractNumId w:val="35"/>
  </w:num>
  <w:num w:numId="25" w16cid:durableId="1580866244">
    <w:abstractNumId w:val="56"/>
  </w:num>
  <w:num w:numId="26" w16cid:durableId="375932281">
    <w:abstractNumId w:val="48"/>
  </w:num>
  <w:num w:numId="27" w16cid:durableId="536695998">
    <w:abstractNumId w:val="31"/>
  </w:num>
  <w:num w:numId="28" w16cid:durableId="1110395873">
    <w:abstractNumId w:val="29"/>
  </w:num>
  <w:num w:numId="29" w16cid:durableId="1744833664">
    <w:abstractNumId w:val="24"/>
  </w:num>
  <w:num w:numId="30" w16cid:durableId="656955411">
    <w:abstractNumId w:val="1"/>
  </w:num>
  <w:num w:numId="31" w16cid:durableId="908538476">
    <w:abstractNumId w:val="22"/>
  </w:num>
  <w:num w:numId="32" w16cid:durableId="1498302434">
    <w:abstractNumId w:val="52"/>
  </w:num>
  <w:num w:numId="33" w16cid:durableId="1701081353">
    <w:abstractNumId w:val="20"/>
  </w:num>
  <w:num w:numId="34" w16cid:durableId="1526091177">
    <w:abstractNumId w:val="2"/>
  </w:num>
  <w:num w:numId="35" w16cid:durableId="978924944">
    <w:abstractNumId w:val="12"/>
  </w:num>
  <w:num w:numId="36" w16cid:durableId="2022856753">
    <w:abstractNumId w:val="25"/>
  </w:num>
  <w:num w:numId="37" w16cid:durableId="1718238453">
    <w:abstractNumId w:val="38"/>
  </w:num>
  <w:num w:numId="38" w16cid:durableId="1277101739">
    <w:abstractNumId w:val="5"/>
  </w:num>
  <w:num w:numId="39" w16cid:durableId="1952468260">
    <w:abstractNumId w:val="17"/>
  </w:num>
  <w:num w:numId="40" w16cid:durableId="2028479226">
    <w:abstractNumId w:val="55"/>
  </w:num>
  <w:num w:numId="41" w16cid:durableId="1257136003">
    <w:abstractNumId w:val="54"/>
  </w:num>
  <w:num w:numId="42" w16cid:durableId="620261205">
    <w:abstractNumId w:val="46"/>
  </w:num>
  <w:num w:numId="43" w16cid:durableId="1375034115">
    <w:abstractNumId w:val="32"/>
  </w:num>
  <w:num w:numId="44" w16cid:durableId="1298101601">
    <w:abstractNumId w:val="36"/>
  </w:num>
  <w:num w:numId="45" w16cid:durableId="638874684">
    <w:abstractNumId w:val="18"/>
  </w:num>
  <w:num w:numId="46" w16cid:durableId="1195967236">
    <w:abstractNumId w:val="41"/>
  </w:num>
  <w:num w:numId="47" w16cid:durableId="698622862">
    <w:abstractNumId w:val="28"/>
  </w:num>
  <w:num w:numId="48" w16cid:durableId="1080102521">
    <w:abstractNumId w:val="44"/>
  </w:num>
  <w:num w:numId="49" w16cid:durableId="1352685500">
    <w:abstractNumId w:val="11"/>
  </w:num>
  <w:num w:numId="50" w16cid:durableId="1604724795">
    <w:abstractNumId w:val="8"/>
  </w:num>
  <w:num w:numId="51" w16cid:durableId="761872183">
    <w:abstractNumId w:val="37"/>
  </w:num>
  <w:num w:numId="52" w16cid:durableId="1061557177">
    <w:abstractNumId w:val="42"/>
  </w:num>
  <w:num w:numId="53" w16cid:durableId="1221482542">
    <w:abstractNumId w:val="26"/>
  </w:num>
  <w:num w:numId="54" w16cid:durableId="26307266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80165356">
    <w:abstractNumId w:val="13"/>
  </w:num>
  <w:num w:numId="56" w16cid:durableId="1802963061">
    <w:abstractNumId w:val="57"/>
  </w:num>
  <w:num w:numId="57" w16cid:durableId="1977680531">
    <w:abstractNumId w:val="58"/>
  </w:num>
  <w:num w:numId="58" w16cid:durableId="2105149705">
    <w:abstractNumId w:val="34"/>
  </w:num>
  <w:num w:numId="59" w16cid:durableId="358892884">
    <w:abstractNumId w:val="47"/>
  </w:num>
  <w:num w:numId="60" w16cid:durableId="1905337291">
    <w:abstractNumId w:val="4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218"/>
    <w:rsid w:val="0000015C"/>
    <w:rsid w:val="00000216"/>
    <w:rsid w:val="00000431"/>
    <w:rsid w:val="00000484"/>
    <w:rsid w:val="000004FD"/>
    <w:rsid w:val="000005CA"/>
    <w:rsid w:val="000005E5"/>
    <w:rsid w:val="000006AD"/>
    <w:rsid w:val="0000097C"/>
    <w:rsid w:val="00001022"/>
    <w:rsid w:val="000014A0"/>
    <w:rsid w:val="0000193C"/>
    <w:rsid w:val="000019DE"/>
    <w:rsid w:val="00001CC2"/>
    <w:rsid w:val="00001D2C"/>
    <w:rsid w:val="00001D94"/>
    <w:rsid w:val="00001EB2"/>
    <w:rsid w:val="00001FA9"/>
    <w:rsid w:val="0000234F"/>
    <w:rsid w:val="00002362"/>
    <w:rsid w:val="0000237E"/>
    <w:rsid w:val="00002392"/>
    <w:rsid w:val="000023F8"/>
    <w:rsid w:val="00002432"/>
    <w:rsid w:val="00002470"/>
    <w:rsid w:val="00002728"/>
    <w:rsid w:val="000027F9"/>
    <w:rsid w:val="0000285D"/>
    <w:rsid w:val="00002F00"/>
    <w:rsid w:val="0000307B"/>
    <w:rsid w:val="0000338F"/>
    <w:rsid w:val="00003642"/>
    <w:rsid w:val="00003792"/>
    <w:rsid w:val="0000380A"/>
    <w:rsid w:val="000038DA"/>
    <w:rsid w:val="00003921"/>
    <w:rsid w:val="00003933"/>
    <w:rsid w:val="00003A04"/>
    <w:rsid w:val="00003A45"/>
    <w:rsid w:val="00003BA6"/>
    <w:rsid w:val="00003E3F"/>
    <w:rsid w:val="00003E8E"/>
    <w:rsid w:val="00003F55"/>
    <w:rsid w:val="00004049"/>
    <w:rsid w:val="00004175"/>
    <w:rsid w:val="0000428A"/>
    <w:rsid w:val="00004552"/>
    <w:rsid w:val="000047AB"/>
    <w:rsid w:val="000048CD"/>
    <w:rsid w:val="00004A3A"/>
    <w:rsid w:val="00004ADD"/>
    <w:rsid w:val="00004B29"/>
    <w:rsid w:val="00004C20"/>
    <w:rsid w:val="00004E1B"/>
    <w:rsid w:val="00004E51"/>
    <w:rsid w:val="0000507B"/>
    <w:rsid w:val="0000560D"/>
    <w:rsid w:val="000058D7"/>
    <w:rsid w:val="00005941"/>
    <w:rsid w:val="00005D07"/>
    <w:rsid w:val="00005EEF"/>
    <w:rsid w:val="00005FF1"/>
    <w:rsid w:val="000060C5"/>
    <w:rsid w:val="00006269"/>
    <w:rsid w:val="00006371"/>
    <w:rsid w:val="00006516"/>
    <w:rsid w:val="0000660F"/>
    <w:rsid w:val="0000686E"/>
    <w:rsid w:val="000068CB"/>
    <w:rsid w:val="0000690E"/>
    <w:rsid w:val="0000693F"/>
    <w:rsid w:val="00006BCE"/>
    <w:rsid w:val="00006E85"/>
    <w:rsid w:val="00006EBB"/>
    <w:rsid w:val="00006EFD"/>
    <w:rsid w:val="00006F61"/>
    <w:rsid w:val="00007414"/>
    <w:rsid w:val="000074D2"/>
    <w:rsid w:val="0000757C"/>
    <w:rsid w:val="000075D6"/>
    <w:rsid w:val="00007769"/>
    <w:rsid w:val="00007890"/>
    <w:rsid w:val="0000791D"/>
    <w:rsid w:val="0000799C"/>
    <w:rsid w:val="00007A80"/>
    <w:rsid w:val="00007AC5"/>
    <w:rsid w:val="000104BA"/>
    <w:rsid w:val="00010852"/>
    <w:rsid w:val="000108C3"/>
    <w:rsid w:val="000109C0"/>
    <w:rsid w:val="000109EB"/>
    <w:rsid w:val="00010BA8"/>
    <w:rsid w:val="00010CEB"/>
    <w:rsid w:val="00010DC0"/>
    <w:rsid w:val="00010EF6"/>
    <w:rsid w:val="00010EFF"/>
    <w:rsid w:val="00011112"/>
    <w:rsid w:val="00011244"/>
    <w:rsid w:val="000113FE"/>
    <w:rsid w:val="00011632"/>
    <w:rsid w:val="00011746"/>
    <w:rsid w:val="00011755"/>
    <w:rsid w:val="0001189F"/>
    <w:rsid w:val="00011AC4"/>
    <w:rsid w:val="00011C25"/>
    <w:rsid w:val="00012291"/>
    <w:rsid w:val="000122AF"/>
    <w:rsid w:val="000122D5"/>
    <w:rsid w:val="000122E5"/>
    <w:rsid w:val="0001237F"/>
    <w:rsid w:val="00012463"/>
    <w:rsid w:val="00012840"/>
    <w:rsid w:val="000129FE"/>
    <w:rsid w:val="00012BD0"/>
    <w:rsid w:val="00012E6C"/>
    <w:rsid w:val="00012F24"/>
    <w:rsid w:val="000135CA"/>
    <w:rsid w:val="00013881"/>
    <w:rsid w:val="00013C98"/>
    <w:rsid w:val="00013CBC"/>
    <w:rsid w:val="00013CF7"/>
    <w:rsid w:val="00013D61"/>
    <w:rsid w:val="00014019"/>
    <w:rsid w:val="000140BF"/>
    <w:rsid w:val="00014195"/>
    <w:rsid w:val="00014294"/>
    <w:rsid w:val="000146FE"/>
    <w:rsid w:val="00014892"/>
    <w:rsid w:val="00014949"/>
    <w:rsid w:val="00014962"/>
    <w:rsid w:val="00014B8C"/>
    <w:rsid w:val="00014C4E"/>
    <w:rsid w:val="00014CBD"/>
    <w:rsid w:val="00014F97"/>
    <w:rsid w:val="0001518C"/>
    <w:rsid w:val="0001521B"/>
    <w:rsid w:val="00015434"/>
    <w:rsid w:val="000156C8"/>
    <w:rsid w:val="000156DC"/>
    <w:rsid w:val="0001571C"/>
    <w:rsid w:val="000158AC"/>
    <w:rsid w:val="000159AE"/>
    <w:rsid w:val="00015B1F"/>
    <w:rsid w:val="00015B38"/>
    <w:rsid w:val="00015D3A"/>
    <w:rsid w:val="00015DF8"/>
    <w:rsid w:val="00016136"/>
    <w:rsid w:val="0001628D"/>
    <w:rsid w:val="00016564"/>
    <w:rsid w:val="000167CB"/>
    <w:rsid w:val="00016924"/>
    <w:rsid w:val="00016A95"/>
    <w:rsid w:val="00016D06"/>
    <w:rsid w:val="00016F92"/>
    <w:rsid w:val="00017582"/>
    <w:rsid w:val="00017664"/>
    <w:rsid w:val="00017908"/>
    <w:rsid w:val="00017952"/>
    <w:rsid w:val="000179F3"/>
    <w:rsid w:val="00017CBD"/>
    <w:rsid w:val="00017D7E"/>
    <w:rsid w:val="00017DE8"/>
    <w:rsid w:val="00017DFF"/>
    <w:rsid w:val="00017E35"/>
    <w:rsid w:val="00017E8D"/>
    <w:rsid w:val="00017E95"/>
    <w:rsid w:val="000200AE"/>
    <w:rsid w:val="00020133"/>
    <w:rsid w:val="0002095A"/>
    <w:rsid w:val="0002095E"/>
    <w:rsid w:val="00020977"/>
    <w:rsid w:val="00020B7D"/>
    <w:rsid w:val="00020D45"/>
    <w:rsid w:val="00020DE0"/>
    <w:rsid w:val="00020F37"/>
    <w:rsid w:val="00021523"/>
    <w:rsid w:val="000218C6"/>
    <w:rsid w:val="00021AC8"/>
    <w:rsid w:val="00022009"/>
    <w:rsid w:val="00022024"/>
    <w:rsid w:val="000221B3"/>
    <w:rsid w:val="00022551"/>
    <w:rsid w:val="00022898"/>
    <w:rsid w:val="000228E8"/>
    <w:rsid w:val="000229EF"/>
    <w:rsid w:val="00022CA0"/>
    <w:rsid w:val="00022E0F"/>
    <w:rsid w:val="000230C3"/>
    <w:rsid w:val="000230DC"/>
    <w:rsid w:val="00023731"/>
    <w:rsid w:val="00023780"/>
    <w:rsid w:val="00023D4C"/>
    <w:rsid w:val="00023E40"/>
    <w:rsid w:val="00023F1A"/>
    <w:rsid w:val="000244B9"/>
    <w:rsid w:val="000247C1"/>
    <w:rsid w:val="0002481C"/>
    <w:rsid w:val="0002497C"/>
    <w:rsid w:val="00024D06"/>
    <w:rsid w:val="00024D15"/>
    <w:rsid w:val="00024D82"/>
    <w:rsid w:val="000250AA"/>
    <w:rsid w:val="000252D1"/>
    <w:rsid w:val="00025539"/>
    <w:rsid w:val="00025594"/>
    <w:rsid w:val="000255DC"/>
    <w:rsid w:val="0002563F"/>
    <w:rsid w:val="00025681"/>
    <w:rsid w:val="00025769"/>
    <w:rsid w:val="0002592F"/>
    <w:rsid w:val="00025A3F"/>
    <w:rsid w:val="00025AB6"/>
    <w:rsid w:val="00025BD0"/>
    <w:rsid w:val="00025BF9"/>
    <w:rsid w:val="00025D98"/>
    <w:rsid w:val="0002613C"/>
    <w:rsid w:val="00026169"/>
    <w:rsid w:val="000261A3"/>
    <w:rsid w:val="000261DB"/>
    <w:rsid w:val="00026375"/>
    <w:rsid w:val="000263BC"/>
    <w:rsid w:val="00026496"/>
    <w:rsid w:val="00026576"/>
    <w:rsid w:val="0002659F"/>
    <w:rsid w:val="000267FB"/>
    <w:rsid w:val="00026A91"/>
    <w:rsid w:val="00026CD1"/>
    <w:rsid w:val="00026CDE"/>
    <w:rsid w:val="00026D53"/>
    <w:rsid w:val="00027223"/>
    <w:rsid w:val="000273D6"/>
    <w:rsid w:val="000276EF"/>
    <w:rsid w:val="000278A2"/>
    <w:rsid w:val="00027C7F"/>
    <w:rsid w:val="00027CEB"/>
    <w:rsid w:val="00027DA3"/>
    <w:rsid w:val="00027DAF"/>
    <w:rsid w:val="00030111"/>
    <w:rsid w:val="00030259"/>
    <w:rsid w:val="0003033F"/>
    <w:rsid w:val="000303FA"/>
    <w:rsid w:val="000305AB"/>
    <w:rsid w:val="00030647"/>
    <w:rsid w:val="00030741"/>
    <w:rsid w:val="0003079D"/>
    <w:rsid w:val="00030B2F"/>
    <w:rsid w:val="00030F81"/>
    <w:rsid w:val="0003101B"/>
    <w:rsid w:val="000311C7"/>
    <w:rsid w:val="000312D4"/>
    <w:rsid w:val="00031324"/>
    <w:rsid w:val="00031454"/>
    <w:rsid w:val="00031549"/>
    <w:rsid w:val="00031578"/>
    <w:rsid w:val="00031868"/>
    <w:rsid w:val="00031B42"/>
    <w:rsid w:val="00031B43"/>
    <w:rsid w:val="00031D05"/>
    <w:rsid w:val="000321A1"/>
    <w:rsid w:val="000322E7"/>
    <w:rsid w:val="0003231E"/>
    <w:rsid w:val="0003258B"/>
    <w:rsid w:val="0003276B"/>
    <w:rsid w:val="0003278A"/>
    <w:rsid w:val="00032838"/>
    <w:rsid w:val="00032CF5"/>
    <w:rsid w:val="00032E8F"/>
    <w:rsid w:val="00032FE5"/>
    <w:rsid w:val="00033132"/>
    <w:rsid w:val="0003316F"/>
    <w:rsid w:val="00033320"/>
    <w:rsid w:val="000333DA"/>
    <w:rsid w:val="00033590"/>
    <w:rsid w:val="00033594"/>
    <w:rsid w:val="000336BC"/>
    <w:rsid w:val="000337DC"/>
    <w:rsid w:val="00033A01"/>
    <w:rsid w:val="00033A40"/>
    <w:rsid w:val="00033E55"/>
    <w:rsid w:val="00033FE0"/>
    <w:rsid w:val="0003402D"/>
    <w:rsid w:val="0003408D"/>
    <w:rsid w:val="00034369"/>
    <w:rsid w:val="00034745"/>
    <w:rsid w:val="0003488A"/>
    <w:rsid w:val="00034EED"/>
    <w:rsid w:val="00034F88"/>
    <w:rsid w:val="0003509A"/>
    <w:rsid w:val="0003568B"/>
    <w:rsid w:val="000356A8"/>
    <w:rsid w:val="0003578C"/>
    <w:rsid w:val="000357B5"/>
    <w:rsid w:val="00035E98"/>
    <w:rsid w:val="00036134"/>
    <w:rsid w:val="000361EB"/>
    <w:rsid w:val="00036566"/>
    <w:rsid w:val="000366A9"/>
    <w:rsid w:val="000369AD"/>
    <w:rsid w:val="00036AF6"/>
    <w:rsid w:val="00036D3D"/>
    <w:rsid w:val="00036D95"/>
    <w:rsid w:val="00036E4A"/>
    <w:rsid w:val="00037301"/>
    <w:rsid w:val="000373CB"/>
    <w:rsid w:val="000374E3"/>
    <w:rsid w:val="00037EB9"/>
    <w:rsid w:val="00037EE3"/>
    <w:rsid w:val="00040026"/>
    <w:rsid w:val="00040058"/>
    <w:rsid w:val="000404CE"/>
    <w:rsid w:val="00040629"/>
    <w:rsid w:val="0004069D"/>
    <w:rsid w:val="000408EB"/>
    <w:rsid w:val="000408F6"/>
    <w:rsid w:val="00040A4C"/>
    <w:rsid w:val="00040B6E"/>
    <w:rsid w:val="00040C71"/>
    <w:rsid w:val="00040ED0"/>
    <w:rsid w:val="0004100D"/>
    <w:rsid w:val="00041073"/>
    <w:rsid w:val="00041362"/>
    <w:rsid w:val="000413F0"/>
    <w:rsid w:val="0004179C"/>
    <w:rsid w:val="00041804"/>
    <w:rsid w:val="000419C6"/>
    <w:rsid w:val="00041B7A"/>
    <w:rsid w:val="00041D26"/>
    <w:rsid w:val="00041F53"/>
    <w:rsid w:val="00041F7A"/>
    <w:rsid w:val="00041F9F"/>
    <w:rsid w:val="00041FE2"/>
    <w:rsid w:val="000422F8"/>
    <w:rsid w:val="0004239C"/>
    <w:rsid w:val="00042445"/>
    <w:rsid w:val="00042611"/>
    <w:rsid w:val="000426E2"/>
    <w:rsid w:val="0004274D"/>
    <w:rsid w:val="00042756"/>
    <w:rsid w:val="00042BC2"/>
    <w:rsid w:val="00042BF7"/>
    <w:rsid w:val="00043077"/>
    <w:rsid w:val="0004369B"/>
    <w:rsid w:val="00043726"/>
    <w:rsid w:val="0004381F"/>
    <w:rsid w:val="000438F0"/>
    <w:rsid w:val="0004392C"/>
    <w:rsid w:val="000439D2"/>
    <w:rsid w:val="00043BB4"/>
    <w:rsid w:val="00043EAB"/>
    <w:rsid w:val="00044169"/>
    <w:rsid w:val="000443F1"/>
    <w:rsid w:val="000443FB"/>
    <w:rsid w:val="000445F3"/>
    <w:rsid w:val="00044748"/>
    <w:rsid w:val="000447BE"/>
    <w:rsid w:val="00044B43"/>
    <w:rsid w:val="00044BFF"/>
    <w:rsid w:val="00045058"/>
    <w:rsid w:val="0004525B"/>
    <w:rsid w:val="000453BA"/>
    <w:rsid w:val="000458E3"/>
    <w:rsid w:val="00045ABC"/>
    <w:rsid w:val="00045AD9"/>
    <w:rsid w:val="00045BF6"/>
    <w:rsid w:val="00045EE6"/>
    <w:rsid w:val="00045FDA"/>
    <w:rsid w:val="000460E9"/>
    <w:rsid w:val="00046164"/>
    <w:rsid w:val="0004616D"/>
    <w:rsid w:val="0004673D"/>
    <w:rsid w:val="00046777"/>
    <w:rsid w:val="000467CC"/>
    <w:rsid w:val="000469E9"/>
    <w:rsid w:val="00047099"/>
    <w:rsid w:val="000470CF"/>
    <w:rsid w:val="0004754C"/>
    <w:rsid w:val="000476FB"/>
    <w:rsid w:val="000478D0"/>
    <w:rsid w:val="00047A7D"/>
    <w:rsid w:val="00047EFE"/>
    <w:rsid w:val="00047F43"/>
    <w:rsid w:val="0005020A"/>
    <w:rsid w:val="0005043B"/>
    <w:rsid w:val="00050476"/>
    <w:rsid w:val="0005047E"/>
    <w:rsid w:val="00050521"/>
    <w:rsid w:val="00050759"/>
    <w:rsid w:val="00050928"/>
    <w:rsid w:val="00050C1D"/>
    <w:rsid w:val="00050DBE"/>
    <w:rsid w:val="00050DC7"/>
    <w:rsid w:val="00050FCB"/>
    <w:rsid w:val="00051023"/>
    <w:rsid w:val="0005105E"/>
    <w:rsid w:val="0005154B"/>
    <w:rsid w:val="000516F3"/>
    <w:rsid w:val="00051CBE"/>
    <w:rsid w:val="00051DE8"/>
    <w:rsid w:val="00051DF3"/>
    <w:rsid w:val="00051E76"/>
    <w:rsid w:val="00051ECC"/>
    <w:rsid w:val="00051EEE"/>
    <w:rsid w:val="00051F59"/>
    <w:rsid w:val="000520D1"/>
    <w:rsid w:val="00052263"/>
    <w:rsid w:val="0005230B"/>
    <w:rsid w:val="00052374"/>
    <w:rsid w:val="000523D5"/>
    <w:rsid w:val="0005251E"/>
    <w:rsid w:val="000527C4"/>
    <w:rsid w:val="000528E9"/>
    <w:rsid w:val="00052A98"/>
    <w:rsid w:val="00052BE7"/>
    <w:rsid w:val="00052CC5"/>
    <w:rsid w:val="00052EA5"/>
    <w:rsid w:val="0005317A"/>
    <w:rsid w:val="00053322"/>
    <w:rsid w:val="00053404"/>
    <w:rsid w:val="000537DD"/>
    <w:rsid w:val="000538C2"/>
    <w:rsid w:val="00053F4C"/>
    <w:rsid w:val="00054025"/>
    <w:rsid w:val="000542CF"/>
    <w:rsid w:val="00054337"/>
    <w:rsid w:val="00054547"/>
    <w:rsid w:val="00054812"/>
    <w:rsid w:val="00054B10"/>
    <w:rsid w:val="00054D12"/>
    <w:rsid w:val="00054D96"/>
    <w:rsid w:val="0005518A"/>
    <w:rsid w:val="0005522A"/>
    <w:rsid w:val="000554C8"/>
    <w:rsid w:val="0005599E"/>
    <w:rsid w:val="0005604C"/>
    <w:rsid w:val="00056291"/>
    <w:rsid w:val="000565DB"/>
    <w:rsid w:val="000567D1"/>
    <w:rsid w:val="00056897"/>
    <w:rsid w:val="000568B4"/>
    <w:rsid w:val="00056AEE"/>
    <w:rsid w:val="00056BA2"/>
    <w:rsid w:val="00056DEF"/>
    <w:rsid w:val="0005700B"/>
    <w:rsid w:val="00057014"/>
    <w:rsid w:val="000572BD"/>
    <w:rsid w:val="00057392"/>
    <w:rsid w:val="000574D4"/>
    <w:rsid w:val="000578DA"/>
    <w:rsid w:val="00057B74"/>
    <w:rsid w:val="00057BAA"/>
    <w:rsid w:val="00057BB7"/>
    <w:rsid w:val="00057D06"/>
    <w:rsid w:val="00057D36"/>
    <w:rsid w:val="00057D4D"/>
    <w:rsid w:val="00057F10"/>
    <w:rsid w:val="000600F0"/>
    <w:rsid w:val="00060235"/>
    <w:rsid w:val="00060708"/>
    <w:rsid w:val="00060A2A"/>
    <w:rsid w:val="00060F84"/>
    <w:rsid w:val="0006120B"/>
    <w:rsid w:val="00061285"/>
    <w:rsid w:val="000612E5"/>
    <w:rsid w:val="00061CCB"/>
    <w:rsid w:val="00061D01"/>
    <w:rsid w:val="00061E06"/>
    <w:rsid w:val="00061EF4"/>
    <w:rsid w:val="00061F27"/>
    <w:rsid w:val="00062042"/>
    <w:rsid w:val="000621E0"/>
    <w:rsid w:val="0006222E"/>
    <w:rsid w:val="0006223E"/>
    <w:rsid w:val="000623BF"/>
    <w:rsid w:val="00062976"/>
    <w:rsid w:val="00062978"/>
    <w:rsid w:val="000629A6"/>
    <w:rsid w:val="00062B02"/>
    <w:rsid w:val="00062BFD"/>
    <w:rsid w:val="00062CCB"/>
    <w:rsid w:val="00062E7B"/>
    <w:rsid w:val="0006306B"/>
    <w:rsid w:val="000631E4"/>
    <w:rsid w:val="00063295"/>
    <w:rsid w:val="0006354F"/>
    <w:rsid w:val="000635DC"/>
    <w:rsid w:val="000636F2"/>
    <w:rsid w:val="00063843"/>
    <w:rsid w:val="000639D8"/>
    <w:rsid w:val="00063B97"/>
    <w:rsid w:val="00063EC5"/>
    <w:rsid w:val="00064008"/>
    <w:rsid w:val="000646C7"/>
    <w:rsid w:val="00064913"/>
    <w:rsid w:val="00064C4A"/>
    <w:rsid w:val="00064C85"/>
    <w:rsid w:val="00064CE2"/>
    <w:rsid w:val="00064DB4"/>
    <w:rsid w:val="00064DD9"/>
    <w:rsid w:val="00064EAB"/>
    <w:rsid w:val="00065078"/>
    <w:rsid w:val="000652D9"/>
    <w:rsid w:val="00065684"/>
    <w:rsid w:val="00065AAF"/>
    <w:rsid w:val="00065B29"/>
    <w:rsid w:val="00065B7B"/>
    <w:rsid w:val="00065BF1"/>
    <w:rsid w:val="00065C30"/>
    <w:rsid w:val="00066103"/>
    <w:rsid w:val="00066268"/>
    <w:rsid w:val="000664FC"/>
    <w:rsid w:val="000667F9"/>
    <w:rsid w:val="00066AB7"/>
    <w:rsid w:val="00066B3D"/>
    <w:rsid w:val="00066B88"/>
    <w:rsid w:val="00066BA4"/>
    <w:rsid w:val="00066C41"/>
    <w:rsid w:val="00066DFB"/>
    <w:rsid w:val="00066EEA"/>
    <w:rsid w:val="00067479"/>
    <w:rsid w:val="0006748E"/>
    <w:rsid w:val="0006750E"/>
    <w:rsid w:val="0006761F"/>
    <w:rsid w:val="000676ED"/>
    <w:rsid w:val="00067798"/>
    <w:rsid w:val="000677A7"/>
    <w:rsid w:val="00067948"/>
    <w:rsid w:val="00067A1D"/>
    <w:rsid w:val="00067A2C"/>
    <w:rsid w:val="00067AF6"/>
    <w:rsid w:val="00067B8F"/>
    <w:rsid w:val="00067BD0"/>
    <w:rsid w:val="00067F90"/>
    <w:rsid w:val="000703BA"/>
    <w:rsid w:val="000708E6"/>
    <w:rsid w:val="00070984"/>
    <w:rsid w:val="000709D5"/>
    <w:rsid w:val="0007112A"/>
    <w:rsid w:val="000718CA"/>
    <w:rsid w:val="000718F9"/>
    <w:rsid w:val="0007198E"/>
    <w:rsid w:val="00071BF2"/>
    <w:rsid w:val="00071C3C"/>
    <w:rsid w:val="00071C6F"/>
    <w:rsid w:val="00071DD4"/>
    <w:rsid w:val="00071E16"/>
    <w:rsid w:val="00071F79"/>
    <w:rsid w:val="00071F91"/>
    <w:rsid w:val="00071FF8"/>
    <w:rsid w:val="00072234"/>
    <w:rsid w:val="00072336"/>
    <w:rsid w:val="00072337"/>
    <w:rsid w:val="000723A4"/>
    <w:rsid w:val="000725AE"/>
    <w:rsid w:val="00072704"/>
    <w:rsid w:val="0007295B"/>
    <w:rsid w:val="00072C90"/>
    <w:rsid w:val="00072D26"/>
    <w:rsid w:val="00072EC8"/>
    <w:rsid w:val="000730D3"/>
    <w:rsid w:val="00073184"/>
    <w:rsid w:val="000731AD"/>
    <w:rsid w:val="00073376"/>
    <w:rsid w:val="00073420"/>
    <w:rsid w:val="000735D4"/>
    <w:rsid w:val="000736D7"/>
    <w:rsid w:val="00073859"/>
    <w:rsid w:val="00073B47"/>
    <w:rsid w:val="00073C20"/>
    <w:rsid w:val="00074015"/>
    <w:rsid w:val="00074220"/>
    <w:rsid w:val="00074246"/>
    <w:rsid w:val="00074440"/>
    <w:rsid w:val="00074661"/>
    <w:rsid w:val="000747E1"/>
    <w:rsid w:val="00074DD1"/>
    <w:rsid w:val="0007517B"/>
    <w:rsid w:val="000751A8"/>
    <w:rsid w:val="000751B4"/>
    <w:rsid w:val="0007520D"/>
    <w:rsid w:val="00075374"/>
    <w:rsid w:val="000756BA"/>
    <w:rsid w:val="00075870"/>
    <w:rsid w:val="000758BB"/>
    <w:rsid w:val="00075A4B"/>
    <w:rsid w:val="00075B9D"/>
    <w:rsid w:val="00075BEC"/>
    <w:rsid w:val="00075F41"/>
    <w:rsid w:val="00076059"/>
    <w:rsid w:val="00076583"/>
    <w:rsid w:val="00076652"/>
    <w:rsid w:val="00076787"/>
    <w:rsid w:val="00076796"/>
    <w:rsid w:val="00076AC5"/>
    <w:rsid w:val="00076BF7"/>
    <w:rsid w:val="00076C40"/>
    <w:rsid w:val="00076C41"/>
    <w:rsid w:val="00076E2B"/>
    <w:rsid w:val="00076FAC"/>
    <w:rsid w:val="00076FFA"/>
    <w:rsid w:val="000770C3"/>
    <w:rsid w:val="000772BC"/>
    <w:rsid w:val="000775BB"/>
    <w:rsid w:val="0007761B"/>
    <w:rsid w:val="000777F1"/>
    <w:rsid w:val="00077937"/>
    <w:rsid w:val="0007797B"/>
    <w:rsid w:val="00080381"/>
    <w:rsid w:val="00080443"/>
    <w:rsid w:val="000806DD"/>
    <w:rsid w:val="00080705"/>
    <w:rsid w:val="00080790"/>
    <w:rsid w:val="000807D6"/>
    <w:rsid w:val="00080942"/>
    <w:rsid w:val="00080A27"/>
    <w:rsid w:val="00080CA4"/>
    <w:rsid w:val="00080F4E"/>
    <w:rsid w:val="00081316"/>
    <w:rsid w:val="00081362"/>
    <w:rsid w:val="00081387"/>
    <w:rsid w:val="000813AF"/>
    <w:rsid w:val="00081498"/>
    <w:rsid w:val="000816CA"/>
    <w:rsid w:val="00081777"/>
    <w:rsid w:val="000817A3"/>
    <w:rsid w:val="00081826"/>
    <w:rsid w:val="00081BE4"/>
    <w:rsid w:val="00081D57"/>
    <w:rsid w:val="00081D67"/>
    <w:rsid w:val="00082200"/>
    <w:rsid w:val="00082498"/>
    <w:rsid w:val="0008281F"/>
    <w:rsid w:val="00082ACD"/>
    <w:rsid w:val="00082AEA"/>
    <w:rsid w:val="00082C25"/>
    <w:rsid w:val="00082DC4"/>
    <w:rsid w:val="00082F5F"/>
    <w:rsid w:val="0008310A"/>
    <w:rsid w:val="000834BE"/>
    <w:rsid w:val="00083B40"/>
    <w:rsid w:val="00083C15"/>
    <w:rsid w:val="00083C24"/>
    <w:rsid w:val="00083EBC"/>
    <w:rsid w:val="00083F01"/>
    <w:rsid w:val="00083F81"/>
    <w:rsid w:val="00083F90"/>
    <w:rsid w:val="0008459A"/>
    <w:rsid w:val="0008478F"/>
    <w:rsid w:val="00084C18"/>
    <w:rsid w:val="00084F46"/>
    <w:rsid w:val="00084FDC"/>
    <w:rsid w:val="000850ED"/>
    <w:rsid w:val="0008526E"/>
    <w:rsid w:val="000853FB"/>
    <w:rsid w:val="00085583"/>
    <w:rsid w:val="000855C3"/>
    <w:rsid w:val="000855F2"/>
    <w:rsid w:val="00085ACC"/>
    <w:rsid w:val="00085B40"/>
    <w:rsid w:val="00085BCA"/>
    <w:rsid w:val="00085C2B"/>
    <w:rsid w:val="00085FE6"/>
    <w:rsid w:val="00086215"/>
    <w:rsid w:val="0008626D"/>
    <w:rsid w:val="00086593"/>
    <w:rsid w:val="000866BB"/>
    <w:rsid w:val="00086705"/>
    <w:rsid w:val="00086AA3"/>
    <w:rsid w:val="00086AB9"/>
    <w:rsid w:val="00086E77"/>
    <w:rsid w:val="000871E2"/>
    <w:rsid w:val="00087406"/>
    <w:rsid w:val="00087505"/>
    <w:rsid w:val="00087705"/>
    <w:rsid w:val="00087826"/>
    <w:rsid w:val="00087ECE"/>
    <w:rsid w:val="00087F10"/>
    <w:rsid w:val="000901AD"/>
    <w:rsid w:val="0009061D"/>
    <w:rsid w:val="00090818"/>
    <w:rsid w:val="00090A17"/>
    <w:rsid w:val="000914B4"/>
    <w:rsid w:val="0009151F"/>
    <w:rsid w:val="0009167C"/>
    <w:rsid w:val="000916CA"/>
    <w:rsid w:val="000917F3"/>
    <w:rsid w:val="0009186C"/>
    <w:rsid w:val="00091A11"/>
    <w:rsid w:val="000920CC"/>
    <w:rsid w:val="00092392"/>
    <w:rsid w:val="000927B5"/>
    <w:rsid w:val="000927B6"/>
    <w:rsid w:val="00092876"/>
    <w:rsid w:val="00092AEC"/>
    <w:rsid w:val="00092D98"/>
    <w:rsid w:val="00092F24"/>
    <w:rsid w:val="00092FB9"/>
    <w:rsid w:val="0009304F"/>
    <w:rsid w:val="000930E7"/>
    <w:rsid w:val="00093117"/>
    <w:rsid w:val="0009318F"/>
    <w:rsid w:val="00093261"/>
    <w:rsid w:val="000933D3"/>
    <w:rsid w:val="000933E3"/>
    <w:rsid w:val="0009346B"/>
    <w:rsid w:val="000936C2"/>
    <w:rsid w:val="00093791"/>
    <w:rsid w:val="000939EB"/>
    <w:rsid w:val="00093AE1"/>
    <w:rsid w:val="00093B4E"/>
    <w:rsid w:val="00093D75"/>
    <w:rsid w:val="000941E9"/>
    <w:rsid w:val="0009456A"/>
    <w:rsid w:val="00094593"/>
    <w:rsid w:val="00094671"/>
    <w:rsid w:val="00094815"/>
    <w:rsid w:val="00094A7D"/>
    <w:rsid w:val="00094C47"/>
    <w:rsid w:val="000952AF"/>
    <w:rsid w:val="0009537E"/>
    <w:rsid w:val="0009548A"/>
    <w:rsid w:val="000957EC"/>
    <w:rsid w:val="00095AC8"/>
    <w:rsid w:val="00095BE0"/>
    <w:rsid w:val="00095E11"/>
    <w:rsid w:val="00095F04"/>
    <w:rsid w:val="00095F65"/>
    <w:rsid w:val="00095F85"/>
    <w:rsid w:val="00096070"/>
    <w:rsid w:val="000960FA"/>
    <w:rsid w:val="000962D1"/>
    <w:rsid w:val="00096415"/>
    <w:rsid w:val="000969DF"/>
    <w:rsid w:val="00096BBA"/>
    <w:rsid w:val="00096CB9"/>
    <w:rsid w:val="00096D39"/>
    <w:rsid w:val="00096D4F"/>
    <w:rsid w:val="00096E3E"/>
    <w:rsid w:val="00096E41"/>
    <w:rsid w:val="000976B6"/>
    <w:rsid w:val="000977A0"/>
    <w:rsid w:val="000978A8"/>
    <w:rsid w:val="00097CEB"/>
    <w:rsid w:val="00097D5A"/>
    <w:rsid w:val="00097DBD"/>
    <w:rsid w:val="00097DDC"/>
    <w:rsid w:val="000A01D3"/>
    <w:rsid w:val="000A04F4"/>
    <w:rsid w:val="000A094A"/>
    <w:rsid w:val="000A0ACC"/>
    <w:rsid w:val="000A0D31"/>
    <w:rsid w:val="000A1208"/>
    <w:rsid w:val="000A12F7"/>
    <w:rsid w:val="000A13AA"/>
    <w:rsid w:val="000A13DB"/>
    <w:rsid w:val="000A1458"/>
    <w:rsid w:val="000A145A"/>
    <w:rsid w:val="000A1554"/>
    <w:rsid w:val="000A176E"/>
    <w:rsid w:val="000A1832"/>
    <w:rsid w:val="000A1B66"/>
    <w:rsid w:val="000A1DEB"/>
    <w:rsid w:val="000A1F17"/>
    <w:rsid w:val="000A20D9"/>
    <w:rsid w:val="000A218D"/>
    <w:rsid w:val="000A21EE"/>
    <w:rsid w:val="000A238F"/>
    <w:rsid w:val="000A253D"/>
    <w:rsid w:val="000A2577"/>
    <w:rsid w:val="000A2699"/>
    <w:rsid w:val="000A2789"/>
    <w:rsid w:val="000A28D2"/>
    <w:rsid w:val="000A2BFB"/>
    <w:rsid w:val="000A2C36"/>
    <w:rsid w:val="000A2CE8"/>
    <w:rsid w:val="000A2F99"/>
    <w:rsid w:val="000A2FA6"/>
    <w:rsid w:val="000A3065"/>
    <w:rsid w:val="000A3414"/>
    <w:rsid w:val="000A341A"/>
    <w:rsid w:val="000A3530"/>
    <w:rsid w:val="000A358E"/>
    <w:rsid w:val="000A3607"/>
    <w:rsid w:val="000A3D72"/>
    <w:rsid w:val="000A3E0B"/>
    <w:rsid w:val="000A4386"/>
    <w:rsid w:val="000A43A5"/>
    <w:rsid w:val="000A4527"/>
    <w:rsid w:val="000A47D6"/>
    <w:rsid w:val="000A48A2"/>
    <w:rsid w:val="000A48AB"/>
    <w:rsid w:val="000A4904"/>
    <w:rsid w:val="000A4AB4"/>
    <w:rsid w:val="000A4BD5"/>
    <w:rsid w:val="000A4C97"/>
    <w:rsid w:val="000A503E"/>
    <w:rsid w:val="000A50C3"/>
    <w:rsid w:val="000A5828"/>
    <w:rsid w:val="000A5948"/>
    <w:rsid w:val="000A5A63"/>
    <w:rsid w:val="000A5BF2"/>
    <w:rsid w:val="000A5C0C"/>
    <w:rsid w:val="000A5C73"/>
    <w:rsid w:val="000A5D91"/>
    <w:rsid w:val="000A5EF3"/>
    <w:rsid w:val="000A5F49"/>
    <w:rsid w:val="000A610C"/>
    <w:rsid w:val="000A64CA"/>
    <w:rsid w:val="000A65E8"/>
    <w:rsid w:val="000A6759"/>
    <w:rsid w:val="000A6867"/>
    <w:rsid w:val="000A68C5"/>
    <w:rsid w:val="000A69E3"/>
    <w:rsid w:val="000A6C53"/>
    <w:rsid w:val="000A6CCF"/>
    <w:rsid w:val="000A6E95"/>
    <w:rsid w:val="000A6EBF"/>
    <w:rsid w:val="000A7058"/>
    <w:rsid w:val="000A728C"/>
    <w:rsid w:val="000A72A9"/>
    <w:rsid w:val="000A7411"/>
    <w:rsid w:val="000A7510"/>
    <w:rsid w:val="000A754D"/>
    <w:rsid w:val="000A7623"/>
    <w:rsid w:val="000A7B94"/>
    <w:rsid w:val="000A7CA0"/>
    <w:rsid w:val="000A7E00"/>
    <w:rsid w:val="000A7EDA"/>
    <w:rsid w:val="000A7F1E"/>
    <w:rsid w:val="000A7F2D"/>
    <w:rsid w:val="000B005E"/>
    <w:rsid w:val="000B020B"/>
    <w:rsid w:val="000B053E"/>
    <w:rsid w:val="000B0655"/>
    <w:rsid w:val="000B075F"/>
    <w:rsid w:val="000B0A6A"/>
    <w:rsid w:val="000B0EC9"/>
    <w:rsid w:val="000B0F33"/>
    <w:rsid w:val="000B1720"/>
    <w:rsid w:val="000B17F5"/>
    <w:rsid w:val="000B199F"/>
    <w:rsid w:val="000B19BF"/>
    <w:rsid w:val="000B1A9D"/>
    <w:rsid w:val="000B1B6D"/>
    <w:rsid w:val="000B1C24"/>
    <w:rsid w:val="000B1D50"/>
    <w:rsid w:val="000B212F"/>
    <w:rsid w:val="000B230B"/>
    <w:rsid w:val="000B24F0"/>
    <w:rsid w:val="000B2590"/>
    <w:rsid w:val="000B26A1"/>
    <w:rsid w:val="000B2A5F"/>
    <w:rsid w:val="000B2FD5"/>
    <w:rsid w:val="000B308C"/>
    <w:rsid w:val="000B30B5"/>
    <w:rsid w:val="000B30E0"/>
    <w:rsid w:val="000B324B"/>
    <w:rsid w:val="000B33E7"/>
    <w:rsid w:val="000B3B2A"/>
    <w:rsid w:val="000B3BFB"/>
    <w:rsid w:val="000B3CDC"/>
    <w:rsid w:val="000B3F89"/>
    <w:rsid w:val="000B4150"/>
    <w:rsid w:val="000B4187"/>
    <w:rsid w:val="000B42D6"/>
    <w:rsid w:val="000B4345"/>
    <w:rsid w:val="000B4560"/>
    <w:rsid w:val="000B48F2"/>
    <w:rsid w:val="000B4F12"/>
    <w:rsid w:val="000B4F2A"/>
    <w:rsid w:val="000B5171"/>
    <w:rsid w:val="000B5779"/>
    <w:rsid w:val="000B5B49"/>
    <w:rsid w:val="000B5BCB"/>
    <w:rsid w:val="000B5D1E"/>
    <w:rsid w:val="000B5F59"/>
    <w:rsid w:val="000B5F8B"/>
    <w:rsid w:val="000B61B4"/>
    <w:rsid w:val="000B6324"/>
    <w:rsid w:val="000B6910"/>
    <w:rsid w:val="000B6B5C"/>
    <w:rsid w:val="000B6C44"/>
    <w:rsid w:val="000B6F3C"/>
    <w:rsid w:val="000B6FEB"/>
    <w:rsid w:val="000B701E"/>
    <w:rsid w:val="000B710E"/>
    <w:rsid w:val="000B71D3"/>
    <w:rsid w:val="000B78BE"/>
    <w:rsid w:val="000B7F48"/>
    <w:rsid w:val="000C0337"/>
    <w:rsid w:val="000C039C"/>
    <w:rsid w:val="000C05F0"/>
    <w:rsid w:val="000C0663"/>
    <w:rsid w:val="000C0BA2"/>
    <w:rsid w:val="000C0CC2"/>
    <w:rsid w:val="000C1191"/>
    <w:rsid w:val="000C12D2"/>
    <w:rsid w:val="000C1374"/>
    <w:rsid w:val="000C16A7"/>
    <w:rsid w:val="000C16F2"/>
    <w:rsid w:val="000C18B7"/>
    <w:rsid w:val="000C1AD1"/>
    <w:rsid w:val="000C1CCD"/>
    <w:rsid w:val="000C1EB7"/>
    <w:rsid w:val="000C1F00"/>
    <w:rsid w:val="000C21BC"/>
    <w:rsid w:val="000C236E"/>
    <w:rsid w:val="000C24A9"/>
    <w:rsid w:val="000C26AE"/>
    <w:rsid w:val="000C27EF"/>
    <w:rsid w:val="000C28CA"/>
    <w:rsid w:val="000C2ADD"/>
    <w:rsid w:val="000C2BE5"/>
    <w:rsid w:val="000C2DE1"/>
    <w:rsid w:val="000C2F56"/>
    <w:rsid w:val="000C2FBD"/>
    <w:rsid w:val="000C347B"/>
    <w:rsid w:val="000C374C"/>
    <w:rsid w:val="000C38F8"/>
    <w:rsid w:val="000C3921"/>
    <w:rsid w:val="000C3931"/>
    <w:rsid w:val="000C39E4"/>
    <w:rsid w:val="000C3AB5"/>
    <w:rsid w:val="000C3ABE"/>
    <w:rsid w:val="000C3B76"/>
    <w:rsid w:val="000C4246"/>
    <w:rsid w:val="000C42CE"/>
    <w:rsid w:val="000C4567"/>
    <w:rsid w:val="000C48C1"/>
    <w:rsid w:val="000C49FF"/>
    <w:rsid w:val="000C4B33"/>
    <w:rsid w:val="000C4C57"/>
    <w:rsid w:val="000C4FA5"/>
    <w:rsid w:val="000C5114"/>
    <w:rsid w:val="000C5135"/>
    <w:rsid w:val="000C54B2"/>
    <w:rsid w:val="000C57E8"/>
    <w:rsid w:val="000C5918"/>
    <w:rsid w:val="000C5DC7"/>
    <w:rsid w:val="000C6053"/>
    <w:rsid w:val="000C63D4"/>
    <w:rsid w:val="000C657F"/>
    <w:rsid w:val="000C684C"/>
    <w:rsid w:val="000C69B5"/>
    <w:rsid w:val="000C70D0"/>
    <w:rsid w:val="000C71A2"/>
    <w:rsid w:val="000C71E1"/>
    <w:rsid w:val="000C7466"/>
    <w:rsid w:val="000C74B1"/>
    <w:rsid w:val="000C7AC3"/>
    <w:rsid w:val="000C7B87"/>
    <w:rsid w:val="000C7DD2"/>
    <w:rsid w:val="000C7E64"/>
    <w:rsid w:val="000C7E6E"/>
    <w:rsid w:val="000C7ED4"/>
    <w:rsid w:val="000C7F77"/>
    <w:rsid w:val="000D02BC"/>
    <w:rsid w:val="000D04EA"/>
    <w:rsid w:val="000D05F5"/>
    <w:rsid w:val="000D08A0"/>
    <w:rsid w:val="000D096F"/>
    <w:rsid w:val="000D097F"/>
    <w:rsid w:val="000D0B55"/>
    <w:rsid w:val="000D0E54"/>
    <w:rsid w:val="000D0E91"/>
    <w:rsid w:val="000D0F37"/>
    <w:rsid w:val="000D1640"/>
    <w:rsid w:val="000D1785"/>
    <w:rsid w:val="000D1861"/>
    <w:rsid w:val="000D18F7"/>
    <w:rsid w:val="000D1B62"/>
    <w:rsid w:val="000D1C29"/>
    <w:rsid w:val="000D1C6B"/>
    <w:rsid w:val="000D1FAE"/>
    <w:rsid w:val="000D2032"/>
    <w:rsid w:val="000D22F0"/>
    <w:rsid w:val="000D2514"/>
    <w:rsid w:val="000D2588"/>
    <w:rsid w:val="000D26EC"/>
    <w:rsid w:val="000D26ED"/>
    <w:rsid w:val="000D2E5D"/>
    <w:rsid w:val="000D2EBD"/>
    <w:rsid w:val="000D2F10"/>
    <w:rsid w:val="000D315C"/>
    <w:rsid w:val="000D3218"/>
    <w:rsid w:val="000D3285"/>
    <w:rsid w:val="000D32A5"/>
    <w:rsid w:val="000D33BF"/>
    <w:rsid w:val="000D33CC"/>
    <w:rsid w:val="000D341B"/>
    <w:rsid w:val="000D3452"/>
    <w:rsid w:val="000D34DA"/>
    <w:rsid w:val="000D3A08"/>
    <w:rsid w:val="000D3AEA"/>
    <w:rsid w:val="000D3C99"/>
    <w:rsid w:val="000D3D37"/>
    <w:rsid w:val="000D3D86"/>
    <w:rsid w:val="000D3F5C"/>
    <w:rsid w:val="000D4135"/>
    <w:rsid w:val="000D41DE"/>
    <w:rsid w:val="000D45AC"/>
    <w:rsid w:val="000D4819"/>
    <w:rsid w:val="000D4D47"/>
    <w:rsid w:val="000D4EC1"/>
    <w:rsid w:val="000D540C"/>
    <w:rsid w:val="000D5512"/>
    <w:rsid w:val="000D5665"/>
    <w:rsid w:val="000D57DD"/>
    <w:rsid w:val="000D586B"/>
    <w:rsid w:val="000D5902"/>
    <w:rsid w:val="000D596F"/>
    <w:rsid w:val="000D5A2B"/>
    <w:rsid w:val="000D5D4C"/>
    <w:rsid w:val="000D5DE6"/>
    <w:rsid w:val="000D5FCE"/>
    <w:rsid w:val="000D60F4"/>
    <w:rsid w:val="000D616B"/>
    <w:rsid w:val="000D6745"/>
    <w:rsid w:val="000D6993"/>
    <w:rsid w:val="000D6BAC"/>
    <w:rsid w:val="000D6CA5"/>
    <w:rsid w:val="000D6CB1"/>
    <w:rsid w:val="000D6E0B"/>
    <w:rsid w:val="000D6ED7"/>
    <w:rsid w:val="000D7727"/>
    <w:rsid w:val="000D784E"/>
    <w:rsid w:val="000D797F"/>
    <w:rsid w:val="000D7B0A"/>
    <w:rsid w:val="000D7CD8"/>
    <w:rsid w:val="000D7DF3"/>
    <w:rsid w:val="000E02E9"/>
    <w:rsid w:val="000E052A"/>
    <w:rsid w:val="000E054D"/>
    <w:rsid w:val="000E05B6"/>
    <w:rsid w:val="000E0878"/>
    <w:rsid w:val="000E0B51"/>
    <w:rsid w:val="000E10DD"/>
    <w:rsid w:val="000E117A"/>
    <w:rsid w:val="000E123B"/>
    <w:rsid w:val="000E1323"/>
    <w:rsid w:val="000E135C"/>
    <w:rsid w:val="000E1472"/>
    <w:rsid w:val="000E15D0"/>
    <w:rsid w:val="000E16D2"/>
    <w:rsid w:val="000E1774"/>
    <w:rsid w:val="000E18EB"/>
    <w:rsid w:val="000E1D19"/>
    <w:rsid w:val="000E1E23"/>
    <w:rsid w:val="000E1F10"/>
    <w:rsid w:val="000E1FA3"/>
    <w:rsid w:val="000E2439"/>
    <w:rsid w:val="000E24FC"/>
    <w:rsid w:val="000E25B9"/>
    <w:rsid w:val="000E25D1"/>
    <w:rsid w:val="000E267D"/>
    <w:rsid w:val="000E26C7"/>
    <w:rsid w:val="000E2906"/>
    <w:rsid w:val="000E2A82"/>
    <w:rsid w:val="000E2BEB"/>
    <w:rsid w:val="000E2D38"/>
    <w:rsid w:val="000E301F"/>
    <w:rsid w:val="000E31F2"/>
    <w:rsid w:val="000E3871"/>
    <w:rsid w:val="000E38BA"/>
    <w:rsid w:val="000E3906"/>
    <w:rsid w:val="000E3F20"/>
    <w:rsid w:val="000E3F7F"/>
    <w:rsid w:val="000E427F"/>
    <w:rsid w:val="000E4320"/>
    <w:rsid w:val="000E434F"/>
    <w:rsid w:val="000E43F6"/>
    <w:rsid w:val="000E44C4"/>
    <w:rsid w:val="000E486D"/>
    <w:rsid w:val="000E4882"/>
    <w:rsid w:val="000E4A7F"/>
    <w:rsid w:val="000E4B61"/>
    <w:rsid w:val="000E4CCF"/>
    <w:rsid w:val="000E4F15"/>
    <w:rsid w:val="000E50B9"/>
    <w:rsid w:val="000E5231"/>
    <w:rsid w:val="000E55C0"/>
    <w:rsid w:val="000E5D85"/>
    <w:rsid w:val="000E5F52"/>
    <w:rsid w:val="000E5F59"/>
    <w:rsid w:val="000E5FD1"/>
    <w:rsid w:val="000E5FF8"/>
    <w:rsid w:val="000E6299"/>
    <w:rsid w:val="000E6387"/>
    <w:rsid w:val="000E6426"/>
    <w:rsid w:val="000E6437"/>
    <w:rsid w:val="000E65EC"/>
    <w:rsid w:val="000E6614"/>
    <w:rsid w:val="000E67CF"/>
    <w:rsid w:val="000E6845"/>
    <w:rsid w:val="000E6996"/>
    <w:rsid w:val="000E6A7B"/>
    <w:rsid w:val="000E6AFE"/>
    <w:rsid w:val="000E6BF6"/>
    <w:rsid w:val="000E6CBA"/>
    <w:rsid w:val="000E6CC9"/>
    <w:rsid w:val="000E7042"/>
    <w:rsid w:val="000E71F6"/>
    <w:rsid w:val="000E727A"/>
    <w:rsid w:val="000E72A8"/>
    <w:rsid w:val="000E789D"/>
    <w:rsid w:val="000E7921"/>
    <w:rsid w:val="000E7B51"/>
    <w:rsid w:val="000E7CFD"/>
    <w:rsid w:val="000E7EA6"/>
    <w:rsid w:val="000F01BC"/>
    <w:rsid w:val="000F0364"/>
    <w:rsid w:val="000F0415"/>
    <w:rsid w:val="000F04E4"/>
    <w:rsid w:val="000F0507"/>
    <w:rsid w:val="000F055F"/>
    <w:rsid w:val="000F07B4"/>
    <w:rsid w:val="000F083B"/>
    <w:rsid w:val="000F0968"/>
    <w:rsid w:val="000F0B92"/>
    <w:rsid w:val="000F0F33"/>
    <w:rsid w:val="000F12D6"/>
    <w:rsid w:val="000F134A"/>
    <w:rsid w:val="000F1665"/>
    <w:rsid w:val="000F17B1"/>
    <w:rsid w:val="000F1A8C"/>
    <w:rsid w:val="000F1ABF"/>
    <w:rsid w:val="000F1B4A"/>
    <w:rsid w:val="000F1B7E"/>
    <w:rsid w:val="000F1C49"/>
    <w:rsid w:val="000F1F81"/>
    <w:rsid w:val="000F23B5"/>
    <w:rsid w:val="000F2473"/>
    <w:rsid w:val="000F2704"/>
    <w:rsid w:val="000F2733"/>
    <w:rsid w:val="000F27DC"/>
    <w:rsid w:val="000F280B"/>
    <w:rsid w:val="000F28AC"/>
    <w:rsid w:val="000F28DC"/>
    <w:rsid w:val="000F2A5C"/>
    <w:rsid w:val="000F2B7E"/>
    <w:rsid w:val="000F2BFF"/>
    <w:rsid w:val="000F2D34"/>
    <w:rsid w:val="000F3088"/>
    <w:rsid w:val="000F3420"/>
    <w:rsid w:val="000F3774"/>
    <w:rsid w:val="000F3989"/>
    <w:rsid w:val="000F39AA"/>
    <w:rsid w:val="000F39B5"/>
    <w:rsid w:val="000F39F8"/>
    <w:rsid w:val="000F3A73"/>
    <w:rsid w:val="000F3C63"/>
    <w:rsid w:val="000F404D"/>
    <w:rsid w:val="000F4274"/>
    <w:rsid w:val="000F4381"/>
    <w:rsid w:val="000F48C2"/>
    <w:rsid w:val="000F4A90"/>
    <w:rsid w:val="000F4BA0"/>
    <w:rsid w:val="000F5083"/>
    <w:rsid w:val="000F51AD"/>
    <w:rsid w:val="000F525E"/>
    <w:rsid w:val="000F53BC"/>
    <w:rsid w:val="000F54B5"/>
    <w:rsid w:val="000F54F4"/>
    <w:rsid w:val="000F55C1"/>
    <w:rsid w:val="000F57C3"/>
    <w:rsid w:val="000F57C6"/>
    <w:rsid w:val="000F594E"/>
    <w:rsid w:val="000F5A72"/>
    <w:rsid w:val="000F5A77"/>
    <w:rsid w:val="000F5D45"/>
    <w:rsid w:val="000F5DCF"/>
    <w:rsid w:val="000F5FF7"/>
    <w:rsid w:val="000F625C"/>
    <w:rsid w:val="000F626A"/>
    <w:rsid w:val="000F6386"/>
    <w:rsid w:val="000F665D"/>
    <w:rsid w:val="000F676C"/>
    <w:rsid w:val="000F6AA8"/>
    <w:rsid w:val="000F6B58"/>
    <w:rsid w:val="000F6CBB"/>
    <w:rsid w:val="000F6D06"/>
    <w:rsid w:val="000F6DB6"/>
    <w:rsid w:val="000F6F21"/>
    <w:rsid w:val="000F70D1"/>
    <w:rsid w:val="000F75D2"/>
    <w:rsid w:val="000F766F"/>
    <w:rsid w:val="000F783E"/>
    <w:rsid w:val="000F7A0F"/>
    <w:rsid w:val="000F7CE2"/>
    <w:rsid w:val="000F7EA4"/>
    <w:rsid w:val="000F7FE7"/>
    <w:rsid w:val="001000A9"/>
    <w:rsid w:val="001001E4"/>
    <w:rsid w:val="001004E5"/>
    <w:rsid w:val="00100C04"/>
    <w:rsid w:val="00100CD8"/>
    <w:rsid w:val="00100D53"/>
    <w:rsid w:val="001013E6"/>
    <w:rsid w:val="001013EE"/>
    <w:rsid w:val="00101407"/>
    <w:rsid w:val="00101414"/>
    <w:rsid w:val="001015CF"/>
    <w:rsid w:val="001016A1"/>
    <w:rsid w:val="00101702"/>
    <w:rsid w:val="0010179C"/>
    <w:rsid w:val="00101BB0"/>
    <w:rsid w:val="00101F5D"/>
    <w:rsid w:val="00101F88"/>
    <w:rsid w:val="00101FBF"/>
    <w:rsid w:val="001020E0"/>
    <w:rsid w:val="001022E4"/>
    <w:rsid w:val="00102366"/>
    <w:rsid w:val="00102615"/>
    <w:rsid w:val="00102A8F"/>
    <w:rsid w:val="00102AC5"/>
    <w:rsid w:val="00103076"/>
    <w:rsid w:val="00103391"/>
    <w:rsid w:val="00103743"/>
    <w:rsid w:val="0010389E"/>
    <w:rsid w:val="001038A2"/>
    <w:rsid w:val="00103A40"/>
    <w:rsid w:val="00103BEC"/>
    <w:rsid w:val="00103EAF"/>
    <w:rsid w:val="001040BF"/>
    <w:rsid w:val="001040FA"/>
    <w:rsid w:val="001041E7"/>
    <w:rsid w:val="0010466D"/>
    <w:rsid w:val="001048C0"/>
    <w:rsid w:val="00104A6C"/>
    <w:rsid w:val="00104C23"/>
    <w:rsid w:val="00104D1D"/>
    <w:rsid w:val="0010547F"/>
    <w:rsid w:val="001055FD"/>
    <w:rsid w:val="0010563E"/>
    <w:rsid w:val="0010567C"/>
    <w:rsid w:val="00105732"/>
    <w:rsid w:val="00105B66"/>
    <w:rsid w:val="00105DD9"/>
    <w:rsid w:val="00106280"/>
    <w:rsid w:val="001062C2"/>
    <w:rsid w:val="001062CC"/>
    <w:rsid w:val="001065C5"/>
    <w:rsid w:val="00106662"/>
    <w:rsid w:val="00106A3F"/>
    <w:rsid w:val="00106DCE"/>
    <w:rsid w:val="00106EC1"/>
    <w:rsid w:val="00106F39"/>
    <w:rsid w:val="0010704F"/>
    <w:rsid w:val="001072B4"/>
    <w:rsid w:val="001072F9"/>
    <w:rsid w:val="00107614"/>
    <w:rsid w:val="001103E4"/>
    <w:rsid w:val="00110428"/>
    <w:rsid w:val="00110624"/>
    <w:rsid w:val="0011081E"/>
    <w:rsid w:val="00110C28"/>
    <w:rsid w:val="00110C7F"/>
    <w:rsid w:val="00110C91"/>
    <w:rsid w:val="00110E33"/>
    <w:rsid w:val="00111101"/>
    <w:rsid w:val="001111B1"/>
    <w:rsid w:val="001111E7"/>
    <w:rsid w:val="00111342"/>
    <w:rsid w:val="00111432"/>
    <w:rsid w:val="00111596"/>
    <w:rsid w:val="001116C1"/>
    <w:rsid w:val="00111A3F"/>
    <w:rsid w:val="00111F47"/>
    <w:rsid w:val="00112083"/>
    <w:rsid w:val="001120D5"/>
    <w:rsid w:val="00112322"/>
    <w:rsid w:val="0011243D"/>
    <w:rsid w:val="00112698"/>
    <w:rsid w:val="001126CF"/>
    <w:rsid w:val="00112877"/>
    <w:rsid w:val="001129B2"/>
    <w:rsid w:val="00112B0A"/>
    <w:rsid w:val="00112CBD"/>
    <w:rsid w:val="00112E0A"/>
    <w:rsid w:val="001132A3"/>
    <w:rsid w:val="0011335A"/>
    <w:rsid w:val="001134ED"/>
    <w:rsid w:val="0011359D"/>
    <w:rsid w:val="001135C7"/>
    <w:rsid w:val="001136EB"/>
    <w:rsid w:val="00113CEC"/>
    <w:rsid w:val="00113F24"/>
    <w:rsid w:val="00114022"/>
    <w:rsid w:val="0011406B"/>
    <w:rsid w:val="001141C8"/>
    <w:rsid w:val="001141FE"/>
    <w:rsid w:val="0011430A"/>
    <w:rsid w:val="001145F8"/>
    <w:rsid w:val="00114703"/>
    <w:rsid w:val="0011481C"/>
    <w:rsid w:val="00114B3F"/>
    <w:rsid w:val="00114BDF"/>
    <w:rsid w:val="00114BFF"/>
    <w:rsid w:val="00114C18"/>
    <w:rsid w:val="00114C8C"/>
    <w:rsid w:val="00114F90"/>
    <w:rsid w:val="00114FFF"/>
    <w:rsid w:val="0011500F"/>
    <w:rsid w:val="00115032"/>
    <w:rsid w:val="00115083"/>
    <w:rsid w:val="001150A2"/>
    <w:rsid w:val="0011528B"/>
    <w:rsid w:val="001152E2"/>
    <w:rsid w:val="00115305"/>
    <w:rsid w:val="00115310"/>
    <w:rsid w:val="001159C0"/>
    <w:rsid w:val="00115F38"/>
    <w:rsid w:val="001160B5"/>
    <w:rsid w:val="001160C7"/>
    <w:rsid w:val="001162F2"/>
    <w:rsid w:val="001164D0"/>
    <w:rsid w:val="001168BD"/>
    <w:rsid w:val="00116B3E"/>
    <w:rsid w:val="00116C78"/>
    <w:rsid w:val="00116DCF"/>
    <w:rsid w:val="00117273"/>
    <w:rsid w:val="0011743C"/>
    <w:rsid w:val="00117500"/>
    <w:rsid w:val="0011760E"/>
    <w:rsid w:val="001177DF"/>
    <w:rsid w:val="00117876"/>
    <w:rsid w:val="001179F2"/>
    <w:rsid w:val="00117BAD"/>
    <w:rsid w:val="00117D5C"/>
    <w:rsid w:val="00117EFD"/>
    <w:rsid w:val="00120033"/>
    <w:rsid w:val="00120268"/>
    <w:rsid w:val="00120825"/>
    <w:rsid w:val="00120A20"/>
    <w:rsid w:val="00120B33"/>
    <w:rsid w:val="00120D70"/>
    <w:rsid w:val="00120EBD"/>
    <w:rsid w:val="001213A8"/>
    <w:rsid w:val="00121482"/>
    <w:rsid w:val="00121A2B"/>
    <w:rsid w:val="00121ACD"/>
    <w:rsid w:val="00121ED6"/>
    <w:rsid w:val="00121EFB"/>
    <w:rsid w:val="00122275"/>
    <w:rsid w:val="00122365"/>
    <w:rsid w:val="001223FB"/>
    <w:rsid w:val="0012284C"/>
    <w:rsid w:val="00122881"/>
    <w:rsid w:val="00122A52"/>
    <w:rsid w:val="00122A9A"/>
    <w:rsid w:val="00122AB2"/>
    <w:rsid w:val="00122C2F"/>
    <w:rsid w:val="00122D81"/>
    <w:rsid w:val="00122DEC"/>
    <w:rsid w:val="00122F80"/>
    <w:rsid w:val="00122F9E"/>
    <w:rsid w:val="00123079"/>
    <w:rsid w:val="00123106"/>
    <w:rsid w:val="0012310B"/>
    <w:rsid w:val="0012329F"/>
    <w:rsid w:val="001236BB"/>
    <w:rsid w:val="001236C7"/>
    <w:rsid w:val="00123936"/>
    <w:rsid w:val="0012396A"/>
    <w:rsid w:val="00123A66"/>
    <w:rsid w:val="00123D78"/>
    <w:rsid w:val="00123DFA"/>
    <w:rsid w:val="00123E15"/>
    <w:rsid w:val="00124079"/>
    <w:rsid w:val="00124196"/>
    <w:rsid w:val="0012426B"/>
    <w:rsid w:val="001242DD"/>
    <w:rsid w:val="00124352"/>
    <w:rsid w:val="00124363"/>
    <w:rsid w:val="0012437A"/>
    <w:rsid w:val="001244CE"/>
    <w:rsid w:val="001244EB"/>
    <w:rsid w:val="00124920"/>
    <w:rsid w:val="00124A60"/>
    <w:rsid w:val="00124A68"/>
    <w:rsid w:val="00124AA8"/>
    <w:rsid w:val="00124B5A"/>
    <w:rsid w:val="00124BF6"/>
    <w:rsid w:val="00124D9E"/>
    <w:rsid w:val="001251B7"/>
    <w:rsid w:val="00125277"/>
    <w:rsid w:val="00125300"/>
    <w:rsid w:val="001254FC"/>
    <w:rsid w:val="001255DC"/>
    <w:rsid w:val="0012591C"/>
    <w:rsid w:val="001259CA"/>
    <w:rsid w:val="00125C36"/>
    <w:rsid w:val="00125C6A"/>
    <w:rsid w:val="001261DC"/>
    <w:rsid w:val="0012662E"/>
    <w:rsid w:val="0012670B"/>
    <w:rsid w:val="0012672E"/>
    <w:rsid w:val="001269AF"/>
    <w:rsid w:val="00126DD5"/>
    <w:rsid w:val="00126E72"/>
    <w:rsid w:val="001270B6"/>
    <w:rsid w:val="0012715E"/>
    <w:rsid w:val="00127371"/>
    <w:rsid w:val="001276E1"/>
    <w:rsid w:val="0012771C"/>
    <w:rsid w:val="00127ED2"/>
    <w:rsid w:val="001301CE"/>
    <w:rsid w:val="00130526"/>
    <w:rsid w:val="001306D6"/>
    <w:rsid w:val="0013087C"/>
    <w:rsid w:val="00130BFE"/>
    <w:rsid w:val="00131024"/>
    <w:rsid w:val="00131102"/>
    <w:rsid w:val="0013115D"/>
    <w:rsid w:val="00131173"/>
    <w:rsid w:val="001312EB"/>
    <w:rsid w:val="0013151A"/>
    <w:rsid w:val="00131544"/>
    <w:rsid w:val="00131B14"/>
    <w:rsid w:val="00131BBE"/>
    <w:rsid w:val="00131D46"/>
    <w:rsid w:val="00131E63"/>
    <w:rsid w:val="00131E99"/>
    <w:rsid w:val="00132110"/>
    <w:rsid w:val="00132372"/>
    <w:rsid w:val="00132640"/>
    <w:rsid w:val="00132747"/>
    <w:rsid w:val="00132C01"/>
    <w:rsid w:val="00132EEC"/>
    <w:rsid w:val="00132F4C"/>
    <w:rsid w:val="00132FF5"/>
    <w:rsid w:val="001330E1"/>
    <w:rsid w:val="00133187"/>
    <w:rsid w:val="0013330D"/>
    <w:rsid w:val="00133381"/>
    <w:rsid w:val="00133425"/>
    <w:rsid w:val="0013346F"/>
    <w:rsid w:val="001338FA"/>
    <w:rsid w:val="00133918"/>
    <w:rsid w:val="00133A74"/>
    <w:rsid w:val="00134105"/>
    <w:rsid w:val="0013410D"/>
    <w:rsid w:val="001342E1"/>
    <w:rsid w:val="0013443F"/>
    <w:rsid w:val="001344A6"/>
    <w:rsid w:val="001345DC"/>
    <w:rsid w:val="001347B2"/>
    <w:rsid w:val="0013493D"/>
    <w:rsid w:val="00134CDE"/>
    <w:rsid w:val="00134FFE"/>
    <w:rsid w:val="00135025"/>
    <w:rsid w:val="00135036"/>
    <w:rsid w:val="0013511C"/>
    <w:rsid w:val="00135245"/>
    <w:rsid w:val="00135623"/>
    <w:rsid w:val="001356A6"/>
    <w:rsid w:val="0013582B"/>
    <w:rsid w:val="0013595C"/>
    <w:rsid w:val="00135A5D"/>
    <w:rsid w:val="00135B19"/>
    <w:rsid w:val="00135C5A"/>
    <w:rsid w:val="00135E25"/>
    <w:rsid w:val="00135F79"/>
    <w:rsid w:val="00136348"/>
    <w:rsid w:val="00136426"/>
    <w:rsid w:val="00136476"/>
    <w:rsid w:val="001364BC"/>
    <w:rsid w:val="001364D1"/>
    <w:rsid w:val="00136744"/>
    <w:rsid w:val="001369D6"/>
    <w:rsid w:val="00136AA5"/>
    <w:rsid w:val="00136D6C"/>
    <w:rsid w:val="00136E3C"/>
    <w:rsid w:val="00137042"/>
    <w:rsid w:val="0013731A"/>
    <w:rsid w:val="0013739F"/>
    <w:rsid w:val="001374B5"/>
    <w:rsid w:val="0013758E"/>
    <w:rsid w:val="00137682"/>
    <w:rsid w:val="001376AC"/>
    <w:rsid w:val="00137750"/>
    <w:rsid w:val="00137758"/>
    <w:rsid w:val="001377BA"/>
    <w:rsid w:val="00137B82"/>
    <w:rsid w:val="0014040B"/>
    <w:rsid w:val="001405E8"/>
    <w:rsid w:val="0014063C"/>
    <w:rsid w:val="00140765"/>
    <w:rsid w:val="00140782"/>
    <w:rsid w:val="001407CA"/>
    <w:rsid w:val="001409C8"/>
    <w:rsid w:val="0014105D"/>
    <w:rsid w:val="001410E6"/>
    <w:rsid w:val="001411E9"/>
    <w:rsid w:val="0014123E"/>
    <w:rsid w:val="00141270"/>
    <w:rsid w:val="001414D9"/>
    <w:rsid w:val="001415C6"/>
    <w:rsid w:val="001415EE"/>
    <w:rsid w:val="0014178E"/>
    <w:rsid w:val="00141793"/>
    <w:rsid w:val="00141BD2"/>
    <w:rsid w:val="00141D70"/>
    <w:rsid w:val="00141ED6"/>
    <w:rsid w:val="00142193"/>
    <w:rsid w:val="001421DD"/>
    <w:rsid w:val="001421EF"/>
    <w:rsid w:val="00142299"/>
    <w:rsid w:val="00142382"/>
    <w:rsid w:val="00142441"/>
    <w:rsid w:val="001425E8"/>
    <w:rsid w:val="001428E7"/>
    <w:rsid w:val="0014292B"/>
    <w:rsid w:val="00142B9B"/>
    <w:rsid w:val="00142BA1"/>
    <w:rsid w:val="00142EA9"/>
    <w:rsid w:val="00143208"/>
    <w:rsid w:val="00143374"/>
    <w:rsid w:val="00143512"/>
    <w:rsid w:val="0014357C"/>
    <w:rsid w:val="00143583"/>
    <w:rsid w:val="001436CC"/>
    <w:rsid w:val="00143AB9"/>
    <w:rsid w:val="00143C9B"/>
    <w:rsid w:val="00143CB6"/>
    <w:rsid w:val="00143ED7"/>
    <w:rsid w:val="00143F4D"/>
    <w:rsid w:val="00144551"/>
    <w:rsid w:val="001445E9"/>
    <w:rsid w:val="00144672"/>
    <w:rsid w:val="00144D2F"/>
    <w:rsid w:val="00144D50"/>
    <w:rsid w:val="001450C2"/>
    <w:rsid w:val="0014532D"/>
    <w:rsid w:val="0014533C"/>
    <w:rsid w:val="0014551D"/>
    <w:rsid w:val="001455AD"/>
    <w:rsid w:val="001455B1"/>
    <w:rsid w:val="00145642"/>
    <w:rsid w:val="0014566C"/>
    <w:rsid w:val="00145678"/>
    <w:rsid w:val="0014575E"/>
    <w:rsid w:val="00145CD6"/>
    <w:rsid w:val="00145D3A"/>
    <w:rsid w:val="00145D8C"/>
    <w:rsid w:val="00145E7D"/>
    <w:rsid w:val="0014603D"/>
    <w:rsid w:val="00146169"/>
    <w:rsid w:val="0014664C"/>
    <w:rsid w:val="00146787"/>
    <w:rsid w:val="00146953"/>
    <w:rsid w:val="00146AAC"/>
    <w:rsid w:val="00146B59"/>
    <w:rsid w:val="00146BF7"/>
    <w:rsid w:val="001471FD"/>
    <w:rsid w:val="0014740D"/>
    <w:rsid w:val="0014765D"/>
    <w:rsid w:val="00147849"/>
    <w:rsid w:val="001478EE"/>
    <w:rsid w:val="00147C9B"/>
    <w:rsid w:val="00147EDD"/>
    <w:rsid w:val="00150038"/>
    <w:rsid w:val="00150198"/>
    <w:rsid w:val="00150433"/>
    <w:rsid w:val="00150467"/>
    <w:rsid w:val="001505E8"/>
    <w:rsid w:val="0015084C"/>
    <w:rsid w:val="001508E5"/>
    <w:rsid w:val="00150937"/>
    <w:rsid w:val="00150A45"/>
    <w:rsid w:val="00150A4F"/>
    <w:rsid w:val="00150C0A"/>
    <w:rsid w:val="00150C61"/>
    <w:rsid w:val="00150D42"/>
    <w:rsid w:val="00150E1A"/>
    <w:rsid w:val="0015132B"/>
    <w:rsid w:val="00151510"/>
    <w:rsid w:val="001516BF"/>
    <w:rsid w:val="001517BE"/>
    <w:rsid w:val="00151DBC"/>
    <w:rsid w:val="00151F80"/>
    <w:rsid w:val="00152014"/>
    <w:rsid w:val="00152061"/>
    <w:rsid w:val="00152174"/>
    <w:rsid w:val="001521DA"/>
    <w:rsid w:val="00152285"/>
    <w:rsid w:val="00152439"/>
    <w:rsid w:val="001528D8"/>
    <w:rsid w:val="001529FC"/>
    <w:rsid w:val="00152A0C"/>
    <w:rsid w:val="00152AF1"/>
    <w:rsid w:val="00152BB9"/>
    <w:rsid w:val="00152D6D"/>
    <w:rsid w:val="00152E73"/>
    <w:rsid w:val="00153065"/>
    <w:rsid w:val="001534EA"/>
    <w:rsid w:val="001534F4"/>
    <w:rsid w:val="0015365C"/>
    <w:rsid w:val="001536CD"/>
    <w:rsid w:val="001537D3"/>
    <w:rsid w:val="0015383D"/>
    <w:rsid w:val="001538BC"/>
    <w:rsid w:val="00153AB5"/>
    <w:rsid w:val="00153AF8"/>
    <w:rsid w:val="00153B97"/>
    <w:rsid w:val="00154299"/>
    <w:rsid w:val="001542C4"/>
    <w:rsid w:val="00154444"/>
    <w:rsid w:val="001545E5"/>
    <w:rsid w:val="001547E4"/>
    <w:rsid w:val="00154A63"/>
    <w:rsid w:val="00154B6F"/>
    <w:rsid w:val="00154B7B"/>
    <w:rsid w:val="00154DE1"/>
    <w:rsid w:val="00155060"/>
    <w:rsid w:val="001550BB"/>
    <w:rsid w:val="00155262"/>
    <w:rsid w:val="00155350"/>
    <w:rsid w:val="00155A3F"/>
    <w:rsid w:val="0015649C"/>
    <w:rsid w:val="001566BE"/>
    <w:rsid w:val="00156A8D"/>
    <w:rsid w:val="00156A90"/>
    <w:rsid w:val="00156BFE"/>
    <w:rsid w:val="00156E58"/>
    <w:rsid w:val="00156FA4"/>
    <w:rsid w:val="0015752D"/>
    <w:rsid w:val="0015764B"/>
    <w:rsid w:val="001576C1"/>
    <w:rsid w:val="0015776B"/>
    <w:rsid w:val="001577E8"/>
    <w:rsid w:val="00157AA1"/>
    <w:rsid w:val="00157AF5"/>
    <w:rsid w:val="00157C5C"/>
    <w:rsid w:val="00157D2B"/>
    <w:rsid w:val="00157E60"/>
    <w:rsid w:val="0016028F"/>
    <w:rsid w:val="001602AE"/>
    <w:rsid w:val="00160377"/>
    <w:rsid w:val="001604CE"/>
    <w:rsid w:val="00160556"/>
    <w:rsid w:val="0016075B"/>
    <w:rsid w:val="00160875"/>
    <w:rsid w:val="00160DA3"/>
    <w:rsid w:val="00161379"/>
    <w:rsid w:val="00161812"/>
    <w:rsid w:val="0016197F"/>
    <w:rsid w:val="00161B44"/>
    <w:rsid w:val="00162101"/>
    <w:rsid w:val="001622F8"/>
    <w:rsid w:val="00162551"/>
    <w:rsid w:val="001626D3"/>
    <w:rsid w:val="00162783"/>
    <w:rsid w:val="0016289C"/>
    <w:rsid w:val="001628EE"/>
    <w:rsid w:val="00162C4D"/>
    <w:rsid w:val="00162D41"/>
    <w:rsid w:val="00162D77"/>
    <w:rsid w:val="00162E64"/>
    <w:rsid w:val="00162EA1"/>
    <w:rsid w:val="00162F73"/>
    <w:rsid w:val="00163154"/>
    <w:rsid w:val="00163ABF"/>
    <w:rsid w:val="00163C64"/>
    <w:rsid w:val="00163CD7"/>
    <w:rsid w:val="00163DDF"/>
    <w:rsid w:val="001640FE"/>
    <w:rsid w:val="00164143"/>
    <w:rsid w:val="00164206"/>
    <w:rsid w:val="0016441D"/>
    <w:rsid w:val="00164452"/>
    <w:rsid w:val="00164614"/>
    <w:rsid w:val="00164661"/>
    <w:rsid w:val="00164B1D"/>
    <w:rsid w:val="00164BFE"/>
    <w:rsid w:val="00164C2E"/>
    <w:rsid w:val="00164D43"/>
    <w:rsid w:val="00164E92"/>
    <w:rsid w:val="00164F0A"/>
    <w:rsid w:val="00164F55"/>
    <w:rsid w:val="001653D4"/>
    <w:rsid w:val="0016568D"/>
    <w:rsid w:val="00165903"/>
    <w:rsid w:val="00165CEB"/>
    <w:rsid w:val="00165DD7"/>
    <w:rsid w:val="00165DED"/>
    <w:rsid w:val="001663EA"/>
    <w:rsid w:val="0016659B"/>
    <w:rsid w:val="001665FA"/>
    <w:rsid w:val="001666EA"/>
    <w:rsid w:val="001666F9"/>
    <w:rsid w:val="001667A3"/>
    <w:rsid w:val="00166C61"/>
    <w:rsid w:val="00166D20"/>
    <w:rsid w:val="00166D75"/>
    <w:rsid w:val="00166DFB"/>
    <w:rsid w:val="00166E78"/>
    <w:rsid w:val="00166F9F"/>
    <w:rsid w:val="00166FAB"/>
    <w:rsid w:val="0016706D"/>
    <w:rsid w:val="001670FC"/>
    <w:rsid w:val="00167462"/>
    <w:rsid w:val="001675C8"/>
    <w:rsid w:val="001676A9"/>
    <w:rsid w:val="001677E0"/>
    <w:rsid w:val="0016787F"/>
    <w:rsid w:val="00167982"/>
    <w:rsid w:val="00167B27"/>
    <w:rsid w:val="00167CB6"/>
    <w:rsid w:val="00167CF2"/>
    <w:rsid w:val="00167E4B"/>
    <w:rsid w:val="0017008D"/>
    <w:rsid w:val="0017061C"/>
    <w:rsid w:val="0017062F"/>
    <w:rsid w:val="00170834"/>
    <w:rsid w:val="001708A7"/>
    <w:rsid w:val="0017093F"/>
    <w:rsid w:val="00170A02"/>
    <w:rsid w:val="00170C58"/>
    <w:rsid w:val="00170F8A"/>
    <w:rsid w:val="00171505"/>
    <w:rsid w:val="001718B9"/>
    <w:rsid w:val="00171947"/>
    <w:rsid w:val="00172219"/>
    <w:rsid w:val="001722E5"/>
    <w:rsid w:val="0017236A"/>
    <w:rsid w:val="0017237D"/>
    <w:rsid w:val="001725BD"/>
    <w:rsid w:val="00172654"/>
    <w:rsid w:val="001728EB"/>
    <w:rsid w:val="0017297D"/>
    <w:rsid w:val="001729C8"/>
    <w:rsid w:val="00172C57"/>
    <w:rsid w:val="00172DAC"/>
    <w:rsid w:val="00172DF6"/>
    <w:rsid w:val="00172E29"/>
    <w:rsid w:val="00172FE2"/>
    <w:rsid w:val="00173045"/>
    <w:rsid w:val="00173249"/>
    <w:rsid w:val="0017339F"/>
    <w:rsid w:val="001734CA"/>
    <w:rsid w:val="001735DC"/>
    <w:rsid w:val="001735E5"/>
    <w:rsid w:val="00173604"/>
    <w:rsid w:val="001736D2"/>
    <w:rsid w:val="001736E2"/>
    <w:rsid w:val="0017372E"/>
    <w:rsid w:val="00173CAA"/>
    <w:rsid w:val="00173F2F"/>
    <w:rsid w:val="001741C3"/>
    <w:rsid w:val="0017438F"/>
    <w:rsid w:val="0017464E"/>
    <w:rsid w:val="001746BB"/>
    <w:rsid w:val="00174787"/>
    <w:rsid w:val="00174897"/>
    <w:rsid w:val="00174917"/>
    <w:rsid w:val="001749D8"/>
    <w:rsid w:val="00175005"/>
    <w:rsid w:val="001750E4"/>
    <w:rsid w:val="0017531D"/>
    <w:rsid w:val="001753AB"/>
    <w:rsid w:val="0017547F"/>
    <w:rsid w:val="00175554"/>
    <w:rsid w:val="001755BE"/>
    <w:rsid w:val="00175667"/>
    <w:rsid w:val="0017574A"/>
    <w:rsid w:val="00175D3C"/>
    <w:rsid w:val="00175DCD"/>
    <w:rsid w:val="00175EDF"/>
    <w:rsid w:val="00176060"/>
    <w:rsid w:val="0017613B"/>
    <w:rsid w:val="00176266"/>
    <w:rsid w:val="00176660"/>
    <w:rsid w:val="0017666D"/>
    <w:rsid w:val="00176A7F"/>
    <w:rsid w:val="0017704F"/>
    <w:rsid w:val="0017726E"/>
    <w:rsid w:val="00177309"/>
    <w:rsid w:val="0017746A"/>
    <w:rsid w:val="00177497"/>
    <w:rsid w:val="001774D6"/>
    <w:rsid w:val="001774F5"/>
    <w:rsid w:val="001775EF"/>
    <w:rsid w:val="00177715"/>
    <w:rsid w:val="001777D4"/>
    <w:rsid w:val="001779FA"/>
    <w:rsid w:val="00177C60"/>
    <w:rsid w:val="00177F1A"/>
    <w:rsid w:val="0018006F"/>
    <w:rsid w:val="001800B0"/>
    <w:rsid w:val="001800C9"/>
    <w:rsid w:val="00180310"/>
    <w:rsid w:val="00180331"/>
    <w:rsid w:val="00180498"/>
    <w:rsid w:val="001804D7"/>
    <w:rsid w:val="0018056E"/>
    <w:rsid w:val="00180803"/>
    <w:rsid w:val="001808FC"/>
    <w:rsid w:val="00180913"/>
    <w:rsid w:val="001809C9"/>
    <w:rsid w:val="00180B09"/>
    <w:rsid w:val="00180B6A"/>
    <w:rsid w:val="00180C0D"/>
    <w:rsid w:val="00180D3A"/>
    <w:rsid w:val="00180E28"/>
    <w:rsid w:val="00180FA7"/>
    <w:rsid w:val="00180FEF"/>
    <w:rsid w:val="00181423"/>
    <w:rsid w:val="0018145C"/>
    <w:rsid w:val="00181464"/>
    <w:rsid w:val="00181477"/>
    <w:rsid w:val="001814F5"/>
    <w:rsid w:val="00181720"/>
    <w:rsid w:val="0018175C"/>
    <w:rsid w:val="001817D7"/>
    <w:rsid w:val="00181A96"/>
    <w:rsid w:val="00181AF6"/>
    <w:rsid w:val="00181B2B"/>
    <w:rsid w:val="00181BA3"/>
    <w:rsid w:val="00181BA5"/>
    <w:rsid w:val="00181E41"/>
    <w:rsid w:val="00182415"/>
    <w:rsid w:val="00182437"/>
    <w:rsid w:val="001824B0"/>
    <w:rsid w:val="0018253E"/>
    <w:rsid w:val="0018284C"/>
    <w:rsid w:val="00182A35"/>
    <w:rsid w:val="00182B9C"/>
    <w:rsid w:val="001830E2"/>
    <w:rsid w:val="001831D2"/>
    <w:rsid w:val="00183496"/>
    <w:rsid w:val="0018350C"/>
    <w:rsid w:val="00183968"/>
    <w:rsid w:val="00183AF6"/>
    <w:rsid w:val="00183B4E"/>
    <w:rsid w:val="00183BC2"/>
    <w:rsid w:val="00183C88"/>
    <w:rsid w:val="00183DFE"/>
    <w:rsid w:val="00183F6C"/>
    <w:rsid w:val="00183FE6"/>
    <w:rsid w:val="001846B8"/>
    <w:rsid w:val="001847D9"/>
    <w:rsid w:val="00184A05"/>
    <w:rsid w:val="00184DE3"/>
    <w:rsid w:val="0018537D"/>
    <w:rsid w:val="001853CB"/>
    <w:rsid w:val="00185404"/>
    <w:rsid w:val="00185706"/>
    <w:rsid w:val="0018593D"/>
    <w:rsid w:val="00185B1C"/>
    <w:rsid w:val="00185BBE"/>
    <w:rsid w:val="00185C1D"/>
    <w:rsid w:val="00185D5C"/>
    <w:rsid w:val="00186091"/>
    <w:rsid w:val="00186153"/>
    <w:rsid w:val="001862A4"/>
    <w:rsid w:val="00186553"/>
    <w:rsid w:val="00186608"/>
    <w:rsid w:val="00186888"/>
    <w:rsid w:val="00186B6E"/>
    <w:rsid w:val="00186B7B"/>
    <w:rsid w:val="00186BA5"/>
    <w:rsid w:val="00186DC1"/>
    <w:rsid w:val="00186E37"/>
    <w:rsid w:val="001870D8"/>
    <w:rsid w:val="001871FB"/>
    <w:rsid w:val="00187384"/>
    <w:rsid w:val="00187525"/>
    <w:rsid w:val="001875D4"/>
    <w:rsid w:val="001878E1"/>
    <w:rsid w:val="00187A06"/>
    <w:rsid w:val="00187BDF"/>
    <w:rsid w:val="00187F19"/>
    <w:rsid w:val="001903BC"/>
    <w:rsid w:val="00190410"/>
    <w:rsid w:val="00190416"/>
    <w:rsid w:val="00190436"/>
    <w:rsid w:val="0019055E"/>
    <w:rsid w:val="0019075B"/>
    <w:rsid w:val="001907E9"/>
    <w:rsid w:val="00190907"/>
    <w:rsid w:val="001909D2"/>
    <w:rsid w:val="00190C82"/>
    <w:rsid w:val="00190D3E"/>
    <w:rsid w:val="00190E22"/>
    <w:rsid w:val="00190E84"/>
    <w:rsid w:val="00190FCF"/>
    <w:rsid w:val="001916D6"/>
    <w:rsid w:val="00191930"/>
    <w:rsid w:val="00191A9F"/>
    <w:rsid w:val="00191AD9"/>
    <w:rsid w:val="00191B8E"/>
    <w:rsid w:val="00191C1C"/>
    <w:rsid w:val="00191C82"/>
    <w:rsid w:val="00191CD3"/>
    <w:rsid w:val="00191ECB"/>
    <w:rsid w:val="00191F1E"/>
    <w:rsid w:val="00191FD4"/>
    <w:rsid w:val="0019203F"/>
    <w:rsid w:val="00192163"/>
    <w:rsid w:val="0019219A"/>
    <w:rsid w:val="0019247E"/>
    <w:rsid w:val="001927FA"/>
    <w:rsid w:val="0019291F"/>
    <w:rsid w:val="00192A62"/>
    <w:rsid w:val="00192AA9"/>
    <w:rsid w:val="00192B4A"/>
    <w:rsid w:val="00192BED"/>
    <w:rsid w:val="00192E5B"/>
    <w:rsid w:val="00192E92"/>
    <w:rsid w:val="00192EF6"/>
    <w:rsid w:val="00192F27"/>
    <w:rsid w:val="00193201"/>
    <w:rsid w:val="00193294"/>
    <w:rsid w:val="00193360"/>
    <w:rsid w:val="001933FA"/>
    <w:rsid w:val="0019355A"/>
    <w:rsid w:val="00193772"/>
    <w:rsid w:val="0019395E"/>
    <w:rsid w:val="00193B1D"/>
    <w:rsid w:val="00193C99"/>
    <w:rsid w:val="00193F59"/>
    <w:rsid w:val="0019404A"/>
    <w:rsid w:val="001940F3"/>
    <w:rsid w:val="001941F6"/>
    <w:rsid w:val="001945E7"/>
    <w:rsid w:val="00194651"/>
    <w:rsid w:val="001947DD"/>
    <w:rsid w:val="00194914"/>
    <w:rsid w:val="00194A47"/>
    <w:rsid w:val="00194A9B"/>
    <w:rsid w:val="00194BBC"/>
    <w:rsid w:val="00194BCC"/>
    <w:rsid w:val="00194F8E"/>
    <w:rsid w:val="00195178"/>
    <w:rsid w:val="0019517F"/>
    <w:rsid w:val="001952A3"/>
    <w:rsid w:val="00195374"/>
    <w:rsid w:val="001954A2"/>
    <w:rsid w:val="0019570A"/>
    <w:rsid w:val="0019596B"/>
    <w:rsid w:val="001959CD"/>
    <w:rsid w:val="001959D5"/>
    <w:rsid w:val="001959EB"/>
    <w:rsid w:val="00195A47"/>
    <w:rsid w:val="00195AAF"/>
    <w:rsid w:val="00195C1B"/>
    <w:rsid w:val="00195CFA"/>
    <w:rsid w:val="00195E3E"/>
    <w:rsid w:val="00196023"/>
    <w:rsid w:val="00196204"/>
    <w:rsid w:val="0019627F"/>
    <w:rsid w:val="00196375"/>
    <w:rsid w:val="00196443"/>
    <w:rsid w:val="001964A6"/>
    <w:rsid w:val="001967B5"/>
    <w:rsid w:val="00196E84"/>
    <w:rsid w:val="00196F1D"/>
    <w:rsid w:val="00196F64"/>
    <w:rsid w:val="00196F8B"/>
    <w:rsid w:val="00196FF2"/>
    <w:rsid w:val="00197438"/>
    <w:rsid w:val="00197575"/>
    <w:rsid w:val="0019794C"/>
    <w:rsid w:val="0019798C"/>
    <w:rsid w:val="001979DF"/>
    <w:rsid w:val="00197AD5"/>
    <w:rsid w:val="00197B81"/>
    <w:rsid w:val="00197C8B"/>
    <w:rsid w:val="00197CEA"/>
    <w:rsid w:val="00197E15"/>
    <w:rsid w:val="00197E5C"/>
    <w:rsid w:val="00197FDA"/>
    <w:rsid w:val="00197FE9"/>
    <w:rsid w:val="001A03D6"/>
    <w:rsid w:val="001A056E"/>
    <w:rsid w:val="001A0A2F"/>
    <w:rsid w:val="001A0B7B"/>
    <w:rsid w:val="001A0D41"/>
    <w:rsid w:val="001A0F26"/>
    <w:rsid w:val="001A10C1"/>
    <w:rsid w:val="001A14A7"/>
    <w:rsid w:val="001A1505"/>
    <w:rsid w:val="001A17DD"/>
    <w:rsid w:val="001A18EA"/>
    <w:rsid w:val="001A1A1B"/>
    <w:rsid w:val="001A1B6D"/>
    <w:rsid w:val="001A1D12"/>
    <w:rsid w:val="001A1D48"/>
    <w:rsid w:val="001A217D"/>
    <w:rsid w:val="001A21BE"/>
    <w:rsid w:val="001A22A8"/>
    <w:rsid w:val="001A23FB"/>
    <w:rsid w:val="001A28FA"/>
    <w:rsid w:val="001A2923"/>
    <w:rsid w:val="001A2C4E"/>
    <w:rsid w:val="001A354E"/>
    <w:rsid w:val="001A391D"/>
    <w:rsid w:val="001A3E05"/>
    <w:rsid w:val="001A40F8"/>
    <w:rsid w:val="001A433F"/>
    <w:rsid w:val="001A4887"/>
    <w:rsid w:val="001A4993"/>
    <w:rsid w:val="001A4B21"/>
    <w:rsid w:val="001A4E87"/>
    <w:rsid w:val="001A5082"/>
    <w:rsid w:val="001A513F"/>
    <w:rsid w:val="001A51F1"/>
    <w:rsid w:val="001A5355"/>
    <w:rsid w:val="001A5439"/>
    <w:rsid w:val="001A5638"/>
    <w:rsid w:val="001A582F"/>
    <w:rsid w:val="001A5906"/>
    <w:rsid w:val="001A59BE"/>
    <w:rsid w:val="001A5A3E"/>
    <w:rsid w:val="001A5B8E"/>
    <w:rsid w:val="001A5C69"/>
    <w:rsid w:val="001A5ED4"/>
    <w:rsid w:val="001A5FD8"/>
    <w:rsid w:val="001A6178"/>
    <w:rsid w:val="001A6179"/>
    <w:rsid w:val="001A6249"/>
    <w:rsid w:val="001A651F"/>
    <w:rsid w:val="001A6893"/>
    <w:rsid w:val="001A72E4"/>
    <w:rsid w:val="001A72F2"/>
    <w:rsid w:val="001A771A"/>
    <w:rsid w:val="001A7845"/>
    <w:rsid w:val="001A7C52"/>
    <w:rsid w:val="001A7D0B"/>
    <w:rsid w:val="001A7E83"/>
    <w:rsid w:val="001A7F46"/>
    <w:rsid w:val="001B0154"/>
    <w:rsid w:val="001B01D2"/>
    <w:rsid w:val="001B01DF"/>
    <w:rsid w:val="001B0247"/>
    <w:rsid w:val="001B02E7"/>
    <w:rsid w:val="001B0346"/>
    <w:rsid w:val="001B039B"/>
    <w:rsid w:val="001B03B7"/>
    <w:rsid w:val="001B0988"/>
    <w:rsid w:val="001B0A9D"/>
    <w:rsid w:val="001B0D62"/>
    <w:rsid w:val="001B118A"/>
    <w:rsid w:val="001B11E3"/>
    <w:rsid w:val="001B17FF"/>
    <w:rsid w:val="001B1CC2"/>
    <w:rsid w:val="001B1D53"/>
    <w:rsid w:val="001B1D9B"/>
    <w:rsid w:val="001B1E08"/>
    <w:rsid w:val="001B23CF"/>
    <w:rsid w:val="001B23FD"/>
    <w:rsid w:val="001B26EB"/>
    <w:rsid w:val="001B2A72"/>
    <w:rsid w:val="001B2B83"/>
    <w:rsid w:val="001B2D4C"/>
    <w:rsid w:val="001B2E12"/>
    <w:rsid w:val="001B2F72"/>
    <w:rsid w:val="001B359A"/>
    <w:rsid w:val="001B36B9"/>
    <w:rsid w:val="001B36FC"/>
    <w:rsid w:val="001B376F"/>
    <w:rsid w:val="001B37A4"/>
    <w:rsid w:val="001B3842"/>
    <w:rsid w:val="001B3A44"/>
    <w:rsid w:val="001B3BFC"/>
    <w:rsid w:val="001B3EF1"/>
    <w:rsid w:val="001B40D3"/>
    <w:rsid w:val="001B437A"/>
    <w:rsid w:val="001B43A7"/>
    <w:rsid w:val="001B4632"/>
    <w:rsid w:val="001B4754"/>
    <w:rsid w:val="001B4873"/>
    <w:rsid w:val="001B49B1"/>
    <w:rsid w:val="001B5044"/>
    <w:rsid w:val="001B53AA"/>
    <w:rsid w:val="001B53AD"/>
    <w:rsid w:val="001B5631"/>
    <w:rsid w:val="001B5766"/>
    <w:rsid w:val="001B5877"/>
    <w:rsid w:val="001B5A01"/>
    <w:rsid w:val="001B5AD6"/>
    <w:rsid w:val="001B5F2C"/>
    <w:rsid w:val="001B622D"/>
    <w:rsid w:val="001B623B"/>
    <w:rsid w:val="001B63E1"/>
    <w:rsid w:val="001B6428"/>
    <w:rsid w:val="001B6500"/>
    <w:rsid w:val="001B658A"/>
    <w:rsid w:val="001B682A"/>
    <w:rsid w:val="001B689C"/>
    <w:rsid w:val="001B6AE0"/>
    <w:rsid w:val="001B6B02"/>
    <w:rsid w:val="001B6D4D"/>
    <w:rsid w:val="001B6D7E"/>
    <w:rsid w:val="001B6EA1"/>
    <w:rsid w:val="001B7035"/>
    <w:rsid w:val="001B708A"/>
    <w:rsid w:val="001B729B"/>
    <w:rsid w:val="001B72C7"/>
    <w:rsid w:val="001B730C"/>
    <w:rsid w:val="001B798E"/>
    <w:rsid w:val="001B7A73"/>
    <w:rsid w:val="001B7C77"/>
    <w:rsid w:val="001B7CC9"/>
    <w:rsid w:val="001B7D03"/>
    <w:rsid w:val="001B7F1C"/>
    <w:rsid w:val="001C004C"/>
    <w:rsid w:val="001C0126"/>
    <w:rsid w:val="001C0140"/>
    <w:rsid w:val="001C0184"/>
    <w:rsid w:val="001C03C9"/>
    <w:rsid w:val="001C051C"/>
    <w:rsid w:val="001C05CF"/>
    <w:rsid w:val="001C05E7"/>
    <w:rsid w:val="001C06E7"/>
    <w:rsid w:val="001C0731"/>
    <w:rsid w:val="001C09D8"/>
    <w:rsid w:val="001C0BF9"/>
    <w:rsid w:val="001C0CB2"/>
    <w:rsid w:val="001C0CCF"/>
    <w:rsid w:val="001C0D18"/>
    <w:rsid w:val="001C0EDD"/>
    <w:rsid w:val="001C10AC"/>
    <w:rsid w:val="001C111E"/>
    <w:rsid w:val="001C12D0"/>
    <w:rsid w:val="001C1578"/>
    <w:rsid w:val="001C186C"/>
    <w:rsid w:val="001C1CA4"/>
    <w:rsid w:val="001C1F5C"/>
    <w:rsid w:val="001C23EE"/>
    <w:rsid w:val="001C2600"/>
    <w:rsid w:val="001C266F"/>
    <w:rsid w:val="001C2799"/>
    <w:rsid w:val="001C283E"/>
    <w:rsid w:val="001C28B0"/>
    <w:rsid w:val="001C298F"/>
    <w:rsid w:val="001C29B7"/>
    <w:rsid w:val="001C2BE8"/>
    <w:rsid w:val="001C2FC9"/>
    <w:rsid w:val="001C30CE"/>
    <w:rsid w:val="001C324F"/>
    <w:rsid w:val="001C3261"/>
    <w:rsid w:val="001C329E"/>
    <w:rsid w:val="001C33CD"/>
    <w:rsid w:val="001C35DA"/>
    <w:rsid w:val="001C35E6"/>
    <w:rsid w:val="001C3673"/>
    <w:rsid w:val="001C373E"/>
    <w:rsid w:val="001C381D"/>
    <w:rsid w:val="001C44C0"/>
    <w:rsid w:val="001C45D0"/>
    <w:rsid w:val="001C465F"/>
    <w:rsid w:val="001C46AF"/>
    <w:rsid w:val="001C4849"/>
    <w:rsid w:val="001C488C"/>
    <w:rsid w:val="001C4926"/>
    <w:rsid w:val="001C4C27"/>
    <w:rsid w:val="001C4C44"/>
    <w:rsid w:val="001C4CDC"/>
    <w:rsid w:val="001C5127"/>
    <w:rsid w:val="001C515B"/>
    <w:rsid w:val="001C5213"/>
    <w:rsid w:val="001C5235"/>
    <w:rsid w:val="001C52BB"/>
    <w:rsid w:val="001C538D"/>
    <w:rsid w:val="001C5A20"/>
    <w:rsid w:val="001C5DD8"/>
    <w:rsid w:val="001C5F7B"/>
    <w:rsid w:val="001C618A"/>
    <w:rsid w:val="001C673A"/>
    <w:rsid w:val="001C67FA"/>
    <w:rsid w:val="001C6995"/>
    <w:rsid w:val="001C6A33"/>
    <w:rsid w:val="001C6A6A"/>
    <w:rsid w:val="001C6B80"/>
    <w:rsid w:val="001C6BA8"/>
    <w:rsid w:val="001C6C66"/>
    <w:rsid w:val="001C6D4E"/>
    <w:rsid w:val="001C6E68"/>
    <w:rsid w:val="001C73D1"/>
    <w:rsid w:val="001C73DE"/>
    <w:rsid w:val="001C7686"/>
    <w:rsid w:val="001C7697"/>
    <w:rsid w:val="001C7929"/>
    <w:rsid w:val="001C7C67"/>
    <w:rsid w:val="001C7C85"/>
    <w:rsid w:val="001C7D39"/>
    <w:rsid w:val="001D031C"/>
    <w:rsid w:val="001D03BC"/>
    <w:rsid w:val="001D043A"/>
    <w:rsid w:val="001D04D5"/>
    <w:rsid w:val="001D05AC"/>
    <w:rsid w:val="001D0988"/>
    <w:rsid w:val="001D09DA"/>
    <w:rsid w:val="001D0EAD"/>
    <w:rsid w:val="001D0F6A"/>
    <w:rsid w:val="001D1066"/>
    <w:rsid w:val="001D11A6"/>
    <w:rsid w:val="001D12E3"/>
    <w:rsid w:val="001D13A9"/>
    <w:rsid w:val="001D15A6"/>
    <w:rsid w:val="001D1847"/>
    <w:rsid w:val="001D186F"/>
    <w:rsid w:val="001D190D"/>
    <w:rsid w:val="001D193B"/>
    <w:rsid w:val="001D19EE"/>
    <w:rsid w:val="001D1FF3"/>
    <w:rsid w:val="001D21C0"/>
    <w:rsid w:val="001D239D"/>
    <w:rsid w:val="001D2919"/>
    <w:rsid w:val="001D29A6"/>
    <w:rsid w:val="001D2A77"/>
    <w:rsid w:val="001D2ECC"/>
    <w:rsid w:val="001D3055"/>
    <w:rsid w:val="001D30E6"/>
    <w:rsid w:val="001D3279"/>
    <w:rsid w:val="001D3589"/>
    <w:rsid w:val="001D3594"/>
    <w:rsid w:val="001D3785"/>
    <w:rsid w:val="001D389B"/>
    <w:rsid w:val="001D3ADD"/>
    <w:rsid w:val="001D3C01"/>
    <w:rsid w:val="001D3D38"/>
    <w:rsid w:val="001D3E72"/>
    <w:rsid w:val="001D401F"/>
    <w:rsid w:val="001D41D2"/>
    <w:rsid w:val="001D423D"/>
    <w:rsid w:val="001D44BA"/>
    <w:rsid w:val="001D4675"/>
    <w:rsid w:val="001D4B86"/>
    <w:rsid w:val="001D4D47"/>
    <w:rsid w:val="001D4F0D"/>
    <w:rsid w:val="001D5062"/>
    <w:rsid w:val="001D512E"/>
    <w:rsid w:val="001D52D6"/>
    <w:rsid w:val="001D542F"/>
    <w:rsid w:val="001D5449"/>
    <w:rsid w:val="001D546C"/>
    <w:rsid w:val="001D54CD"/>
    <w:rsid w:val="001D58F6"/>
    <w:rsid w:val="001D5A83"/>
    <w:rsid w:val="001D5F02"/>
    <w:rsid w:val="001D6038"/>
    <w:rsid w:val="001D65C8"/>
    <w:rsid w:val="001D66EC"/>
    <w:rsid w:val="001D68B5"/>
    <w:rsid w:val="001D6A1B"/>
    <w:rsid w:val="001D6BC2"/>
    <w:rsid w:val="001D6DA0"/>
    <w:rsid w:val="001D6DFA"/>
    <w:rsid w:val="001D6E54"/>
    <w:rsid w:val="001D6EF9"/>
    <w:rsid w:val="001D6F5A"/>
    <w:rsid w:val="001D742E"/>
    <w:rsid w:val="001D743D"/>
    <w:rsid w:val="001D77C1"/>
    <w:rsid w:val="001D77FB"/>
    <w:rsid w:val="001D78E5"/>
    <w:rsid w:val="001D7C96"/>
    <w:rsid w:val="001D7CE0"/>
    <w:rsid w:val="001D7DF4"/>
    <w:rsid w:val="001D7E1E"/>
    <w:rsid w:val="001D7EB5"/>
    <w:rsid w:val="001E00CD"/>
    <w:rsid w:val="001E0124"/>
    <w:rsid w:val="001E0236"/>
    <w:rsid w:val="001E0396"/>
    <w:rsid w:val="001E0536"/>
    <w:rsid w:val="001E05A0"/>
    <w:rsid w:val="001E0781"/>
    <w:rsid w:val="001E0A4A"/>
    <w:rsid w:val="001E0A83"/>
    <w:rsid w:val="001E0FC8"/>
    <w:rsid w:val="001E169F"/>
    <w:rsid w:val="001E1A0E"/>
    <w:rsid w:val="001E1EE2"/>
    <w:rsid w:val="001E2224"/>
    <w:rsid w:val="001E22DE"/>
    <w:rsid w:val="001E23CA"/>
    <w:rsid w:val="001E2428"/>
    <w:rsid w:val="001E2526"/>
    <w:rsid w:val="001E26C7"/>
    <w:rsid w:val="001E2930"/>
    <w:rsid w:val="001E297D"/>
    <w:rsid w:val="001E2A54"/>
    <w:rsid w:val="001E2E2D"/>
    <w:rsid w:val="001E3070"/>
    <w:rsid w:val="001E3210"/>
    <w:rsid w:val="001E3389"/>
    <w:rsid w:val="001E355E"/>
    <w:rsid w:val="001E35C1"/>
    <w:rsid w:val="001E37DF"/>
    <w:rsid w:val="001E3A2A"/>
    <w:rsid w:val="001E3C2C"/>
    <w:rsid w:val="001E3F62"/>
    <w:rsid w:val="001E4098"/>
    <w:rsid w:val="001E41D8"/>
    <w:rsid w:val="001E4418"/>
    <w:rsid w:val="001E4423"/>
    <w:rsid w:val="001E4632"/>
    <w:rsid w:val="001E47DC"/>
    <w:rsid w:val="001E48A2"/>
    <w:rsid w:val="001E490E"/>
    <w:rsid w:val="001E4BBB"/>
    <w:rsid w:val="001E4EAA"/>
    <w:rsid w:val="001E4EC7"/>
    <w:rsid w:val="001E516E"/>
    <w:rsid w:val="001E5281"/>
    <w:rsid w:val="001E5364"/>
    <w:rsid w:val="001E58C4"/>
    <w:rsid w:val="001E5A33"/>
    <w:rsid w:val="001E5DE7"/>
    <w:rsid w:val="001E5EB4"/>
    <w:rsid w:val="001E5F3D"/>
    <w:rsid w:val="001E602F"/>
    <w:rsid w:val="001E62AB"/>
    <w:rsid w:val="001E6518"/>
    <w:rsid w:val="001E65F1"/>
    <w:rsid w:val="001E6CE0"/>
    <w:rsid w:val="001E6D0D"/>
    <w:rsid w:val="001E6E41"/>
    <w:rsid w:val="001E6F44"/>
    <w:rsid w:val="001E6F4E"/>
    <w:rsid w:val="001E714F"/>
    <w:rsid w:val="001E73F8"/>
    <w:rsid w:val="001E7539"/>
    <w:rsid w:val="001E75CB"/>
    <w:rsid w:val="001E782E"/>
    <w:rsid w:val="001E7831"/>
    <w:rsid w:val="001E78FE"/>
    <w:rsid w:val="001E7A09"/>
    <w:rsid w:val="001E7D99"/>
    <w:rsid w:val="001E7F1D"/>
    <w:rsid w:val="001E7F8E"/>
    <w:rsid w:val="001E7FDB"/>
    <w:rsid w:val="001F017B"/>
    <w:rsid w:val="001F01A5"/>
    <w:rsid w:val="001F0740"/>
    <w:rsid w:val="001F07BB"/>
    <w:rsid w:val="001F07EF"/>
    <w:rsid w:val="001F0AE1"/>
    <w:rsid w:val="001F0BBD"/>
    <w:rsid w:val="001F0E5E"/>
    <w:rsid w:val="001F0FEA"/>
    <w:rsid w:val="001F1248"/>
    <w:rsid w:val="001F146A"/>
    <w:rsid w:val="001F149F"/>
    <w:rsid w:val="001F152D"/>
    <w:rsid w:val="001F17AF"/>
    <w:rsid w:val="001F1A3A"/>
    <w:rsid w:val="001F1B4A"/>
    <w:rsid w:val="001F1F66"/>
    <w:rsid w:val="001F1F91"/>
    <w:rsid w:val="001F1FA4"/>
    <w:rsid w:val="001F21A0"/>
    <w:rsid w:val="001F220C"/>
    <w:rsid w:val="001F2531"/>
    <w:rsid w:val="001F25EE"/>
    <w:rsid w:val="001F2662"/>
    <w:rsid w:val="001F27F9"/>
    <w:rsid w:val="001F280D"/>
    <w:rsid w:val="001F28BE"/>
    <w:rsid w:val="001F29F1"/>
    <w:rsid w:val="001F2E87"/>
    <w:rsid w:val="001F2ED7"/>
    <w:rsid w:val="001F3311"/>
    <w:rsid w:val="001F3533"/>
    <w:rsid w:val="001F362A"/>
    <w:rsid w:val="001F3683"/>
    <w:rsid w:val="001F36D6"/>
    <w:rsid w:val="001F3700"/>
    <w:rsid w:val="001F376A"/>
    <w:rsid w:val="001F37D6"/>
    <w:rsid w:val="001F3AFF"/>
    <w:rsid w:val="001F3D35"/>
    <w:rsid w:val="001F3D9A"/>
    <w:rsid w:val="001F3DA8"/>
    <w:rsid w:val="001F4141"/>
    <w:rsid w:val="001F435E"/>
    <w:rsid w:val="001F436C"/>
    <w:rsid w:val="001F43F8"/>
    <w:rsid w:val="001F458E"/>
    <w:rsid w:val="001F459C"/>
    <w:rsid w:val="001F461C"/>
    <w:rsid w:val="001F47C3"/>
    <w:rsid w:val="001F4836"/>
    <w:rsid w:val="001F486A"/>
    <w:rsid w:val="001F4873"/>
    <w:rsid w:val="001F492A"/>
    <w:rsid w:val="001F498B"/>
    <w:rsid w:val="001F4B37"/>
    <w:rsid w:val="001F4B97"/>
    <w:rsid w:val="001F4F3A"/>
    <w:rsid w:val="001F526A"/>
    <w:rsid w:val="001F5373"/>
    <w:rsid w:val="001F5462"/>
    <w:rsid w:val="001F54AA"/>
    <w:rsid w:val="001F5655"/>
    <w:rsid w:val="001F59D3"/>
    <w:rsid w:val="001F5A3A"/>
    <w:rsid w:val="001F5A74"/>
    <w:rsid w:val="001F5A77"/>
    <w:rsid w:val="001F5C0C"/>
    <w:rsid w:val="001F5F48"/>
    <w:rsid w:val="001F61EF"/>
    <w:rsid w:val="001F625C"/>
    <w:rsid w:val="001F669D"/>
    <w:rsid w:val="001F6CB3"/>
    <w:rsid w:val="001F6E3F"/>
    <w:rsid w:val="001F7004"/>
    <w:rsid w:val="001F7213"/>
    <w:rsid w:val="001F7297"/>
    <w:rsid w:val="001F7310"/>
    <w:rsid w:val="001F7351"/>
    <w:rsid w:val="001F735D"/>
    <w:rsid w:val="001F749D"/>
    <w:rsid w:val="001F778A"/>
    <w:rsid w:val="001F7AAB"/>
    <w:rsid w:val="001F7B90"/>
    <w:rsid w:val="001F7BD0"/>
    <w:rsid w:val="001F7CB1"/>
    <w:rsid w:val="001F7FFA"/>
    <w:rsid w:val="002000D8"/>
    <w:rsid w:val="00200511"/>
    <w:rsid w:val="002008DA"/>
    <w:rsid w:val="00200A57"/>
    <w:rsid w:val="00200B13"/>
    <w:rsid w:val="00200BBD"/>
    <w:rsid w:val="00200EFA"/>
    <w:rsid w:val="0020105A"/>
    <w:rsid w:val="0020111A"/>
    <w:rsid w:val="0020111C"/>
    <w:rsid w:val="0020147D"/>
    <w:rsid w:val="0020174B"/>
    <w:rsid w:val="0020175E"/>
    <w:rsid w:val="00201984"/>
    <w:rsid w:val="00201D8A"/>
    <w:rsid w:val="00201DDB"/>
    <w:rsid w:val="0020218D"/>
    <w:rsid w:val="0020263C"/>
    <w:rsid w:val="002026A6"/>
    <w:rsid w:val="00202709"/>
    <w:rsid w:val="00202A1F"/>
    <w:rsid w:val="00202CF5"/>
    <w:rsid w:val="00202FA9"/>
    <w:rsid w:val="002031A5"/>
    <w:rsid w:val="00203437"/>
    <w:rsid w:val="0020375A"/>
    <w:rsid w:val="00203A50"/>
    <w:rsid w:val="00203A68"/>
    <w:rsid w:val="00203B6F"/>
    <w:rsid w:val="002040D5"/>
    <w:rsid w:val="002041F4"/>
    <w:rsid w:val="00204518"/>
    <w:rsid w:val="0020462B"/>
    <w:rsid w:val="00204670"/>
    <w:rsid w:val="002048DA"/>
    <w:rsid w:val="00204AE4"/>
    <w:rsid w:val="002053BA"/>
    <w:rsid w:val="002053DE"/>
    <w:rsid w:val="002054C8"/>
    <w:rsid w:val="002055FE"/>
    <w:rsid w:val="00205648"/>
    <w:rsid w:val="00205802"/>
    <w:rsid w:val="00205A74"/>
    <w:rsid w:val="00205AEA"/>
    <w:rsid w:val="00205C7F"/>
    <w:rsid w:val="00205D33"/>
    <w:rsid w:val="00205DF1"/>
    <w:rsid w:val="0020610B"/>
    <w:rsid w:val="00206249"/>
    <w:rsid w:val="00206893"/>
    <w:rsid w:val="00206938"/>
    <w:rsid w:val="00206B71"/>
    <w:rsid w:val="00206DE9"/>
    <w:rsid w:val="00206EF1"/>
    <w:rsid w:val="00206F37"/>
    <w:rsid w:val="00206F7B"/>
    <w:rsid w:val="00207037"/>
    <w:rsid w:val="00207163"/>
    <w:rsid w:val="00207292"/>
    <w:rsid w:val="002073C7"/>
    <w:rsid w:val="002074E3"/>
    <w:rsid w:val="00207692"/>
    <w:rsid w:val="002077E8"/>
    <w:rsid w:val="002079C6"/>
    <w:rsid w:val="002079CE"/>
    <w:rsid w:val="00207B5B"/>
    <w:rsid w:val="00210308"/>
    <w:rsid w:val="00210A25"/>
    <w:rsid w:val="00210E09"/>
    <w:rsid w:val="00211317"/>
    <w:rsid w:val="00211336"/>
    <w:rsid w:val="0021142D"/>
    <w:rsid w:val="00211547"/>
    <w:rsid w:val="00211781"/>
    <w:rsid w:val="002117F0"/>
    <w:rsid w:val="00211B65"/>
    <w:rsid w:val="00211FD3"/>
    <w:rsid w:val="002122EE"/>
    <w:rsid w:val="00212349"/>
    <w:rsid w:val="002126FF"/>
    <w:rsid w:val="00212799"/>
    <w:rsid w:val="00212952"/>
    <w:rsid w:val="00212A56"/>
    <w:rsid w:val="00212ACA"/>
    <w:rsid w:val="00212D6C"/>
    <w:rsid w:val="00212E9A"/>
    <w:rsid w:val="00212FAA"/>
    <w:rsid w:val="00213012"/>
    <w:rsid w:val="00213291"/>
    <w:rsid w:val="002132F3"/>
    <w:rsid w:val="002134FC"/>
    <w:rsid w:val="002137B5"/>
    <w:rsid w:val="0021392A"/>
    <w:rsid w:val="00213BEE"/>
    <w:rsid w:val="00213C38"/>
    <w:rsid w:val="00213C44"/>
    <w:rsid w:val="00213CAC"/>
    <w:rsid w:val="00213D52"/>
    <w:rsid w:val="00213DD2"/>
    <w:rsid w:val="00214412"/>
    <w:rsid w:val="002144AC"/>
    <w:rsid w:val="00214847"/>
    <w:rsid w:val="00214A6C"/>
    <w:rsid w:val="00214BE9"/>
    <w:rsid w:val="00214C03"/>
    <w:rsid w:val="00214D7A"/>
    <w:rsid w:val="00214F3D"/>
    <w:rsid w:val="002151E2"/>
    <w:rsid w:val="002152B0"/>
    <w:rsid w:val="0021536B"/>
    <w:rsid w:val="002153BF"/>
    <w:rsid w:val="00215475"/>
    <w:rsid w:val="002154E1"/>
    <w:rsid w:val="002156FF"/>
    <w:rsid w:val="002157DB"/>
    <w:rsid w:val="00215A95"/>
    <w:rsid w:val="00215BC9"/>
    <w:rsid w:val="00215D58"/>
    <w:rsid w:val="00215F74"/>
    <w:rsid w:val="0021605B"/>
    <w:rsid w:val="002160AE"/>
    <w:rsid w:val="002162FB"/>
    <w:rsid w:val="002167C4"/>
    <w:rsid w:val="00216800"/>
    <w:rsid w:val="002168FC"/>
    <w:rsid w:val="00217078"/>
    <w:rsid w:val="002171D5"/>
    <w:rsid w:val="002171E3"/>
    <w:rsid w:val="0021738F"/>
    <w:rsid w:val="002175E3"/>
    <w:rsid w:val="00217AD7"/>
    <w:rsid w:val="00217D96"/>
    <w:rsid w:val="00217F60"/>
    <w:rsid w:val="00217FC2"/>
    <w:rsid w:val="002202A6"/>
    <w:rsid w:val="00220488"/>
    <w:rsid w:val="0022049D"/>
    <w:rsid w:val="00220866"/>
    <w:rsid w:val="002209A0"/>
    <w:rsid w:val="002209DF"/>
    <w:rsid w:val="00220A62"/>
    <w:rsid w:val="00220D01"/>
    <w:rsid w:val="002214AA"/>
    <w:rsid w:val="0022164C"/>
    <w:rsid w:val="002217E4"/>
    <w:rsid w:val="00221885"/>
    <w:rsid w:val="002219FA"/>
    <w:rsid w:val="00221A89"/>
    <w:rsid w:val="00221C6A"/>
    <w:rsid w:val="00221EF5"/>
    <w:rsid w:val="002220F6"/>
    <w:rsid w:val="00222152"/>
    <w:rsid w:val="00222184"/>
    <w:rsid w:val="00222244"/>
    <w:rsid w:val="002223D6"/>
    <w:rsid w:val="00222866"/>
    <w:rsid w:val="0022291B"/>
    <w:rsid w:val="002229B1"/>
    <w:rsid w:val="00222C22"/>
    <w:rsid w:val="00222E5B"/>
    <w:rsid w:val="0022326A"/>
    <w:rsid w:val="0022332B"/>
    <w:rsid w:val="0022398C"/>
    <w:rsid w:val="00223B34"/>
    <w:rsid w:val="00223C3C"/>
    <w:rsid w:val="00223C5E"/>
    <w:rsid w:val="00223C68"/>
    <w:rsid w:val="00223D60"/>
    <w:rsid w:val="00223EFE"/>
    <w:rsid w:val="00223FEE"/>
    <w:rsid w:val="0022416D"/>
    <w:rsid w:val="002241EF"/>
    <w:rsid w:val="002244AE"/>
    <w:rsid w:val="00224549"/>
    <w:rsid w:val="002245E3"/>
    <w:rsid w:val="00224794"/>
    <w:rsid w:val="00224C3C"/>
    <w:rsid w:val="00224CC7"/>
    <w:rsid w:val="00224CE3"/>
    <w:rsid w:val="00224D24"/>
    <w:rsid w:val="00224D5D"/>
    <w:rsid w:val="00224DEA"/>
    <w:rsid w:val="00224EFD"/>
    <w:rsid w:val="00225098"/>
    <w:rsid w:val="00225345"/>
    <w:rsid w:val="002253F5"/>
    <w:rsid w:val="00225525"/>
    <w:rsid w:val="0022557E"/>
    <w:rsid w:val="002255D4"/>
    <w:rsid w:val="00225670"/>
    <w:rsid w:val="002259F2"/>
    <w:rsid w:val="00225A5D"/>
    <w:rsid w:val="00225A70"/>
    <w:rsid w:val="00225BF5"/>
    <w:rsid w:val="00225C5E"/>
    <w:rsid w:val="002261FF"/>
    <w:rsid w:val="0022621E"/>
    <w:rsid w:val="00226230"/>
    <w:rsid w:val="00226673"/>
    <w:rsid w:val="00226A98"/>
    <w:rsid w:val="00226B36"/>
    <w:rsid w:val="00227288"/>
    <w:rsid w:val="002272EC"/>
    <w:rsid w:val="002274BC"/>
    <w:rsid w:val="002274CA"/>
    <w:rsid w:val="002275A4"/>
    <w:rsid w:val="002276D7"/>
    <w:rsid w:val="00227993"/>
    <w:rsid w:val="00227B60"/>
    <w:rsid w:val="00227F59"/>
    <w:rsid w:val="00227FA8"/>
    <w:rsid w:val="00230085"/>
    <w:rsid w:val="002300FB"/>
    <w:rsid w:val="0023022B"/>
    <w:rsid w:val="00230278"/>
    <w:rsid w:val="00230548"/>
    <w:rsid w:val="0023066B"/>
    <w:rsid w:val="00230752"/>
    <w:rsid w:val="002308AA"/>
    <w:rsid w:val="00230930"/>
    <w:rsid w:val="002309E4"/>
    <w:rsid w:val="00230BA4"/>
    <w:rsid w:val="00230D20"/>
    <w:rsid w:val="00230E66"/>
    <w:rsid w:val="00230FBB"/>
    <w:rsid w:val="002311F0"/>
    <w:rsid w:val="00231546"/>
    <w:rsid w:val="00231601"/>
    <w:rsid w:val="00231631"/>
    <w:rsid w:val="0023179B"/>
    <w:rsid w:val="002317E1"/>
    <w:rsid w:val="002318FF"/>
    <w:rsid w:val="00231D74"/>
    <w:rsid w:val="00231DF1"/>
    <w:rsid w:val="00231E06"/>
    <w:rsid w:val="002322D7"/>
    <w:rsid w:val="002323B7"/>
    <w:rsid w:val="002323F9"/>
    <w:rsid w:val="002326A3"/>
    <w:rsid w:val="00232A08"/>
    <w:rsid w:val="00232CC5"/>
    <w:rsid w:val="00232D1D"/>
    <w:rsid w:val="00232D3B"/>
    <w:rsid w:val="00232FBB"/>
    <w:rsid w:val="002331FA"/>
    <w:rsid w:val="0023335C"/>
    <w:rsid w:val="0023344F"/>
    <w:rsid w:val="00233539"/>
    <w:rsid w:val="00233A75"/>
    <w:rsid w:val="00233C5D"/>
    <w:rsid w:val="00233F3A"/>
    <w:rsid w:val="0023406A"/>
    <w:rsid w:val="00234659"/>
    <w:rsid w:val="002346C1"/>
    <w:rsid w:val="00234B15"/>
    <w:rsid w:val="00234B24"/>
    <w:rsid w:val="00234D02"/>
    <w:rsid w:val="00234F87"/>
    <w:rsid w:val="00234FEF"/>
    <w:rsid w:val="00235132"/>
    <w:rsid w:val="002351DC"/>
    <w:rsid w:val="002352D2"/>
    <w:rsid w:val="0023535C"/>
    <w:rsid w:val="002356C3"/>
    <w:rsid w:val="00235BBD"/>
    <w:rsid w:val="00235E69"/>
    <w:rsid w:val="002360B4"/>
    <w:rsid w:val="0023614F"/>
    <w:rsid w:val="00236280"/>
    <w:rsid w:val="0023674F"/>
    <w:rsid w:val="002368C1"/>
    <w:rsid w:val="00236AAB"/>
    <w:rsid w:val="00236B33"/>
    <w:rsid w:val="00236E96"/>
    <w:rsid w:val="00236FB3"/>
    <w:rsid w:val="0023731E"/>
    <w:rsid w:val="00237353"/>
    <w:rsid w:val="0023750A"/>
    <w:rsid w:val="00237546"/>
    <w:rsid w:val="002375D6"/>
    <w:rsid w:val="002375DF"/>
    <w:rsid w:val="00237683"/>
    <w:rsid w:val="002378CF"/>
    <w:rsid w:val="002403FB"/>
    <w:rsid w:val="0024041F"/>
    <w:rsid w:val="00240590"/>
    <w:rsid w:val="002405FA"/>
    <w:rsid w:val="00240822"/>
    <w:rsid w:val="00240A4B"/>
    <w:rsid w:val="00240B24"/>
    <w:rsid w:val="00240C1B"/>
    <w:rsid w:val="00240CB9"/>
    <w:rsid w:val="00240D75"/>
    <w:rsid w:val="00241161"/>
    <w:rsid w:val="002411D8"/>
    <w:rsid w:val="00241429"/>
    <w:rsid w:val="0024150E"/>
    <w:rsid w:val="00241516"/>
    <w:rsid w:val="002419DC"/>
    <w:rsid w:val="00241EDF"/>
    <w:rsid w:val="00241FF9"/>
    <w:rsid w:val="002420B9"/>
    <w:rsid w:val="0024220E"/>
    <w:rsid w:val="002424C0"/>
    <w:rsid w:val="002425F1"/>
    <w:rsid w:val="00242B72"/>
    <w:rsid w:val="00242F6C"/>
    <w:rsid w:val="0024392D"/>
    <w:rsid w:val="00243DC8"/>
    <w:rsid w:val="00243F3F"/>
    <w:rsid w:val="00244134"/>
    <w:rsid w:val="002441C1"/>
    <w:rsid w:val="00244550"/>
    <w:rsid w:val="00244581"/>
    <w:rsid w:val="00244635"/>
    <w:rsid w:val="002446BE"/>
    <w:rsid w:val="002446CD"/>
    <w:rsid w:val="002448AF"/>
    <w:rsid w:val="00244CF1"/>
    <w:rsid w:val="00244E5B"/>
    <w:rsid w:val="00244F80"/>
    <w:rsid w:val="0024502C"/>
    <w:rsid w:val="00245423"/>
    <w:rsid w:val="002455D1"/>
    <w:rsid w:val="00245814"/>
    <w:rsid w:val="002458F5"/>
    <w:rsid w:val="00245B84"/>
    <w:rsid w:val="00245C2C"/>
    <w:rsid w:val="00245CEF"/>
    <w:rsid w:val="00245D8A"/>
    <w:rsid w:val="00245DBB"/>
    <w:rsid w:val="0024600E"/>
    <w:rsid w:val="002461E6"/>
    <w:rsid w:val="00246221"/>
    <w:rsid w:val="002463A6"/>
    <w:rsid w:val="002469D5"/>
    <w:rsid w:val="00246A23"/>
    <w:rsid w:val="00246ACE"/>
    <w:rsid w:val="00246AF1"/>
    <w:rsid w:val="00246B87"/>
    <w:rsid w:val="00246CB7"/>
    <w:rsid w:val="00246EE5"/>
    <w:rsid w:val="002470C4"/>
    <w:rsid w:val="00247249"/>
    <w:rsid w:val="0024724E"/>
    <w:rsid w:val="002472BC"/>
    <w:rsid w:val="0024732D"/>
    <w:rsid w:val="00247569"/>
    <w:rsid w:val="00247580"/>
    <w:rsid w:val="0024775F"/>
    <w:rsid w:val="0024799B"/>
    <w:rsid w:val="002479EB"/>
    <w:rsid w:val="00247E78"/>
    <w:rsid w:val="00247F5B"/>
    <w:rsid w:val="00250826"/>
    <w:rsid w:val="00250944"/>
    <w:rsid w:val="00250A42"/>
    <w:rsid w:val="00250C9B"/>
    <w:rsid w:val="00250CA3"/>
    <w:rsid w:val="00250CD5"/>
    <w:rsid w:val="00250DDD"/>
    <w:rsid w:val="00250E63"/>
    <w:rsid w:val="00250EF2"/>
    <w:rsid w:val="002510E8"/>
    <w:rsid w:val="00251B1D"/>
    <w:rsid w:val="00251D0E"/>
    <w:rsid w:val="00251EF8"/>
    <w:rsid w:val="00251F96"/>
    <w:rsid w:val="0025210D"/>
    <w:rsid w:val="00252468"/>
    <w:rsid w:val="00252505"/>
    <w:rsid w:val="002525A5"/>
    <w:rsid w:val="00252912"/>
    <w:rsid w:val="00252D2D"/>
    <w:rsid w:val="00252DB0"/>
    <w:rsid w:val="00252DC6"/>
    <w:rsid w:val="00252F4D"/>
    <w:rsid w:val="00253183"/>
    <w:rsid w:val="002534DE"/>
    <w:rsid w:val="002534DF"/>
    <w:rsid w:val="00253570"/>
    <w:rsid w:val="00253622"/>
    <w:rsid w:val="00253945"/>
    <w:rsid w:val="00253A7D"/>
    <w:rsid w:val="00253DD8"/>
    <w:rsid w:val="00253FA3"/>
    <w:rsid w:val="00254039"/>
    <w:rsid w:val="002541C2"/>
    <w:rsid w:val="0025463D"/>
    <w:rsid w:val="0025479A"/>
    <w:rsid w:val="002547B2"/>
    <w:rsid w:val="002547C6"/>
    <w:rsid w:val="002547F5"/>
    <w:rsid w:val="002547F9"/>
    <w:rsid w:val="00254989"/>
    <w:rsid w:val="002549DC"/>
    <w:rsid w:val="00254C0E"/>
    <w:rsid w:val="00254C9E"/>
    <w:rsid w:val="00254D80"/>
    <w:rsid w:val="00254DD2"/>
    <w:rsid w:val="00254ED6"/>
    <w:rsid w:val="00254F39"/>
    <w:rsid w:val="002553A7"/>
    <w:rsid w:val="002553BD"/>
    <w:rsid w:val="002556AC"/>
    <w:rsid w:val="002559B7"/>
    <w:rsid w:val="00255B3E"/>
    <w:rsid w:val="00255CA1"/>
    <w:rsid w:val="00255CAD"/>
    <w:rsid w:val="00255CBF"/>
    <w:rsid w:val="00255EC1"/>
    <w:rsid w:val="002560C9"/>
    <w:rsid w:val="002561F7"/>
    <w:rsid w:val="00256513"/>
    <w:rsid w:val="00256523"/>
    <w:rsid w:val="0025661D"/>
    <w:rsid w:val="0025674B"/>
    <w:rsid w:val="00256766"/>
    <w:rsid w:val="00256ABD"/>
    <w:rsid w:val="00256BE1"/>
    <w:rsid w:val="00256C00"/>
    <w:rsid w:val="00256E53"/>
    <w:rsid w:val="0025726D"/>
    <w:rsid w:val="00257440"/>
    <w:rsid w:val="00257531"/>
    <w:rsid w:val="00257713"/>
    <w:rsid w:val="002579C7"/>
    <w:rsid w:val="00257A97"/>
    <w:rsid w:val="00257B64"/>
    <w:rsid w:val="00257B90"/>
    <w:rsid w:val="00257C41"/>
    <w:rsid w:val="00257CB7"/>
    <w:rsid w:val="00257DA5"/>
    <w:rsid w:val="00257E28"/>
    <w:rsid w:val="00260165"/>
    <w:rsid w:val="00260277"/>
    <w:rsid w:val="00260502"/>
    <w:rsid w:val="0026056A"/>
    <w:rsid w:val="0026066C"/>
    <w:rsid w:val="00260723"/>
    <w:rsid w:val="00260891"/>
    <w:rsid w:val="00260A69"/>
    <w:rsid w:val="00260BA1"/>
    <w:rsid w:val="00260C9F"/>
    <w:rsid w:val="00260CBF"/>
    <w:rsid w:val="00260CC7"/>
    <w:rsid w:val="00261111"/>
    <w:rsid w:val="002618DF"/>
    <w:rsid w:val="00261908"/>
    <w:rsid w:val="002619CA"/>
    <w:rsid w:val="00261D00"/>
    <w:rsid w:val="00261DF5"/>
    <w:rsid w:val="00261E35"/>
    <w:rsid w:val="00261ED9"/>
    <w:rsid w:val="00261F59"/>
    <w:rsid w:val="0026207C"/>
    <w:rsid w:val="00262110"/>
    <w:rsid w:val="0026250B"/>
    <w:rsid w:val="00262708"/>
    <w:rsid w:val="002627E0"/>
    <w:rsid w:val="0026299A"/>
    <w:rsid w:val="002629D1"/>
    <w:rsid w:val="00262A00"/>
    <w:rsid w:val="00262A9C"/>
    <w:rsid w:val="00262BDD"/>
    <w:rsid w:val="00262C13"/>
    <w:rsid w:val="00262D11"/>
    <w:rsid w:val="00262EE0"/>
    <w:rsid w:val="002631B2"/>
    <w:rsid w:val="002633D9"/>
    <w:rsid w:val="002633EE"/>
    <w:rsid w:val="00263481"/>
    <w:rsid w:val="002637BE"/>
    <w:rsid w:val="00263A0F"/>
    <w:rsid w:val="00263CF0"/>
    <w:rsid w:val="00263EC8"/>
    <w:rsid w:val="00264201"/>
    <w:rsid w:val="0026422C"/>
    <w:rsid w:val="002643AF"/>
    <w:rsid w:val="002643E1"/>
    <w:rsid w:val="00264589"/>
    <w:rsid w:val="00264639"/>
    <w:rsid w:val="00264787"/>
    <w:rsid w:val="0026491F"/>
    <w:rsid w:val="002649F2"/>
    <w:rsid w:val="00264CAE"/>
    <w:rsid w:val="00264D37"/>
    <w:rsid w:val="0026502C"/>
    <w:rsid w:val="00265060"/>
    <w:rsid w:val="0026509B"/>
    <w:rsid w:val="00265256"/>
    <w:rsid w:val="002654ED"/>
    <w:rsid w:val="002659FF"/>
    <w:rsid w:val="00265BB3"/>
    <w:rsid w:val="00265BE9"/>
    <w:rsid w:val="00265C8A"/>
    <w:rsid w:val="00265CD8"/>
    <w:rsid w:val="00265D5B"/>
    <w:rsid w:val="00265F18"/>
    <w:rsid w:val="00265F74"/>
    <w:rsid w:val="002661C4"/>
    <w:rsid w:val="00266270"/>
    <w:rsid w:val="00266282"/>
    <w:rsid w:val="002664AE"/>
    <w:rsid w:val="00266517"/>
    <w:rsid w:val="002666B2"/>
    <w:rsid w:val="0026674F"/>
    <w:rsid w:val="00266A4A"/>
    <w:rsid w:val="00266C29"/>
    <w:rsid w:val="00266DD6"/>
    <w:rsid w:val="00266FD6"/>
    <w:rsid w:val="002670C0"/>
    <w:rsid w:val="0026722B"/>
    <w:rsid w:val="0026723F"/>
    <w:rsid w:val="00267428"/>
    <w:rsid w:val="00267550"/>
    <w:rsid w:val="00267565"/>
    <w:rsid w:val="0026767B"/>
    <w:rsid w:val="00267854"/>
    <w:rsid w:val="0027028A"/>
    <w:rsid w:val="00270496"/>
    <w:rsid w:val="00270557"/>
    <w:rsid w:val="00270AF7"/>
    <w:rsid w:val="00270B16"/>
    <w:rsid w:val="00270BA3"/>
    <w:rsid w:val="00270FCB"/>
    <w:rsid w:val="00271058"/>
    <w:rsid w:val="00271203"/>
    <w:rsid w:val="002712E3"/>
    <w:rsid w:val="002714F4"/>
    <w:rsid w:val="00271580"/>
    <w:rsid w:val="00271814"/>
    <w:rsid w:val="00271AF9"/>
    <w:rsid w:val="00271E87"/>
    <w:rsid w:val="002722BD"/>
    <w:rsid w:val="002723ED"/>
    <w:rsid w:val="0027243B"/>
    <w:rsid w:val="00272712"/>
    <w:rsid w:val="00272731"/>
    <w:rsid w:val="00272B60"/>
    <w:rsid w:val="00272C4B"/>
    <w:rsid w:val="00272D59"/>
    <w:rsid w:val="00273728"/>
    <w:rsid w:val="00273AE9"/>
    <w:rsid w:val="00273C9E"/>
    <w:rsid w:val="00273D4A"/>
    <w:rsid w:val="00273E43"/>
    <w:rsid w:val="00273F8A"/>
    <w:rsid w:val="00273FDD"/>
    <w:rsid w:val="00274033"/>
    <w:rsid w:val="002740C7"/>
    <w:rsid w:val="002743B0"/>
    <w:rsid w:val="002743F0"/>
    <w:rsid w:val="002743F2"/>
    <w:rsid w:val="00274751"/>
    <w:rsid w:val="002748F8"/>
    <w:rsid w:val="00274B3A"/>
    <w:rsid w:val="00274EEE"/>
    <w:rsid w:val="00274EF3"/>
    <w:rsid w:val="00275048"/>
    <w:rsid w:val="002753B7"/>
    <w:rsid w:val="002753EB"/>
    <w:rsid w:val="002756E7"/>
    <w:rsid w:val="002756FD"/>
    <w:rsid w:val="00275788"/>
    <w:rsid w:val="00275F55"/>
    <w:rsid w:val="0027635E"/>
    <w:rsid w:val="002766ED"/>
    <w:rsid w:val="002767FD"/>
    <w:rsid w:val="00276AD3"/>
    <w:rsid w:val="00276B3F"/>
    <w:rsid w:val="00276C1B"/>
    <w:rsid w:val="00276EA3"/>
    <w:rsid w:val="00277579"/>
    <w:rsid w:val="002776B9"/>
    <w:rsid w:val="0027788A"/>
    <w:rsid w:val="0027793E"/>
    <w:rsid w:val="00277B67"/>
    <w:rsid w:val="00277EE4"/>
    <w:rsid w:val="00277F26"/>
    <w:rsid w:val="002800C8"/>
    <w:rsid w:val="002801A5"/>
    <w:rsid w:val="00280256"/>
    <w:rsid w:val="0028051F"/>
    <w:rsid w:val="00280636"/>
    <w:rsid w:val="002806AA"/>
    <w:rsid w:val="002809E8"/>
    <w:rsid w:val="002809EE"/>
    <w:rsid w:val="00280A88"/>
    <w:rsid w:val="00280AC6"/>
    <w:rsid w:val="00280B8B"/>
    <w:rsid w:val="00280C15"/>
    <w:rsid w:val="00280CBE"/>
    <w:rsid w:val="00280E23"/>
    <w:rsid w:val="002810B6"/>
    <w:rsid w:val="00281298"/>
    <w:rsid w:val="00281542"/>
    <w:rsid w:val="0028166A"/>
    <w:rsid w:val="00281704"/>
    <w:rsid w:val="00281997"/>
    <w:rsid w:val="00281AAD"/>
    <w:rsid w:val="00281ACE"/>
    <w:rsid w:val="00281FE7"/>
    <w:rsid w:val="00282139"/>
    <w:rsid w:val="00282141"/>
    <w:rsid w:val="002824C3"/>
    <w:rsid w:val="0028259A"/>
    <w:rsid w:val="0028264B"/>
    <w:rsid w:val="00282C74"/>
    <w:rsid w:val="00282F83"/>
    <w:rsid w:val="00283195"/>
    <w:rsid w:val="002833E1"/>
    <w:rsid w:val="0028344B"/>
    <w:rsid w:val="00283586"/>
    <w:rsid w:val="0028359E"/>
    <w:rsid w:val="00283846"/>
    <w:rsid w:val="002838DA"/>
    <w:rsid w:val="002838EA"/>
    <w:rsid w:val="00283A3B"/>
    <w:rsid w:val="00284100"/>
    <w:rsid w:val="0028430E"/>
    <w:rsid w:val="0028440F"/>
    <w:rsid w:val="002848A0"/>
    <w:rsid w:val="00284B3E"/>
    <w:rsid w:val="00284C03"/>
    <w:rsid w:val="00284E54"/>
    <w:rsid w:val="00284E83"/>
    <w:rsid w:val="00284FCB"/>
    <w:rsid w:val="00285310"/>
    <w:rsid w:val="002853F4"/>
    <w:rsid w:val="0028542F"/>
    <w:rsid w:val="002854A3"/>
    <w:rsid w:val="00285852"/>
    <w:rsid w:val="002859D0"/>
    <w:rsid w:val="00285A0C"/>
    <w:rsid w:val="00285B61"/>
    <w:rsid w:val="00285BEE"/>
    <w:rsid w:val="00285D6A"/>
    <w:rsid w:val="00285E8D"/>
    <w:rsid w:val="00285F9B"/>
    <w:rsid w:val="00286097"/>
    <w:rsid w:val="0028618E"/>
    <w:rsid w:val="00286190"/>
    <w:rsid w:val="002861C6"/>
    <w:rsid w:val="002863EA"/>
    <w:rsid w:val="0028651E"/>
    <w:rsid w:val="00286558"/>
    <w:rsid w:val="0028689E"/>
    <w:rsid w:val="00286B1A"/>
    <w:rsid w:val="00286D58"/>
    <w:rsid w:val="00286D69"/>
    <w:rsid w:val="00286E6E"/>
    <w:rsid w:val="00286EAF"/>
    <w:rsid w:val="00286F9E"/>
    <w:rsid w:val="002871C6"/>
    <w:rsid w:val="002872B6"/>
    <w:rsid w:val="002872F5"/>
    <w:rsid w:val="002874FE"/>
    <w:rsid w:val="00287C2A"/>
    <w:rsid w:val="00287E0F"/>
    <w:rsid w:val="00290232"/>
    <w:rsid w:val="00290298"/>
    <w:rsid w:val="00290332"/>
    <w:rsid w:val="00290859"/>
    <w:rsid w:val="00290A5F"/>
    <w:rsid w:val="00290C6F"/>
    <w:rsid w:val="00290D29"/>
    <w:rsid w:val="00290DF4"/>
    <w:rsid w:val="00290EBE"/>
    <w:rsid w:val="00290EE1"/>
    <w:rsid w:val="002910C2"/>
    <w:rsid w:val="00291331"/>
    <w:rsid w:val="0029136C"/>
    <w:rsid w:val="00291828"/>
    <w:rsid w:val="002919DC"/>
    <w:rsid w:val="00291B6B"/>
    <w:rsid w:val="00291CA4"/>
    <w:rsid w:val="00291D0C"/>
    <w:rsid w:val="00291D4B"/>
    <w:rsid w:val="00291D5C"/>
    <w:rsid w:val="00291ECC"/>
    <w:rsid w:val="002920BF"/>
    <w:rsid w:val="002921F0"/>
    <w:rsid w:val="002924CE"/>
    <w:rsid w:val="00292748"/>
    <w:rsid w:val="002927DA"/>
    <w:rsid w:val="002927DB"/>
    <w:rsid w:val="002929FE"/>
    <w:rsid w:val="00292A90"/>
    <w:rsid w:val="002931CB"/>
    <w:rsid w:val="002931F3"/>
    <w:rsid w:val="002938BB"/>
    <w:rsid w:val="00293A3D"/>
    <w:rsid w:val="00293AE2"/>
    <w:rsid w:val="00293C26"/>
    <w:rsid w:val="00293F8F"/>
    <w:rsid w:val="00294095"/>
    <w:rsid w:val="002941FF"/>
    <w:rsid w:val="00294274"/>
    <w:rsid w:val="002943B4"/>
    <w:rsid w:val="00294800"/>
    <w:rsid w:val="00294AB5"/>
    <w:rsid w:val="00294CAB"/>
    <w:rsid w:val="00294E57"/>
    <w:rsid w:val="00294F60"/>
    <w:rsid w:val="0029504A"/>
    <w:rsid w:val="002950D9"/>
    <w:rsid w:val="002950ED"/>
    <w:rsid w:val="00295218"/>
    <w:rsid w:val="00295387"/>
    <w:rsid w:val="002953A0"/>
    <w:rsid w:val="002956BE"/>
    <w:rsid w:val="00295705"/>
    <w:rsid w:val="002957C0"/>
    <w:rsid w:val="002958C4"/>
    <w:rsid w:val="00295B1B"/>
    <w:rsid w:val="00295B64"/>
    <w:rsid w:val="00295BFC"/>
    <w:rsid w:val="00295F14"/>
    <w:rsid w:val="00296088"/>
    <w:rsid w:val="002960DB"/>
    <w:rsid w:val="00296166"/>
    <w:rsid w:val="00296253"/>
    <w:rsid w:val="00296292"/>
    <w:rsid w:val="00296376"/>
    <w:rsid w:val="002965E5"/>
    <w:rsid w:val="00296908"/>
    <w:rsid w:val="00296B10"/>
    <w:rsid w:val="00296EC6"/>
    <w:rsid w:val="00297A8B"/>
    <w:rsid w:val="00297F33"/>
    <w:rsid w:val="002A00D9"/>
    <w:rsid w:val="002A02EA"/>
    <w:rsid w:val="002A0650"/>
    <w:rsid w:val="002A0775"/>
    <w:rsid w:val="002A0A04"/>
    <w:rsid w:val="002A0B2E"/>
    <w:rsid w:val="002A1569"/>
    <w:rsid w:val="002A16BA"/>
    <w:rsid w:val="002A1775"/>
    <w:rsid w:val="002A1848"/>
    <w:rsid w:val="002A18C1"/>
    <w:rsid w:val="002A18F1"/>
    <w:rsid w:val="002A1940"/>
    <w:rsid w:val="002A1C40"/>
    <w:rsid w:val="002A1D6E"/>
    <w:rsid w:val="002A1DEF"/>
    <w:rsid w:val="002A1F75"/>
    <w:rsid w:val="002A234E"/>
    <w:rsid w:val="002A2933"/>
    <w:rsid w:val="002A2B8D"/>
    <w:rsid w:val="002A2DD9"/>
    <w:rsid w:val="002A2F08"/>
    <w:rsid w:val="002A317A"/>
    <w:rsid w:val="002A31CD"/>
    <w:rsid w:val="002A38A9"/>
    <w:rsid w:val="002A39ED"/>
    <w:rsid w:val="002A3D4B"/>
    <w:rsid w:val="002A3D61"/>
    <w:rsid w:val="002A3E87"/>
    <w:rsid w:val="002A3E8C"/>
    <w:rsid w:val="002A3EF6"/>
    <w:rsid w:val="002A3FF6"/>
    <w:rsid w:val="002A47B2"/>
    <w:rsid w:val="002A48C8"/>
    <w:rsid w:val="002A4915"/>
    <w:rsid w:val="002A4AD3"/>
    <w:rsid w:val="002A4B17"/>
    <w:rsid w:val="002A4D8A"/>
    <w:rsid w:val="002A4E82"/>
    <w:rsid w:val="002A5179"/>
    <w:rsid w:val="002A5739"/>
    <w:rsid w:val="002A59D4"/>
    <w:rsid w:val="002A5BD1"/>
    <w:rsid w:val="002A5C23"/>
    <w:rsid w:val="002A5EE1"/>
    <w:rsid w:val="002A5F63"/>
    <w:rsid w:val="002A631C"/>
    <w:rsid w:val="002A6463"/>
    <w:rsid w:val="002A65BF"/>
    <w:rsid w:val="002A6B06"/>
    <w:rsid w:val="002A71A1"/>
    <w:rsid w:val="002A73A3"/>
    <w:rsid w:val="002A74A3"/>
    <w:rsid w:val="002A76DE"/>
    <w:rsid w:val="002A774B"/>
    <w:rsid w:val="002A793B"/>
    <w:rsid w:val="002A79B0"/>
    <w:rsid w:val="002A7A4D"/>
    <w:rsid w:val="002A7B13"/>
    <w:rsid w:val="002A7BB5"/>
    <w:rsid w:val="002B0156"/>
    <w:rsid w:val="002B0762"/>
    <w:rsid w:val="002B07EC"/>
    <w:rsid w:val="002B095A"/>
    <w:rsid w:val="002B0A40"/>
    <w:rsid w:val="002B12E8"/>
    <w:rsid w:val="002B13C5"/>
    <w:rsid w:val="002B1581"/>
    <w:rsid w:val="002B1621"/>
    <w:rsid w:val="002B16D2"/>
    <w:rsid w:val="002B1803"/>
    <w:rsid w:val="002B191A"/>
    <w:rsid w:val="002B19A2"/>
    <w:rsid w:val="002B1C29"/>
    <w:rsid w:val="002B1DEF"/>
    <w:rsid w:val="002B20B8"/>
    <w:rsid w:val="002B2177"/>
    <w:rsid w:val="002B247C"/>
    <w:rsid w:val="002B263E"/>
    <w:rsid w:val="002B26BD"/>
    <w:rsid w:val="002B285F"/>
    <w:rsid w:val="002B28FB"/>
    <w:rsid w:val="002B2968"/>
    <w:rsid w:val="002B3131"/>
    <w:rsid w:val="002B33CF"/>
    <w:rsid w:val="002B35AA"/>
    <w:rsid w:val="002B35FC"/>
    <w:rsid w:val="002B363F"/>
    <w:rsid w:val="002B364B"/>
    <w:rsid w:val="002B378A"/>
    <w:rsid w:val="002B3B54"/>
    <w:rsid w:val="002B3C38"/>
    <w:rsid w:val="002B3CB3"/>
    <w:rsid w:val="002B3D95"/>
    <w:rsid w:val="002B4084"/>
    <w:rsid w:val="002B422A"/>
    <w:rsid w:val="002B4297"/>
    <w:rsid w:val="002B449A"/>
    <w:rsid w:val="002B4598"/>
    <w:rsid w:val="002B4649"/>
    <w:rsid w:val="002B46F0"/>
    <w:rsid w:val="002B4957"/>
    <w:rsid w:val="002B49FE"/>
    <w:rsid w:val="002B4A73"/>
    <w:rsid w:val="002B4D7E"/>
    <w:rsid w:val="002B4E9B"/>
    <w:rsid w:val="002B4F77"/>
    <w:rsid w:val="002B50BA"/>
    <w:rsid w:val="002B537B"/>
    <w:rsid w:val="002B56AD"/>
    <w:rsid w:val="002B58AF"/>
    <w:rsid w:val="002B60A3"/>
    <w:rsid w:val="002B634F"/>
    <w:rsid w:val="002B6414"/>
    <w:rsid w:val="002B64C4"/>
    <w:rsid w:val="002B6609"/>
    <w:rsid w:val="002B6682"/>
    <w:rsid w:val="002B67E6"/>
    <w:rsid w:val="002B68BD"/>
    <w:rsid w:val="002B6D26"/>
    <w:rsid w:val="002B6F78"/>
    <w:rsid w:val="002B7455"/>
    <w:rsid w:val="002B75DC"/>
    <w:rsid w:val="002B7694"/>
    <w:rsid w:val="002B789D"/>
    <w:rsid w:val="002B7914"/>
    <w:rsid w:val="002B798C"/>
    <w:rsid w:val="002B7AAE"/>
    <w:rsid w:val="002B7C45"/>
    <w:rsid w:val="002B7EC9"/>
    <w:rsid w:val="002B7F8E"/>
    <w:rsid w:val="002C01E6"/>
    <w:rsid w:val="002C028F"/>
    <w:rsid w:val="002C0551"/>
    <w:rsid w:val="002C07E0"/>
    <w:rsid w:val="002C080B"/>
    <w:rsid w:val="002C09DD"/>
    <w:rsid w:val="002C0B1E"/>
    <w:rsid w:val="002C0B7A"/>
    <w:rsid w:val="002C0D17"/>
    <w:rsid w:val="002C0E01"/>
    <w:rsid w:val="002C0EE8"/>
    <w:rsid w:val="002C101E"/>
    <w:rsid w:val="002C152D"/>
    <w:rsid w:val="002C1749"/>
    <w:rsid w:val="002C18EE"/>
    <w:rsid w:val="002C1B2C"/>
    <w:rsid w:val="002C1C8B"/>
    <w:rsid w:val="002C1DB9"/>
    <w:rsid w:val="002C1DC1"/>
    <w:rsid w:val="002C1EFA"/>
    <w:rsid w:val="002C21A5"/>
    <w:rsid w:val="002C2351"/>
    <w:rsid w:val="002C23B8"/>
    <w:rsid w:val="002C29B2"/>
    <w:rsid w:val="002C2BA6"/>
    <w:rsid w:val="002C2CD2"/>
    <w:rsid w:val="002C2DA8"/>
    <w:rsid w:val="002C2ED9"/>
    <w:rsid w:val="002C2FB5"/>
    <w:rsid w:val="002C30E8"/>
    <w:rsid w:val="002C3653"/>
    <w:rsid w:val="002C36BC"/>
    <w:rsid w:val="002C3AA8"/>
    <w:rsid w:val="002C3D08"/>
    <w:rsid w:val="002C3D43"/>
    <w:rsid w:val="002C3E9B"/>
    <w:rsid w:val="002C3EA9"/>
    <w:rsid w:val="002C4015"/>
    <w:rsid w:val="002C413A"/>
    <w:rsid w:val="002C41A0"/>
    <w:rsid w:val="002C43C0"/>
    <w:rsid w:val="002C44AD"/>
    <w:rsid w:val="002C4549"/>
    <w:rsid w:val="002C4791"/>
    <w:rsid w:val="002C4ADE"/>
    <w:rsid w:val="002C4F7A"/>
    <w:rsid w:val="002C4FE0"/>
    <w:rsid w:val="002C509A"/>
    <w:rsid w:val="002C5519"/>
    <w:rsid w:val="002C58C4"/>
    <w:rsid w:val="002C5BAB"/>
    <w:rsid w:val="002C5DD3"/>
    <w:rsid w:val="002C6033"/>
    <w:rsid w:val="002C6222"/>
    <w:rsid w:val="002C647D"/>
    <w:rsid w:val="002C649E"/>
    <w:rsid w:val="002C65B0"/>
    <w:rsid w:val="002C671C"/>
    <w:rsid w:val="002C6742"/>
    <w:rsid w:val="002C6840"/>
    <w:rsid w:val="002C6AB2"/>
    <w:rsid w:val="002C6B07"/>
    <w:rsid w:val="002C6BE5"/>
    <w:rsid w:val="002C76FD"/>
    <w:rsid w:val="002C7B63"/>
    <w:rsid w:val="002C7BE5"/>
    <w:rsid w:val="002C7E4D"/>
    <w:rsid w:val="002C7E95"/>
    <w:rsid w:val="002C7EEC"/>
    <w:rsid w:val="002C7FCE"/>
    <w:rsid w:val="002D00DF"/>
    <w:rsid w:val="002D02DC"/>
    <w:rsid w:val="002D0559"/>
    <w:rsid w:val="002D0567"/>
    <w:rsid w:val="002D05D0"/>
    <w:rsid w:val="002D0850"/>
    <w:rsid w:val="002D0962"/>
    <w:rsid w:val="002D09A8"/>
    <w:rsid w:val="002D0D5E"/>
    <w:rsid w:val="002D0DA2"/>
    <w:rsid w:val="002D0E65"/>
    <w:rsid w:val="002D0EB0"/>
    <w:rsid w:val="002D1106"/>
    <w:rsid w:val="002D1130"/>
    <w:rsid w:val="002D11B5"/>
    <w:rsid w:val="002D1261"/>
    <w:rsid w:val="002D18AD"/>
    <w:rsid w:val="002D1903"/>
    <w:rsid w:val="002D199A"/>
    <w:rsid w:val="002D1A89"/>
    <w:rsid w:val="002D1BCF"/>
    <w:rsid w:val="002D1E04"/>
    <w:rsid w:val="002D1E09"/>
    <w:rsid w:val="002D1F0B"/>
    <w:rsid w:val="002D1F2B"/>
    <w:rsid w:val="002D20FE"/>
    <w:rsid w:val="002D2286"/>
    <w:rsid w:val="002D2689"/>
    <w:rsid w:val="002D2701"/>
    <w:rsid w:val="002D2921"/>
    <w:rsid w:val="002D29C1"/>
    <w:rsid w:val="002D2A28"/>
    <w:rsid w:val="002D2B18"/>
    <w:rsid w:val="002D2CFA"/>
    <w:rsid w:val="002D2E8C"/>
    <w:rsid w:val="002D2F55"/>
    <w:rsid w:val="002D3014"/>
    <w:rsid w:val="002D3069"/>
    <w:rsid w:val="002D307D"/>
    <w:rsid w:val="002D30C3"/>
    <w:rsid w:val="002D3223"/>
    <w:rsid w:val="002D326B"/>
    <w:rsid w:val="002D3291"/>
    <w:rsid w:val="002D334E"/>
    <w:rsid w:val="002D35A7"/>
    <w:rsid w:val="002D3AA6"/>
    <w:rsid w:val="002D3F31"/>
    <w:rsid w:val="002D3FCE"/>
    <w:rsid w:val="002D4081"/>
    <w:rsid w:val="002D415C"/>
    <w:rsid w:val="002D416A"/>
    <w:rsid w:val="002D443D"/>
    <w:rsid w:val="002D4DAB"/>
    <w:rsid w:val="002D506F"/>
    <w:rsid w:val="002D5152"/>
    <w:rsid w:val="002D51FF"/>
    <w:rsid w:val="002D53D1"/>
    <w:rsid w:val="002D54AF"/>
    <w:rsid w:val="002D5891"/>
    <w:rsid w:val="002D5A28"/>
    <w:rsid w:val="002D5B7A"/>
    <w:rsid w:val="002D5C0C"/>
    <w:rsid w:val="002D5D55"/>
    <w:rsid w:val="002D60FC"/>
    <w:rsid w:val="002D6109"/>
    <w:rsid w:val="002D6158"/>
    <w:rsid w:val="002D6193"/>
    <w:rsid w:val="002D647A"/>
    <w:rsid w:val="002D68BD"/>
    <w:rsid w:val="002D68E2"/>
    <w:rsid w:val="002D6A13"/>
    <w:rsid w:val="002D7383"/>
    <w:rsid w:val="002D744C"/>
    <w:rsid w:val="002D7530"/>
    <w:rsid w:val="002D755A"/>
    <w:rsid w:val="002D7565"/>
    <w:rsid w:val="002D769F"/>
    <w:rsid w:val="002D77CD"/>
    <w:rsid w:val="002D79A9"/>
    <w:rsid w:val="002D7CAD"/>
    <w:rsid w:val="002D7D89"/>
    <w:rsid w:val="002D7E9F"/>
    <w:rsid w:val="002D7F90"/>
    <w:rsid w:val="002E00E1"/>
    <w:rsid w:val="002E0232"/>
    <w:rsid w:val="002E06E1"/>
    <w:rsid w:val="002E08B1"/>
    <w:rsid w:val="002E0C02"/>
    <w:rsid w:val="002E0C5E"/>
    <w:rsid w:val="002E0D76"/>
    <w:rsid w:val="002E0E18"/>
    <w:rsid w:val="002E0EE3"/>
    <w:rsid w:val="002E0F55"/>
    <w:rsid w:val="002E10E0"/>
    <w:rsid w:val="002E10E5"/>
    <w:rsid w:val="002E12E2"/>
    <w:rsid w:val="002E1305"/>
    <w:rsid w:val="002E13E4"/>
    <w:rsid w:val="002E1415"/>
    <w:rsid w:val="002E1444"/>
    <w:rsid w:val="002E15CA"/>
    <w:rsid w:val="002E17A5"/>
    <w:rsid w:val="002E181A"/>
    <w:rsid w:val="002E1A27"/>
    <w:rsid w:val="002E1C70"/>
    <w:rsid w:val="002E1FB4"/>
    <w:rsid w:val="002E20C4"/>
    <w:rsid w:val="002E2260"/>
    <w:rsid w:val="002E23A8"/>
    <w:rsid w:val="002E2461"/>
    <w:rsid w:val="002E2773"/>
    <w:rsid w:val="002E2AB0"/>
    <w:rsid w:val="002E2B72"/>
    <w:rsid w:val="002E2C73"/>
    <w:rsid w:val="002E2DC0"/>
    <w:rsid w:val="002E31B0"/>
    <w:rsid w:val="002E3330"/>
    <w:rsid w:val="002E34B7"/>
    <w:rsid w:val="002E3B02"/>
    <w:rsid w:val="002E3C83"/>
    <w:rsid w:val="002E3E24"/>
    <w:rsid w:val="002E4178"/>
    <w:rsid w:val="002E41B3"/>
    <w:rsid w:val="002E449F"/>
    <w:rsid w:val="002E44A4"/>
    <w:rsid w:val="002E44BE"/>
    <w:rsid w:val="002E4550"/>
    <w:rsid w:val="002E4691"/>
    <w:rsid w:val="002E49DD"/>
    <w:rsid w:val="002E4A62"/>
    <w:rsid w:val="002E4C00"/>
    <w:rsid w:val="002E51DC"/>
    <w:rsid w:val="002E5322"/>
    <w:rsid w:val="002E53A6"/>
    <w:rsid w:val="002E5418"/>
    <w:rsid w:val="002E5431"/>
    <w:rsid w:val="002E54B6"/>
    <w:rsid w:val="002E54FA"/>
    <w:rsid w:val="002E5556"/>
    <w:rsid w:val="002E55C0"/>
    <w:rsid w:val="002E564F"/>
    <w:rsid w:val="002E587C"/>
    <w:rsid w:val="002E59E0"/>
    <w:rsid w:val="002E59E5"/>
    <w:rsid w:val="002E5B03"/>
    <w:rsid w:val="002E5B16"/>
    <w:rsid w:val="002E5B33"/>
    <w:rsid w:val="002E5E87"/>
    <w:rsid w:val="002E5F63"/>
    <w:rsid w:val="002E60FD"/>
    <w:rsid w:val="002E6BE8"/>
    <w:rsid w:val="002E6C9B"/>
    <w:rsid w:val="002E6E2F"/>
    <w:rsid w:val="002E6F05"/>
    <w:rsid w:val="002E6FD7"/>
    <w:rsid w:val="002E70BE"/>
    <w:rsid w:val="002E7267"/>
    <w:rsid w:val="002E749E"/>
    <w:rsid w:val="002E74F2"/>
    <w:rsid w:val="002E767B"/>
    <w:rsid w:val="002E7C50"/>
    <w:rsid w:val="002E7F53"/>
    <w:rsid w:val="002F0402"/>
    <w:rsid w:val="002F0832"/>
    <w:rsid w:val="002F0933"/>
    <w:rsid w:val="002F09EC"/>
    <w:rsid w:val="002F0AED"/>
    <w:rsid w:val="002F0BD4"/>
    <w:rsid w:val="002F0EF0"/>
    <w:rsid w:val="002F10E7"/>
    <w:rsid w:val="002F1332"/>
    <w:rsid w:val="002F134A"/>
    <w:rsid w:val="002F1408"/>
    <w:rsid w:val="002F148A"/>
    <w:rsid w:val="002F14D9"/>
    <w:rsid w:val="002F151C"/>
    <w:rsid w:val="002F188F"/>
    <w:rsid w:val="002F192F"/>
    <w:rsid w:val="002F1A2E"/>
    <w:rsid w:val="002F1A7C"/>
    <w:rsid w:val="002F1CD2"/>
    <w:rsid w:val="002F1D78"/>
    <w:rsid w:val="002F2180"/>
    <w:rsid w:val="002F2518"/>
    <w:rsid w:val="002F2BAF"/>
    <w:rsid w:val="002F2C56"/>
    <w:rsid w:val="002F2D37"/>
    <w:rsid w:val="002F2E42"/>
    <w:rsid w:val="002F2EC3"/>
    <w:rsid w:val="002F3003"/>
    <w:rsid w:val="002F30A7"/>
    <w:rsid w:val="002F369F"/>
    <w:rsid w:val="002F37ED"/>
    <w:rsid w:val="002F38AA"/>
    <w:rsid w:val="002F38F0"/>
    <w:rsid w:val="002F39AE"/>
    <w:rsid w:val="002F3B74"/>
    <w:rsid w:val="002F3C62"/>
    <w:rsid w:val="002F3D0E"/>
    <w:rsid w:val="002F3E78"/>
    <w:rsid w:val="002F3EB5"/>
    <w:rsid w:val="002F3F29"/>
    <w:rsid w:val="002F3FD0"/>
    <w:rsid w:val="002F40B2"/>
    <w:rsid w:val="002F4229"/>
    <w:rsid w:val="002F4457"/>
    <w:rsid w:val="002F474B"/>
    <w:rsid w:val="002F4820"/>
    <w:rsid w:val="002F4CA9"/>
    <w:rsid w:val="002F4E3E"/>
    <w:rsid w:val="002F5690"/>
    <w:rsid w:val="002F5757"/>
    <w:rsid w:val="002F59B1"/>
    <w:rsid w:val="002F5BAB"/>
    <w:rsid w:val="002F5D8B"/>
    <w:rsid w:val="002F5E1D"/>
    <w:rsid w:val="002F60F2"/>
    <w:rsid w:val="002F63B3"/>
    <w:rsid w:val="002F66BB"/>
    <w:rsid w:val="002F68C4"/>
    <w:rsid w:val="002F6E42"/>
    <w:rsid w:val="002F7040"/>
    <w:rsid w:val="002F70E3"/>
    <w:rsid w:val="002F7155"/>
    <w:rsid w:val="002F734E"/>
    <w:rsid w:val="002F73CB"/>
    <w:rsid w:val="002F74CE"/>
    <w:rsid w:val="002F7E86"/>
    <w:rsid w:val="003000F0"/>
    <w:rsid w:val="00300230"/>
    <w:rsid w:val="003002BC"/>
    <w:rsid w:val="00300369"/>
    <w:rsid w:val="003003C4"/>
    <w:rsid w:val="00300784"/>
    <w:rsid w:val="00300A0F"/>
    <w:rsid w:val="00300AEE"/>
    <w:rsid w:val="00300C74"/>
    <w:rsid w:val="00300F44"/>
    <w:rsid w:val="0030116A"/>
    <w:rsid w:val="00301207"/>
    <w:rsid w:val="0030145F"/>
    <w:rsid w:val="00301731"/>
    <w:rsid w:val="00301795"/>
    <w:rsid w:val="003018E9"/>
    <w:rsid w:val="00301C1E"/>
    <w:rsid w:val="00301E49"/>
    <w:rsid w:val="0030239F"/>
    <w:rsid w:val="00302472"/>
    <w:rsid w:val="00302552"/>
    <w:rsid w:val="003026B8"/>
    <w:rsid w:val="00302CCD"/>
    <w:rsid w:val="00302D46"/>
    <w:rsid w:val="00302E7A"/>
    <w:rsid w:val="00302F7E"/>
    <w:rsid w:val="0030307F"/>
    <w:rsid w:val="00303256"/>
    <w:rsid w:val="003032C9"/>
    <w:rsid w:val="00303694"/>
    <w:rsid w:val="00303848"/>
    <w:rsid w:val="00303C28"/>
    <w:rsid w:val="00303DEC"/>
    <w:rsid w:val="00303E46"/>
    <w:rsid w:val="00303F1C"/>
    <w:rsid w:val="00304129"/>
    <w:rsid w:val="003042B1"/>
    <w:rsid w:val="003042EF"/>
    <w:rsid w:val="00304416"/>
    <w:rsid w:val="003044E8"/>
    <w:rsid w:val="0030456E"/>
    <w:rsid w:val="00304587"/>
    <w:rsid w:val="00304619"/>
    <w:rsid w:val="003046A3"/>
    <w:rsid w:val="00304706"/>
    <w:rsid w:val="003047BF"/>
    <w:rsid w:val="00304C01"/>
    <w:rsid w:val="00304DBE"/>
    <w:rsid w:val="00304EFD"/>
    <w:rsid w:val="00304EFE"/>
    <w:rsid w:val="0030548C"/>
    <w:rsid w:val="00305624"/>
    <w:rsid w:val="0030581F"/>
    <w:rsid w:val="003059A3"/>
    <w:rsid w:val="00305AD6"/>
    <w:rsid w:val="00305B0F"/>
    <w:rsid w:val="00305E74"/>
    <w:rsid w:val="00305F0B"/>
    <w:rsid w:val="00305F51"/>
    <w:rsid w:val="003060CC"/>
    <w:rsid w:val="003061D1"/>
    <w:rsid w:val="003063C5"/>
    <w:rsid w:val="0030649D"/>
    <w:rsid w:val="003064F5"/>
    <w:rsid w:val="00306575"/>
    <w:rsid w:val="00306588"/>
    <w:rsid w:val="003065F6"/>
    <w:rsid w:val="00306641"/>
    <w:rsid w:val="00306718"/>
    <w:rsid w:val="00306735"/>
    <w:rsid w:val="00306785"/>
    <w:rsid w:val="003068D7"/>
    <w:rsid w:val="003069CE"/>
    <w:rsid w:val="003069FA"/>
    <w:rsid w:val="00306A62"/>
    <w:rsid w:val="00306C0E"/>
    <w:rsid w:val="00306D9E"/>
    <w:rsid w:val="00306EF5"/>
    <w:rsid w:val="00306F3C"/>
    <w:rsid w:val="00306F43"/>
    <w:rsid w:val="00307127"/>
    <w:rsid w:val="00307217"/>
    <w:rsid w:val="00307225"/>
    <w:rsid w:val="0030732D"/>
    <w:rsid w:val="003073EE"/>
    <w:rsid w:val="00307416"/>
    <w:rsid w:val="00307461"/>
    <w:rsid w:val="00307E5C"/>
    <w:rsid w:val="003102EA"/>
    <w:rsid w:val="003103EF"/>
    <w:rsid w:val="003104EB"/>
    <w:rsid w:val="00310537"/>
    <w:rsid w:val="00310A66"/>
    <w:rsid w:val="00310AC7"/>
    <w:rsid w:val="00310C00"/>
    <w:rsid w:val="00310C19"/>
    <w:rsid w:val="00310CA1"/>
    <w:rsid w:val="00310CDF"/>
    <w:rsid w:val="00310D1B"/>
    <w:rsid w:val="00310EA0"/>
    <w:rsid w:val="003110FB"/>
    <w:rsid w:val="00311729"/>
    <w:rsid w:val="00311A1E"/>
    <w:rsid w:val="00311AB6"/>
    <w:rsid w:val="00311ABE"/>
    <w:rsid w:val="00311B4E"/>
    <w:rsid w:val="00311EAE"/>
    <w:rsid w:val="00311FE9"/>
    <w:rsid w:val="003122CC"/>
    <w:rsid w:val="00312958"/>
    <w:rsid w:val="00312EA2"/>
    <w:rsid w:val="00312EDA"/>
    <w:rsid w:val="0031308A"/>
    <w:rsid w:val="00313120"/>
    <w:rsid w:val="003131D4"/>
    <w:rsid w:val="00313A9F"/>
    <w:rsid w:val="00313B29"/>
    <w:rsid w:val="00313F70"/>
    <w:rsid w:val="00313F86"/>
    <w:rsid w:val="003142F2"/>
    <w:rsid w:val="003143D6"/>
    <w:rsid w:val="003145C7"/>
    <w:rsid w:val="003149A6"/>
    <w:rsid w:val="003149D4"/>
    <w:rsid w:val="00314BA2"/>
    <w:rsid w:val="00314D7F"/>
    <w:rsid w:val="00314D8A"/>
    <w:rsid w:val="00314E27"/>
    <w:rsid w:val="00314F61"/>
    <w:rsid w:val="00315211"/>
    <w:rsid w:val="00315281"/>
    <w:rsid w:val="00315389"/>
    <w:rsid w:val="0031578C"/>
    <w:rsid w:val="00315BCA"/>
    <w:rsid w:val="00315C35"/>
    <w:rsid w:val="00315CA2"/>
    <w:rsid w:val="00315CA7"/>
    <w:rsid w:val="00315FAF"/>
    <w:rsid w:val="00316072"/>
    <w:rsid w:val="003160BC"/>
    <w:rsid w:val="003163B1"/>
    <w:rsid w:val="00316775"/>
    <w:rsid w:val="003169B1"/>
    <w:rsid w:val="003169C9"/>
    <w:rsid w:val="00316C18"/>
    <w:rsid w:val="00316F36"/>
    <w:rsid w:val="00316FCE"/>
    <w:rsid w:val="003173E0"/>
    <w:rsid w:val="003175B9"/>
    <w:rsid w:val="003177BF"/>
    <w:rsid w:val="00317B04"/>
    <w:rsid w:val="00317B14"/>
    <w:rsid w:val="00317BF0"/>
    <w:rsid w:val="00317E33"/>
    <w:rsid w:val="00320278"/>
    <w:rsid w:val="00320470"/>
    <w:rsid w:val="00320563"/>
    <w:rsid w:val="00320782"/>
    <w:rsid w:val="003207E7"/>
    <w:rsid w:val="00320B8D"/>
    <w:rsid w:val="00320D93"/>
    <w:rsid w:val="00320D98"/>
    <w:rsid w:val="00320FD8"/>
    <w:rsid w:val="00321B01"/>
    <w:rsid w:val="00321B2E"/>
    <w:rsid w:val="00321DEE"/>
    <w:rsid w:val="00321E2C"/>
    <w:rsid w:val="003221B2"/>
    <w:rsid w:val="003221EF"/>
    <w:rsid w:val="00322283"/>
    <w:rsid w:val="00322610"/>
    <w:rsid w:val="00322947"/>
    <w:rsid w:val="0032297F"/>
    <w:rsid w:val="00322AC3"/>
    <w:rsid w:val="00322B1F"/>
    <w:rsid w:val="00322B23"/>
    <w:rsid w:val="00322BA6"/>
    <w:rsid w:val="00322BE3"/>
    <w:rsid w:val="00322F11"/>
    <w:rsid w:val="00322FEC"/>
    <w:rsid w:val="00323098"/>
    <w:rsid w:val="003230F3"/>
    <w:rsid w:val="00323750"/>
    <w:rsid w:val="0032383E"/>
    <w:rsid w:val="00323993"/>
    <w:rsid w:val="00323B6B"/>
    <w:rsid w:val="00323B7A"/>
    <w:rsid w:val="00323B9A"/>
    <w:rsid w:val="00323CA5"/>
    <w:rsid w:val="00323D77"/>
    <w:rsid w:val="00323E6F"/>
    <w:rsid w:val="00323EA7"/>
    <w:rsid w:val="003240C9"/>
    <w:rsid w:val="00324121"/>
    <w:rsid w:val="0032442E"/>
    <w:rsid w:val="003244E0"/>
    <w:rsid w:val="0032480C"/>
    <w:rsid w:val="00324823"/>
    <w:rsid w:val="00324DA0"/>
    <w:rsid w:val="00324E1C"/>
    <w:rsid w:val="00324FED"/>
    <w:rsid w:val="00325093"/>
    <w:rsid w:val="003251CD"/>
    <w:rsid w:val="003251DC"/>
    <w:rsid w:val="00325227"/>
    <w:rsid w:val="003252E2"/>
    <w:rsid w:val="00325305"/>
    <w:rsid w:val="00325689"/>
    <w:rsid w:val="003257F2"/>
    <w:rsid w:val="00325CCE"/>
    <w:rsid w:val="00325DF9"/>
    <w:rsid w:val="00325E0C"/>
    <w:rsid w:val="00325E3B"/>
    <w:rsid w:val="00325F3D"/>
    <w:rsid w:val="00325FF3"/>
    <w:rsid w:val="003260DD"/>
    <w:rsid w:val="00326509"/>
    <w:rsid w:val="00326580"/>
    <w:rsid w:val="0032682E"/>
    <w:rsid w:val="0032683E"/>
    <w:rsid w:val="00326BCD"/>
    <w:rsid w:val="00327061"/>
    <w:rsid w:val="0032739C"/>
    <w:rsid w:val="003276C5"/>
    <w:rsid w:val="0032779A"/>
    <w:rsid w:val="0032786E"/>
    <w:rsid w:val="00327AB4"/>
    <w:rsid w:val="00327BF3"/>
    <w:rsid w:val="00327D45"/>
    <w:rsid w:val="00327D59"/>
    <w:rsid w:val="00327ED8"/>
    <w:rsid w:val="00327EF9"/>
    <w:rsid w:val="00330707"/>
    <w:rsid w:val="0033087F"/>
    <w:rsid w:val="00330B72"/>
    <w:rsid w:val="00331046"/>
    <w:rsid w:val="0033106B"/>
    <w:rsid w:val="0033140C"/>
    <w:rsid w:val="003315B5"/>
    <w:rsid w:val="00331819"/>
    <w:rsid w:val="00331BC5"/>
    <w:rsid w:val="0033202F"/>
    <w:rsid w:val="0033206E"/>
    <w:rsid w:val="003321DB"/>
    <w:rsid w:val="00332341"/>
    <w:rsid w:val="00332389"/>
    <w:rsid w:val="0033243D"/>
    <w:rsid w:val="00332524"/>
    <w:rsid w:val="00332535"/>
    <w:rsid w:val="00332874"/>
    <w:rsid w:val="00332A44"/>
    <w:rsid w:val="00332A8D"/>
    <w:rsid w:val="00332B0C"/>
    <w:rsid w:val="00332BBB"/>
    <w:rsid w:val="00332C18"/>
    <w:rsid w:val="00332CEE"/>
    <w:rsid w:val="00332FFF"/>
    <w:rsid w:val="003330CB"/>
    <w:rsid w:val="003333F2"/>
    <w:rsid w:val="00333408"/>
    <w:rsid w:val="00333717"/>
    <w:rsid w:val="00333740"/>
    <w:rsid w:val="003339D8"/>
    <w:rsid w:val="00333DDB"/>
    <w:rsid w:val="00333E73"/>
    <w:rsid w:val="00333FF7"/>
    <w:rsid w:val="0033412C"/>
    <w:rsid w:val="00334223"/>
    <w:rsid w:val="003343D3"/>
    <w:rsid w:val="00334497"/>
    <w:rsid w:val="00334689"/>
    <w:rsid w:val="003349CD"/>
    <w:rsid w:val="00334C75"/>
    <w:rsid w:val="00334CA0"/>
    <w:rsid w:val="00334D64"/>
    <w:rsid w:val="00334FD1"/>
    <w:rsid w:val="0033505C"/>
    <w:rsid w:val="00335131"/>
    <w:rsid w:val="00335258"/>
    <w:rsid w:val="00335566"/>
    <w:rsid w:val="00335652"/>
    <w:rsid w:val="003359F3"/>
    <w:rsid w:val="00335A58"/>
    <w:rsid w:val="00335B67"/>
    <w:rsid w:val="00335C06"/>
    <w:rsid w:val="00335C5B"/>
    <w:rsid w:val="00335CF1"/>
    <w:rsid w:val="003361D7"/>
    <w:rsid w:val="00336804"/>
    <w:rsid w:val="00336C14"/>
    <w:rsid w:val="00336EDB"/>
    <w:rsid w:val="00336F8E"/>
    <w:rsid w:val="00337515"/>
    <w:rsid w:val="0033752C"/>
    <w:rsid w:val="00337552"/>
    <w:rsid w:val="003377F1"/>
    <w:rsid w:val="0033786D"/>
    <w:rsid w:val="00337912"/>
    <w:rsid w:val="00337BAE"/>
    <w:rsid w:val="00337C65"/>
    <w:rsid w:val="00337D39"/>
    <w:rsid w:val="00340096"/>
    <w:rsid w:val="00340149"/>
    <w:rsid w:val="00340344"/>
    <w:rsid w:val="0034034E"/>
    <w:rsid w:val="003403AD"/>
    <w:rsid w:val="003403B1"/>
    <w:rsid w:val="00340476"/>
    <w:rsid w:val="00340678"/>
    <w:rsid w:val="003407AF"/>
    <w:rsid w:val="003409D7"/>
    <w:rsid w:val="00340A85"/>
    <w:rsid w:val="00340D2B"/>
    <w:rsid w:val="00340EC5"/>
    <w:rsid w:val="00340F3B"/>
    <w:rsid w:val="00340F44"/>
    <w:rsid w:val="00340FCB"/>
    <w:rsid w:val="003417BE"/>
    <w:rsid w:val="00341822"/>
    <w:rsid w:val="003418FE"/>
    <w:rsid w:val="00341A5E"/>
    <w:rsid w:val="00341C90"/>
    <w:rsid w:val="00341D35"/>
    <w:rsid w:val="00341E0A"/>
    <w:rsid w:val="00341EB7"/>
    <w:rsid w:val="00341F02"/>
    <w:rsid w:val="003421B9"/>
    <w:rsid w:val="003421C7"/>
    <w:rsid w:val="00342481"/>
    <w:rsid w:val="0034280D"/>
    <w:rsid w:val="00342898"/>
    <w:rsid w:val="0034291B"/>
    <w:rsid w:val="0034295E"/>
    <w:rsid w:val="00342A66"/>
    <w:rsid w:val="00342DE0"/>
    <w:rsid w:val="00342E18"/>
    <w:rsid w:val="003430B4"/>
    <w:rsid w:val="003430D8"/>
    <w:rsid w:val="00343134"/>
    <w:rsid w:val="00343557"/>
    <w:rsid w:val="0034356F"/>
    <w:rsid w:val="00343686"/>
    <w:rsid w:val="00343935"/>
    <w:rsid w:val="00343B2A"/>
    <w:rsid w:val="00343BF1"/>
    <w:rsid w:val="00343CAE"/>
    <w:rsid w:val="00343DFA"/>
    <w:rsid w:val="00343E30"/>
    <w:rsid w:val="00344082"/>
    <w:rsid w:val="003440D2"/>
    <w:rsid w:val="00344588"/>
    <w:rsid w:val="003446FD"/>
    <w:rsid w:val="003449F4"/>
    <w:rsid w:val="00344B22"/>
    <w:rsid w:val="00344DCF"/>
    <w:rsid w:val="003450ED"/>
    <w:rsid w:val="0034524A"/>
    <w:rsid w:val="0034535E"/>
    <w:rsid w:val="003454BE"/>
    <w:rsid w:val="00345792"/>
    <w:rsid w:val="003457AB"/>
    <w:rsid w:val="00345A37"/>
    <w:rsid w:val="00345AA3"/>
    <w:rsid w:val="00345E54"/>
    <w:rsid w:val="003461E5"/>
    <w:rsid w:val="00346242"/>
    <w:rsid w:val="003462C2"/>
    <w:rsid w:val="003462E4"/>
    <w:rsid w:val="00346321"/>
    <w:rsid w:val="00346333"/>
    <w:rsid w:val="00346348"/>
    <w:rsid w:val="003464E1"/>
    <w:rsid w:val="00346805"/>
    <w:rsid w:val="003468D2"/>
    <w:rsid w:val="00346A66"/>
    <w:rsid w:val="00346AAA"/>
    <w:rsid w:val="00346CEB"/>
    <w:rsid w:val="00346F70"/>
    <w:rsid w:val="00346FE9"/>
    <w:rsid w:val="00347118"/>
    <w:rsid w:val="003471A1"/>
    <w:rsid w:val="00347324"/>
    <w:rsid w:val="003473C6"/>
    <w:rsid w:val="00347592"/>
    <w:rsid w:val="003476BF"/>
    <w:rsid w:val="00347969"/>
    <w:rsid w:val="003479BB"/>
    <w:rsid w:val="00347AD6"/>
    <w:rsid w:val="00347C34"/>
    <w:rsid w:val="00347CAC"/>
    <w:rsid w:val="00347D83"/>
    <w:rsid w:val="00347E61"/>
    <w:rsid w:val="00350129"/>
    <w:rsid w:val="00350338"/>
    <w:rsid w:val="0035047E"/>
    <w:rsid w:val="0035096E"/>
    <w:rsid w:val="003509C4"/>
    <w:rsid w:val="00350A8D"/>
    <w:rsid w:val="00350CD3"/>
    <w:rsid w:val="00350E5D"/>
    <w:rsid w:val="00350E78"/>
    <w:rsid w:val="003511C7"/>
    <w:rsid w:val="00351220"/>
    <w:rsid w:val="003512D0"/>
    <w:rsid w:val="0035131B"/>
    <w:rsid w:val="003513BE"/>
    <w:rsid w:val="003514B0"/>
    <w:rsid w:val="003516EE"/>
    <w:rsid w:val="00351AC7"/>
    <w:rsid w:val="00351C72"/>
    <w:rsid w:val="00351CE7"/>
    <w:rsid w:val="00351D1F"/>
    <w:rsid w:val="00351D5A"/>
    <w:rsid w:val="00351D79"/>
    <w:rsid w:val="003520F0"/>
    <w:rsid w:val="003522AF"/>
    <w:rsid w:val="003523FB"/>
    <w:rsid w:val="0035268A"/>
    <w:rsid w:val="003526EE"/>
    <w:rsid w:val="00352719"/>
    <w:rsid w:val="00352C91"/>
    <w:rsid w:val="00352D62"/>
    <w:rsid w:val="00352FF9"/>
    <w:rsid w:val="00353014"/>
    <w:rsid w:val="003535CF"/>
    <w:rsid w:val="003538A4"/>
    <w:rsid w:val="00353CC9"/>
    <w:rsid w:val="00353D50"/>
    <w:rsid w:val="00353FB4"/>
    <w:rsid w:val="00354523"/>
    <w:rsid w:val="00354922"/>
    <w:rsid w:val="00354B5B"/>
    <w:rsid w:val="00354C8F"/>
    <w:rsid w:val="00354F4B"/>
    <w:rsid w:val="00355623"/>
    <w:rsid w:val="003556E1"/>
    <w:rsid w:val="003558D5"/>
    <w:rsid w:val="00355C2B"/>
    <w:rsid w:val="00355C36"/>
    <w:rsid w:val="00355D8C"/>
    <w:rsid w:val="00355D8D"/>
    <w:rsid w:val="00355E5C"/>
    <w:rsid w:val="003561E1"/>
    <w:rsid w:val="00356202"/>
    <w:rsid w:val="00356204"/>
    <w:rsid w:val="00356603"/>
    <w:rsid w:val="00356B88"/>
    <w:rsid w:val="00356C09"/>
    <w:rsid w:val="00356C3B"/>
    <w:rsid w:val="00356ED3"/>
    <w:rsid w:val="0035710D"/>
    <w:rsid w:val="00357C62"/>
    <w:rsid w:val="00357CD6"/>
    <w:rsid w:val="0036028C"/>
    <w:rsid w:val="00360441"/>
    <w:rsid w:val="00360535"/>
    <w:rsid w:val="003606C7"/>
    <w:rsid w:val="00360705"/>
    <w:rsid w:val="00360744"/>
    <w:rsid w:val="003609DF"/>
    <w:rsid w:val="00360A64"/>
    <w:rsid w:val="00360AA0"/>
    <w:rsid w:val="00360AAD"/>
    <w:rsid w:val="00361057"/>
    <w:rsid w:val="00361085"/>
    <w:rsid w:val="003610FF"/>
    <w:rsid w:val="0036173D"/>
    <w:rsid w:val="00361788"/>
    <w:rsid w:val="003617EB"/>
    <w:rsid w:val="00361AC0"/>
    <w:rsid w:val="00361B2A"/>
    <w:rsid w:val="00361CF0"/>
    <w:rsid w:val="00361D80"/>
    <w:rsid w:val="00361F29"/>
    <w:rsid w:val="003620DC"/>
    <w:rsid w:val="0036213F"/>
    <w:rsid w:val="003622A5"/>
    <w:rsid w:val="00362315"/>
    <w:rsid w:val="00362534"/>
    <w:rsid w:val="00362544"/>
    <w:rsid w:val="0036290F"/>
    <w:rsid w:val="00362BDC"/>
    <w:rsid w:val="00362C04"/>
    <w:rsid w:val="00362FBD"/>
    <w:rsid w:val="0036302F"/>
    <w:rsid w:val="00363289"/>
    <w:rsid w:val="003632CF"/>
    <w:rsid w:val="00363437"/>
    <w:rsid w:val="00363447"/>
    <w:rsid w:val="003634D6"/>
    <w:rsid w:val="00363805"/>
    <w:rsid w:val="00363C4F"/>
    <w:rsid w:val="00364135"/>
    <w:rsid w:val="00364229"/>
    <w:rsid w:val="003642AD"/>
    <w:rsid w:val="003642ED"/>
    <w:rsid w:val="00364745"/>
    <w:rsid w:val="00364795"/>
    <w:rsid w:val="003649A0"/>
    <w:rsid w:val="003649B7"/>
    <w:rsid w:val="00364C54"/>
    <w:rsid w:val="00364E13"/>
    <w:rsid w:val="00365153"/>
    <w:rsid w:val="00365537"/>
    <w:rsid w:val="00365678"/>
    <w:rsid w:val="003658FF"/>
    <w:rsid w:val="00365CCB"/>
    <w:rsid w:val="00365D6A"/>
    <w:rsid w:val="00365EF8"/>
    <w:rsid w:val="00366008"/>
    <w:rsid w:val="003660A4"/>
    <w:rsid w:val="003663FD"/>
    <w:rsid w:val="00366487"/>
    <w:rsid w:val="00366923"/>
    <w:rsid w:val="00366AE5"/>
    <w:rsid w:val="00366B84"/>
    <w:rsid w:val="00366D12"/>
    <w:rsid w:val="00366DEF"/>
    <w:rsid w:val="0036703A"/>
    <w:rsid w:val="0036725F"/>
    <w:rsid w:val="003672D7"/>
    <w:rsid w:val="0036770E"/>
    <w:rsid w:val="00367751"/>
    <w:rsid w:val="00367823"/>
    <w:rsid w:val="0036797A"/>
    <w:rsid w:val="00367D18"/>
    <w:rsid w:val="00367D9F"/>
    <w:rsid w:val="00367DF7"/>
    <w:rsid w:val="00367E08"/>
    <w:rsid w:val="0037012D"/>
    <w:rsid w:val="0037040C"/>
    <w:rsid w:val="00370573"/>
    <w:rsid w:val="003705EA"/>
    <w:rsid w:val="00370887"/>
    <w:rsid w:val="003708C1"/>
    <w:rsid w:val="00370968"/>
    <w:rsid w:val="00370A33"/>
    <w:rsid w:val="00370B11"/>
    <w:rsid w:val="00370B6C"/>
    <w:rsid w:val="0037116D"/>
    <w:rsid w:val="003711CA"/>
    <w:rsid w:val="0037174D"/>
    <w:rsid w:val="003718D4"/>
    <w:rsid w:val="00371BBD"/>
    <w:rsid w:val="00371D1C"/>
    <w:rsid w:val="00371F1E"/>
    <w:rsid w:val="00371F44"/>
    <w:rsid w:val="00372220"/>
    <w:rsid w:val="00372382"/>
    <w:rsid w:val="003723B7"/>
    <w:rsid w:val="003726E0"/>
    <w:rsid w:val="0037278C"/>
    <w:rsid w:val="00372D5E"/>
    <w:rsid w:val="00372F38"/>
    <w:rsid w:val="003730CA"/>
    <w:rsid w:val="003734AF"/>
    <w:rsid w:val="003734D3"/>
    <w:rsid w:val="003737D8"/>
    <w:rsid w:val="00373948"/>
    <w:rsid w:val="00373A49"/>
    <w:rsid w:val="00373EEC"/>
    <w:rsid w:val="00373FFF"/>
    <w:rsid w:val="00374407"/>
    <w:rsid w:val="00374688"/>
    <w:rsid w:val="00374803"/>
    <w:rsid w:val="00374E15"/>
    <w:rsid w:val="00374E1D"/>
    <w:rsid w:val="0037501D"/>
    <w:rsid w:val="00375041"/>
    <w:rsid w:val="003753E1"/>
    <w:rsid w:val="0037555F"/>
    <w:rsid w:val="00375B05"/>
    <w:rsid w:val="00375CC4"/>
    <w:rsid w:val="0037606B"/>
    <w:rsid w:val="00376172"/>
    <w:rsid w:val="003761BB"/>
    <w:rsid w:val="003761DA"/>
    <w:rsid w:val="00376458"/>
    <w:rsid w:val="00376867"/>
    <w:rsid w:val="00376990"/>
    <w:rsid w:val="00376EA0"/>
    <w:rsid w:val="00377000"/>
    <w:rsid w:val="00377428"/>
    <w:rsid w:val="003777CA"/>
    <w:rsid w:val="003778CF"/>
    <w:rsid w:val="00377988"/>
    <w:rsid w:val="00377ACB"/>
    <w:rsid w:val="00377B1B"/>
    <w:rsid w:val="00377E4C"/>
    <w:rsid w:val="00380188"/>
    <w:rsid w:val="003801EA"/>
    <w:rsid w:val="0038053C"/>
    <w:rsid w:val="00380805"/>
    <w:rsid w:val="00380996"/>
    <w:rsid w:val="00380B58"/>
    <w:rsid w:val="00380DBB"/>
    <w:rsid w:val="00380DE5"/>
    <w:rsid w:val="0038107C"/>
    <w:rsid w:val="00381379"/>
    <w:rsid w:val="003813C4"/>
    <w:rsid w:val="003813FD"/>
    <w:rsid w:val="003815B9"/>
    <w:rsid w:val="003816C3"/>
    <w:rsid w:val="00381741"/>
    <w:rsid w:val="003818ED"/>
    <w:rsid w:val="00381926"/>
    <w:rsid w:val="00381D51"/>
    <w:rsid w:val="00381D94"/>
    <w:rsid w:val="00382562"/>
    <w:rsid w:val="003829A2"/>
    <w:rsid w:val="00382D1D"/>
    <w:rsid w:val="00382DF0"/>
    <w:rsid w:val="003832B9"/>
    <w:rsid w:val="003835AF"/>
    <w:rsid w:val="0038370C"/>
    <w:rsid w:val="00383943"/>
    <w:rsid w:val="00383AC9"/>
    <w:rsid w:val="00384278"/>
    <w:rsid w:val="00384426"/>
    <w:rsid w:val="003849C3"/>
    <w:rsid w:val="00384D74"/>
    <w:rsid w:val="00384E66"/>
    <w:rsid w:val="00384FF4"/>
    <w:rsid w:val="003851C1"/>
    <w:rsid w:val="0038546F"/>
    <w:rsid w:val="003854B1"/>
    <w:rsid w:val="00385788"/>
    <w:rsid w:val="0038584A"/>
    <w:rsid w:val="00385A4C"/>
    <w:rsid w:val="00385ABF"/>
    <w:rsid w:val="00386085"/>
    <w:rsid w:val="003861F7"/>
    <w:rsid w:val="0038625A"/>
    <w:rsid w:val="003866F3"/>
    <w:rsid w:val="00386843"/>
    <w:rsid w:val="00386A51"/>
    <w:rsid w:val="00386AF1"/>
    <w:rsid w:val="00386B4B"/>
    <w:rsid w:val="00386FB7"/>
    <w:rsid w:val="003871B1"/>
    <w:rsid w:val="003873BF"/>
    <w:rsid w:val="003873C6"/>
    <w:rsid w:val="00387D15"/>
    <w:rsid w:val="00387ED4"/>
    <w:rsid w:val="00390387"/>
    <w:rsid w:val="003903C6"/>
    <w:rsid w:val="0039042E"/>
    <w:rsid w:val="00390610"/>
    <w:rsid w:val="00390846"/>
    <w:rsid w:val="003908D9"/>
    <w:rsid w:val="003909D5"/>
    <w:rsid w:val="00390CD9"/>
    <w:rsid w:val="00390E93"/>
    <w:rsid w:val="00390FC7"/>
    <w:rsid w:val="0039103D"/>
    <w:rsid w:val="00391041"/>
    <w:rsid w:val="003910B2"/>
    <w:rsid w:val="003910C9"/>
    <w:rsid w:val="0039115D"/>
    <w:rsid w:val="00391242"/>
    <w:rsid w:val="0039132E"/>
    <w:rsid w:val="003916ED"/>
    <w:rsid w:val="00391860"/>
    <w:rsid w:val="003920D5"/>
    <w:rsid w:val="00392192"/>
    <w:rsid w:val="003926FD"/>
    <w:rsid w:val="00392815"/>
    <w:rsid w:val="003929F9"/>
    <w:rsid w:val="00392E89"/>
    <w:rsid w:val="00392E8B"/>
    <w:rsid w:val="00392FD7"/>
    <w:rsid w:val="0039305E"/>
    <w:rsid w:val="00393BCA"/>
    <w:rsid w:val="00393BE0"/>
    <w:rsid w:val="00393E68"/>
    <w:rsid w:val="0039431B"/>
    <w:rsid w:val="003944FA"/>
    <w:rsid w:val="003947A4"/>
    <w:rsid w:val="00394969"/>
    <w:rsid w:val="00394C22"/>
    <w:rsid w:val="00394F98"/>
    <w:rsid w:val="0039501F"/>
    <w:rsid w:val="003950AB"/>
    <w:rsid w:val="0039513E"/>
    <w:rsid w:val="0039553D"/>
    <w:rsid w:val="00395836"/>
    <w:rsid w:val="003959AF"/>
    <w:rsid w:val="00395E0F"/>
    <w:rsid w:val="003960AF"/>
    <w:rsid w:val="0039616B"/>
    <w:rsid w:val="003961E1"/>
    <w:rsid w:val="003963FF"/>
    <w:rsid w:val="003966D5"/>
    <w:rsid w:val="003966DF"/>
    <w:rsid w:val="00396955"/>
    <w:rsid w:val="003969DA"/>
    <w:rsid w:val="003969FB"/>
    <w:rsid w:val="00396F84"/>
    <w:rsid w:val="00396FA6"/>
    <w:rsid w:val="00397186"/>
    <w:rsid w:val="003971FE"/>
    <w:rsid w:val="00397682"/>
    <w:rsid w:val="0039774F"/>
    <w:rsid w:val="0039776D"/>
    <w:rsid w:val="00397825"/>
    <w:rsid w:val="00397973"/>
    <w:rsid w:val="003979C4"/>
    <w:rsid w:val="00397AB7"/>
    <w:rsid w:val="00397BC2"/>
    <w:rsid w:val="00397C64"/>
    <w:rsid w:val="00397C65"/>
    <w:rsid w:val="00397E65"/>
    <w:rsid w:val="00397E6C"/>
    <w:rsid w:val="00397E90"/>
    <w:rsid w:val="00397F34"/>
    <w:rsid w:val="003A04E1"/>
    <w:rsid w:val="003A05E3"/>
    <w:rsid w:val="003A0948"/>
    <w:rsid w:val="003A0DFB"/>
    <w:rsid w:val="003A0EA8"/>
    <w:rsid w:val="003A105F"/>
    <w:rsid w:val="003A1067"/>
    <w:rsid w:val="003A10BC"/>
    <w:rsid w:val="003A1186"/>
    <w:rsid w:val="003A136C"/>
    <w:rsid w:val="003A165A"/>
    <w:rsid w:val="003A18EB"/>
    <w:rsid w:val="003A1B5E"/>
    <w:rsid w:val="003A1B9B"/>
    <w:rsid w:val="003A1F05"/>
    <w:rsid w:val="003A1F57"/>
    <w:rsid w:val="003A1FC2"/>
    <w:rsid w:val="003A1FD2"/>
    <w:rsid w:val="003A2241"/>
    <w:rsid w:val="003A2337"/>
    <w:rsid w:val="003A243B"/>
    <w:rsid w:val="003A24A6"/>
    <w:rsid w:val="003A27E0"/>
    <w:rsid w:val="003A287E"/>
    <w:rsid w:val="003A2938"/>
    <w:rsid w:val="003A2D71"/>
    <w:rsid w:val="003A2EEB"/>
    <w:rsid w:val="003A2FE8"/>
    <w:rsid w:val="003A30F3"/>
    <w:rsid w:val="003A3237"/>
    <w:rsid w:val="003A33C1"/>
    <w:rsid w:val="003A346A"/>
    <w:rsid w:val="003A35BB"/>
    <w:rsid w:val="003A3902"/>
    <w:rsid w:val="003A3950"/>
    <w:rsid w:val="003A3AF1"/>
    <w:rsid w:val="003A3CFC"/>
    <w:rsid w:val="003A3E5F"/>
    <w:rsid w:val="003A3E8B"/>
    <w:rsid w:val="003A40A9"/>
    <w:rsid w:val="003A4154"/>
    <w:rsid w:val="003A41EF"/>
    <w:rsid w:val="003A431B"/>
    <w:rsid w:val="003A441C"/>
    <w:rsid w:val="003A44EE"/>
    <w:rsid w:val="003A4507"/>
    <w:rsid w:val="003A4788"/>
    <w:rsid w:val="003A4857"/>
    <w:rsid w:val="003A49E9"/>
    <w:rsid w:val="003A4A5C"/>
    <w:rsid w:val="003A4AB1"/>
    <w:rsid w:val="003A4DCE"/>
    <w:rsid w:val="003A52C1"/>
    <w:rsid w:val="003A55E3"/>
    <w:rsid w:val="003A5909"/>
    <w:rsid w:val="003A5BDE"/>
    <w:rsid w:val="003A5D97"/>
    <w:rsid w:val="003A5EDB"/>
    <w:rsid w:val="003A6115"/>
    <w:rsid w:val="003A6123"/>
    <w:rsid w:val="003A6248"/>
    <w:rsid w:val="003A62B4"/>
    <w:rsid w:val="003A6347"/>
    <w:rsid w:val="003A63C5"/>
    <w:rsid w:val="003A65E0"/>
    <w:rsid w:val="003A6791"/>
    <w:rsid w:val="003A6A14"/>
    <w:rsid w:val="003A6BB7"/>
    <w:rsid w:val="003A7074"/>
    <w:rsid w:val="003A7518"/>
    <w:rsid w:val="003A75BB"/>
    <w:rsid w:val="003A7611"/>
    <w:rsid w:val="003A7686"/>
    <w:rsid w:val="003A7756"/>
    <w:rsid w:val="003A778C"/>
    <w:rsid w:val="003A77B6"/>
    <w:rsid w:val="003A7886"/>
    <w:rsid w:val="003A79F2"/>
    <w:rsid w:val="003A7D7E"/>
    <w:rsid w:val="003A7EB8"/>
    <w:rsid w:val="003B00FD"/>
    <w:rsid w:val="003B05EB"/>
    <w:rsid w:val="003B0BF7"/>
    <w:rsid w:val="003B0E5F"/>
    <w:rsid w:val="003B1368"/>
    <w:rsid w:val="003B1485"/>
    <w:rsid w:val="003B179D"/>
    <w:rsid w:val="003B1B44"/>
    <w:rsid w:val="003B1D26"/>
    <w:rsid w:val="003B1DD4"/>
    <w:rsid w:val="003B1E1A"/>
    <w:rsid w:val="003B1F8D"/>
    <w:rsid w:val="003B1FCF"/>
    <w:rsid w:val="003B2098"/>
    <w:rsid w:val="003B2588"/>
    <w:rsid w:val="003B2DD0"/>
    <w:rsid w:val="003B31FF"/>
    <w:rsid w:val="003B3653"/>
    <w:rsid w:val="003B36F2"/>
    <w:rsid w:val="003B382D"/>
    <w:rsid w:val="003B3873"/>
    <w:rsid w:val="003B3D98"/>
    <w:rsid w:val="003B3DEB"/>
    <w:rsid w:val="003B404A"/>
    <w:rsid w:val="003B4317"/>
    <w:rsid w:val="003B4475"/>
    <w:rsid w:val="003B4650"/>
    <w:rsid w:val="003B474F"/>
    <w:rsid w:val="003B4934"/>
    <w:rsid w:val="003B4B40"/>
    <w:rsid w:val="003B4E04"/>
    <w:rsid w:val="003B4ED1"/>
    <w:rsid w:val="003B569E"/>
    <w:rsid w:val="003B56E5"/>
    <w:rsid w:val="003B5717"/>
    <w:rsid w:val="003B5788"/>
    <w:rsid w:val="003B59DD"/>
    <w:rsid w:val="003B5E9A"/>
    <w:rsid w:val="003B602A"/>
    <w:rsid w:val="003B602B"/>
    <w:rsid w:val="003B61C5"/>
    <w:rsid w:val="003B64EF"/>
    <w:rsid w:val="003B6532"/>
    <w:rsid w:val="003B6611"/>
    <w:rsid w:val="003B6B53"/>
    <w:rsid w:val="003B6D21"/>
    <w:rsid w:val="003B6EDE"/>
    <w:rsid w:val="003B706B"/>
    <w:rsid w:val="003B7079"/>
    <w:rsid w:val="003B7375"/>
    <w:rsid w:val="003B73DA"/>
    <w:rsid w:val="003B7B8B"/>
    <w:rsid w:val="003C042E"/>
    <w:rsid w:val="003C0620"/>
    <w:rsid w:val="003C076B"/>
    <w:rsid w:val="003C0817"/>
    <w:rsid w:val="003C08EC"/>
    <w:rsid w:val="003C0A17"/>
    <w:rsid w:val="003C0BE3"/>
    <w:rsid w:val="003C0E0A"/>
    <w:rsid w:val="003C0F78"/>
    <w:rsid w:val="003C1003"/>
    <w:rsid w:val="003C1509"/>
    <w:rsid w:val="003C17E7"/>
    <w:rsid w:val="003C19D8"/>
    <w:rsid w:val="003C1C4D"/>
    <w:rsid w:val="003C1C65"/>
    <w:rsid w:val="003C2108"/>
    <w:rsid w:val="003C211C"/>
    <w:rsid w:val="003C267F"/>
    <w:rsid w:val="003C276A"/>
    <w:rsid w:val="003C2977"/>
    <w:rsid w:val="003C2F1A"/>
    <w:rsid w:val="003C32D4"/>
    <w:rsid w:val="003C35C9"/>
    <w:rsid w:val="003C3990"/>
    <w:rsid w:val="003C3A97"/>
    <w:rsid w:val="003C3E0C"/>
    <w:rsid w:val="003C3F07"/>
    <w:rsid w:val="003C40C1"/>
    <w:rsid w:val="003C40CC"/>
    <w:rsid w:val="003C42C8"/>
    <w:rsid w:val="003C42CE"/>
    <w:rsid w:val="003C4480"/>
    <w:rsid w:val="003C4967"/>
    <w:rsid w:val="003C4EAF"/>
    <w:rsid w:val="003C4EF8"/>
    <w:rsid w:val="003C516F"/>
    <w:rsid w:val="003C527B"/>
    <w:rsid w:val="003C532F"/>
    <w:rsid w:val="003C53E9"/>
    <w:rsid w:val="003C5430"/>
    <w:rsid w:val="003C5710"/>
    <w:rsid w:val="003C57E5"/>
    <w:rsid w:val="003C5E5B"/>
    <w:rsid w:val="003C5F08"/>
    <w:rsid w:val="003C6054"/>
    <w:rsid w:val="003C606A"/>
    <w:rsid w:val="003C62C2"/>
    <w:rsid w:val="003C6412"/>
    <w:rsid w:val="003C6580"/>
    <w:rsid w:val="003C66F9"/>
    <w:rsid w:val="003C6C4B"/>
    <w:rsid w:val="003C6C94"/>
    <w:rsid w:val="003C6F5C"/>
    <w:rsid w:val="003C6FAF"/>
    <w:rsid w:val="003C704A"/>
    <w:rsid w:val="003C749B"/>
    <w:rsid w:val="003C7527"/>
    <w:rsid w:val="003C7791"/>
    <w:rsid w:val="003C7CC3"/>
    <w:rsid w:val="003D026B"/>
    <w:rsid w:val="003D07B9"/>
    <w:rsid w:val="003D0874"/>
    <w:rsid w:val="003D08CA"/>
    <w:rsid w:val="003D0D9D"/>
    <w:rsid w:val="003D0EB7"/>
    <w:rsid w:val="003D1427"/>
    <w:rsid w:val="003D1650"/>
    <w:rsid w:val="003D190D"/>
    <w:rsid w:val="003D1942"/>
    <w:rsid w:val="003D1BEF"/>
    <w:rsid w:val="003D1DC5"/>
    <w:rsid w:val="003D1E7C"/>
    <w:rsid w:val="003D1EED"/>
    <w:rsid w:val="003D1F3B"/>
    <w:rsid w:val="003D1FBB"/>
    <w:rsid w:val="003D205F"/>
    <w:rsid w:val="003D25BE"/>
    <w:rsid w:val="003D26DD"/>
    <w:rsid w:val="003D2709"/>
    <w:rsid w:val="003D27AD"/>
    <w:rsid w:val="003D2B2E"/>
    <w:rsid w:val="003D2BDC"/>
    <w:rsid w:val="003D2C37"/>
    <w:rsid w:val="003D2CD9"/>
    <w:rsid w:val="003D2FC2"/>
    <w:rsid w:val="003D311F"/>
    <w:rsid w:val="003D3285"/>
    <w:rsid w:val="003D33B6"/>
    <w:rsid w:val="003D3602"/>
    <w:rsid w:val="003D36A8"/>
    <w:rsid w:val="003D38EF"/>
    <w:rsid w:val="003D3A55"/>
    <w:rsid w:val="003D3B05"/>
    <w:rsid w:val="003D3BA7"/>
    <w:rsid w:val="003D3C75"/>
    <w:rsid w:val="003D3CA3"/>
    <w:rsid w:val="003D3EF8"/>
    <w:rsid w:val="003D40C8"/>
    <w:rsid w:val="003D40E5"/>
    <w:rsid w:val="003D40F9"/>
    <w:rsid w:val="003D427B"/>
    <w:rsid w:val="003D4477"/>
    <w:rsid w:val="003D4651"/>
    <w:rsid w:val="003D48E5"/>
    <w:rsid w:val="003D4EBB"/>
    <w:rsid w:val="003D4FD6"/>
    <w:rsid w:val="003D4FDA"/>
    <w:rsid w:val="003D4FF3"/>
    <w:rsid w:val="003D5149"/>
    <w:rsid w:val="003D5206"/>
    <w:rsid w:val="003D580D"/>
    <w:rsid w:val="003D59AD"/>
    <w:rsid w:val="003D5A8F"/>
    <w:rsid w:val="003D5D14"/>
    <w:rsid w:val="003D60FA"/>
    <w:rsid w:val="003D6235"/>
    <w:rsid w:val="003D639A"/>
    <w:rsid w:val="003D6621"/>
    <w:rsid w:val="003D672E"/>
    <w:rsid w:val="003D6852"/>
    <w:rsid w:val="003D6974"/>
    <w:rsid w:val="003D69F4"/>
    <w:rsid w:val="003D6A17"/>
    <w:rsid w:val="003D6CD7"/>
    <w:rsid w:val="003D6E8B"/>
    <w:rsid w:val="003D70AB"/>
    <w:rsid w:val="003D775E"/>
    <w:rsid w:val="003D77E6"/>
    <w:rsid w:val="003D7B61"/>
    <w:rsid w:val="003D7C5C"/>
    <w:rsid w:val="003D7CEE"/>
    <w:rsid w:val="003E02ED"/>
    <w:rsid w:val="003E035D"/>
    <w:rsid w:val="003E046C"/>
    <w:rsid w:val="003E0796"/>
    <w:rsid w:val="003E0B70"/>
    <w:rsid w:val="003E0B86"/>
    <w:rsid w:val="003E0E92"/>
    <w:rsid w:val="003E0E98"/>
    <w:rsid w:val="003E0F10"/>
    <w:rsid w:val="003E0F48"/>
    <w:rsid w:val="003E1205"/>
    <w:rsid w:val="003E1327"/>
    <w:rsid w:val="003E13D6"/>
    <w:rsid w:val="003E140A"/>
    <w:rsid w:val="003E1B3A"/>
    <w:rsid w:val="003E1CCE"/>
    <w:rsid w:val="003E1DF2"/>
    <w:rsid w:val="003E1F02"/>
    <w:rsid w:val="003E2347"/>
    <w:rsid w:val="003E2492"/>
    <w:rsid w:val="003E2AB4"/>
    <w:rsid w:val="003E2B0F"/>
    <w:rsid w:val="003E2B52"/>
    <w:rsid w:val="003E2BDE"/>
    <w:rsid w:val="003E2BF1"/>
    <w:rsid w:val="003E2BF4"/>
    <w:rsid w:val="003E2D3F"/>
    <w:rsid w:val="003E2DC9"/>
    <w:rsid w:val="003E2F19"/>
    <w:rsid w:val="003E31C9"/>
    <w:rsid w:val="003E32E8"/>
    <w:rsid w:val="003E3395"/>
    <w:rsid w:val="003E3408"/>
    <w:rsid w:val="003E340B"/>
    <w:rsid w:val="003E3414"/>
    <w:rsid w:val="003E35C0"/>
    <w:rsid w:val="003E36C3"/>
    <w:rsid w:val="003E3821"/>
    <w:rsid w:val="003E38A7"/>
    <w:rsid w:val="003E3972"/>
    <w:rsid w:val="003E3B4D"/>
    <w:rsid w:val="003E3CEC"/>
    <w:rsid w:val="003E403F"/>
    <w:rsid w:val="003E4048"/>
    <w:rsid w:val="003E40CB"/>
    <w:rsid w:val="003E42C8"/>
    <w:rsid w:val="003E4463"/>
    <w:rsid w:val="003E465A"/>
    <w:rsid w:val="003E4C5A"/>
    <w:rsid w:val="003E4DDC"/>
    <w:rsid w:val="003E4E26"/>
    <w:rsid w:val="003E4FE5"/>
    <w:rsid w:val="003E5281"/>
    <w:rsid w:val="003E532F"/>
    <w:rsid w:val="003E53DB"/>
    <w:rsid w:val="003E552B"/>
    <w:rsid w:val="003E555F"/>
    <w:rsid w:val="003E5814"/>
    <w:rsid w:val="003E5DCD"/>
    <w:rsid w:val="003E5DD2"/>
    <w:rsid w:val="003E5E7F"/>
    <w:rsid w:val="003E5F47"/>
    <w:rsid w:val="003E5FC7"/>
    <w:rsid w:val="003E6224"/>
    <w:rsid w:val="003E624D"/>
    <w:rsid w:val="003E6271"/>
    <w:rsid w:val="003E63D1"/>
    <w:rsid w:val="003E6506"/>
    <w:rsid w:val="003E65BE"/>
    <w:rsid w:val="003E66C5"/>
    <w:rsid w:val="003E67ED"/>
    <w:rsid w:val="003E686A"/>
    <w:rsid w:val="003E68DE"/>
    <w:rsid w:val="003E695B"/>
    <w:rsid w:val="003E69D7"/>
    <w:rsid w:val="003E6B57"/>
    <w:rsid w:val="003E6D2D"/>
    <w:rsid w:val="003E6DBA"/>
    <w:rsid w:val="003E6FD3"/>
    <w:rsid w:val="003E7028"/>
    <w:rsid w:val="003E7073"/>
    <w:rsid w:val="003E71DA"/>
    <w:rsid w:val="003E7285"/>
    <w:rsid w:val="003E738A"/>
    <w:rsid w:val="003E73FC"/>
    <w:rsid w:val="003E75BD"/>
    <w:rsid w:val="003E75E6"/>
    <w:rsid w:val="003E7808"/>
    <w:rsid w:val="003E7B37"/>
    <w:rsid w:val="003E7C57"/>
    <w:rsid w:val="003E7D2D"/>
    <w:rsid w:val="003E7D8B"/>
    <w:rsid w:val="003E7EF6"/>
    <w:rsid w:val="003F0134"/>
    <w:rsid w:val="003F0351"/>
    <w:rsid w:val="003F038E"/>
    <w:rsid w:val="003F0432"/>
    <w:rsid w:val="003F0628"/>
    <w:rsid w:val="003F06B8"/>
    <w:rsid w:val="003F06E0"/>
    <w:rsid w:val="003F0CE4"/>
    <w:rsid w:val="003F0CF5"/>
    <w:rsid w:val="003F10E6"/>
    <w:rsid w:val="003F1260"/>
    <w:rsid w:val="003F1348"/>
    <w:rsid w:val="003F1361"/>
    <w:rsid w:val="003F137A"/>
    <w:rsid w:val="003F14FA"/>
    <w:rsid w:val="003F1623"/>
    <w:rsid w:val="003F1749"/>
    <w:rsid w:val="003F194C"/>
    <w:rsid w:val="003F1B74"/>
    <w:rsid w:val="003F1CEC"/>
    <w:rsid w:val="003F1DA8"/>
    <w:rsid w:val="003F1E2F"/>
    <w:rsid w:val="003F1EBF"/>
    <w:rsid w:val="003F2115"/>
    <w:rsid w:val="003F2294"/>
    <w:rsid w:val="003F24C8"/>
    <w:rsid w:val="003F2975"/>
    <w:rsid w:val="003F2CE1"/>
    <w:rsid w:val="003F2CE2"/>
    <w:rsid w:val="003F2EAB"/>
    <w:rsid w:val="003F2EDD"/>
    <w:rsid w:val="003F315A"/>
    <w:rsid w:val="003F372E"/>
    <w:rsid w:val="003F3787"/>
    <w:rsid w:val="003F3995"/>
    <w:rsid w:val="003F4000"/>
    <w:rsid w:val="003F4075"/>
    <w:rsid w:val="003F4157"/>
    <w:rsid w:val="003F4173"/>
    <w:rsid w:val="003F41D5"/>
    <w:rsid w:val="003F447D"/>
    <w:rsid w:val="003F4766"/>
    <w:rsid w:val="003F4A52"/>
    <w:rsid w:val="003F4A76"/>
    <w:rsid w:val="003F4F2A"/>
    <w:rsid w:val="003F5171"/>
    <w:rsid w:val="003F527A"/>
    <w:rsid w:val="003F5554"/>
    <w:rsid w:val="003F56B3"/>
    <w:rsid w:val="003F57F9"/>
    <w:rsid w:val="003F598B"/>
    <w:rsid w:val="003F5B31"/>
    <w:rsid w:val="003F5D81"/>
    <w:rsid w:val="003F60F2"/>
    <w:rsid w:val="003F66DE"/>
    <w:rsid w:val="003F68E2"/>
    <w:rsid w:val="003F6939"/>
    <w:rsid w:val="003F69F7"/>
    <w:rsid w:val="003F6BFD"/>
    <w:rsid w:val="003F6CC4"/>
    <w:rsid w:val="003F6E5C"/>
    <w:rsid w:val="003F732F"/>
    <w:rsid w:val="003F75C0"/>
    <w:rsid w:val="003F75F5"/>
    <w:rsid w:val="003F7783"/>
    <w:rsid w:val="003F78D0"/>
    <w:rsid w:val="003F7C56"/>
    <w:rsid w:val="003F7E98"/>
    <w:rsid w:val="00400199"/>
    <w:rsid w:val="004001BE"/>
    <w:rsid w:val="004001D9"/>
    <w:rsid w:val="00400280"/>
    <w:rsid w:val="00400296"/>
    <w:rsid w:val="0040029D"/>
    <w:rsid w:val="004003B5"/>
    <w:rsid w:val="00400704"/>
    <w:rsid w:val="0040078E"/>
    <w:rsid w:val="00400AF9"/>
    <w:rsid w:val="00400F9D"/>
    <w:rsid w:val="00401147"/>
    <w:rsid w:val="004013FE"/>
    <w:rsid w:val="0040147F"/>
    <w:rsid w:val="0040150E"/>
    <w:rsid w:val="0040160D"/>
    <w:rsid w:val="004017C2"/>
    <w:rsid w:val="004017E5"/>
    <w:rsid w:val="00401937"/>
    <w:rsid w:val="00401BDB"/>
    <w:rsid w:val="00401D85"/>
    <w:rsid w:val="00401D97"/>
    <w:rsid w:val="00401F44"/>
    <w:rsid w:val="0040214A"/>
    <w:rsid w:val="00402203"/>
    <w:rsid w:val="0040251E"/>
    <w:rsid w:val="00402570"/>
    <w:rsid w:val="004025BC"/>
    <w:rsid w:val="004027C3"/>
    <w:rsid w:val="0040281C"/>
    <w:rsid w:val="004029A1"/>
    <w:rsid w:val="004029D4"/>
    <w:rsid w:val="00402A7B"/>
    <w:rsid w:val="00402A8A"/>
    <w:rsid w:val="0040304E"/>
    <w:rsid w:val="0040330E"/>
    <w:rsid w:val="004033F5"/>
    <w:rsid w:val="0040341F"/>
    <w:rsid w:val="004038B9"/>
    <w:rsid w:val="0040397B"/>
    <w:rsid w:val="00403AE9"/>
    <w:rsid w:val="00403F80"/>
    <w:rsid w:val="00403FA2"/>
    <w:rsid w:val="004040F0"/>
    <w:rsid w:val="004041AC"/>
    <w:rsid w:val="00404250"/>
    <w:rsid w:val="004044EA"/>
    <w:rsid w:val="0040458C"/>
    <w:rsid w:val="00404639"/>
    <w:rsid w:val="00404AAF"/>
    <w:rsid w:val="00404B46"/>
    <w:rsid w:val="00404CF7"/>
    <w:rsid w:val="00404D75"/>
    <w:rsid w:val="00404D8C"/>
    <w:rsid w:val="00404DA3"/>
    <w:rsid w:val="00405363"/>
    <w:rsid w:val="004053CF"/>
    <w:rsid w:val="00405569"/>
    <w:rsid w:val="00405672"/>
    <w:rsid w:val="00405769"/>
    <w:rsid w:val="00405816"/>
    <w:rsid w:val="00405835"/>
    <w:rsid w:val="00405858"/>
    <w:rsid w:val="004059B0"/>
    <w:rsid w:val="00405A35"/>
    <w:rsid w:val="00405C55"/>
    <w:rsid w:val="00405D1F"/>
    <w:rsid w:val="00405DD2"/>
    <w:rsid w:val="00405F34"/>
    <w:rsid w:val="00405FD4"/>
    <w:rsid w:val="004062A5"/>
    <w:rsid w:val="004062C9"/>
    <w:rsid w:val="004063FC"/>
    <w:rsid w:val="0040640C"/>
    <w:rsid w:val="00406442"/>
    <w:rsid w:val="004064B8"/>
    <w:rsid w:val="004064D7"/>
    <w:rsid w:val="00406A2B"/>
    <w:rsid w:val="00406C28"/>
    <w:rsid w:val="004070BB"/>
    <w:rsid w:val="00407100"/>
    <w:rsid w:val="004071B3"/>
    <w:rsid w:val="004071C4"/>
    <w:rsid w:val="00407257"/>
    <w:rsid w:val="004074D4"/>
    <w:rsid w:val="00407555"/>
    <w:rsid w:val="0040767B"/>
    <w:rsid w:val="004078DF"/>
    <w:rsid w:val="00407984"/>
    <w:rsid w:val="00407A18"/>
    <w:rsid w:val="00407A3F"/>
    <w:rsid w:val="00407DD3"/>
    <w:rsid w:val="004103EF"/>
    <w:rsid w:val="0041084B"/>
    <w:rsid w:val="00410980"/>
    <w:rsid w:val="00410A0F"/>
    <w:rsid w:val="00410D0E"/>
    <w:rsid w:val="0041105B"/>
    <w:rsid w:val="00411165"/>
    <w:rsid w:val="004111A3"/>
    <w:rsid w:val="00411A61"/>
    <w:rsid w:val="00411B72"/>
    <w:rsid w:val="00411C35"/>
    <w:rsid w:val="00411EF5"/>
    <w:rsid w:val="00411FFB"/>
    <w:rsid w:val="0041201E"/>
    <w:rsid w:val="004122F5"/>
    <w:rsid w:val="004123CE"/>
    <w:rsid w:val="0041250E"/>
    <w:rsid w:val="00412666"/>
    <w:rsid w:val="004127C4"/>
    <w:rsid w:val="004127E7"/>
    <w:rsid w:val="00412AAE"/>
    <w:rsid w:val="00412BBD"/>
    <w:rsid w:val="00412FB6"/>
    <w:rsid w:val="0041323C"/>
    <w:rsid w:val="0041328C"/>
    <w:rsid w:val="004133FD"/>
    <w:rsid w:val="004134E4"/>
    <w:rsid w:val="00413629"/>
    <w:rsid w:val="00413946"/>
    <w:rsid w:val="00413A36"/>
    <w:rsid w:val="00413C5E"/>
    <w:rsid w:val="00413E09"/>
    <w:rsid w:val="00413FAD"/>
    <w:rsid w:val="0041437A"/>
    <w:rsid w:val="0041441F"/>
    <w:rsid w:val="00414423"/>
    <w:rsid w:val="00414A49"/>
    <w:rsid w:val="00414A4A"/>
    <w:rsid w:val="00414A56"/>
    <w:rsid w:val="00414B3C"/>
    <w:rsid w:val="00414B71"/>
    <w:rsid w:val="00414CCF"/>
    <w:rsid w:val="00414CE3"/>
    <w:rsid w:val="00414F3A"/>
    <w:rsid w:val="00414F63"/>
    <w:rsid w:val="00414F79"/>
    <w:rsid w:val="00415033"/>
    <w:rsid w:val="00415060"/>
    <w:rsid w:val="004150D2"/>
    <w:rsid w:val="0041511D"/>
    <w:rsid w:val="00415317"/>
    <w:rsid w:val="00415491"/>
    <w:rsid w:val="00415544"/>
    <w:rsid w:val="00415767"/>
    <w:rsid w:val="00415BF2"/>
    <w:rsid w:val="00416302"/>
    <w:rsid w:val="00416331"/>
    <w:rsid w:val="0041647E"/>
    <w:rsid w:val="00416573"/>
    <w:rsid w:val="0041672E"/>
    <w:rsid w:val="00416790"/>
    <w:rsid w:val="004168D3"/>
    <w:rsid w:val="00416932"/>
    <w:rsid w:val="00416A15"/>
    <w:rsid w:val="00416ED3"/>
    <w:rsid w:val="0041708D"/>
    <w:rsid w:val="004170C8"/>
    <w:rsid w:val="00417298"/>
    <w:rsid w:val="00417646"/>
    <w:rsid w:val="00417692"/>
    <w:rsid w:val="00417740"/>
    <w:rsid w:val="00417CF4"/>
    <w:rsid w:val="00417CFB"/>
    <w:rsid w:val="00420298"/>
    <w:rsid w:val="00420388"/>
    <w:rsid w:val="00420469"/>
    <w:rsid w:val="004204B3"/>
    <w:rsid w:val="004207FC"/>
    <w:rsid w:val="0042097E"/>
    <w:rsid w:val="00420F1A"/>
    <w:rsid w:val="0042119B"/>
    <w:rsid w:val="00421278"/>
    <w:rsid w:val="00421405"/>
    <w:rsid w:val="00421477"/>
    <w:rsid w:val="00421805"/>
    <w:rsid w:val="00421998"/>
    <w:rsid w:val="004219AE"/>
    <w:rsid w:val="00421A7B"/>
    <w:rsid w:val="00421BA5"/>
    <w:rsid w:val="00421BAB"/>
    <w:rsid w:val="00421CF0"/>
    <w:rsid w:val="00421DC8"/>
    <w:rsid w:val="0042201E"/>
    <w:rsid w:val="004220E6"/>
    <w:rsid w:val="0042237C"/>
    <w:rsid w:val="0042246C"/>
    <w:rsid w:val="004224ED"/>
    <w:rsid w:val="004225E3"/>
    <w:rsid w:val="00422AD4"/>
    <w:rsid w:val="00422E34"/>
    <w:rsid w:val="00422EA6"/>
    <w:rsid w:val="00422F5C"/>
    <w:rsid w:val="00423065"/>
    <w:rsid w:val="00423240"/>
    <w:rsid w:val="00423255"/>
    <w:rsid w:val="004232A9"/>
    <w:rsid w:val="004235D4"/>
    <w:rsid w:val="00423674"/>
    <w:rsid w:val="0042388A"/>
    <w:rsid w:val="00423A6B"/>
    <w:rsid w:val="00423AF6"/>
    <w:rsid w:val="00423C9E"/>
    <w:rsid w:val="00423D98"/>
    <w:rsid w:val="00423F85"/>
    <w:rsid w:val="004242CC"/>
    <w:rsid w:val="00424407"/>
    <w:rsid w:val="0042464B"/>
    <w:rsid w:val="0042467A"/>
    <w:rsid w:val="00424797"/>
    <w:rsid w:val="00424992"/>
    <w:rsid w:val="004249A9"/>
    <w:rsid w:val="004249F3"/>
    <w:rsid w:val="00424BCF"/>
    <w:rsid w:val="00424BD5"/>
    <w:rsid w:val="00424C8D"/>
    <w:rsid w:val="00424E4D"/>
    <w:rsid w:val="0042500F"/>
    <w:rsid w:val="00425761"/>
    <w:rsid w:val="00425A3A"/>
    <w:rsid w:val="00425D6B"/>
    <w:rsid w:val="00425DAD"/>
    <w:rsid w:val="004263A3"/>
    <w:rsid w:val="004263F3"/>
    <w:rsid w:val="00426502"/>
    <w:rsid w:val="004266D5"/>
    <w:rsid w:val="004268C3"/>
    <w:rsid w:val="00426971"/>
    <w:rsid w:val="00426A0B"/>
    <w:rsid w:val="00426A1D"/>
    <w:rsid w:val="00426AA4"/>
    <w:rsid w:val="00426AEF"/>
    <w:rsid w:val="00426B57"/>
    <w:rsid w:val="0042705E"/>
    <w:rsid w:val="0042707F"/>
    <w:rsid w:val="004271E3"/>
    <w:rsid w:val="004272A3"/>
    <w:rsid w:val="00427613"/>
    <w:rsid w:val="0042763F"/>
    <w:rsid w:val="004276DF"/>
    <w:rsid w:val="0042791D"/>
    <w:rsid w:val="00427D07"/>
    <w:rsid w:val="00427D60"/>
    <w:rsid w:val="004300A8"/>
    <w:rsid w:val="00430184"/>
    <w:rsid w:val="0043044C"/>
    <w:rsid w:val="00430539"/>
    <w:rsid w:val="004305F5"/>
    <w:rsid w:val="004306B1"/>
    <w:rsid w:val="004307AB"/>
    <w:rsid w:val="00430890"/>
    <w:rsid w:val="00430A15"/>
    <w:rsid w:val="00430AA4"/>
    <w:rsid w:val="00430AD1"/>
    <w:rsid w:val="00430B4B"/>
    <w:rsid w:val="00430B51"/>
    <w:rsid w:val="00430E0D"/>
    <w:rsid w:val="00430FAD"/>
    <w:rsid w:val="0043118D"/>
    <w:rsid w:val="004312D8"/>
    <w:rsid w:val="004314D4"/>
    <w:rsid w:val="0043169A"/>
    <w:rsid w:val="004316E0"/>
    <w:rsid w:val="0043180F"/>
    <w:rsid w:val="00431BB1"/>
    <w:rsid w:val="00431BB5"/>
    <w:rsid w:val="00431BE4"/>
    <w:rsid w:val="00431BFC"/>
    <w:rsid w:val="00431E05"/>
    <w:rsid w:val="00432428"/>
    <w:rsid w:val="0043247C"/>
    <w:rsid w:val="0043268B"/>
    <w:rsid w:val="00432772"/>
    <w:rsid w:val="00432865"/>
    <w:rsid w:val="00432B55"/>
    <w:rsid w:val="00432DAC"/>
    <w:rsid w:val="00432DB8"/>
    <w:rsid w:val="00432F1B"/>
    <w:rsid w:val="00432F60"/>
    <w:rsid w:val="00432FCA"/>
    <w:rsid w:val="004331D4"/>
    <w:rsid w:val="004333AF"/>
    <w:rsid w:val="0043343E"/>
    <w:rsid w:val="0043349C"/>
    <w:rsid w:val="004334BA"/>
    <w:rsid w:val="00433791"/>
    <w:rsid w:val="00433C32"/>
    <w:rsid w:val="00434744"/>
    <w:rsid w:val="00434A24"/>
    <w:rsid w:val="00434D10"/>
    <w:rsid w:val="00434D48"/>
    <w:rsid w:val="00434D50"/>
    <w:rsid w:val="00434DB4"/>
    <w:rsid w:val="00434EA1"/>
    <w:rsid w:val="00434ECD"/>
    <w:rsid w:val="00435080"/>
    <w:rsid w:val="004350EF"/>
    <w:rsid w:val="0043564D"/>
    <w:rsid w:val="00435BE0"/>
    <w:rsid w:val="00436203"/>
    <w:rsid w:val="0043678F"/>
    <w:rsid w:val="00436A15"/>
    <w:rsid w:val="00436A90"/>
    <w:rsid w:val="00436AA9"/>
    <w:rsid w:val="00436C02"/>
    <w:rsid w:val="00436C0B"/>
    <w:rsid w:val="00436E62"/>
    <w:rsid w:val="00436F6F"/>
    <w:rsid w:val="00437043"/>
    <w:rsid w:val="004370E3"/>
    <w:rsid w:val="0043713B"/>
    <w:rsid w:val="0043716D"/>
    <w:rsid w:val="00437176"/>
    <w:rsid w:val="0043727B"/>
    <w:rsid w:val="004375BD"/>
    <w:rsid w:val="004376FF"/>
    <w:rsid w:val="004379C5"/>
    <w:rsid w:val="00437ADD"/>
    <w:rsid w:val="00437B89"/>
    <w:rsid w:val="00437BDA"/>
    <w:rsid w:val="00437BED"/>
    <w:rsid w:val="00437C7C"/>
    <w:rsid w:val="0044014B"/>
    <w:rsid w:val="00440180"/>
    <w:rsid w:val="004402F2"/>
    <w:rsid w:val="004404E1"/>
    <w:rsid w:val="00440521"/>
    <w:rsid w:val="004405E2"/>
    <w:rsid w:val="004405E5"/>
    <w:rsid w:val="00440724"/>
    <w:rsid w:val="004407DE"/>
    <w:rsid w:val="004407F8"/>
    <w:rsid w:val="00440A10"/>
    <w:rsid w:val="00440AAE"/>
    <w:rsid w:val="00440B93"/>
    <w:rsid w:val="00440C82"/>
    <w:rsid w:val="00440CA1"/>
    <w:rsid w:val="00440E2D"/>
    <w:rsid w:val="00440F1C"/>
    <w:rsid w:val="004412CD"/>
    <w:rsid w:val="00441306"/>
    <w:rsid w:val="00441494"/>
    <w:rsid w:val="004414B7"/>
    <w:rsid w:val="004415F1"/>
    <w:rsid w:val="00441739"/>
    <w:rsid w:val="00441D22"/>
    <w:rsid w:val="00442115"/>
    <w:rsid w:val="0044252A"/>
    <w:rsid w:val="004427AB"/>
    <w:rsid w:val="00442A8E"/>
    <w:rsid w:val="00442C1E"/>
    <w:rsid w:val="00442C1F"/>
    <w:rsid w:val="00442FF1"/>
    <w:rsid w:val="00443002"/>
    <w:rsid w:val="0044315D"/>
    <w:rsid w:val="004431A2"/>
    <w:rsid w:val="0044330F"/>
    <w:rsid w:val="0044336F"/>
    <w:rsid w:val="004434E1"/>
    <w:rsid w:val="004436F6"/>
    <w:rsid w:val="0044375B"/>
    <w:rsid w:val="0044384F"/>
    <w:rsid w:val="00443D6F"/>
    <w:rsid w:val="004440ED"/>
    <w:rsid w:val="00444133"/>
    <w:rsid w:val="004441DF"/>
    <w:rsid w:val="00444326"/>
    <w:rsid w:val="0044444C"/>
    <w:rsid w:val="0044475E"/>
    <w:rsid w:val="004447FA"/>
    <w:rsid w:val="00444EC0"/>
    <w:rsid w:val="00444FC7"/>
    <w:rsid w:val="004450D2"/>
    <w:rsid w:val="00445318"/>
    <w:rsid w:val="0044588C"/>
    <w:rsid w:val="004458B3"/>
    <w:rsid w:val="00445E1C"/>
    <w:rsid w:val="00446128"/>
    <w:rsid w:val="004462CC"/>
    <w:rsid w:val="004464FE"/>
    <w:rsid w:val="00446717"/>
    <w:rsid w:val="00446796"/>
    <w:rsid w:val="004467F8"/>
    <w:rsid w:val="00446A3F"/>
    <w:rsid w:val="00446F9A"/>
    <w:rsid w:val="00447062"/>
    <w:rsid w:val="00447074"/>
    <w:rsid w:val="004471A2"/>
    <w:rsid w:val="004471BB"/>
    <w:rsid w:val="00447757"/>
    <w:rsid w:val="00447AE6"/>
    <w:rsid w:val="00447B0B"/>
    <w:rsid w:val="00447BDA"/>
    <w:rsid w:val="00447CE7"/>
    <w:rsid w:val="00447FF9"/>
    <w:rsid w:val="0045003C"/>
    <w:rsid w:val="004500D2"/>
    <w:rsid w:val="00450154"/>
    <w:rsid w:val="00450272"/>
    <w:rsid w:val="00450433"/>
    <w:rsid w:val="004505FB"/>
    <w:rsid w:val="0045079A"/>
    <w:rsid w:val="004509B1"/>
    <w:rsid w:val="00450BA8"/>
    <w:rsid w:val="00450ED6"/>
    <w:rsid w:val="00450EFA"/>
    <w:rsid w:val="00450F12"/>
    <w:rsid w:val="0045130D"/>
    <w:rsid w:val="00451327"/>
    <w:rsid w:val="004513C2"/>
    <w:rsid w:val="0045196E"/>
    <w:rsid w:val="00451B90"/>
    <w:rsid w:val="00451C3D"/>
    <w:rsid w:val="00451E51"/>
    <w:rsid w:val="00452200"/>
    <w:rsid w:val="004523AF"/>
    <w:rsid w:val="004524A1"/>
    <w:rsid w:val="004524E8"/>
    <w:rsid w:val="004529B1"/>
    <w:rsid w:val="00452A94"/>
    <w:rsid w:val="00452AED"/>
    <w:rsid w:val="00452C4D"/>
    <w:rsid w:val="00452D6C"/>
    <w:rsid w:val="00452F9D"/>
    <w:rsid w:val="00453039"/>
    <w:rsid w:val="0045337A"/>
    <w:rsid w:val="004533CB"/>
    <w:rsid w:val="004534FA"/>
    <w:rsid w:val="004536A0"/>
    <w:rsid w:val="004538F2"/>
    <w:rsid w:val="004539D6"/>
    <w:rsid w:val="00453A42"/>
    <w:rsid w:val="00453A9A"/>
    <w:rsid w:val="00453C8F"/>
    <w:rsid w:val="00453CC8"/>
    <w:rsid w:val="00453F60"/>
    <w:rsid w:val="0045420D"/>
    <w:rsid w:val="00454327"/>
    <w:rsid w:val="00454566"/>
    <w:rsid w:val="004545B4"/>
    <w:rsid w:val="00454636"/>
    <w:rsid w:val="00454809"/>
    <w:rsid w:val="00454B2C"/>
    <w:rsid w:val="00454BB6"/>
    <w:rsid w:val="004558A3"/>
    <w:rsid w:val="00455A5F"/>
    <w:rsid w:val="00455AA1"/>
    <w:rsid w:val="00455C16"/>
    <w:rsid w:val="004561C4"/>
    <w:rsid w:val="00456201"/>
    <w:rsid w:val="00456281"/>
    <w:rsid w:val="0045645E"/>
    <w:rsid w:val="00456562"/>
    <w:rsid w:val="00456585"/>
    <w:rsid w:val="004565EB"/>
    <w:rsid w:val="00456A61"/>
    <w:rsid w:val="00456A6B"/>
    <w:rsid w:val="00456B01"/>
    <w:rsid w:val="00456CA7"/>
    <w:rsid w:val="004573F8"/>
    <w:rsid w:val="004576B5"/>
    <w:rsid w:val="004577EC"/>
    <w:rsid w:val="00457801"/>
    <w:rsid w:val="004579D5"/>
    <w:rsid w:val="00457CFA"/>
    <w:rsid w:val="00457CFC"/>
    <w:rsid w:val="0046007B"/>
    <w:rsid w:val="004600B1"/>
    <w:rsid w:val="00460126"/>
    <w:rsid w:val="00460176"/>
    <w:rsid w:val="004602BC"/>
    <w:rsid w:val="004603C0"/>
    <w:rsid w:val="004605A4"/>
    <w:rsid w:val="00460687"/>
    <w:rsid w:val="0046076F"/>
    <w:rsid w:val="004607C3"/>
    <w:rsid w:val="0046096A"/>
    <w:rsid w:val="00460A22"/>
    <w:rsid w:val="00460AAD"/>
    <w:rsid w:val="00460C4F"/>
    <w:rsid w:val="00460C6B"/>
    <w:rsid w:val="00461186"/>
    <w:rsid w:val="00461364"/>
    <w:rsid w:val="004613E2"/>
    <w:rsid w:val="00461469"/>
    <w:rsid w:val="00461584"/>
    <w:rsid w:val="004619ED"/>
    <w:rsid w:val="00461E5E"/>
    <w:rsid w:val="00461E8A"/>
    <w:rsid w:val="004621E9"/>
    <w:rsid w:val="004624E3"/>
    <w:rsid w:val="00462580"/>
    <w:rsid w:val="00462916"/>
    <w:rsid w:val="00462F1D"/>
    <w:rsid w:val="0046312C"/>
    <w:rsid w:val="0046324B"/>
    <w:rsid w:val="0046335D"/>
    <w:rsid w:val="00463857"/>
    <w:rsid w:val="00463A45"/>
    <w:rsid w:val="00463D09"/>
    <w:rsid w:val="00463F8A"/>
    <w:rsid w:val="0046482C"/>
    <w:rsid w:val="00464AC7"/>
    <w:rsid w:val="00464B51"/>
    <w:rsid w:val="00464D9D"/>
    <w:rsid w:val="00464E58"/>
    <w:rsid w:val="00464E79"/>
    <w:rsid w:val="00464F83"/>
    <w:rsid w:val="0046514E"/>
    <w:rsid w:val="004656FA"/>
    <w:rsid w:val="00465706"/>
    <w:rsid w:val="00465736"/>
    <w:rsid w:val="00465789"/>
    <w:rsid w:val="004657C0"/>
    <w:rsid w:val="004657CE"/>
    <w:rsid w:val="00465805"/>
    <w:rsid w:val="00465945"/>
    <w:rsid w:val="00465CD1"/>
    <w:rsid w:val="00465D6F"/>
    <w:rsid w:val="00465D9D"/>
    <w:rsid w:val="004668B9"/>
    <w:rsid w:val="00466D24"/>
    <w:rsid w:val="0046705A"/>
    <w:rsid w:val="004671B7"/>
    <w:rsid w:val="004673A8"/>
    <w:rsid w:val="00467461"/>
    <w:rsid w:val="004676EC"/>
    <w:rsid w:val="0046779C"/>
    <w:rsid w:val="004679C2"/>
    <w:rsid w:val="00467A51"/>
    <w:rsid w:val="00467EB7"/>
    <w:rsid w:val="0047051B"/>
    <w:rsid w:val="00470535"/>
    <w:rsid w:val="00470769"/>
    <w:rsid w:val="004707CE"/>
    <w:rsid w:val="004707D4"/>
    <w:rsid w:val="00470AFD"/>
    <w:rsid w:val="00470C00"/>
    <w:rsid w:val="00470D0D"/>
    <w:rsid w:val="00470D67"/>
    <w:rsid w:val="00470E65"/>
    <w:rsid w:val="00470EE9"/>
    <w:rsid w:val="00471080"/>
    <w:rsid w:val="004710C4"/>
    <w:rsid w:val="00471521"/>
    <w:rsid w:val="00471548"/>
    <w:rsid w:val="00471609"/>
    <w:rsid w:val="00471863"/>
    <w:rsid w:val="0047192F"/>
    <w:rsid w:val="00471947"/>
    <w:rsid w:val="00471C70"/>
    <w:rsid w:val="00471E43"/>
    <w:rsid w:val="00471FA9"/>
    <w:rsid w:val="004720FA"/>
    <w:rsid w:val="0047235D"/>
    <w:rsid w:val="0047236A"/>
    <w:rsid w:val="004723FE"/>
    <w:rsid w:val="004724A1"/>
    <w:rsid w:val="004724E7"/>
    <w:rsid w:val="0047250F"/>
    <w:rsid w:val="00472750"/>
    <w:rsid w:val="0047291A"/>
    <w:rsid w:val="00472946"/>
    <w:rsid w:val="00472A2B"/>
    <w:rsid w:val="00472A68"/>
    <w:rsid w:val="00472B16"/>
    <w:rsid w:val="00472D96"/>
    <w:rsid w:val="00472DDB"/>
    <w:rsid w:val="00472FE7"/>
    <w:rsid w:val="0047305A"/>
    <w:rsid w:val="00473649"/>
    <w:rsid w:val="00473887"/>
    <w:rsid w:val="004738BB"/>
    <w:rsid w:val="00473914"/>
    <w:rsid w:val="0047398B"/>
    <w:rsid w:val="00473F91"/>
    <w:rsid w:val="00474228"/>
    <w:rsid w:val="00474482"/>
    <w:rsid w:val="004744EC"/>
    <w:rsid w:val="00474656"/>
    <w:rsid w:val="00474A13"/>
    <w:rsid w:val="00474F8A"/>
    <w:rsid w:val="004754D2"/>
    <w:rsid w:val="004754E1"/>
    <w:rsid w:val="004754FF"/>
    <w:rsid w:val="00475644"/>
    <w:rsid w:val="0047577E"/>
    <w:rsid w:val="004758E3"/>
    <w:rsid w:val="004759D1"/>
    <w:rsid w:val="00475A8E"/>
    <w:rsid w:val="00475BEC"/>
    <w:rsid w:val="00475CAE"/>
    <w:rsid w:val="00475F4B"/>
    <w:rsid w:val="00476009"/>
    <w:rsid w:val="004760BA"/>
    <w:rsid w:val="0047612D"/>
    <w:rsid w:val="0047624E"/>
    <w:rsid w:val="004762B8"/>
    <w:rsid w:val="00476D39"/>
    <w:rsid w:val="00476E98"/>
    <w:rsid w:val="00477004"/>
    <w:rsid w:val="00477021"/>
    <w:rsid w:val="004773D3"/>
    <w:rsid w:val="004773D6"/>
    <w:rsid w:val="0047741A"/>
    <w:rsid w:val="0047741E"/>
    <w:rsid w:val="0047744F"/>
    <w:rsid w:val="00477562"/>
    <w:rsid w:val="004775E1"/>
    <w:rsid w:val="00477804"/>
    <w:rsid w:val="00477875"/>
    <w:rsid w:val="00477D18"/>
    <w:rsid w:val="00477F59"/>
    <w:rsid w:val="00480144"/>
    <w:rsid w:val="00480320"/>
    <w:rsid w:val="00480724"/>
    <w:rsid w:val="004807B2"/>
    <w:rsid w:val="00480967"/>
    <w:rsid w:val="00480AEE"/>
    <w:rsid w:val="00480C6C"/>
    <w:rsid w:val="00480DA0"/>
    <w:rsid w:val="00480DCC"/>
    <w:rsid w:val="00480E66"/>
    <w:rsid w:val="00480F51"/>
    <w:rsid w:val="00480F63"/>
    <w:rsid w:val="00481727"/>
    <w:rsid w:val="00481C83"/>
    <w:rsid w:val="00481D86"/>
    <w:rsid w:val="00481F41"/>
    <w:rsid w:val="00482057"/>
    <w:rsid w:val="0048210E"/>
    <w:rsid w:val="0048220F"/>
    <w:rsid w:val="00482348"/>
    <w:rsid w:val="00482406"/>
    <w:rsid w:val="00482C0E"/>
    <w:rsid w:val="00483057"/>
    <w:rsid w:val="004830DF"/>
    <w:rsid w:val="00483175"/>
    <w:rsid w:val="004832D3"/>
    <w:rsid w:val="004834BB"/>
    <w:rsid w:val="0048369C"/>
    <w:rsid w:val="0048370E"/>
    <w:rsid w:val="0048372F"/>
    <w:rsid w:val="0048395C"/>
    <w:rsid w:val="00483965"/>
    <w:rsid w:val="00483E7B"/>
    <w:rsid w:val="00483F5A"/>
    <w:rsid w:val="00483FF8"/>
    <w:rsid w:val="00484207"/>
    <w:rsid w:val="0048437B"/>
    <w:rsid w:val="0048438C"/>
    <w:rsid w:val="004843B4"/>
    <w:rsid w:val="004847A2"/>
    <w:rsid w:val="0048498C"/>
    <w:rsid w:val="00484D1B"/>
    <w:rsid w:val="00484F8E"/>
    <w:rsid w:val="00485117"/>
    <w:rsid w:val="0048515B"/>
    <w:rsid w:val="004852B0"/>
    <w:rsid w:val="0048533D"/>
    <w:rsid w:val="0048541B"/>
    <w:rsid w:val="00485430"/>
    <w:rsid w:val="004854CF"/>
    <w:rsid w:val="00485503"/>
    <w:rsid w:val="0048553F"/>
    <w:rsid w:val="0048566F"/>
    <w:rsid w:val="004856A1"/>
    <w:rsid w:val="0048573A"/>
    <w:rsid w:val="0048586E"/>
    <w:rsid w:val="00485A90"/>
    <w:rsid w:val="00485B97"/>
    <w:rsid w:val="00486236"/>
    <w:rsid w:val="00486446"/>
    <w:rsid w:val="00486497"/>
    <w:rsid w:val="004865DD"/>
    <w:rsid w:val="00486604"/>
    <w:rsid w:val="0048686C"/>
    <w:rsid w:val="00486B18"/>
    <w:rsid w:val="00486BC3"/>
    <w:rsid w:val="00486BDE"/>
    <w:rsid w:val="00486D50"/>
    <w:rsid w:val="00486DE6"/>
    <w:rsid w:val="00486FC3"/>
    <w:rsid w:val="004872E3"/>
    <w:rsid w:val="00487535"/>
    <w:rsid w:val="004877E2"/>
    <w:rsid w:val="0048796A"/>
    <w:rsid w:val="00487A8C"/>
    <w:rsid w:val="00490351"/>
    <w:rsid w:val="004903F5"/>
    <w:rsid w:val="0049047C"/>
    <w:rsid w:val="0049081F"/>
    <w:rsid w:val="004909DA"/>
    <w:rsid w:val="00490A07"/>
    <w:rsid w:val="00490CBB"/>
    <w:rsid w:val="00490CDA"/>
    <w:rsid w:val="00490D52"/>
    <w:rsid w:val="00490DF0"/>
    <w:rsid w:val="00490F02"/>
    <w:rsid w:val="00490F12"/>
    <w:rsid w:val="00490F27"/>
    <w:rsid w:val="004913FE"/>
    <w:rsid w:val="004916C7"/>
    <w:rsid w:val="004923B9"/>
    <w:rsid w:val="0049242C"/>
    <w:rsid w:val="004928E8"/>
    <w:rsid w:val="004929B8"/>
    <w:rsid w:val="004929BA"/>
    <w:rsid w:val="00492A68"/>
    <w:rsid w:val="00492AF0"/>
    <w:rsid w:val="00492C77"/>
    <w:rsid w:val="00492D07"/>
    <w:rsid w:val="00492E04"/>
    <w:rsid w:val="00492E40"/>
    <w:rsid w:val="00492F4E"/>
    <w:rsid w:val="00493080"/>
    <w:rsid w:val="004930EE"/>
    <w:rsid w:val="00493231"/>
    <w:rsid w:val="00493284"/>
    <w:rsid w:val="00493312"/>
    <w:rsid w:val="00493771"/>
    <w:rsid w:val="00493875"/>
    <w:rsid w:val="00493F1A"/>
    <w:rsid w:val="00494167"/>
    <w:rsid w:val="004941BF"/>
    <w:rsid w:val="004943AE"/>
    <w:rsid w:val="0049464E"/>
    <w:rsid w:val="0049474C"/>
    <w:rsid w:val="0049475B"/>
    <w:rsid w:val="004948FE"/>
    <w:rsid w:val="00494D04"/>
    <w:rsid w:val="00494D96"/>
    <w:rsid w:val="00494E32"/>
    <w:rsid w:val="00494F2D"/>
    <w:rsid w:val="0049515D"/>
    <w:rsid w:val="0049529A"/>
    <w:rsid w:val="0049552A"/>
    <w:rsid w:val="0049586B"/>
    <w:rsid w:val="004959E6"/>
    <w:rsid w:val="00495A38"/>
    <w:rsid w:val="00495BF3"/>
    <w:rsid w:val="00495ECB"/>
    <w:rsid w:val="00496136"/>
    <w:rsid w:val="00496186"/>
    <w:rsid w:val="0049657D"/>
    <w:rsid w:val="004966AB"/>
    <w:rsid w:val="004966EF"/>
    <w:rsid w:val="00496800"/>
    <w:rsid w:val="00496911"/>
    <w:rsid w:val="0049691C"/>
    <w:rsid w:val="00496B41"/>
    <w:rsid w:val="00496E7B"/>
    <w:rsid w:val="00496ED0"/>
    <w:rsid w:val="00496F8E"/>
    <w:rsid w:val="004972BA"/>
    <w:rsid w:val="00497785"/>
    <w:rsid w:val="0049778A"/>
    <w:rsid w:val="00497BB8"/>
    <w:rsid w:val="00497F60"/>
    <w:rsid w:val="00497FF0"/>
    <w:rsid w:val="004A0587"/>
    <w:rsid w:val="004A06D5"/>
    <w:rsid w:val="004A070E"/>
    <w:rsid w:val="004A0B08"/>
    <w:rsid w:val="004A0CA8"/>
    <w:rsid w:val="004A0D96"/>
    <w:rsid w:val="004A17F4"/>
    <w:rsid w:val="004A1808"/>
    <w:rsid w:val="004A183E"/>
    <w:rsid w:val="004A1BF6"/>
    <w:rsid w:val="004A1E49"/>
    <w:rsid w:val="004A20E2"/>
    <w:rsid w:val="004A210C"/>
    <w:rsid w:val="004A2239"/>
    <w:rsid w:val="004A2404"/>
    <w:rsid w:val="004A2760"/>
    <w:rsid w:val="004A27C4"/>
    <w:rsid w:val="004A27E4"/>
    <w:rsid w:val="004A2954"/>
    <w:rsid w:val="004A2B8F"/>
    <w:rsid w:val="004A2C9E"/>
    <w:rsid w:val="004A2CA5"/>
    <w:rsid w:val="004A2D0C"/>
    <w:rsid w:val="004A2E4B"/>
    <w:rsid w:val="004A2EF9"/>
    <w:rsid w:val="004A2F5F"/>
    <w:rsid w:val="004A3276"/>
    <w:rsid w:val="004A3570"/>
    <w:rsid w:val="004A36B5"/>
    <w:rsid w:val="004A3741"/>
    <w:rsid w:val="004A3848"/>
    <w:rsid w:val="004A38A3"/>
    <w:rsid w:val="004A3A65"/>
    <w:rsid w:val="004A3B6A"/>
    <w:rsid w:val="004A3C6C"/>
    <w:rsid w:val="004A3C70"/>
    <w:rsid w:val="004A3FC8"/>
    <w:rsid w:val="004A3FE4"/>
    <w:rsid w:val="004A3FE6"/>
    <w:rsid w:val="004A40AF"/>
    <w:rsid w:val="004A40B9"/>
    <w:rsid w:val="004A42B3"/>
    <w:rsid w:val="004A465E"/>
    <w:rsid w:val="004A48B5"/>
    <w:rsid w:val="004A4BF0"/>
    <w:rsid w:val="004A4D28"/>
    <w:rsid w:val="004A4DB4"/>
    <w:rsid w:val="004A4EC4"/>
    <w:rsid w:val="004A4F0B"/>
    <w:rsid w:val="004A4F8E"/>
    <w:rsid w:val="004A5472"/>
    <w:rsid w:val="004A5609"/>
    <w:rsid w:val="004A566E"/>
    <w:rsid w:val="004A587D"/>
    <w:rsid w:val="004A5913"/>
    <w:rsid w:val="004A595A"/>
    <w:rsid w:val="004A5DE4"/>
    <w:rsid w:val="004A643A"/>
    <w:rsid w:val="004A6558"/>
    <w:rsid w:val="004A67BD"/>
    <w:rsid w:val="004A6A97"/>
    <w:rsid w:val="004A6B2D"/>
    <w:rsid w:val="004A6DE6"/>
    <w:rsid w:val="004A6E3D"/>
    <w:rsid w:val="004A6EE6"/>
    <w:rsid w:val="004A6F16"/>
    <w:rsid w:val="004A6F74"/>
    <w:rsid w:val="004A6FF9"/>
    <w:rsid w:val="004A7106"/>
    <w:rsid w:val="004A726B"/>
    <w:rsid w:val="004A748A"/>
    <w:rsid w:val="004A74A9"/>
    <w:rsid w:val="004A7656"/>
    <w:rsid w:val="004A766D"/>
    <w:rsid w:val="004A7CB1"/>
    <w:rsid w:val="004A7E78"/>
    <w:rsid w:val="004B0218"/>
    <w:rsid w:val="004B02CF"/>
    <w:rsid w:val="004B02FC"/>
    <w:rsid w:val="004B04D0"/>
    <w:rsid w:val="004B04ED"/>
    <w:rsid w:val="004B0614"/>
    <w:rsid w:val="004B0B46"/>
    <w:rsid w:val="004B0B73"/>
    <w:rsid w:val="004B0C14"/>
    <w:rsid w:val="004B105C"/>
    <w:rsid w:val="004B128A"/>
    <w:rsid w:val="004B12D8"/>
    <w:rsid w:val="004B17E3"/>
    <w:rsid w:val="004B1897"/>
    <w:rsid w:val="004B1E0F"/>
    <w:rsid w:val="004B20EA"/>
    <w:rsid w:val="004B20F5"/>
    <w:rsid w:val="004B2265"/>
    <w:rsid w:val="004B2391"/>
    <w:rsid w:val="004B263E"/>
    <w:rsid w:val="004B27E1"/>
    <w:rsid w:val="004B280E"/>
    <w:rsid w:val="004B28CE"/>
    <w:rsid w:val="004B29A0"/>
    <w:rsid w:val="004B2A12"/>
    <w:rsid w:val="004B2A4E"/>
    <w:rsid w:val="004B2A69"/>
    <w:rsid w:val="004B2B8A"/>
    <w:rsid w:val="004B2C68"/>
    <w:rsid w:val="004B2CCB"/>
    <w:rsid w:val="004B2D4E"/>
    <w:rsid w:val="004B2F96"/>
    <w:rsid w:val="004B3039"/>
    <w:rsid w:val="004B33C6"/>
    <w:rsid w:val="004B35BB"/>
    <w:rsid w:val="004B39B0"/>
    <w:rsid w:val="004B3CF7"/>
    <w:rsid w:val="004B3D72"/>
    <w:rsid w:val="004B401B"/>
    <w:rsid w:val="004B44D2"/>
    <w:rsid w:val="004B44FD"/>
    <w:rsid w:val="004B4673"/>
    <w:rsid w:val="004B490E"/>
    <w:rsid w:val="004B4A35"/>
    <w:rsid w:val="004B4A3A"/>
    <w:rsid w:val="004B4AFA"/>
    <w:rsid w:val="004B4B5A"/>
    <w:rsid w:val="004B4EC8"/>
    <w:rsid w:val="004B50FF"/>
    <w:rsid w:val="004B52AC"/>
    <w:rsid w:val="004B53D7"/>
    <w:rsid w:val="004B57C9"/>
    <w:rsid w:val="004B593C"/>
    <w:rsid w:val="004B5B98"/>
    <w:rsid w:val="004B5CE4"/>
    <w:rsid w:val="004B5DF2"/>
    <w:rsid w:val="004B607E"/>
    <w:rsid w:val="004B62FA"/>
    <w:rsid w:val="004B66D5"/>
    <w:rsid w:val="004B684F"/>
    <w:rsid w:val="004B6864"/>
    <w:rsid w:val="004B68E5"/>
    <w:rsid w:val="004B690C"/>
    <w:rsid w:val="004B6EB2"/>
    <w:rsid w:val="004B6FED"/>
    <w:rsid w:val="004B7202"/>
    <w:rsid w:val="004B725E"/>
    <w:rsid w:val="004B739F"/>
    <w:rsid w:val="004B7541"/>
    <w:rsid w:val="004B76C8"/>
    <w:rsid w:val="004B77FA"/>
    <w:rsid w:val="004B792B"/>
    <w:rsid w:val="004B7BD8"/>
    <w:rsid w:val="004B7F3F"/>
    <w:rsid w:val="004C012C"/>
    <w:rsid w:val="004C01DB"/>
    <w:rsid w:val="004C03C9"/>
    <w:rsid w:val="004C03D9"/>
    <w:rsid w:val="004C045B"/>
    <w:rsid w:val="004C049A"/>
    <w:rsid w:val="004C04EF"/>
    <w:rsid w:val="004C0879"/>
    <w:rsid w:val="004C0B31"/>
    <w:rsid w:val="004C0E6C"/>
    <w:rsid w:val="004C0FFF"/>
    <w:rsid w:val="004C12FF"/>
    <w:rsid w:val="004C136E"/>
    <w:rsid w:val="004C1426"/>
    <w:rsid w:val="004C177C"/>
    <w:rsid w:val="004C17C4"/>
    <w:rsid w:val="004C1C55"/>
    <w:rsid w:val="004C1C8B"/>
    <w:rsid w:val="004C1E53"/>
    <w:rsid w:val="004C2012"/>
    <w:rsid w:val="004C21A8"/>
    <w:rsid w:val="004C262B"/>
    <w:rsid w:val="004C27DE"/>
    <w:rsid w:val="004C29F5"/>
    <w:rsid w:val="004C2AA4"/>
    <w:rsid w:val="004C2B38"/>
    <w:rsid w:val="004C2E0A"/>
    <w:rsid w:val="004C34E8"/>
    <w:rsid w:val="004C3716"/>
    <w:rsid w:val="004C371B"/>
    <w:rsid w:val="004C3966"/>
    <w:rsid w:val="004C3AC5"/>
    <w:rsid w:val="004C3FB0"/>
    <w:rsid w:val="004C42D8"/>
    <w:rsid w:val="004C433D"/>
    <w:rsid w:val="004C440A"/>
    <w:rsid w:val="004C4504"/>
    <w:rsid w:val="004C46BC"/>
    <w:rsid w:val="004C46E3"/>
    <w:rsid w:val="004C4A4F"/>
    <w:rsid w:val="004C4CE9"/>
    <w:rsid w:val="004C4E26"/>
    <w:rsid w:val="004C4E98"/>
    <w:rsid w:val="004C5398"/>
    <w:rsid w:val="004C542A"/>
    <w:rsid w:val="004C5704"/>
    <w:rsid w:val="004C5812"/>
    <w:rsid w:val="004C5842"/>
    <w:rsid w:val="004C5890"/>
    <w:rsid w:val="004C58BF"/>
    <w:rsid w:val="004C5C49"/>
    <w:rsid w:val="004C5C9B"/>
    <w:rsid w:val="004C5CB0"/>
    <w:rsid w:val="004C5DF8"/>
    <w:rsid w:val="004C5FAE"/>
    <w:rsid w:val="004C613A"/>
    <w:rsid w:val="004C638E"/>
    <w:rsid w:val="004C6426"/>
    <w:rsid w:val="004C680C"/>
    <w:rsid w:val="004C6876"/>
    <w:rsid w:val="004C6953"/>
    <w:rsid w:val="004C69D3"/>
    <w:rsid w:val="004C6B5C"/>
    <w:rsid w:val="004C6CEC"/>
    <w:rsid w:val="004C705B"/>
    <w:rsid w:val="004C712A"/>
    <w:rsid w:val="004C7344"/>
    <w:rsid w:val="004C7356"/>
    <w:rsid w:val="004C7421"/>
    <w:rsid w:val="004C746B"/>
    <w:rsid w:val="004C7488"/>
    <w:rsid w:val="004C76E2"/>
    <w:rsid w:val="004C792D"/>
    <w:rsid w:val="004C7CF2"/>
    <w:rsid w:val="004C7E3F"/>
    <w:rsid w:val="004C7ED1"/>
    <w:rsid w:val="004D0212"/>
    <w:rsid w:val="004D0461"/>
    <w:rsid w:val="004D05F6"/>
    <w:rsid w:val="004D08E0"/>
    <w:rsid w:val="004D0DA5"/>
    <w:rsid w:val="004D0EE7"/>
    <w:rsid w:val="004D0F14"/>
    <w:rsid w:val="004D105B"/>
    <w:rsid w:val="004D109B"/>
    <w:rsid w:val="004D1239"/>
    <w:rsid w:val="004D1254"/>
    <w:rsid w:val="004D1278"/>
    <w:rsid w:val="004D132E"/>
    <w:rsid w:val="004D1331"/>
    <w:rsid w:val="004D1448"/>
    <w:rsid w:val="004D1632"/>
    <w:rsid w:val="004D1A91"/>
    <w:rsid w:val="004D1D89"/>
    <w:rsid w:val="004D219B"/>
    <w:rsid w:val="004D21E7"/>
    <w:rsid w:val="004D225C"/>
    <w:rsid w:val="004D22A5"/>
    <w:rsid w:val="004D239A"/>
    <w:rsid w:val="004D2609"/>
    <w:rsid w:val="004D285A"/>
    <w:rsid w:val="004D29B9"/>
    <w:rsid w:val="004D2ADE"/>
    <w:rsid w:val="004D2B9F"/>
    <w:rsid w:val="004D2CD5"/>
    <w:rsid w:val="004D3224"/>
    <w:rsid w:val="004D3279"/>
    <w:rsid w:val="004D350F"/>
    <w:rsid w:val="004D384F"/>
    <w:rsid w:val="004D393C"/>
    <w:rsid w:val="004D3948"/>
    <w:rsid w:val="004D3980"/>
    <w:rsid w:val="004D3A08"/>
    <w:rsid w:val="004D3D20"/>
    <w:rsid w:val="004D3E2E"/>
    <w:rsid w:val="004D3E75"/>
    <w:rsid w:val="004D4273"/>
    <w:rsid w:val="004D4295"/>
    <w:rsid w:val="004D4304"/>
    <w:rsid w:val="004D4444"/>
    <w:rsid w:val="004D44DD"/>
    <w:rsid w:val="004D4604"/>
    <w:rsid w:val="004D46E9"/>
    <w:rsid w:val="004D4780"/>
    <w:rsid w:val="004D47EF"/>
    <w:rsid w:val="004D4841"/>
    <w:rsid w:val="004D48DA"/>
    <w:rsid w:val="004D4DCC"/>
    <w:rsid w:val="004D51B1"/>
    <w:rsid w:val="004D5264"/>
    <w:rsid w:val="004D526D"/>
    <w:rsid w:val="004D545C"/>
    <w:rsid w:val="004D5788"/>
    <w:rsid w:val="004D59D1"/>
    <w:rsid w:val="004D5A6F"/>
    <w:rsid w:val="004D5A7A"/>
    <w:rsid w:val="004D5AF1"/>
    <w:rsid w:val="004D5B86"/>
    <w:rsid w:val="004D5BAB"/>
    <w:rsid w:val="004D5C24"/>
    <w:rsid w:val="004D5C4D"/>
    <w:rsid w:val="004D5C61"/>
    <w:rsid w:val="004D5CA0"/>
    <w:rsid w:val="004D5CD8"/>
    <w:rsid w:val="004D5D81"/>
    <w:rsid w:val="004D5FFF"/>
    <w:rsid w:val="004D6685"/>
    <w:rsid w:val="004D6744"/>
    <w:rsid w:val="004D6866"/>
    <w:rsid w:val="004D6969"/>
    <w:rsid w:val="004D6ABE"/>
    <w:rsid w:val="004D6B3F"/>
    <w:rsid w:val="004D6C22"/>
    <w:rsid w:val="004D6CCE"/>
    <w:rsid w:val="004D6DAB"/>
    <w:rsid w:val="004D718D"/>
    <w:rsid w:val="004D724D"/>
    <w:rsid w:val="004D767A"/>
    <w:rsid w:val="004D77E7"/>
    <w:rsid w:val="004D7847"/>
    <w:rsid w:val="004D792E"/>
    <w:rsid w:val="004D79FA"/>
    <w:rsid w:val="004D7E2C"/>
    <w:rsid w:val="004D7E85"/>
    <w:rsid w:val="004E0080"/>
    <w:rsid w:val="004E0227"/>
    <w:rsid w:val="004E0782"/>
    <w:rsid w:val="004E09B7"/>
    <w:rsid w:val="004E0B8B"/>
    <w:rsid w:val="004E0C6E"/>
    <w:rsid w:val="004E0F07"/>
    <w:rsid w:val="004E1440"/>
    <w:rsid w:val="004E1526"/>
    <w:rsid w:val="004E1621"/>
    <w:rsid w:val="004E170B"/>
    <w:rsid w:val="004E18AF"/>
    <w:rsid w:val="004E18D5"/>
    <w:rsid w:val="004E1A25"/>
    <w:rsid w:val="004E1AAA"/>
    <w:rsid w:val="004E1E6D"/>
    <w:rsid w:val="004E1F72"/>
    <w:rsid w:val="004E2000"/>
    <w:rsid w:val="004E2048"/>
    <w:rsid w:val="004E2071"/>
    <w:rsid w:val="004E20E2"/>
    <w:rsid w:val="004E227F"/>
    <w:rsid w:val="004E2306"/>
    <w:rsid w:val="004E288D"/>
    <w:rsid w:val="004E28C6"/>
    <w:rsid w:val="004E2B40"/>
    <w:rsid w:val="004E2B55"/>
    <w:rsid w:val="004E2BE7"/>
    <w:rsid w:val="004E2C07"/>
    <w:rsid w:val="004E2D2E"/>
    <w:rsid w:val="004E2DFF"/>
    <w:rsid w:val="004E2E4D"/>
    <w:rsid w:val="004E2EA6"/>
    <w:rsid w:val="004E306D"/>
    <w:rsid w:val="004E30B7"/>
    <w:rsid w:val="004E3269"/>
    <w:rsid w:val="004E3609"/>
    <w:rsid w:val="004E3619"/>
    <w:rsid w:val="004E376B"/>
    <w:rsid w:val="004E3C93"/>
    <w:rsid w:val="004E3DE2"/>
    <w:rsid w:val="004E4277"/>
    <w:rsid w:val="004E42D0"/>
    <w:rsid w:val="004E4396"/>
    <w:rsid w:val="004E44E5"/>
    <w:rsid w:val="004E4622"/>
    <w:rsid w:val="004E4760"/>
    <w:rsid w:val="004E4917"/>
    <w:rsid w:val="004E495F"/>
    <w:rsid w:val="004E4EAF"/>
    <w:rsid w:val="004E4EB0"/>
    <w:rsid w:val="004E4EE7"/>
    <w:rsid w:val="004E4F22"/>
    <w:rsid w:val="004E4F60"/>
    <w:rsid w:val="004E4FB8"/>
    <w:rsid w:val="004E50C7"/>
    <w:rsid w:val="004E519D"/>
    <w:rsid w:val="004E5423"/>
    <w:rsid w:val="004E556F"/>
    <w:rsid w:val="004E574D"/>
    <w:rsid w:val="004E57A6"/>
    <w:rsid w:val="004E57FB"/>
    <w:rsid w:val="004E58C3"/>
    <w:rsid w:val="004E58F8"/>
    <w:rsid w:val="004E5A4B"/>
    <w:rsid w:val="004E5BA3"/>
    <w:rsid w:val="004E5C2D"/>
    <w:rsid w:val="004E5E37"/>
    <w:rsid w:val="004E5E8B"/>
    <w:rsid w:val="004E5F5A"/>
    <w:rsid w:val="004E6069"/>
    <w:rsid w:val="004E6AD1"/>
    <w:rsid w:val="004E6C7C"/>
    <w:rsid w:val="004E6CD1"/>
    <w:rsid w:val="004E6F7A"/>
    <w:rsid w:val="004E718E"/>
    <w:rsid w:val="004E722E"/>
    <w:rsid w:val="004E7239"/>
    <w:rsid w:val="004E746F"/>
    <w:rsid w:val="004E7626"/>
    <w:rsid w:val="004E76BD"/>
    <w:rsid w:val="004E787B"/>
    <w:rsid w:val="004E7C1B"/>
    <w:rsid w:val="004E7D0B"/>
    <w:rsid w:val="004E7D3A"/>
    <w:rsid w:val="004E7EB6"/>
    <w:rsid w:val="004F0031"/>
    <w:rsid w:val="004F01AD"/>
    <w:rsid w:val="004F02C9"/>
    <w:rsid w:val="004F0491"/>
    <w:rsid w:val="004F084C"/>
    <w:rsid w:val="004F1138"/>
    <w:rsid w:val="004F17F2"/>
    <w:rsid w:val="004F1A4D"/>
    <w:rsid w:val="004F1A69"/>
    <w:rsid w:val="004F1C8D"/>
    <w:rsid w:val="004F1D9F"/>
    <w:rsid w:val="004F1E0D"/>
    <w:rsid w:val="004F1F9A"/>
    <w:rsid w:val="004F2016"/>
    <w:rsid w:val="004F2239"/>
    <w:rsid w:val="004F2369"/>
    <w:rsid w:val="004F266A"/>
    <w:rsid w:val="004F2A24"/>
    <w:rsid w:val="004F2B3B"/>
    <w:rsid w:val="004F2B6B"/>
    <w:rsid w:val="004F2F84"/>
    <w:rsid w:val="004F30BB"/>
    <w:rsid w:val="004F30D7"/>
    <w:rsid w:val="004F315F"/>
    <w:rsid w:val="004F3278"/>
    <w:rsid w:val="004F33C1"/>
    <w:rsid w:val="004F36DF"/>
    <w:rsid w:val="004F3933"/>
    <w:rsid w:val="004F3956"/>
    <w:rsid w:val="004F3A77"/>
    <w:rsid w:val="004F3B29"/>
    <w:rsid w:val="004F3BE6"/>
    <w:rsid w:val="004F3E94"/>
    <w:rsid w:val="004F3FF8"/>
    <w:rsid w:val="004F426C"/>
    <w:rsid w:val="004F42AD"/>
    <w:rsid w:val="004F43C4"/>
    <w:rsid w:val="004F48E5"/>
    <w:rsid w:val="004F4D23"/>
    <w:rsid w:val="004F4E55"/>
    <w:rsid w:val="004F4F2B"/>
    <w:rsid w:val="004F512B"/>
    <w:rsid w:val="004F51F5"/>
    <w:rsid w:val="004F521F"/>
    <w:rsid w:val="004F52D1"/>
    <w:rsid w:val="004F5E4E"/>
    <w:rsid w:val="004F5E73"/>
    <w:rsid w:val="004F61E8"/>
    <w:rsid w:val="004F674B"/>
    <w:rsid w:val="004F68CD"/>
    <w:rsid w:val="004F68F6"/>
    <w:rsid w:val="004F69DF"/>
    <w:rsid w:val="004F6C84"/>
    <w:rsid w:val="004F6E97"/>
    <w:rsid w:val="004F719F"/>
    <w:rsid w:val="004F71E5"/>
    <w:rsid w:val="004F72C5"/>
    <w:rsid w:val="004F73E8"/>
    <w:rsid w:val="004F76D8"/>
    <w:rsid w:val="004F7768"/>
    <w:rsid w:val="004F7BBC"/>
    <w:rsid w:val="004F7C20"/>
    <w:rsid w:val="004F7C86"/>
    <w:rsid w:val="004F7D65"/>
    <w:rsid w:val="004F7F7A"/>
    <w:rsid w:val="00500107"/>
    <w:rsid w:val="005002EF"/>
    <w:rsid w:val="005003B2"/>
    <w:rsid w:val="0050079D"/>
    <w:rsid w:val="005008D3"/>
    <w:rsid w:val="00500A85"/>
    <w:rsid w:val="00500DF2"/>
    <w:rsid w:val="00500FE0"/>
    <w:rsid w:val="00501274"/>
    <w:rsid w:val="00501547"/>
    <w:rsid w:val="00501705"/>
    <w:rsid w:val="00501782"/>
    <w:rsid w:val="00501BB5"/>
    <w:rsid w:val="00501E21"/>
    <w:rsid w:val="00501E65"/>
    <w:rsid w:val="00501FD0"/>
    <w:rsid w:val="00502161"/>
    <w:rsid w:val="005022A2"/>
    <w:rsid w:val="0050236B"/>
    <w:rsid w:val="0050274B"/>
    <w:rsid w:val="00502B5A"/>
    <w:rsid w:val="00502BB7"/>
    <w:rsid w:val="00502DF6"/>
    <w:rsid w:val="00502F51"/>
    <w:rsid w:val="0050306F"/>
    <w:rsid w:val="00503137"/>
    <w:rsid w:val="0050326C"/>
    <w:rsid w:val="00503285"/>
    <w:rsid w:val="0050330F"/>
    <w:rsid w:val="005033F8"/>
    <w:rsid w:val="005034FF"/>
    <w:rsid w:val="00503535"/>
    <w:rsid w:val="005035E7"/>
    <w:rsid w:val="00503726"/>
    <w:rsid w:val="005039DD"/>
    <w:rsid w:val="00503B7E"/>
    <w:rsid w:val="00503DEF"/>
    <w:rsid w:val="005045DF"/>
    <w:rsid w:val="00504F78"/>
    <w:rsid w:val="00504FED"/>
    <w:rsid w:val="0050524A"/>
    <w:rsid w:val="0050529D"/>
    <w:rsid w:val="005054C4"/>
    <w:rsid w:val="005054D6"/>
    <w:rsid w:val="005055CB"/>
    <w:rsid w:val="00505831"/>
    <w:rsid w:val="005058C6"/>
    <w:rsid w:val="00505986"/>
    <w:rsid w:val="00505D49"/>
    <w:rsid w:val="00505E55"/>
    <w:rsid w:val="00505E84"/>
    <w:rsid w:val="0050630A"/>
    <w:rsid w:val="00506CBC"/>
    <w:rsid w:val="00506CD7"/>
    <w:rsid w:val="00506E97"/>
    <w:rsid w:val="00506FB6"/>
    <w:rsid w:val="0050705D"/>
    <w:rsid w:val="00507460"/>
    <w:rsid w:val="0050769F"/>
    <w:rsid w:val="005078B2"/>
    <w:rsid w:val="0050793F"/>
    <w:rsid w:val="00507BA8"/>
    <w:rsid w:val="00507E01"/>
    <w:rsid w:val="00507F2C"/>
    <w:rsid w:val="00510036"/>
    <w:rsid w:val="00510140"/>
    <w:rsid w:val="0051018E"/>
    <w:rsid w:val="005107B8"/>
    <w:rsid w:val="00510907"/>
    <w:rsid w:val="005109B7"/>
    <w:rsid w:val="00510BF4"/>
    <w:rsid w:val="00510D7E"/>
    <w:rsid w:val="00510DE8"/>
    <w:rsid w:val="00510EF9"/>
    <w:rsid w:val="005110A7"/>
    <w:rsid w:val="00511204"/>
    <w:rsid w:val="005115D1"/>
    <w:rsid w:val="00511736"/>
    <w:rsid w:val="005117A5"/>
    <w:rsid w:val="00511AB5"/>
    <w:rsid w:val="00511AF2"/>
    <w:rsid w:val="00511C8E"/>
    <w:rsid w:val="00511F61"/>
    <w:rsid w:val="00512178"/>
    <w:rsid w:val="005122DF"/>
    <w:rsid w:val="0051230D"/>
    <w:rsid w:val="00512517"/>
    <w:rsid w:val="005126C2"/>
    <w:rsid w:val="00512935"/>
    <w:rsid w:val="00513634"/>
    <w:rsid w:val="005137DC"/>
    <w:rsid w:val="00513C65"/>
    <w:rsid w:val="00513C8F"/>
    <w:rsid w:val="00513E6E"/>
    <w:rsid w:val="0051405D"/>
    <w:rsid w:val="00514125"/>
    <w:rsid w:val="0051416B"/>
    <w:rsid w:val="0051417A"/>
    <w:rsid w:val="005142A7"/>
    <w:rsid w:val="00514497"/>
    <w:rsid w:val="005144F6"/>
    <w:rsid w:val="00514670"/>
    <w:rsid w:val="005148FC"/>
    <w:rsid w:val="005149B6"/>
    <w:rsid w:val="00514C42"/>
    <w:rsid w:val="00514D89"/>
    <w:rsid w:val="00514FCE"/>
    <w:rsid w:val="0051507F"/>
    <w:rsid w:val="005150CB"/>
    <w:rsid w:val="005151EB"/>
    <w:rsid w:val="0051525B"/>
    <w:rsid w:val="00515405"/>
    <w:rsid w:val="005156B7"/>
    <w:rsid w:val="005156E9"/>
    <w:rsid w:val="00515728"/>
    <w:rsid w:val="00515801"/>
    <w:rsid w:val="0051584F"/>
    <w:rsid w:val="00515B56"/>
    <w:rsid w:val="00515C3A"/>
    <w:rsid w:val="00515D8D"/>
    <w:rsid w:val="00515F5F"/>
    <w:rsid w:val="00515FD1"/>
    <w:rsid w:val="005160E2"/>
    <w:rsid w:val="005161F6"/>
    <w:rsid w:val="0051622B"/>
    <w:rsid w:val="005163AC"/>
    <w:rsid w:val="00516602"/>
    <w:rsid w:val="0051663D"/>
    <w:rsid w:val="00516752"/>
    <w:rsid w:val="005167CD"/>
    <w:rsid w:val="0051696C"/>
    <w:rsid w:val="00516EA1"/>
    <w:rsid w:val="00517058"/>
    <w:rsid w:val="00517093"/>
    <w:rsid w:val="005170D5"/>
    <w:rsid w:val="0051715A"/>
    <w:rsid w:val="00517175"/>
    <w:rsid w:val="005175BF"/>
    <w:rsid w:val="0051764E"/>
    <w:rsid w:val="00517931"/>
    <w:rsid w:val="0051793B"/>
    <w:rsid w:val="00517A5E"/>
    <w:rsid w:val="00517B0D"/>
    <w:rsid w:val="00517BF9"/>
    <w:rsid w:val="00517D91"/>
    <w:rsid w:val="00517FD8"/>
    <w:rsid w:val="005201C2"/>
    <w:rsid w:val="00520495"/>
    <w:rsid w:val="005205A0"/>
    <w:rsid w:val="00520674"/>
    <w:rsid w:val="005206A8"/>
    <w:rsid w:val="005206F4"/>
    <w:rsid w:val="005208F5"/>
    <w:rsid w:val="00520CCF"/>
    <w:rsid w:val="005210E1"/>
    <w:rsid w:val="00521352"/>
    <w:rsid w:val="00521561"/>
    <w:rsid w:val="00521A0F"/>
    <w:rsid w:val="00521B2D"/>
    <w:rsid w:val="00521C68"/>
    <w:rsid w:val="00521DBC"/>
    <w:rsid w:val="00521F97"/>
    <w:rsid w:val="00522118"/>
    <w:rsid w:val="0052235B"/>
    <w:rsid w:val="005224DC"/>
    <w:rsid w:val="005225E4"/>
    <w:rsid w:val="005228AA"/>
    <w:rsid w:val="00522935"/>
    <w:rsid w:val="00522955"/>
    <w:rsid w:val="00522989"/>
    <w:rsid w:val="00522A33"/>
    <w:rsid w:val="00522AF2"/>
    <w:rsid w:val="00522BC3"/>
    <w:rsid w:val="00522CA0"/>
    <w:rsid w:val="00522D56"/>
    <w:rsid w:val="00522EF3"/>
    <w:rsid w:val="0052300C"/>
    <w:rsid w:val="005232B8"/>
    <w:rsid w:val="00523352"/>
    <w:rsid w:val="0052339A"/>
    <w:rsid w:val="00523494"/>
    <w:rsid w:val="0052355F"/>
    <w:rsid w:val="00523585"/>
    <w:rsid w:val="00523587"/>
    <w:rsid w:val="00523600"/>
    <w:rsid w:val="00523643"/>
    <w:rsid w:val="00523B7A"/>
    <w:rsid w:val="00523C6D"/>
    <w:rsid w:val="00523D44"/>
    <w:rsid w:val="00523D49"/>
    <w:rsid w:val="005243A5"/>
    <w:rsid w:val="00524416"/>
    <w:rsid w:val="00524487"/>
    <w:rsid w:val="005249AD"/>
    <w:rsid w:val="00524B3A"/>
    <w:rsid w:val="00524E5E"/>
    <w:rsid w:val="005251A7"/>
    <w:rsid w:val="005251BD"/>
    <w:rsid w:val="0052531B"/>
    <w:rsid w:val="0052579A"/>
    <w:rsid w:val="00525A10"/>
    <w:rsid w:val="00525A3A"/>
    <w:rsid w:val="00525B31"/>
    <w:rsid w:val="00525ED3"/>
    <w:rsid w:val="00525EF0"/>
    <w:rsid w:val="0052608D"/>
    <w:rsid w:val="00526148"/>
    <w:rsid w:val="00526162"/>
    <w:rsid w:val="005261EE"/>
    <w:rsid w:val="0052623B"/>
    <w:rsid w:val="00526425"/>
    <w:rsid w:val="0052645A"/>
    <w:rsid w:val="00526470"/>
    <w:rsid w:val="00526476"/>
    <w:rsid w:val="00526679"/>
    <w:rsid w:val="00526854"/>
    <w:rsid w:val="005269B1"/>
    <w:rsid w:val="00526BEE"/>
    <w:rsid w:val="00526D35"/>
    <w:rsid w:val="00526E6A"/>
    <w:rsid w:val="00526EA0"/>
    <w:rsid w:val="00526EC8"/>
    <w:rsid w:val="0052707B"/>
    <w:rsid w:val="005272D4"/>
    <w:rsid w:val="00527428"/>
    <w:rsid w:val="00527585"/>
    <w:rsid w:val="00527A24"/>
    <w:rsid w:val="00527A75"/>
    <w:rsid w:val="00527AF4"/>
    <w:rsid w:val="00527B56"/>
    <w:rsid w:val="00527BB8"/>
    <w:rsid w:val="00527C03"/>
    <w:rsid w:val="00527D91"/>
    <w:rsid w:val="005301F4"/>
    <w:rsid w:val="005303CE"/>
    <w:rsid w:val="005305DD"/>
    <w:rsid w:val="00530A7A"/>
    <w:rsid w:val="00530A7C"/>
    <w:rsid w:val="00530B7A"/>
    <w:rsid w:val="00530D01"/>
    <w:rsid w:val="00530D2E"/>
    <w:rsid w:val="005312CB"/>
    <w:rsid w:val="00531494"/>
    <w:rsid w:val="00531B0E"/>
    <w:rsid w:val="00531B9C"/>
    <w:rsid w:val="00531B9D"/>
    <w:rsid w:val="00531EDC"/>
    <w:rsid w:val="00531FB6"/>
    <w:rsid w:val="0053200D"/>
    <w:rsid w:val="00532929"/>
    <w:rsid w:val="005329C8"/>
    <w:rsid w:val="00532CD0"/>
    <w:rsid w:val="00532DA2"/>
    <w:rsid w:val="005330C1"/>
    <w:rsid w:val="005331D2"/>
    <w:rsid w:val="00533655"/>
    <w:rsid w:val="0053397F"/>
    <w:rsid w:val="00533C70"/>
    <w:rsid w:val="00533CF7"/>
    <w:rsid w:val="00533E4D"/>
    <w:rsid w:val="00533EF5"/>
    <w:rsid w:val="005341D0"/>
    <w:rsid w:val="0053426F"/>
    <w:rsid w:val="0053439E"/>
    <w:rsid w:val="005343EA"/>
    <w:rsid w:val="00534508"/>
    <w:rsid w:val="00534550"/>
    <w:rsid w:val="00534959"/>
    <w:rsid w:val="0053496E"/>
    <w:rsid w:val="00534BEC"/>
    <w:rsid w:val="00534CA3"/>
    <w:rsid w:val="0053502A"/>
    <w:rsid w:val="005352E3"/>
    <w:rsid w:val="0053544C"/>
    <w:rsid w:val="005357B0"/>
    <w:rsid w:val="00535919"/>
    <w:rsid w:val="00535929"/>
    <w:rsid w:val="00535AC0"/>
    <w:rsid w:val="00535CB8"/>
    <w:rsid w:val="00535CD8"/>
    <w:rsid w:val="00535D3D"/>
    <w:rsid w:val="00535EE3"/>
    <w:rsid w:val="00535F8E"/>
    <w:rsid w:val="00535FD8"/>
    <w:rsid w:val="0053608E"/>
    <w:rsid w:val="00536090"/>
    <w:rsid w:val="005366B7"/>
    <w:rsid w:val="005367BF"/>
    <w:rsid w:val="0053684C"/>
    <w:rsid w:val="005368D7"/>
    <w:rsid w:val="00536B85"/>
    <w:rsid w:val="00536BC5"/>
    <w:rsid w:val="00537192"/>
    <w:rsid w:val="005371CE"/>
    <w:rsid w:val="005372EF"/>
    <w:rsid w:val="00537396"/>
    <w:rsid w:val="005374CC"/>
    <w:rsid w:val="00537504"/>
    <w:rsid w:val="00537627"/>
    <w:rsid w:val="00537634"/>
    <w:rsid w:val="0053769B"/>
    <w:rsid w:val="00537712"/>
    <w:rsid w:val="005377AE"/>
    <w:rsid w:val="00537936"/>
    <w:rsid w:val="0053793C"/>
    <w:rsid w:val="005379D9"/>
    <w:rsid w:val="00537AF2"/>
    <w:rsid w:val="00537DD4"/>
    <w:rsid w:val="00537E01"/>
    <w:rsid w:val="00537FF7"/>
    <w:rsid w:val="00540018"/>
    <w:rsid w:val="0054010F"/>
    <w:rsid w:val="00540275"/>
    <w:rsid w:val="00540A9E"/>
    <w:rsid w:val="00540C8E"/>
    <w:rsid w:val="00540DC4"/>
    <w:rsid w:val="00540E54"/>
    <w:rsid w:val="00540FAE"/>
    <w:rsid w:val="005411A8"/>
    <w:rsid w:val="00541214"/>
    <w:rsid w:val="00541294"/>
    <w:rsid w:val="005412E4"/>
    <w:rsid w:val="0054135D"/>
    <w:rsid w:val="005413C4"/>
    <w:rsid w:val="00541858"/>
    <w:rsid w:val="005418E2"/>
    <w:rsid w:val="00541D5C"/>
    <w:rsid w:val="00541DA7"/>
    <w:rsid w:val="00542041"/>
    <w:rsid w:val="00542083"/>
    <w:rsid w:val="0054215C"/>
    <w:rsid w:val="005422CD"/>
    <w:rsid w:val="00542783"/>
    <w:rsid w:val="00542884"/>
    <w:rsid w:val="0054288D"/>
    <w:rsid w:val="00542ABA"/>
    <w:rsid w:val="00542D89"/>
    <w:rsid w:val="00542E12"/>
    <w:rsid w:val="00542E29"/>
    <w:rsid w:val="005432F1"/>
    <w:rsid w:val="0054342D"/>
    <w:rsid w:val="005434EB"/>
    <w:rsid w:val="005435DB"/>
    <w:rsid w:val="0054377E"/>
    <w:rsid w:val="00543C93"/>
    <w:rsid w:val="00543D06"/>
    <w:rsid w:val="00543DA9"/>
    <w:rsid w:val="00543DEA"/>
    <w:rsid w:val="00543E40"/>
    <w:rsid w:val="00543F57"/>
    <w:rsid w:val="005440CE"/>
    <w:rsid w:val="00544104"/>
    <w:rsid w:val="0054425E"/>
    <w:rsid w:val="00544638"/>
    <w:rsid w:val="005446B5"/>
    <w:rsid w:val="005447BF"/>
    <w:rsid w:val="00544968"/>
    <w:rsid w:val="005449CC"/>
    <w:rsid w:val="005449F3"/>
    <w:rsid w:val="005449FB"/>
    <w:rsid w:val="00544B8C"/>
    <w:rsid w:val="00544C14"/>
    <w:rsid w:val="00544C33"/>
    <w:rsid w:val="00544CD0"/>
    <w:rsid w:val="00544D4E"/>
    <w:rsid w:val="00544F36"/>
    <w:rsid w:val="00545417"/>
    <w:rsid w:val="00545528"/>
    <w:rsid w:val="00545756"/>
    <w:rsid w:val="0054576C"/>
    <w:rsid w:val="00545936"/>
    <w:rsid w:val="00545CA6"/>
    <w:rsid w:val="00545D18"/>
    <w:rsid w:val="00545FBD"/>
    <w:rsid w:val="0054609C"/>
    <w:rsid w:val="0054614F"/>
    <w:rsid w:val="0054625D"/>
    <w:rsid w:val="005466B2"/>
    <w:rsid w:val="0054670C"/>
    <w:rsid w:val="0054687E"/>
    <w:rsid w:val="005468CF"/>
    <w:rsid w:val="00546992"/>
    <w:rsid w:val="00546B09"/>
    <w:rsid w:val="00546BEC"/>
    <w:rsid w:val="00546C1B"/>
    <w:rsid w:val="00546C42"/>
    <w:rsid w:val="00546F66"/>
    <w:rsid w:val="00547254"/>
    <w:rsid w:val="005473C4"/>
    <w:rsid w:val="00547527"/>
    <w:rsid w:val="00547A63"/>
    <w:rsid w:val="00547ECE"/>
    <w:rsid w:val="005505F4"/>
    <w:rsid w:val="00550671"/>
    <w:rsid w:val="0055076E"/>
    <w:rsid w:val="005508C1"/>
    <w:rsid w:val="00550B9C"/>
    <w:rsid w:val="00550C6F"/>
    <w:rsid w:val="00550F66"/>
    <w:rsid w:val="00550F90"/>
    <w:rsid w:val="00551676"/>
    <w:rsid w:val="005517FA"/>
    <w:rsid w:val="0055189A"/>
    <w:rsid w:val="00551A44"/>
    <w:rsid w:val="00551B3C"/>
    <w:rsid w:val="00551CAC"/>
    <w:rsid w:val="00551DD6"/>
    <w:rsid w:val="00551F77"/>
    <w:rsid w:val="00551FD1"/>
    <w:rsid w:val="00552026"/>
    <w:rsid w:val="005520DE"/>
    <w:rsid w:val="0055211E"/>
    <w:rsid w:val="005525A1"/>
    <w:rsid w:val="0055278B"/>
    <w:rsid w:val="0055284E"/>
    <w:rsid w:val="00552879"/>
    <w:rsid w:val="00552B8C"/>
    <w:rsid w:val="00552BA1"/>
    <w:rsid w:val="00552C00"/>
    <w:rsid w:val="00552DCB"/>
    <w:rsid w:val="00552F77"/>
    <w:rsid w:val="00552FF0"/>
    <w:rsid w:val="005530A6"/>
    <w:rsid w:val="0055315F"/>
    <w:rsid w:val="005531A7"/>
    <w:rsid w:val="005533B5"/>
    <w:rsid w:val="0055364C"/>
    <w:rsid w:val="005537C6"/>
    <w:rsid w:val="005538FC"/>
    <w:rsid w:val="00553951"/>
    <w:rsid w:val="00553B75"/>
    <w:rsid w:val="00553E48"/>
    <w:rsid w:val="00553F48"/>
    <w:rsid w:val="00554050"/>
    <w:rsid w:val="005540C2"/>
    <w:rsid w:val="005541F3"/>
    <w:rsid w:val="00554292"/>
    <w:rsid w:val="005542AD"/>
    <w:rsid w:val="005543B1"/>
    <w:rsid w:val="00554801"/>
    <w:rsid w:val="0055495B"/>
    <w:rsid w:val="005549A6"/>
    <w:rsid w:val="00554A8E"/>
    <w:rsid w:val="00554BF7"/>
    <w:rsid w:val="00554F5C"/>
    <w:rsid w:val="005550AF"/>
    <w:rsid w:val="00555143"/>
    <w:rsid w:val="00555147"/>
    <w:rsid w:val="005552BE"/>
    <w:rsid w:val="0055535F"/>
    <w:rsid w:val="0055546F"/>
    <w:rsid w:val="005555C2"/>
    <w:rsid w:val="005557BB"/>
    <w:rsid w:val="00555B1F"/>
    <w:rsid w:val="00555B50"/>
    <w:rsid w:val="00555C69"/>
    <w:rsid w:val="00555E64"/>
    <w:rsid w:val="00555EFC"/>
    <w:rsid w:val="00555F3E"/>
    <w:rsid w:val="005560F4"/>
    <w:rsid w:val="005561F7"/>
    <w:rsid w:val="00556205"/>
    <w:rsid w:val="00556260"/>
    <w:rsid w:val="00556414"/>
    <w:rsid w:val="005564FB"/>
    <w:rsid w:val="0055659D"/>
    <w:rsid w:val="00556776"/>
    <w:rsid w:val="00556A12"/>
    <w:rsid w:val="00556D26"/>
    <w:rsid w:val="00556D56"/>
    <w:rsid w:val="00556D73"/>
    <w:rsid w:val="00556F9C"/>
    <w:rsid w:val="00556FD8"/>
    <w:rsid w:val="00556FF7"/>
    <w:rsid w:val="00557426"/>
    <w:rsid w:val="00557449"/>
    <w:rsid w:val="005576C5"/>
    <w:rsid w:val="00557712"/>
    <w:rsid w:val="00557B42"/>
    <w:rsid w:val="00557DA8"/>
    <w:rsid w:val="00557F75"/>
    <w:rsid w:val="00560162"/>
    <w:rsid w:val="005602DF"/>
    <w:rsid w:val="00560337"/>
    <w:rsid w:val="0056040B"/>
    <w:rsid w:val="005605ED"/>
    <w:rsid w:val="0056074E"/>
    <w:rsid w:val="0056085F"/>
    <w:rsid w:val="005609CE"/>
    <w:rsid w:val="00560AAE"/>
    <w:rsid w:val="00560BF7"/>
    <w:rsid w:val="00560C3A"/>
    <w:rsid w:val="00560DAC"/>
    <w:rsid w:val="00560DCC"/>
    <w:rsid w:val="00560E8F"/>
    <w:rsid w:val="0056102F"/>
    <w:rsid w:val="0056105B"/>
    <w:rsid w:val="00561137"/>
    <w:rsid w:val="00561172"/>
    <w:rsid w:val="005611B9"/>
    <w:rsid w:val="0056132E"/>
    <w:rsid w:val="005614C2"/>
    <w:rsid w:val="0056168F"/>
    <w:rsid w:val="00561741"/>
    <w:rsid w:val="005617AC"/>
    <w:rsid w:val="00561884"/>
    <w:rsid w:val="00561BB0"/>
    <w:rsid w:val="00561DFF"/>
    <w:rsid w:val="00561F32"/>
    <w:rsid w:val="00562012"/>
    <w:rsid w:val="005625AE"/>
    <w:rsid w:val="00562899"/>
    <w:rsid w:val="00562DB0"/>
    <w:rsid w:val="00562E3B"/>
    <w:rsid w:val="00562E5E"/>
    <w:rsid w:val="00562F63"/>
    <w:rsid w:val="0056301F"/>
    <w:rsid w:val="00563037"/>
    <w:rsid w:val="00563155"/>
    <w:rsid w:val="0056332B"/>
    <w:rsid w:val="00563696"/>
    <w:rsid w:val="00563786"/>
    <w:rsid w:val="00563A52"/>
    <w:rsid w:val="00563B03"/>
    <w:rsid w:val="00563B49"/>
    <w:rsid w:val="00563B9D"/>
    <w:rsid w:val="00563BF7"/>
    <w:rsid w:val="00563CF3"/>
    <w:rsid w:val="00563DA7"/>
    <w:rsid w:val="00563EA5"/>
    <w:rsid w:val="00564551"/>
    <w:rsid w:val="005645E1"/>
    <w:rsid w:val="005646E5"/>
    <w:rsid w:val="005649B0"/>
    <w:rsid w:val="00564C18"/>
    <w:rsid w:val="00564C4F"/>
    <w:rsid w:val="00564D7A"/>
    <w:rsid w:val="00564E58"/>
    <w:rsid w:val="00564EDF"/>
    <w:rsid w:val="00564F57"/>
    <w:rsid w:val="0056502F"/>
    <w:rsid w:val="005651F4"/>
    <w:rsid w:val="00565405"/>
    <w:rsid w:val="00565579"/>
    <w:rsid w:val="00565994"/>
    <w:rsid w:val="005659FC"/>
    <w:rsid w:val="00565D6D"/>
    <w:rsid w:val="005660C0"/>
    <w:rsid w:val="005660E2"/>
    <w:rsid w:val="00566420"/>
    <w:rsid w:val="00566717"/>
    <w:rsid w:val="00566797"/>
    <w:rsid w:val="00566F66"/>
    <w:rsid w:val="00567238"/>
    <w:rsid w:val="0056723E"/>
    <w:rsid w:val="00567345"/>
    <w:rsid w:val="00567360"/>
    <w:rsid w:val="00567688"/>
    <w:rsid w:val="00567991"/>
    <w:rsid w:val="00567BDD"/>
    <w:rsid w:val="00567BE1"/>
    <w:rsid w:val="00567CB6"/>
    <w:rsid w:val="00567D31"/>
    <w:rsid w:val="00567D80"/>
    <w:rsid w:val="00567E50"/>
    <w:rsid w:val="00570057"/>
    <w:rsid w:val="005701F5"/>
    <w:rsid w:val="00570472"/>
    <w:rsid w:val="00570537"/>
    <w:rsid w:val="00570863"/>
    <w:rsid w:val="005708C7"/>
    <w:rsid w:val="005708E0"/>
    <w:rsid w:val="00570B2D"/>
    <w:rsid w:val="00571232"/>
    <w:rsid w:val="00571351"/>
    <w:rsid w:val="00571367"/>
    <w:rsid w:val="005713BA"/>
    <w:rsid w:val="0057143D"/>
    <w:rsid w:val="00571479"/>
    <w:rsid w:val="005714B9"/>
    <w:rsid w:val="005715BE"/>
    <w:rsid w:val="005715E2"/>
    <w:rsid w:val="005715EF"/>
    <w:rsid w:val="00571671"/>
    <w:rsid w:val="0057178B"/>
    <w:rsid w:val="005717A6"/>
    <w:rsid w:val="005718BF"/>
    <w:rsid w:val="00571A6E"/>
    <w:rsid w:val="00571AF8"/>
    <w:rsid w:val="00571B44"/>
    <w:rsid w:val="00571D0A"/>
    <w:rsid w:val="00571D84"/>
    <w:rsid w:val="00571F1D"/>
    <w:rsid w:val="00572133"/>
    <w:rsid w:val="00572504"/>
    <w:rsid w:val="005726AE"/>
    <w:rsid w:val="00572B8D"/>
    <w:rsid w:val="00572D2B"/>
    <w:rsid w:val="00572E96"/>
    <w:rsid w:val="00572FAB"/>
    <w:rsid w:val="005732D0"/>
    <w:rsid w:val="00573348"/>
    <w:rsid w:val="00573432"/>
    <w:rsid w:val="00573518"/>
    <w:rsid w:val="00573781"/>
    <w:rsid w:val="005737CD"/>
    <w:rsid w:val="0057399D"/>
    <w:rsid w:val="00573D17"/>
    <w:rsid w:val="00573D66"/>
    <w:rsid w:val="00573E76"/>
    <w:rsid w:val="00573FBE"/>
    <w:rsid w:val="00574066"/>
    <w:rsid w:val="005743ED"/>
    <w:rsid w:val="0057470F"/>
    <w:rsid w:val="00574A1B"/>
    <w:rsid w:val="00574A1E"/>
    <w:rsid w:val="00574BDD"/>
    <w:rsid w:val="00574CC6"/>
    <w:rsid w:val="00574E29"/>
    <w:rsid w:val="00574E97"/>
    <w:rsid w:val="00574EAF"/>
    <w:rsid w:val="00574FEE"/>
    <w:rsid w:val="00574FF8"/>
    <w:rsid w:val="005754C5"/>
    <w:rsid w:val="00575546"/>
    <w:rsid w:val="005755C2"/>
    <w:rsid w:val="005757D7"/>
    <w:rsid w:val="00575820"/>
    <w:rsid w:val="00575BD1"/>
    <w:rsid w:val="00575E07"/>
    <w:rsid w:val="00575F2F"/>
    <w:rsid w:val="005763D6"/>
    <w:rsid w:val="005764E2"/>
    <w:rsid w:val="00576558"/>
    <w:rsid w:val="005765EA"/>
    <w:rsid w:val="005766AB"/>
    <w:rsid w:val="005766E9"/>
    <w:rsid w:val="00576AEC"/>
    <w:rsid w:val="00576B8F"/>
    <w:rsid w:val="005773B5"/>
    <w:rsid w:val="005775D6"/>
    <w:rsid w:val="005777F5"/>
    <w:rsid w:val="00577DF1"/>
    <w:rsid w:val="00577FEB"/>
    <w:rsid w:val="00580042"/>
    <w:rsid w:val="00580071"/>
    <w:rsid w:val="00580162"/>
    <w:rsid w:val="005802B0"/>
    <w:rsid w:val="0058050E"/>
    <w:rsid w:val="005805D2"/>
    <w:rsid w:val="00580958"/>
    <w:rsid w:val="005809D2"/>
    <w:rsid w:val="005809F0"/>
    <w:rsid w:val="00580B87"/>
    <w:rsid w:val="00580D48"/>
    <w:rsid w:val="00580DF8"/>
    <w:rsid w:val="00580F29"/>
    <w:rsid w:val="005811E8"/>
    <w:rsid w:val="0058132F"/>
    <w:rsid w:val="0058139A"/>
    <w:rsid w:val="00581574"/>
    <w:rsid w:val="005817B3"/>
    <w:rsid w:val="00581835"/>
    <w:rsid w:val="00581959"/>
    <w:rsid w:val="00581C2A"/>
    <w:rsid w:val="00581FFF"/>
    <w:rsid w:val="00582068"/>
    <w:rsid w:val="005822DC"/>
    <w:rsid w:val="005824A4"/>
    <w:rsid w:val="00582574"/>
    <w:rsid w:val="005825B1"/>
    <w:rsid w:val="00582615"/>
    <w:rsid w:val="0058277F"/>
    <w:rsid w:val="00582AC6"/>
    <w:rsid w:val="00582B36"/>
    <w:rsid w:val="00582BCD"/>
    <w:rsid w:val="00582E81"/>
    <w:rsid w:val="00582ED4"/>
    <w:rsid w:val="00582F79"/>
    <w:rsid w:val="00582FD9"/>
    <w:rsid w:val="00583391"/>
    <w:rsid w:val="005835B4"/>
    <w:rsid w:val="005837CE"/>
    <w:rsid w:val="00583829"/>
    <w:rsid w:val="00583B8D"/>
    <w:rsid w:val="00583DD8"/>
    <w:rsid w:val="00583EAD"/>
    <w:rsid w:val="00584000"/>
    <w:rsid w:val="0058400C"/>
    <w:rsid w:val="00584050"/>
    <w:rsid w:val="00584505"/>
    <w:rsid w:val="00584566"/>
    <w:rsid w:val="00584B66"/>
    <w:rsid w:val="00584E08"/>
    <w:rsid w:val="00584E9E"/>
    <w:rsid w:val="00584F75"/>
    <w:rsid w:val="005850D4"/>
    <w:rsid w:val="005852FA"/>
    <w:rsid w:val="00585369"/>
    <w:rsid w:val="00585399"/>
    <w:rsid w:val="005853AB"/>
    <w:rsid w:val="00585596"/>
    <w:rsid w:val="005855CE"/>
    <w:rsid w:val="005857A5"/>
    <w:rsid w:val="00585972"/>
    <w:rsid w:val="005859DA"/>
    <w:rsid w:val="00585B86"/>
    <w:rsid w:val="00585C7E"/>
    <w:rsid w:val="005862EA"/>
    <w:rsid w:val="0058631B"/>
    <w:rsid w:val="0058634F"/>
    <w:rsid w:val="005864D7"/>
    <w:rsid w:val="005864FB"/>
    <w:rsid w:val="00586545"/>
    <w:rsid w:val="005865BB"/>
    <w:rsid w:val="0058663E"/>
    <w:rsid w:val="005869F0"/>
    <w:rsid w:val="00586B67"/>
    <w:rsid w:val="00586CCB"/>
    <w:rsid w:val="00586DE6"/>
    <w:rsid w:val="005872B4"/>
    <w:rsid w:val="00587307"/>
    <w:rsid w:val="005875DA"/>
    <w:rsid w:val="005877D1"/>
    <w:rsid w:val="005877F8"/>
    <w:rsid w:val="00587895"/>
    <w:rsid w:val="00587AEE"/>
    <w:rsid w:val="00587DD5"/>
    <w:rsid w:val="00587E53"/>
    <w:rsid w:val="00590188"/>
    <w:rsid w:val="00590456"/>
    <w:rsid w:val="00590788"/>
    <w:rsid w:val="0059086C"/>
    <w:rsid w:val="005910D3"/>
    <w:rsid w:val="005911E3"/>
    <w:rsid w:val="0059129E"/>
    <w:rsid w:val="00591370"/>
    <w:rsid w:val="005915BD"/>
    <w:rsid w:val="00591659"/>
    <w:rsid w:val="0059170E"/>
    <w:rsid w:val="00591731"/>
    <w:rsid w:val="005917A7"/>
    <w:rsid w:val="00591C43"/>
    <w:rsid w:val="00591E34"/>
    <w:rsid w:val="00591F4F"/>
    <w:rsid w:val="00592584"/>
    <w:rsid w:val="00592627"/>
    <w:rsid w:val="005926C8"/>
    <w:rsid w:val="00592AA4"/>
    <w:rsid w:val="00592AA5"/>
    <w:rsid w:val="00592B89"/>
    <w:rsid w:val="00592FA2"/>
    <w:rsid w:val="005931B4"/>
    <w:rsid w:val="005932E3"/>
    <w:rsid w:val="00593664"/>
    <w:rsid w:val="00593BAB"/>
    <w:rsid w:val="005941B1"/>
    <w:rsid w:val="0059430C"/>
    <w:rsid w:val="005943D3"/>
    <w:rsid w:val="00594409"/>
    <w:rsid w:val="0059454E"/>
    <w:rsid w:val="00594A85"/>
    <w:rsid w:val="00594DB0"/>
    <w:rsid w:val="00594DBE"/>
    <w:rsid w:val="00594FFA"/>
    <w:rsid w:val="00595385"/>
    <w:rsid w:val="00596105"/>
    <w:rsid w:val="00596160"/>
    <w:rsid w:val="00596256"/>
    <w:rsid w:val="005964AC"/>
    <w:rsid w:val="00596508"/>
    <w:rsid w:val="0059660C"/>
    <w:rsid w:val="00596657"/>
    <w:rsid w:val="0059697F"/>
    <w:rsid w:val="00596C83"/>
    <w:rsid w:val="00596CE7"/>
    <w:rsid w:val="00596DA9"/>
    <w:rsid w:val="005971C4"/>
    <w:rsid w:val="00597265"/>
    <w:rsid w:val="0059733D"/>
    <w:rsid w:val="005977BD"/>
    <w:rsid w:val="00597975"/>
    <w:rsid w:val="00597A09"/>
    <w:rsid w:val="00597C50"/>
    <w:rsid w:val="00597EF7"/>
    <w:rsid w:val="00597F49"/>
    <w:rsid w:val="005A015C"/>
    <w:rsid w:val="005A0538"/>
    <w:rsid w:val="005A05A5"/>
    <w:rsid w:val="005A0657"/>
    <w:rsid w:val="005A0957"/>
    <w:rsid w:val="005A0B81"/>
    <w:rsid w:val="005A0D24"/>
    <w:rsid w:val="005A107B"/>
    <w:rsid w:val="005A113B"/>
    <w:rsid w:val="005A113E"/>
    <w:rsid w:val="005A12ED"/>
    <w:rsid w:val="005A15B2"/>
    <w:rsid w:val="005A1695"/>
    <w:rsid w:val="005A1723"/>
    <w:rsid w:val="005A1724"/>
    <w:rsid w:val="005A1725"/>
    <w:rsid w:val="005A17B5"/>
    <w:rsid w:val="005A18CF"/>
    <w:rsid w:val="005A1BBC"/>
    <w:rsid w:val="005A2035"/>
    <w:rsid w:val="005A21B9"/>
    <w:rsid w:val="005A246D"/>
    <w:rsid w:val="005A2862"/>
    <w:rsid w:val="005A28FF"/>
    <w:rsid w:val="005A2A77"/>
    <w:rsid w:val="005A2B93"/>
    <w:rsid w:val="005A2EB0"/>
    <w:rsid w:val="005A3085"/>
    <w:rsid w:val="005A3484"/>
    <w:rsid w:val="005A39BE"/>
    <w:rsid w:val="005A3C09"/>
    <w:rsid w:val="005A3DB3"/>
    <w:rsid w:val="005A3EB0"/>
    <w:rsid w:val="005A3F98"/>
    <w:rsid w:val="005A400B"/>
    <w:rsid w:val="005A42AF"/>
    <w:rsid w:val="005A4392"/>
    <w:rsid w:val="005A4602"/>
    <w:rsid w:val="005A47D0"/>
    <w:rsid w:val="005A4957"/>
    <w:rsid w:val="005A4A4F"/>
    <w:rsid w:val="005A4F8D"/>
    <w:rsid w:val="005A50C6"/>
    <w:rsid w:val="005A53A1"/>
    <w:rsid w:val="005A53D1"/>
    <w:rsid w:val="005A552C"/>
    <w:rsid w:val="005A55B2"/>
    <w:rsid w:val="005A5924"/>
    <w:rsid w:val="005A5B2E"/>
    <w:rsid w:val="005A5DA6"/>
    <w:rsid w:val="005A5E6D"/>
    <w:rsid w:val="005A5EB5"/>
    <w:rsid w:val="005A5EC4"/>
    <w:rsid w:val="005A5F0B"/>
    <w:rsid w:val="005A5F78"/>
    <w:rsid w:val="005A6080"/>
    <w:rsid w:val="005A613F"/>
    <w:rsid w:val="005A6347"/>
    <w:rsid w:val="005A63B0"/>
    <w:rsid w:val="005A69C4"/>
    <w:rsid w:val="005A6C14"/>
    <w:rsid w:val="005A6C25"/>
    <w:rsid w:val="005A6D0B"/>
    <w:rsid w:val="005A6ECB"/>
    <w:rsid w:val="005A7520"/>
    <w:rsid w:val="005A767A"/>
    <w:rsid w:val="005A78DC"/>
    <w:rsid w:val="005A79FF"/>
    <w:rsid w:val="005A7AFA"/>
    <w:rsid w:val="005A7B17"/>
    <w:rsid w:val="005A7B4E"/>
    <w:rsid w:val="005A7C9E"/>
    <w:rsid w:val="005B0013"/>
    <w:rsid w:val="005B0137"/>
    <w:rsid w:val="005B01A8"/>
    <w:rsid w:val="005B01AE"/>
    <w:rsid w:val="005B0279"/>
    <w:rsid w:val="005B03D0"/>
    <w:rsid w:val="005B05F8"/>
    <w:rsid w:val="005B0B3C"/>
    <w:rsid w:val="005B0B89"/>
    <w:rsid w:val="005B0D1E"/>
    <w:rsid w:val="005B0F01"/>
    <w:rsid w:val="005B0F8B"/>
    <w:rsid w:val="005B121B"/>
    <w:rsid w:val="005B1429"/>
    <w:rsid w:val="005B1644"/>
    <w:rsid w:val="005B1804"/>
    <w:rsid w:val="005B190B"/>
    <w:rsid w:val="005B19E0"/>
    <w:rsid w:val="005B1A55"/>
    <w:rsid w:val="005B1E15"/>
    <w:rsid w:val="005B1FFA"/>
    <w:rsid w:val="005B2318"/>
    <w:rsid w:val="005B25EF"/>
    <w:rsid w:val="005B265A"/>
    <w:rsid w:val="005B2860"/>
    <w:rsid w:val="005B2D0F"/>
    <w:rsid w:val="005B2E76"/>
    <w:rsid w:val="005B3184"/>
    <w:rsid w:val="005B3422"/>
    <w:rsid w:val="005B34E0"/>
    <w:rsid w:val="005B36A9"/>
    <w:rsid w:val="005B3C42"/>
    <w:rsid w:val="005B3CA1"/>
    <w:rsid w:val="005B3FBD"/>
    <w:rsid w:val="005B403E"/>
    <w:rsid w:val="005B40B3"/>
    <w:rsid w:val="005B44AD"/>
    <w:rsid w:val="005B46A2"/>
    <w:rsid w:val="005B46A8"/>
    <w:rsid w:val="005B46E2"/>
    <w:rsid w:val="005B470E"/>
    <w:rsid w:val="005B4809"/>
    <w:rsid w:val="005B48B1"/>
    <w:rsid w:val="005B4B39"/>
    <w:rsid w:val="005B4D26"/>
    <w:rsid w:val="005B4E3F"/>
    <w:rsid w:val="005B4EE9"/>
    <w:rsid w:val="005B505B"/>
    <w:rsid w:val="005B520B"/>
    <w:rsid w:val="005B5234"/>
    <w:rsid w:val="005B5294"/>
    <w:rsid w:val="005B5762"/>
    <w:rsid w:val="005B5924"/>
    <w:rsid w:val="005B5945"/>
    <w:rsid w:val="005B5A31"/>
    <w:rsid w:val="005B5A7A"/>
    <w:rsid w:val="005B5A9C"/>
    <w:rsid w:val="005B5B3C"/>
    <w:rsid w:val="005B5FE6"/>
    <w:rsid w:val="005B5FF1"/>
    <w:rsid w:val="005B5FF5"/>
    <w:rsid w:val="005B60A4"/>
    <w:rsid w:val="005B60AC"/>
    <w:rsid w:val="005B61AC"/>
    <w:rsid w:val="005B63E8"/>
    <w:rsid w:val="005B65B5"/>
    <w:rsid w:val="005B6673"/>
    <w:rsid w:val="005B684E"/>
    <w:rsid w:val="005B69C6"/>
    <w:rsid w:val="005B6BD2"/>
    <w:rsid w:val="005B6D72"/>
    <w:rsid w:val="005B6E63"/>
    <w:rsid w:val="005B70BC"/>
    <w:rsid w:val="005B755F"/>
    <w:rsid w:val="005B75DE"/>
    <w:rsid w:val="005B7658"/>
    <w:rsid w:val="005B7884"/>
    <w:rsid w:val="005B7B25"/>
    <w:rsid w:val="005B7B65"/>
    <w:rsid w:val="005B7D57"/>
    <w:rsid w:val="005B7E2D"/>
    <w:rsid w:val="005C0001"/>
    <w:rsid w:val="005C030A"/>
    <w:rsid w:val="005C045D"/>
    <w:rsid w:val="005C05A0"/>
    <w:rsid w:val="005C05F7"/>
    <w:rsid w:val="005C0623"/>
    <w:rsid w:val="005C09C4"/>
    <w:rsid w:val="005C0BEA"/>
    <w:rsid w:val="005C1000"/>
    <w:rsid w:val="005C1121"/>
    <w:rsid w:val="005C1123"/>
    <w:rsid w:val="005C1141"/>
    <w:rsid w:val="005C116E"/>
    <w:rsid w:val="005C1221"/>
    <w:rsid w:val="005C1247"/>
    <w:rsid w:val="005C1423"/>
    <w:rsid w:val="005C1807"/>
    <w:rsid w:val="005C1D4F"/>
    <w:rsid w:val="005C1E34"/>
    <w:rsid w:val="005C1EE8"/>
    <w:rsid w:val="005C207F"/>
    <w:rsid w:val="005C229D"/>
    <w:rsid w:val="005C2404"/>
    <w:rsid w:val="005C272B"/>
    <w:rsid w:val="005C2B24"/>
    <w:rsid w:val="005C2FE0"/>
    <w:rsid w:val="005C3243"/>
    <w:rsid w:val="005C324E"/>
    <w:rsid w:val="005C32B2"/>
    <w:rsid w:val="005C353D"/>
    <w:rsid w:val="005C360F"/>
    <w:rsid w:val="005C3772"/>
    <w:rsid w:val="005C3F46"/>
    <w:rsid w:val="005C415A"/>
    <w:rsid w:val="005C41C2"/>
    <w:rsid w:val="005C42EB"/>
    <w:rsid w:val="005C430A"/>
    <w:rsid w:val="005C4586"/>
    <w:rsid w:val="005C45AA"/>
    <w:rsid w:val="005C470E"/>
    <w:rsid w:val="005C4ACA"/>
    <w:rsid w:val="005C4B87"/>
    <w:rsid w:val="005C4B94"/>
    <w:rsid w:val="005C4BBC"/>
    <w:rsid w:val="005C4BE4"/>
    <w:rsid w:val="005C4C04"/>
    <w:rsid w:val="005C4C20"/>
    <w:rsid w:val="005C4DAE"/>
    <w:rsid w:val="005C4E96"/>
    <w:rsid w:val="005C5050"/>
    <w:rsid w:val="005C5210"/>
    <w:rsid w:val="005C52D1"/>
    <w:rsid w:val="005C53C7"/>
    <w:rsid w:val="005C5506"/>
    <w:rsid w:val="005C59D5"/>
    <w:rsid w:val="005C5AB7"/>
    <w:rsid w:val="005C5ABB"/>
    <w:rsid w:val="005C5BF0"/>
    <w:rsid w:val="005C5E83"/>
    <w:rsid w:val="005C6323"/>
    <w:rsid w:val="005C6351"/>
    <w:rsid w:val="005C6471"/>
    <w:rsid w:val="005C6629"/>
    <w:rsid w:val="005C6BDB"/>
    <w:rsid w:val="005C6F91"/>
    <w:rsid w:val="005C71F8"/>
    <w:rsid w:val="005C7403"/>
    <w:rsid w:val="005C77BD"/>
    <w:rsid w:val="005C7B4D"/>
    <w:rsid w:val="005C7F7D"/>
    <w:rsid w:val="005D007A"/>
    <w:rsid w:val="005D0288"/>
    <w:rsid w:val="005D03A3"/>
    <w:rsid w:val="005D0448"/>
    <w:rsid w:val="005D054E"/>
    <w:rsid w:val="005D0727"/>
    <w:rsid w:val="005D0EF2"/>
    <w:rsid w:val="005D0FD9"/>
    <w:rsid w:val="005D100C"/>
    <w:rsid w:val="005D1031"/>
    <w:rsid w:val="005D1087"/>
    <w:rsid w:val="005D13A1"/>
    <w:rsid w:val="005D13DC"/>
    <w:rsid w:val="005D13E5"/>
    <w:rsid w:val="005D145E"/>
    <w:rsid w:val="005D1A29"/>
    <w:rsid w:val="005D1A50"/>
    <w:rsid w:val="005D1B90"/>
    <w:rsid w:val="005D1B9F"/>
    <w:rsid w:val="005D1C37"/>
    <w:rsid w:val="005D1E3C"/>
    <w:rsid w:val="005D204E"/>
    <w:rsid w:val="005D224E"/>
    <w:rsid w:val="005D247D"/>
    <w:rsid w:val="005D25DB"/>
    <w:rsid w:val="005D29B0"/>
    <w:rsid w:val="005D29C3"/>
    <w:rsid w:val="005D29CE"/>
    <w:rsid w:val="005D2BE1"/>
    <w:rsid w:val="005D2D04"/>
    <w:rsid w:val="005D2E4F"/>
    <w:rsid w:val="005D30F2"/>
    <w:rsid w:val="005D3402"/>
    <w:rsid w:val="005D3625"/>
    <w:rsid w:val="005D37CF"/>
    <w:rsid w:val="005D38FE"/>
    <w:rsid w:val="005D3B2D"/>
    <w:rsid w:val="005D3B84"/>
    <w:rsid w:val="005D3CA6"/>
    <w:rsid w:val="005D3FBB"/>
    <w:rsid w:val="005D40ED"/>
    <w:rsid w:val="005D43A9"/>
    <w:rsid w:val="005D458D"/>
    <w:rsid w:val="005D467D"/>
    <w:rsid w:val="005D467E"/>
    <w:rsid w:val="005D4890"/>
    <w:rsid w:val="005D489E"/>
    <w:rsid w:val="005D4960"/>
    <w:rsid w:val="005D4AEC"/>
    <w:rsid w:val="005D4DAD"/>
    <w:rsid w:val="005D4EEB"/>
    <w:rsid w:val="005D4EEE"/>
    <w:rsid w:val="005D4F42"/>
    <w:rsid w:val="005D52A3"/>
    <w:rsid w:val="005D5661"/>
    <w:rsid w:val="005D59AA"/>
    <w:rsid w:val="005D5A0F"/>
    <w:rsid w:val="005D5A98"/>
    <w:rsid w:val="005D5AF7"/>
    <w:rsid w:val="005D5BE3"/>
    <w:rsid w:val="005D5C5C"/>
    <w:rsid w:val="005D5E4A"/>
    <w:rsid w:val="005D6008"/>
    <w:rsid w:val="005D625A"/>
    <w:rsid w:val="005D668E"/>
    <w:rsid w:val="005D6A88"/>
    <w:rsid w:val="005D6D2D"/>
    <w:rsid w:val="005D6F67"/>
    <w:rsid w:val="005D7262"/>
    <w:rsid w:val="005D7264"/>
    <w:rsid w:val="005D72A9"/>
    <w:rsid w:val="005D72FD"/>
    <w:rsid w:val="005D74D2"/>
    <w:rsid w:val="005D7603"/>
    <w:rsid w:val="005D78C0"/>
    <w:rsid w:val="005D7A1A"/>
    <w:rsid w:val="005D7C0D"/>
    <w:rsid w:val="005E00BF"/>
    <w:rsid w:val="005E035C"/>
    <w:rsid w:val="005E042A"/>
    <w:rsid w:val="005E05AB"/>
    <w:rsid w:val="005E05BB"/>
    <w:rsid w:val="005E063F"/>
    <w:rsid w:val="005E0A26"/>
    <w:rsid w:val="005E0E31"/>
    <w:rsid w:val="005E11EB"/>
    <w:rsid w:val="005E1330"/>
    <w:rsid w:val="005E1532"/>
    <w:rsid w:val="005E18D8"/>
    <w:rsid w:val="005E18F9"/>
    <w:rsid w:val="005E199B"/>
    <w:rsid w:val="005E19EA"/>
    <w:rsid w:val="005E1A35"/>
    <w:rsid w:val="005E1E33"/>
    <w:rsid w:val="005E2211"/>
    <w:rsid w:val="005E249D"/>
    <w:rsid w:val="005E24B7"/>
    <w:rsid w:val="005E29D3"/>
    <w:rsid w:val="005E2A48"/>
    <w:rsid w:val="005E2A59"/>
    <w:rsid w:val="005E2B7C"/>
    <w:rsid w:val="005E2BE7"/>
    <w:rsid w:val="005E2BFF"/>
    <w:rsid w:val="005E30A8"/>
    <w:rsid w:val="005E30C1"/>
    <w:rsid w:val="005E3325"/>
    <w:rsid w:val="005E33C9"/>
    <w:rsid w:val="005E3547"/>
    <w:rsid w:val="005E367F"/>
    <w:rsid w:val="005E3692"/>
    <w:rsid w:val="005E369E"/>
    <w:rsid w:val="005E387F"/>
    <w:rsid w:val="005E390E"/>
    <w:rsid w:val="005E3BD6"/>
    <w:rsid w:val="005E3CE0"/>
    <w:rsid w:val="005E3DE8"/>
    <w:rsid w:val="005E407B"/>
    <w:rsid w:val="005E41AC"/>
    <w:rsid w:val="005E423D"/>
    <w:rsid w:val="005E4262"/>
    <w:rsid w:val="005E42A0"/>
    <w:rsid w:val="005E43FA"/>
    <w:rsid w:val="005E457A"/>
    <w:rsid w:val="005E489B"/>
    <w:rsid w:val="005E494A"/>
    <w:rsid w:val="005E4A02"/>
    <w:rsid w:val="005E4A99"/>
    <w:rsid w:val="005E4BDB"/>
    <w:rsid w:val="005E4D82"/>
    <w:rsid w:val="005E4E6E"/>
    <w:rsid w:val="005E5057"/>
    <w:rsid w:val="005E50C4"/>
    <w:rsid w:val="005E50D8"/>
    <w:rsid w:val="005E52B8"/>
    <w:rsid w:val="005E532F"/>
    <w:rsid w:val="005E53A6"/>
    <w:rsid w:val="005E54F8"/>
    <w:rsid w:val="005E5A0A"/>
    <w:rsid w:val="005E5B04"/>
    <w:rsid w:val="005E5BC9"/>
    <w:rsid w:val="005E5BCF"/>
    <w:rsid w:val="005E5CBC"/>
    <w:rsid w:val="005E5E40"/>
    <w:rsid w:val="005E5EB8"/>
    <w:rsid w:val="005E617F"/>
    <w:rsid w:val="005E61A3"/>
    <w:rsid w:val="005E6370"/>
    <w:rsid w:val="005E6446"/>
    <w:rsid w:val="005E653E"/>
    <w:rsid w:val="005E6633"/>
    <w:rsid w:val="005E6743"/>
    <w:rsid w:val="005E6DFA"/>
    <w:rsid w:val="005E6F4D"/>
    <w:rsid w:val="005E7083"/>
    <w:rsid w:val="005E719A"/>
    <w:rsid w:val="005E71AC"/>
    <w:rsid w:val="005E71DB"/>
    <w:rsid w:val="005E77C1"/>
    <w:rsid w:val="005E7AC5"/>
    <w:rsid w:val="005E7C04"/>
    <w:rsid w:val="005E7E2F"/>
    <w:rsid w:val="005E7EE0"/>
    <w:rsid w:val="005E7F16"/>
    <w:rsid w:val="005F03A9"/>
    <w:rsid w:val="005F03E5"/>
    <w:rsid w:val="005F046F"/>
    <w:rsid w:val="005F0923"/>
    <w:rsid w:val="005F0A4F"/>
    <w:rsid w:val="005F0D22"/>
    <w:rsid w:val="005F0D80"/>
    <w:rsid w:val="005F0DEE"/>
    <w:rsid w:val="005F1125"/>
    <w:rsid w:val="005F118D"/>
    <w:rsid w:val="005F1484"/>
    <w:rsid w:val="005F1649"/>
    <w:rsid w:val="005F1789"/>
    <w:rsid w:val="005F17E3"/>
    <w:rsid w:val="005F1937"/>
    <w:rsid w:val="005F193C"/>
    <w:rsid w:val="005F1A59"/>
    <w:rsid w:val="005F1D60"/>
    <w:rsid w:val="005F1DA6"/>
    <w:rsid w:val="005F1E88"/>
    <w:rsid w:val="005F1E8D"/>
    <w:rsid w:val="005F232E"/>
    <w:rsid w:val="005F2330"/>
    <w:rsid w:val="005F2350"/>
    <w:rsid w:val="005F258C"/>
    <w:rsid w:val="005F2758"/>
    <w:rsid w:val="005F27F6"/>
    <w:rsid w:val="005F297D"/>
    <w:rsid w:val="005F2988"/>
    <w:rsid w:val="005F2E72"/>
    <w:rsid w:val="005F2EBC"/>
    <w:rsid w:val="005F367D"/>
    <w:rsid w:val="005F3A40"/>
    <w:rsid w:val="005F3ACA"/>
    <w:rsid w:val="005F3C77"/>
    <w:rsid w:val="005F3CD0"/>
    <w:rsid w:val="005F3E75"/>
    <w:rsid w:val="005F3E76"/>
    <w:rsid w:val="005F404A"/>
    <w:rsid w:val="005F40CD"/>
    <w:rsid w:val="005F4237"/>
    <w:rsid w:val="005F4307"/>
    <w:rsid w:val="005F465A"/>
    <w:rsid w:val="005F477A"/>
    <w:rsid w:val="005F47D8"/>
    <w:rsid w:val="005F496D"/>
    <w:rsid w:val="005F4A32"/>
    <w:rsid w:val="005F4CBB"/>
    <w:rsid w:val="005F4D9D"/>
    <w:rsid w:val="005F4FD6"/>
    <w:rsid w:val="005F5076"/>
    <w:rsid w:val="005F535D"/>
    <w:rsid w:val="005F54D9"/>
    <w:rsid w:val="005F54FF"/>
    <w:rsid w:val="005F55D5"/>
    <w:rsid w:val="005F55F3"/>
    <w:rsid w:val="005F561E"/>
    <w:rsid w:val="005F599B"/>
    <w:rsid w:val="005F5DC2"/>
    <w:rsid w:val="005F5E70"/>
    <w:rsid w:val="005F5EBF"/>
    <w:rsid w:val="005F5FA1"/>
    <w:rsid w:val="005F6081"/>
    <w:rsid w:val="005F6139"/>
    <w:rsid w:val="005F6870"/>
    <w:rsid w:val="005F6D83"/>
    <w:rsid w:val="005F6D84"/>
    <w:rsid w:val="005F6F32"/>
    <w:rsid w:val="005F6F78"/>
    <w:rsid w:val="005F6FE3"/>
    <w:rsid w:val="005F7086"/>
    <w:rsid w:val="005F71BB"/>
    <w:rsid w:val="005F72D6"/>
    <w:rsid w:val="005F7426"/>
    <w:rsid w:val="005F7658"/>
    <w:rsid w:val="005F76DB"/>
    <w:rsid w:val="005F780B"/>
    <w:rsid w:val="005F7824"/>
    <w:rsid w:val="005F788A"/>
    <w:rsid w:val="00600778"/>
    <w:rsid w:val="006007AA"/>
    <w:rsid w:val="00600994"/>
    <w:rsid w:val="00600A6D"/>
    <w:rsid w:val="00600B7A"/>
    <w:rsid w:val="00600B84"/>
    <w:rsid w:val="00600D68"/>
    <w:rsid w:val="00600D8A"/>
    <w:rsid w:val="00600DC7"/>
    <w:rsid w:val="00601012"/>
    <w:rsid w:val="0060132B"/>
    <w:rsid w:val="00601455"/>
    <w:rsid w:val="00601479"/>
    <w:rsid w:val="0060195D"/>
    <w:rsid w:val="0060198B"/>
    <w:rsid w:val="0060198C"/>
    <w:rsid w:val="00601AB1"/>
    <w:rsid w:val="00601DB9"/>
    <w:rsid w:val="00601FB5"/>
    <w:rsid w:val="00602006"/>
    <w:rsid w:val="00602039"/>
    <w:rsid w:val="0060204C"/>
    <w:rsid w:val="00602213"/>
    <w:rsid w:val="006023FB"/>
    <w:rsid w:val="00602657"/>
    <w:rsid w:val="006029B5"/>
    <w:rsid w:val="006029D6"/>
    <w:rsid w:val="00602A9E"/>
    <w:rsid w:val="00602B9B"/>
    <w:rsid w:val="00602BDC"/>
    <w:rsid w:val="00602F77"/>
    <w:rsid w:val="00602FEB"/>
    <w:rsid w:val="00603040"/>
    <w:rsid w:val="0060366C"/>
    <w:rsid w:val="006036AF"/>
    <w:rsid w:val="00603E87"/>
    <w:rsid w:val="00604367"/>
    <w:rsid w:val="00604610"/>
    <w:rsid w:val="00604840"/>
    <w:rsid w:val="00604A4A"/>
    <w:rsid w:val="00604BA1"/>
    <w:rsid w:val="00604EC8"/>
    <w:rsid w:val="00604F81"/>
    <w:rsid w:val="00605271"/>
    <w:rsid w:val="00605615"/>
    <w:rsid w:val="0060573F"/>
    <w:rsid w:val="00605CBE"/>
    <w:rsid w:val="00605F17"/>
    <w:rsid w:val="00605FE1"/>
    <w:rsid w:val="00606123"/>
    <w:rsid w:val="006066C4"/>
    <w:rsid w:val="006067D4"/>
    <w:rsid w:val="00606837"/>
    <w:rsid w:val="00606C39"/>
    <w:rsid w:val="00606D58"/>
    <w:rsid w:val="00606E1C"/>
    <w:rsid w:val="00606F90"/>
    <w:rsid w:val="00606F93"/>
    <w:rsid w:val="00606FBD"/>
    <w:rsid w:val="00606FCE"/>
    <w:rsid w:val="00607083"/>
    <w:rsid w:val="0060710D"/>
    <w:rsid w:val="006074BC"/>
    <w:rsid w:val="006078B1"/>
    <w:rsid w:val="006079DF"/>
    <w:rsid w:val="00607FDA"/>
    <w:rsid w:val="006100AA"/>
    <w:rsid w:val="00610202"/>
    <w:rsid w:val="0061066C"/>
    <w:rsid w:val="006109D8"/>
    <w:rsid w:val="00610BC8"/>
    <w:rsid w:val="00610F53"/>
    <w:rsid w:val="00610F83"/>
    <w:rsid w:val="006110C4"/>
    <w:rsid w:val="00611320"/>
    <w:rsid w:val="0061141E"/>
    <w:rsid w:val="006114CF"/>
    <w:rsid w:val="006116FC"/>
    <w:rsid w:val="0061173D"/>
    <w:rsid w:val="006118DF"/>
    <w:rsid w:val="00611912"/>
    <w:rsid w:val="00611941"/>
    <w:rsid w:val="00611C1C"/>
    <w:rsid w:val="00611E1A"/>
    <w:rsid w:val="00611F05"/>
    <w:rsid w:val="00612082"/>
    <w:rsid w:val="0061208B"/>
    <w:rsid w:val="00612A6F"/>
    <w:rsid w:val="00612BC4"/>
    <w:rsid w:val="00612C6B"/>
    <w:rsid w:val="00613191"/>
    <w:rsid w:val="006131D9"/>
    <w:rsid w:val="006131E0"/>
    <w:rsid w:val="006133CD"/>
    <w:rsid w:val="00613608"/>
    <w:rsid w:val="0061363B"/>
    <w:rsid w:val="00613795"/>
    <w:rsid w:val="00613972"/>
    <w:rsid w:val="00613BAC"/>
    <w:rsid w:val="00613E32"/>
    <w:rsid w:val="00613F22"/>
    <w:rsid w:val="00613F5D"/>
    <w:rsid w:val="00613FA7"/>
    <w:rsid w:val="00614035"/>
    <w:rsid w:val="00614037"/>
    <w:rsid w:val="006140D2"/>
    <w:rsid w:val="006143F4"/>
    <w:rsid w:val="00614608"/>
    <w:rsid w:val="0061477E"/>
    <w:rsid w:val="00614AF4"/>
    <w:rsid w:val="00614B3E"/>
    <w:rsid w:val="00614BA3"/>
    <w:rsid w:val="00614BA5"/>
    <w:rsid w:val="00614F2D"/>
    <w:rsid w:val="00614F51"/>
    <w:rsid w:val="00614FFF"/>
    <w:rsid w:val="0061530A"/>
    <w:rsid w:val="006155BA"/>
    <w:rsid w:val="00615603"/>
    <w:rsid w:val="006156DF"/>
    <w:rsid w:val="006158D1"/>
    <w:rsid w:val="006158DF"/>
    <w:rsid w:val="00615931"/>
    <w:rsid w:val="00615975"/>
    <w:rsid w:val="0061599C"/>
    <w:rsid w:val="00615A2E"/>
    <w:rsid w:val="00615CB2"/>
    <w:rsid w:val="00615EB8"/>
    <w:rsid w:val="00615FCD"/>
    <w:rsid w:val="006163E1"/>
    <w:rsid w:val="00616451"/>
    <w:rsid w:val="006166D3"/>
    <w:rsid w:val="00616757"/>
    <w:rsid w:val="00616892"/>
    <w:rsid w:val="00616A0E"/>
    <w:rsid w:val="00616A82"/>
    <w:rsid w:val="00616B43"/>
    <w:rsid w:val="00616BAA"/>
    <w:rsid w:val="00616C48"/>
    <w:rsid w:val="00616DEE"/>
    <w:rsid w:val="0061704F"/>
    <w:rsid w:val="006172B7"/>
    <w:rsid w:val="0061761C"/>
    <w:rsid w:val="006178C5"/>
    <w:rsid w:val="00617919"/>
    <w:rsid w:val="00617B15"/>
    <w:rsid w:val="00617BE0"/>
    <w:rsid w:val="00617C63"/>
    <w:rsid w:val="00617DE8"/>
    <w:rsid w:val="00620327"/>
    <w:rsid w:val="006204C3"/>
    <w:rsid w:val="00620539"/>
    <w:rsid w:val="00620591"/>
    <w:rsid w:val="006205D9"/>
    <w:rsid w:val="006208E9"/>
    <w:rsid w:val="00620952"/>
    <w:rsid w:val="00620A98"/>
    <w:rsid w:val="00620DD3"/>
    <w:rsid w:val="00620E92"/>
    <w:rsid w:val="00621172"/>
    <w:rsid w:val="0062127B"/>
    <w:rsid w:val="006212DB"/>
    <w:rsid w:val="006213C6"/>
    <w:rsid w:val="0062155B"/>
    <w:rsid w:val="0062172D"/>
    <w:rsid w:val="00621983"/>
    <w:rsid w:val="00621C09"/>
    <w:rsid w:val="00621C9C"/>
    <w:rsid w:val="00621D2A"/>
    <w:rsid w:val="00621E6F"/>
    <w:rsid w:val="00621E96"/>
    <w:rsid w:val="00621F74"/>
    <w:rsid w:val="00621FB0"/>
    <w:rsid w:val="00622074"/>
    <w:rsid w:val="006223AB"/>
    <w:rsid w:val="00622512"/>
    <w:rsid w:val="006227C4"/>
    <w:rsid w:val="00622CDC"/>
    <w:rsid w:val="00622D3C"/>
    <w:rsid w:val="00622E4B"/>
    <w:rsid w:val="00622F3A"/>
    <w:rsid w:val="00622F89"/>
    <w:rsid w:val="00622FC7"/>
    <w:rsid w:val="00623138"/>
    <w:rsid w:val="00623317"/>
    <w:rsid w:val="00623318"/>
    <w:rsid w:val="0062390B"/>
    <w:rsid w:val="0062395D"/>
    <w:rsid w:val="00623A87"/>
    <w:rsid w:val="0062403F"/>
    <w:rsid w:val="0062431E"/>
    <w:rsid w:val="00624400"/>
    <w:rsid w:val="00624828"/>
    <w:rsid w:val="00624AD5"/>
    <w:rsid w:val="00624DC1"/>
    <w:rsid w:val="00624F46"/>
    <w:rsid w:val="0062534F"/>
    <w:rsid w:val="006253BC"/>
    <w:rsid w:val="0062549B"/>
    <w:rsid w:val="0062596E"/>
    <w:rsid w:val="00625AC1"/>
    <w:rsid w:val="00625ADA"/>
    <w:rsid w:val="00625BBC"/>
    <w:rsid w:val="00625C15"/>
    <w:rsid w:val="00625C2F"/>
    <w:rsid w:val="00625D6E"/>
    <w:rsid w:val="00625DC3"/>
    <w:rsid w:val="0062608B"/>
    <w:rsid w:val="0062646F"/>
    <w:rsid w:val="006266D2"/>
    <w:rsid w:val="00626BB1"/>
    <w:rsid w:val="00626C3C"/>
    <w:rsid w:val="00626D90"/>
    <w:rsid w:val="00626F97"/>
    <w:rsid w:val="00627125"/>
    <w:rsid w:val="006271A2"/>
    <w:rsid w:val="006271BD"/>
    <w:rsid w:val="00627340"/>
    <w:rsid w:val="00627405"/>
    <w:rsid w:val="0062751E"/>
    <w:rsid w:val="0062753A"/>
    <w:rsid w:val="006277A0"/>
    <w:rsid w:val="006279B3"/>
    <w:rsid w:val="006279DA"/>
    <w:rsid w:val="00627B0D"/>
    <w:rsid w:val="00627B3C"/>
    <w:rsid w:val="00627E6E"/>
    <w:rsid w:val="00630006"/>
    <w:rsid w:val="0063012D"/>
    <w:rsid w:val="00630197"/>
    <w:rsid w:val="00630265"/>
    <w:rsid w:val="006303CE"/>
    <w:rsid w:val="00630523"/>
    <w:rsid w:val="006307C7"/>
    <w:rsid w:val="00630999"/>
    <w:rsid w:val="00630D99"/>
    <w:rsid w:val="00630DA0"/>
    <w:rsid w:val="00630E6C"/>
    <w:rsid w:val="00630FD2"/>
    <w:rsid w:val="00630FE4"/>
    <w:rsid w:val="00631632"/>
    <w:rsid w:val="006316A9"/>
    <w:rsid w:val="006317BC"/>
    <w:rsid w:val="00631AA0"/>
    <w:rsid w:val="00631B51"/>
    <w:rsid w:val="00631CE8"/>
    <w:rsid w:val="00631D6C"/>
    <w:rsid w:val="00631E58"/>
    <w:rsid w:val="0063201A"/>
    <w:rsid w:val="00632192"/>
    <w:rsid w:val="00632390"/>
    <w:rsid w:val="00632422"/>
    <w:rsid w:val="00632486"/>
    <w:rsid w:val="00632531"/>
    <w:rsid w:val="0063273F"/>
    <w:rsid w:val="00632907"/>
    <w:rsid w:val="00632D1D"/>
    <w:rsid w:val="00632D58"/>
    <w:rsid w:val="00632F36"/>
    <w:rsid w:val="00633225"/>
    <w:rsid w:val="00633240"/>
    <w:rsid w:val="006338CF"/>
    <w:rsid w:val="00633BEB"/>
    <w:rsid w:val="00633F42"/>
    <w:rsid w:val="0063417F"/>
    <w:rsid w:val="00634220"/>
    <w:rsid w:val="0063427D"/>
    <w:rsid w:val="00634392"/>
    <w:rsid w:val="006345C5"/>
    <w:rsid w:val="00634A3A"/>
    <w:rsid w:val="00634B27"/>
    <w:rsid w:val="00634CED"/>
    <w:rsid w:val="00634F81"/>
    <w:rsid w:val="006350D2"/>
    <w:rsid w:val="00635255"/>
    <w:rsid w:val="006357BB"/>
    <w:rsid w:val="00635AE0"/>
    <w:rsid w:val="00635B28"/>
    <w:rsid w:val="00635BAA"/>
    <w:rsid w:val="00635C60"/>
    <w:rsid w:val="00635D7E"/>
    <w:rsid w:val="0063613D"/>
    <w:rsid w:val="00636323"/>
    <w:rsid w:val="006364C2"/>
    <w:rsid w:val="00636736"/>
    <w:rsid w:val="00636B31"/>
    <w:rsid w:val="00636B71"/>
    <w:rsid w:val="00636B9A"/>
    <w:rsid w:val="00636DC6"/>
    <w:rsid w:val="0063709E"/>
    <w:rsid w:val="0063739C"/>
    <w:rsid w:val="006373CA"/>
    <w:rsid w:val="00637628"/>
    <w:rsid w:val="00637709"/>
    <w:rsid w:val="00637A75"/>
    <w:rsid w:val="00637B46"/>
    <w:rsid w:val="00637CFE"/>
    <w:rsid w:val="0064002D"/>
    <w:rsid w:val="00640152"/>
    <w:rsid w:val="00640223"/>
    <w:rsid w:val="00640395"/>
    <w:rsid w:val="006403AE"/>
    <w:rsid w:val="0064041C"/>
    <w:rsid w:val="00640640"/>
    <w:rsid w:val="00640CAD"/>
    <w:rsid w:val="00640DB4"/>
    <w:rsid w:val="0064107F"/>
    <w:rsid w:val="0064125A"/>
    <w:rsid w:val="006414DC"/>
    <w:rsid w:val="00641682"/>
    <w:rsid w:val="00641697"/>
    <w:rsid w:val="00641D49"/>
    <w:rsid w:val="00641D4A"/>
    <w:rsid w:val="00641DB5"/>
    <w:rsid w:val="006420DD"/>
    <w:rsid w:val="00642115"/>
    <w:rsid w:val="00642367"/>
    <w:rsid w:val="00642768"/>
    <w:rsid w:val="0064299E"/>
    <w:rsid w:val="00642A9A"/>
    <w:rsid w:val="00642AE5"/>
    <w:rsid w:val="00642AF7"/>
    <w:rsid w:val="00642D2A"/>
    <w:rsid w:val="00642D9A"/>
    <w:rsid w:val="00642DAE"/>
    <w:rsid w:val="00642DC7"/>
    <w:rsid w:val="00642E68"/>
    <w:rsid w:val="00643107"/>
    <w:rsid w:val="00643145"/>
    <w:rsid w:val="00643148"/>
    <w:rsid w:val="00643340"/>
    <w:rsid w:val="00643365"/>
    <w:rsid w:val="0064339C"/>
    <w:rsid w:val="00643472"/>
    <w:rsid w:val="0064359C"/>
    <w:rsid w:val="0064367E"/>
    <w:rsid w:val="00643906"/>
    <w:rsid w:val="00643DAD"/>
    <w:rsid w:val="00643E0C"/>
    <w:rsid w:val="00643FA4"/>
    <w:rsid w:val="0064405F"/>
    <w:rsid w:val="006443C2"/>
    <w:rsid w:val="006444A9"/>
    <w:rsid w:val="00644572"/>
    <w:rsid w:val="00644798"/>
    <w:rsid w:val="00644888"/>
    <w:rsid w:val="00644D24"/>
    <w:rsid w:val="00644FC0"/>
    <w:rsid w:val="0064505B"/>
    <w:rsid w:val="00645214"/>
    <w:rsid w:val="006452B0"/>
    <w:rsid w:val="006452C4"/>
    <w:rsid w:val="006453B5"/>
    <w:rsid w:val="00645460"/>
    <w:rsid w:val="006454CA"/>
    <w:rsid w:val="00645582"/>
    <w:rsid w:val="006457D5"/>
    <w:rsid w:val="006457FE"/>
    <w:rsid w:val="00645C76"/>
    <w:rsid w:val="0064608E"/>
    <w:rsid w:val="006460C4"/>
    <w:rsid w:val="006461D2"/>
    <w:rsid w:val="00646217"/>
    <w:rsid w:val="006464AD"/>
    <w:rsid w:val="006468EE"/>
    <w:rsid w:val="00646967"/>
    <w:rsid w:val="00646A30"/>
    <w:rsid w:val="00646AC9"/>
    <w:rsid w:val="00646AE4"/>
    <w:rsid w:val="00646C4F"/>
    <w:rsid w:val="006470FB"/>
    <w:rsid w:val="0064740E"/>
    <w:rsid w:val="00647625"/>
    <w:rsid w:val="0064769A"/>
    <w:rsid w:val="00647780"/>
    <w:rsid w:val="00647877"/>
    <w:rsid w:val="006478F9"/>
    <w:rsid w:val="00647900"/>
    <w:rsid w:val="00647A02"/>
    <w:rsid w:val="00647B28"/>
    <w:rsid w:val="00647C4A"/>
    <w:rsid w:val="00647D20"/>
    <w:rsid w:val="00647D2F"/>
    <w:rsid w:val="00647F72"/>
    <w:rsid w:val="00650062"/>
    <w:rsid w:val="00650095"/>
    <w:rsid w:val="0065046F"/>
    <w:rsid w:val="00650539"/>
    <w:rsid w:val="006509E2"/>
    <w:rsid w:val="00650A8B"/>
    <w:rsid w:val="00650BA8"/>
    <w:rsid w:val="00650C9B"/>
    <w:rsid w:val="00650D2A"/>
    <w:rsid w:val="00650E46"/>
    <w:rsid w:val="00650F55"/>
    <w:rsid w:val="00651032"/>
    <w:rsid w:val="00651387"/>
    <w:rsid w:val="00651451"/>
    <w:rsid w:val="00651531"/>
    <w:rsid w:val="006516F1"/>
    <w:rsid w:val="00651785"/>
    <w:rsid w:val="006517EC"/>
    <w:rsid w:val="0065198F"/>
    <w:rsid w:val="0065199E"/>
    <w:rsid w:val="00651C31"/>
    <w:rsid w:val="00651C3D"/>
    <w:rsid w:val="00651DCF"/>
    <w:rsid w:val="00651EBC"/>
    <w:rsid w:val="00651F0C"/>
    <w:rsid w:val="00651F86"/>
    <w:rsid w:val="00652065"/>
    <w:rsid w:val="00652112"/>
    <w:rsid w:val="00652142"/>
    <w:rsid w:val="00652284"/>
    <w:rsid w:val="00652347"/>
    <w:rsid w:val="006523F1"/>
    <w:rsid w:val="006525FE"/>
    <w:rsid w:val="006526AA"/>
    <w:rsid w:val="0065289C"/>
    <w:rsid w:val="00652D19"/>
    <w:rsid w:val="00652D9E"/>
    <w:rsid w:val="00652E24"/>
    <w:rsid w:val="00652F54"/>
    <w:rsid w:val="0065322E"/>
    <w:rsid w:val="00653721"/>
    <w:rsid w:val="006537A8"/>
    <w:rsid w:val="00653808"/>
    <w:rsid w:val="00653851"/>
    <w:rsid w:val="00653987"/>
    <w:rsid w:val="00653A04"/>
    <w:rsid w:val="00653A59"/>
    <w:rsid w:val="00653C21"/>
    <w:rsid w:val="00654062"/>
    <w:rsid w:val="00654082"/>
    <w:rsid w:val="006540D5"/>
    <w:rsid w:val="006544E4"/>
    <w:rsid w:val="00654974"/>
    <w:rsid w:val="00654991"/>
    <w:rsid w:val="00654AAD"/>
    <w:rsid w:val="00654B67"/>
    <w:rsid w:val="00654B99"/>
    <w:rsid w:val="00654BAB"/>
    <w:rsid w:val="00654D03"/>
    <w:rsid w:val="00655212"/>
    <w:rsid w:val="0065529E"/>
    <w:rsid w:val="006554E1"/>
    <w:rsid w:val="00655592"/>
    <w:rsid w:val="00655619"/>
    <w:rsid w:val="00655729"/>
    <w:rsid w:val="00655800"/>
    <w:rsid w:val="0065587F"/>
    <w:rsid w:val="00655983"/>
    <w:rsid w:val="00655BCA"/>
    <w:rsid w:val="00655BDA"/>
    <w:rsid w:val="00655C46"/>
    <w:rsid w:val="00655C5F"/>
    <w:rsid w:val="0065617E"/>
    <w:rsid w:val="006563EA"/>
    <w:rsid w:val="0065642B"/>
    <w:rsid w:val="006564C3"/>
    <w:rsid w:val="0065650E"/>
    <w:rsid w:val="0065658D"/>
    <w:rsid w:val="00656895"/>
    <w:rsid w:val="00656B34"/>
    <w:rsid w:val="00656D15"/>
    <w:rsid w:val="00656E24"/>
    <w:rsid w:val="00656FF6"/>
    <w:rsid w:val="006571AB"/>
    <w:rsid w:val="006575A7"/>
    <w:rsid w:val="00657717"/>
    <w:rsid w:val="00657790"/>
    <w:rsid w:val="00657BAA"/>
    <w:rsid w:val="00657CD8"/>
    <w:rsid w:val="00657F01"/>
    <w:rsid w:val="00657F7F"/>
    <w:rsid w:val="00660157"/>
    <w:rsid w:val="00660186"/>
    <w:rsid w:val="00660461"/>
    <w:rsid w:val="006605A4"/>
    <w:rsid w:val="006606E0"/>
    <w:rsid w:val="00660753"/>
    <w:rsid w:val="0066093C"/>
    <w:rsid w:val="006609AB"/>
    <w:rsid w:val="00660A35"/>
    <w:rsid w:val="00660CE1"/>
    <w:rsid w:val="00660D9A"/>
    <w:rsid w:val="0066105F"/>
    <w:rsid w:val="00661121"/>
    <w:rsid w:val="006613C9"/>
    <w:rsid w:val="00661633"/>
    <w:rsid w:val="00661770"/>
    <w:rsid w:val="0066189F"/>
    <w:rsid w:val="0066195C"/>
    <w:rsid w:val="00661DF5"/>
    <w:rsid w:val="00661E76"/>
    <w:rsid w:val="00662077"/>
    <w:rsid w:val="0066227E"/>
    <w:rsid w:val="00662487"/>
    <w:rsid w:val="0066267A"/>
    <w:rsid w:val="00662A31"/>
    <w:rsid w:val="00662AEC"/>
    <w:rsid w:val="00662BDB"/>
    <w:rsid w:val="00662CE5"/>
    <w:rsid w:val="00663433"/>
    <w:rsid w:val="006637BD"/>
    <w:rsid w:val="006639AA"/>
    <w:rsid w:val="00663BD7"/>
    <w:rsid w:val="0066423D"/>
    <w:rsid w:val="006647DA"/>
    <w:rsid w:val="006648C7"/>
    <w:rsid w:val="00664A66"/>
    <w:rsid w:val="00664AE3"/>
    <w:rsid w:val="00664C2E"/>
    <w:rsid w:val="00664C72"/>
    <w:rsid w:val="006652F6"/>
    <w:rsid w:val="00665715"/>
    <w:rsid w:val="00665871"/>
    <w:rsid w:val="006658D8"/>
    <w:rsid w:val="00665A90"/>
    <w:rsid w:val="00665B71"/>
    <w:rsid w:val="00665C12"/>
    <w:rsid w:val="00665CF7"/>
    <w:rsid w:val="0066618F"/>
    <w:rsid w:val="006662D7"/>
    <w:rsid w:val="00666354"/>
    <w:rsid w:val="006664F5"/>
    <w:rsid w:val="006665E1"/>
    <w:rsid w:val="00666D38"/>
    <w:rsid w:val="00666DF9"/>
    <w:rsid w:val="00666E92"/>
    <w:rsid w:val="00666F3F"/>
    <w:rsid w:val="006670A4"/>
    <w:rsid w:val="006671C6"/>
    <w:rsid w:val="0066740B"/>
    <w:rsid w:val="00667880"/>
    <w:rsid w:val="00667A10"/>
    <w:rsid w:val="00667A9F"/>
    <w:rsid w:val="00667B9A"/>
    <w:rsid w:val="00667D01"/>
    <w:rsid w:val="00667F64"/>
    <w:rsid w:val="00667FDD"/>
    <w:rsid w:val="006700BE"/>
    <w:rsid w:val="00670179"/>
    <w:rsid w:val="006703A7"/>
    <w:rsid w:val="00670506"/>
    <w:rsid w:val="0067062A"/>
    <w:rsid w:val="00670A4A"/>
    <w:rsid w:val="00670CEA"/>
    <w:rsid w:val="00670DC9"/>
    <w:rsid w:val="00671A7B"/>
    <w:rsid w:val="00671BC3"/>
    <w:rsid w:val="00671C20"/>
    <w:rsid w:val="00671C5F"/>
    <w:rsid w:val="00671DB7"/>
    <w:rsid w:val="00671E93"/>
    <w:rsid w:val="0067211D"/>
    <w:rsid w:val="00672197"/>
    <w:rsid w:val="006721FC"/>
    <w:rsid w:val="00672299"/>
    <w:rsid w:val="006722A9"/>
    <w:rsid w:val="00672348"/>
    <w:rsid w:val="006724E2"/>
    <w:rsid w:val="0067263A"/>
    <w:rsid w:val="006726F6"/>
    <w:rsid w:val="00672802"/>
    <w:rsid w:val="006729C4"/>
    <w:rsid w:val="00672B57"/>
    <w:rsid w:val="00672C1B"/>
    <w:rsid w:val="00672F00"/>
    <w:rsid w:val="00672F5A"/>
    <w:rsid w:val="00672F5D"/>
    <w:rsid w:val="006732F3"/>
    <w:rsid w:val="00673431"/>
    <w:rsid w:val="006734B1"/>
    <w:rsid w:val="00673589"/>
    <w:rsid w:val="00673690"/>
    <w:rsid w:val="006736F7"/>
    <w:rsid w:val="006739CA"/>
    <w:rsid w:val="00673B63"/>
    <w:rsid w:val="00673DCC"/>
    <w:rsid w:val="00673E50"/>
    <w:rsid w:val="0067403D"/>
    <w:rsid w:val="006740C4"/>
    <w:rsid w:val="0067411D"/>
    <w:rsid w:val="0067411F"/>
    <w:rsid w:val="00674308"/>
    <w:rsid w:val="0067449F"/>
    <w:rsid w:val="00674643"/>
    <w:rsid w:val="006748D0"/>
    <w:rsid w:val="00674920"/>
    <w:rsid w:val="00674A82"/>
    <w:rsid w:val="00674B03"/>
    <w:rsid w:val="00674CBF"/>
    <w:rsid w:val="00674F35"/>
    <w:rsid w:val="00674FB4"/>
    <w:rsid w:val="0067541A"/>
    <w:rsid w:val="0067541B"/>
    <w:rsid w:val="00675551"/>
    <w:rsid w:val="006755F7"/>
    <w:rsid w:val="00675725"/>
    <w:rsid w:val="0067580B"/>
    <w:rsid w:val="006758EA"/>
    <w:rsid w:val="006759CA"/>
    <w:rsid w:val="00675BBC"/>
    <w:rsid w:val="00675DA8"/>
    <w:rsid w:val="00675DE1"/>
    <w:rsid w:val="00675E98"/>
    <w:rsid w:val="00676002"/>
    <w:rsid w:val="0067600A"/>
    <w:rsid w:val="006762E0"/>
    <w:rsid w:val="00676356"/>
    <w:rsid w:val="00676391"/>
    <w:rsid w:val="006765FA"/>
    <w:rsid w:val="006768A1"/>
    <w:rsid w:val="0067699B"/>
    <w:rsid w:val="00676BAD"/>
    <w:rsid w:val="00677034"/>
    <w:rsid w:val="006772C3"/>
    <w:rsid w:val="00677316"/>
    <w:rsid w:val="00677342"/>
    <w:rsid w:val="00677719"/>
    <w:rsid w:val="0068007F"/>
    <w:rsid w:val="006803A2"/>
    <w:rsid w:val="006804B8"/>
    <w:rsid w:val="006804CE"/>
    <w:rsid w:val="00680532"/>
    <w:rsid w:val="0068054D"/>
    <w:rsid w:val="00680674"/>
    <w:rsid w:val="00680726"/>
    <w:rsid w:val="006807F5"/>
    <w:rsid w:val="00680840"/>
    <w:rsid w:val="006808DA"/>
    <w:rsid w:val="00680A48"/>
    <w:rsid w:val="00680A99"/>
    <w:rsid w:val="00680C2F"/>
    <w:rsid w:val="00680C95"/>
    <w:rsid w:val="00680C9C"/>
    <w:rsid w:val="00681031"/>
    <w:rsid w:val="006811AC"/>
    <w:rsid w:val="006818AB"/>
    <w:rsid w:val="00681BCB"/>
    <w:rsid w:val="00682332"/>
    <w:rsid w:val="0068244C"/>
    <w:rsid w:val="006826EE"/>
    <w:rsid w:val="0068287A"/>
    <w:rsid w:val="00682900"/>
    <w:rsid w:val="0068299D"/>
    <w:rsid w:val="00682B28"/>
    <w:rsid w:val="00682C4A"/>
    <w:rsid w:val="00682C8F"/>
    <w:rsid w:val="00682F47"/>
    <w:rsid w:val="00683113"/>
    <w:rsid w:val="006831C7"/>
    <w:rsid w:val="0068333B"/>
    <w:rsid w:val="0068346E"/>
    <w:rsid w:val="00683470"/>
    <w:rsid w:val="0068358D"/>
    <w:rsid w:val="006835C0"/>
    <w:rsid w:val="0068383C"/>
    <w:rsid w:val="00683872"/>
    <w:rsid w:val="006838EE"/>
    <w:rsid w:val="00683A5F"/>
    <w:rsid w:val="00683B73"/>
    <w:rsid w:val="00683E6A"/>
    <w:rsid w:val="00683F9F"/>
    <w:rsid w:val="00683FB0"/>
    <w:rsid w:val="0068414D"/>
    <w:rsid w:val="00684254"/>
    <w:rsid w:val="006843A6"/>
    <w:rsid w:val="006847D8"/>
    <w:rsid w:val="00684868"/>
    <w:rsid w:val="0068488D"/>
    <w:rsid w:val="00684B84"/>
    <w:rsid w:val="00684DB2"/>
    <w:rsid w:val="00684DCF"/>
    <w:rsid w:val="00684FB1"/>
    <w:rsid w:val="006850B4"/>
    <w:rsid w:val="0068525D"/>
    <w:rsid w:val="006852B8"/>
    <w:rsid w:val="00685458"/>
    <w:rsid w:val="00685533"/>
    <w:rsid w:val="00685BBC"/>
    <w:rsid w:val="00685EC1"/>
    <w:rsid w:val="006860BC"/>
    <w:rsid w:val="00686281"/>
    <w:rsid w:val="006863FF"/>
    <w:rsid w:val="00686D23"/>
    <w:rsid w:val="00687270"/>
    <w:rsid w:val="006874A1"/>
    <w:rsid w:val="0068750C"/>
    <w:rsid w:val="00687541"/>
    <w:rsid w:val="006875C0"/>
    <w:rsid w:val="00687823"/>
    <w:rsid w:val="006878F0"/>
    <w:rsid w:val="00687A01"/>
    <w:rsid w:val="00687A3C"/>
    <w:rsid w:val="00687B2C"/>
    <w:rsid w:val="00687EAB"/>
    <w:rsid w:val="00687F2D"/>
    <w:rsid w:val="00687FB2"/>
    <w:rsid w:val="0069001D"/>
    <w:rsid w:val="00690034"/>
    <w:rsid w:val="00690074"/>
    <w:rsid w:val="00690918"/>
    <w:rsid w:val="00690982"/>
    <w:rsid w:val="00690B59"/>
    <w:rsid w:val="00690B66"/>
    <w:rsid w:val="00690BBC"/>
    <w:rsid w:val="00690BE0"/>
    <w:rsid w:val="00690C44"/>
    <w:rsid w:val="00690EF9"/>
    <w:rsid w:val="00690F92"/>
    <w:rsid w:val="00691221"/>
    <w:rsid w:val="0069141B"/>
    <w:rsid w:val="00691446"/>
    <w:rsid w:val="0069152A"/>
    <w:rsid w:val="006915AA"/>
    <w:rsid w:val="00691B1F"/>
    <w:rsid w:val="00691C7E"/>
    <w:rsid w:val="00691D90"/>
    <w:rsid w:val="00691EAD"/>
    <w:rsid w:val="00691F6F"/>
    <w:rsid w:val="00691FA7"/>
    <w:rsid w:val="0069208F"/>
    <w:rsid w:val="00692311"/>
    <w:rsid w:val="006923D5"/>
    <w:rsid w:val="006923F9"/>
    <w:rsid w:val="0069275C"/>
    <w:rsid w:val="0069291F"/>
    <w:rsid w:val="0069298A"/>
    <w:rsid w:val="00692BDE"/>
    <w:rsid w:val="00692FF4"/>
    <w:rsid w:val="006930DC"/>
    <w:rsid w:val="00693259"/>
    <w:rsid w:val="0069328E"/>
    <w:rsid w:val="006932BE"/>
    <w:rsid w:val="006933DE"/>
    <w:rsid w:val="00693577"/>
    <w:rsid w:val="0069365A"/>
    <w:rsid w:val="006937B7"/>
    <w:rsid w:val="00693B97"/>
    <w:rsid w:val="00693B98"/>
    <w:rsid w:val="00693BA4"/>
    <w:rsid w:val="00693C8E"/>
    <w:rsid w:val="00693E00"/>
    <w:rsid w:val="006940D7"/>
    <w:rsid w:val="006941E3"/>
    <w:rsid w:val="00694251"/>
    <w:rsid w:val="006943C2"/>
    <w:rsid w:val="0069453F"/>
    <w:rsid w:val="006949DE"/>
    <w:rsid w:val="00694A8C"/>
    <w:rsid w:val="00694BFC"/>
    <w:rsid w:val="00694CDC"/>
    <w:rsid w:val="00694ECC"/>
    <w:rsid w:val="0069566E"/>
    <w:rsid w:val="006958B4"/>
    <w:rsid w:val="00695AC3"/>
    <w:rsid w:val="00695C5C"/>
    <w:rsid w:val="00695CCE"/>
    <w:rsid w:val="00695CFB"/>
    <w:rsid w:val="00695E4A"/>
    <w:rsid w:val="00695F8E"/>
    <w:rsid w:val="00696179"/>
    <w:rsid w:val="006961FA"/>
    <w:rsid w:val="006962E2"/>
    <w:rsid w:val="0069639A"/>
    <w:rsid w:val="006963FF"/>
    <w:rsid w:val="00696466"/>
    <w:rsid w:val="00696605"/>
    <w:rsid w:val="006969A1"/>
    <w:rsid w:val="006969B8"/>
    <w:rsid w:val="00696A6A"/>
    <w:rsid w:val="00696E0F"/>
    <w:rsid w:val="00697228"/>
    <w:rsid w:val="0069731E"/>
    <w:rsid w:val="00697432"/>
    <w:rsid w:val="006974DB"/>
    <w:rsid w:val="0069777B"/>
    <w:rsid w:val="00697AFB"/>
    <w:rsid w:val="00697C2B"/>
    <w:rsid w:val="00697F6E"/>
    <w:rsid w:val="006A0039"/>
    <w:rsid w:val="006A0576"/>
    <w:rsid w:val="006A0818"/>
    <w:rsid w:val="006A0B6B"/>
    <w:rsid w:val="006A0C54"/>
    <w:rsid w:val="006A0F3D"/>
    <w:rsid w:val="006A0FD3"/>
    <w:rsid w:val="006A1079"/>
    <w:rsid w:val="006A118B"/>
    <w:rsid w:val="006A146A"/>
    <w:rsid w:val="006A157D"/>
    <w:rsid w:val="006A1685"/>
    <w:rsid w:val="006A16AA"/>
    <w:rsid w:val="006A174A"/>
    <w:rsid w:val="006A174B"/>
    <w:rsid w:val="006A19DC"/>
    <w:rsid w:val="006A1B49"/>
    <w:rsid w:val="006A2026"/>
    <w:rsid w:val="006A256B"/>
    <w:rsid w:val="006A26D1"/>
    <w:rsid w:val="006A2AB9"/>
    <w:rsid w:val="006A2B17"/>
    <w:rsid w:val="006A2DE2"/>
    <w:rsid w:val="006A2E2C"/>
    <w:rsid w:val="006A2E97"/>
    <w:rsid w:val="006A300B"/>
    <w:rsid w:val="006A330A"/>
    <w:rsid w:val="006A33C4"/>
    <w:rsid w:val="006A382E"/>
    <w:rsid w:val="006A3847"/>
    <w:rsid w:val="006A3887"/>
    <w:rsid w:val="006A3998"/>
    <w:rsid w:val="006A39B1"/>
    <w:rsid w:val="006A3A87"/>
    <w:rsid w:val="006A3C7E"/>
    <w:rsid w:val="006A3DAB"/>
    <w:rsid w:val="006A3DF1"/>
    <w:rsid w:val="006A3EED"/>
    <w:rsid w:val="006A3FFD"/>
    <w:rsid w:val="006A4225"/>
    <w:rsid w:val="006A4237"/>
    <w:rsid w:val="006A4300"/>
    <w:rsid w:val="006A4386"/>
    <w:rsid w:val="006A441C"/>
    <w:rsid w:val="006A47CB"/>
    <w:rsid w:val="006A49D2"/>
    <w:rsid w:val="006A4DD4"/>
    <w:rsid w:val="006A4DFD"/>
    <w:rsid w:val="006A4F6E"/>
    <w:rsid w:val="006A507D"/>
    <w:rsid w:val="006A567F"/>
    <w:rsid w:val="006A57C8"/>
    <w:rsid w:val="006A59E1"/>
    <w:rsid w:val="006A5AFE"/>
    <w:rsid w:val="006A5CF3"/>
    <w:rsid w:val="006A5DCC"/>
    <w:rsid w:val="006A5DDF"/>
    <w:rsid w:val="006A608F"/>
    <w:rsid w:val="006A60E0"/>
    <w:rsid w:val="006A6229"/>
    <w:rsid w:val="006A6841"/>
    <w:rsid w:val="006A6B79"/>
    <w:rsid w:val="006A6C98"/>
    <w:rsid w:val="006A6D33"/>
    <w:rsid w:val="006A6D76"/>
    <w:rsid w:val="006A7120"/>
    <w:rsid w:val="006A7133"/>
    <w:rsid w:val="006A72F4"/>
    <w:rsid w:val="006A75DD"/>
    <w:rsid w:val="006A7768"/>
    <w:rsid w:val="006A77CD"/>
    <w:rsid w:val="006A78E5"/>
    <w:rsid w:val="006A7B6D"/>
    <w:rsid w:val="006A7BA0"/>
    <w:rsid w:val="006A7C62"/>
    <w:rsid w:val="006A7CE6"/>
    <w:rsid w:val="006A7EC2"/>
    <w:rsid w:val="006B0265"/>
    <w:rsid w:val="006B0361"/>
    <w:rsid w:val="006B04DE"/>
    <w:rsid w:val="006B0667"/>
    <w:rsid w:val="006B0716"/>
    <w:rsid w:val="006B07FE"/>
    <w:rsid w:val="006B0979"/>
    <w:rsid w:val="006B09A5"/>
    <w:rsid w:val="006B0A57"/>
    <w:rsid w:val="006B0CAA"/>
    <w:rsid w:val="006B0F78"/>
    <w:rsid w:val="006B11E0"/>
    <w:rsid w:val="006B1299"/>
    <w:rsid w:val="006B1450"/>
    <w:rsid w:val="006B14E1"/>
    <w:rsid w:val="006B166E"/>
    <w:rsid w:val="006B16E3"/>
    <w:rsid w:val="006B1712"/>
    <w:rsid w:val="006B1758"/>
    <w:rsid w:val="006B176F"/>
    <w:rsid w:val="006B1AC8"/>
    <w:rsid w:val="006B1B61"/>
    <w:rsid w:val="006B1CD0"/>
    <w:rsid w:val="006B1F85"/>
    <w:rsid w:val="006B20E7"/>
    <w:rsid w:val="006B22BD"/>
    <w:rsid w:val="006B2386"/>
    <w:rsid w:val="006B259A"/>
    <w:rsid w:val="006B26EA"/>
    <w:rsid w:val="006B2813"/>
    <w:rsid w:val="006B2865"/>
    <w:rsid w:val="006B2979"/>
    <w:rsid w:val="006B2B93"/>
    <w:rsid w:val="006B2E12"/>
    <w:rsid w:val="006B33F1"/>
    <w:rsid w:val="006B3518"/>
    <w:rsid w:val="006B3529"/>
    <w:rsid w:val="006B3690"/>
    <w:rsid w:val="006B36DB"/>
    <w:rsid w:val="006B3BE2"/>
    <w:rsid w:val="006B3EA9"/>
    <w:rsid w:val="006B4131"/>
    <w:rsid w:val="006B4297"/>
    <w:rsid w:val="006B437A"/>
    <w:rsid w:val="006B45D1"/>
    <w:rsid w:val="006B48B4"/>
    <w:rsid w:val="006B4920"/>
    <w:rsid w:val="006B4B65"/>
    <w:rsid w:val="006B509E"/>
    <w:rsid w:val="006B5117"/>
    <w:rsid w:val="006B5153"/>
    <w:rsid w:val="006B517D"/>
    <w:rsid w:val="006B52FF"/>
    <w:rsid w:val="006B5413"/>
    <w:rsid w:val="006B5657"/>
    <w:rsid w:val="006B590D"/>
    <w:rsid w:val="006B5DB8"/>
    <w:rsid w:val="006B5E63"/>
    <w:rsid w:val="006B62AA"/>
    <w:rsid w:val="006B6314"/>
    <w:rsid w:val="006B665E"/>
    <w:rsid w:val="006B6764"/>
    <w:rsid w:val="006B69FE"/>
    <w:rsid w:val="006B6C94"/>
    <w:rsid w:val="006B6F53"/>
    <w:rsid w:val="006B7280"/>
    <w:rsid w:val="006B72E0"/>
    <w:rsid w:val="006B78F7"/>
    <w:rsid w:val="006B7A04"/>
    <w:rsid w:val="006B7EC5"/>
    <w:rsid w:val="006B7EEC"/>
    <w:rsid w:val="006C046D"/>
    <w:rsid w:val="006C0627"/>
    <w:rsid w:val="006C06BF"/>
    <w:rsid w:val="006C0CF1"/>
    <w:rsid w:val="006C0EAB"/>
    <w:rsid w:val="006C0EB2"/>
    <w:rsid w:val="006C0F51"/>
    <w:rsid w:val="006C12CB"/>
    <w:rsid w:val="006C12EA"/>
    <w:rsid w:val="006C1349"/>
    <w:rsid w:val="006C13F2"/>
    <w:rsid w:val="006C1450"/>
    <w:rsid w:val="006C146E"/>
    <w:rsid w:val="006C1905"/>
    <w:rsid w:val="006C19D8"/>
    <w:rsid w:val="006C1F3B"/>
    <w:rsid w:val="006C1F94"/>
    <w:rsid w:val="006C2636"/>
    <w:rsid w:val="006C2703"/>
    <w:rsid w:val="006C282B"/>
    <w:rsid w:val="006C29C5"/>
    <w:rsid w:val="006C3B70"/>
    <w:rsid w:val="006C3EFD"/>
    <w:rsid w:val="006C3F16"/>
    <w:rsid w:val="006C40CC"/>
    <w:rsid w:val="006C447A"/>
    <w:rsid w:val="006C45A9"/>
    <w:rsid w:val="006C4677"/>
    <w:rsid w:val="006C4B12"/>
    <w:rsid w:val="006C4BE2"/>
    <w:rsid w:val="006C4C9C"/>
    <w:rsid w:val="006C4CA0"/>
    <w:rsid w:val="006C4FC7"/>
    <w:rsid w:val="006C5061"/>
    <w:rsid w:val="006C5233"/>
    <w:rsid w:val="006C5279"/>
    <w:rsid w:val="006C534F"/>
    <w:rsid w:val="006C568A"/>
    <w:rsid w:val="006C57A8"/>
    <w:rsid w:val="006C5891"/>
    <w:rsid w:val="006C5D7A"/>
    <w:rsid w:val="006C5E04"/>
    <w:rsid w:val="006C5FD8"/>
    <w:rsid w:val="006C608E"/>
    <w:rsid w:val="006C63F4"/>
    <w:rsid w:val="006C6554"/>
    <w:rsid w:val="006C6A13"/>
    <w:rsid w:val="006C6A1D"/>
    <w:rsid w:val="006C6A3C"/>
    <w:rsid w:val="006C6B23"/>
    <w:rsid w:val="006C6B41"/>
    <w:rsid w:val="006C6BB1"/>
    <w:rsid w:val="006C6E37"/>
    <w:rsid w:val="006C7069"/>
    <w:rsid w:val="006C70E8"/>
    <w:rsid w:val="006C70F1"/>
    <w:rsid w:val="006C715E"/>
    <w:rsid w:val="006C7178"/>
    <w:rsid w:val="006C71C0"/>
    <w:rsid w:val="006C72AF"/>
    <w:rsid w:val="006C744E"/>
    <w:rsid w:val="006C74D1"/>
    <w:rsid w:val="006C76D5"/>
    <w:rsid w:val="006C76D6"/>
    <w:rsid w:val="006C76DC"/>
    <w:rsid w:val="006C7806"/>
    <w:rsid w:val="006C7B3C"/>
    <w:rsid w:val="006C7B9D"/>
    <w:rsid w:val="006C7D65"/>
    <w:rsid w:val="006C7DA3"/>
    <w:rsid w:val="006C7E68"/>
    <w:rsid w:val="006D0271"/>
    <w:rsid w:val="006D038A"/>
    <w:rsid w:val="006D04BB"/>
    <w:rsid w:val="006D05CB"/>
    <w:rsid w:val="006D0629"/>
    <w:rsid w:val="006D0666"/>
    <w:rsid w:val="006D07D6"/>
    <w:rsid w:val="006D0878"/>
    <w:rsid w:val="006D0A70"/>
    <w:rsid w:val="006D0B64"/>
    <w:rsid w:val="006D0D9A"/>
    <w:rsid w:val="006D0E3C"/>
    <w:rsid w:val="006D10FB"/>
    <w:rsid w:val="006D1169"/>
    <w:rsid w:val="006D1199"/>
    <w:rsid w:val="006D1481"/>
    <w:rsid w:val="006D1883"/>
    <w:rsid w:val="006D1A64"/>
    <w:rsid w:val="006D1A7E"/>
    <w:rsid w:val="006D1C05"/>
    <w:rsid w:val="006D1D16"/>
    <w:rsid w:val="006D1D76"/>
    <w:rsid w:val="006D1E33"/>
    <w:rsid w:val="006D1EFE"/>
    <w:rsid w:val="006D219E"/>
    <w:rsid w:val="006D2345"/>
    <w:rsid w:val="006D271A"/>
    <w:rsid w:val="006D2758"/>
    <w:rsid w:val="006D2839"/>
    <w:rsid w:val="006D2B67"/>
    <w:rsid w:val="006D2BA8"/>
    <w:rsid w:val="006D2C35"/>
    <w:rsid w:val="006D2D78"/>
    <w:rsid w:val="006D2DB2"/>
    <w:rsid w:val="006D2EFD"/>
    <w:rsid w:val="006D3101"/>
    <w:rsid w:val="006D3262"/>
    <w:rsid w:val="006D3281"/>
    <w:rsid w:val="006D3606"/>
    <w:rsid w:val="006D3695"/>
    <w:rsid w:val="006D370B"/>
    <w:rsid w:val="006D3768"/>
    <w:rsid w:val="006D37AB"/>
    <w:rsid w:val="006D37C1"/>
    <w:rsid w:val="006D38BA"/>
    <w:rsid w:val="006D392C"/>
    <w:rsid w:val="006D3B96"/>
    <w:rsid w:val="006D3D1A"/>
    <w:rsid w:val="006D416E"/>
    <w:rsid w:val="006D41C9"/>
    <w:rsid w:val="006D4310"/>
    <w:rsid w:val="006D4329"/>
    <w:rsid w:val="006D4344"/>
    <w:rsid w:val="006D4597"/>
    <w:rsid w:val="006D46F0"/>
    <w:rsid w:val="006D47D4"/>
    <w:rsid w:val="006D48CA"/>
    <w:rsid w:val="006D4AD6"/>
    <w:rsid w:val="006D4F04"/>
    <w:rsid w:val="006D4F3B"/>
    <w:rsid w:val="006D4F66"/>
    <w:rsid w:val="006D5014"/>
    <w:rsid w:val="006D5057"/>
    <w:rsid w:val="006D507D"/>
    <w:rsid w:val="006D5622"/>
    <w:rsid w:val="006D59E4"/>
    <w:rsid w:val="006D5B87"/>
    <w:rsid w:val="006D5CF5"/>
    <w:rsid w:val="006D6594"/>
    <w:rsid w:val="006D6811"/>
    <w:rsid w:val="006D681F"/>
    <w:rsid w:val="006D6911"/>
    <w:rsid w:val="006D6E81"/>
    <w:rsid w:val="006D6F9E"/>
    <w:rsid w:val="006D72CB"/>
    <w:rsid w:val="006D74A2"/>
    <w:rsid w:val="006D7584"/>
    <w:rsid w:val="006D76B6"/>
    <w:rsid w:val="006D786D"/>
    <w:rsid w:val="006D7A6A"/>
    <w:rsid w:val="006D7B48"/>
    <w:rsid w:val="006D7C6E"/>
    <w:rsid w:val="006D7DBF"/>
    <w:rsid w:val="006D7FEA"/>
    <w:rsid w:val="006D7FF6"/>
    <w:rsid w:val="006E0582"/>
    <w:rsid w:val="006E07E2"/>
    <w:rsid w:val="006E07FE"/>
    <w:rsid w:val="006E08CA"/>
    <w:rsid w:val="006E09E3"/>
    <w:rsid w:val="006E0BDB"/>
    <w:rsid w:val="006E0D8C"/>
    <w:rsid w:val="006E1041"/>
    <w:rsid w:val="006E1136"/>
    <w:rsid w:val="006E154B"/>
    <w:rsid w:val="006E15A7"/>
    <w:rsid w:val="006E169E"/>
    <w:rsid w:val="006E18BE"/>
    <w:rsid w:val="006E1988"/>
    <w:rsid w:val="006E1FEB"/>
    <w:rsid w:val="006E217F"/>
    <w:rsid w:val="006E262B"/>
    <w:rsid w:val="006E27E2"/>
    <w:rsid w:val="006E29DF"/>
    <w:rsid w:val="006E2A5B"/>
    <w:rsid w:val="006E2A75"/>
    <w:rsid w:val="006E2C5F"/>
    <w:rsid w:val="006E2D3B"/>
    <w:rsid w:val="006E2EFA"/>
    <w:rsid w:val="006E2FE9"/>
    <w:rsid w:val="006E316B"/>
    <w:rsid w:val="006E3180"/>
    <w:rsid w:val="006E318F"/>
    <w:rsid w:val="006E352B"/>
    <w:rsid w:val="006E3785"/>
    <w:rsid w:val="006E3DAC"/>
    <w:rsid w:val="006E409D"/>
    <w:rsid w:val="006E4182"/>
    <w:rsid w:val="006E43A2"/>
    <w:rsid w:val="006E441C"/>
    <w:rsid w:val="006E4573"/>
    <w:rsid w:val="006E45C4"/>
    <w:rsid w:val="006E4736"/>
    <w:rsid w:val="006E4828"/>
    <w:rsid w:val="006E484B"/>
    <w:rsid w:val="006E4A7D"/>
    <w:rsid w:val="006E4C7B"/>
    <w:rsid w:val="006E4E27"/>
    <w:rsid w:val="006E5050"/>
    <w:rsid w:val="006E5153"/>
    <w:rsid w:val="006E53A2"/>
    <w:rsid w:val="006E5436"/>
    <w:rsid w:val="006E5481"/>
    <w:rsid w:val="006E57B1"/>
    <w:rsid w:val="006E57C1"/>
    <w:rsid w:val="006E5842"/>
    <w:rsid w:val="006E595C"/>
    <w:rsid w:val="006E5B4A"/>
    <w:rsid w:val="006E5C28"/>
    <w:rsid w:val="006E5E69"/>
    <w:rsid w:val="006E5EF7"/>
    <w:rsid w:val="006E5F00"/>
    <w:rsid w:val="006E600D"/>
    <w:rsid w:val="006E6240"/>
    <w:rsid w:val="006E6302"/>
    <w:rsid w:val="006E6444"/>
    <w:rsid w:val="006E64E1"/>
    <w:rsid w:val="006E6781"/>
    <w:rsid w:val="006E6818"/>
    <w:rsid w:val="006E69E1"/>
    <w:rsid w:val="006E6B1F"/>
    <w:rsid w:val="006E6DDB"/>
    <w:rsid w:val="006E6EE7"/>
    <w:rsid w:val="006E6F16"/>
    <w:rsid w:val="006E70C8"/>
    <w:rsid w:val="006E7168"/>
    <w:rsid w:val="006E737E"/>
    <w:rsid w:val="006E74A7"/>
    <w:rsid w:val="006E768D"/>
    <w:rsid w:val="006E76DE"/>
    <w:rsid w:val="006E7930"/>
    <w:rsid w:val="006E7936"/>
    <w:rsid w:val="006F0039"/>
    <w:rsid w:val="006F0391"/>
    <w:rsid w:val="006F040D"/>
    <w:rsid w:val="006F0528"/>
    <w:rsid w:val="006F0785"/>
    <w:rsid w:val="006F0B5E"/>
    <w:rsid w:val="006F0DC8"/>
    <w:rsid w:val="006F0E5F"/>
    <w:rsid w:val="006F10C8"/>
    <w:rsid w:val="006F11AE"/>
    <w:rsid w:val="006F14E0"/>
    <w:rsid w:val="006F16BD"/>
    <w:rsid w:val="006F1767"/>
    <w:rsid w:val="006F18F9"/>
    <w:rsid w:val="006F1944"/>
    <w:rsid w:val="006F1A3B"/>
    <w:rsid w:val="006F1D13"/>
    <w:rsid w:val="006F2091"/>
    <w:rsid w:val="006F216A"/>
    <w:rsid w:val="006F229B"/>
    <w:rsid w:val="006F2494"/>
    <w:rsid w:val="006F2554"/>
    <w:rsid w:val="006F259C"/>
    <w:rsid w:val="006F2874"/>
    <w:rsid w:val="006F2BD7"/>
    <w:rsid w:val="006F2F17"/>
    <w:rsid w:val="006F2FCE"/>
    <w:rsid w:val="006F3025"/>
    <w:rsid w:val="006F31BD"/>
    <w:rsid w:val="006F31FF"/>
    <w:rsid w:val="006F323C"/>
    <w:rsid w:val="006F335A"/>
    <w:rsid w:val="006F3363"/>
    <w:rsid w:val="006F3B1E"/>
    <w:rsid w:val="006F3B52"/>
    <w:rsid w:val="006F3BCE"/>
    <w:rsid w:val="006F3D1F"/>
    <w:rsid w:val="006F3D68"/>
    <w:rsid w:val="006F4417"/>
    <w:rsid w:val="006F4518"/>
    <w:rsid w:val="006F4B53"/>
    <w:rsid w:val="006F4BE2"/>
    <w:rsid w:val="006F4CCC"/>
    <w:rsid w:val="006F4D42"/>
    <w:rsid w:val="006F50D4"/>
    <w:rsid w:val="006F5206"/>
    <w:rsid w:val="006F531D"/>
    <w:rsid w:val="006F5361"/>
    <w:rsid w:val="006F5661"/>
    <w:rsid w:val="006F56CB"/>
    <w:rsid w:val="006F594B"/>
    <w:rsid w:val="006F595F"/>
    <w:rsid w:val="006F5C7E"/>
    <w:rsid w:val="006F5EFC"/>
    <w:rsid w:val="006F5F2D"/>
    <w:rsid w:val="006F5F44"/>
    <w:rsid w:val="006F5F6F"/>
    <w:rsid w:val="006F6205"/>
    <w:rsid w:val="006F6641"/>
    <w:rsid w:val="006F6AD2"/>
    <w:rsid w:val="006F6D91"/>
    <w:rsid w:val="006F6EC7"/>
    <w:rsid w:val="006F6EF6"/>
    <w:rsid w:val="006F6F05"/>
    <w:rsid w:val="006F6F52"/>
    <w:rsid w:val="006F7077"/>
    <w:rsid w:val="006F723C"/>
    <w:rsid w:val="006F73B3"/>
    <w:rsid w:val="006F7520"/>
    <w:rsid w:val="006F758C"/>
    <w:rsid w:val="006F7660"/>
    <w:rsid w:val="006F787C"/>
    <w:rsid w:val="006F7B00"/>
    <w:rsid w:val="006F7D42"/>
    <w:rsid w:val="006F7DC7"/>
    <w:rsid w:val="006F7EEA"/>
    <w:rsid w:val="00700040"/>
    <w:rsid w:val="007000AC"/>
    <w:rsid w:val="007002AA"/>
    <w:rsid w:val="007008C5"/>
    <w:rsid w:val="007008DC"/>
    <w:rsid w:val="00700C62"/>
    <w:rsid w:val="00701163"/>
    <w:rsid w:val="00701282"/>
    <w:rsid w:val="00701308"/>
    <w:rsid w:val="0070140D"/>
    <w:rsid w:val="007014C3"/>
    <w:rsid w:val="007014E3"/>
    <w:rsid w:val="00701587"/>
    <w:rsid w:val="00701846"/>
    <w:rsid w:val="0070187C"/>
    <w:rsid w:val="00701900"/>
    <w:rsid w:val="007019B8"/>
    <w:rsid w:val="00701A07"/>
    <w:rsid w:val="00701AB4"/>
    <w:rsid w:val="00701AFE"/>
    <w:rsid w:val="00701B7C"/>
    <w:rsid w:val="00701B92"/>
    <w:rsid w:val="00701FA2"/>
    <w:rsid w:val="00702201"/>
    <w:rsid w:val="00702267"/>
    <w:rsid w:val="0070270A"/>
    <w:rsid w:val="0070274B"/>
    <w:rsid w:val="007027E1"/>
    <w:rsid w:val="00702824"/>
    <w:rsid w:val="00702911"/>
    <w:rsid w:val="00702934"/>
    <w:rsid w:val="00702A01"/>
    <w:rsid w:val="00702A5B"/>
    <w:rsid w:val="00702A92"/>
    <w:rsid w:val="00702B39"/>
    <w:rsid w:val="00702C8C"/>
    <w:rsid w:val="00702CB5"/>
    <w:rsid w:val="00702E93"/>
    <w:rsid w:val="00702F91"/>
    <w:rsid w:val="0070314D"/>
    <w:rsid w:val="007031B3"/>
    <w:rsid w:val="00703207"/>
    <w:rsid w:val="00703260"/>
    <w:rsid w:val="0070331A"/>
    <w:rsid w:val="007035C8"/>
    <w:rsid w:val="0070378E"/>
    <w:rsid w:val="00703825"/>
    <w:rsid w:val="007038B6"/>
    <w:rsid w:val="00703A3E"/>
    <w:rsid w:val="00703A5F"/>
    <w:rsid w:val="00703B0B"/>
    <w:rsid w:val="00703D25"/>
    <w:rsid w:val="00703F6F"/>
    <w:rsid w:val="007040FC"/>
    <w:rsid w:val="00704124"/>
    <w:rsid w:val="00704172"/>
    <w:rsid w:val="007041B7"/>
    <w:rsid w:val="007043BF"/>
    <w:rsid w:val="007043E5"/>
    <w:rsid w:val="0070478E"/>
    <w:rsid w:val="007049D5"/>
    <w:rsid w:val="00704ACE"/>
    <w:rsid w:val="00704F9B"/>
    <w:rsid w:val="00705200"/>
    <w:rsid w:val="0070523D"/>
    <w:rsid w:val="00705261"/>
    <w:rsid w:val="0070528E"/>
    <w:rsid w:val="00705AAB"/>
    <w:rsid w:val="00705AF9"/>
    <w:rsid w:val="00705AFC"/>
    <w:rsid w:val="00705D6B"/>
    <w:rsid w:val="00705ED9"/>
    <w:rsid w:val="007061DE"/>
    <w:rsid w:val="00706232"/>
    <w:rsid w:val="007062C4"/>
    <w:rsid w:val="0070634F"/>
    <w:rsid w:val="00706431"/>
    <w:rsid w:val="00706497"/>
    <w:rsid w:val="00706743"/>
    <w:rsid w:val="00706821"/>
    <w:rsid w:val="00706B7D"/>
    <w:rsid w:val="00706D4E"/>
    <w:rsid w:val="00706D70"/>
    <w:rsid w:val="00706E73"/>
    <w:rsid w:val="0070720C"/>
    <w:rsid w:val="00707235"/>
    <w:rsid w:val="0070731B"/>
    <w:rsid w:val="0070734E"/>
    <w:rsid w:val="0070745C"/>
    <w:rsid w:val="00707616"/>
    <w:rsid w:val="00707623"/>
    <w:rsid w:val="00707647"/>
    <w:rsid w:val="007078D5"/>
    <w:rsid w:val="00707A46"/>
    <w:rsid w:val="00707C13"/>
    <w:rsid w:val="00707D92"/>
    <w:rsid w:val="00707FAC"/>
    <w:rsid w:val="00710243"/>
    <w:rsid w:val="00710356"/>
    <w:rsid w:val="007103CE"/>
    <w:rsid w:val="00710497"/>
    <w:rsid w:val="00710601"/>
    <w:rsid w:val="007106C1"/>
    <w:rsid w:val="00710997"/>
    <w:rsid w:val="00710A50"/>
    <w:rsid w:val="00710CFD"/>
    <w:rsid w:val="00710DAA"/>
    <w:rsid w:val="00710F0C"/>
    <w:rsid w:val="00710F24"/>
    <w:rsid w:val="00710F2C"/>
    <w:rsid w:val="00710F79"/>
    <w:rsid w:val="007110C6"/>
    <w:rsid w:val="007110CA"/>
    <w:rsid w:val="007111D2"/>
    <w:rsid w:val="007111E9"/>
    <w:rsid w:val="00711525"/>
    <w:rsid w:val="00711589"/>
    <w:rsid w:val="007116C7"/>
    <w:rsid w:val="007117DB"/>
    <w:rsid w:val="007117F1"/>
    <w:rsid w:val="00711876"/>
    <w:rsid w:val="0071190C"/>
    <w:rsid w:val="007119BB"/>
    <w:rsid w:val="00711A7B"/>
    <w:rsid w:val="00711EAF"/>
    <w:rsid w:val="00711EC2"/>
    <w:rsid w:val="00711F37"/>
    <w:rsid w:val="00711F5D"/>
    <w:rsid w:val="0071208E"/>
    <w:rsid w:val="007120FE"/>
    <w:rsid w:val="0071211F"/>
    <w:rsid w:val="00712303"/>
    <w:rsid w:val="00712666"/>
    <w:rsid w:val="00712B60"/>
    <w:rsid w:val="00712C63"/>
    <w:rsid w:val="007134D5"/>
    <w:rsid w:val="00713562"/>
    <w:rsid w:val="00713581"/>
    <w:rsid w:val="007136D5"/>
    <w:rsid w:val="007137C8"/>
    <w:rsid w:val="0071394E"/>
    <w:rsid w:val="00713C89"/>
    <w:rsid w:val="00713DEB"/>
    <w:rsid w:val="00713E7E"/>
    <w:rsid w:val="00713EEA"/>
    <w:rsid w:val="0071401E"/>
    <w:rsid w:val="0071428C"/>
    <w:rsid w:val="0071450A"/>
    <w:rsid w:val="00714773"/>
    <w:rsid w:val="00714943"/>
    <w:rsid w:val="00714A36"/>
    <w:rsid w:val="00714C13"/>
    <w:rsid w:val="00714D27"/>
    <w:rsid w:val="00714ECB"/>
    <w:rsid w:val="00714EFF"/>
    <w:rsid w:val="007151FA"/>
    <w:rsid w:val="0071555A"/>
    <w:rsid w:val="007155AA"/>
    <w:rsid w:val="00715693"/>
    <w:rsid w:val="007159AA"/>
    <w:rsid w:val="007159CA"/>
    <w:rsid w:val="00715A89"/>
    <w:rsid w:val="00715CA4"/>
    <w:rsid w:val="00715DC6"/>
    <w:rsid w:val="00715E4E"/>
    <w:rsid w:val="007162A4"/>
    <w:rsid w:val="007166DB"/>
    <w:rsid w:val="007167EB"/>
    <w:rsid w:val="00716BC7"/>
    <w:rsid w:val="00716E2E"/>
    <w:rsid w:val="00716FD2"/>
    <w:rsid w:val="00717054"/>
    <w:rsid w:val="00717081"/>
    <w:rsid w:val="0071717E"/>
    <w:rsid w:val="00717316"/>
    <w:rsid w:val="00717636"/>
    <w:rsid w:val="007176D4"/>
    <w:rsid w:val="007177A7"/>
    <w:rsid w:val="007177D2"/>
    <w:rsid w:val="0071785D"/>
    <w:rsid w:val="007179F1"/>
    <w:rsid w:val="00717ABA"/>
    <w:rsid w:val="00717D58"/>
    <w:rsid w:val="00717D9E"/>
    <w:rsid w:val="007203CB"/>
    <w:rsid w:val="0072053F"/>
    <w:rsid w:val="00720703"/>
    <w:rsid w:val="007208C8"/>
    <w:rsid w:val="00720D8B"/>
    <w:rsid w:val="00721118"/>
    <w:rsid w:val="00721264"/>
    <w:rsid w:val="0072147C"/>
    <w:rsid w:val="00721481"/>
    <w:rsid w:val="007217EB"/>
    <w:rsid w:val="007218F0"/>
    <w:rsid w:val="00721992"/>
    <w:rsid w:val="00721A29"/>
    <w:rsid w:val="00721C92"/>
    <w:rsid w:val="00721EF4"/>
    <w:rsid w:val="007220E3"/>
    <w:rsid w:val="007222AE"/>
    <w:rsid w:val="0072253A"/>
    <w:rsid w:val="007225F2"/>
    <w:rsid w:val="0072261B"/>
    <w:rsid w:val="007227A0"/>
    <w:rsid w:val="007228FA"/>
    <w:rsid w:val="00722A45"/>
    <w:rsid w:val="00722E5E"/>
    <w:rsid w:val="00722E84"/>
    <w:rsid w:val="0072334D"/>
    <w:rsid w:val="00723354"/>
    <w:rsid w:val="007237E7"/>
    <w:rsid w:val="007237EB"/>
    <w:rsid w:val="00723B46"/>
    <w:rsid w:val="00723D9F"/>
    <w:rsid w:val="00723E6E"/>
    <w:rsid w:val="00723F24"/>
    <w:rsid w:val="00723F96"/>
    <w:rsid w:val="00724145"/>
    <w:rsid w:val="00724328"/>
    <w:rsid w:val="007245C9"/>
    <w:rsid w:val="007245E7"/>
    <w:rsid w:val="0072469A"/>
    <w:rsid w:val="00724AF9"/>
    <w:rsid w:val="00724BF2"/>
    <w:rsid w:val="00724EF9"/>
    <w:rsid w:val="00725139"/>
    <w:rsid w:val="00725372"/>
    <w:rsid w:val="00725B7F"/>
    <w:rsid w:val="00725C8D"/>
    <w:rsid w:val="00725E79"/>
    <w:rsid w:val="007260B5"/>
    <w:rsid w:val="0072616C"/>
    <w:rsid w:val="007264B8"/>
    <w:rsid w:val="00726683"/>
    <w:rsid w:val="007266B4"/>
    <w:rsid w:val="0072683B"/>
    <w:rsid w:val="0072686C"/>
    <w:rsid w:val="007269CE"/>
    <w:rsid w:val="00726A4C"/>
    <w:rsid w:val="00726B82"/>
    <w:rsid w:val="00726DE2"/>
    <w:rsid w:val="00726E78"/>
    <w:rsid w:val="00726FE8"/>
    <w:rsid w:val="0072707A"/>
    <w:rsid w:val="007271ED"/>
    <w:rsid w:val="00727257"/>
    <w:rsid w:val="007272C1"/>
    <w:rsid w:val="007272FA"/>
    <w:rsid w:val="00727908"/>
    <w:rsid w:val="0072793F"/>
    <w:rsid w:val="00727998"/>
    <w:rsid w:val="00727A01"/>
    <w:rsid w:val="00727C9D"/>
    <w:rsid w:val="00727DA7"/>
    <w:rsid w:val="0073012C"/>
    <w:rsid w:val="00730165"/>
    <w:rsid w:val="00730464"/>
    <w:rsid w:val="0073056E"/>
    <w:rsid w:val="007305F5"/>
    <w:rsid w:val="00730787"/>
    <w:rsid w:val="00730829"/>
    <w:rsid w:val="007308F8"/>
    <w:rsid w:val="0073094D"/>
    <w:rsid w:val="00730991"/>
    <w:rsid w:val="00730A05"/>
    <w:rsid w:val="00730C07"/>
    <w:rsid w:val="00731042"/>
    <w:rsid w:val="00731694"/>
    <w:rsid w:val="00731755"/>
    <w:rsid w:val="007317AD"/>
    <w:rsid w:val="0073193D"/>
    <w:rsid w:val="00731990"/>
    <w:rsid w:val="007319DC"/>
    <w:rsid w:val="007319F3"/>
    <w:rsid w:val="00731B2F"/>
    <w:rsid w:val="00731B9A"/>
    <w:rsid w:val="00731DA9"/>
    <w:rsid w:val="00731F50"/>
    <w:rsid w:val="00732656"/>
    <w:rsid w:val="00732B56"/>
    <w:rsid w:val="00732CD5"/>
    <w:rsid w:val="00732DB9"/>
    <w:rsid w:val="00732E54"/>
    <w:rsid w:val="007333AE"/>
    <w:rsid w:val="0073345E"/>
    <w:rsid w:val="0073382E"/>
    <w:rsid w:val="00733B73"/>
    <w:rsid w:val="00733B74"/>
    <w:rsid w:val="00733C91"/>
    <w:rsid w:val="00733F3A"/>
    <w:rsid w:val="007340DB"/>
    <w:rsid w:val="0073434A"/>
    <w:rsid w:val="007343A3"/>
    <w:rsid w:val="007343BC"/>
    <w:rsid w:val="007347CD"/>
    <w:rsid w:val="007348A4"/>
    <w:rsid w:val="00734A84"/>
    <w:rsid w:val="00734ADB"/>
    <w:rsid w:val="00734B72"/>
    <w:rsid w:val="00734BF6"/>
    <w:rsid w:val="00734D98"/>
    <w:rsid w:val="0073513A"/>
    <w:rsid w:val="007352E8"/>
    <w:rsid w:val="0073544E"/>
    <w:rsid w:val="00735A68"/>
    <w:rsid w:val="00735BC5"/>
    <w:rsid w:val="00735F46"/>
    <w:rsid w:val="0073601F"/>
    <w:rsid w:val="00736061"/>
    <w:rsid w:val="0073627C"/>
    <w:rsid w:val="007362C7"/>
    <w:rsid w:val="007363B8"/>
    <w:rsid w:val="00736843"/>
    <w:rsid w:val="00736B94"/>
    <w:rsid w:val="00736C1D"/>
    <w:rsid w:val="00736C61"/>
    <w:rsid w:val="00736E7B"/>
    <w:rsid w:val="00737189"/>
    <w:rsid w:val="007371B3"/>
    <w:rsid w:val="007372DB"/>
    <w:rsid w:val="00737460"/>
    <w:rsid w:val="007374F9"/>
    <w:rsid w:val="00737764"/>
    <w:rsid w:val="007377B6"/>
    <w:rsid w:val="00737834"/>
    <w:rsid w:val="007379A4"/>
    <w:rsid w:val="00737AE0"/>
    <w:rsid w:val="00737B52"/>
    <w:rsid w:val="00737C0D"/>
    <w:rsid w:val="00737D75"/>
    <w:rsid w:val="00737DCE"/>
    <w:rsid w:val="00737E26"/>
    <w:rsid w:val="007400C9"/>
    <w:rsid w:val="007400F9"/>
    <w:rsid w:val="00740178"/>
    <w:rsid w:val="00740437"/>
    <w:rsid w:val="007404C0"/>
    <w:rsid w:val="007404E4"/>
    <w:rsid w:val="0074058D"/>
    <w:rsid w:val="00740A48"/>
    <w:rsid w:val="00740A7F"/>
    <w:rsid w:val="00740AF6"/>
    <w:rsid w:val="00740BDC"/>
    <w:rsid w:val="0074124C"/>
    <w:rsid w:val="007412B6"/>
    <w:rsid w:val="00741403"/>
    <w:rsid w:val="007414BD"/>
    <w:rsid w:val="00741500"/>
    <w:rsid w:val="0074156C"/>
    <w:rsid w:val="007415EF"/>
    <w:rsid w:val="00741747"/>
    <w:rsid w:val="00741775"/>
    <w:rsid w:val="007418D7"/>
    <w:rsid w:val="0074198A"/>
    <w:rsid w:val="007424F2"/>
    <w:rsid w:val="00742509"/>
    <w:rsid w:val="00742832"/>
    <w:rsid w:val="00742965"/>
    <w:rsid w:val="007429D4"/>
    <w:rsid w:val="00742A37"/>
    <w:rsid w:val="00742B0A"/>
    <w:rsid w:val="00742B18"/>
    <w:rsid w:val="00742CF7"/>
    <w:rsid w:val="00742D6C"/>
    <w:rsid w:val="00742DE2"/>
    <w:rsid w:val="00743139"/>
    <w:rsid w:val="00743491"/>
    <w:rsid w:val="00743540"/>
    <w:rsid w:val="00743617"/>
    <w:rsid w:val="007436DB"/>
    <w:rsid w:val="00743703"/>
    <w:rsid w:val="0074375D"/>
    <w:rsid w:val="0074383C"/>
    <w:rsid w:val="00743AC7"/>
    <w:rsid w:val="00743AD3"/>
    <w:rsid w:val="00743BE4"/>
    <w:rsid w:val="00743CE4"/>
    <w:rsid w:val="00743D41"/>
    <w:rsid w:val="00743D5F"/>
    <w:rsid w:val="00743F88"/>
    <w:rsid w:val="00744543"/>
    <w:rsid w:val="007445EB"/>
    <w:rsid w:val="00744D96"/>
    <w:rsid w:val="00744F14"/>
    <w:rsid w:val="00744F34"/>
    <w:rsid w:val="00744F9D"/>
    <w:rsid w:val="00745006"/>
    <w:rsid w:val="00745143"/>
    <w:rsid w:val="00745174"/>
    <w:rsid w:val="007453DA"/>
    <w:rsid w:val="00745660"/>
    <w:rsid w:val="00745687"/>
    <w:rsid w:val="00745945"/>
    <w:rsid w:val="00745B6A"/>
    <w:rsid w:val="00745E31"/>
    <w:rsid w:val="00745F3D"/>
    <w:rsid w:val="00746114"/>
    <w:rsid w:val="0074675B"/>
    <w:rsid w:val="00746807"/>
    <w:rsid w:val="0074680F"/>
    <w:rsid w:val="0074683B"/>
    <w:rsid w:val="00746936"/>
    <w:rsid w:val="00746961"/>
    <w:rsid w:val="00746A43"/>
    <w:rsid w:val="00746D4A"/>
    <w:rsid w:val="00746F9C"/>
    <w:rsid w:val="00747189"/>
    <w:rsid w:val="007471D3"/>
    <w:rsid w:val="007471E2"/>
    <w:rsid w:val="0074738D"/>
    <w:rsid w:val="00747753"/>
    <w:rsid w:val="00747B3D"/>
    <w:rsid w:val="00747C71"/>
    <w:rsid w:val="00747E25"/>
    <w:rsid w:val="00747F38"/>
    <w:rsid w:val="00747F55"/>
    <w:rsid w:val="00750032"/>
    <w:rsid w:val="007500C8"/>
    <w:rsid w:val="007502A8"/>
    <w:rsid w:val="007503CE"/>
    <w:rsid w:val="0075059F"/>
    <w:rsid w:val="00750683"/>
    <w:rsid w:val="007506E6"/>
    <w:rsid w:val="00750870"/>
    <w:rsid w:val="00750A51"/>
    <w:rsid w:val="00750C83"/>
    <w:rsid w:val="00750D6D"/>
    <w:rsid w:val="00750EC5"/>
    <w:rsid w:val="00750F8A"/>
    <w:rsid w:val="00750F9E"/>
    <w:rsid w:val="007512D3"/>
    <w:rsid w:val="0075132B"/>
    <w:rsid w:val="00751373"/>
    <w:rsid w:val="0075147C"/>
    <w:rsid w:val="007515EF"/>
    <w:rsid w:val="00751798"/>
    <w:rsid w:val="00751866"/>
    <w:rsid w:val="00751996"/>
    <w:rsid w:val="00751A70"/>
    <w:rsid w:val="007521B5"/>
    <w:rsid w:val="00752206"/>
    <w:rsid w:val="0075243D"/>
    <w:rsid w:val="007524B3"/>
    <w:rsid w:val="007525A9"/>
    <w:rsid w:val="007525F3"/>
    <w:rsid w:val="00752624"/>
    <w:rsid w:val="00752996"/>
    <w:rsid w:val="00752AF8"/>
    <w:rsid w:val="00752E41"/>
    <w:rsid w:val="00752F5A"/>
    <w:rsid w:val="00752FB2"/>
    <w:rsid w:val="00753196"/>
    <w:rsid w:val="0075321D"/>
    <w:rsid w:val="007533E4"/>
    <w:rsid w:val="00753419"/>
    <w:rsid w:val="007534D7"/>
    <w:rsid w:val="00753557"/>
    <w:rsid w:val="00753558"/>
    <w:rsid w:val="007535BE"/>
    <w:rsid w:val="00753609"/>
    <w:rsid w:val="0075367A"/>
    <w:rsid w:val="007537B0"/>
    <w:rsid w:val="007538FB"/>
    <w:rsid w:val="00753B68"/>
    <w:rsid w:val="00753D9E"/>
    <w:rsid w:val="00753EA2"/>
    <w:rsid w:val="00754189"/>
    <w:rsid w:val="00754260"/>
    <w:rsid w:val="00754371"/>
    <w:rsid w:val="007545D8"/>
    <w:rsid w:val="00754651"/>
    <w:rsid w:val="0075472E"/>
    <w:rsid w:val="0075494A"/>
    <w:rsid w:val="00754AB9"/>
    <w:rsid w:val="00754F17"/>
    <w:rsid w:val="0075507C"/>
    <w:rsid w:val="007552EC"/>
    <w:rsid w:val="00755577"/>
    <w:rsid w:val="00755914"/>
    <w:rsid w:val="00755B69"/>
    <w:rsid w:val="00755C77"/>
    <w:rsid w:val="00755E37"/>
    <w:rsid w:val="00755FD3"/>
    <w:rsid w:val="007563E4"/>
    <w:rsid w:val="00756499"/>
    <w:rsid w:val="007564F9"/>
    <w:rsid w:val="007566FE"/>
    <w:rsid w:val="00756795"/>
    <w:rsid w:val="00756854"/>
    <w:rsid w:val="00756CEB"/>
    <w:rsid w:val="00756D98"/>
    <w:rsid w:val="00757266"/>
    <w:rsid w:val="007572E5"/>
    <w:rsid w:val="007573AC"/>
    <w:rsid w:val="00757445"/>
    <w:rsid w:val="00757510"/>
    <w:rsid w:val="00757550"/>
    <w:rsid w:val="0075762D"/>
    <w:rsid w:val="00757657"/>
    <w:rsid w:val="00757679"/>
    <w:rsid w:val="00757752"/>
    <w:rsid w:val="00757C0B"/>
    <w:rsid w:val="00757E74"/>
    <w:rsid w:val="00757E9F"/>
    <w:rsid w:val="00760061"/>
    <w:rsid w:val="0076024C"/>
    <w:rsid w:val="00760370"/>
    <w:rsid w:val="0076087F"/>
    <w:rsid w:val="007608E4"/>
    <w:rsid w:val="00760DC8"/>
    <w:rsid w:val="00760E52"/>
    <w:rsid w:val="00760EBF"/>
    <w:rsid w:val="00760EC6"/>
    <w:rsid w:val="00760FBE"/>
    <w:rsid w:val="00761166"/>
    <w:rsid w:val="00761771"/>
    <w:rsid w:val="00761929"/>
    <w:rsid w:val="00761AFA"/>
    <w:rsid w:val="00761B06"/>
    <w:rsid w:val="00761BDD"/>
    <w:rsid w:val="00761CBB"/>
    <w:rsid w:val="00761F4C"/>
    <w:rsid w:val="00762285"/>
    <w:rsid w:val="00762B25"/>
    <w:rsid w:val="00762B94"/>
    <w:rsid w:val="00762C97"/>
    <w:rsid w:val="00762D6F"/>
    <w:rsid w:val="00762F30"/>
    <w:rsid w:val="00763015"/>
    <w:rsid w:val="00763151"/>
    <w:rsid w:val="007631F6"/>
    <w:rsid w:val="007632D7"/>
    <w:rsid w:val="0076343A"/>
    <w:rsid w:val="00763861"/>
    <w:rsid w:val="00763877"/>
    <w:rsid w:val="00763905"/>
    <w:rsid w:val="00763B64"/>
    <w:rsid w:val="00763C1F"/>
    <w:rsid w:val="007644E4"/>
    <w:rsid w:val="007649A9"/>
    <w:rsid w:val="007649F7"/>
    <w:rsid w:val="00764B10"/>
    <w:rsid w:val="00764D13"/>
    <w:rsid w:val="00765196"/>
    <w:rsid w:val="007652E1"/>
    <w:rsid w:val="00765328"/>
    <w:rsid w:val="00765372"/>
    <w:rsid w:val="00765576"/>
    <w:rsid w:val="0076566C"/>
    <w:rsid w:val="00765793"/>
    <w:rsid w:val="00765881"/>
    <w:rsid w:val="0076599E"/>
    <w:rsid w:val="00765CF1"/>
    <w:rsid w:val="00765DEC"/>
    <w:rsid w:val="00765E6E"/>
    <w:rsid w:val="00765E8E"/>
    <w:rsid w:val="00765EE4"/>
    <w:rsid w:val="00765FFD"/>
    <w:rsid w:val="00766046"/>
    <w:rsid w:val="007660D7"/>
    <w:rsid w:val="007663AE"/>
    <w:rsid w:val="00766C00"/>
    <w:rsid w:val="00766C48"/>
    <w:rsid w:val="00766CEB"/>
    <w:rsid w:val="00766F3A"/>
    <w:rsid w:val="00766F9F"/>
    <w:rsid w:val="00767136"/>
    <w:rsid w:val="00767159"/>
    <w:rsid w:val="007671DD"/>
    <w:rsid w:val="00767279"/>
    <w:rsid w:val="00767331"/>
    <w:rsid w:val="00767382"/>
    <w:rsid w:val="0076746F"/>
    <w:rsid w:val="00767562"/>
    <w:rsid w:val="0076762C"/>
    <w:rsid w:val="00767652"/>
    <w:rsid w:val="00767A17"/>
    <w:rsid w:val="00767C19"/>
    <w:rsid w:val="00767C3A"/>
    <w:rsid w:val="00770042"/>
    <w:rsid w:val="00770268"/>
    <w:rsid w:val="00770325"/>
    <w:rsid w:val="00770672"/>
    <w:rsid w:val="0077076A"/>
    <w:rsid w:val="0077097B"/>
    <w:rsid w:val="0077097E"/>
    <w:rsid w:val="00770B8A"/>
    <w:rsid w:val="00770DDD"/>
    <w:rsid w:val="00770E8D"/>
    <w:rsid w:val="00771368"/>
    <w:rsid w:val="0077141B"/>
    <w:rsid w:val="00771884"/>
    <w:rsid w:val="00771BA6"/>
    <w:rsid w:val="00771CE6"/>
    <w:rsid w:val="00771DA5"/>
    <w:rsid w:val="00771F2A"/>
    <w:rsid w:val="007723C2"/>
    <w:rsid w:val="00772438"/>
    <w:rsid w:val="00772985"/>
    <w:rsid w:val="00772E8D"/>
    <w:rsid w:val="00772EE1"/>
    <w:rsid w:val="007730C9"/>
    <w:rsid w:val="0077317A"/>
    <w:rsid w:val="00773356"/>
    <w:rsid w:val="00773367"/>
    <w:rsid w:val="0077362F"/>
    <w:rsid w:val="0077364C"/>
    <w:rsid w:val="00773742"/>
    <w:rsid w:val="0077380B"/>
    <w:rsid w:val="0077388E"/>
    <w:rsid w:val="0077388F"/>
    <w:rsid w:val="00773987"/>
    <w:rsid w:val="00773EF1"/>
    <w:rsid w:val="00774032"/>
    <w:rsid w:val="007741DA"/>
    <w:rsid w:val="007742AE"/>
    <w:rsid w:val="0077433F"/>
    <w:rsid w:val="007748D4"/>
    <w:rsid w:val="00774AF6"/>
    <w:rsid w:val="00774B34"/>
    <w:rsid w:val="00775051"/>
    <w:rsid w:val="00775079"/>
    <w:rsid w:val="007750C9"/>
    <w:rsid w:val="00775158"/>
    <w:rsid w:val="007753A3"/>
    <w:rsid w:val="007753FF"/>
    <w:rsid w:val="0077587B"/>
    <w:rsid w:val="00775C45"/>
    <w:rsid w:val="00775CF0"/>
    <w:rsid w:val="00775EF1"/>
    <w:rsid w:val="00776073"/>
    <w:rsid w:val="00776204"/>
    <w:rsid w:val="0077675B"/>
    <w:rsid w:val="00776839"/>
    <w:rsid w:val="00776D3F"/>
    <w:rsid w:val="00777047"/>
    <w:rsid w:val="00777188"/>
    <w:rsid w:val="00777193"/>
    <w:rsid w:val="007771F5"/>
    <w:rsid w:val="00777243"/>
    <w:rsid w:val="007772F2"/>
    <w:rsid w:val="00777510"/>
    <w:rsid w:val="007775CA"/>
    <w:rsid w:val="00777701"/>
    <w:rsid w:val="00777718"/>
    <w:rsid w:val="0077774E"/>
    <w:rsid w:val="007778C3"/>
    <w:rsid w:val="0077797D"/>
    <w:rsid w:val="00777F9B"/>
    <w:rsid w:val="0078018B"/>
    <w:rsid w:val="0078059D"/>
    <w:rsid w:val="007806E4"/>
    <w:rsid w:val="007807BC"/>
    <w:rsid w:val="007807CE"/>
    <w:rsid w:val="00780AEB"/>
    <w:rsid w:val="00780D63"/>
    <w:rsid w:val="00780EF0"/>
    <w:rsid w:val="007811CE"/>
    <w:rsid w:val="007811FA"/>
    <w:rsid w:val="007812F8"/>
    <w:rsid w:val="00781694"/>
    <w:rsid w:val="007816DE"/>
    <w:rsid w:val="00781857"/>
    <w:rsid w:val="00781958"/>
    <w:rsid w:val="0078197A"/>
    <w:rsid w:val="00782387"/>
    <w:rsid w:val="00782490"/>
    <w:rsid w:val="007824CE"/>
    <w:rsid w:val="0078275F"/>
    <w:rsid w:val="0078294A"/>
    <w:rsid w:val="007829D7"/>
    <w:rsid w:val="00782A40"/>
    <w:rsid w:val="00782AEF"/>
    <w:rsid w:val="00782B68"/>
    <w:rsid w:val="00782BDE"/>
    <w:rsid w:val="00782C02"/>
    <w:rsid w:val="00782CBD"/>
    <w:rsid w:val="0078311E"/>
    <w:rsid w:val="00783526"/>
    <w:rsid w:val="00783731"/>
    <w:rsid w:val="007837CA"/>
    <w:rsid w:val="00783A23"/>
    <w:rsid w:val="00783E3E"/>
    <w:rsid w:val="00784136"/>
    <w:rsid w:val="00784197"/>
    <w:rsid w:val="0078476F"/>
    <w:rsid w:val="007848FE"/>
    <w:rsid w:val="00784969"/>
    <w:rsid w:val="0078496C"/>
    <w:rsid w:val="00784A65"/>
    <w:rsid w:val="0078507A"/>
    <w:rsid w:val="00785101"/>
    <w:rsid w:val="007851C8"/>
    <w:rsid w:val="007856CD"/>
    <w:rsid w:val="00785735"/>
    <w:rsid w:val="007857BD"/>
    <w:rsid w:val="007857D3"/>
    <w:rsid w:val="007857D6"/>
    <w:rsid w:val="00785807"/>
    <w:rsid w:val="00785A37"/>
    <w:rsid w:val="00785C2D"/>
    <w:rsid w:val="00785C43"/>
    <w:rsid w:val="00785DD0"/>
    <w:rsid w:val="00785E65"/>
    <w:rsid w:val="00785F32"/>
    <w:rsid w:val="00785FB2"/>
    <w:rsid w:val="00786393"/>
    <w:rsid w:val="00786650"/>
    <w:rsid w:val="0078669D"/>
    <w:rsid w:val="007866F2"/>
    <w:rsid w:val="007866FA"/>
    <w:rsid w:val="007869DC"/>
    <w:rsid w:val="00786C91"/>
    <w:rsid w:val="00786CC4"/>
    <w:rsid w:val="00786D3C"/>
    <w:rsid w:val="00786E52"/>
    <w:rsid w:val="00786F67"/>
    <w:rsid w:val="00787054"/>
    <w:rsid w:val="0078710F"/>
    <w:rsid w:val="0078719F"/>
    <w:rsid w:val="00787237"/>
    <w:rsid w:val="00787253"/>
    <w:rsid w:val="007873A5"/>
    <w:rsid w:val="0078756C"/>
    <w:rsid w:val="007875A8"/>
    <w:rsid w:val="007875D4"/>
    <w:rsid w:val="007875DE"/>
    <w:rsid w:val="007879C8"/>
    <w:rsid w:val="00787A3A"/>
    <w:rsid w:val="00787A3B"/>
    <w:rsid w:val="00787CF8"/>
    <w:rsid w:val="00787D01"/>
    <w:rsid w:val="00787D8A"/>
    <w:rsid w:val="00790362"/>
    <w:rsid w:val="007904AF"/>
    <w:rsid w:val="00790518"/>
    <w:rsid w:val="00790A6B"/>
    <w:rsid w:val="00791093"/>
    <w:rsid w:val="007910A1"/>
    <w:rsid w:val="00791157"/>
    <w:rsid w:val="007912D4"/>
    <w:rsid w:val="00791386"/>
    <w:rsid w:val="00791429"/>
    <w:rsid w:val="007914B2"/>
    <w:rsid w:val="007914FD"/>
    <w:rsid w:val="007916C8"/>
    <w:rsid w:val="0079198B"/>
    <w:rsid w:val="00791AC2"/>
    <w:rsid w:val="00791BD0"/>
    <w:rsid w:val="00791C56"/>
    <w:rsid w:val="00792A75"/>
    <w:rsid w:val="00792C11"/>
    <w:rsid w:val="00792C2D"/>
    <w:rsid w:val="00793046"/>
    <w:rsid w:val="0079313B"/>
    <w:rsid w:val="007931A5"/>
    <w:rsid w:val="007932B1"/>
    <w:rsid w:val="007932FE"/>
    <w:rsid w:val="007933EB"/>
    <w:rsid w:val="007934BE"/>
    <w:rsid w:val="007934E7"/>
    <w:rsid w:val="00793537"/>
    <w:rsid w:val="007935DF"/>
    <w:rsid w:val="007936D6"/>
    <w:rsid w:val="00793E88"/>
    <w:rsid w:val="0079414C"/>
    <w:rsid w:val="007941A1"/>
    <w:rsid w:val="007942B9"/>
    <w:rsid w:val="007942F0"/>
    <w:rsid w:val="007948B5"/>
    <w:rsid w:val="00794B6E"/>
    <w:rsid w:val="00794C7F"/>
    <w:rsid w:val="00794D37"/>
    <w:rsid w:val="00794F8E"/>
    <w:rsid w:val="00795072"/>
    <w:rsid w:val="007950B2"/>
    <w:rsid w:val="0079541A"/>
    <w:rsid w:val="007955BE"/>
    <w:rsid w:val="007958DF"/>
    <w:rsid w:val="00795B4E"/>
    <w:rsid w:val="00795C08"/>
    <w:rsid w:val="00795E63"/>
    <w:rsid w:val="0079603E"/>
    <w:rsid w:val="007966D2"/>
    <w:rsid w:val="007966DB"/>
    <w:rsid w:val="0079679D"/>
    <w:rsid w:val="00796925"/>
    <w:rsid w:val="00796BB3"/>
    <w:rsid w:val="00796EEE"/>
    <w:rsid w:val="0079705C"/>
    <w:rsid w:val="0079714E"/>
    <w:rsid w:val="0079722A"/>
    <w:rsid w:val="007974F5"/>
    <w:rsid w:val="00797686"/>
    <w:rsid w:val="007978D3"/>
    <w:rsid w:val="007979BC"/>
    <w:rsid w:val="00797AFE"/>
    <w:rsid w:val="00797CCE"/>
    <w:rsid w:val="00797DA7"/>
    <w:rsid w:val="007A022B"/>
    <w:rsid w:val="007A038C"/>
    <w:rsid w:val="007A0435"/>
    <w:rsid w:val="007A077F"/>
    <w:rsid w:val="007A0920"/>
    <w:rsid w:val="007A0EB2"/>
    <w:rsid w:val="007A0F2E"/>
    <w:rsid w:val="007A1049"/>
    <w:rsid w:val="007A1335"/>
    <w:rsid w:val="007A1355"/>
    <w:rsid w:val="007A15C0"/>
    <w:rsid w:val="007A16D4"/>
    <w:rsid w:val="007A1965"/>
    <w:rsid w:val="007A1B07"/>
    <w:rsid w:val="007A1BC1"/>
    <w:rsid w:val="007A1D3E"/>
    <w:rsid w:val="007A1DC3"/>
    <w:rsid w:val="007A1EED"/>
    <w:rsid w:val="007A2003"/>
    <w:rsid w:val="007A22C9"/>
    <w:rsid w:val="007A2476"/>
    <w:rsid w:val="007A24B9"/>
    <w:rsid w:val="007A24D4"/>
    <w:rsid w:val="007A2522"/>
    <w:rsid w:val="007A260D"/>
    <w:rsid w:val="007A2AA2"/>
    <w:rsid w:val="007A2AFE"/>
    <w:rsid w:val="007A2B9A"/>
    <w:rsid w:val="007A2FAC"/>
    <w:rsid w:val="007A2FD4"/>
    <w:rsid w:val="007A30AA"/>
    <w:rsid w:val="007A31ED"/>
    <w:rsid w:val="007A3291"/>
    <w:rsid w:val="007A3295"/>
    <w:rsid w:val="007A32E1"/>
    <w:rsid w:val="007A3460"/>
    <w:rsid w:val="007A3479"/>
    <w:rsid w:val="007A347A"/>
    <w:rsid w:val="007A363C"/>
    <w:rsid w:val="007A367C"/>
    <w:rsid w:val="007A39B3"/>
    <w:rsid w:val="007A3B51"/>
    <w:rsid w:val="007A3B78"/>
    <w:rsid w:val="007A3DC4"/>
    <w:rsid w:val="007A3F61"/>
    <w:rsid w:val="007A4011"/>
    <w:rsid w:val="007A42D0"/>
    <w:rsid w:val="007A4327"/>
    <w:rsid w:val="007A43A9"/>
    <w:rsid w:val="007A43CF"/>
    <w:rsid w:val="007A487E"/>
    <w:rsid w:val="007A4A5B"/>
    <w:rsid w:val="007A4B44"/>
    <w:rsid w:val="007A4BF0"/>
    <w:rsid w:val="007A4CB0"/>
    <w:rsid w:val="007A4E02"/>
    <w:rsid w:val="007A4F10"/>
    <w:rsid w:val="007A4FB3"/>
    <w:rsid w:val="007A4FD8"/>
    <w:rsid w:val="007A50C4"/>
    <w:rsid w:val="007A5148"/>
    <w:rsid w:val="007A51B2"/>
    <w:rsid w:val="007A526B"/>
    <w:rsid w:val="007A53F3"/>
    <w:rsid w:val="007A545C"/>
    <w:rsid w:val="007A5599"/>
    <w:rsid w:val="007A55B1"/>
    <w:rsid w:val="007A55D9"/>
    <w:rsid w:val="007A5668"/>
    <w:rsid w:val="007A5C73"/>
    <w:rsid w:val="007A5CB4"/>
    <w:rsid w:val="007A5D26"/>
    <w:rsid w:val="007A6715"/>
    <w:rsid w:val="007A674C"/>
    <w:rsid w:val="007A6901"/>
    <w:rsid w:val="007A6933"/>
    <w:rsid w:val="007A6A1C"/>
    <w:rsid w:val="007A6B46"/>
    <w:rsid w:val="007A6BC0"/>
    <w:rsid w:val="007A6DD4"/>
    <w:rsid w:val="007A6E22"/>
    <w:rsid w:val="007A7009"/>
    <w:rsid w:val="007A7098"/>
    <w:rsid w:val="007A71AE"/>
    <w:rsid w:val="007A7231"/>
    <w:rsid w:val="007A73E2"/>
    <w:rsid w:val="007A755C"/>
    <w:rsid w:val="007A7572"/>
    <w:rsid w:val="007A75F8"/>
    <w:rsid w:val="007A7739"/>
    <w:rsid w:val="007A7820"/>
    <w:rsid w:val="007A790A"/>
    <w:rsid w:val="007A7B83"/>
    <w:rsid w:val="007A7CE7"/>
    <w:rsid w:val="007B0149"/>
    <w:rsid w:val="007B01A0"/>
    <w:rsid w:val="007B0246"/>
    <w:rsid w:val="007B02F6"/>
    <w:rsid w:val="007B03BD"/>
    <w:rsid w:val="007B049B"/>
    <w:rsid w:val="007B0764"/>
    <w:rsid w:val="007B07EF"/>
    <w:rsid w:val="007B0882"/>
    <w:rsid w:val="007B0976"/>
    <w:rsid w:val="007B0B7B"/>
    <w:rsid w:val="007B0EAB"/>
    <w:rsid w:val="007B0EC1"/>
    <w:rsid w:val="007B100A"/>
    <w:rsid w:val="007B1128"/>
    <w:rsid w:val="007B12E2"/>
    <w:rsid w:val="007B15B2"/>
    <w:rsid w:val="007B19DB"/>
    <w:rsid w:val="007B1C93"/>
    <w:rsid w:val="007B1D32"/>
    <w:rsid w:val="007B21A5"/>
    <w:rsid w:val="007B2215"/>
    <w:rsid w:val="007B2434"/>
    <w:rsid w:val="007B24E3"/>
    <w:rsid w:val="007B2781"/>
    <w:rsid w:val="007B2AB1"/>
    <w:rsid w:val="007B2AD6"/>
    <w:rsid w:val="007B2C26"/>
    <w:rsid w:val="007B314A"/>
    <w:rsid w:val="007B345E"/>
    <w:rsid w:val="007B3760"/>
    <w:rsid w:val="007B390F"/>
    <w:rsid w:val="007B3938"/>
    <w:rsid w:val="007B3A4A"/>
    <w:rsid w:val="007B3EB2"/>
    <w:rsid w:val="007B3FB6"/>
    <w:rsid w:val="007B40A9"/>
    <w:rsid w:val="007B40AB"/>
    <w:rsid w:val="007B4150"/>
    <w:rsid w:val="007B4202"/>
    <w:rsid w:val="007B46A1"/>
    <w:rsid w:val="007B49DA"/>
    <w:rsid w:val="007B4A74"/>
    <w:rsid w:val="007B4B22"/>
    <w:rsid w:val="007B4B48"/>
    <w:rsid w:val="007B4C94"/>
    <w:rsid w:val="007B4D48"/>
    <w:rsid w:val="007B4D8B"/>
    <w:rsid w:val="007B505D"/>
    <w:rsid w:val="007B5079"/>
    <w:rsid w:val="007B525D"/>
    <w:rsid w:val="007B545D"/>
    <w:rsid w:val="007B5564"/>
    <w:rsid w:val="007B58FF"/>
    <w:rsid w:val="007B5D58"/>
    <w:rsid w:val="007B5DF9"/>
    <w:rsid w:val="007B5EBE"/>
    <w:rsid w:val="007B60DC"/>
    <w:rsid w:val="007B6464"/>
    <w:rsid w:val="007B6476"/>
    <w:rsid w:val="007B64C1"/>
    <w:rsid w:val="007B66D1"/>
    <w:rsid w:val="007B678B"/>
    <w:rsid w:val="007B67E4"/>
    <w:rsid w:val="007B6A92"/>
    <w:rsid w:val="007B6AD1"/>
    <w:rsid w:val="007B6C58"/>
    <w:rsid w:val="007B6DDC"/>
    <w:rsid w:val="007B7250"/>
    <w:rsid w:val="007B7299"/>
    <w:rsid w:val="007B7314"/>
    <w:rsid w:val="007B7677"/>
    <w:rsid w:val="007B7946"/>
    <w:rsid w:val="007B79AC"/>
    <w:rsid w:val="007B7ACC"/>
    <w:rsid w:val="007B7BA3"/>
    <w:rsid w:val="007B7C9C"/>
    <w:rsid w:val="007B7EC0"/>
    <w:rsid w:val="007C00F7"/>
    <w:rsid w:val="007C0588"/>
    <w:rsid w:val="007C059D"/>
    <w:rsid w:val="007C0618"/>
    <w:rsid w:val="007C078F"/>
    <w:rsid w:val="007C07F5"/>
    <w:rsid w:val="007C0D46"/>
    <w:rsid w:val="007C0DA0"/>
    <w:rsid w:val="007C1053"/>
    <w:rsid w:val="007C1193"/>
    <w:rsid w:val="007C1328"/>
    <w:rsid w:val="007C169D"/>
    <w:rsid w:val="007C179F"/>
    <w:rsid w:val="007C1C52"/>
    <w:rsid w:val="007C1C6C"/>
    <w:rsid w:val="007C1CB2"/>
    <w:rsid w:val="007C1D69"/>
    <w:rsid w:val="007C1E7D"/>
    <w:rsid w:val="007C1FCA"/>
    <w:rsid w:val="007C2045"/>
    <w:rsid w:val="007C236C"/>
    <w:rsid w:val="007C2428"/>
    <w:rsid w:val="007C2480"/>
    <w:rsid w:val="007C272F"/>
    <w:rsid w:val="007C2732"/>
    <w:rsid w:val="007C2CBE"/>
    <w:rsid w:val="007C2E92"/>
    <w:rsid w:val="007C2EEC"/>
    <w:rsid w:val="007C2F80"/>
    <w:rsid w:val="007C3191"/>
    <w:rsid w:val="007C3567"/>
    <w:rsid w:val="007C35B6"/>
    <w:rsid w:val="007C38CF"/>
    <w:rsid w:val="007C3957"/>
    <w:rsid w:val="007C3C18"/>
    <w:rsid w:val="007C40A5"/>
    <w:rsid w:val="007C4237"/>
    <w:rsid w:val="007C4456"/>
    <w:rsid w:val="007C4589"/>
    <w:rsid w:val="007C4623"/>
    <w:rsid w:val="007C4657"/>
    <w:rsid w:val="007C47F4"/>
    <w:rsid w:val="007C4B11"/>
    <w:rsid w:val="007C4CAF"/>
    <w:rsid w:val="007C4D72"/>
    <w:rsid w:val="007C569D"/>
    <w:rsid w:val="007C596F"/>
    <w:rsid w:val="007C5A1B"/>
    <w:rsid w:val="007C601D"/>
    <w:rsid w:val="007C60C2"/>
    <w:rsid w:val="007C63F5"/>
    <w:rsid w:val="007C646F"/>
    <w:rsid w:val="007C6611"/>
    <w:rsid w:val="007C66D5"/>
    <w:rsid w:val="007C6700"/>
    <w:rsid w:val="007C6731"/>
    <w:rsid w:val="007C68D5"/>
    <w:rsid w:val="007C69A8"/>
    <w:rsid w:val="007C69E5"/>
    <w:rsid w:val="007C6A51"/>
    <w:rsid w:val="007C6AEC"/>
    <w:rsid w:val="007C6B0D"/>
    <w:rsid w:val="007C6D8B"/>
    <w:rsid w:val="007C705D"/>
    <w:rsid w:val="007C7124"/>
    <w:rsid w:val="007C72C2"/>
    <w:rsid w:val="007C768E"/>
    <w:rsid w:val="007C785B"/>
    <w:rsid w:val="007C787C"/>
    <w:rsid w:val="007C7A44"/>
    <w:rsid w:val="007C7D63"/>
    <w:rsid w:val="007C7EA4"/>
    <w:rsid w:val="007C7EA7"/>
    <w:rsid w:val="007D00E1"/>
    <w:rsid w:val="007D02F1"/>
    <w:rsid w:val="007D0359"/>
    <w:rsid w:val="007D0490"/>
    <w:rsid w:val="007D06A7"/>
    <w:rsid w:val="007D0A3E"/>
    <w:rsid w:val="007D0C46"/>
    <w:rsid w:val="007D0E46"/>
    <w:rsid w:val="007D0EA9"/>
    <w:rsid w:val="007D0FAE"/>
    <w:rsid w:val="007D1199"/>
    <w:rsid w:val="007D1222"/>
    <w:rsid w:val="007D12A4"/>
    <w:rsid w:val="007D1418"/>
    <w:rsid w:val="007D1860"/>
    <w:rsid w:val="007D19D5"/>
    <w:rsid w:val="007D1D95"/>
    <w:rsid w:val="007D24E0"/>
    <w:rsid w:val="007D2508"/>
    <w:rsid w:val="007D2559"/>
    <w:rsid w:val="007D26E2"/>
    <w:rsid w:val="007D28BE"/>
    <w:rsid w:val="007D2AA5"/>
    <w:rsid w:val="007D2B1C"/>
    <w:rsid w:val="007D2B43"/>
    <w:rsid w:val="007D2B84"/>
    <w:rsid w:val="007D2BA4"/>
    <w:rsid w:val="007D2BB4"/>
    <w:rsid w:val="007D2C39"/>
    <w:rsid w:val="007D3155"/>
    <w:rsid w:val="007D370A"/>
    <w:rsid w:val="007D3728"/>
    <w:rsid w:val="007D3DA2"/>
    <w:rsid w:val="007D405E"/>
    <w:rsid w:val="007D41BD"/>
    <w:rsid w:val="007D423D"/>
    <w:rsid w:val="007D4318"/>
    <w:rsid w:val="007D431D"/>
    <w:rsid w:val="007D4346"/>
    <w:rsid w:val="007D43F4"/>
    <w:rsid w:val="007D44A4"/>
    <w:rsid w:val="007D46B8"/>
    <w:rsid w:val="007D4776"/>
    <w:rsid w:val="007D4868"/>
    <w:rsid w:val="007D4966"/>
    <w:rsid w:val="007D4C7E"/>
    <w:rsid w:val="007D4EBC"/>
    <w:rsid w:val="007D4ED8"/>
    <w:rsid w:val="007D4F85"/>
    <w:rsid w:val="007D5018"/>
    <w:rsid w:val="007D515F"/>
    <w:rsid w:val="007D54BA"/>
    <w:rsid w:val="007D54F7"/>
    <w:rsid w:val="007D5869"/>
    <w:rsid w:val="007D5A7E"/>
    <w:rsid w:val="007D5AF6"/>
    <w:rsid w:val="007D5C0C"/>
    <w:rsid w:val="007D5E76"/>
    <w:rsid w:val="007D5FD7"/>
    <w:rsid w:val="007D60D6"/>
    <w:rsid w:val="007D610E"/>
    <w:rsid w:val="007D61A5"/>
    <w:rsid w:val="007D6331"/>
    <w:rsid w:val="007D63ED"/>
    <w:rsid w:val="007D664B"/>
    <w:rsid w:val="007D6750"/>
    <w:rsid w:val="007D67B3"/>
    <w:rsid w:val="007D6A38"/>
    <w:rsid w:val="007D6C4F"/>
    <w:rsid w:val="007D6F57"/>
    <w:rsid w:val="007D713A"/>
    <w:rsid w:val="007D731F"/>
    <w:rsid w:val="007D73C5"/>
    <w:rsid w:val="007D73E6"/>
    <w:rsid w:val="007D75B9"/>
    <w:rsid w:val="007D7954"/>
    <w:rsid w:val="007D7958"/>
    <w:rsid w:val="007D799D"/>
    <w:rsid w:val="007D7A07"/>
    <w:rsid w:val="007D7F3C"/>
    <w:rsid w:val="007D7F92"/>
    <w:rsid w:val="007E0284"/>
    <w:rsid w:val="007E0363"/>
    <w:rsid w:val="007E03E7"/>
    <w:rsid w:val="007E04E6"/>
    <w:rsid w:val="007E050D"/>
    <w:rsid w:val="007E07FD"/>
    <w:rsid w:val="007E0952"/>
    <w:rsid w:val="007E0A0C"/>
    <w:rsid w:val="007E0B79"/>
    <w:rsid w:val="007E0C19"/>
    <w:rsid w:val="007E0C99"/>
    <w:rsid w:val="007E0DD4"/>
    <w:rsid w:val="007E0EE6"/>
    <w:rsid w:val="007E0FAF"/>
    <w:rsid w:val="007E1481"/>
    <w:rsid w:val="007E14B4"/>
    <w:rsid w:val="007E14EA"/>
    <w:rsid w:val="007E1740"/>
    <w:rsid w:val="007E1805"/>
    <w:rsid w:val="007E186B"/>
    <w:rsid w:val="007E1AB4"/>
    <w:rsid w:val="007E1CBB"/>
    <w:rsid w:val="007E1DEB"/>
    <w:rsid w:val="007E1F5D"/>
    <w:rsid w:val="007E20C8"/>
    <w:rsid w:val="007E210D"/>
    <w:rsid w:val="007E250D"/>
    <w:rsid w:val="007E279D"/>
    <w:rsid w:val="007E2C74"/>
    <w:rsid w:val="007E2E11"/>
    <w:rsid w:val="007E2F86"/>
    <w:rsid w:val="007E2FE4"/>
    <w:rsid w:val="007E3324"/>
    <w:rsid w:val="007E33CB"/>
    <w:rsid w:val="007E348E"/>
    <w:rsid w:val="007E3545"/>
    <w:rsid w:val="007E3857"/>
    <w:rsid w:val="007E39D4"/>
    <w:rsid w:val="007E3B73"/>
    <w:rsid w:val="007E3D07"/>
    <w:rsid w:val="007E4516"/>
    <w:rsid w:val="007E4542"/>
    <w:rsid w:val="007E45B3"/>
    <w:rsid w:val="007E46D4"/>
    <w:rsid w:val="007E4B12"/>
    <w:rsid w:val="007E4F83"/>
    <w:rsid w:val="007E4F9D"/>
    <w:rsid w:val="007E512E"/>
    <w:rsid w:val="007E5269"/>
    <w:rsid w:val="007E60E0"/>
    <w:rsid w:val="007E615D"/>
    <w:rsid w:val="007E616E"/>
    <w:rsid w:val="007E618E"/>
    <w:rsid w:val="007E6312"/>
    <w:rsid w:val="007E65CA"/>
    <w:rsid w:val="007E69C6"/>
    <w:rsid w:val="007E7019"/>
    <w:rsid w:val="007E71E5"/>
    <w:rsid w:val="007E72C9"/>
    <w:rsid w:val="007E737B"/>
    <w:rsid w:val="007E73CA"/>
    <w:rsid w:val="007E7714"/>
    <w:rsid w:val="007E7849"/>
    <w:rsid w:val="007E78AB"/>
    <w:rsid w:val="007E7922"/>
    <w:rsid w:val="007E798A"/>
    <w:rsid w:val="007E7CF1"/>
    <w:rsid w:val="007E7F4F"/>
    <w:rsid w:val="007F0134"/>
    <w:rsid w:val="007F01B3"/>
    <w:rsid w:val="007F0266"/>
    <w:rsid w:val="007F0502"/>
    <w:rsid w:val="007F0555"/>
    <w:rsid w:val="007F05CA"/>
    <w:rsid w:val="007F0C54"/>
    <w:rsid w:val="007F0C8C"/>
    <w:rsid w:val="007F0DCD"/>
    <w:rsid w:val="007F0EEE"/>
    <w:rsid w:val="007F0F22"/>
    <w:rsid w:val="007F0FBB"/>
    <w:rsid w:val="007F1296"/>
    <w:rsid w:val="007F12F9"/>
    <w:rsid w:val="007F1452"/>
    <w:rsid w:val="007F14EF"/>
    <w:rsid w:val="007F1D8D"/>
    <w:rsid w:val="007F2032"/>
    <w:rsid w:val="007F20B2"/>
    <w:rsid w:val="007F2304"/>
    <w:rsid w:val="007F2435"/>
    <w:rsid w:val="007F24D0"/>
    <w:rsid w:val="007F25BD"/>
    <w:rsid w:val="007F285B"/>
    <w:rsid w:val="007F2A44"/>
    <w:rsid w:val="007F2B0F"/>
    <w:rsid w:val="007F2BC2"/>
    <w:rsid w:val="007F2D5C"/>
    <w:rsid w:val="007F2DFD"/>
    <w:rsid w:val="007F2F7C"/>
    <w:rsid w:val="007F3087"/>
    <w:rsid w:val="007F3170"/>
    <w:rsid w:val="007F3409"/>
    <w:rsid w:val="007F3AB4"/>
    <w:rsid w:val="007F42FB"/>
    <w:rsid w:val="007F4321"/>
    <w:rsid w:val="007F4484"/>
    <w:rsid w:val="007F44B5"/>
    <w:rsid w:val="007F4697"/>
    <w:rsid w:val="007F47F0"/>
    <w:rsid w:val="007F4A65"/>
    <w:rsid w:val="007F4C7A"/>
    <w:rsid w:val="007F4FE5"/>
    <w:rsid w:val="007F50F7"/>
    <w:rsid w:val="007F510A"/>
    <w:rsid w:val="007F512A"/>
    <w:rsid w:val="007F5143"/>
    <w:rsid w:val="007F5170"/>
    <w:rsid w:val="007F521F"/>
    <w:rsid w:val="007F5245"/>
    <w:rsid w:val="007F52D4"/>
    <w:rsid w:val="007F53E2"/>
    <w:rsid w:val="007F5515"/>
    <w:rsid w:val="007F57F2"/>
    <w:rsid w:val="007F5A3A"/>
    <w:rsid w:val="007F5E21"/>
    <w:rsid w:val="007F5F2E"/>
    <w:rsid w:val="007F610D"/>
    <w:rsid w:val="007F6452"/>
    <w:rsid w:val="007F64B2"/>
    <w:rsid w:val="007F65D0"/>
    <w:rsid w:val="007F6C7D"/>
    <w:rsid w:val="007F7010"/>
    <w:rsid w:val="007F70E7"/>
    <w:rsid w:val="007F7297"/>
    <w:rsid w:val="007F7669"/>
    <w:rsid w:val="007F76BE"/>
    <w:rsid w:val="007F7755"/>
    <w:rsid w:val="007F7861"/>
    <w:rsid w:val="007F79CC"/>
    <w:rsid w:val="007F79D4"/>
    <w:rsid w:val="007F7C7B"/>
    <w:rsid w:val="007F7DBD"/>
    <w:rsid w:val="007F7FAC"/>
    <w:rsid w:val="00800296"/>
    <w:rsid w:val="0080031C"/>
    <w:rsid w:val="00800396"/>
    <w:rsid w:val="00800567"/>
    <w:rsid w:val="008005B7"/>
    <w:rsid w:val="00800613"/>
    <w:rsid w:val="008007B6"/>
    <w:rsid w:val="008009D2"/>
    <w:rsid w:val="00800CB8"/>
    <w:rsid w:val="00800D1C"/>
    <w:rsid w:val="00801613"/>
    <w:rsid w:val="00801794"/>
    <w:rsid w:val="00801856"/>
    <w:rsid w:val="00801A10"/>
    <w:rsid w:val="00801D10"/>
    <w:rsid w:val="00801D90"/>
    <w:rsid w:val="00801ED2"/>
    <w:rsid w:val="008023B2"/>
    <w:rsid w:val="00802657"/>
    <w:rsid w:val="008026D5"/>
    <w:rsid w:val="00802932"/>
    <w:rsid w:val="00802B39"/>
    <w:rsid w:val="00802CA1"/>
    <w:rsid w:val="00802EAA"/>
    <w:rsid w:val="00802F0D"/>
    <w:rsid w:val="00802F6D"/>
    <w:rsid w:val="008034B1"/>
    <w:rsid w:val="00803547"/>
    <w:rsid w:val="0080395B"/>
    <w:rsid w:val="00803A20"/>
    <w:rsid w:val="00803BB6"/>
    <w:rsid w:val="00803C71"/>
    <w:rsid w:val="0080409A"/>
    <w:rsid w:val="008043F6"/>
    <w:rsid w:val="0080444B"/>
    <w:rsid w:val="008044F0"/>
    <w:rsid w:val="00804575"/>
    <w:rsid w:val="008045FA"/>
    <w:rsid w:val="008047C4"/>
    <w:rsid w:val="00805066"/>
    <w:rsid w:val="008050A4"/>
    <w:rsid w:val="008052B1"/>
    <w:rsid w:val="008053D5"/>
    <w:rsid w:val="00805534"/>
    <w:rsid w:val="0080579A"/>
    <w:rsid w:val="00805874"/>
    <w:rsid w:val="00805ACF"/>
    <w:rsid w:val="00805B10"/>
    <w:rsid w:val="00805C6B"/>
    <w:rsid w:val="00805CD9"/>
    <w:rsid w:val="00805E79"/>
    <w:rsid w:val="00805EC0"/>
    <w:rsid w:val="00805FCE"/>
    <w:rsid w:val="008060A9"/>
    <w:rsid w:val="008061B8"/>
    <w:rsid w:val="008062FE"/>
    <w:rsid w:val="008064D1"/>
    <w:rsid w:val="008064F0"/>
    <w:rsid w:val="00806572"/>
    <w:rsid w:val="0080669F"/>
    <w:rsid w:val="008066B3"/>
    <w:rsid w:val="00806722"/>
    <w:rsid w:val="00806771"/>
    <w:rsid w:val="0080681B"/>
    <w:rsid w:val="008068D2"/>
    <w:rsid w:val="00806AEC"/>
    <w:rsid w:val="00806C26"/>
    <w:rsid w:val="00806DD1"/>
    <w:rsid w:val="008071AD"/>
    <w:rsid w:val="00807253"/>
    <w:rsid w:val="008074D3"/>
    <w:rsid w:val="00807BE3"/>
    <w:rsid w:val="00807D65"/>
    <w:rsid w:val="00807F16"/>
    <w:rsid w:val="008101A3"/>
    <w:rsid w:val="0081036B"/>
    <w:rsid w:val="008103E6"/>
    <w:rsid w:val="0081045D"/>
    <w:rsid w:val="0081078B"/>
    <w:rsid w:val="00810873"/>
    <w:rsid w:val="00810A08"/>
    <w:rsid w:val="00810B3C"/>
    <w:rsid w:val="00810F9C"/>
    <w:rsid w:val="00811094"/>
    <w:rsid w:val="00811249"/>
    <w:rsid w:val="00811279"/>
    <w:rsid w:val="00811284"/>
    <w:rsid w:val="0081136A"/>
    <w:rsid w:val="00811399"/>
    <w:rsid w:val="0081145E"/>
    <w:rsid w:val="00811541"/>
    <w:rsid w:val="00811AE7"/>
    <w:rsid w:val="00811B37"/>
    <w:rsid w:val="00811BD3"/>
    <w:rsid w:val="00811D33"/>
    <w:rsid w:val="00811E17"/>
    <w:rsid w:val="00811F8A"/>
    <w:rsid w:val="00811FA9"/>
    <w:rsid w:val="00812296"/>
    <w:rsid w:val="008123AE"/>
    <w:rsid w:val="008125B7"/>
    <w:rsid w:val="0081262D"/>
    <w:rsid w:val="008126C3"/>
    <w:rsid w:val="0081280E"/>
    <w:rsid w:val="00812B95"/>
    <w:rsid w:val="00812DB3"/>
    <w:rsid w:val="00812F7B"/>
    <w:rsid w:val="00812F82"/>
    <w:rsid w:val="0081301C"/>
    <w:rsid w:val="008130DB"/>
    <w:rsid w:val="00813114"/>
    <w:rsid w:val="008131E3"/>
    <w:rsid w:val="00813323"/>
    <w:rsid w:val="0081332F"/>
    <w:rsid w:val="00813398"/>
    <w:rsid w:val="00813719"/>
    <w:rsid w:val="00813865"/>
    <w:rsid w:val="008139AC"/>
    <w:rsid w:val="00813BA0"/>
    <w:rsid w:val="00813FEF"/>
    <w:rsid w:val="008140C0"/>
    <w:rsid w:val="00814104"/>
    <w:rsid w:val="00814141"/>
    <w:rsid w:val="00814191"/>
    <w:rsid w:val="00814319"/>
    <w:rsid w:val="008147E2"/>
    <w:rsid w:val="00814968"/>
    <w:rsid w:val="00814B0D"/>
    <w:rsid w:val="00814D1D"/>
    <w:rsid w:val="00814D30"/>
    <w:rsid w:val="00814DC4"/>
    <w:rsid w:val="00815178"/>
    <w:rsid w:val="00815238"/>
    <w:rsid w:val="00815462"/>
    <w:rsid w:val="00815868"/>
    <w:rsid w:val="00815DF8"/>
    <w:rsid w:val="00815E58"/>
    <w:rsid w:val="0081600C"/>
    <w:rsid w:val="00816459"/>
    <w:rsid w:val="008167A0"/>
    <w:rsid w:val="008169A0"/>
    <w:rsid w:val="00816B2D"/>
    <w:rsid w:val="00816D3E"/>
    <w:rsid w:val="00816DBF"/>
    <w:rsid w:val="00816DC7"/>
    <w:rsid w:val="0081724C"/>
    <w:rsid w:val="008174F6"/>
    <w:rsid w:val="008177A6"/>
    <w:rsid w:val="0081781A"/>
    <w:rsid w:val="0081782B"/>
    <w:rsid w:val="0081786B"/>
    <w:rsid w:val="00817CAF"/>
    <w:rsid w:val="00817E07"/>
    <w:rsid w:val="00820203"/>
    <w:rsid w:val="0082027E"/>
    <w:rsid w:val="008202FB"/>
    <w:rsid w:val="0082058C"/>
    <w:rsid w:val="0082078D"/>
    <w:rsid w:val="0082081D"/>
    <w:rsid w:val="0082093F"/>
    <w:rsid w:val="00820B93"/>
    <w:rsid w:val="00820DC8"/>
    <w:rsid w:val="008216A8"/>
    <w:rsid w:val="00821724"/>
    <w:rsid w:val="00821C9E"/>
    <w:rsid w:val="00821CDA"/>
    <w:rsid w:val="00821DF9"/>
    <w:rsid w:val="00821FBA"/>
    <w:rsid w:val="00822031"/>
    <w:rsid w:val="00822322"/>
    <w:rsid w:val="00822882"/>
    <w:rsid w:val="00822C52"/>
    <w:rsid w:val="00822DFE"/>
    <w:rsid w:val="00822F22"/>
    <w:rsid w:val="00823058"/>
    <w:rsid w:val="008231F5"/>
    <w:rsid w:val="00823237"/>
    <w:rsid w:val="00823262"/>
    <w:rsid w:val="0082349C"/>
    <w:rsid w:val="00823649"/>
    <w:rsid w:val="008237D1"/>
    <w:rsid w:val="008239CD"/>
    <w:rsid w:val="008240E8"/>
    <w:rsid w:val="00824244"/>
    <w:rsid w:val="00824430"/>
    <w:rsid w:val="008245CA"/>
    <w:rsid w:val="008246E7"/>
    <w:rsid w:val="00824715"/>
    <w:rsid w:val="00824741"/>
    <w:rsid w:val="00824973"/>
    <w:rsid w:val="00824E29"/>
    <w:rsid w:val="00825096"/>
    <w:rsid w:val="008250B6"/>
    <w:rsid w:val="00825347"/>
    <w:rsid w:val="008254D0"/>
    <w:rsid w:val="0082550B"/>
    <w:rsid w:val="008256B9"/>
    <w:rsid w:val="00825869"/>
    <w:rsid w:val="008259A3"/>
    <w:rsid w:val="00825C35"/>
    <w:rsid w:val="00825C85"/>
    <w:rsid w:val="00825D16"/>
    <w:rsid w:val="00825E10"/>
    <w:rsid w:val="00825E45"/>
    <w:rsid w:val="00825EBF"/>
    <w:rsid w:val="00826378"/>
    <w:rsid w:val="00826501"/>
    <w:rsid w:val="0082651E"/>
    <w:rsid w:val="00826E42"/>
    <w:rsid w:val="00827355"/>
    <w:rsid w:val="008275DA"/>
    <w:rsid w:val="00827623"/>
    <w:rsid w:val="008276AE"/>
    <w:rsid w:val="00827722"/>
    <w:rsid w:val="00827AE6"/>
    <w:rsid w:val="00827C95"/>
    <w:rsid w:val="00830073"/>
    <w:rsid w:val="008303CD"/>
    <w:rsid w:val="008306E9"/>
    <w:rsid w:val="0083071B"/>
    <w:rsid w:val="0083075C"/>
    <w:rsid w:val="00830C4A"/>
    <w:rsid w:val="00830D13"/>
    <w:rsid w:val="00830F50"/>
    <w:rsid w:val="00830FE3"/>
    <w:rsid w:val="008312DF"/>
    <w:rsid w:val="00831459"/>
    <w:rsid w:val="008315F9"/>
    <w:rsid w:val="00831761"/>
    <w:rsid w:val="008318BA"/>
    <w:rsid w:val="00831AAF"/>
    <w:rsid w:val="00831B9E"/>
    <w:rsid w:val="00831D4B"/>
    <w:rsid w:val="0083220B"/>
    <w:rsid w:val="0083266A"/>
    <w:rsid w:val="0083266C"/>
    <w:rsid w:val="0083279A"/>
    <w:rsid w:val="00832A03"/>
    <w:rsid w:val="00832A30"/>
    <w:rsid w:val="00832A59"/>
    <w:rsid w:val="00832D7A"/>
    <w:rsid w:val="00832DD3"/>
    <w:rsid w:val="00832EA0"/>
    <w:rsid w:val="0083301F"/>
    <w:rsid w:val="008330C7"/>
    <w:rsid w:val="008331F7"/>
    <w:rsid w:val="00833300"/>
    <w:rsid w:val="008333F0"/>
    <w:rsid w:val="00833465"/>
    <w:rsid w:val="00833492"/>
    <w:rsid w:val="008334B8"/>
    <w:rsid w:val="00833564"/>
    <w:rsid w:val="008335CC"/>
    <w:rsid w:val="0083372B"/>
    <w:rsid w:val="0083377B"/>
    <w:rsid w:val="008338A5"/>
    <w:rsid w:val="00833CD0"/>
    <w:rsid w:val="00833E0F"/>
    <w:rsid w:val="00833E3F"/>
    <w:rsid w:val="00834048"/>
    <w:rsid w:val="00834079"/>
    <w:rsid w:val="008340DE"/>
    <w:rsid w:val="008340FC"/>
    <w:rsid w:val="0083430C"/>
    <w:rsid w:val="00834437"/>
    <w:rsid w:val="008345A1"/>
    <w:rsid w:val="00834736"/>
    <w:rsid w:val="008347B9"/>
    <w:rsid w:val="00834805"/>
    <w:rsid w:val="008348EC"/>
    <w:rsid w:val="008349B6"/>
    <w:rsid w:val="00834D98"/>
    <w:rsid w:val="00834E33"/>
    <w:rsid w:val="0083510B"/>
    <w:rsid w:val="0083529F"/>
    <w:rsid w:val="00835326"/>
    <w:rsid w:val="008353C3"/>
    <w:rsid w:val="008353C8"/>
    <w:rsid w:val="008353DF"/>
    <w:rsid w:val="00835571"/>
    <w:rsid w:val="0083557B"/>
    <w:rsid w:val="0083567C"/>
    <w:rsid w:val="008356D0"/>
    <w:rsid w:val="00835AA7"/>
    <w:rsid w:val="00835BE3"/>
    <w:rsid w:val="00835D48"/>
    <w:rsid w:val="00835EF5"/>
    <w:rsid w:val="00835FAE"/>
    <w:rsid w:val="00836243"/>
    <w:rsid w:val="008362A1"/>
    <w:rsid w:val="008362BC"/>
    <w:rsid w:val="00836408"/>
    <w:rsid w:val="00836609"/>
    <w:rsid w:val="008366C6"/>
    <w:rsid w:val="00836789"/>
    <w:rsid w:val="00836804"/>
    <w:rsid w:val="00836852"/>
    <w:rsid w:val="00836875"/>
    <w:rsid w:val="00836AF3"/>
    <w:rsid w:val="00836E43"/>
    <w:rsid w:val="00836ED5"/>
    <w:rsid w:val="008370B8"/>
    <w:rsid w:val="008370CD"/>
    <w:rsid w:val="008371AC"/>
    <w:rsid w:val="0083770B"/>
    <w:rsid w:val="00837844"/>
    <w:rsid w:val="00837891"/>
    <w:rsid w:val="00837B55"/>
    <w:rsid w:val="00837BBE"/>
    <w:rsid w:val="00837D32"/>
    <w:rsid w:val="00837DDB"/>
    <w:rsid w:val="00837EDC"/>
    <w:rsid w:val="00837F6C"/>
    <w:rsid w:val="00837FA2"/>
    <w:rsid w:val="0084023B"/>
    <w:rsid w:val="0084034C"/>
    <w:rsid w:val="0084059F"/>
    <w:rsid w:val="008409D2"/>
    <w:rsid w:val="00840A80"/>
    <w:rsid w:val="00840B4E"/>
    <w:rsid w:val="00840CB0"/>
    <w:rsid w:val="00840DAA"/>
    <w:rsid w:val="00840DE8"/>
    <w:rsid w:val="00841092"/>
    <w:rsid w:val="0084120A"/>
    <w:rsid w:val="00841435"/>
    <w:rsid w:val="0084165B"/>
    <w:rsid w:val="008417A6"/>
    <w:rsid w:val="008418EA"/>
    <w:rsid w:val="0084197B"/>
    <w:rsid w:val="00841EEA"/>
    <w:rsid w:val="0084215E"/>
    <w:rsid w:val="008421A3"/>
    <w:rsid w:val="00842319"/>
    <w:rsid w:val="008424F9"/>
    <w:rsid w:val="00842605"/>
    <w:rsid w:val="00842C77"/>
    <w:rsid w:val="00842CEB"/>
    <w:rsid w:val="00842DF7"/>
    <w:rsid w:val="00842F69"/>
    <w:rsid w:val="008434A0"/>
    <w:rsid w:val="008434A6"/>
    <w:rsid w:val="00843664"/>
    <w:rsid w:val="00843740"/>
    <w:rsid w:val="00843C3F"/>
    <w:rsid w:val="00843CDE"/>
    <w:rsid w:val="00843D74"/>
    <w:rsid w:val="00843E95"/>
    <w:rsid w:val="00844229"/>
    <w:rsid w:val="0084440A"/>
    <w:rsid w:val="00844412"/>
    <w:rsid w:val="00844574"/>
    <w:rsid w:val="00844635"/>
    <w:rsid w:val="008446FF"/>
    <w:rsid w:val="008447AE"/>
    <w:rsid w:val="00844B93"/>
    <w:rsid w:val="008451CA"/>
    <w:rsid w:val="008454A4"/>
    <w:rsid w:val="008455D1"/>
    <w:rsid w:val="00845629"/>
    <w:rsid w:val="0084578C"/>
    <w:rsid w:val="00845811"/>
    <w:rsid w:val="008458A3"/>
    <w:rsid w:val="00845B7F"/>
    <w:rsid w:val="00845C0B"/>
    <w:rsid w:val="00845D24"/>
    <w:rsid w:val="008460A2"/>
    <w:rsid w:val="00846293"/>
    <w:rsid w:val="00846463"/>
    <w:rsid w:val="0084648C"/>
    <w:rsid w:val="0084667F"/>
    <w:rsid w:val="0084669F"/>
    <w:rsid w:val="00846882"/>
    <w:rsid w:val="008468C5"/>
    <w:rsid w:val="00846E57"/>
    <w:rsid w:val="00846E5B"/>
    <w:rsid w:val="00846E91"/>
    <w:rsid w:val="00846EE6"/>
    <w:rsid w:val="00847001"/>
    <w:rsid w:val="008473AE"/>
    <w:rsid w:val="0084740A"/>
    <w:rsid w:val="0084782D"/>
    <w:rsid w:val="00847A15"/>
    <w:rsid w:val="00847AE3"/>
    <w:rsid w:val="00847BD4"/>
    <w:rsid w:val="00847D28"/>
    <w:rsid w:val="00847EA7"/>
    <w:rsid w:val="00847EE1"/>
    <w:rsid w:val="00847EE8"/>
    <w:rsid w:val="00847F3D"/>
    <w:rsid w:val="00847FEE"/>
    <w:rsid w:val="0085008B"/>
    <w:rsid w:val="00850379"/>
    <w:rsid w:val="008504A7"/>
    <w:rsid w:val="00850552"/>
    <w:rsid w:val="0085062A"/>
    <w:rsid w:val="0085067F"/>
    <w:rsid w:val="00850833"/>
    <w:rsid w:val="00850B60"/>
    <w:rsid w:val="00850BAD"/>
    <w:rsid w:val="00850BEF"/>
    <w:rsid w:val="00850C38"/>
    <w:rsid w:val="00850CB5"/>
    <w:rsid w:val="00850ED9"/>
    <w:rsid w:val="00851003"/>
    <w:rsid w:val="008513FA"/>
    <w:rsid w:val="00851470"/>
    <w:rsid w:val="00851B9E"/>
    <w:rsid w:val="00851CDB"/>
    <w:rsid w:val="00852308"/>
    <w:rsid w:val="0085236E"/>
    <w:rsid w:val="008523AF"/>
    <w:rsid w:val="00852404"/>
    <w:rsid w:val="008524A1"/>
    <w:rsid w:val="008524B8"/>
    <w:rsid w:val="00852505"/>
    <w:rsid w:val="00852575"/>
    <w:rsid w:val="00852591"/>
    <w:rsid w:val="008536E5"/>
    <w:rsid w:val="008537E8"/>
    <w:rsid w:val="008537F0"/>
    <w:rsid w:val="00853946"/>
    <w:rsid w:val="008539E9"/>
    <w:rsid w:val="008539FC"/>
    <w:rsid w:val="00853A94"/>
    <w:rsid w:val="00853B53"/>
    <w:rsid w:val="00853F47"/>
    <w:rsid w:val="00854219"/>
    <w:rsid w:val="008543D3"/>
    <w:rsid w:val="0085453E"/>
    <w:rsid w:val="00854649"/>
    <w:rsid w:val="008547DC"/>
    <w:rsid w:val="0085489F"/>
    <w:rsid w:val="008549F0"/>
    <w:rsid w:val="00854B2F"/>
    <w:rsid w:val="00854B8D"/>
    <w:rsid w:val="00854BB7"/>
    <w:rsid w:val="00854C0C"/>
    <w:rsid w:val="00854FD8"/>
    <w:rsid w:val="00855188"/>
    <w:rsid w:val="00855196"/>
    <w:rsid w:val="00855780"/>
    <w:rsid w:val="00855A61"/>
    <w:rsid w:val="00856063"/>
    <w:rsid w:val="00856304"/>
    <w:rsid w:val="0085679F"/>
    <w:rsid w:val="008568CA"/>
    <w:rsid w:val="008568D1"/>
    <w:rsid w:val="00856A54"/>
    <w:rsid w:val="00856D6A"/>
    <w:rsid w:val="00856F48"/>
    <w:rsid w:val="00856FBA"/>
    <w:rsid w:val="0085734C"/>
    <w:rsid w:val="0085738F"/>
    <w:rsid w:val="0085757A"/>
    <w:rsid w:val="008576E4"/>
    <w:rsid w:val="00857878"/>
    <w:rsid w:val="00857A74"/>
    <w:rsid w:val="00857AD5"/>
    <w:rsid w:val="00857E1B"/>
    <w:rsid w:val="00857EF6"/>
    <w:rsid w:val="00857FE6"/>
    <w:rsid w:val="00860057"/>
    <w:rsid w:val="008601D7"/>
    <w:rsid w:val="008602AE"/>
    <w:rsid w:val="00860354"/>
    <w:rsid w:val="008607E0"/>
    <w:rsid w:val="008607F8"/>
    <w:rsid w:val="00860871"/>
    <w:rsid w:val="00860982"/>
    <w:rsid w:val="00860B16"/>
    <w:rsid w:val="00860B7C"/>
    <w:rsid w:val="00860C4D"/>
    <w:rsid w:val="00860D9A"/>
    <w:rsid w:val="008610D8"/>
    <w:rsid w:val="00861302"/>
    <w:rsid w:val="0086145F"/>
    <w:rsid w:val="00861985"/>
    <w:rsid w:val="00861BAD"/>
    <w:rsid w:val="00861C21"/>
    <w:rsid w:val="00861C31"/>
    <w:rsid w:val="008620ED"/>
    <w:rsid w:val="008621D2"/>
    <w:rsid w:val="0086221C"/>
    <w:rsid w:val="0086223F"/>
    <w:rsid w:val="00862384"/>
    <w:rsid w:val="008626ED"/>
    <w:rsid w:val="0086270C"/>
    <w:rsid w:val="0086286A"/>
    <w:rsid w:val="00862920"/>
    <w:rsid w:val="00862B58"/>
    <w:rsid w:val="00862BAD"/>
    <w:rsid w:val="00862CCB"/>
    <w:rsid w:val="00862D83"/>
    <w:rsid w:val="00862DE8"/>
    <w:rsid w:val="00862E62"/>
    <w:rsid w:val="008634C2"/>
    <w:rsid w:val="008634FE"/>
    <w:rsid w:val="00863652"/>
    <w:rsid w:val="008637B8"/>
    <w:rsid w:val="0086389C"/>
    <w:rsid w:val="008639F7"/>
    <w:rsid w:val="0086420F"/>
    <w:rsid w:val="008643DC"/>
    <w:rsid w:val="00864417"/>
    <w:rsid w:val="00864418"/>
    <w:rsid w:val="00864789"/>
    <w:rsid w:val="00864A44"/>
    <w:rsid w:val="00864CB7"/>
    <w:rsid w:val="00864EEA"/>
    <w:rsid w:val="00864F02"/>
    <w:rsid w:val="00865124"/>
    <w:rsid w:val="008654CC"/>
    <w:rsid w:val="008654DC"/>
    <w:rsid w:val="00865803"/>
    <w:rsid w:val="00865832"/>
    <w:rsid w:val="008658DC"/>
    <w:rsid w:val="00865936"/>
    <w:rsid w:val="00865A06"/>
    <w:rsid w:val="00865A12"/>
    <w:rsid w:val="00865B2A"/>
    <w:rsid w:val="00865BE9"/>
    <w:rsid w:val="00865D95"/>
    <w:rsid w:val="00865E48"/>
    <w:rsid w:val="00865E4F"/>
    <w:rsid w:val="00865E99"/>
    <w:rsid w:val="00865F27"/>
    <w:rsid w:val="00866267"/>
    <w:rsid w:val="008663CE"/>
    <w:rsid w:val="00866663"/>
    <w:rsid w:val="00866889"/>
    <w:rsid w:val="00866BED"/>
    <w:rsid w:val="00866BEF"/>
    <w:rsid w:val="00866CCA"/>
    <w:rsid w:val="00866EE4"/>
    <w:rsid w:val="00867009"/>
    <w:rsid w:val="008672AC"/>
    <w:rsid w:val="008674B8"/>
    <w:rsid w:val="0086765D"/>
    <w:rsid w:val="00867663"/>
    <w:rsid w:val="00867733"/>
    <w:rsid w:val="00867B68"/>
    <w:rsid w:val="00867D6E"/>
    <w:rsid w:val="0087035E"/>
    <w:rsid w:val="00870678"/>
    <w:rsid w:val="0087067A"/>
    <w:rsid w:val="0087084D"/>
    <w:rsid w:val="00870850"/>
    <w:rsid w:val="00870886"/>
    <w:rsid w:val="00870A75"/>
    <w:rsid w:val="00870C2A"/>
    <w:rsid w:val="00870E11"/>
    <w:rsid w:val="00870E19"/>
    <w:rsid w:val="00870F15"/>
    <w:rsid w:val="00870FB7"/>
    <w:rsid w:val="008710EB"/>
    <w:rsid w:val="00871480"/>
    <w:rsid w:val="0087173E"/>
    <w:rsid w:val="008718D8"/>
    <w:rsid w:val="00871936"/>
    <w:rsid w:val="00871990"/>
    <w:rsid w:val="00871BB6"/>
    <w:rsid w:val="00871DB6"/>
    <w:rsid w:val="00871EA3"/>
    <w:rsid w:val="00871FC5"/>
    <w:rsid w:val="0087202F"/>
    <w:rsid w:val="0087215B"/>
    <w:rsid w:val="008722AC"/>
    <w:rsid w:val="00872513"/>
    <w:rsid w:val="00872620"/>
    <w:rsid w:val="00872C59"/>
    <w:rsid w:val="00872E3A"/>
    <w:rsid w:val="00873146"/>
    <w:rsid w:val="008731B9"/>
    <w:rsid w:val="00873232"/>
    <w:rsid w:val="00873336"/>
    <w:rsid w:val="008733C3"/>
    <w:rsid w:val="00873523"/>
    <w:rsid w:val="008735BA"/>
    <w:rsid w:val="008739DA"/>
    <w:rsid w:val="00873A07"/>
    <w:rsid w:val="00873A72"/>
    <w:rsid w:val="00873B78"/>
    <w:rsid w:val="00873BE7"/>
    <w:rsid w:val="00873DB4"/>
    <w:rsid w:val="008744E1"/>
    <w:rsid w:val="0087465E"/>
    <w:rsid w:val="008747E3"/>
    <w:rsid w:val="00874B05"/>
    <w:rsid w:val="00874DE3"/>
    <w:rsid w:val="008750C8"/>
    <w:rsid w:val="00875283"/>
    <w:rsid w:val="008752DC"/>
    <w:rsid w:val="00875557"/>
    <w:rsid w:val="008755E0"/>
    <w:rsid w:val="008756A3"/>
    <w:rsid w:val="00875931"/>
    <w:rsid w:val="0087599C"/>
    <w:rsid w:val="00875D45"/>
    <w:rsid w:val="00875DAC"/>
    <w:rsid w:val="00875F13"/>
    <w:rsid w:val="00875F75"/>
    <w:rsid w:val="008762BB"/>
    <w:rsid w:val="0087647C"/>
    <w:rsid w:val="008767E8"/>
    <w:rsid w:val="008769F5"/>
    <w:rsid w:val="00876AD6"/>
    <w:rsid w:val="00876B71"/>
    <w:rsid w:val="00876BE8"/>
    <w:rsid w:val="00876D8C"/>
    <w:rsid w:val="00876FBB"/>
    <w:rsid w:val="0087702D"/>
    <w:rsid w:val="0087706C"/>
    <w:rsid w:val="0087718F"/>
    <w:rsid w:val="0087726A"/>
    <w:rsid w:val="0087745D"/>
    <w:rsid w:val="0087757D"/>
    <w:rsid w:val="00877778"/>
    <w:rsid w:val="008779E4"/>
    <w:rsid w:val="00877B97"/>
    <w:rsid w:val="00877C0F"/>
    <w:rsid w:val="00877E27"/>
    <w:rsid w:val="00877FB6"/>
    <w:rsid w:val="00880106"/>
    <w:rsid w:val="0088042D"/>
    <w:rsid w:val="008806C2"/>
    <w:rsid w:val="00880B9B"/>
    <w:rsid w:val="00880D9F"/>
    <w:rsid w:val="008812D3"/>
    <w:rsid w:val="008817A0"/>
    <w:rsid w:val="00881EA4"/>
    <w:rsid w:val="00881F9A"/>
    <w:rsid w:val="0088237E"/>
    <w:rsid w:val="0088245F"/>
    <w:rsid w:val="008827D0"/>
    <w:rsid w:val="008829BB"/>
    <w:rsid w:val="00882C68"/>
    <w:rsid w:val="008831DF"/>
    <w:rsid w:val="008834D9"/>
    <w:rsid w:val="0088382F"/>
    <w:rsid w:val="0088389B"/>
    <w:rsid w:val="00883970"/>
    <w:rsid w:val="00883C45"/>
    <w:rsid w:val="00883F68"/>
    <w:rsid w:val="008841AF"/>
    <w:rsid w:val="008844AE"/>
    <w:rsid w:val="00884522"/>
    <w:rsid w:val="0088486B"/>
    <w:rsid w:val="0088490E"/>
    <w:rsid w:val="00884A85"/>
    <w:rsid w:val="00884BB8"/>
    <w:rsid w:val="00884DB4"/>
    <w:rsid w:val="00884EC1"/>
    <w:rsid w:val="00884F96"/>
    <w:rsid w:val="00885529"/>
    <w:rsid w:val="008857D2"/>
    <w:rsid w:val="0088594F"/>
    <w:rsid w:val="00885A0F"/>
    <w:rsid w:val="00885A90"/>
    <w:rsid w:val="00885C81"/>
    <w:rsid w:val="0088604C"/>
    <w:rsid w:val="008860B8"/>
    <w:rsid w:val="008860E7"/>
    <w:rsid w:val="008861F6"/>
    <w:rsid w:val="00886277"/>
    <w:rsid w:val="008862AE"/>
    <w:rsid w:val="0088660E"/>
    <w:rsid w:val="0088674C"/>
    <w:rsid w:val="00886822"/>
    <w:rsid w:val="00886828"/>
    <w:rsid w:val="0088685C"/>
    <w:rsid w:val="008869FE"/>
    <w:rsid w:val="00886A15"/>
    <w:rsid w:val="00886ADA"/>
    <w:rsid w:val="00886C33"/>
    <w:rsid w:val="00886DEC"/>
    <w:rsid w:val="00886FC8"/>
    <w:rsid w:val="00887029"/>
    <w:rsid w:val="008870F4"/>
    <w:rsid w:val="00887293"/>
    <w:rsid w:val="008873FF"/>
    <w:rsid w:val="0088758E"/>
    <w:rsid w:val="00887595"/>
    <w:rsid w:val="008876B4"/>
    <w:rsid w:val="00887728"/>
    <w:rsid w:val="00887C41"/>
    <w:rsid w:val="00887EDF"/>
    <w:rsid w:val="00887F6B"/>
    <w:rsid w:val="008900C3"/>
    <w:rsid w:val="008900CB"/>
    <w:rsid w:val="008900D6"/>
    <w:rsid w:val="00890219"/>
    <w:rsid w:val="00890427"/>
    <w:rsid w:val="00890758"/>
    <w:rsid w:val="00890AB9"/>
    <w:rsid w:val="0089108E"/>
    <w:rsid w:val="00891305"/>
    <w:rsid w:val="008913ED"/>
    <w:rsid w:val="00891707"/>
    <w:rsid w:val="0089198B"/>
    <w:rsid w:val="00891C70"/>
    <w:rsid w:val="00891CFA"/>
    <w:rsid w:val="00891DB5"/>
    <w:rsid w:val="00891EC9"/>
    <w:rsid w:val="00891F7A"/>
    <w:rsid w:val="00891FD4"/>
    <w:rsid w:val="00892043"/>
    <w:rsid w:val="00892127"/>
    <w:rsid w:val="008922CD"/>
    <w:rsid w:val="008924DB"/>
    <w:rsid w:val="008925E8"/>
    <w:rsid w:val="0089261F"/>
    <w:rsid w:val="00892D3B"/>
    <w:rsid w:val="00892D42"/>
    <w:rsid w:val="00893022"/>
    <w:rsid w:val="00893271"/>
    <w:rsid w:val="00893542"/>
    <w:rsid w:val="00893944"/>
    <w:rsid w:val="00893B18"/>
    <w:rsid w:val="00893C13"/>
    <w:rsid w:val="00893E64"/>
    <w:rsid w:val="00893F6E"/>
    <w:rsid w:val="00893FB2"/>
    <w:rsid w:val="008942FE"/>
    <w:rsid w:val="008944FB"/>
    <w:rsid w:val="00894A37"/>
    <w:rsid w:val="00894A89"/>
    <w:rsid w:val="00894D4B"/>
    <w:rsid w:val="00894DBA"/>
    <w:rsid w:val="00894DC3"/>
    <w:rsid w:val="00894E29"/>
    <w:rsid w:val="00894F5A"/>
    <w:rsid w:val="008952FD"/>
    <w:rsid w:val="00895758"/>
    <w:rsid w:val="00895863"/>
    <w:rsid w:val="00895AE4"/>
    <w:rsid w:val="00895BA0"/>
    <w:rsid w:val="00895CED"/>
    <w:rsid w:val="00895D79"/>
    <w:rsid w:val="00895DA1"/>
    <w:rsid w:val="00896048"/>
    <w:rsid w:val="00896076"/>
    <w:rsid w:val="0089629A"/>
    <w:rsid w:val="00896371"/>
    <w:rsid w:val="00896498"/>
    <w:rsid w:val="00896626"/>
    <w:rsid w:val="008968DC"/>
    <w:rsid w:val="008969AB"/>
    <w:rsid w:val="00896ACD"/>
    <w:rsid w:val="00896B16"/>
    <w:rsid w:val="00896CB4"/>
    <w:rsid w:val="00896D0B"/>
    <w:rsid w:val="00896D69"/>
    <w:rsid w:val="00896F83"/>
    <w:rsid w:val="008973C0"/>
    <w:rsid w:val="008973D3"/>
    <w:rsid w:val="0089765B"/>
    <w:rsid w:val="008977F7"/>
    <w:rsid w:val="00897A32"/>
    <w:rsid w:val="00897A79"/>
    <w:rsid w:val="00897BD2"/>
    <w:rsid w:val="008A0032"/>
    <w:rsid w:val="008A02F9"/>
    <w:rsid w:val="008A040E"/>
    <w:rsid w:val="008A0576"/>
    <w:rsid w:val="008A0671"/>
    <w:rsid w:val="008A0724"/>
    <w:rsid w:val="008A0725"/>
    <w:rsid w:val="008A07E7"/>
    <w:rsid w:val="008A09EB"/>
    <w:rsid w:val="008A0B6A"/>
    <w:rsid w:val="008A0DFC"/>
    <w:rsid w:val="008A107A"/>
    <w:rsid w:val="008A1324"/>
    <w:rsid w:val="008A1383"/>
    <w:rsid w:val="008A13B6"/>
    <w:rsid w:val="008A15BB"/>
    <w:rsid w:val="008A1661"/>
    <w:rsid w:val="008A17C5"/>
    <w:rsid w:val="008A1A52"/>
    <w:rsid w:val="008A2173"/>
    <w:rsid w:val="008A2327"/>
    <w:rsid w:val="008A2376"/>
    <w:rsid w:val="008A23DE"/>
    <w:rsid w:val="008A241E"/>
    <w:rsid w:val="008A2561"/>
    <w:rsid w:val="008A2591"/>
    <w:rsid w:val="008A263B"/>
    <w:rsid w:val="008A2671"/>
    <w:rsid w:val="008A277B"/>
    <w:rsid w:val="008A297E"/>
    <w:rsid w:val="008A2B04"/>
    <w:rsid w:val="008A2FE6"/>
    <w:rsid w:val="008A3261"/>
    <w:rsid w:val="008A35EC"/>
    <w:rsid w:val="008A36F2"/>
    <w:rsid w:val="008A3B49"/>
    <w:rsid w:val="008A3B66"/>
    <w:rsid w:val="008A3BA6"/>
    <w:rsid w:val="008A3CAF"/>
    <w:rsid w:val="008A3D05"/>
    <w:rsid w:val="008A3EB0"/>
    <w:rsid w:val="008A3FAF"/>
    <w:rsid w:val="008A42E1"/>
    <w:rsid w:val="008A4314"/>
    <w:rsid w:val="008A4518"/>
    <w:rsid w:val="008A454D"/>
    <w:rsid w:val="008A4766"/>
    <w:rsid w:val="008A4D1C"/>
    <w:rsid w:val="008A4D2C"/>
    <w:rsid w:val="008A4D89"/>
    <w:rsid w:val="008A4F1B"/>
    <w:rsid w:val="008A52B5"/>
    <w:rsid w:val="008A5312"/>
    <w:rsid w:val="008A5435"/>
    <w:rsid w:val="008A554B"/>
    <w:rsid w:val="008A5848"/>
    <w:rsid w:val="008A5A84"/>
    <w:rsid w:val="008A5B6C"/>
    <w:rsid w:val="008A5BCB"/>
    <w:rsid w:val="008A5CF1"/>
    <w:rsid w:val="008A5D91"/>
    <w:rsid w:val="008A5F86"/>
    <w:rsid w:val="008A6007"/>
    <w:rsid w:val="008A6072"/>
    <w:rsid w:val="008A6074"/>
    <w:rsid w:val="008A607D"/>
    <w:rsid w:val="008A6090"/>
    <w:rsid w:val="008A609D"/>
    <w:rsid w:val="008A6538"/>
    <w:rsid w:val="008A6597"/>
    <w:rsid w:val="008A66C2"/>
    <w:rsid w:val="008A6964"/>
    <w:rsid w:val="008A6C63"/>
    <w:rsid w:val="008A6C96"/>
    <w:rsid w:val="008A6E0D"/>
    <w:rsid w:val="008A6EE4"/>
    <w:rsid w:val="008A7165"/>
    <w:rsid w:val="008A79DE"/>
    <w:rsid w:val="008A7DB9"/>
    <w:rsid w:val="008A7E34"/>
    <w:rsid w:val="008A7E4C"/>
    <w:rsid w:val="008B001E"/>
    <w:rsid w:val="008B0024"/>
    <w:rsid w:val="008B00AD"/>
    <w:rsid w:val="008B01E0"/>
    <w:rsid w:val="008B025E"/>
    <w:rsid w:val="008B028E"/>
    <w:rsid w:val="008B034E"/>
    <w:rsid w:val="008B04B0"/>
    <w:rsid w:val="008B0636"/>
    <w:rsid w:val="008B0744"/>
    <w:rsid w:val="008B075A"/>
    <w:rsid w:val="008B0A04"/>
    <w:rsid w:val="008B0B37"/>
    <w:rsid w:val="008B0E0D"/>
    <w:rsid w:val="008B10BD"/>
    <w:rsid w:val="008B128B"/>
    <w:rsid w:val="008B12D3"/>
    <w:rsid w:val="008B1503"/>
    <w:rsid w:val="008B1593"/>
    <w:rsid w:val="008B1629"/>
    <w:rsid w:val="008B1702"/>
    <w:rsid w:val="008B192A"/>
    <w:rsid w:val="008B1A9D"/>
    <w:rsid w:val="008B1B90"/>
    <w:rsid w:val="008B1B98"/>
    <w:rsid w:val="008B1C76"/>
    <w:rsid w:val="008B1DE4"/>
    <w:rsid w:val="008B1E8D"/>
    <w:rsid w:val="008B1F19"/>
    <w:rsid w:val="008B20E0"/>
    <w:rsid w:val="008B21AD"/>
    <w:rsid w:val="008B2254"/>
    <w:rsid w:val="008B2382"/>
    <w:rsid w:val="008B2467"/>
    <w:rsid w:val="008B24BC"/>
    <w:rsid w:val="008B25C1"/>
    <w:rsid w:val="008B26BF"/>
    <w:rsid w:val="008B298D"/>
    <w:rsid w:val="008B2A7A"/>
    <w:rsid w:val="008B2A82"/>
    <w:rsid w:val="008B2B30"/>
    <w:rsid w:val="008B2C9C"/>
    <w:rsid w:val="008B2CA5"/>
    <w:rsid w:val="008B3018"/>
    <w:rsid w:val="008B3283"/>
    <w:rsid w:val="008B3455"/>
    <w:rsid w:val="008B348A"/>
    <w:rsid w:val="008B384F"/>
    <w:rsid w:val="008B38AB"/>
    <w:rsid w:val="008B38FA"/>
    <w:rsid w:val="008B39E7"/>
    <w:rsid w:val="008B3DBF"/>
    <w:rsid w:val="008B3E8F"/>
    <w:rsid w:val="008B3EE9"/>
    <w:rsid w:val="008B4055"/>
    <w:rsid w:val="008B424E"/>
    <w:rsid w:val="008B443C"/>
    <w:rsid w:val="008B4492"/>
    <w:rsid w:val="008B45AB"/>
    <w:rsid w:val="008B45D7"/>
    <w:rsid w:val="008B48BE"/>
    <w:rsid w:val="008B4C03"/>
    <w:rsid w:val="008B4F6F"/>
    <w:rsid w:val="008B52F5"/>
    <w:rsid w:val="008B539F"/>
    <w:rsid w:val="008B548B"/>
    <w:rsid w:val="008B54FA"/>
    <w:rsid w:val="008B56EA"/>
    <w:rsid w:val="008B57C3"/>
    <w:rsid w:val="008B583F"/>
    <w:rsid w:val="008B5C77"/>
    <w:rsid w:val="008B5C91"/>
    <w:rsid w:val="008B5CF7"/>
    <w:rsid w:val="008B6179"/>
    <w:rsid w:val="008B61A7"/>
    <w:rsid w:val="008B6322"/>
    <w:rsid w:val="008B6373"/>
    <w:rsid w:val="008B646A"/>
    <w:rsid w:val="008B64B9"/>
    <w:rsid w:val="008B677D"/>
    <w:rsid w:val="008B6857"/>
    <w:rsid w:val="008B69B6"/>
    <w:rsid w:val="008B6A96"/>
    <w:rsid w:val="008B6B60"/>
    <w:rsid w:val="008B722C"/>
    <w:rsid w:val="008B75C5"/>
    <w:rsid w:val="008B7881"/>
    <w:rsid w:val="008B7A73"/>
    <w:rsid w:val="008B7B13"/>
    <w:rsid w:val="008B7CBB"/>
    <w:rsid w:val="008B7D4A"/>
    <w:rsid w:val="008B7D7A"/>
    <w:rsid w:val="008C0024"/>
    <w:rsid w:val="008C0056"/>
    <w:rsid w:val="008C0662"/>
    <w:rsid w:val="008C06FF"/>
    <w:rsid w:val="008C13DD"/>
    <w:rsid w:val="008C176B"/>
    <w:rsid w:val="008C188C"/>
    <w:rsid w:val="008C1A10"/>
    <w:rsid w:val="008C1A9C"/>
    <w:rsid w:val="008C1C51"/>
    <w:rsid w:val="008C1C91"/>
    <w:rsid w:val="008C1E46"/>
    <w:rsid w:val="008C1F50"/>
    <w:rsid w:val="008C21E1"/>
    <w:rsid w:val="008C29CA"/>
    <w:rsid w:val="008C29EE"/>
    <w:rsid w:val="008C2B27"/>
    <w:rsid w:val="008C2D14"/>
    <w:rsid w:val="008C2E58"/>
    <w:rsid w:val="008C2F58"/>
    <w:rsid w:val="008C2FE2"/>
    <w:rsid w:val="008C30F8"/>
    <w:rsid w:val="008C3134"/>
    <w:rsid w:val="008C328F"/>
    <w:rsid w:val="008C3519"/>
    <w:rsid w:val="008C35A0"/>
    <w:rsid w:val="008C35BE"/>
    <w:rsid w:val="008C3B02"/>
    <w:rsid w:val="008C3B16"/>
    <w:rsid w:val="008C3B21"/>
    <w:rsid w:val="008C3D18"/>
    <w:rsid w:val="008C3F89"/>
    <w:rsid w:val="008C4145"/>
    <w:rsid w:val="008C4344"/>
    <w:rsid w:val="008C438C"/>
    <w:rsid w:val="008C43D0"/>
    <w:rsid w:val="008C4845"/>
    <w:rsid w:val="008C48D7"/>
    <w:rsid w:val="008C4E9D"/>
    <w:rsid w:val="008C4FF0"/>
    <w:rsid w:val="008C5009"/>
    <w:rsid w:val="008C5192"/>
    <w:rsid w:val="008C5263"/>
    <w:rsid w:val="008C5500"/>
    <w:rsid w:val="008C5592"/>
    <w:rsid w:val="008C5938"/>
    <w:rsid w:val="008C5C5A"/>
    <w:rsid w:val="008C5FF3"/>
    <w:rsid w:val="008C6270"/>
    <w:rsid w:val="008C62A0"/>
    <w:rsid w:val="008C62CE"/>
    <w:rsid w:val="008C6856"/>
    <w:rsid w:val="008C6AC3"/>
    <w:rsid w:val="008C6AD9"/>
    <w:rsid w:val="008C6DDF"/>
    <w:rsid w:val="008C6F27"/>
    <w:rsid w:val="008C72ED"/>
    <w:rsid w:val="008C7579"/>
    <w:rsid w:val="008C7727"/>
    <w:rsid w:val="008C776E"/>
    <w:rsid w:val="008C7827"/>
    <w:rsid w:val="008C7AEC"/>
    <w:rsid w:val="008C7F1A"/>
    <w:rsid w:val="008C7FC0"/>
    <w:rsid w:val="008D009F"/>
    <w:rsid w:val="008D01EE"/>
    <w:rsid w:val="008D0205"/>
    <w:rsid w:val="008D05D8"/>
    <w:rsid w:val="008D0745"/>
    <w:rsid w:val="008D080C"/>
    <w:rsid w:val="008D09A1"/>
    <w:rsid w:val="008D0AD9"/>
    <w:rsid w:val="008D0B9C"/>
    <w:rsid w:val="008D0C12"/>
    <w:rsid w:val="008D0DFC"/>
    <w:rsid w:val="008D0EBC"/>
    <w:rsid w:val="008D0F98"/>
    <w:rsid w:val="008D0FE5"/>
    <w:rsid w:val="008D1025"/>
    <w:rsid w:val="008D10BE"/>
    <w:rsid w:val="008D1189"/>
    <w:rsid w:val="008D130B"/>
    <w:rsid w:val="008D1522"/>
    <w:rsid w:val="008D15EC"/>
    <w:rsid w:val="008D1659"/>
    <w:rsid w:val="008D184B"/>
    <w:rsid w:val="008D1982"/>
    <w:rsid w:val="008D199E"/>
    <w:rsid w:val="008D1B28"/>
    <w:rsid w:val="008D1B91"/>
    <w:rsid w:val="008D1D79"/>
    <w:rsid w:val="008D2182"/>
    <w:rsid w:val="008D22AD"/>
    <w:rsid w:val="008D231C"/>
    <w:rsid w:val="008D2421"/>
    <w:rsid w:val="008D249E"/>
    <w:rsid w:val="008D25D0"/>
    <w:rsid w:val="008D26AA"/>
    <w:rsid w:val="008D2716"/>
    <w:rsid w:val="008D28CE"/>
    <w:rsid w:val="008D28F9"/>
    <w:rsid w:val="008D2E4A"/>
    <w:rsid w:val="008D3208"/>
    <w:rsid w:val="008D327B"/>
    <w:rsid w:val="008D3496"/>
    <w:rsid w:val="008D34F9"/>
    <w:rsid w:val="008D36B8"/>
    <w:rsid w:val="008D3F13"/>
    <w:rsid w:val="008D3F8C"/>
    <w:rsid w:val="008D4040"/>
    <w:rsid w:val="008D435B"/>
    <w:rsid w:val="008D4A43"/>
    <w:rsid w:val="008D4D21"/>
    <w:rsid w:val="008D4E56"/>
    <w:rsid w:val="008D4FB0"/>
    <w:rsid w:val="008D51F9"/>
    <w:rsid w:val="008D527B"/>
    <w:rsid w:val="008D53D6"/>
    <w:rsid w:val="008D57A6"/>
    <w:rsid w:val="008D5931"/>
    <w:rsid w:val="008D5B35"/>
    <w:rsid w:val="008D60D5"/>
    <w:rsid w:val="008D635E"/>
    <w:rsid w:val="008D6531"/>
    <w:rsid w:val="008D6894"/>
    <w:rsid w:val="008D6B8D"/>
    <w:rsid w:val="008D6D96"/>
    <w:rsid w:val="008D6E26"/>
    <w:rsid w:val="008D6F81"/>
    <w:rsid w:val="008D7060"/>
    <w:rsid w:val="008D719C"/>
    <w:rsid w:val="008D727F"/>
    <w:rsid w:val="008D74B7"/>
    <w:rsid w:val="008D76BB"/>
    <w:rsid w:val="008D76F6"/>
    <w:rsid w:val="008D77E0"/>
    <w:rsid w:val="008D7C70"/>
    <w:rsid w:val="008D7CD9"/>
    <w:rsid w:val="008D7DDD"/>
    <w:rsid w:val="008D7DF8"/>
    <w:rsid w:val="008D7E2D"/>
    <w:rsid w:val="008E01F2"/>
    <w:rsid w:val="008E0374"/>
    <w:rsid w:val="008E0376"/>
    <w:rsid w:val="008E0E1D"/>
    <w:rsid w:val="008E0E43"/>
    <w:rsid w:val="008E0F91"/>
    <w:rsid w:val="008E12F6"/>
    <w:rsid w:val="008E1467"/>
    <w:rsid w:val="008E147A"/>
    <w:rsid w:val="008E14F7"/>
    <w:rsid w:val="008E15A2"/>
    <w:rsid w:val="008E16EB"/>
    <w:rsid w:val="008E192E"/>
    <w:rsid w:val="008E1A8D"/>
    <w:rsid w:val="008E1B52"/>
    <w:rsid w:val="008E1C99"/>
    <w:rsid w:val="008E1E19"/>
    <w:rsid w:val="008E204E"/>
    <w:rsid w:val="008E220D"/>
    <w:rsid w:val="008E24E8"/>
    <w:rsid w:val="008E252A"/>
    <w:rsid w:val="008E2750"/>
    <w:rsid w:val="008E2AE5"/>
    <w:rsid w:val="008E2BA1"/>
    <w:rsid w:val="008E37C6"/>
    <w:rsid w:val="008E3882"/>
    <w:rsid w:val="008E3937"/>
    <w:rsid w:val="008E3BA1"/>
    <w:rsid w:val="008E3BE6"/>
    <w:rsid w:val="008E3F7C"/>
    <w:rsid w:val="008E3FD9"/>
    <w:rsid w:val="008E4056"/>
    <w:rsid w:val="008E4162"/>
    <w:rsid w:val="008E4235"/>
    <w:rsid w:val="008E4317"/>
    <w:rsid w:val="008E438C"/>
    <w:rsid w:val="008E44C2"/>
    <w:rsid w:val="008E4515"/>
    <w:rsid w:val="008E478F"/>
    <w:rsid w:val="008E4915"/>
    <w:rsid w:val="008E49DB"/>
    <w:rsid w:val="008E4BDA"/>
    <w:rsid w:val="008E4E23"/>
    <w:rsid w:val="008E4EC4"/>
    <w:rsid w:val="008E515A"/>
    <w:rsid w:val="008E51C3"/>
    <w:rsid w:val="008E51E7"/>
    <w:rsid w:val="008E5243"/>
    <w:rsid w:val="008E553B"/>
    <w:rsid w:val="008E5775"/>
    <w:rsid w:val="008E5918"/>
    <w:rsid w:val="008E59BE"/>
    <w:rsid w:val="008E5AA5"/>
    <w:rsid w:val="008E5C71"/>
    <w:rsid w:val="008E5D06"/>
    <w:rsid w:val="008E5DEF"/>
    <w:rsid w:val="008E5EFE"/>
    <w:rsid w:val="008E5F65"/>
    <w:rsid w:val="008E5FE0"/>
    <w:rsid w:val="008E6095"/>
    <w:rsid w:val="008E618D"/>
    <w:rsid w:val="008E65AF"/>
    <w:rsid w:val="008E65F4"/>
    <w:rsid w:val="008E66B0"/>
    <w:rsid w:val="008E6BC5"/>
    <w:rsid w:val="008E6C81"/>
    <w:rsid w:val="008E6D59"/>
    <w:rsid w:val="008E6DBF"/>
    <w:rsid w:val="008E6E3D"/>
    <w:rsid w:val="008E7043"/>
    <w:rsid w:val="008E735B"/>
    <w:rsid w:val="008E74DB"/>
    <w:rsid w:val="008E7967"/>
    <w:rsid w:val="008E7AAF"/>
    <w:rsid w:val="008E7BAE"/>
    <w:rsid w:val="008E7D16"/>
    <w:rsid w:val="008E7D80"/>
    <w:rsid w:val="008E7E7E"/>
    <w:rsid w:val="008F00EA"/>
    <w:rsid w:val="008F0213"/>
    <w:rsid w:val="008F0367"/>
    <w:rsid w:val="008F0490"/>
    <w:rsid w:val="008F049A"/>
    <w:rsid w:val="008F04FB"/>
    <w:rsid w:val="008F09A8"/>
    <w:rsid w:val="008F0CBD"/>
    <w:rsid w:val="008F0D18"/>
    <w:rsid w:val="008F0D2B"/>
    <w:rsid w:val="008F0E41"/>
    <w:rsid w:val="008F0F57"/>
    <w:rsid w:val="008F0F84"/>
    <w:rsid w:val="008F1082"/>
    <w:rsid w:val="008F137B"/>
    <w:rsid w:val="008F1531"/>
    <w:rsid w:val="008F16CB"/>
    <w:rsid w:val="008F18E8"/>
    <w:rsid w:val="008F1A53"/>
    <w:rsid w:val="008F1F9D"/>
    <w:rsid w:val="008F233D"/>
    <w:rsid w:val="008F28F2"/>
    <w:rsid w:val="008F2A5C"/>
    <w:rsid w:val="008F2F17"/>
    <w:rsid w:val="008F2F5C"/>
    <w:rsid w:val="008F2F96"/>
    <w:rsid w:val="008F2FE7"/>
    <w:rsid w:val="008F3050"/>
    <w:rsid w:val="008F3130"/>
    <w:rsid w:val="008F32E1"/>
    <w:rsid w:val="008F3413"/>
    <w:rsid w:val="008F3635"/>
    <w:rsid w:val="008F3867"/>
    <w:rsid w:val="008F3B59"/>
    <w:rsid w:val="008F3B9B"/>
    <w:rsid w:val="008F3C64"/>
    <w:rsid w:val="008F3D72"/>
    <w:rsid w:val="008F3DE6"/>
    <w:rsid w:val="008F3EAB"/>
    <w:rsid w:val="008F41D5"/>
    <w:rsid w:val="008F489D"/>
    <w:rsid w:val="008F499A"/>
    <w:rsid w:val="008F4A2A"/>
    <w:rsid w:val="008F4A64"/>
    <w:rsid w:val="008F4AA4"/>
    <w:rsid w:val="008F4DE9"/>
    <w:rsid w:val="008F4F77"/>
    <w:rsid w:val="008F523B"/>
    <w:rsid w:val="008F53D3"/>
    <w:rsid w:val="008F556C"/>
    <w:rsid w:val="008F5797"/>
    <w:rsid w:val="008F59C2"/>
    <w:rsid w:val="008F5B17"/>
    <w:rsid w:val="008F5BF0"/>
    <w:rsid w:val="008F5DBA"/>
    <w:rsid w:val="008F5FCB"/>
    <w:rsid w:val="008F6040"/>
    <w:rsid w:val="008F607F"/>
    <w:rsid w:val="008F6158"/>
    <w:rsid w:val="008F61D0"/>
    <w:rsid w:val="008F61F5"/>
    <w:rsid w:val="008F627F"/>
    <w:rsid w:val="008F628C"/>
    <w:rsid w:val="008F62FC"/>
    <w:rsid w:val="008F64B1"/>
    <w:rsid w:val="008F67C4"/>
    <w:rsid w:val="008F681C"/>
    <w:rsid w:val="008F70BB"/>
    <w:rsid w:val="008F74BF"/>
    <w:rsid w:val="008F75C5"/>
    <w:rsid w:val="008F76BC"/>
    <w:rsid w:val="008F7869"/>
    <w:rsid w:val="008F78A4"/>
    <w:rsid w:val="008F7E8A"/>
    <w:rsid w:val="008F7ECF"/>
    <w:rsid w:val="008F7FC0"/>
    <w:rsid w:val="00900098"/>
    <w:rsid w:val="0090031D"/>
    <w:rsid w:val="0090074A"/>
    <w:rsid w:val="00900818"/>
    <w:rsid w:val="00900AD0"/>
    <w:rsid w:val="00900BA8"/>
    <w:rsid w:val="00900BE1"/>
    <w:rsid w:val="00900F74"/>
    <w:rsid w:val="00900FDA"/>
    <w:rsid w:val="00901013"/>
    <w:rsid w:val="00901117"/>
    <w:rsid w:val="0090113C"/>
    <w:rsid w:val="0090117E"/>
    <w:rsid w:val="009011EB"/>
    <w:rsid w:val="0090121B"/>
    <w:rsid w:val="00901408"/>
    <w:rsid w:val="0090164D"/>
    <w:rsid w:val="0090170B"/>
    <w:rsid w:val="00901A4B"/>
    <w:rsid w:val="00901BBE"/>
    <w:rsid w:val="00901C92"/>
    <w:rsid w:val="00901F84"/>
    <w:rsid w:val="0090207E"/>
    <w:rsid w:val="009020BA"/>
    <w:rsid w:val="00902283"/>
    <w:rsid w:val="009022BD"/>
    <w:rsid w:val="00902751"/>
    <w:rsid w:val="00902758"/>
    <w:rsid w:val="009028FC"/>
    <w:rsid w:val="00902CA1"/>
    <w:rsid w:val="00902DB8"/>
    <w:rsid w:val="00902DDB"/>
    <w:rsid w:val="00902E01"/>
    <w:rsid w:val="00902FC6"/>
    <w:rsid w:val="00903148"/>
    <w:rsid w:val="0090320F"/>
    <w:rsid w:val="00903491"/>
    <w:rsid w:val="009038C2"/>
    <w:rsid w:val="00903921"/>
    <w:rsid w:val="0090395A"/>
    <w:rsid w:val="00903BDA"/>
    <w:rsid w:val="00903E34"/>
    <w:rsid w:val="00904003"/>
    <w:rsid w:val="00904404"/>
    <w:rsid w:val="009046F1"/>
    <w:rsid w:val="0090485A"/>
    <w:rsid w:val="00904992"/>
    <w:rsid w:val="00904A76"/>
    <w:rsid w:val="00904CA4"/>
    <w:rsid w:val="00904DBC"/>
    <w:rsid w:val="00904EBE"/>
    <w:rsid w:val="00904EC5"/>
    <w:rsid w:val="00904FA5"/>
    <w:rsid w:val="00904FC1"/>
    <w:rsid w:val="009051D7"/>
    <w:rsid w:val="0090527A"/>
    <w:rsid w:val="0090530F"/>
    <w:rsid w:val="009053E0"/>
    <w:rsid w:val="0090553A"/>
    <w:rsid w:val="009056D7"/>
    <w:rsid w:val="009057D4"/>
    <w:rsid w:val="00905BB9"/>
    <w:rsid w:val="00905BDA"/>
    <w:rsid w:val="00905DA7"/>
    <w:rsid w:val="00905E4C"/>
    <w:rsid w:val="00906158"/>
    <w:rsid w:val="0090618F"/>
    <w:rsid w:val="009062AE"/>
    <w:rsid w:val="009064DD"/>
    <w:rsid w:val="00906878"/>
    <w:rsid w:val="009069A0"/>
    <w:rsid w:val="00906A43"/>
    <w:rsid w:val="009070F8"/>
    <w:rsid w:val="00907272"/>
    <w:rsid w:val="009076BE"/>
    <w:rsid w:val="00907925"/>
    <w:rsid w:val="00907EAF"/>
    <w:rsid w:val="009102E7"/>
    <w:rsid w:val="0091049E"/>
    <w:rsid w:val="00910561"/>
    <w:rsid w:val="009109B2"/>
    <w:rsid w:val="00910CE1"/>
    <w:rsid w:val="00910DC7"/>
    <w:rsid w:val="00910E39"/>
    <w:rsid w:val="00911012"/>
    <w:rsid w:val="0091130B"/>
    <w:rsid w:val="009113AD"/>
    <w:rsid w:val="009116B0"/>
    <w:rsid w:val="009116CC"/>
    <w:rsid w:val="0091171D"/>
    <w:rsid w:val="0091173A"/>
    <w:rsid w:val="0091191A"/>
    <w:rsid w:val="00911A96"/>
    <w:rsid w:val="00911BBB"/>
    <w:rsid w:val="00911F0D"/>
    <w:rsid w:val="00911F62"/>
    <w:rsid w:val="00912141"/>
    <w:rsid w:val="0091217F"/>
    <w:rsid w:val="009122CA"/>
    <w:rsid w:val="009124F7"/>
    <w:rsid w:val="009126FA"/>
    <w:rsid w:val="009127A4"/>
    <w:rsid w:val="009128A7"/>
    <w:rsid w:val="0091298E"/>
    <w:rsid w:val="009129F4"/>
    <w:rsid w:val="00912E79"/>
    <w:rsid w:val="00912F1D"/>
    <w:rsid w:val="00912FE4"/>
    <w:rsid w:val="00913196"/>
    <w:rsid w:val="009131DC"/>
    <w:rsid w:val="0091324C"/>
    <w:rsid w:val="00913306"/>
    <w:rsid w:val="009133A3"/>
    <w:rsid w:val="009133B0"/>
    <w:rsid w:val="00913525"/>
    <w:rsid w:val="0091370E"/>
    <w:rsid w:val="00913B63"/>
    <w:rsid w:val="00913BEC"/>
    <w:rsid w:val="00913F9A"/>
    <w:rsid w:val="009140CB"/>
    <w:rsid w:val="0091415B"/>
    <w:rsid w:val="00914361"/>
    <w:rsid w:val="009144BE"/>
    <w:rsid w:val="00914584"/>
    <w:rsid w:val="00914606"/>
    <w:rsid w:val="00914828"/>
    <w:rsid w:val="00914919"/>
    <w:rsid w:val="00914AEE"/>
    <w:rsid w:val="00914B57"/>
    <w:rsid w:val="00914B5D"/>
    <w:rsid w:val="00914C23"/>
    <w:rsid w:val="00914D81"/>
    <w:rsid w:val="00914E35"/>
    <w:rsid w:val="009151E3"/>
    <w:rsid w:val="0091534E"/>
    <w:rsid w:val="00915A1B"/>
    <w:rsid w:val="00915BDD"/>
    <w:rsid w:val="00915C31"/>
    <w:rsid w:val="00915C50"/>
    <w:rsid w:val="009160E3"/>
    <w:rsid w:val="0091610A"/>
    <w:rsid w:val="0091638F"/>
    <w:rsid w:val="00916524"/>
    <w:rsid w:val="00916805"/>
    <w:rsid w:val="009169AB"/>
    <w:rsid w:val="00916C1A"/>
    <w:rsid w:val="00916D31"/>
    <w:rsid w:val="00916D5B"/>
    <w:rsid w:val="00916E43"/>
    <w:rsid w:val="00917142"/>
    <w:rsid w:val="0091719E"/>
    <w:rsid w:val="009171F0"/>
    <w:rsid w:val="0091727A"/>
    <w:rsid w:val="009174AE"/>
    <w:rsid w:val="009176FF"/>
    <w:rsid w:val="00917941"/>
    <w:rsid w:val="00917A21"/>
    <w:rsid w:val="00920011"/>
    <w:rsid w:val="009201F8"/>
    <w:rsid w:val="009202F7"/>
    <w:rsid w:val="00920452"/>
    <w:rsid w:val="0092086E"/>
    <w:rsid w:val="00920ACB"/>
    <w:rsid w:val="00920D9B"/>
    <w:rsid w:val="00920EE6"/>
    <w:rsid w:val="009210AE"/>
    <w:rsid w:val="00921193"/>
    <w:rsid w:val="0092149B"/>
    <w:rsid w:val="00921557"/>
    <w:rsid w:val="00921771"/>
    <w:rsid w:val="00921982"/>
    <w:rsid w:val="00921BB7"/>
    <w:rsid w:val="00921CB1"/>
    <w:rsid w:val="00921CFE"/>
    <w:rsid w:val="00921DFB"/>
    <w:rsid w:val="00921EE0"/>
    <w:rsid w:val="0092200E"/>
    <w:rsid w:val="00922041"/>
    <w:rsid w:val="00922108"/>
    <w:rsid w:val="009221EC"/>
    <w:rsid w:val="009223E9"/>
    <w:rsid w:val="0092254A"/>
    <w:rsid w:val="009226DB"/>
    <w:rsid w:val="0092277B"/>
    <w:rsid w:val="00922809"/>
    <w:rsid w:val="00922834"/>
    <w:rsid w:val="0092286E"/>
    <w:rsid w:val="009229B4"/>
    <w:rsid w:val="00922AC4"/>
    <w:rsid w:val="00922D4C"/>
    <w:rsid w:val="009234E6"/>
    <w:rsid w:val="00923548"/>
    <w:rsid w:val="009235EE"/>
    <w:rsid w:val="009237DE"/>
    <w:rsid w:val="009238A2"/>
    <w:rsid w:val="00923ACF"/>
    <w:rsid w:val="00923B0D"/>
    <w:rsid w:val="00923E50"/>
    <w:rsid w:val="00924034"/>
    <w:rsid w:val="00924052"/>
    <w:rsid w:val="00924079"/>
    <w:rsid w:val="009241AF"/>
    <w:rsid w:val="009241B8"/>
    <w:rsid w:val="009242EC"/>
    <w:rsid w:val="00924312"/>
    <w:rsid w:val="00924404"/>
    <w:rsid w:val="0092442D"/>
    <w:rsid w:val="0092459E"/>
    <w:rsid w:val="00924682"/>
    <w:rsid w:val="0092474C"/>
    <w:rsid w:val="0092478E"/>
    <w:rsid w:val="009248E3"/>
    <w:rsid w:val="00924926"/>
    <w:rsid w:val="00924B96"/>
    <w:rsid w:val="009250DE"/>
    <w:rsid w:val="00925285"/>
    <w:rsid w:val="00925453"/>
    <w:rsid w:val="009257EF"/>
    <w:rsid w:val="0092589B"/>
    <w:rsid w:val="00925D07"/>
    <w:rsid w:val="00925D23"/>
    <w:rsid w:val="00925DF5"/>
    <w:rsid w:val="00925F78"/>
    <w:rsid w:val="00926242"/>
    <w:rsid w:val="00926474"/>
    <w:rsid w:val="00926521"/>
    <w:rsid w:val="009268D1"/>
    <w:rsid w:val="00926C9A"/>
    <w:rsid w:val="00927060"/>
    <w:rsid w:val="00927150"/>
    <w:rsid w:val="00927162"/>
    <w:rsid w:val="00927326"/>
    <w:rsid w:val="00927672"/>
    <w:rsid w:val="0092772B"/>
    <w:rsid w:val="00927A62"/>
    <w:rsid w:val="00927C22"/>
    <w:rsid w:val="00927D3A"/>
    <w:rsid w:val="00927F2D"/>
    <w:rsid w:val="00930046"/>
    <w:rsid w:val="00930260"/>
    <w:rsid w:val="0093031B"/>
    <w:rsid w:val="009304CF"/>
    <w:rsid w:val="0093072F"/>
    <w:rsid w:val="009308CC"/>
    <w:rsid w:val="009309C4"/>
    <w:rsid w:val="00930A2C"/>
    <w:rsid w:val="00930A46"/>
    <w:rsid w:val="00930BC9"/>
    <w:rsid w:val="00930C19"/>
    <w:rsid w:val="00930EFC"/>
    <w:rsid w:val="00930F7C"/>
    <w:rsid w:val="009310C3"/>
    <w:rsid w:val="0093114B"/>
    <w:rsid w:val="00931241"/>
    <w:rsid w:val="00931513"/>
    <w:rsid w:val="009315D9"/>
    <w:rsid w:val="009317FB"/>
    <w:rsid w:val="00931978"/>
    <w:rsid w:val="00931B77"/>
    <w:rsid w:val="00931D5F"/>
    <w:rsid w:val="00931DDE"/>
    <w:rsid w:val="00931E4A"/>
    <w:rsid w:val="00931EA3"/>
    <w:rsid w:val="00931F51"/>
    <w:rsid w:val="00932278"/>
    <w:rsid w:val="009323FC"/>
    <w:rsid w:val="00932431"/>
    <w:rsid w:val="00932487"/>
    <w:rsid w:val="009327D6"/>
    <w:rsid w:val="00932807"/>
    <w:rsid w:val="00932B27"/>
    <w:rsid w:val="00932B33"/>
    <w:rsid w:val="00932B8E"/>
    <w:rsid w:val="00932BAC"/>
    <w:rsid w:val="00932C37"/>
    <w:rsid w:val="00932D47"/>
    <w:rsid w:val="00932F74"/>
    <w:rsid w:val="009330F3"/>
    <w:rsid w:val="00933141"/>
    <w:rsid w:val="009332A2"/>
    <w:rsid w:val="009333F0"/>
    <w:rsid w:val="00933C29"/>
    <w:rsid w:val="00933D69"/>
    <w:rsid w:val="00933E86"/>
    <w:rsid w:val="00933F3C"/>
    <w:rsid w:val="00933F6B"/>
    <w:rsid w:val="0093403A"/>
    <w:rsid w:val="00934073"/>
    <w:rsid w:val="0093425C"/>
    <w:rsid w:val="00934292"/>
    <w:rsid w:val="00934308"/>
    <w:rsid w:val="00934AE6"/>
    <w:rsid w:val="00934B7D"/>
    <w:rsid w:val="00934CDE"/>
    <w:rsid w:val="00934E93"/>
    <w:rsid w:val="009351B2"/>
    <w:rsid w:val="00935897"/>
    <w:rsid w:val="00935AF5"/>
    <w:rsid w:val="00935CC8"/>
    <w:rsid w:val="00935F0F"/>
    <w:rsid w:val="00936098"/>
    <w:rsid w:val="00936203"/>
    <w:rsid w:val="0093629C"/>
    <w:rsid w:val="0093669F"/>
    <w:rsid w:val="0093681C"/>
    <w:rsid w:val="00936861"/>
    <w:rsid w:val="0093694F"/>
    <w:rsid w:val="00936A3A"/>
    <w:rsid w:val="00936A5C"/>
    <w:rsid w:val="00936B0C"/>
    <w:rsid w:val="00936D1B"/>
    <w:rsid w:val="00936DA5"/>
    <w:rsid w:val="00936E66"/>
    <w:rsid w:val="00936FAF"/>
    <w:rsid w:val="009374B0"/>
    <w:rsid w:val="0093758C"/>
    <w:rsid w:val="009375F9"/>
    <w:rsid w:val="009376DA"/>
    <w:rsid w:val="00937A11"/>
    <w:rsid w:val="0094023C"/>
    <w:rsid w:val="0094023F"/>
    <w:rsid w:val="00940438"/>
    <w:rsid w:val="009406D5"/>
    <w:rsid w:val="0094080F"/>
    <w:rsid w:val="00940ADC"/>
    <w:rsid w:val="00940C4F"/>
    <w:rsid w:val="009410FF"/>
    <w:rsid w:val="009411F0"/>
    <w:rsid w:val="009411F2"/>
    <w:rsid w:val="0094121B"/>
    <w:rsid w:val="0094139E"/>
    <w:rsid w:val="009415D2"/>
    <w:rsid w:val="009417F7"/>
    <w:rsid w:val="0094198C"/>
    <w:rsid w:val="00941A52"/>
    <w:rsid w:val="00941C67"/>
    <w:rsid w:val="00941D56"/>
    <w:rsid w:val="009420DA"/>
    <w:rsid w:val="00942351"/>
    <w:rsid w:val="009423E7"/>
    <w:rsid w:val="00942646"/>
    <w:rsid w:val="009426F3"/>
    <w:rsid w:val="009430DC"/>
    <w:rsid w:val="00943290"/>
    <w:rsid w:val="009432A6"/>
    <w:rsid w:val="0094355F"/>
    <w:rsid w:val="009435B0"/>
    <w:rsid w:val="009438E7"/>
    <w:rsid w:val="00943DBB"/>
    <w:rsid w:val="00943EAC"/>
    <w:rsid w:val="00943F9C"/>
    <w:rsid w:val="0094413B"/>
    <w:rsid w:val="00944182"/>
    <w:rsid w:val="009441B1"/>
    <w:rsid w:val="0094430F"/>
    <w:rsid w:val="009447AA"/>
    <w:rsid w:val="00944851"/>
    <w:rsid w:val="009449AD"/>
    <w:rsid w:val="00944B98"/>
    <w:rsid w:val="00944BD9"/>
    <w:rsid w:val="00944DAB"/>
    <w:rsid w:val="00944DE8"/>
    <w:rsid w:val="009451C7"/>
    <w:rsid w:val="009453D6"/>
    <w:rsid w:val="009455C1"/>
    <w:rsid w:val="00945652"/>
    <w:rsid w:val="00945CB4"/>
    <w:rsid w:val="00945F99"/>
    <w:rsid w:val="00945FE6"/>
    <w:rsid w:val="0094600A"/>
    <w:rsid w:val="0094618B"/>
    <w:rsid w:val="0094645C"/>
    <w:rsid w:val="009464A3"/>
    <w:rsid w:val="009465D9"/>
    <w:rsid w:val="00946674"/>
    <w:rsid w:val="009467CD"/>
    <w:rsid w:val="00946813"/>
    <w:rsid w:val="00946953"/>
    <w:rsid w:val="00946993"/>
    <w:rsid w:val="0094699D"/>
    <w:rsid w:val="00946AF5"/>
    <w:rsid w:val="00946B1C"/>
    <w:rsid w:val="00946C9E"/>
    <w:rsid w:val="00946F56"/>
    <w:rsid w:val="00946FF9"/>
    <w:rsid w:val="009470B0"/>
    <w:rsid w:val="009473EE"/>
    <w:rsid w:val="00947732"/>
    <w:rsid w:val="009477EA"/>
    <w:rsid w:val="00947A1E"/>
    <w:rsid w:val="00947A6E"/>
    <w:rsid w:val="00947C26"/>
    <w:rsid w:val="00947CF2"/>
    <w:rsid w:val="00947EED"/>
    <w:rsid w:val="00947FAE"/>
    <w:rsid w:val="00950070"/>
    <w:rsid w:val="00950627"/>
    <w:rsid w:val="009506B5"/>
    <w:rsid w:val="009506CC"/>
    <w:rsid w:val="00950870"/>
    <w:rsid w:val="00950A1D"/>
    <w:rsid w:val="00950CFD"/>
    <w:rsid w:val="00950D3C"/>
    <w:rsid w:val="00950F7B"/>
    <w:rsid w:val="00951106"/>
    <w:rsid w:val="00951289"/>
    <w:rsid w:val="009512FA"/>
    <w:rsid w:val="00951CF8"/>
    <w:rsid w:val="00952298"/>
    <w:rsid w:val="009525A7"/>
    <w:rsid w:val="0095266B"/>
    <w:rsid w:val="00952712"/>
    <w:rsid w:val="0095273A"/>
    <w:rsid w:val="00952A80"/>
    <w:rsid w:val="00952B0A"/>
    <w:rsid w:val="0095302A"/>
    <w:rsid w:val="0095323C"/>
    <w:rsid w:val="00953316"/>
    <w:rsid w:val="00953443"/>
    <w:rsid w:val="00953D19"/>
    <w:rsid w:val="00953DB4"/>
    <w:rsid w:val="00953E29"/>
    <w:rsid w:val="0095409D"/>
    <w:rsid w:val="00954152"/>
    <w:rsid w:val="00954466"/>
    <w:rsid w:val="0095450F"/>
    <w:rsid w:val="00954542"/>
    <w:rsid w:val="009545AC"/>
    <w:rsid w:val="00954614"/>
    <w:rsid w:val="00954EA3"/>
    <w:rsid w:val="0095547D"/>
    <w:rsid w:val="0095549D"/>
    <w:rsid w:val="0095559C"/>
    <w:rsid w:val="009557E0"/>
    <w:rsid w:val="00955CA8"/>
    <w:rsid w:val="00956137"/>
    <w:rsid w:val="009565F0"/>
    <w:rsid w:val="00956705"/>
    <w:rsid w:val="00956A51"/>
    <w:rsid w:val="00956C83"/>
    <w:rsid w:val="00956D0A"/>
    <w:rsid w:val="00956E9B"/>
    <w:rsid w:val="0095705F"/>
    <w:rsid w:val="0095736F"/>
    <w:rsid w:val="009575BB"/>
    <w:rsid w:val="00957629"/>
    <w:rsid w:val="00957834"/>
    <w:rsid w:val="009578C6"/>
    <w:rsid w:val="009578EF"/>
    <w:rsid w:val="00957A4B"/>
    <w:rsid w:val="00957D23"/>
    <w:rsid w:val="00957D62"/>
    <w:rsid w:val="00957F98"/>
    <w:rsid w:val="0096032A"/>
    <w:rsid w:val="009603D4"/>
    <w:rsid w:val="00960625"/>
    <w:rsid w:val="00960684"/>
    <w:rsid w:val="009607C5"/>
    <w:rsid w:val="00960802"/>
    <w:rsid w:val="0096097D"/>
    <w:rsid w:val="00960F0D"/>
    <w:rsid w:val="009610AD"/>
    <w:rsid w:val="00961325"/>
    <w:rsid w:val="009613D5"/>
    <w:rsid w:val="0096142A"/>
    <w:rsid w:val="009616B7"/>
    <w:rsid w:val="00961A2C"/>
    <w:rsid w:val="00961A94"/>
    <w:rsid w:val="00961B83"/>
    <w:rsid w:val="00961BEF"/>
    <w:rsid w:val="00961BFA"/>
    <w:rsid w:val="00961F8C"/>
    <w:rsid w:val="00962076"/>
    <w:rsid w:val="00962637"/>
    <w:rsid w:val="0096296A"/>
    <w:rsid w:val="00962B2D"/>
    <w:rsid w:val="00962D42"/>
    <w:rsid w:val="00962E29"/>
    <w:rsid w:val="00962ECB"/>
    <w:rsid w:val="00963669"/>
    <w:rsid w:val="0096373C"/>
    <w:rsid w:val="009637F5"/>
    <w:rsid w:val="00963AA4"/>
    <w:rsid w:val="00963C99"/>
    <w:rsid w:val="00963C9F"/>
    <w:rsid w:val="00963DE1"/>
    <w:rsid w:val="00963F49"/>
    <w:rsid w:val="00964150"/>
    <w:rsid w:val="00964276"/>
    <w:rsid w:val="0096474B"/>
    <w:rsid w:val="00964805"/>
    <w:rsid w:val="00964836"/>
    <w:rsid w:val="0096494E"/>
    <w:rsid w:val="00964B35"/>
    <w:rsid w:val="00964C0B"/>
    <w:rsid w:val="00964CF0"/>
    <w:rsid w:val="0096517C"/>
    <w:rsid w:val="0096519E"/>
    <w:rsid w:val="009656DB"/>
    <w:rsid w:val="009656DE"/>
    <w:rsid w:val="0096573D"/>
    <w:rsid w:val="00965787"/>
    <w:rsid w:val="00965AAF"/>
    <w:rsid w:val="00965BC0"/>
    <w:rsid w:val="00965C33"/>
    <w:rsid w:val="00965EB0"/>
    <w:rsid w:val="009664F7"/>
    <w:rsid w:val="00966619"/>
    <w:rsid w:val="0096662B"/>
    <w:rsid w:val="009666E3"/>
    <w:rsid w:val="0096685B"/>
    <w:rsid w:val="00966A99"/>
    <w:rsid w:val="00966B7E"/>
    <w:rsid w:val="00966F5E"/>
    <w:rsid w:val="00967042"/>
    <w:rsid w:val="00967219"/>
    <w:rsid w:val="009672F9"/>
    <w:rsid w:val="00967518"/>
    <w:rsid w:val="0096759C"/>
    <w:rsid w:val="009679F4"/>
    <w:rsid w:val="009679F9"/>
    <w:rsid w:val="00967A89"/>
    <w:rsid w:val="00967B1E"/>
    <w:rsid w:val="00967D11"/>
    <w:rsid w:val="00967DA1"/>
    <w:rsid w:val="00967EA9"/>
    <w:rsid w:val="009701EF"/>
    <w:rsid w:val="00970592"/>
    <w:rsid w:val="00970A83"/>
    <w:rsid w:val="00970ECA"/>
    <w:rsid w:val="00970FE4"/>
    <w:rsid w:val="0097110F"/>
    <w:rsid w:val="0097145B"/>
    <w:rsid w:val="00971632"/>
    <w:rsid w:val="0097168C"/>
    <w:rsid w:val="009716E6"/>
    <w:rsid w:val="009717BD"/>
    <w:rsid w:val="00971AA2"/>
    <w:rsid w:val="00971BFD"/>
    <w:rsid w:val="00971FB0"/>
    <w:rsid w:val="009724EC"/>
    <w:rsid w:val="00972655"/>
    <w:rsid w:val="0097267B"/>
    <w:rsid w:val="0097289F"/>
    <w:rsid w:val="00972CC6"/>
    <w:rsid w:val="00972F36"/>
    <w:rsid w:val="009730F4"/>
    <w:rsid w:val="00973117"/>
    <w:rsid w:val="00973163"/>
    <w:rsid w:val="009736B6"/>
    <w:rsid w:val="0097383B"/>
    <w:rsid w:val="0097383E"/>
    <w:rsid w:val="00973A08"/>
    <w:rsid w:val="00973C09"/>
    <w:rsid w:val="00973C89"/>
    <w:rsid w:val="00973DF3"/>
    <w:rsid w:val="00973E19"/>
    <w:rsid w:val="00974017"/>
    <w:rsid w:val="00974204"/>
    <w:rsid w:val="009743E1"/>
    <w:rsid w:val="00974456"/>
    <w:rsid w:val="009747DC"/>
    <w:rsid w:val="00974847"/>
    <w:rsid w:val="009749C4"/>
    <w:rsid w:val="00974AC8"/>
    <w:rsid w:val="00974C41"/>
    <w:rsid w:val="00974CB3"/>
    <w:rsid w:val="00974D17"/>
    <w:rsid w:val="00974D19"/>
    <w:rsid w:val="00974E76"/>
    <w:rsid w:val="00975150"/>
    <w:rsid w:val="00975181"/>
    <w:rsid w:val="00975781"/>
    <w:rsid w:val="0097585B"/>
    <w:rsid w:val="00975B2D"/>
    <w:rsid w:val="00975B5B"/>
    <w:rsid w:val="00975DE2"/>
    <w:rsid w:val="00975DFB"/>
    <w:rsid w:val="009760C8"/>
    <w:rsid w:val="00976293"/>
    <w:rsid w:val="009765BA"/>
    <w:rsid w:val="00976773"/>
    <w:rsid w:val="009767DB"/>
    <w:rsid w:val="0097680C"/>
    <w:rsid w:val="00976817"/>
    <w:rsid w:val="00976A4E"/>
    <w:rsid w:val="00976A9D"/>
    <w:rsid w:val="00976B9F"/>
    <w:rsid w:val="009771F1"/>
    <w:rsid w:val="00977467"/>
    <w:rsid w:val="00977812"/>
    <w:rsid w:val="00977901"/>
    <w:rsid w:val="00977CD6"/>
    <w:rsid w:val="009801DE"/>
    <w:rsid w:val="0098022D"/>
    <w:rsid w:val="00980275"/>
    <w:rsid w:val="009806C0"/>
    <w:rsid w:val="009807D8"/>
    <w:rsid w:val="009807E4"/>
    <w:rsid w:val="00980A39"/>
    <w:rsid w:val="00980F53"/>
    <w:rsid w:val="00980F8D"/>
    <w:rsid w:val="00980FDA"/>
    <w:rsid w:val="0098102D"/>
    <w:rsid w:val="0098136F"/>
    <w:rsid w:val="0098153C"/>
    <w:rsid w:val="009815B5"/>
    <w:rsid w:val="00981721"/>
    <w:rsid w:val="00981F56"/>
    <w:rsid w:val="00982312"/>
    <w:rsid w:val="00982326"/>
    <w:rsid w:val="00982334"/>
    <w:rsid w:val="00982705"/>
    <w:rsid w:val="00982714"/>
    <w:rsid w:val="00982985"/>
    <w:rsid w:val="00982A71"/>
    <w:rsid w:val="00982CB6"/>
    <w:rsid w:val="00982D99"/>
    <w:rsid w:val="009830D2"/>
    <w:rsid w:val="009830D6"/>
    <w:rsid w:val="009832E1"/>
    <w:rsid w:val="00983485"/>
    <w:rsid w:val="0098351B"/>
    <w:rsid w:val="0098356A"/>
    <w:rsid w:val="0098358B"/>
    <w:rsid w:val="00983633"/>
    <w:rsid w:val="009836F8"/>
    <w:rsid w:val="00983803"/>
    <w:rsid w:val="00983830"/>
    <w:rsid w:val="00983AE3"/>
    <w:rsid w:val="00983B41"/>
    <w:rsid w:val="00983FED"/>
    <w:rsid w:val="00984397"/>
    <w:rsid w:val="00984443"/>
    <w:rsid w:val="009844C2"/>
    <w:rsid w:val="00984779"/>
    <w:rsid w:val="0098495A"/>
    <w:rsid w:val="00984981"/>
    <w:rsid w:val="00984C10"/>
    <w:rsid w:val="00984CAC"/>
    <w:rsid w:val="00984CBB"/>
    <w:rsid w:val="00984F5E"/>
    <w:rsid w:val="009852EE"/>
    <w:rsid w:val="009858C3"/>
    <w:rsid w:val="00985E34"/>
    <w:rsid w:val="00985E53"/>
    <w:rsid w:val="00985F02"/>
    <w:rsid w:val="00985F49"/>
    <w:rsid w:val="00986353"/>
    <w:rsid w:val="0098653B"/>
    <w:rsid w:val="00986606"/>
    <w:rsid w:val="0098668B"/>
    <w:rsid w:val="00986736"/>
    <w:rsid w:val="00986848"/>
    <w:rsid w:val="00986A8A"/>
    <w:rsid w:val="00986BCD"/>
    <w:rsid w:val="009870CD"/>
    <w:rsid w:val="0098721D"/>
    <w:rsid w:val="009873C1"/>
    <w:rsid w:val="009874C5"/>
    <w:rsid w:val="00987611"/>
    <w:rsid w:val="0098777D"/>
    <w:rsid w:val="00987964"/>
    <w:rsid w:val="00987B42"/>
    <w:rsid w:val="00987C03"/>
    <w:rsid w:val="00987C50"/>
    <w:rsid w:val="00987DD0"/>
    <w:rsid w:val="00987E7A"/>
    <w:rsid w:val="00987EA3"/>
    <w:rsid w:val="00987EDF"/>
    <w:rsid w:val="00987F4B"/>
    <w:rsid w:val="00987F5B"/>
    <w:rsid w:val="0099026C"/>
    <w:rsid w:val="00990432"/>
    <w:rsid w:val="00990C05"/>
    <w:rsid w:val="00990C5F"/>
    <w:rsid w:val="00990CC7"/>
    <w:rsid w:val="0099130B"/>
    <w:rsid w:val="00991394"/>
    <w:rsid w:val="00991526"/>
    <w:rsid w:val="009915D8"/>
    <w:rsid w:val="00991680"/>
    <w:rsid w:val="009918CF"/>
    <w:rsid w:val="009918EE"/>
    <w:rsid w:val="00991C39"/>
    <w:rsid w:val="00991DED"/>
    <w:rsid w:val="00991ED7"/>
    <w:rsid w:val="0099204B"/>
    <w:rsid w:val="0099219C"/>
    <w:rsid w:val="009921C8"/>
    <w:rsid w:val="009926ED"/>
    <w:rsid w:val="00992791"/>
    <w:rsid w:val="00992927"/>
    <w:rsid w:val="00992B33"/>
    <w:rsid w:val="00992EDD"/>
    <w:rsid w:val="00993248"/>
    <w:rsid w:val="00993354"/>
    <w:rsid w:val="0099365A"/>
    <w:rsid w:val="00993CE5"/>
    <w:rsid w:val="00993D40"/>
    <w:rsid w:val="00994069"/>
    <w:rsid w:val="00994110"/>
    <w:rsid w:val="0099413E"/>
    <w:rsid w:val="00994A41"/>
    <w:rsid w:val="0099527D"/>
    <w:rsid w:val="0099535B"/>
    <w:rsid w:val="0099553A"/>
    <w:rsid w:val="00995629"/>
    <w:rsid w:val="009956E7"/>
    <w:rsid w:val="009957EE"/>
    <w:rsid w:val="0099584F"/>
    <w:rsid w:val="00995B87"/>
    <w:rsid w:val="00995D41"/>
    <w:rsid w:val="00995F79"/>
    <w:rsid w:val="00996160"/>
    <w:rsid w:val="00996198"/>
    <w:rsid w:val="00996270"/>
    <w:rsid w:val="009962DE"/>
    <w:rsid w:val="009965C0"/>
    <w:rsid w:val="009966DD"/>
    <w:rsid w:val="009967BB"/>
    <w:rsid w:val="00996815"/>
    <w:rsid w:val="00996A42"/>
    <w:rsid w:val="00996B1A"/>
    <w:rsid w:val="00996ECD"/>
    <w:rsid w:val="00997179"/>
    <w:rsid w:val="0099718C"/>
    <w:rsid w:val="00997218"/>
    <w:rsid w:val="00997240"/>
    <w:rsid w:val="00997289"/>
    <w:rsid w:val="009972EA"/>
    <w:rsid w:val="0099747A"/>
    <w:rsid w:val="0099759E"/>
    <w:rsid w:val="00997867"/>
    <w:rsid w:val="009978A6"/>
    <w:rsid w:val="009979A3"/>
    <w:rsid w:val="00997BFC"/>
    <w:rsid w:val="00997DEA"/>
    <w:rsid w:val="00997F6C"/>
    <w:rsid w:val="009A01A2"/>
    <w:rsid w:val="009A046A"/>
    <w:rsid w:val="009A05BB"/>
    <w:rsid w:val="009A08C9"/>
    <w:rsid w:val="009A0A43"/>
    <w:rsid w:val="009A0D07"/>
    <w:rsid w:val="009A0E2E"/>
    <w:rsid w:val="009A0E76"/>
    <w:rsid w:val="009A0EDB"/>
    <w:rsid w:val="009A1408"/>
    <w:rsid w:val="009A19F1"/>
    <w:rsid w:val="009A1C21"/>
    <w:rsid w:val="009A1E53"/>
    <w:rsid w:val="009A1EC9"/>
    <w:rsid w:val="009A1F3B"/>
    <w:rsid w:val="009A1F51"/>
    <w:rsid w:val="009A1F6A"/>
    <w:rsid w:val="009A21B7"/>
    <w:rsid w:val="009A2268"/>
    <w:rsid w:val="009A2329"/>
    <w:rsid w:val="009A2380"/>
    <w:rsid w:val="009A241F"/>
    <w:rsid w:val="009A244F"/>
    <w:rsid w:val="009A24DC"/>
    <w:rsid w:val="009A251D"/>
    <w:rsid w:val="009A256F"/>
    <w:rsid w:val="009A2573"/>
    <w:rsid w:val="009A2875"/>
    <w:rsid w:val="009A2B5D"/>
    <w:rsid w:val="009A2C16"/>
    <w:rsid w:val="009A2DD9"/>
    <w:rsid w:val="009A34AC"/>
    <w:rsid w:val="009A34CD"/>
    <w:rsid w:val="009A36AD"/>
    <w:rsid w:val="009A37AD"/>
    <w:rsid w:val="009A38E6"/>
    <w:rsid w:val="009A3937"/>
    <w:rsid w:val="009A3B91"/>
    <w:rsid w:val="009A3CB8"/>
    <w:rsid w:val="009A3D9F"/>
    <w:rsid w:val="009A3E04"/>
    <w:rsid w:val="009A3F46"/>
    <w:rsid w:val="009A3FA6"/>
    <w:rsid w:val="009A4415"/>
    <w:rsid w:val="009A4502"/>
    <w:rsid w:val="009A468E"/>
    <w:rsid w:val="009A47BC"/>
    <w:rsid w:val="009A48CA"/>
    <w:rsid w:val="009A4A0B"/>
    <w:rsid w:val="009A4AFA"/>
    <w:rsid w:val="009A4C21"/>
    <w:rsid w:val="009A4C2C"/>
    <w:rsid w:val="009A4C36"/>
    <w:rsid w:val="009A4C90"/>
    <w:rsid w:val="009A4D1C"/>
    <w:rsid w:val="009A53F6"/>
    <w:rsid w:val="009A5471"/>
    <w:rsid w:val="009A54EE"/>
    <w:rsid w:val="009A55C1"/>
    <w:rsid w:val="009A56F3"/>
    <w:rsid w:val="009A5B28"/>
    <w:rsid w:val="009A5BC4"/>
    <w:rsid w:val="009A5CF4"/>
    <w:rsid w:val="009A5D27"/>
    <w:rsid w:val="009A60C6"/>
    <w:rsid w:val="009A61BC"/>
    <w:rsid w:val="009A6318"/>
    <w:rsid w:val="009A6616"/>
    <w:rsid w:val="009A66EF"/>
    <w:rsid w:val="009A68C7"/>
    <w:rsid w:val="009A69EB"/>
    <w:rsid w:val="009A6A14"/>
    <w:rsid w:val="009A6A63"/>
    <w:rsid w:val="009A6C94"/>
    <w:rsid w:val="009A72C9"/>
    <w:rsid w:val="009A742D"/>
    <w:rsid w:val="009A7732"/>
    <w:rsid w:val="009A7BA1"/>
    <w:rsid w:val="009A7D58"/>
    <w:rsid w:val="009A7F9E"/>
    <w:rsid w:val="009B02C6"/>
    <w:rsid w:val="009B043F"/>
    <w:rsid w:val="009B06A8"/>
    <w:rsid w:val="009B0BC5"/>
    <w:rsid w:val="009B0BE1"/>
    <w:rsid w:val="009B0C2E"/>
    <w:rsid w:val="009B0FBD"/>
    <w:rsid w:val="009B12E6"/>
    <w:rsid w:val="009B14A0"/>
    <w:rsid w:val="009B15FF"/>
    <w:rsid w:val="009B16E4"/>
    <w:rsid w:val="009B177D"/>
    <w:rsid w:val="009B1928"/>
    <w:rsid w:val="009B1939"/>
    <w:rsid w:val="009B197D"/>
    <w:rsid w:val="009B1CCA"/>
    <w:rsid w:val="009B1D94"/>
    <w:rsid w:val="009B1D9A"/>
    <w:rsid w:val="009B1E7E"/>
    <w:rsid w:val="009B1F43"/>
    <w:rsid w:val="009B20AF"/>
    <w:rsid w:val="009B22AE"/>
    <w:rsid w:val="009B26EA"/>
    <w:rsid w:val="009B2D20"/>
    <w:rsid w:val="009B2DAA"/>
    <w:rsid w:val="009B314A"/>
    <w:rsid w:val="009B315C"/>
    <w:rsid w:val="009B3195"/>
    <w:rsid w:val="009B34AC"/>
    <w:rsid w:val="009B3654"/>
    <w:rsid w:val="009B3783"/>
    <w:rsid w:val="009B37D2"/>
    <w:rsid w:val="009B38CB"/>
    <w:rsid w:val="009B3B42"/>
    <w:rsid w:val="009B3EF6"/>
    <w:rsid w:val="009B412B"/>
    <w:rsid w:val="009B43E0"/>
    <w:rsid w:val="009B44C0"/>
    <w:rsid w:val="009B44D1"/>
    <w:rsid w:val="009B4579"/>
    <w:rsid w:val="009B45A7"/>
    <w:rsid w:val="009B47BA"/>
    <w:rsid w:val="009B4A03"/>
    <w:rsid w:val="009B4A2C"/>
    <w:rsid w:val="009B4A7C"/>
    <w:rsid w:val="009B4AC1"/>
    <w:rsid w:val="009B4ACF"/>
    <w:rsid w:val="009B4C52"/>
    <w:rsid w:val="009B4CBE"/>
    <w:rsid w:val="009B4E5D"/>
    <w:rsid w:val="009B4E8C"/>
    <w:rsid w:val="009B504C"/>
    <w:rsid w:val="009B51F8"/>
    <w:rsid w:val="009B52A0"/>
    <w:rsid w:val="009B52BB"/>
    <w:rsid w:val="009B540C"/>
    <w:rsid w:val="009B5413"/>
    <w:rsid w:val="009B5725"/>
    <w:rsid w:val="009B57AB"/>
    <w:rsid w:val="009B5814"/>
    <w:rsid w:val="009B5A4A"/>
    <w:rsid w:val="009B5C94"/>
    <w:rsid w:val="009B60EF"/>
    <w:rsid w:val="009B64E6"/>
    <w:rsid w:val="009B653E"/>
    <w:rsid w:val="009B65A8"/>
    <w:rsid w:val="009B66CA"/>
    <w:rsid w:val="009B6792"/>
    <w:rsid w:val="009B67A9"/>
    <w:rsid w:val="009B6800"/>
    <w:rsid w:val="009B6C8D"/>
    <w:rsid w:val="009B6CF5"/>
    <w:rsid w:val="009B7352"/>
    <w:rsid w:val="009B78EC"/>
    <w:rsid w:val="009B7E03"/>
    <w:rsid w:val="009B7E96"/>
    <w:rsid w:val="009C0448"/>
    <w:rsid w:val="009C0541"/>
    <w:rsid w:val="009C069D"/>
    <w:rsid w:val="009C0824"/>
    <w:rsid w:val="009C08B6"/>
    <w:rsid w:val="009C092E"/>
    <w:rsid w:val="009C0989"/>
    <w:rsid w:val="009C0BFE"/>
    <w:rsid w:val="009C0C97"/>
    <w:rsid w:val="009C0EEE"/>
    <w:rsid w:val="009C1343"/>
    <w:rsid w:val="009C13F6"/>
    <w:rsid w:val="009C1A0D"/>
    <w:rsid w:val="009C1B73"/>
    <w:rsid w:val="009C1CE4"/>
    <w:rsid w:val="009C1CED"/>
    <w:rsid w:val="009C1D7F"/>
    <w:rsid w:val="009C1DBA"/>
    <w:rsid w:val="009C1EE4"/>
    <w:rsid w:val="009C1FD1"/>
    <w:rsid w:val="009C2084"/>
    <w:rsid w:val="009C22F0"/>
    <w:rsid w:val="009C2432"/>
    <w:rsid w:val="009C2454"/>
    <w:rsid w:val="009C25EA"/>
    <w:rsid w:val="009C27AB"/>
    <w:rsid w:val="009C2B4D"/>
    <w:rsid w:val="009C2B87"/>
    <w:rsid w:val="009C2DFF"/>
    <w:rsid w:val="009C2F4C"/>
    <w:rsid w:val="009C3034"/>
    <w:rsid w:val="009C3360"/>
    <w:rsid w:val="009C342A"/>
    <w:rsid w:val="009C367D"/>
    <w:rsid w:val="009C38EB"/>
    <w:rsid w:val="009C3BDE"/>
    <w:rsid w:val="009C3CB0"/>
    <w:rsid w:val="009C3D6F"/>
    <w:rsid w:val="009C3E50"/>
    <w:rsid w:val="009C3F0C"/>
    <w:rsid w:val="009C4030"/>
    <w:rsid w:val="009C4538"/>
    <w:rsid w:val="009C46D6"/>
    <w:rsid w:val="009C4CA6"/>
    <w:rsid w:val="009C50D9"/>
    <w:rsid w:val="009C53EA"/>
    <w:rsid w:val="009C5421"/>
    <w:rsid w:val="009C55DB"/>
    <w:rsid w:val="009C5697"/>
    <w:rsid w:val="009C56D1"/>
    <w:rsid w:val="009C57C1"/>
    <w:rsid w:val="009C5B49"/>
    <w:rsid w:val="009C5B79"/>
    <w:rsid w:val="009C602C"/>
    <w:rsid w:val="009C6225"/>
    <w:rsid w:val="009C64DE"/>
    <w:rsid w:val="009C65FA"/>
    <w:rsid w:val="009C6725"/>
    <w:rsid w:val="009C6826"/>
    <w:rsid w:val="009C6863"/>
    <w:rsid w:val="009C68FA"/>
    <w:rsid w:val="009C6908"/>
    <w:rsid w:val="009C6967"/>
    <w:rsid w:val="009C6AD9"/>
    <w:rsid w:val="009C6B83"/>
    <w:rsid w:val="009C7386"/>
    <w:rsid w:val="009C73CA"/>
    <w:rsid w:val="009C745F"/>
    <w:rsid w:val="009C78C0"/>
    <w:rsid w:val="009C7926"/>
    <w:rsid w:val="009C7929"/>
    <w:rsid w:val="009C7A8C"/>
    <w:rsid w:val="009C7A9E"/>
    <w:rsid w:val="009C7C43"/>
    <w:rsid w:val="009C7CCF"/>
    <w:rsid w:val="009C7D43"/>
    <w:rsid w:val="009C7D86"/>
    <w:rsid w:val="009C7F87"/>
    <w:rsid w:val="009D0080"/>
    <w:rsid w:val="009D034D"/>
    <w:rsid w:val="009D0526"/>
    <w:rsid w:val="009D0657"/>
    <w:rsid w:val="009D0659"/>
    <w:rsid w:val="009D0948"/>
    <w:rsid w:val="009D0A39"/>
    <w:rsid w:val="009D0AEA"/>
    <w:rsid w:val="009D0FAD"/>
    <w:rsid w:val="009D10A8"/>
    <w:rsid w:val="009D1142"/>
    <w:rsid w:val="009D12E8"/>
    <w:rsid w:val="009D146D"/>
    <w:rsid w:val="009D17FE"/>
    <w:rsid w:val="009D18C2"/>
    <w:rsid w:val="009D193E"/>
    <w:rsid w:val="009D198C"/>
    <w:rsid w:val="009D1ABF"/>
    <w:rsid w:val="009D1C29"/>
    <w:rsid w:val="009D1FE8"/>
    <w:rsid w:val="009D207F"/>
    <w:rsid w:val="009D214D"/>
    <w:rsid w:val="009D22AF"/>
    <w:rsid w:val="009D232C"/>
    <w:rsid w:val="009D2441"/>
    <w:rsid w:val="009D25E6"/>
    <w:rsid w:val="009D2798"/>
    <w:rsid w:val="009D27C5"/>
    <w:rsid w:val="009D28D7"/>
    <w:rsid w:val="009D28ED"/>
    <w:rsid w:val="009D28EE"/>
    <w:rsid w:val="009D2A48"/>
    <w:rsid w:val="009D2A6D"/>
    <w:rsid w:val="009D2B86"/>
    <w:rsid w:val="009D2CD7"/>
    <w:rsid w:val="009D2E04"/>
    <w:rsid w:val="009D3233"/>
    <w:rsid w:val="009D32BD"/>
    <w:rsid w:val="009D33F6"/>
    <w:rsid w:val="009D3412"/>
    <w:rsid w:val="009D35B3"/>
    <w:rsid w:val="009D3680"/>
    <w:rsid w:val="009D36B7"/>
    <w:rsid w:val="009D3741"/>
    <w:rsid w:val="009D3868"/>
    <w:rsid w:val="009D386A"/>
    <w:rsid w:val="009D39AD"/>
    <w:rsid w:val="009D3B02"/>
    <w:rsid w:val="009D3DA9"/>
    <w:rsid w:val="009D3FAA"/>
    <w:rsid w:val="009D4460"/>
    <w:rsid w:val="009D44CD"/>
    <w:rsid w:val="009D473A"/>
    <w:rsid w:val="009D4752"/>
    <w:rsid w:val="009D4828"/>
    <w:rsid w:val="009D4867"/>
    <w:rsid w:val="009D4BF5"/>
    <w:rsid w:val="009D509A"/>
    <w:rsid w:val="009D5139"/>
    <w:rsid w:val="009D51A1"/>
    <w:rsid w:val="009D51AE"/>
    <w:rsid w:val="009D537E"/>
    <w:rsid w:val="009D538D"/>
    <w:rsid w:val="009D53FC"/>
    <w:rsid w:val="009D5401"/>
    <w:rsid w:val="009D55AA"/>
    <w:rsid w:val="009D58B2"/>
    <w:rsid w:val="009D59BC"/>
    <w:rsid w:val="009D5A36"/>
    <w:rsid w:val="009D5ACB"/>
    <w:rsid w:val="009D5C09"/>
    <w:rsid w:val="009D5C58"/>
    <w:rsid w:val="009D5CA7"/>
    <w:rsid w:val="009D5CEF"/>
    <w:rsid w:val="009D5E4C"/>
    <w:rsid w:val="009D5EA9"/>
    <w:rsid w:val="009D6009"/>
    <w:rsid w:val="009D6143"/>
    <w:rsid w:val="009D6193"/>
    <w:rsid w:val="009D6409"/>
    <w:rsid w:val="009D66AA"/>
    <w:rsid w:val="009D68AB"/>
    <w:rsid w:val="009D693C"/>
    <w:rsid w:val="009D697D"/>
    <w:rsid w:val="009D69E0"/>
    <w:rsid w:val="009D6ACA"/>
    <w:rsid w:val="009D6B5E"/>
    <w:rsid w:val="009D6FA9"/>
    <w:rsid w:val="009D71EC"/>
    <w:rsid w:val="009D72E7"/>
    <w:rsid w:val="009D7427"/>
    <w:rsid w:val="009D777E"/>
    <w:rsid w:val="009D77CD"/>
    <w:rsid w:val="009D7828"/>
    <w:rsid w:val="009D7A02"/>
    <w:rsid w:val="009D7A3F"/>
    <w:rsid w:val="009D7ABE"/>
    <w:rsid w:val="009D7ACB"/>
    <w:rsid w:val="009D7B94"/>
    <w:rsid w:val="009D7D30"/>
    <w:rsid w:val="009D7D78"/>
    <w:rsid w:val="009D7E70"/>
    <w:rsid w:val="009D7EA3"/>
    <w:rsid w:val="009E0103"/>
    <w:rsid w:val="009E042A"/>
    <w:rsid w:val="009E058B"/>
    <w:rsid w:val="009E074C"/>
    <w:rsid w:val="009E0849"/>
    <w:rsid w:val="009E0A9D"/>
    <w:rsid w:val="009E0D33"/>
    <w:rsid w:val="009E0D7D"/>
    <w:rsid w:val="009E0E36"/>
    <w:rsid w:val="009E1065"/>
    <w:rsid w:val="009E123F"/>
    <w:rsid w:val="009E12A5"/>
    <w:rsid w:val="009E1330"/>
    <w:rsid w:val="009E15BF"/>
    <w:rsid w:val="009E199B"/>
    <w:rsid w:val="009E1AEF"/>
    <w:rsid w:val="009E1D99"/>
    <w:rsid w:val="009E1E86"/>
    <w:rsid w:val="009E1FF7"/>
    <w:rsid w:val="009E2115"/>
    <w:rsid w:val="009E227C"/>
    <w:rsid w:val="009E22E2"/>
    <w:rsid w:val="009E2689"/>
    <w:rsid w:val="009E29FC"/>
    <w:rsid w:val="009E2B19"/>
    <w:rsid w:val="009E2B7E"/>
    <w:rsid w:val="009E2D98"/>
    <w:rsid w:val="009E2F66"/>
    <w:rsid w:val="009E327A"/>
    <w:rsid w:val="009E3303"/>
    <w:rsid w:val="009E3318"/>
    <w:rsid w:val="009E33D7"/>
    <w:rsid w:val="009E34D5"/>
    <w:rsid w:val="009E3764"/>
    <w:rsid w:val="009E37A6"/>
    <w:rsid w:val="009E38C7"/>
    <w:rsid w:val="009E38DB"/>
    <w:rsid w:val="009E3945"/>
    <w:rsid w:val="009E3B80"/>
    <w:rsid w:val="009E3F24"/>
    <w:rsid w:val="009E4054"/>
    <w:rsid w:val="009E40E7"/>
    <w:rsid w:val="009E43D0"/>
    <w:rsid w:val="009E4704"/>
    <w:rsid w:val="009E4797"/>
    <w:rsid w:val="009E497C"/>
    <w:rsid w:val="009E4A29"/>
    <w:rsid w:val="009E4ABA"/>
    <w:rsid w:val="009E4C88"/>
    <w:rsid w:val="009E4DC9"/>
    <w:rsid w:val="009E4E3F"/>
    <w:rsid w:val="009E4EC0"/>
    <w:rsid w:val="009E4F15"/>
    <w:rsid w:val="009E4FD7"/>
    <w:rsid w:val="009E5203"/>
    <w:rsid w:val="009E5405"/>
    <w:rsid w:val="009E554A"/>
    <w:rsid w:val="009E57F1"/>
    <w:rsid w:val="009E5B0F"/>
    <w:rsid w:val="009E5BE2"/>
    <w:rsid w:val="009E5D1E"/>
    <w:rsid w:val="009E5D71"/>
    <w:rsid w:val="009E610E"/>
    <w:rsid w:val="009E62D0"/>
    <w:rsid w:val="009E6357"/>
    <w:rsid w:val="009E6579"/>
    <w:rsid w:val="009E6627"/>
    <w:rsid w:val="009E6701"/>
    <w:rsid w:val="009E69AD"/>
    <w:rsid w:val="009E69B1"/>
    <w:rsid w:val="009E6A51"/>
    <w:rsid w:val="009E6A98"/>
    <w:rsid w:val="009E6B58"/>
    <w:rsid w:val="009E6B70"/>
    <w:rsid w:val="009E747F"/>
    <w:rsid w:val="009E75CA"/>
    <w:rsid w:val="009E76FC"/>
    <w:rsid w:val="009E79B3"/>
    <w:rsid w:val="009E7C43"/>
    <w:rsid w:val="009E7EB7"/>
    <w:rsid w:val="009F0012"/>
    <w:rsid w:val="009F002E"/>
    <w:rsid w:val="009F0095"/>
    <w:rsid w:val="009F00BF"/>
    <w:rsid w:val="009F018E"/>
    <w:rsid w:val="009F01ED"/>
    <w:rsid w:val="009F0245"/>
    <w:rsid w:val="009F03D9"/>
    <w:rsid w:val="009F0486"/>
    <w:rsid w:val="009F0637"/>
    <w:rsid w:val="009F09D3"/>
    <w:rsid w:val="009F0B6D"/>
    <w:rsid w:val="009F0CCE"/>
    <w:rsid w:val="009F0D81"/>
    <w:rsid w:val="009F0D92"/>
    <w:rsid w:val="009F0DAB"/>
    <w:rsid w:val="009F0DC2"/>
    <w:rsid w:val="009F0E88"/>
    <w:rsid w:val="009F0EBB"/>
    <w:rsid w:val="009F11E7"/>
    <w:rsid w:val="009F131F"/>
    <w:rsid w:val="009F175A"/>
    <w:rsid w:val="009F1976"/>
    <w:rsid w:val="009F1A65"/>
    <w:rsid w:val="009F1B6F"/>
    <w:rsid w:val="009F1C07"/>
    <w:rsid w:val="009F1E46"/>
    <w:rsid w:val="009F1E4C"/>
    <w:rsid w:val="009F1F91"/>
    <w:rsid w:val="009F2132"/>
    <w:rsid w:val="009F24D5"/>
    <w:rsid w:val="009F25BF"/>
    <w:rsid w:val="009F2786"/>
    <w:rsid w:val="009F2ACE"/>
    <w:rsid w:val="009F3101"/>
    <w:rsid w:val="009F3270"/>
    <w:rsid w:val="009F357F"/>
    <w:rsid w:val="009F3667"/>
    <w:rsid w:val="009F36B6"/>
    <w:rsid w:val="009F3814"/>
    <w:rsid w:val="009F39F2"/>
    <w:rsid w:val="009F3BCB"/>
    <w:rsid w:val="009F4036"/>
    <w:rsid w:val="009F40AE"/>
    <w:rsid w:val="009F42E9"/>
    <w:rsid w:val="009F42FB"/>
    <w:rsid w:val="009F43F6"/>
    <w:rsid w:val="009F4785"/>
    <w:rsid w:val="009F49F7"/>
    <w:rsid w:val="009F4A2B"/>
    <w:rsid w:val="009F4B1C"/>
    <w:rsid w:val="009F4B62"/>
    <w:rsid w:val="009F4D35"/>
    <w:rsid w:val="009F4DFF"/>
    <w:rsid w:val="009F4EFD"/>
    <w:rsid w:val="009F5475"/>
    <w:rsid w:val="009F54EA"/>
    <w:rsid w:val="009F5575"/>
    <w:rsid w:val="009F5627"/>
    <w:rsid w:val="009F5B6A"/>
    <w:rsid w:val="009F5C70"/>
    <w:rsid w:val="009F5D03"/>
    <w:rsid w:val="009F5D3B"/>
    <w:rsid w:val="009F5DD4"/>
    <w:rsid w:val="009F5E2C"/>
    <w:rsid w:val="009F6069"/>
    <w:rsid w:val="009F643D"/>
    <w:rsid w:val="009F66CD"/>
    <w:rsid w:val="009F6768"/>
    <w:rsid w:val="009F67B6"/>
    <w:rsid w:val="009F685D"/>
    <w:rsid w:val="009F68A5"/>
    <w:rsid w:val="009F6A1D"/>
    <w:rsid w:val="009F6A85"/>
    <w:rsid w:val="009F6ECB"/>
    <w:rsid w:val="009F70BE"/>
    <w:rsid w:val="009F71A9"/>
    <w:rsid w:val="009F71D8"/>
    <w:rsid w:val="009F723F"/>
    <w:rsid w:val="009F732D"/>
    <w:rsid w:val="009F7447"/>
    <w:rsid w:val="009F7637"/>
    <w:rsid w:val="009F776A"/>
    <w:rsid w:val="009F7796"/>
    <w:rsid w:val="009F7926"/>
    <w:rsid w:val="009F7A5A"/>
    <w:rsid w:val="009F7CD7"/>
    <w:rsid w:val="009F7FA2"/>
    <w:rsid w:val="00A005E1"/>
    <w:rsid w:val="00A005E9"/>
    <w:rsid w:val="00A00643"/>
    <w:rsid w:val="00A0088B"/>
    <w:rsid w:val="00A00993"/>
    <w:rsid w:val="00A00BC3"/>
    <w:rsid w:val="00A00F0D"/>
    <w:rsid w:val="00A01249"/>
    <w:rsid w:val="00A014D6"/>
    <w:rsid w:val="00A0166C"/>
    <w:rsid w:val="00A0184E"/>
    <w:rsid w:val="00A01C0A"/>
    <w:rsid w:val="00A01CAF"/>
    <w:rsid w:val="00A01E5B"/>
    <w:rsid w:val="00A02136"/>
    <w:rsid w:val="00A021BA"/>
    <w:rsid w:val="00A02441"/>
    <w:rsid w:val="00A026D4"/>
    <w:rsid w:val="00A026D9"/>
    <w:rsid w:val="00A0285E"/>
    <w:rsid w:val="00A02B37"/>
    <w:rsid w:val="00A03141"/>
    <w:rsid w:val="00A03178"/>
    <w:rsid w:val="00A031BF"/>
    <w:rsid w:val="00A033CD"/>
    <w:rsid w:val="00A0371B"/>
    <w:rsid w:val="00A03AFB"/>
    <w:rsid w:val="00A03C15"/>
    <w:rsid w:val="00A03D90"/>
    <w:rsid w:val="00A03FA2"/>
    <w:rsid w:val="00A04040"/>
    <w:rsid w:val="00A040AD"/>
    <w:rsid w:val="00A04190"/>
    <w:rsid w:val="00A042AD"/>
    <w:rsid w:val="00A04324"/>
    <w:rsid w:val="00A04707"/>
    <w:rsid w:val="00A04742"/>
    <w:rsid w:val="00A0475C"/>
    <w:rsid w:val="00A04BFD"/>
    <w:rsid w:val="00A04E05"/>
    <w:rsid w:val="00A04F12"/>
    <w:rsid w:val="00A04F1C"/>
    <w:rsid w:val="00A05103"/>
    <w:rsid w:val="00A053E5"/>
    <w:rsid w:val="00A05406"/>
    <w:rsid w:val="00A0550D"/>
    <w:rsid w:val="00A05583"/>
    <w:rsid w:val="00A05603"/>
    <w:rsid w:val="00A05798"/>
    <w:rsid w:val="00A05B5B"/>
    <w:rsid w:val="00A05B9E"/>
    <w:rsid w:val="00A05C35"/>
    <w:rsid w:val="00A05F49"/>
    <w:rsid w:val="00A0605D"/>
    <w:rsid w:val="00A0628F"/>
    <w:rsid w:val="00A06317"/>
    <w:rsid w:val="00A06588"/>
    <w:rsid w:val="00A06A80"/>
    <w:rsid w:val="00A06A87"/>
    <w:rsid w:val="00A06DAC"/>
    <w:rsid w:val="00A06E53"/>
    <w:rsid w:val="00A06E9C"/>
    <w:rsid w:val="00A06EB4"/>
    <w:rsid w:val="00A06ED4"/>
    <w:rsid w:val="00A06F59"/>
    <w:rsid w:val="00A070B7"/>
    <w:rsid w:val="00A07513"/>
    <w:rsid w:val="00A075D4"/>
    <w:rsid w:val="00A0762A"/>
    <w:rsid w:val="00A0785C"/>
    <w:rsid w:val="00A078B9"/>
    <w:rsid w:val="00A079AF"/>
    <w:rsid w:val="00A07D7C"/>
    <w:rsid w:val="00A07FC2"/>
    <w:rsid w:val="00A1045C"/>
    <w:rsid w:val="00A10638"/>
    <w:rsid w:val="00A1064C"/>
    <w:rsid w:val="00A1084A"/>
    <w:rsid w:val="00A10A19"/>
    <w:rsid w:val="00A10C54"/>
    <w:rsid w:val="00A10C6E"/>
    <w:rsid w:val="00A10D8A"/>
    <w:rsid w:val="00A10EEA"/>
    <w:rsid w:val="00A1160E"/>
    <w:rsid w:val="00A11628"/>
    <w:rsid w:val="00A116C4"/>
    <w:rsid w:val="00A118E0"/>
    <w:rsid w:val="00A11ADE"/>
    <w:rsid w:val="00A1202D"/>
    <w:rsid w:val="00A125CE"/>
    <w:rsid w:val="00A12B3A"/>
    <w:rsid w:val="00A12B93"/>
    <w:rsid w:val="00A12DA8"/>
    <w:rsid w:val="00A12F43"/>
    <w:rsid w:val="00A13005"/>
    <w:rsid w:val="00A13156"/>
    <w:rsid w:val="00A13258"/>
    <w:rsid w:val="00A13456"/>
    <w:rsid w:val="00A13665"/>
    <w:rsid w:val="00A1366C"/>
    <w:rsid w:val="00A13691"/>
    <w:rsid w:val="00A137E6"/>
    <w:rsid w:val="00A13856"/>
    <w:rsid w:val="00A139D1"/>
    <w:rsid w:val="00A13B59"/>
    <w:rsid w:val="00A1417B"/>
    <w:rsid w:val="00A14299"/>
    <w:rsid w:val="00A14440"/>
    <w:rsid w:val="00A14752"/>
    <w:rsid w:val="00A147DD"/>
    <w:rsid w:val="00A148B1"/>
    <w:rsid w:val="00A148CB"/>
    <w:rsid w:val="00A14984"/>
    <w:rsid w:val="00A14D94"/>
    <w:rsid w:val="00A14E36"/>
    <w:rsid w:val="00A150E7"/>
    <w:rsid w:val="00A1517E"/>
    <w:rsid w:val="00A1533D"/>
    <w:rsid w:val="00A1536B"/>
    <w:rsid w:val="00A155CF"/>
    <w:rsid w:val="00A1586A"/>
    <w:rsid w:val="00A158B3"/>
    <w:rsid w:val="00A159A6"/>
    <w:rsid w:val="00A15ACF"/>
    <w:rsid w:val="00A15AD3"/>
    <w:rsid w:val="00A15AEA"/>
    <w:rsid w:val="00A15B9B"/>
    <w:rsid w:val="00A15E57"/>
    <w:rsid w:val="00A15F86"/>
    <w:rsid w:val="00A15FE5"/>
    <w:rsid w:val="00A16131"/>
    <w:rsid w:val="00A16146"/>
    <w:rsid w:val="00A1615D"/>
    <w:rsid w:val="00A163A3"/>
    <w:rsid w:val="00A1657C"/>
    <w:rsid w:val="00A167EC"/>
    <w:rsid w:val="00A169FE"/>
    <w:rsid w:val="00A16A0C"/>
    <w:rsid w:val="00A16A17"/>
    <w:rsid w:val="00A16B2D"/>
    <w:rsid w:val="00A16B55"/>
    <w:rsid w:val="00A16D73"/>
    <w:rsid w:val="00A16D8D"/>
    <w:rsid w:val="00A16F8E"/>
    <w:rsid w:val="00A1710F"/>
    <w:rsid w:val="00A172C9"/>
    <w:rsid w:val="00A1734C"/>
    <w:rsid w:val="00A17364"/>
    <w:rsid w:val="00A1774E"/>
    <w:rsid w:val="00A177E1"/>
    <w:rsid w:val="00A17826"/>
    <w:rsid w:val="00A178B1"/>
    <w:rsid w:val="00A17A6E"/>
    <w:rsid w:val="00A17A82"/>
    <w:rsid w:val="00A17E59"/>
    <w:rsid w:val="00A17F1E"/>
    <w:rsid w:val="00A201F3"/>
    <w:rsid w:val="00A2045E"/>
    <w:rsid w:val="00A2054D"/>
    <w:rsid w:val="00A208C5"/>
    <w:rsid w:val="00A209D7"/>
    <w:rsid w:val="00A20DB9"/>
    <w:rsid w:val="00A20E21"/>
    <w:rsid w:val="00A215A4"/>
    <w:rsid w:val="00A215CC"/>
    <w:rsid w:val="00A219EA"/>
    <w:rsid w:val="00A21A09"/>
    <w:rsid w:val="00A222D8"/>
    <w:rsid w:val="00A222F4"/>
    <w:rsid w:val="00A2246C"/>
    <w:rsid w:val="00A225B3"/>
    <w:rsid w:val="00A2285B"/>
    <w:rsid w:val="00A22C13"/>
    <w:rsid w:val="00A2307F"/>
    <w:rsid w:val="00A23431"/>
    <w:rsid w:val="00A2359F"/>
    <w:rsid w:val="00A23687"/>
    <w:rsid w:val="00A236C2"/>
    <w:rsid w:val="00A23869"/>
    <w:rsid w:val="00A23F89"/>
    <w:rsid w:val="00A241BB"/>
    <w:rsid w:val="00A24377"/>
    <w:rsid w:val="00A24585"/>
    <w:rsid w:val="00A2467A"/>
    <w:rsid w:val="00A2471B"/>
    <w:rsid w:val="00A2478B"/>
    <w:rsid w:val="00A24B01"/>
    <w:rsid w:val="00A24B09"/>
    <w:rsid w:val="00A24CE7"/>
    <w:rsid w:val="00A24D0C"/>
    <w:rsid w:val="00A252E8"/>
    <w:rsid w:val="00A254D9"/>
    <w:rsid w:val="00A259F1"/>
    <w:rsid w:val="00A25A22"/>
    <w:rsid w:val="00A25C8C"/>
    <w:rsid w:val="00A25D18"/>
    <w:rsid w:val="00A2612A"/>
    <w:rsid w:val="00A261C8"/>
    <w:rsid w:val="00A263A6"/>
    <w:rsid w:val="00A263E3"/>
    <w:rsid w:val="00A26637"/>
    <w:rsid w:val="00A267D4"/>
    <w:rsid w:val="00A269F8"/>
    <w:rsid w:val="00A26AF7"/>
    <w:rsid w:val="00A26B7F"/>
    <w:rsid w:val="00A26BCF"/>
    <w:rsid w:val="00A26DE6"/>
    <w:rsid w:val="00A26FAF"/>
    <w:rsid w:val="00A27026"/>
    <w:rsid w:val="00A270F0"/>
    <w:rsid w:val="00A27344"/>
    <w:rsid w:val="00A2771B"/>
    <w:rsid w:val="00A277EC"/>
    <w:rsid w:val="00A27B4E"/>
    <w:rsid w:val="00A27D84"/>
    <w:rsid w:val="00A27DFE"/>
    <w:rsid w:val="00A27EC5"/>
    <w:rsid w:val="00A27FC9"/>
    <w:rsid w:val="00A30374"/>
    <w:rsid w:val="00A303CF"/>
    <w:rsid w:val="00A3043E"/>
    <w:rsid w:val="00A304E3"/>
    <w:rsid w:val="00A3078C"/>
    <w:rsid w:val="00A30859"/>
    <w:rsid w:val="00A308E3"/>
    <w:rsid w:val="00A30E40"/>
    <w:rsid w:val="00A3104C"/>
    <w:rsid w:val="00A3113C"/>
    <w:rsid w:val="00A31775"/>
    <w:rsid w:val="00A318C1"/>
    <w:rsid w:val="00A3194C"/>
    <w:rsid w:val="00A319AF"/>
    <w:rsid w:val="00A31B0E"/>
    <w:rsid w:val="00A31B44"/>
    <w:rsid w:val="00A31F1F"/>
    <w:rsid w:val="00A321A1"/>
    <w:rsid w:val="00A321E7"/>
    <w:rsid w:val="00A32357"/>
    <w:rsid w:val="00A32828"/>
    <w:rsid w:val="00A32973"/>
    <w:rsid w:val="00A3297E"/>
    <w:rsid w:val="00A32E5D"/>
    <w:rsid w:val="00A32FB9"/>
    <w:rsid w:val="00A3303D"/>
    <w:rsid w:val="00A3327B"/>
    <w:rsid w:val="00A3383C"/>
    <w:rsid w:val="00A338DB"/>
    <w:rsid w:val="00A33930"/>
    <w:rsid w:val="00A339D6"/>
    <w:rsid w:val="00A33BB4"/>
    <w:rsid w:val="00A33D92"/>
    <w:rsid w:val="00A33DD4"/>
    <w:rsid w:val="00A33F38"/>
    <w:rsid w:val="00A34109"/>
    <w:rsid w:val="00A3411D"/>
    <w:rsid w:val="00A34443"/>
    <w:rsid w:val="00A34641"/>
    <w:rsid w:val="00A3468F"/>
    <w:rsid w:val="00A34A30"/>
    <w:rsid w:val="00A34B2D"/>
    <w:rsid w:val="00A34BFE"/>
    <w:rsid w:val="00A34DC8"/>
    <w:rsid w:val="00A34F61"/>
    <w:rsid w:val="00A351FB"/>
    <w:rsid w:val="00A357EB"/>
    <w:rsid w:val="00A35A7E"/>
    <w:rsid w:val="00A35BC7"/>
    <w:rsid w:val="00A35FA2"/>
    <w:rsid w:val="00A36127"/>
    <w:rsid w:val="00A36300"/>
    <w:rsid w:val="00A3630F"/>
    <w:rsid w:val="00A36734"/>
    <w:rsid w:val="00A367D4"/>
    <w:rsid w:val="00A36816"/>
    <w:rsid w:val="00A368E6"/>
    <w:rsid w:val="00A369AC"/>
    <w:rsid w:val="00A36DB0"/>
    <w:rsid w:val="00A36F31"/>
    <w:rsid w:val="00A36F6D"/>
    <w:rsid w:val="00A3707A"/>
    <w:rsid w:val="00A374FF"/>
    <w:rsid w:val="00A378CD"/>
    <w:rsid w:val="00A378D0"/>
    <w:rsid w:val="00A37DE3"/>
    <w:rsid w:val="00A37F10"/>
    <w:rsid w:val="00A40200"/>
    <w:rsid w:val="00A4040F"/>
    <w:rsid w:val="00A405EA"/>
    <w:rsid w:val="00A4060C"/>
    <w:rsid w:val="00A40729"/>
    <w:rsid w:val="00A40B28"/>
    <w:rsid w:val="00A40B48"/>
    <w:rsid w:val="00A40BC1"/>
    <w:rsid w:val="00A40DE4"/>
    <w:rsid w:val="00A40E3D"/>
    <w:rsid w:val="00A41253"/>
    <w:rsid w:val="00A4141F"/>
    <w:rsid w:val="00A41734"/>
    <w:rsid w:val="00A41995"/>
    <w:rsid w:val="00A41A1D"/>
    <w:rsid w:val="00A41AF7"/>
    <w:rsid w:val="00A41E17"/>
    <w:rsid w:val="00A41EF0"/>
    <w:rsid w:val="00A4211B"/>
    <w:rsid w:val="00A42325"/>
    <w:rsid w:val="00A42655"/>
    <w:rsid w:val="00A4283D"/>
    <w:rsid w:val="00A42864"/>
    <w:rsid w:val="00A42989"/>
    <w:rsid w:val="00A42997"/>
    <w:rsid w:val="00A42C15"/>
    <w:rsid w:val="00A42C1F"/>
    <w:rsid w:val="00A42D19"/>
    <w:rsid w:val="00A42FEE"/>
    <w:rsid w:val="00A43021"/>
    <w:rsid w:val="00A43138"/>
    <w:rsid w:val="00A4313A"/>
    <w:rsid w:val="00A432C8"/>
    <w:rsid w:val="00A43325"/>
    <w:rsid w:val="00A43830"/>
    <w:rsid w:val="00A43C9E"/>
    <w:rsid w:val="00A43D06"/>
    <w:rsid w:val="00A43EE8"/>
    <w:rsid w:val="00A4401F"/>
    <w:rsid w:val="00A4422A"/>
    <w:rsid w:val="00A442D3"/>
    <w:rsid w:val="00A445BF"/>
    <w:rsid w:val="00A4461A"/>
    <w:rsid w:val="00A44A77"/>
    <w:rsid w:val="00A44B17"/>
    <w:rsid w:val="00A44C62"/>
    <w:rsid w:val="00A44D74"/>
    <w:rsid w:val="00A44E6C"/>
    <w:rsid w:val="00A44EB0"/>
    <w:rsid w:val="00A44FFC"/>
    <w:rsid w:val="00A4569E"/>
    <w:rsid w:val="00A4585C"/>
    <w:rsid w:val="00A4595D"/>
    <w:rsid w:val="00A459DE"/>
    <w:rsid w:val="00A45C26"/>
    <w:rsid w:val="00A45D07"/>
    <w:rsid w:val="00A4616D"/>
    <w:rsid w:val="00A46322"/>
    <w:rsid w:val="00A46397"/>
    <w:rsid w:val="00A4664C"/>
    <w:rsid w:val="00A468EA"/>
    <w:rsid w:val="00A469F2"/>
    <w:rsid w:val="00A46F80"/>
    <w:rsid w:val="00A46FB8"/>
    <w:rsid w:val="00A46FE4"/>
    <w:rsid w:val="00A46FFA"/>
    <w:rsid w:val="00A47095"/>
    <w:rsid w:val="00A4712B"/>
    <w:rsid w:val="00A47258"/>
    <w:rsid w:val="00A473E5"/>
    <w:rsid w:val="00A476FB"/>
    <w:rsid w:val="00A47817"/>
    <w:rsid w:val="00A479A4"/>
    <w:rsid w:val="00A47A92"/>
    <w:rsid w:val="00A47B4D"/>
    <w:rsid w:val="00A47DC7"/>
    <w:rsid w:val="00A47FB5"/>
    <w:rsid w:val="00A5004E"/>
    <w:rsid w:val="00A5026F"/>
    <w:rsid w:val="00A502DA"/>
    <w:rsid w:val="00A50327"/>
    <w:rsid w:val="00A5035F"/>
    <w:rsid w:val="00A5036B"/>
    <w:rsid w:val="00A5046A"/>
    <w:rsid w:val="00A50486"/>
    <w:rsid w:val="00A5074E"/>
    <w:rsid w:val="00A50914"/>
    <w:rsid w:val="00A50CCB"/>
    <w:rsid w:val="00A50D02"/>
    <w:rsid w:val="00A50DC1"/>
    <w:rsid w:val="00A50DF2"/>
    <w:rsid w:val="00A5116E"/>
    <w:rsid w:val="00A51345"/>
    <w:rsid w:val="00A51565"/>
    <w:rsid w:val="00A517D6"/>
    <w:rsid w:val="00A51A69"/>
    <w:rsid w:val="00A51F21"/>
    <w:rsid w:val="00A5204E"/>
    <w:rsid w:val="00A52136"/>
    <w:rsid w:val="00A521BD"/>
    <w:rsid w:val="00A523D0"/>
    <w:rsid w:val="00A524C4"/>
    <w:rsid w:val="00A5274D"/>
    <w:rsid w:val="00A52992"/>
    <w:rsid w:val="00A52B95"/>
    <w:rsid w:val="00A52E29"/>
    <w:rsid w:val="00A52F65"/>
    <w:rsid w:val="00A532B5"/>
    <w:rsid w:val="00A537A0"/>
    <w:rsid w:val="00A537BB"/>
    <w:rsid w:val="00A538E2"/>
    <w:rsid w:val="00A5391B"/>
    <w:rsid w:val="00A539AC"/>
    <w:rsid w:val="00A53E28"/>
    <w:rsid w:val="00A54285"/>
    <w:rsid w:val="00A542FC"/>
    <w:rsid w:val="00A54358"/>
    <w:rsid w:val="00A54397"/>
    <w:rsid w:val="00A543E4"/>
    <w:rsid w:val="00A5444E"/>
    <w:rsid w:val="00A546E0"/>
    <w:rsid w:val="00A546EE"/>
    <w:rsid w:val="00A5475A"/>
    <w:rsid w:val="00A54AF2"/>
    <w:rsid w:val="00A54C54"/>
    <w:rsid w:val="00A54F25"/>
    <w:rsid w:val="00A5508E"/>
    <w:rsid w:val="00A55177"/>
    <w:rsid w:val="00A55199"/>
    <w:rsid w:val="00A55701"/>
    <w:rsid w:val="00A5590A"/>
    <w:rsid w:val="00A55B4F"/>
    <w:rsid w:val="00A55D40"/>
    <w:rsid w:val="00A55D55"/>
    <w:rsid w:val="00A55E1A"/>
    <w:rsid w:val="00A5620B"/>
    <w:rsid w:val="00A56478"/>
    <w:rsid w:val="00A568E5"/>
    <w:rsid w:val="00A56BD1"/>
    <w:rsid w:val="00A56CD5"/>
    <w:rsid w:val="00A56D19"/>
    <w:rsid w:val="00A56DAF"/>
    <w:rsid w:val="00A56E04"/>
    <w:rsid w:val="00A5705E"/>
    <w:rsid w:val="00A572CF"/>
    <w:rsid w:val="00A57700"/>
    <w:rsid w:val="00A57748"/>
    <w:rsid w:val="00A57796"/>
    <w:rsid w:val="00A5783B"/>
    <w:rsid w:val="00A57BDE"/>
    <w:rsid w:val="00A60037"/>
    <w:rsid w:val="00A600B8"/>
    <w:rsid w:val="00A601D0"/>
    <w:rsid w:val="00A6026E"/>
    <w:rsid w:val="00A60607"/>
    <w:rsid w:val="00A6079D"/>
    <w:rsid w:val="00A60A02"/>
    <w:rsid w:val="00A60B60"/>
    <w:rsid w:val="00A60B94"/>
    <w:rsid w:val="00A60CA7"/>
    <w:rsid w:val="00A60CC3"/>
    <w:rsid w:val="00A60E95"/>
    <w:rsid w:val="00A61195"/>
    <w:rsid w:val="00A61212"/>
    <w:rsid w:val="00A61459"/>
    <w:rsid w:val="00A61561"/>
    <w:rsid w:val="00A615CA"/>
    <w:rsid w:val="00A61863"/>
    <w:rsid w:val="00A61CBE"/>
    <w:rsid w:val="00A61D64"/>
    <w:rsid w:val="00A61DE3"/>
    <w:rsid w:val="00A61E7E"/>
    <w:rsid w:val="00A61FF6"/>
    <w:rsid w:val="00A62125"/>
    <w:rsid w:val="00A62216"/>
    <w:rsid w:val="00A6237F"/>
    <w:rsid w:val="00A6265A"/>
    <w:rsid w:val="00A62718"/>
    <w:rsid w:val="00A62764"/>
    <w:rsid w:val="00A62840"/>
    <w:rsid w:val="00A62884"/>
    <w:rsid w:val="00A62B37"/>
    <w:rsid w:val="00A632D5"/>
    <w:rsid w:val="00A63D23"/>
    <w:rsid w:val="00A63E3E"/>
    <w:rsid w:val="00A6417F"/>
    <w:rsid w:val="00A64210"/>
    <w:rsid w:val="00A6434B"/>
    <w:rsid w:val="00A646A2"/>
    <w:rsid w:val="00A648DD"/>
    <w:rsid w:val="00A64D28"/>
    <w:rsid w:val="00A64DB7"/>
    <w:rsid w:val="00A650F1"/>
    <w:rsid w:val="00A65245"/>
    <w:rsid w:val="00A65316"/>
    <w:rsid w:val="00A65368"/>
    <w:rsid w:val="00A653EE"/>
    <w:rsid w:val="00A657A7"/>
    <w:rsid w:val="00A65913"/>
    <w:rsid w:val="00A65C59"/>
    <w:rsid w:val="00A65C81"/>
    <w:rsid w:val="00A65D1C"/>
    <w:rsid w:val="00A65EB4"/>
    <w:rsid w:val="00A66179"/>
    <w:rsid w:val="00A66291"/>
    <w:rsid w:val="00A662B0"/>
    <w:rsid w:val="00A66382"/>
    <w:rsid w:val="00A663D3"/>
    <w:rsid w:val="00A6669B"/>
    <w:rsid w:val="00A66794"/>
    <w:rsid w:val="00A667BB"/>
    <w:rsid w:val="00A66CF9"/>
    <w:rsid w:val="00A66F2E"/>
    <w:rsid w:val="00A67195"/>
    <w:rsid w:val="00A674E2"/>
    <w:rsid w:val="00A67E55"/>
    <w:rsid w:val="00A67E7E"/>
    <w:rsid w:val="00A700AC"/>
    <w:rsid w:val="00A7031B"/>
    <w:rsid w:val="00A70506"/>
    <w:rsid w:val="00A70577"/>
    <w:rsid w:val="00A707B6"/>
    <w:rsid w:val="00A707FC"/>
    <w:rsid w:val="00A708B6"/>
    <w:rsid w:val="00A70A4D"/>
    <w:rsid w:val="00A70BAB"/>
    <w:rsid w:val="00A70CF3"/>
    <w:rsid w:val="00A70EF0"/>
    <w:rsid w:val="00A71105"/>
    <w:rsid w:val="00A71140"/>
    <w:rsid w:val="00A71250"/>
    <w:rsid w:val="00A71325"/>
    <w:rsid w:val="00A714E6"/>
    <w:rsid w:val="00A714EF"/>
    <w:rsid w:val="00A715FB"/>
    <w:rsid w:val="00A71765"/>
    <w:rsid w:val="00A7229C"/>
    <w:rsid w:val="00A72757"/>
    <w:rsid w:val="00A728FC"/>
    <w:rsid w:val="00A7293B"/>
    <w:rsid w:val="00A72AC2"/>
    <w:rsid w:val="00A72CF8"/>
    <w:rsid w:val="00A72D6B"/>
    <w:rsid w:val="00A72E82"/>
    <w:rsid w:val="00A73017"/>
    <w:rsid w:val="00A73198"/>
    <w:rsid w:val="00A73380"/>
    <w:rsid w:val="00A7351A"/>
    <w:rsid w:val="00A735CB"/>
    <w:rsid w:val="00A737F7"/>
    <w:rsid w:val="00A73A7E"/>
    <w:rsid w:val="00A73B36"/>
    <w:rsid w:val="00A73D53"/>
    <w:rsid w:val="00A73EB0"/>
    <w:rsid w:val="00A7411C"/>
    <w:rsid w:val="00A74146"/>
    <w:rsid w:val="00A74291"/>
    <w:rsid w:val="00A74494"/>
    <w:rsid w:val="00A74A8F"/>
    <w:rsid w:val="00A74C61"/>
    <w:rsid w:val="00A74DC1"/>
    <w:rsid w:val="00A74DC8"/>
    <w:rsid w:val="00A74E0F"/>
    <w:rsid w:val="00A74E95"/>
    <w:rsid w:val="00A74F37"/>
    <w:rsid w:val="00A7500B"/>
    <w:rsid w:val="00A75152"/>
    <w:rsid w:val="00A751AE"/>
    <w:rsid w:val="00A7531D"/>
    <w:rsid w:val="00A75468"/>
    <w:rsid w:val="00A75828"/>
    <w:rsid w:val="00A758BB"/>
    <w:rsid w:val="00A75DE0"/>
    <w:rsid w:val="00A75F6F"/>
    <w:rsid w:val="00A75FBE"/>
    <w:rsid w:val="00A76272"/>
    <w:rsid w:val="00A762BA"/>
    <w:rsid w:val="00A76498"/>
    <w:rsid w:val="00A76570"/>
    <w:rsid w:val="00A76A40"/>
    <w:rsid w:val="00A76AE8"/>
    <w:rsid w:val="00A76B43"/>
    <w:rsid w:val="00A76EBB"/>
    <w:rsid w:val="00A76EBF"/>
    <w:rsid w:val="00A76F15"/>
    <w:rsid w:val="00A77157"/>
    <w:rsid w:val="00A77166"/>
    <w:rsid w:val="00A773D1"/>
    <w:rsid w:val="00A77655"/>
    <w:rsid w:val="00A778D4"/>
    <w:rsid w:val="00A77A1A"/>
    <w:rsid w:val="00A77BAD"/>
    <w:rsid w:val="00A77CA7"/>
    <w:rsid w:val="00A77E97"/>
    <w:rsid w:val="00A77F67"/>
    <w:rsid w:val="00A8028A"/>
    <w:rsid w:val="00A8029E"/>
    <w:rsid w:val="00A80335"/>
    <w:rsid w:val="00A8034B"/>
    <w:rsid w:val="00A8063B"/>
    <w:rsid w:val="00A80835"/>
    <w:rsid w:val="00A808C7"/>
    <w:rsid w:val="00A80AA9"/>
    <w:rsid w:val="00A80C23"/>
    <w:rsid w:val="00A80E09"/>
    <w:rsid w:val="00A817AC"/>
    <w:rsid w:val="00A8195D"/>
    <w:rsid w:val="00A819BF"/>
    <w:rsid w:val="00A81ADF"/>
    <w:rsid w:val="00A81BAF"/>
    <w:rsid w:val="00A81E0E"/>
    <w:rsid w:val="00A82347"/>
    <w:rsid w:val="00A8246D"/>
    <w:rsid w:val="00A8262E"/>
    <w:rsid w:val="00A82643"/>
    <w:rsid w:val="00A827F6"/>
    <w:rsid w:val="00A82804"/>
    <w:rsid w:val="00A82967"/>
    <w:rsid w:val="00A829BA"/>
    <w:rsid w:val="00A829E1"/>
    <w:rsid w:val="00A82AC8"/>
    <w:rsid w:val="00A82D7A"/>
    <w:rsid w:val="00A82DC4"/>
    <w:rsid w:val="00A82E38"/>
    <w:rsid w:val="00A82FAE"/>
    <w:rsid w:val="00A83083"/>
    <w:rsid w:val="00A83105"/>
    <w:rsid w:val="00A8322E"/>
    <w:rsid w:val="00A833ED"/>
    <w:rsid w:val="00A834B8"/>
    <w:rsid w:val="00A8379F"/>
    <w:rsid w:val="00A83828"/>
    <w:rsid w:val="00A838AF"/>
    <w:rsid w:val="00A83B15"/>
    <w:rsid w:val="00A83CAA"/>
    <w:rsid w:val="00A83D96"/>
    <w:rsid w:val="00A83DE0"/>
    <w:rsid w:val="00A8410C"/>
    <w:rsid w:val="00A84117"/>
    <w:rsid w:val="00A841DB"/>
    <w:rsid w:val="00A8464C"/>
    <w:rsid w:val="00A8485B"/>
    <w:rsid w:val="00A84B83"/>
    <w:rsid w:val="00A851E3"/>
    <w:rsid w:val="00A8541F"/>
    <w:rsid w:val="00A85553"/>
    <w:rsid w:val="00A855AC"/>
    <w:rsid w:val="00A85653"/>
    <w:rsid w:val="00A856DA"/>
    <w:rsid w:val="00A85911"/>
    <w:rsid w:val="00A85D9A"/>
    <w:rsid w:val="00A85E0E"/>
    <w:rsid w:val="00A85F7C"/>
    <w:rsid w:val="00A85F9E"/>
    <w:rsid w:val="00A860E9"/>
    <w:rsid w:val="00A8611E"/>
    <w:rsid w:val="00A86235"/>
    <w:rsid w:val="00A867F7"/>
    <w:rsid w:val="00A86936"/>
    <w:rsid w:val="00A869C0"/>
    <w:rsid w:val="00A8722F"/>
    <w:rsid w:val="00A8747E"/>
    <w:rsid w:val="00A87543"/>
    <w:rsid w:val="00A879A0"/>
    <w:rsid w:val="00A87ABC"/>
    <w:rsid w:val="00A87B51"/>
    <w:rsid w:val="00A87CC5"/>
    <w:rsid w:val="00A87F3B"/>
    <w:rsid w:val="00A9012A"/>
    <w:rsid w:val="00A904DB"/>
    <w:rsid w:val="00A905BE"/>
    <w:rsid w:val="00A90C88"/>
    <w:rsid w:val="00A90D8A"/>
    <w:rsid w:val="00A90E48"/>
    <w:rsid w:val="00A90F12"/>
    <w:rsid w:val="00A90F26"/>
    <w:rsid w:val="00A9105A"/>
    <w:rsid w:val="00A9150F"/>
    <w:rsid w:val="00A915BD"/>
    <w:rsid w:val="00A916BD"/>
    <w:rsid w:val="00A91C12"/>
    <w:rsid w:val="00A91DE7"/>
    <w:rsid w:val="00A91DFE"/>
    <w:rsid w:val="00A92017"/>
    <w:rsid w:val="00A92060"/>
    <w:rsid w:val="00A921F1"/>
    <w:rsid w:val="00A92529"/>
    <w:rsid w:val="00A92552"/>
    <w:rsid w:val="00A926DD"/>
    <w:rsid w:val="00A927CC"/>
    <w:rsid w:val="00A92CB7"/>
    <w:rsid w:val="00A92D95"/>
    <w:rsid w:val="00A92E50"/>
    <w:rsid w:val="00A92FEC"/>
    <w:rsid w:val="00A930D4"/>
    <w:rsid w:val="00A93332"/>
    <w:rsid w:val="00A935F9"/>
    <w:rsid w:val="00A93693"/>
    <w:rsid w:val="00A937B0"/>
    <w:rsid w:val="00A93BD6"/>
    <w:rsid w:val="00A93D84"/>
    <w:rsid w:val="00A93DAC"/>
    <w:rsid w:val="00A93DF6"/>
    <w:rsid w:val="00A93E72"/>
    <w:rsid w:val="00A93EE5"/>
    <w:rsid w:val="00A94109"/>
    <w:rsid w:val="00A941DB"/>
    <w:rsid w:val="00A9420D"/>
    <w:rsid w:val="00A94213"/>
    <w:rsid w:val="00A94323"/>
    <w:rsid w:val="00A94326"/>
    <w:rsid w:val="00A943AF"/>
    <w:rsid w:val="00A943EC"/>
    <w:rsid w:val="00A946A1"/>
    <w:rsid w:val="00A946F6"/>
    <w:rsid w:val="00A947AC"/>
    <w:rsid w:val="00A94E2A"/>
    <w:rsid w:val="00A94E4B"/>
    <w:rsid w:val="00A94F84"/>
    <w:rsid w:val="00A9513E"/>
    <w:rsid w:val="00A952F5"/>
    <w:rsid w:val="00A953AA"/>
    <w:rsid w:val="00A9555E"/>
    <w:rsid w:val="00A95606"/>
    <w:rsid w:val="00A9587C"/>
    <w:rsid w:val="00A9606B"/>
    <w:rsid w:val="00A96374"/>
    <w:rsid w:val="00A96808"/>
    <w:rsid w:val="00A968A3"/>
    <w:rsid w:val="00A96C0B"/>
    <w:rsid w:val="00A96DFB"/>
    <w:rsid w:val="00A96DFC"/>
    <w:rsid w:val="00A96EEF"/>
    <w:rsid w:val="00A97015"/>
    <w:rsid w:val="00A971F1"/>
    <w:rsid w:val="00A97246"/>
    <w:rsid w:val="00A97464"/>
    <w:rsid w:val="00A97569"/>
    <w:rsid w:val="00A97830"/>
    <w:rsid w:val="00A97899"/>
    <w:rsid w:val="00A97BA1"/>
    <w:rsid w:val="00A97CC6"/>
    <w:rsid w:val="00A97E74"/>
    <w:rsid w:val="00AA008D"/>
    <w:rsid w:val="00AA0094"/>
    <w:rsid w:val="00AA034E"/>
    <w:rsid w:val="00AA0493"/>
    <w:rsid w:val="00AA0AFC"/>
    <w:rsid w:val="00AA0C17"/>
    <w:rsid w:val="00AA128A"/>
    <w:rsid w:val="00AA1344"/>
    <w:rsid w:val="00AA137A"/>
    <w:rsid w:val="00AA13FF"/>
    <w:rsid w:val="00AA150A"/>
    <w:rsid w:val="00AA1567"/>
    <w:rsid w:val="00AA1784"/>
    <w:rsid w:val="00AA183A"/>
    <w:rsid w:val="00AA1CB7"/>
    <w:rsid w:val="00AA1E7C"/>
    <w:rsid w:val="00AA213C"/>
    <w:rsid w:val="00AA22E6"/>
    <w:rsid w:val="00AA2541"/>
    <w:rsid w:val="00AA2548"/>
    <w:rsid w:val="00AA2645"/>
    <w:rsid w:val="00AA270F"/>
    <w:rsid w:val="00AA283B"/>
    <w:rsid w:val="00AA2886"/>
    <w:rsid w:val="00AA2A6A"/>
    <w:rsid w:val="00AA2AB4"/>
    <w:rsid w:val="00AA2CB8"/>
    <w:rsid w:val="00AA2E6E"/>
    <w:rsid w:val="00AA2EAE"/>
    <w:rsid w:val="00AA2F7C"/>
    <w:rsid w:val="00AA2F90"/>
    <w:rsid w:val="00AA2FEB"/>
    <w:rsid w:val="00AA3537"/>
    <w:rsid w:val="00AA36D3"/>
    <w:rsid w:val="00AA382C"/>
    <w:rsid w:val="00AA3851"/>
    <w:rsid w:val="00AA3910"/>
    <w:rsid w:val="00AA3BEC"/>
    <w:rsid w:val="00AA3E1D"/>
    <w:rsid w:val="00AA4051"/>
    <w:rsid w:val="00AA43A7"/>
    <w:rsid w:val="00AA4453"/>
    <w:rsid w:val="00AA44AB"/>
    <w:rsid w:val="00AA461E"/>
    <w:rsid w:val="00AA468D"/>
    <w:rsid w:val="00AA4701"/>
    <w:rsid w:val="00AA4A63"/>
    <w:rsid w:val="00AA4A9C"/>
    <w:rsid w:val="00AA4ADE"/>
    <w:rsid w:val="00AA4B63"/>
    <w:rsid w:val="00AA4CDC"/>
    <w:rsid w:val="00AA4F67"/>
    <w:rsid w:val="00AA51CD"/>
    <w:rsid w:val="00AA51EC"/>
    <w:rsid w:val="00AA5357"/>
    <w:rsid w:val="00AA5528"/>
    <w:rsid w:val="00AA5615"/>
    <w:rsid w:val="00AA5771"/>
    <w:rsid w:val="00AA5C34"/>
    <w:rsid w:val="00AA5D78"/>
    <w:rsid w:val="00AA5F95"/>
    <w:rsid w:val="00AA5FB2"/>
    <w:rsid w:val="00AA61A8"/>
    <w:rsid w:val="00AA62DE"/>
    <w:rsid w:val="00AA635E"/>
    <w:rsid w:val="00AA63E9"/>
    <w:rsid w:val="00AA66D2"/>
    <w:rsid w:val="00AA6D63"/>
    <w:rsid w:val="00AA6FD6"/>
    <w:rsid w:val="00AA717C"/>
    <w:rsid w:val="00AA7358"/>
    <w:rsid w:val="00AA7A79"/>
    <w:rsid w:val="00AA7E06"/>
    <w:rsid w:val="00AA7F83"/>
    <w:rsid w:val="00AB0283"/>
    <w:rsid w:val="00AB0403"/>
    <w:rsid w:val="00AB0443"/>
    <w:rsid w:val="00AB0503"/>
    <w:rsid w:val="00AB0548"/>
    <w:rsid w:val="00AB07AA"/>
    <w:rsid w:val="00AB0991"/>
    <w:rsid w:val="00AB0AE9"/>
    <w:rsid w:val="00AB0D5F"/>
    <w:rsid w:val="00AB0D82"/>
    <w:rsid w:val="00AB0E64"/>
    <w:rsid w:val="00AB0EF9"/>
    <w:rsid w:val="00AB0F19"/>
    <w:rsid w:val="00AB1516"/>
    <w:rsid w:val="00AB15B4"/>
    <w:rsid w:val="00AB15DF"/>
    <w:rsid w:val="00AB1715"/>
    <w:rsid w:val="00AB1BB3"/>
    <w:rsid w:val="00AB1CBE"/>
    <w:rsid w:val="00AB2000"/>
    <w:rsid w:val="00AB2085"/>
    <w:rsid w:val="00AB24F8"/>
    <w:rsid w:val="00AB2612"/>
    <w:rsid w:val="00AB276A"/>
    <w:rsid w:val="00AB283E"/>
    <w:rsid w:val="00AB28D3"/>
    <w:rsid w:val="00AB2CDD"/>
    <w:rsid w:val="00AB2E60"/>
    <w:rsid w:val="00AB2EFD"/>
    <w:rsid w:val="00AB2FCB"/>
    <w:rsid w:val="00AB30C2"/>
    <w:rsid w:val="00AB30D7"/>
    <w:rsid w:val="00AB323B"/>
    <w:rsid w:val="00AB32FF"/>
    <w:rsid w:val="00AB3670"/>
    <w:rsid w:val="00AB377C"/>
    <w:rsid w:val="00AB38D0"/>
    <w:rsid w:val="00AB395B"/>
    <w:rsid w:val="00AB3A15"/>
    <w:rsid w:val="00AB3A85"/>
    <w:rsid w:val="00AB3BC2"/>
    <w:rsid w:val="00AB3CEC"/>
    <w:rsid w:val="00AB3DC8"/>
    <w:rsid w:val="00AB3DF7"/>
    <w:rsid w:val="00AB3E9F"/>
    <w:rsid w:val="00AB3FED"/>
    <w:rsid w:val="00AB435F"/>
    <w:rsid w:val="00AB43AF"/>
    <w:rsid w:val="00AB4405"/>
    <w:rsid w:val="00AB44DF"/>
    <w:rsid w:val="00AB472F"/>
    <w:rsid w:val="00AB4B0F"/>
    <w:rsid w:val="00AB4BCF"/>
    <w:rsid w:val="00AB4BD0"/>
    <w:rsid w:val="00AB4D0E"/>
    <w:rsid w:val="00AB4F71"/>
    <w:rsid w:val="00AB5002"/>
    <w:rsid w:val="00AB5238"/>
    <w:rsid w:val="00AB52C4"/>
    <w:rsid w:val="00AB56C0"/>
    <w:rsid w:val="00AB584D"/>
    <w:rsid w:val="00AB5887"/>
    <w:rsid w:val="00AB58E1"/>
    <w:rsid w:val="00AB5990"/>
    <w:rsid w:val="00AB5B97"/>
    <w:rsid w:val="00AB5D6D"/>
    <w:rsid w:val="00AB6005"/>
    <w:rsid w:val="00AB60CC"/>
    <w:rsid w:val="00AB6221"/>
    <w:rsid w:val="00AB63E2"/>
    <w:rsid w:val="00AB64FE"/>
    <w:rsid w:val="00AB69D5"/>
    <w:rsid w:val="00AB6ADD"/>
    <w:rsid w:val="00AB6B2F"/>
    <w:rsid w:val="00AB6CA6"/>
    <w:rsid w:val="00AB6F23"/>
    <w:rsid w:val="00AB6F74"/>
    <w:rsid w:val="00AB6FB4"/>
    <w:rsid w:val="00AB6FF5"/>
    <w:rsid w:val="00AB79D1"/>
    <w:rsid w:val="00AB7A13"/>
    <w:rsid w:val="00AB7CF7"/>
    <w:rsid w:val="00AB7D1E"/>
    <w:rsid w:val="00AB7D42"/>
    <w:rsid w:val="00AB7DD4"/>
    <w:rsid w:val="00AB7FF1"/>
    <w:rsid w:val="00AC03C0"/>
    <w:rsid w:val="00AC03D6"/>
    <w:rsid w:val="00AC061A"/>
    <w:rsid w:val="00AC0692"/>
    <w:rsid w:val="00AC0701"/>
    <w:rsid w:val="00AC0706"/>
    <w:rsid w:val="00AC0890"/>
    <w:rsid w:val="00AC08D2"/>
    <w:rsid w:val="00AC0EB1"/>
    <w:rsid w:val="00AC102C"/>
    <w:rsid w:val="00AC1733"/>
    <w:rsid w:val="00AC1799"/>
    <w:rsid w:val="00AC1803"/>
    <w:rsid w:val="00AC1994"/>
    <w:rsid w:val="00AC1BEE"/>
    <w:rsid w:val="00AC1C82"/>
    <w:rsid w:val="00AC1CCE"/>
    <w:rsid w:val="00AC2389"/>
    <w:rsid w:val="00AC240B"/>
    <w:rsid w:val="00AC24EA"/>
    <w:rsid w:val="00AC2616"/>
    <w:rsid w:val="00AC26B9"/>
    <w:rsid w:val="00AC26BE"/>
    <w:rsid w:val="00AC28D8"/>
    <w:rsid w:val="00AC28FC"/>
    <w:rsid w:val="00AC29A9"/>
    <w:rsid w:val="00AC2CA5"/>
    <w:rsid w:val="00AC2D46"/>
    <w:rsid w:val="00AC316D"/>
    <w:rsid w:val="00AC337D"/>
    <w:rsid w:val="00AC3429"/>
    <w:rsid w:val="00AC3529"/>
    <w:rsid w:val="00AC3767"/>
    <w:rsid w:val="00AC3AEE"/>
    <w:rsid w:val="00AC3B4D"/>
    <w:rsid w:val="00AC3B90"/>
    <w:rsid w:val="00AC3BC7"/>
    <w:rsid w:val="00AC3C7F"/>
    <w:rsid w:val="00AC3DB5"/>
    <w:rsid w:val="00AC3E56"/>
    <w:rsid w:val="00AC425E"/>
    <w:rsid w:val="00AC433F"/>
    <w:rsid w:val="00AC44EC"/>
    <w:rsid w:val="00AC461D"/>
    <w:rsid w:val="00AC4748"/>
    <w:rsid w:val="00AC4883"/>
    <w:rsid w:val="00AC4917"/>
    <w:rsid w:val="00AC49F5"/>
    <w:rsid w:val="00AC4BDA"/>
    <w:rsid w:val="00AC4C45"/>
    <w:rsid w:val="00AC4CA0"/>
    <w:rsid w:val="00AC4D5F"/>
    <w:rsid w:val="00AC4F82"/>
    <w:rsid w:val="00AC509A"/>
    <w:rsid w:val="00AC5174"/>
    <w:rsid w:val="00AC51BC"/>
    <w:rsid w:val="00AC53C0"/>
    <w:rsid w:val="00AC57ED"/>
    <w:rsid w:val="00AC5965"/>
    <w:rsid w:val="00AC5A7D"/>
    <w:rsid w:val="00AC5CAF"/>
    <w:rsid w:val="00AC5D31"/>
    <w:rsid w:val="00AC5F97"/>
    <w:rsid w:val="00AC602B"/>
    <w:rsid w:val="00AC6242"/>
    <w:rsid w:val="00AC638D"/>
    <w:rsid w:val="00AC6391"/>
    <w:rsid w:val="00AC6488"/>
    <w:rsid w:val="00AC654E"/>
    <w:rsid w:val="00AC695D"/>
    <w:rsid w:val="00AC699C"/>
    <w:rsid w:val="00AC6B85"/>
    <w:rsid w:val="00AC6D6E"/>
    <w:rsid w:val="00AC6DA0"/>
    <w:rsid w:val="00AC7317"/>
    <w:rsid w:val="00AC7349"/>
    <w:rsid w:val="00AC73E1"/>
    <w:rsid w:val="00AC73F1"/>
    <w:rsid w:val="00AC7563"/>
    <w:rsid w:val="00AC7852"/>
    <w:rsid w:val="00AC78B4"/>
    <w:rsid w:val="00AC78CA"/>
    <w:rsid w:val="00AC7ADF"/>
    <w:rsid w:val="00AC7B42"/>
    <w:rsid w:val="00AC7BC6"/>
    <w:rsid w:val="00AC7EAB"/>
    <w:rsid w:val="00AD00AC"/>
    <w:rsid w:val="00AD0255"/>
    <w:rsid w:val="00AD0569"/>
    <w:rsid w:val="00AD06AF"/>
    <w:rsid w:val="00AD090F"/>
    <w:rsid w:val="00AD0B5C"/>
    <w:rsid w:val="00AD0C68"/>
    <w:rsid w:val="00AD0C81"/>
    <w:rsid w:val="00AD0EA0"/>
    <w:rsid w:val="00AD0FAF"/>
    <w:rsid w:val="00AD0FF9"/>
    <w:rsid w:val="00AD10BC"/>
    <w:rsid w:val="00AD1124"/>
    <w:rsid w:val="00AD12C7"/>
    <w:rsid w:val="00AD1447"/>
    <w:rsid w:val="00AD1657"/>
    <w:rsid w:val="00AD1833"/>
    <w:rsid w:val="00AD1961"/>
    <w:rsid w:val="00AD1B67"/>
    <w:rsid w:val="00AD1BFB"/>
    <w:rsid w:val="00AD1DA4"/>
    <w:rsid w:val="00AD1DE5"/>
    <w:rsid w:val="00AD20A0"/>
    <w:rsid w:val="00AD20DF"/>
    <w:rsid w:val="00AD2274"/>
    <w:rsid w:val="00AD23D5"/>
    <w:rsid w:val="00AD2807"/>
    <w:rsid w:val="00AD2924"/>
    <w:rsid w:val="00AD2DF7"/>
    <w:rsid w:val="00AD3250"/>
    <w:rsid w:val="00AD3863"/>
    <w:rsid w:val="00AD386A"/>
    <w:rsid w:val="00AD3959"/>
    <w:rsid w:val="00AD3966"/>
    <w:rsid w:val="00AD3C58"/>
    <w:rsid w:val="00AD3DAE"/>
    <w:rsid w:val="00AD4015"/>
    <w:rsid w:val="00AD40A5"/>
    <w:rsid w:val="00AD4315"/>
    <w:rsid w:val="00AD470D"/>
    <w:rsid w:val="00AD496F"/>
    <w:rsid w:val="00AD4970"/>
    <w:rsid w:val="00AD4B59"/>
    <w:rsid w:val="00AD4C78"/>
    <w:rsid w:val="00AD4FDA"/>
    <w:rsid w:val="00AD4FE6"/>
    <w:rsid w:val="00AD505B"/>
    <w:rsid w:val="00AD54E7"/>
    <w:rsid w:val="00AD577D"/>
    <w:rsid w:val="00AD5920"/>
    <w:rsid w:val="00AD5B2F"/>
    <w:rsid w:val="00AD5D09"/>
    <w:rsid w:val="00AD5E7A"/>
    <w:rsid w:val="00AD5F9B"/>
    <w:rsid w:val="00AD614D"/>
    <w:rsid w:val="00AD635A"/>
    <w:rsid w:val="00AD63BA"/>
    <w:rsid w:val="00AD6426"/>
    <w:rsid w:val="00AD6630"/>
    <w:rsid w:val="00AD6859"/>
    <w:rsid w:val="00AD6B1C"/>
    <w:rsid w:val="00AD6C92"/>
    <w:rsid w:val="00AD6DD6"/>
    <w:rsid w:val="00AD7008"/>
    <w:rsid w:val="00AD702F"/>
    <w:rsid w:val="00AD739F"/>
    <w:rsid w:val="00AD76BF"/>
    <w:rsid w:val="00AD7767"/>
    <w:rsid w:val="00AD777A"/>
    <w:rsid w:val="00AD7B4C"/>
    <w:rsid w:val="00AD7B5E"/>
    <w:rsid w:val="00AD7EB0"/>
    <w:rsid w:val="00AD7F5F"/>
    <w:rsid w:val="00AE0232"/>
    <w:rsid w:val="00AE02BF"/>
    <w:rsid w:val="00AE0390"/>
    <w:rsid w:val="00AE0395"/>
    <w:rsid w:val="00AE045A"/>
    <w:rsid w:val="00AE0587"/>
    <w:rsid w:val="00AE05A2"/>
    <w:rsid w:val="00AE0689"/>
    <w:rsid w:val="00AE068C"/>
    <w:rsid w:val="00AE0AB0"/>
    <w:rsid w:val="00AE0ADF"/>
    <w:rsid w:val="00AE0B46"/>
    <w:rsid w:val="00AE0C34"/>
    <w:rsid w:val="00AE0D73"/>
    <w:rsid w:val="00AE0EE7"/>
    <w:rsid w:val="00AE0F8F"/>
    <w:rsid w:val="00AE1439"/>
    <w:rsid w:val="00AE14D2"/>
    <w:rsid w:val="00AE188C"/>
    <w:rsid w:val="00AE19DD"/>
    <w:rsid w:val="00AE1BC4"/>
    <w:rsid w:val="00AE1C5D"/>
    <w:rsid w:val="00AE1CD9"/>
    <w:rsid w:val="00AE1D94"/>
    <w:rsid w:val="00AE1D96"/>
    <w:rsid w:val="00AE1EED"/>
    <w:rsid w:val="00AE1F3B"/>
    <w:rsid w:val="00AE1FC6"/>
    <w:rsid w:val="00AE210F"/>
    <w:rsid w:val="00AE243F"/>
    <w:rsid w:val="00AE24A3"/>
    <w:rsid w:val="00AE24AC"/>
    <w:rsid w:val="00AE25E6"/>
    <w:rsid w:val="00AE26BD"/>
    <w:rsid w:val="00AE27DF"/>
    <w:rsid w:val="00AE294A"/>
    <w:rsid w:val="00AE2B56"/>
    <w:rsid w:val="00AE2B8D"/>
    <w:rsid w:val="00AE2C02"/>
    <w:rsid w:val="00AE2C0D"/>
    <w:rsid w:val="00AE2EAF"/>
    <w:rsid w:val="00AE2EC4"/>
    <w:rsid w:val="00AE2F73"/>
    <w:rsid w:val="00AE2F75"/>
    <w:rsid w:val="00AE3070"/>
    <w:rsid w:val="00AE31EE"/>
    <w:rsid w:val="00AE353A"/>
    <w:rsid w:val="00AE3594"/>
    <w:rsid w:val="00AE3782"/>
    <w:rsid w:val="00AE3C98"/>
    <w:rsid w:val="00AE3E35"/>
    <w:rsid w:val="00AE3E43"/>
    <w:rsid w:val="00AE3ED0"/>
    <w:rsid w:val="00AE3ED8"/>
    <w:rsid w:val="00AE419E"/>
    <w:rsid w:val="00AE4372"/>
    <w:rsid w:val="00AE43D5"/>
    <w:rsid w:val="00AE448D"/>
    <w:rsid w:val="00AE4490"/>
    <w:rsid w:val="00AE4541"/>
    <w:rsid w:val="00AE4619"/>
    <w:rsid w:val="00AE4673"/>
    <w:rsid w:val="00AE4922"/>
    <w:rsid w:val="00AE49DF"/>
    <w:rsid w:val="00AE4A44"/>
    <w:rsid w:val="00AE4A6E"/>
    <w:rsid w:val="00AE4BD3"/>
    <w:rsid w:val="00AE4E71"/>
    <w:rsid w:val="00AE4E97"/>
    <w:rsid w:val="00AE503A"/>
    <w:rsid w:val="00AE5327"/>
    <w:rsid w:val="00AE55D7"/>
    <w:rsid w:val="00AE56E6"/>
    <w:rsid w:val="00AE5AAB"/>
    <w:rsid w:val="00AE5AF4"/>
    <w:rsid w:val="00AE5D1F"/>
    <w:rsid w:val="00AE5D94"/>
    <w:rsid w:val="00AE5DC8"/>
    <w:rsid w:val="00AE615F"/>
    <w:rsid w:val="00AE61A5"/>
    <w:rsid w:val="00AE63C0"/>
    <w:rsid w:val="00AE6454"/>
    <w:rsid w:val="00AE65AD"/>
    <w:rsid w:val="00AE67A2"/>
    <w:rsid w:val="00AE68B2"/>
    <w:rsid w:val="00AE68CA"/>
    <w:rsid w:val="00AE6981"/>
    <w:rsid w:val="00AE6A55"/>
    <w:rsid w:val="00AE6B3E"/>
    <w:rsid w:val="00AE6DAF"/>
    <w:rsid w:val="00AE6E13"/>
    <w:rsid w:val="00AE6E63"/>
    <w:rsid w:val="00AE727A"/>
    <w:rsid w:val="00AE75B1"/>
    <w:rsid w:val="00AE7624"/>
    <w:rsid w:val="00AE7997"/>
    <w:rsid w:val="00AE7C8E"/>
    <w:rsid w:val="00AE7D3B"/>
    <w:rsid w:val="00AF0139"/>
    <w:rsid w:val="00AF01AA"/>
    <w:rsid w:val="00AF02BF"/>
    <w:rsid w:val="00AF039E"/>
    <w:rsid w:val="00AF0492"/>
    <w:rsid w:val="00AF04AF"/>
    <w:rsid w:val="00AF0589"/>
    <w:rsid w:val="00AF05F8"/>
    <w:rsid w:val="00AF06AF"/>
    <w:rsid w:val="00AF0741"/>
    <w:rsid w:val="00AF0837"/>
    <w:rsid w:val="00AF086A"/>
    <w:rsid w:val="00AF08C4"/>
    <w:rsid w:val="00AF09EF"/>
    <w:rsid w:val="00AF0C59"/>
    <w:rsid w:val="00AF0D76"/>
    <w:rsid w:val="00AF1085"/>
    <w:rsid w:val="00AF10FA"/>
    <w:rsid w:val="00AF12BA"/>
    <w:rsid w:val="00AF1737"/>
    <w:rsid w:val="00AF191D"/>
    <w:rsid w:val="00AF1A82"/>
    <w:rsid w:val="00AF1BDF"/>
    <w:rsid w:val="00AF1C72"/>
    <w:rsid w:val="00AF1CB9"/>
    <w:rsid w:val="00AF1D7A"/>
    <w:rsid w:val="00AF22B2"/>
    <w:rsid w:val="00AF2365"/>
    <w:rsid w:val="00AF2448"/>
    <w:rsid w:val="00AF2783"/>
    <w:rsid w:val="00AF279E"/>
    <w:rsid w:val="00AF2C7F"/>
    <w:rsid w:val="00AF31D8"/>
    <w:rsid w:val="00AF32A2"/>
    <w:rsid w:val="00AF3421"/>
    <w:rsid w:val="00AF3587"/>
    <w:rsid w:val="00AF3679"/>
    <w:rsid w:val="00AF388B"/>
    <w:rsid w:val="00AF38EB"/>
    <w:rsid w:val="00AF3B16"/>
    <w:rsid w:val="00AF3D3C"/>
    <w:rsid w:val="00AF4108"/>
    <w:rsid w:val="00AF430F"/>
    <w:rsid w:val="00AF4394"/>
    <w:rsid w:val="00AF47CF"/>
    <w:rsid w:val="00AF4DAC"/>
    <w:rsid w:val="00AF4DC8"/>
    <w:rsid w:val="00AF57B3"/>
    <w:rsid w:val="00AF57E2"/>
    <w:rsid w:val="00AF5961"/>
    <w:rsid w:val="00AF5ABA"/>
    <w:rsid w:val="00AF5BF7"/>
    <w:rsid w:val="00AF5E31"/>
    <w:rsid w:val="00AF61D1"/>
    <w:rsid w:val="00AF62D5"/>
    <w:rsid w:val="00AF634D"/>
    <w:rsid w:val="00AF6486"/>
    <w:rsid w:val="00AF658C"/>
    <w:rsid w:val="00AF659B"/>
    <w:rsid w:val="00AF6607"/>
    <w:rsid w:val="00AF66D1"/>
    <w:rsid w:val="00AF6BF6"/>
    <w:rsid w:val="00AF6DC3"/>
    <w:rsid w:val="00AF6DCF"/>
    <w:rsid w:val="00AF6EEA"/>
    <w:rsid w:val="00AF6F2A"/>
    <w:rsid w:val="00AF6F8C"/>
    <w:rsid w:val="00AF7075"/>
    <w:rsid w:val="00AF7474"/>
    <w:rsid w:val="00AF7526"/>
    <w:rsid w:val="00AF7742"/>
    <w:rsid w:val="00AF79BF"/>
    <w:rsid w:val="00AF7C8D"/>
    <w:rsid w:val="00AF7D83"/>
    <w:rsid w:val="00AF7E0C"/>
    <w:rsid w:val="00B00244"/>
    <w:rsid w:val="00B00653"/>
    <w:rsid w:val="00B006A9"/>
    <w:rsid w:val="00B006C0"/>
    <w:rsid w:val="00B006F8"/>
    <w:rsid w:val="00B008EE"/>
    <w:rsid w:val="00B0090C"/>
    <w:rsid w:val="00B00ADE"/>
    <w:rsid w:val="00B00BD3"/>
    <w:rsid w:val="00B00CA3"/>
    <w:rsid w:val="00B00CC0"/>
    <w:rsid w:val="00B01469"/>
    <w:rsid w:val="00B01514"/>
    <w:rsid w:val="00B0154A"/>
    <w:rsid w:val="00B01671"/>
    <w:rsid w:val="00B016A4"/>
    <w:rsid w:val="00B0196D"/>
    <w:rsid w:val="00B019A3"/>
    <w:rsid w:val="00B01CA1"/>
    <w:rsid w:val="00B0209C"/>
    <w:rsid w:val="00B0220A"/>
    <w:rsid w:val="00B02693"/>
    <w:rsid w:val="00B02D84"/>
    <w:rsid w:val="00B02E2F"/>
    <w:rsid w:val="00B02E58"/>
    <w:rsid w:val="00B02E5B"/>
    <w:rsid w:val="00B02F76"/>
    <w:rsid w:val="00B02F89"/>
    <w:rsid w:val="00B031DA"/>
    <w:rsid w:val="00B03300"/>
    <w:rsid w:val="00B034E3"/>
    <w:rsid w:val="00B0377E"/>
    <w:rsid w:val="00B03A76"/>
    <w:rsid w:val="00B040D0"/>
    <w:rsid w:val="00B04210"/>
    <w:rsid w:val="00B04522"/>
    <w:rsid w:val="00B04651"/>
    <w:rsid w:val="00B046A1"/>
    <w:rsid w:val="00B0475C"/>
    <w:rsid w:val="00B04882"/>
    <w:rsid w:val="00B04D32"/>
    <w:rsid w:val="00B04D97"/>
    <w:rsid w:val="00B04E3B"/>
    <w:rsid w:val="00B0547E"/>
    <w:rsid w:val="00B055C0"/>
    <w:rsid w:val="00B056A7"/>
    <w:rsid w:val="00B0572E"/>
    <w:rsid w:val="00B05826"/>
    <w:rsid w:val="00B05897"/>
    <w:rsid w:val="00B05EE8"/>
    <w:rsid w:val="00B06062"/>
    <w:rsid w:val="00B060CC"/>
    <w:rsid w:val="00B06218"/>
    <w:rsid w:val="00B0626A"/>
    <w:rsid w:val="00B062BE"/>
    <w:rsid w:val="00B062E8"/>
    <w:rsid w:val="00B0655A"/>
    <w:rsid w:val="00B06640"/>
    <w:rsid w:val="00B066EC"/>
    <w:rsid w:val="00B0694D"/>
    <w:rsid w:val="00B06B7A"/>
    <w:rsid w:val="00B06CF9"/>
    <w:rsid w:val="00B06E30"/>
    <w:rsid w:val="00B06EF5"/>
    <w:rsid w:val="00B07677"/>
    <w:rsid w:val="00B07733"/>
    <w:rsid w:val="00B077B3"/>
    <w:rsid w:val="00B078C0"/>
    <w:rsid w:val="00B07BC3"/>
    <w:rsid w:val="00B07C2F"/>
    <w:rsid w:val="00B07CD6"/>
    <w:rsid w:val="00B07CE2"/>
    <w:rsid w:val="00B07DEC"/>
    <w:rsid w:val="00B07F62"/>
    <w:rsid w:val="00B1004C"/>
    <w:rsid w:val="00B10168"/>
    <w:rsid w:val="00B101EA"/>
    <w:rsid w:val="00B1038A"/>
    <w:rsid w:val="00B10462"/>
    <w:rsid w:val="00B104C9"/>
    <w:rsid w:val="00B108CE"/>
    <w:rsid w:val="00B10B27"/>
    <w:rsid w:val="00B10CD1"/>
    <w:rsid w:val="00B10E22"/>
    <w:rsid w:val="00B10FC9"/>
    <w:rsid w:val="00B11161"/>
    <w:rsid w:val="00B11288"/>
    <w:rsid w:val="00B11376"/>
    <w:rsid w:val="00B113DC"/>
    <w:rsid w:val="00B115D8"/>
    <w:rsid w:val="00B116F7"/>
    <w:rsid w:val="00B117AA"/>
    <w:rsid w:val="00B11808"/>
    <w:rsid w:val="00B11937"/>
    <w:rsid w:val="00B11961"/>
    <w:rsid w:val="00B119D9"/>
    <w:rsid w:val="00B11A4F"/>
    <w:rsid w:val="00B11BE2"/>
    <w:rsid w:val="00B11D7E"/>
    <w:rsid w:val="00B11E49"/>
    <w:rsid w:val="00B11FD4"/>
    <w:rsid w:val="00B122CA"/>
    <w:rsid w:val="00B123F3"/>
    <w:rsid w:val="00B12498"/>
    <w:rsid w:val="00B12552"/>
    <w:rsid w:val="00B12570"/>
    <w:rsid w:val="00B126C5"/>
    <w:rsid w:val="00B12EE8"/>
    <w:rsid w:val="00B133FC"/>
    <w:rsid w:val="00B134B1"/>
    <w:rsid w:val="00B136C3"/>
    <w:rsid w:val="00B13810"/>
    <w:rsid w:val="00B13C66"/>
    <w:rsid w:val="00B13FE2"/>
    <w:rsid w:val="00B14323"/>
    <w:rsid w:val="00B143DF"/>
    <w:rsid w:val="00B143ED"/>
    <w:rsid w:val="00B14658"/>
    <w:rsid w:val="00B146AB"/>
    <w:rsid w:val="00B147BF"/>
    <w:rsid w:val="00B14A3D"/>
    <w:rsid w:val="00B14DA9"/>
    <w:rsid w:val="00B14FF2"/>
    <w:rsid w:val="00B152DE"/>
    <w:rsid w:val="00B15391"/>
    <w:rsid w:val="00B153F5"/>
    <w:rsid w:val="00B154DA"/>
    <w:rsid w:val="00B1556A"/>
    <w:rsid w:val="00B15658"/>
    <w:rsid w:val="00B157CF"/>
    <w:rsid w:val="00B15A2B"/>
    <w:rsid w:val="00B15A4E"/>
    <w:rsid w:val="00B15E0E"/>
    <w:rsid w:val="00B15EC6"/>
    <w:rsid w:val="00B16191"/>
    <w:rsid w:val="00B162B4"/>
    <w:rsid w:val="00B1652C"/>
    <w:rsid w:val="00B16686"/>
    <w:rsid w:val="00B167D9"/>
    <w:rsid w:val="00B167EB"/>
    <w:rsid w:val="00B16843"/>
    <w:rsid w:val="00B16849"/>
    <w:rsid w:val="00B16BFC"/>
    <w:rsid w:val="00B16CD5"/>
    <w:rsid w:val="00B16D50"/>
    <w:rsid w:val="00B16F05"/>
    <w:rsid w:val="00B1728D"/>
    <w:rsid w:val="00B173AF"/>
    <w:rsid w:val="00B173E0"/>
    <w:rsid w:val="00B175A7"/>
    <w:rsid w:val="00B175BE"/>
    <w:rsid w:val="00B17693"/>
    <w:rsid w:val="00B176D7"/>
    <w:rsid w:val="00B17843"/>
    <w:rsid w:val="00B1791E"/>
    <w:rsid w:val="00B17B49"/>
    <w:rsid w:val="00B17C17"/>
    <w:rsid w:val="00B17C59"/>
    <w:rsid w:val="00B20029"/>
    <w:rsid w:val="00B2003B"/>
    <w:rsid w:val="00B200DA"/>
    <w:rsid w:val="00B2086E"/>
    <w:rsid w:val="00B20A9A"/>
    <w:rsid w:val="00B21248"/>
    <w:rsid w:val="00B21279"/>
    <w:rsid w:val="00B212EC"/>
    <w:rsid w:val="00B213C0"/>
    <w:rsid w:val="00B2143D"/>
    <w:rsid w:val="00B21566"/>
    <w:rsid w:val="00B21A51"/>
    <w:rsid w:val="00B21E07"/>
    <w:rsid w:val="00B21E09"/>
    <w:rsid w:val="00B21F33"/>
    <w:rsid w:val="00B21F47"/>
    <w:rsid w:val="00B22248"/>
    <w:rsid w:val="00B224FD"/>
    <w:rsid w:val="00B22513"/>
    <w:rsid w:val="00B228D5"/>
    <w:rsid w:val="00B22B58"/>
    <w:rsid w:val="00B22F27"/>
    <w:rsid w:val="00B22F69"/>
    <w:rsid w:val="00B23090"/>
    <w:rsid w:val="00B2309D"/>
    <w:rsid w:val="00B23673"/>
    <w:rsid w:val="00B2373B"/>
    <w:rsid w:val="00B23825"/>
    <w:rsid w:val="00B23830"/>
    <w:rsid w:val="00B238A7"/>
    <w:rsid w:val="00B23945"/>
    <w:rsid w:val="00B23971"/>
    <w:rsid w:val="00B239DA"/>
    <w:rsid w:val="00B23B2C"/>
    <w:rsid w:val="00B23BED"/>
    <w:rsid w:val="00B23C59"/>
    <w:rsid w:val="00B23C72"/>
    <w:rsid w:val="00B23D6D"/>
    <w:rsid w:val="00B24073"/>
    <w:rsid w:val="00B240B1"/>
    <w:rsid w:val="00B24137"/>
    <w:rsid w:val="00B242C6"/>
    <w:rsid w:val="00B248D1"/>
    <w:rsid w:val="00B249A9"/>
    <w:rsid w:val="00B24C0C"/>
    <w:rsid w:val="00B24F6F"/>
    <w:rsid w:val="00B24F8D"/>
    <w:rsid w:val="00B25073"/>
    <w:rsid w:val="00B2517E"/>
    <w:rsid w:val="00B252DD"/>
    <w:rsid w:val="00B254A4"/>
    <w:rsid w:val="00B256D1"/>
    <w:rsid w:val="00B256D7"/>
    <w:rsid w:val="00B257B2"/>
    <w:rsid w:val="00B257E6"/>
    <w:rsid w:val="00B259F6"/>
    <w:rsid w:val="00B25BC2"/>
    <w:rsid w:val="00B26001"/>
    <w:rsid w:val="00B26136"/>
    <w:rsid w:val="00B26207"/>
    <w:rsid w:val="00B26228"/>
    <w:rsid w:val="00B26515"/>
    <w:rsid w:val="00B2654F"/>
    <w:rsid w:val="00B26779"/>
    <w:rsid w:val="00B26826"/>
    <w:rsid w:val="00B26861"/>
    <w:rsid w:val="00B26918"/>
    <w:rsid w:val="00B269E4"/>
    <w:rsid w:val="00B26AE6"/>
    <w:rsid w:val="00B26BDE"/>
    <w:rsid w:val="00B26C3D"/>
    <w:rsid w:val="00B26DD9"/>
    <w:rsid w:val="00B26F51"/>
    <w:rsid w:val="00B27226"/>
    <w:rsid w:val="00B2723F"/>
    <w:rsid w:val="00B2741E"/>
    <w:rsid w:val="00B27526"/>
    <w:rsid w:val="00B27548"/>
    <w:rsid w:val="00B275AC"/>
    <w:rsid w:val="00B2767C"/>
    <w:rsid w:val="00B27734"/>
    <w:rsid w:val="00B27A8B"/>
    <w:rsid w:val="00B27AAA"/>
    <w:rsid w:val="00B27B41"/>
    <w:rsid w:val="00B30012"/>
    <w:rsid w:val="00B3010F"/>
    <w:rsid w:val="00B301DA"/>
    <w:rsid w:val="00B303DF"/>
    <w:rsid w:val="00B3043D"/>
    <w:rsid w:val="00B3048D"/>
    <w:rsid w:val="00B3054C"/>
    <w:rsid w:val="00B3082A"/>
    <w:rsid w:val="00B30A10"/>
    <w:rsid w:val="00B30ABB"/>
    <w:rsid w:val="00B30CAC"/>
    <w:rsid w:val="00B30DA9"/>
    <w:rsid w:val="00B311F4"/>
    <w:rsid w:val="00B312F4"/>
    <w:rsid w:val="00B31519"/>
    <w:rsid w:val="00B31696"/>
    <w:rsid w:val="00B3174B"/>
    <w:rsid w:val="00B31C74"/>
    <w:rsid w:val="00B31EE0"/>
    <w:rsid w:val="00B31F77"/>
    <w:rsid w:val="00B32104"/>
    <w:rsid w:val="00B32201"/>
    <w:rsid w:val="00B32365"/>
    <w:rsid w:val="00B3241A"/>
    <w:rsid w:val="00B32462"/>
    <w:rsid w:val="00B324F1"/>
    <w:rsid w:val="00B3294E"/>
    <w:rsid w:val="00B32D0B"/>
    <w:rsid w:val="00B32D1E"/>
    <w:rsid w:val="00B32DB5"/>
    <w:rsid w:val="00B32EC7"/>
    <w:rsid w:val="00B32EED"/>
    <w:rsid w:val="00B33031"/>
    <w:rsid w:val="00B331C7"/>
    <w:rsid w:val="00B332DF"/>
    <w:rsid w:val="00B332FA"/>
    <w:rsid w:val="00B33532"/>
    <w:rsid w:val="00B335E0"/>
    <w:rsid w:val="00B33678"/>
    <w:rsid w:val="00B33681"/>
    <w:rsid w:val="00B336B4"/>
    <w:rsid w:val="00B33712"/>
    <w:rsid w:val="00B33778"/>
    <w:rsid w:val="00B33790"/>
    <w:rsid w:val="00B338F8"/>
    <w:rsid w:val="00B33A19"/>
    <w:rsid w:val="00B33A26"/>
    <w:rsid w:val="00B33C7A"/>
    <w:rsid w:val="00B33E69"/>
    <w:rsid w:val="00B33F20"/>
    <w:rsid w:val="00B3438D"/>
    <w:rsid w:val="00B3447B"/>
    <w:rsid w:val="00B34657"/>
    <w:rsid w:val="00B348B9"/>
    <w:rsid w:val="00B34978"/>
    <w:rsid w:val="00B34AB1"/>
    <w:rsid w:val="00B34ABA"/>
    <w:rsid w:val="00B34EDA"/>
    <w:rsid w:val="00B35064"/>
    <w:rsid w:val="00B356A0"/>
    <w:rsid w:val="00B35A20"/>
    <w:rsid w:val="00B35C8B"/>
    <w:rsid w:val="00B35CAB"/>
    <w:rsid w:val="00B35DE8"/>
    <w:rsid w:val="00B35EBB"/>
    <w:rsid w:val="00B35FB5"/>
    <w:rsid w:val="00B35FCC"/>
    <w:rsid w:val="00B36040"/>
    <w:rsid w:val="00B364A7"/>
    <w:rsid w:val="00B366DB"/>
    <w:rsid w:val="00B3690F"/>
    <w:rsid w:val="00B36965"/>
    <w:rsid w:val="00B36BC3"/>
    <w:rsid w:val="00B36CEA"/>
    <w:rsid w:val="00B36EF8"/>
    <w:rsid w:val="00B36FC4"/>
    <w:rsid w:val="00B370B5"/>
    <w:rsid w:val="00B370CF"/>
    <w:rsid w:val="00B3712A"/>
    <w:rsid w:val="00B37247"/>
    <w:rsid w:val="00B37255"/>
    <w:rsid w:val="00B37348"/>
    <w:rsid w:val="00B3748B"/>
    <w:rsid w:val="00B37667"/>
    <w:rsid w:val="00B37790"/>
    <w:rsid w:val="00B377F3"/>
    <w:rsid w:val="00B379DC"/>
    <w:rsid w:val="00B37B07"/>
    <w:rsid w:val="00B37BA6"/>
    <w:rsid w:val="00B37E78"/>
    <w:rsid w:val="00B40065"/>
    <w:rsid w:val="00B401EC"/>
    <w:rsid w:val="00B4021F"/>
    <w:rsid w:val="00B4050D"/>
    <w:rsid w:val="00B4053D"/>
    <w:rsid w:val="00B40557"/>
    <w:rsid w:val="00B40931"/>
    <w:rsid w:val="00B40A81"/>
    <w:rsid w:val="00B40D06"/>
    <w:rsid w:val="00B40DCE"/>
    <w:rsid w:val="00B40F10"/>
    <w:rsid w:val="00B40F18"/>
    <w:rsid w:val="00B41233"/>
    <w:rsid w:val="00B413E4"/>
    <w:rsid w:val="00B41559"/>
    <w:rsid w:val="00B416DE"/>
    <w:rsid w:val="00B41757"/>
    <w:rsid w:val="00B418C7"/>
    <w:rsid w:val="00B41C56"/>
    <w:rsid w:val="00B41C83"/>
    <w:rsid w:val="00B41DE1"/>
    <w:rsid w:val="00B42430"/>
    <w:rsid w:val="00B42474"/>
    <w:rsid w:val="00B4255D"/>
    <w:rsid w:val="00B426EF"/>
    <w:rsid w:val="00B42717"/>
    <w:rsid w:val="00B427F5"/>
    <w:rsid w:val="00B42916"/>
    <w:rsid w:val="00B42980"/>
    <w:rsid w:val="00B42A71"/>
    <w:rsid w:val="00B42BC7"/>
    <w:rsid w:val="00B42C72"/>
    <w:rsid w:val="00B42CEF"/>
    <w:rsid w:val="00B42E7A"/>
    <w:rsid w:val="00B42E9D"/>
    <w:rsid w:val="00B42FC0"/>
    <w:rsid w:val="00B43148"/>
    <w:rsid w:val="00B431AD"/>
    <w:rsid w:val="00B431C6"/>
    <w:rsid w:val="00B4347F"/>
    <w:rsid w:val="00B434F1"/>
    <w:rsid w:val="00B435D8"/>
    <w:rsid w:val="00B436AE"/>
    <w:rsid w:val="00B436F4"/>
    <w:rsid w:val="00B43A53"/>
    <w:rsid w:val="00B43A55"/>
    <w:rsid w:val="00B43B7C"/>
    <w:rsid w:val="00B43F8F"/>
    <w:rsid w:val="00B44044"/>
    <w:rsid w:val="00B440C7"/>
    <w:rsid w:val="00B44120"/>
    <w:rsid w:val="00B4416B"/>
    <w:rsid w:val="00B44354"/>
    <w:rsid w:val="00B4447A"/>
    <w:rsid w:val="00B44503"/>
    <w:rsid w:val="00B44504"/>
    <w:rsid w:val="00B445C0"/>
    <w:rsid w:val="00B446FA"/>
    <w:rsid w:val="00B447C5"/>
    <w:rsid w:val="00B4498C"/>
    <w:rsid w:val="00B44B46"/>
    <w:rsid w:val="00B44BFF"/>
    <w:rsid w:val="00B44C39"/>
    <w:rsid w:val="00B44E44"/>
    <w:rsid w:val="00B45079"/>
    <w:rsid w:val="00B45129"/>
    <w:rsid w:val="00B45350"/>
    <w:rsid w:val="00B45391"/>
    <w:rsid w:val="00B453BF"/>
    <w:rsid w:val="00B454B2"/>
    <w:rsid w:val="00B45579"/>
    <w:rsid w:val="00B459B6"/>
    <w:rsid w:val="00B45AAB"/>
    <w:rsid w:val="00B45BA8"/>
    <w:rsid w:val="00B45C56"/>
    <w:rsid w:val="00B45E0B"/>
    <w:rsid w:val="00B45FA2"/>
    <w:rsid w:val="00B46075"/>
    <w:rsid w:val="00B462A2"/>
    <w:rsid w:val="00B4635B"/>
    <w:rsid w:val="00B463DD"/>
    <w:rsid w:val="00B46580"/>
    <w:rsid w:val="00B467A3"/>
    <w:rsid w:val="00B467CF"/>
    <w:rsid w:val="00B46A73"/>
    <w:rsid w:val="00B46C8B"/>
    <w:rsid w:val="00B46FA3"/>
    <w:rsid w:val="00B47551"/>
    <w:rsid w:val="00B479D0"/>
    <w:rsid w:val="00B47E7A"/>
    <w:rsid w:val="00B47FB0"/>
    <w:rsid w:val="00B50091"/>
    <w:rsid w:val="00B50237"/>
    <w:rsid w:val="00B504DE"/>
    <w:rsid w:val="00B5073F"/>
    <w:rsid w:val="00B508D4"/>
    <w:rsid w:val="00B50BA6"/>
    <w:rsid w:val="00B50E38"/>
    <w:rsid w:val="00B5117D"/>
    <w:rsid w:val="00B512D4"/>
    <w:rsid w:val="00B5154B"/>
    <w:rsid w:val="00B51699"/>
    <w:rsid w:val="00B517B5"/>
    <w:rsid w:val="00B517FA"/>
    <w:rsid w:val="00B51992"/>
    <w:rsid w:val="00B519C7"/>
    <w:rsid w:val="00B51A95"/>
    <w:rsid w:val="00B51B28"/>
    <w:rsid w:val="00B51DC8"/>
    <w:rsid w:val="00B51EBE"/>
    <w:rsid w:val="00B51EDD"/>
    <w:rsid w:val="00B51F88"/>
    <w:rsid w:val="00B524F3"/>
    <w:rsid w:val="00B526A4"/>
    <w:rsid w:val="00B52869"/>
    <w:rsid w:val="00B52B63"/>
    <w:rsid w:val="00B52D68"/>
    <w:rsid w:val="00B52E3E"/>
    <w:rsid w:val="00B53068"/>
    <w:rsid w:val="00B532DB"/>
    <w:rsid w:val="00B53437"/>
    <w:rsid w:val="00B538B0"/>
    <w:rsid w:val="00B5390D"/>
    <w:rsid w:val="00B539AB"/>
    <w:rsid w:val="00B539E3"/>
    <w:rsid w:val="00B53DF3"/>
    <w:rsid w:val="00B53F40"/>
    <w:rsid w:val="00B54000"/>
    <w:rsid w:val="00B543E7"/>
    <w:rsid w:val="00B545CC"/>
    <w:rsid w:val="00B54794"/>
    <w:rsid w:val="00B5493B"/>
    <w:rsid w:val="00B5498A"/>
    <w:rsid w:val="00B54A09"/>
    <w:rsid w:val="00B54D6A"/>
    <w:rsid w:val="00B54DC1"/>
    <w:rsid w:val="00B54ECF"/>
    <w:rsid w:val="00B54F4A"/>
    <w:rsid w:val="00B55096"/>
    <w:rsid w:val="00B55358"/>
    <w:rsid w:val="00B55779"/>
    <w:rsid w:val="00B55783"/>
    <w:rsid w:val="00B55A44"/>
    <w:rsid w:val="00B55B06"/>
    <w:rsid w:val="00B55C09"/>
    <w:rsid w:val="00B55F23"/>
    <w:rsid w:val="00B56250"/>
    <w:rsid w:val="00B56380"/>
    <w:rsid w:val="00B563F9"/>
    <w:rsid w:val="00B567AE"/>
    <w:rsid w:val="00B56B35"/>
    <w:rsid w:val="00B56C06"/>
    <w:rsid w:val="00B56FCA"/>
    <w:rsid w:val="00B576B9"/>
    <w:rsid w:val="00B5795E"/>
    <w:rsid w:val="00B57DA4"/>
    <w:rsid w:val="00B57E65"/>
    <w:rsid w:val="00B57F8F"/>
    <w:rsid w:val="00B600BA"/>
    <w:rsid w:val="00B601E5"/>
    <w:rsid w:val="00B6042A"/>
    <w:rsid w:val="00B60478"/>
    <w:rsid w:val="00B6085E"/>
    <w:rsid w:val="00B60B64"/>
    <w:rsid w:val="00B60C1C"/>
    <w:rsid w:val="00B612D0"/>
    <w:rsid w:val="00B613B6"/>
    <w:rsid w:val="00B613E7"/>
    <w:rsid w:val="00B61504"/>
    <w:rsid w:val="00B6150E"/>
    <w:rsid w:val="00B61540"/>
    <w:rsid w:val="00B6171F"/>
    <w:rsid w:val="00B619F9"/>
    <w:rsid w:val="00B620A9"/>
    <w:rsid w:val="00B6228C"/>
    <w:rsid w:val="00B6236A"/>
    <w:rsid w:val="00B62433"/>
    <w:rsid w:val="00B62447"/>
    <w:rsid w:val="00B62487"/>
    <w:rsid w:val="00B62795"/>
    <w:rsid w:val="00B62841"/>
    <w:rsid w:val="00B62A86"/>
    <w:rsid w:val="00B630EE"/>
    <w:rsid w:val="00B63351"/>
    <w:rsid w:val="00B63401"/>
    <w:rsid w:val="00B634D7"/>
    <w:rsid w:val="00B635EA"/>
    <w:rsid w:val="00B636E8"/>
    <w:rsid w:val="00B637C8"/>
    <w:rsid w:val="00B6387B"/>
    <w:rsid w:val="00B6394D"/>
    <w:rsid w:val="00B63E0D"/>
    <w:rsid w:val="00B641DB"/>
    <w:rsid w:val="00B643BA"/>
    <w:rsid w:val="00B64A67"/>
    <w:rsid w:val="00B64AF6"/>
    <w:rsid w:val="00B64DA0"/>
    <w:rsid w:val="00B64E3B"/>
    <w:rsid w:val="00B64F24"/>
    <w:rsid w:val="00B64F8C"/>
    <w:rsid w:val="00B65060"/>
    <w:rsid w:val="00B65098"/>
    <w:rsid w:val="00B651DB"/>
    <w:rsid w:val="00B658AE"/>
    <w:rsid w:val="00B65A0D"/>
    <w:rsid w:val="00B65B80"/>
    <w:rsid w:val="00B6605F"/>
    <w:rsid w:val="00B663D8"/>
    <w:rsid w:val="00B66403"/>
    <w:rsid w:val="00B6641B"/>
    <w:rsid w:val="00B66450"/>
    <w:rsid w:val="00B66856"/>
    <w:rsid w:val="00B66BCA"/>
    <w:rsid w:val="00B66C5B"/>
    <w:rsid w:val="00B66EFD"/>
    <w:rsid w:val="00B67323"/>
    <w:rsid w:val="00B67342"/>
    <w:rsid w:val="00B67364"/>
    <w:rsid w:val="00B675CE"/>
    <w:rsid w:val="00B67667"/>
    <w:rsid w:val="00B67A8C"/>
    <w:rsid w:val="00B67B1E"/>
    <w:rsid w:val="00B67C24"/>
    <w:rsid w:val="00B67E70"/>
    <w:rsid w:val="00B7058B"/>
    <w:rsid w:val="00B70771"/>
    <w:rsid w:val="00B70A56"/>
    <w:rsid w:val="00B70A66"/>
    <w:rsid w:val="00B70AA3"/>
    <w:rsid w:val="00B70CAC"/>
    <w:rsid w:val="00B70CEC"/>
    <w:rsid w:val="00B712CA"/>
    <w:rsid w:val="00B7132B"/>
    <w:rsid w:val="00B714D2"/>
    <w:rsid w:val="00B715BA"/>
    <w:rsid w:val="00B717AA"/>
    <w:rsid w:val="00B719ED"/>
    <w:rsid w:val="00B71A7F"/>
    <w:rsid w:val="00B71BF9"/>
    <w:rsid w:val="00B72169"/>
    <w:rsid w:val="00B7222A"/>
    <w:rsid w:val="00B72333"/>
    <w:rsid w:val="00B72381"/>
    <w:rsid w:val="00B7238F"/>
    <w:rsid w:val="00B7271C"/>
    <w:rsid w:val="00B72A4A"/>
    <w:rsid w:val="00B72A6C"/>
    <w:rsid w:val="00B72B74"/>
    <w:rsid w:val="00B72C58"/>
    <w:rsid w:val="00B72E48"/>
    <w:rsid w:val="00B72F43"/>
    <w:rsid w:val="00B72FC0"/>
    <w:rsid w:val="00B7316F"/>
    <w:rsid w:val="00B734CD"/>
    <w:rsid w:val="00B735ED"/>
    <w:rsid w:val="00B73692"/>
    <w:rsid w:val="00B7380D"/>
    <w:rsid w:val="00B73A70"/>
    <w:rsid w:val="00B73D7D"/>
    <w:rsid w:val="00B741B8"/>
    <w:rsid w:val="00B743F7"/>
    <w:rsid w:val="00B74829"/>
    <w:rsid w:val="00B74902"/>
    <w:rsid w:val="00B749B5"/>
    <w:rsid w:val="00B74B63"/>
    <w:rsid w:val="00B74BCB"/>
    <w:rsid w:val="00B75067"/>
    <w:rsid w:val="00B7541B"/>
    <w:rsid w:val="00B7565F"/>
    <w:rsid w:val="00B756AB"/>
    <w:rsid w:val="00B75729"/>
    <w:rsid w:val="00B757C0"/>
    <w:rsid w:val="00B75B68"/>
    <w:rsid w:val="00B75BEA"/>
    <w:rsid w:val="00B75D4E"/>
    <w:rsid w:val="00B75F06"/>
    <w:rsid w:val="00B76151"/>
    <w:rsid w:val="00B76201"/>
    <w:rsid w:val="00B76218"/>
    <w:rsid w:val="00B76259"/>
    <w:rsid w:val="00B765AA"/>
    <w:rsid w:val="00B76617"/>
    <w:rsid w:val="00B7663F"/>
    <w:rsid w:val="00B7664C"/>
    <w:rsid w:val="00B766B0"/>
    <w:rsid w:val="00B76C8D"/>
    <w:rsid w:val="00B76E15"/>
    <w:rsid w:val="00B76F7A"/>
    <w:rsid w:val="00B76FF0"/>
    <w:rsid w:val="00B77007"/>
    <w:rsid w:val="00B772BC"/>
    <w:rsid w:val="00B7758A"/>
    <w:rsid w:val="00B775D6"/>
    <w:rsid w:val="00B775EF"/>
    <w:rsid w:val="00B776CE"/>
    <w:rsid w:val="00B7786A"/>
    <w:rsid w:val="00B77CD4"/>
    <w:rsid w:val="00B77E00"/>
    <w:rsid w:val="00B77E2D"/>
    <w:rsid w:val="00B77E60"/>
    <w:rsid w:val="00B77F2C"/>
    <w:rsid w:val="00B80121"/>
    <w:rsid w:val="00B8013D"/>
    <w:rsid w:val="00B80414"/>
    <w:rsid w:val="00B8041E"/>
    <w:rsid w:val="00B80563"/>
    <w:rsid w:val="00B8074A"/>
    <w:rsid w:val="00B80AA9"/>
    <w:rsid w:val="00B80B42"/>
    <w:rsid w:val="00B80CC0"/>
    <w:rsid w:val="00B80CDB"/>
    <w:rsid w:val="00B80EFA"/>
    <w:rsid w:val="00B80EFB"/>
    <w:rsid w:val="00B80FB4"/>
    <w:rsid w:val="00B8118D"/>
    <w:rsid w:val="00B811E5"/>
    <w:rsid w:val="00B812B5"/>
    <w:rsid w:val="00B81343"/>
    <w:rsid w:val="00B81347"/>
    <w:rsid w:val="00B81370"/>
    <w:rsid w:val="00B814AE"/>
    <w:rsid w:val="00B81CB0"/>
    <w:rsid w:val="00B81DD3"/>
    <w:rsid w:val="00B81DF0"/>
    <w:rsid w:val="00B81F96"/>
    <w:rsid w:val="00B820C2"/>
    <w:rsid w:val="00B82385"/>
    <w:rsid w:val="00B82389"/>
    <w:rsid w:val="00B82520"/>
    <w:rsid w:val="00B82627"/>
    <w:rsid w:val="00B82A1A"/>
    <w:rsid w:val="00B82E6C"/>
    <w:rsid w:val="00B83148"/>
    <w:rsid w:val="00B831F8"/>
    <w:rsid w:val="00B832FF"/>
    <w:rsid w:val="00B833BB"/>
    <w:rsid w:val="00B83530"/>
    <w:rsid w:val="00B8354B"/>
    <w:rsid w:val="00B83900"/>
    <w:rsid w:val="00B83A1C"/>
    <w:rsid w:val="00B83A6A"/>
    <w:rsid w:val="00B83B10"/>
    <w:rsid w:val="00B84303"/>
    <w:rsid w:val="00B8442B"/>
    <w:rsid w:val="00B8449D"/>
    <w:rsid w:val="00B844DB"/>
    <w:rsid w:val="00B8461D"/>
    <w:rsid w:val="00B84ACD"/>
    <w:rsid w:val="00B84CC9"/>
    <w:rsid w:val="00B84D2D"/>
    <w:rsid w:val="00B84DEB"/>
    <w:rsid w:val="00B84EE4"/>
    <w:rsid w:val="00B84EED"/>
    <w:rsid w:val="00B8526E"/>
    <w:rsid w:val="00B853F6"/>
    <w:rsid w:val="00B85886"/>
    <w:rsid w:val="00B859B1"/>
    <w:rsid w:val="00B85F90"/>
    <w:rsid w:val="00B86495"/>
    <w:rsid w:val="00B866D0"/>
    <w:rsid w:val="00B86894"/>
    <w:rsid w:val="00B86932"/>
    <w:rsid w:val="00B86C20"/>
    <w:rsid w:val="00B86E49"/>
    <w:rsid w:val="00B86E8C"/>
    <w:rsid w:val="00B86EE7"/>
    <w:rsid w:val="00B86EEE"/>
    <w:rsid w:val="00B87303"/>
    <w:rsid w:val="00B874A1"/>
    <w:rsid w:val="00B878DD"/>
    <w:rsid w:val="00B8791F"/>
    <w:rsid w:val="00B87AE0"/>
    <w:rsid w:val="00B87C70"/>
    <w:rsid w:val="00B903B7"/>
    <w:rsid w:val="00B9043E"/>
    <w:rsid w:val="00B905F1"/>
    <w:rsid w:val="00B90889"/>
    <w:rsid w:val="00B909A4"/>
    <w:rsid w:val="00B90A0F"/>
    <w:rsid w:val="00B90C3C"/>
    <w:rsid w:val="00B90FED"/>
    <w:rsid w:val="00B9137C"/>
    <w:rsid w:val="00B914FF"/>
    <w:rsid w:val="00B918AE"/>
    <w:rsid w:val="00B91DCE"/>
    <w:rsid w:val="00B91EE8"/>
    <w:rsid w:val="00B92030"/>
    <w:rsid w:val="00B92405"/>
    <w:rsid w:val="00B9270D"/>
    <w:rsid w:val="00B92A2B"/>
    <w:rsid w:val="00B92BC3"/>
    <w:rsid w:val="00B92D73"/>
    <w:rsid w:val="00B92DA9"/>
    <w:rsid w:val="00B92F65"/>
    <w:rsid w:val="00B92F75"/>
    <w:rsid w:val="00B933DD"/>
    <w:rsid w:val="00B93692"/>
    <w:rsid w:val="00B936D3"/>
    <w:rsid w:val="00B9387A"/>
    <w:rsid w:val="00B93AC5"/>
    <w:rsid w:val="00B93B99"/>
    <w:rsid w:val="00B93BE4"/>
    <w:rsid w:val="00B93C0D"/>
    <w:rsid w:val="00B93C57"/>
    <w:rsid w:val="00B94106"/>
    <w:rsid w:val="00B94111"/>
    <w:rsid w:val="00B9428C"/>
    <w:rsid w:val="00B945EC"/>
    <w:rsid w:val="00B94766"/>
    <w:rsid w:val="00B947B2"/>
    <w:rsid w:val="00B947BF"/>
    <w:rsid w:val="00B94827"/>
    <w:rsid w:val="00B9482E"/>
    <w:rsid w:val="00B94F0A"/>
    <w:rsid w:val="00B951E3"/>
    <w:rsid w:val="00B952A5"/>
    <w:rsid w:val="00B953F2"/>
    <w:rsid w:val="00B95B28"/>
    <w:rsid w:val="00B95B74"/>
    <w:rsid w:val="00B95C18"/>
    <w:rsid w:val="00B95D2F"/>
    <w:rsid w:val="00B95D8B"/>
    <w:rsid w:val="00B95F5E"/>
    <w:rsid w:val="00B95FED"/>
    <w:rsid w:val="00B96438"/>
    <w:rsid w:val="00B9679F"/>
    <w:rsid w:val="00B9682E"/>
    <w:rsid w:val="00B9690A"/>
    <w:rsid w:val="00B969B9"/>
    <w:rsid w:val="00B969BB"/>
    <w:rsid w:val="00B96A21"/>
    <w:rsid w:val="00B96A97"/>
    <w:rsid w:val="00B96B5E"/>
    <w:rsid w:val="00B96BBA"/>
    <w:rsid w:val="00B970E3"/>
    <w:rsid w:val="00B97125"/>
    <w:rsid w:val="00B97199"/>
    <w:rsid w:val="00B97545"/>
    <w:rsid w:val="00B97AD9"/>
    <w:rsid w:val="00B97C35"/>
    <w:rsid w:val="00B97D86"/>
    <w:rsid w:val="00B97D92"/>
    <w:rsid w:val="00B97DC6"/>
    <w:rsid w:val="00B97ED8"/>
    <w:rsid w:val="00BA01B1"/>
    <w:rsid w:val="00BA02A3"/>
    <w:rsid w:val="00BA047A"/>
    <w:rsid w:val="00BA0741"/>
    <w:rsid w:val="00BA07F5"/>
    <w:rsid w:val="00BA0807"/>
    <w:rsid w:val="00BA0B84"/>
    <w:rsid w:val="00BA0CB1"/>
    <w:rsid w:val="00BA0CBB"/>
    <w:rsid w:val="00BA0CBE"/>
    <w:rsid w:val="00BA0F1F"/>
    <w:rsid w:val="00BA1161"/>
    <w:rsid w:val="00BA121D"/>
    <w:rsid w:val="00BA1243"/>
    <w:rsid w:val="00BA16A8"/>
    <w:rsid w:val="00BA16C3"/>
    <w:rsid w:val="00BA18F6"/>
    <w:rsid w:val="00BA1A01"/>
    <w:rsid w:val="00BA1B47"/>
    <w:rsid w:val="00BA1B76"/>
    <w:rsid w:val="00BA1B9D"/>
    <w:rsid w:val="00BA1BBE"/>
    <w:rsid w:val="00BA1EE3"/>
    <w:rsid w:val="00BA2027"/>
    <w:rsid w:val="00BA26B8"/>
    <w:rsid w:val="00BA2982"/>
    <w:rsid w:val="00BA2AAF"/>
    <w:rsid w:val="00BA2AED"/>
    <w:rsid w:val="00BA2B03"/>
    <w:rsid w:val="00BA2B9C"/>
    <w:rsid w:val="00BA2BE6"/>
    <w:rsid w:val="00BA2C1C"/>
    <w:rsid w:val="00BA2CF3"/>
    <w:rsid w:val="00BA2E0D"/>
    <w:rsid w:val="00BA2EDE"/>
    <w:rsid w:val="00BA39FA"/>
    <w:rsid w:val="00BA3C0F"/>
    <w:rsid w:val="00BA3D68"/>
    <w:rsid w:val="00BA3EE9"/>
    <w:rsid w:val="00BA40A3"/>
    <w:rsid w:val="00BA4190"/>
    <w:rsid w:val="00BA4421"/>
    <w:rsid w:val="00BA4854"/>
    <w:rsid w:val="00BA4AA3"/>
    <w:rsid w:val="00BA4B98"/>
    <w:rsid w:val="00BA4F41"/>
    <w:rsid w:val="00BA52B9"/>
    <w:rsid w:val="00BA5314"/>
    <w:rsid w:val="00BA54C6"/>
    <w:rsid w:val="00BA5966"/>
    <w:rsid w:val="00BA5DB6"/>
    <w:rsid w:val="00BA5ED2"/>
    <w:rsid w:val="00BA5F6A"/>
    <w:rsid w:val="00BA5FF2"/>
    <w:rsid w:val="00BA6076"/>
    <w:rsid w:val="00BA65CB"/>
    <w:rsid w:val="00BA663B"/>
    <w:rsid w:val="00BA6703"/>
    <w:rsid w:val="00BA6842"/>
    <w:rsid w:val="00BA688F"/>
    <w:rsid w:val="00BA68A4"/>
    <w:rsid w:val="00BA691C"/>
    <w:rsid w:val="00BA6951"/>
    <w:rsid w:val="00BA6A5B"/>
    <w:rsid w:val="00BA6ABF"/>
    <w:rsid w:val="00BA6B17"/>
    <w:rsid w:val="00BA6CF8"/>
    <w:rsid w:val="00BA6D66"/>
    <w:rsid w:val="00BA6FD1"/>
    <w:rsid w:val="00BA7028"/>
    <w:rsid w:val="00BA725C"/>
    <w:rsid w:val="00BA73CA"/>
    <w:rsid w:val="00BA778A"/>
    <w:rsid w:val="00BA79A8"/>
    <w:rsid w:val="00BA7AD5"/>
    <w:rsid w:val="00BA7CFB"/>
    <w:rsid w:val="00BA7E1A"/>
    <w:rsid w:val="00BB005B"/>
    <w:rsid w:val="00BB01D2"/>
    <w:rsid w:val="00BB03EC"/>
    <w:rsid w:val="00BB04C6"/>
    <w:rsid w:val="00BB053A"/>
    <w:rsid w:val="00BB0669"/>
    <w:rsid w:val="00BB07EB"/>
    <w:rsid w:val="00BB0FA3"/>
    <w:rsid w:val="00BB1087"/>
    <w:rsid w:val="00BB10DB"/>
    <w:rsid w:val="00BB1161"/>
    <w:rsid w:val="00BB14AA"/>
    <w:rsid w:val="00BB1921"/>
    <w:rsid w:val="00BB1A95"/>
    <w:rsid w:val="00BB1B32"/>
    <w:rsid w:val="00BB1D48"/>
    <w:rsid w:val="00BB1DDC"/>
    <w:rsid w:val="00BB21BE"/>
    <w:rsid w:val="00BB2A07"/>
    <w:rsid w:val="00BB2A2C"/>
    <w:rsid w:val="00BB2ACB"/>
    <w:rsid w:val="00BB2AD1"/>
    <w:rsid w:val="00BB2CC6"/>
    <w:rsid w:val="00BB2D32"/>
    <w:rsid w:val="00BB2DE2"/>
    <w:rsid w:val="00BB3064"/>
    <w:rsid w:val="00BB35B5"/>
    <w:rsid w:val="00BB362C"/>
    <w:rsid w:val="00BB3637"/>
    <w:rsid w:val="00BB36C7"/>
    <w:rsid w:val="00BB36EE"/>
    <w:rsid w:val="00BB38A3"/>
    <w:rsid w:val="00BB3DE3"/>
    <w:rsid w:val="00BB3E40"/>
    <w:rsid w:val="00BB3FC4"/>
    <w:rsid w:val="00BB4159"/>
    <w:rsid w:val="00BB4248"/>
    <w:rsid w:val="00BB4426"/>
    <w:rsid w:val="00BB4538"/>
    <w:rsid w:val="00BB453A"/>
    <w:rsid w:val="00BB48BD"/>
    <w:rsid w:val="00BB4D16"/>
    <w:rsid w:val="00BB4EC9"/>
    <w:rsid w:val="00BB50B0"/>
    <w:rsid w:val="00BB51EE"/>
    <w:rsid w:val="00BB52FF"/>
    <w:rsid w:val="00BB53B8"/>
    <w:rsid w:val="00BB54ED"/>
    <w:rsid w:val="00BB5685"/>
    <w:rsid w:val="00BB57AF"/>
    <w:rsid w:val="00BB58DE"/>
    <w:rsid w:val="00BB592B"/>
    <w:rsid w:val="00BB59D9"/>
    <w:rsid w:val="00BB5AA1"/>
    <w:rsid w:val="00BB5BBB"/>
    <w:rsid w:val="00BB5DD1"/>
    <w:rsid w:val="00BB5EFE"/>
    <w:rsid w:val="00BB5F67"/>
    <w:rsid w:val="00BB6249"/>
    <w:rsid w:val="00BB6371"/>
    <w:rsid w:val="00BB64CA"/>
    <w:rsid w:val="00BB66BB"/>
    <w:rsid w:val="00BB6770"/>
    <w:rsid w:val="00BB6BA7"/>
    <w:rsid w:val="00BB6BE8"/>
    <w:rsid w:val="00BB6CB6"/>
    <w:rsid w:val="00BB7089"/>
    <w:rsid w:val="00BB7206"/>
    <w:rsid w:val="00BB7207"/>
    <w:rsid w:val="00BB721F"/>
    <w:rsid w:val="00BB7362"/>
    <w:rsid w:val="00BB73E8"/>
    <w:rsid w:val="00BB740A"/>
    <w:rsid w:val="00BB770C"/>
    <w:rsid w:val="00BB7F8D"/>
    <w:rsid w:val="00BB7FD5"/>
    <w:rsid w:val="00BC000F"/>
    <w:rsid w:val="00BC02C9"/>
    <w:rsid w:val="00BC04B5"/>
    <w:rsid w:val="00BC064B"/>
    <w:rsid w:val="00BC0AED"/>
    <w:rsid w:val="00BC0D59"/>
    <w:rsid w:val="00BC0E0B"/>
    <w:rsid w:val="00BC0E1A"/>
    <w:rsid w:val="00BC0F08"/>
    <w:rsid w:val="00BC1043"/>
    <w:rsid w:val="00BC11DD"/>
    <w:rsid w:val="00BC1252"/>
    <w:rsid w:val="00BC130E"/>
    <w:rsid w:val="00BC131F"/>
    <w:rsid w:val="00BC149A"/>
    <w:rsid w:val="00BC15A7"/>
    <w:rsid w:val="00BC18B2"/>
    <w:rsid w:val="00BC1946"/>
    <w:rsid w:val="00BC1AA7"/>
    <w:rsid w:val="00BC1B9D"/>
    <w:rsid w:val="00BC1C48"/>
    <w:rsid w:val="00BC1CD1"/>
    <w:rsid w:val="00BC1CD7"/>
    <w:rsid w:val="00BC1D7C"/>
    <w:rsid w:val="00BC2203"/>
    <w:rsid w:val="00BC245E"/>
    <w:rsid w:val="00BC2618"/>
    <w:rsid w:val="00BC270C"/>
    <w:rsid w:val="00BC2917"/>
    <w:rsid w:val="00BC2A32"/>
    <w:rsid w:val="00BC2A39"/>
    <w:rsid w:val="00BC2B98"/>
    <w:rsid w:val="00BC2CC7"/>
    <w:rsid w:val="00BC2EA3"/>
    <w:rsid w:val="00BC2ED7"/>
    <w:rsid w:val="00BC2F34"/>
    <w:rsid w:val="00BC2F93"/>
    <w:rsid w:val="00BC3442"/>
    <w:rsid w:val="00BC345A"/>
    <w:rsid w:val="00BC3650"/>
    <w:rsid w:val="00BC36FA"/>
    <w:rsid w:val="00BC3751"/>
    <w:rsid w:val="00BC37AB"/>
    <w:rsid w:val="00BC3818"/>
    <w:rsid w:val="00BC38D0"/>
    <w:rsid w:val="00BC3A3D"/>
    <w:rsid w:val="00BC3B14"/>
    <w:rsid w:val="00BC3D85"/>
    <w:rsid w:val="00BC3D89"/>
    <w:rsid w:val="00BC3F3C"/>
    <w:rsid w:val="00BC41C0"/>
    <w:rsid w:val="00BC4262"/>
    <w:rsid w:val="00BC470B"/>
    <w:rsid w:val="00BC4798"/>
    <w:rsid w:val="00BC47C0"/>
    <w:rsid w:val="00BC4A15"/>
    <w:rsid w:val="00BC4A50"/>
    <w:rsid w:val="00BC4BB7"/>
    <w:rsid w:val="00BC4CB1"/>
    <w:rsid w:val="00BC5229"/>
    <w:rsid w:val="00BC5334"/>
    <w:rsid w:val="00BC54C1"/>
    <w:rsid w:val="00BC5587"/>
    <w:rsid w:val="00BC5637"/>
    <w:rsid w:val="00BC5757"/>
    <w:rsid w:val="00BC5898"/>
    <w:rsid w:val="00BC5CC8"/>
    <w:rsid w:val="00BC5E3C"/>
    <w:rsid w:val="00BC6409"/>
    <w:rsid w:val="00BC64F7"/>
    <w:rsid w:val="00BC65BB"/>
    <w:rsid w:val="00BC6701"/>
    <w:rsid w:val="00BC690A"/>
    <w:rsid w:val="00BC6BFD"/>
    <w:rsid w:val="00BC6EFB"/>
    <w:rsid w:val="00BC72DF"/>
    <w:rsid w:val="00BC741E"/>
    <w:rsid w:val="00BC74CF"/>
    <w:rsid w:val="00BC776E"/>
    <w:rsid w:val="00BC7775"/>
    <w:rsid w:val="00BC7D24"/>
    <w:rsid w:val="00BC7F11"/>
    <w:rsid w:val="00BD0080"/>
    <w:rsid w:val="00BD059C"/>
    <w:rsid w:val="00BD09EB"/>
    <w:rsid w:val="00BD0C64"/>
    <w:rsid w:val="00BD0C83"/>
    <w:rsid w:val="00BD0C93"/>
    <w:rsid w:val="00BD0D01"/>
    <w:rsid w:val="00BD0ECD"/>
    <w:rsid w:val="00BD113D"/>
    <w:rsid w:val="00BD1185"/>
    <w:rsid w:val="00BD1232"/>
    <w:rsid w:val="00BD147C"/>
    <w:rsid w:val="00BD1499"/>
    <w:rsid w:val="00BD1657"/>
    <w:rsid w:val="00BD17DD"/>
    <w:rsid w:val="00BD1D79"/>
    <w:rsid w:val="00BD1DFC"/>
    <w:rsid w:val="00BD1ECC"/>
    <w:rsid w:val="00BD1F71"/>
    <w:rsid w:val="00BD1F83"/>
    <w:rsid w:val="00BD2260"/>
    <w:rsid w:val="00BD22EB"/>
    <w:rsid w:val="00BD2314"/>
    <w:rsid w:val="00BD24C3"/>
    <w:rsid w:val="00BD2521"/>
    <w:rsid w:val="00BD25E7"/>
    <w:rsid w:val="00BD2675"/>
    <w:rsid w:val="00BD2726"/>
    <w:rsid w:val="00BD2759"/>
    <w:rsid w:val="00BD2994"/>
    <w:rsid w:val="00BD2B0E"/>
    <w:rsid w:val="00BD2BAD"/>
    <w:rsid w:val="00BD392B"/>
    <w:rsid w:val="00BD3A14"/>
    <w:rsid w:val="00BD3B57"/>
    <w:rsid w:val="00BD3F16"/>
    <w:rsid w:val="00BD4230"/>
    <w:rsid w:val="00BD468C"/>
    <w:rsid w:val="00BD46D6"/>
    <w:rsid w:val="00BD4956"/>
    <w:rsid w:val="00BD4C15"/>
    <w:rsid w:val="00BD4CB9"/>
    <w:rsid w:val="00BD4E0E"/>
    <w:rsid w:val="00BD50F4"/>
    <w:rsid w:val="00BD5339"/>
    <w:rsid w:val="00BD535A"/>
    <w:rsid w:val="00BD5532"/>
    <w:rsid w:val="00BD5583"/>
    <w:rsid w:val="00BD599A"/>
    <w:rsid w:val="00BD5B8D"/>
    <w:rsid w:val="00BD5BB3"/>
    <w:rsid w:val="00BD5C2E"/>
    <w:rsid w:val="00BD5D33"/>
    <w:rsid w:val="00BD5E6D"/>
    <w:rsid w:val="00BD5EFE"/>
    <w:rsid w:val="00BD5F7D"/>
    <w:rsid w:val="00BD6332"/>
    <w:rsid w:val="00BD646F"/>
    <w:rsid w:val="00BD6BB0"/>
    <w:rsid w:val="00BD6CFE"/>
    <w:rsid w:val="00BD6EF2"/>
    <w:rsid w:val="00BD7011"/>
    <w:rsid w:val="00BD721C"/>
    <w:rsid w:val="00BD7318"/>
    <w:rsid w:val="00BD76ED"/>
    <w:rsid w:val="00BD7858"/>
    <w:rsid w:val="00BD7969"/>
    <w:rsid w:val="00BD79DB"/>
    <w:rsid w:val="00BD7BB7"/>
    <w:rsid w:val="00BD7BDA"/>
    <w:rsid w:val="00BD7D64"/>
    <w:rsid w:val="00BD7F90"/>
    <w:rsid w:val="00BD7FC3"/>
    <w:rsid w:val="00BE02B8"/>
    <w:rsid w:val="00BE02D5"/>
    <w:rsid w:val="00BE0367"/>
    <w:rsid w:val="00BE0435"/>
    <w:rsid w:val="00BE04FE"/>
    <w:rsid w:val="00BE06C8"/>
    <w:rsid w:val="00BE085C"/>
    <w:rsid w:val="00BE08E5"/>
    <w:rsid w:val="00BE095A"/>
    <w:rsid w:val="00BE0A25"/>
    <w:rsid w:val="00BE0B1E"/>
    <w:rsid w:val="00BE0C4A"/>
    <w:rsid w:val="00BE0C59"/>
    <w:rsid w:val="00BE0F31"/>
    <w:rsid w:val="00BE0FD1"/>
    <w:rsid w:val="00BE0FFD"/>
    <w:rsid w:val="00BE12E6"/>
    <w:rsid w:val="00BE13B4"/>
    <w:rsid w:val="00BE13FC"/>
    <w:rsid w:val="00BE14C5"/>
    <w:rsid w:val="00BE16B3"/>
    <w:rsid w:val="00BE1748"/>
    <w:rsid w:val="00BE1750"/>
    <w:rsid w:val="00BE17C6"/>
    <w:rsid w:val="00BE17F9"/>
    <w:rsid w:val="00BE1814"/>
    <w:rsid w:val="00BE1B5B"/>
    <w:rsid w:val="00BE1BE8"/>
    <w:rsid w:val="00BE1F52"/>
    <w:rsid w:val="00BE2096"/>
    <w:rsid w:val="00BE221B"/>
    <w:rsid w:val="00BE224B"/>
    <w:rsid w:val="00BE2AA4"/>
    <w:rsid w:val="00BE2AB7"/>
    <w:rsid w:val="00BE2B13"/>
    <w:rsid w:val="00BE2F59"/>
    <w:rsid w:val="00BE311C"/>
    <w:rsid w:val="00BE3134"/>
    <w:rsid w:val="00BE32F3"/>
    <w:rsid w:val="00BE349E"/>
    <w:rsid w:val="00BE392E"/>
    <w:rsid w:val="00BE420A"/>
    <w:rsid w:val="00BE452C"/>
    <w:rsid w:val="00BE4587"/>
    <w:rsid w:val="00BE46FD"/>
    <w:rsid w:val="00BE4913"/>
    <w:rsid w:val="00BE4AFF"/>
    <w:rsid w:val="00BE4B08"/>
    <w:rsid w:val="00BE4DFD"/>
    <w:rsid w:val="00BE4F48"/>
    <w:rsid w:val="00BE5061"/>
    <w:rsid w:val="00BE50FC"/>
    <w:rsid w:val="00BE531E"/>
    <w:rsid w:val="00BE5400"/>
    <w:rsid w:val="00BE5447"/>
    <w:rsid w:val="00BE5505"/>
    <w:rsid w:val="00BE56C7"/>
    <w:rsid w:val="00BE58FC"/>
    <w:rsid w:val="00BE5900"/>
    <w:rsid w:val="00BE597D"/>
    <w:rsid w:val="00BE5AD5"/>
    <w:rsid w:val="00BE5E6C"/>
    <w:rsid w:val="00BE5EB1"/>
    <w:rsid w:val="00BE6050"/>
    <w:rsid w:val="00BE60C7"/>
    <w:rsid w:val="00BE615F"/>
    <w:rsid w:val="00BE623A"/>
    <w:rsid w:val="00BE635C"/>
    <w:rsid w:val="00BE646E"/>
    <w:rsid w:val="00BE6493"/>
    <w:rsid w:val="00BE6609"/>
    <w:rsid w:val="00BE67EC"/>
    <w:rsid w:val="00BE68F3"/>
    <w:rsid w:val="00BE6912"/>
    <w:rsid w:val="00BE6BAC"/>
    <w:rsid w:val="00BE6F60"/>
    <w:rsid w:val="00BE6FD2"/>
    <w:rsid w:val="00BE7003"/>
    <w:rsid w:val="00BE70FD"/>
    <w:rsid w:val="00BE74E6"/>
    <w:rsid w:val="00BE7500"/>
    <w:rsid w:val="00BE75EF"/>
    <w:rsid w:val="00BE7647"/>
    <w:rsid w:val="00BE7740"/>
    <w:rsid w:val="00BE79BD"/>
    <w:rsid w:val="00BE7B56"/>
    <w:rsid w:val="00BE7DCA"/>
    <w:rsid w:val="00BF0064"/>
    <w:rsid w:val="00BF0279"/>
    <w:rsid w:val="00BF027C"/>
    <w:rsid w:val="00BF02CA"/>
    <w:rsid w:val="00BF0348"/>
    <w:rsid w:val="00BF037C"/>
    <w:rsid w:val="00BF0596"/>
    <w:rsid w:val="00BF05B3"/>
    <w:rsid w:val="00BF0657"/>
    <w:rsid w:val="00BF07DD"/>
    <w:rsid w:val="00BF07F0"/>
    <w:rsid w:val="00BF0BB1"/>
    <w:rsid w:val="00BF0BB3"/>
    <w:rsid w:val="00BF10C0"/>
    <w:rsid w:val="00BF134E"/>
    <w:rsid w:val="00BF15AB"/>
    <w:rsid w:val="00BF17A9"/>
    <w:rsid w:val="00BF1908"/>
    <w:rsid w:val="00BF195E"/>
    <w:rsid w:val="00BF1D13"/>
    <w:rsid w:val="00BF1E63"/>
    <w:rsid w:val="00BF1EF9"/>
    <w:rsid w:val="00BF2064"/>
    <w:rsid w:val="00BF221B"/>
    <w:rsid w:val="00BF222F"/>
    <w:rsid w:val="00BF229D"/>
    <w:rsid w:val="00BF22CF"/>
    <w:rsid w:val="00BF24FB"/>
    <w:rsid w:val="00BF2517"/>
    <w:rsid w:val="00BF278D"/>
    <w:rsid w:val="00BF278F"/>
    <w:rsid w:val="00BF27D4"/>
    <w:rsid w:val="00BF2A09"/>
    <w:rsid w:val="00BF2C50"/>
    <w:rsid w:val="00BF2D6B"/>
    <w:rsid w:val="00BF30DA"/>
    <w:rsid w:val="00BF3134"/>
    <w:rsid w:val="00BF322B"/>
    <w:rsid w:val="00BF3528"/>
    <w:rsid w:val="00BF3565"/>
    <w:rsid w:val="00BF3609"/>
    <w:rsid w:val="00BF36A6"/>
    <w:rsid w:val="00BF37C4"/>
    <w:rsid w:val="00BF37F2"/>
    <w:rsid w:val="00BF3A32"/>
    <w:rsid w:val="00BF3A46"/>
    <w:rsid w:val="00BF3BD5"/>
    <w:rsid w:val="00BF3D4A"/>
    <w:rsid w:val="00BF3EDA"/>
    <w:rsid w:val="00BF4010"/>
    <w:rsid w:val="00BF4140"/>
    <w:rsid w:val="00BF4168"/>
    <w:rsid w:val="00BF42B6"/>
    <w:rsid w:val="00BF43DE"/>
    <w:rsid w:val="00BF4427"/>
    <w:rsid w:val="00BF44C5"/>
    <w:rsid w:val="00BF44EE"/>
    <w:rsid w:val="00BF44FD"/>
    <w:rsid w:val="00BF45AB"/>
    <w:rsid w:val="00BF4764"/>
    <w:rsid w:val="00BF47AC"/>
    <w:rsid w:val="00BF4830"/>
    <w:rsid w:val="00BF4849"/>
    <w:rsid w:val="00BF4BA6"/>
    <w:rsid w:val="00BF4CCA"/>
    <w:rsid w:val="00BF5082"/>
    <w:rsid w:val="00BF5103"/>
    <w:rsid w:val="00BF5201"/>
    <w:rsid w:val="00BF5231"/>
    <w:rsid w:val="00BF52F5"/>
    <w:rsid w:val="00BF530F"/>
    <w:rsid w:val="00BF5359"/>
    <w:rsid w:val="00BF55D9"/>
    <w:rsid w:val="00BF5A7E"/>
    <w:rsid w:val="00BF5E4C"/>
    <w:rsid w:val="00BF5E69"/>
    <w:rsid w:val="00BF5EAA"/>
    <w:rsid w:val="00BF5F31"/>
    <w:rsid w:val="00BF5FC9"/>
    <w:rsid w:val="00BF6257"/>
    <w:rsid w:val="00BF639B"/>
    <w:rsid w:val="00BF63BB"/>
    <w:rsid w:val="00BF66F1"/>
    <w:rsid w:val="00BF67D2"/>
    <w:rsid w:val="00BF6834"/>
    <w:rsid w:val="00BF6A62"/>
    <w:rsid w:val="00BF6D48"/>
    <w:rsid w:val="00BF6D9E"/>
    <w:rsid w:val="00BF6DFB"/>
    <w:rsid w:val="00BF6F33"/>
    <w:rsid w:val="00BF6F98"/>
    <w:rsid w:val="00BF7189"/>
    <w:rsid w:val="00BF7574"/>
    <w:rsid w:val="00BF79B5"/>
    <w:rsid w:val="00BF7B6D"/>
    <w:rsid w:val="00BF7E49"/>
    <w:rsid w:val="00BF7EAE"/>
    <w:rsid w:val="00BF7EEC"/>
    <w:rsid w:val="00BF7F35"/>
    <w:rsid w:val="00C00246"/>
    <w:rsid w:val="00C00E46"/>
    <w:rsid w:val="00C00EAE"/>
    <w:rsid w:val="00C00FA9"/>
    <w:rsid w:val="00C011DE"/>
    <w:rsid w:val="00C0121D"/>
    <w:rsid w:val="00C01358"/>
    <w:rsid w:val="00C013CE"/>
    <w:rsid w:val="00C013DA"/>
    <w:rsid w:val="00C014B8"/>
    <w:rsid w:val="00C01F02"/>
    <w:rsid w:val="00C01F15"/>
    <w:rsid w:val="00C01FE9"/>
    <w:rsid w:val="00C02033"/>
    <w:rsid w:val="00C02078"/>
    <w:rsid w:val="00C02146"/>
    <w:rsid w:val="00C02184"/>
    <w:rsid w:val="00C021C0"/>
    <w:rsid w:val="00C021C6"/>
    <w:rsid w:val="00C021FC"/>
    <w:rsid w:val="00C02280"/>
    <w:rsid w:val="00C027AE"/>
    <w:rsid w:val="00C02B76"/>
    <w:rsid w:val="00C02C71"/>
    <w:rsid w:val="00C02D37"/>
    <w:rsid w:val="00C02DF1"/>
    <w:rsid w:val="00C02ED0"/>
    <w:rsid w:val="00C0305E"/>
    <w:rsid w:val="00C03251"/>
    <w:rsid w:val="00C03385"/>
    <w:rsid w:val="00C033D4"/>
    <w:rsid w:val="00C03678"/>
    <w:rsid w:val="00C03955"/>
    <w:rsid w:val="00C03981"/>
    <w:rsid w:val="00C03A65"/>
    <w:rsid w:val="00C03BBA"/>
    <w:rsid w:val="00C03C1A"/>
    <w:rsid w:val="00C03FB1"/>
    <w:rsid w:val="00C040D4"/>
    <w:rsid w:val="00C04123"/>
    <w:rsid w:val="00C041BA"/>
    <w:rsid w:val="00C043E0"/>
    <w:rsid w:val="00C045DA"/>
    <w:rsid w:val="00C04AA2"/>
    <w:rsid w:val="00C04E31"/>
    <w:rsid w:val="00C04F67"/>
    <w:rsid w:val="00C04FA5"/>
    <w:rsid w:val="00C051A1"/>
    <w:rsid w:val="00C051C3"/>
    <w:rsid w:val="00C0527A"/>
    <w:rsid w:val="00C05285"/>
    <w:rsid w:val="00C052F9"/>
    <w:rsid w:val="00C0567C"/>
    <w:rsid w:val="00C056B7"/>
    <w:rsid w:val="00C0593E"/>
    <w:rsid w:val="00C05B3F"/>
    <w:rsid w:val="00C05D65"/>
    <w:rsid w:val="00C05E9E"/>
    <w:rsid w:val="00C05F4A"/>
    <w:rsid w:val="00C05F4B"/>
    <w:rsid w:val="00C05F4D"/>
    <w:rsid w:val="00C05F83"/>
    <w:rsid w:val="00C0607B"/>
    <w:rsid w:val="00C060F2"/>
    <w:rsid w:val="00C0632B"/>
    <w:rsid w:val="00C063BD"/>
    <w:rsid w:val="00C066FA"/>
    <w:rsid w:val="00C0683C"/>
    <w:rsid w:val="00C0685E"/>
    <w:rsid w:val="00C0689B"/>
    <w:rsid w:val="00C06C80"/>
    <w:rsid w:val="00C07484"/>
    <w:rsid w:val="00C076E8"/>
    <w:rsid w:val="00C079BA"/>
    <w:rsid w:val="00C079BC"/>
    <w:rsid w:val="00C07D5E"/>
    <w:rsid w:val="00C07E58"/>
    <w:rsid w:val="00C100F5"/>
    <w:rsid w:val="00C102D7"/>
    <w:rsid w:val="00C1050B"/>
    <w:rsid w:val="00C1050C"/>
    <w:rsid w:val="00C106BA"/>
    <w:rsid w:val="00C106F6"/>
    <w:rsid w:val="00C10889"/>
    <w:rsid w:val="00C109A3"/>
    <w:rsid w:val="00C10AA0"/>
    <w:rsid w:val="00C10BE7"/>
    <w:rsid w:val="00C10E76"/>
    <w:rsid w:val="00C110AA"/>
    <w:rsid w:val="00C11323"/>
    <w:rsid w:val="00C113D1"/>
    <w:rsid w:val="00C116EB"/>
    <w:rsid w:val="00C11BBB"/>
    <w:rsid w:val="00C11C1E"/>
    <w:rsid w:val="00C11C38"/>
    <w:rsid w:val="00C11EAB"/>
    <w:rsid w:val="00C120C2"/>
    <w:rsid w:val="00C123C7"/>
    <w:rsid w:val="00C12857"/>
    <w:rsid w:val="00C12A09"/>
    <w:rsid w:val="00C12D0C"/>
    <w:rsid w:val="00C12F14"/>
    <w:rsid w:val="00C130E0"/>
    <w:rsid w:val="00C13216"/>
    <w:rsid w:val="00C13732"/>
    <w:rsid w:val="00C13952"/>
    <w:rsid w:val="00C1398E"/>
    <w:rsid w:val="00C13CED"/>
    <w:rsid w:val="00C13D3B"/>
    <w:rsid w:val="00C13FEC"/>
    <w:rsid w:val="00C14034"/>
    <w:rsid w:val="00C14271"/>
    <w:rsid w:val="00C14398"/>
    <w:rsid w:val="00C14531"/>
    <w:rsid w:val="00C1492E"/>
    <w:rsid w:val="00C14A1E"/>
    <w:rsid w:val="00C14EF2"/>
    <w:rsid w:val="00C14F7F"/>
    <w:rsid w:val="00C14F84"/>
    <w:rsid w:val="00C14FCF"/>
    <w:rsid w:val="00C14FD4"/>
    <w:rsid w:val="00C1510C"/>
    <w:rsid w:val="00C15328"/>
    <w:rsid w:val="00C15343"/>
    <w:rsid w:val="00C1554B"/>
    <w:rsid w:val="00C15969"/>
    <w:rsid w:val="00C15A37"/>
    <w:rsid w:val="00C15CCD"/>
    <w:rsid w:val="00C15DFA"/>
    <w:rsid w:val="00C16337"/>
    <w:rsid w:val="00C164B6"/>
    <w:rsid w:val="00C164DD"/>
    <w:rsid w:val="00C1652C"/>
    <w:rsid w:val="00C16621"/>
    <w:rsid w:val="00C16693"/>
    <w:rsid w:val="00C16B18"/>
    <w:rsid w:val="00C16F3D"/>
    <w:rsid w:val="00C16F84"/>
    <w:rsid w:val="00C17056"/>
    <w:rsid w:val="00C170A3"/>
    <w:rsid w:val="00C17181"/>
    <w:rsid w:val="00C17259"/>
    <w:rsid w:val="00C175F8"/>
    <w:rsid w:val="00C1760A"/>
    <w:rsid w:val="00C17786"/>
    <w:rsid w:val="00C17958"/>
    <w:rsid w:val="00C17A33"/>
    <w:rsid w:val="00C17F3F"/>
    <w:rsid w:val="00C202A5"/>
    <w:rsid w:val="00C2033C"/>
    <w:rsid w:val="00C2052E"/>
    <w:rsid w:val="00C209DE"/>
    <w:rsid w:val="00C20A37"/>
    <w:rsid w:val="00C20CB5"/>
    <w:rsid w:val="00C20D04"/>
    <w:rsid w:val="00C20D26"/>
    <w:rsid w:val="00C210AF"/>
    <w:rsid w:val="00C21360"/>
    <w:rsid w:val="00C2161F"/>
    <w:rsid w:val="00C2162A"/>
    <w:rsid w:val="00C21854"/>
    <w:rsid w:val="00C219DB"/>
    <w:rsid w:val="00C21C0C"/>
    <w:rsid w:val="00C21F11"/>
    <w:rsid w:val="00C21FA7"/>
    <w:rsid w:val="00C21FD5"/>
    <w:rsid w:val="00C220FE"/>
    <w:rsid w:val="00C2210F"/>
    <w:rsid w:val="00C222C5"/>
    <w:rsid w:val="00C22307"/>
    <w:rsid w:val="00C22396"/>
    <w:rsid w:val="00C223F8"/>
    <w:rsid w:val="00C2267E"/>
    <w:rsid w:val="00C22684"/>
    <w:rsid w:val="00C228D1"/>
    <w:rsid w:val="00C22BCD"/>
    <w:rsid w:val="00C22C35"/>
    <w:rsid w:val="00C22C3B"/>
    <w:rsid w:val="00C22D63"/>
    <w:rsid w:val="00C22D67"/>
    <w:rsid w:val="00C22D99"/>
    <w:rsid w:val="00C22E55"/>
    <w:rsid w:val="00C22E61"/>
    <w:rsid w:val="00C23102"/>
    <w:rsid w:val="00C23105"/>
    <w:rsid w:val="00C2315C"/>
    <w:rsid w:val="00C2340A"/>
    <w:rsid w:val="00C234F9"/>
    <w:rsid w:val="00C23571"/>
    <w:rsid w:val="00C23700"/>
    <w:rsid w:val="00C23757"/>
    <w:rsid w:val="00C23959"/>
    <w:rsid w:val="00C23A1B"/>
    <w:rsid w:val="00C23A5E"/>
    <w:rsid w:val="00C23C6E"/>
    <w:rsid w:val="00C24169"/>
    <w:rsid w:val="00C24593"/>
    <w:rsid w:val="00C2459F"/>
    <w:rsid w:val="00C247FA"/>
    <w:rsid w:val="00C248C1"/>
    <w:rsid w:val="00C24A03"/>
    <w:rsid w:val="00C24E94"/>
    <w:rsid w:val="00C24F9B"/>
    <w:rsid w:val="00C25050"/>
    <w:rsid w:val="00C252C6"/>
    <w:rsid w:val="00C253B0"/>
    <w:rsid w:val="00C2544A"/>
    <w:rsid w:val="00C256A8"/>
    <w:rsid w:val="00C256C1"/>
    <w:rsid w:val="00C2571A"/>
    <w:rsid w:val="00C257B4"/>
    <w:rsid w:val="00C2598B"/>
    <w:rsid w:val="00C25B33"/>
    <w:rsid w:val="00C25D0F"/>
    <w:rsid w:val="00C25FF6"/>
    <w:rsid w:val="00C26489"/>
    <w:rsid w:val="00C26626"/>
    <w:rsid w:val="00C268B4"/>
    <w:rsid w:val="00C2696C"/>
    <w:rsid w:val="00C269BF"/>
    <w:rsid w:val="00C269E9"/>
    <w:rsid w:val="00C26A26"/>
    <w:rsid w:val="00C26A4A"/>
    <w:rsid w:val="00C26AD6"/>
    <w:rsid w:val="00C26B24"/>
    <w:rsid w:val="00C26CB3"/>
    <w:rsid w:val="00C26CB5"/>
    <w:rsid w:val="00C26CC1"/>
    <w:rsid w:val="00C26E0F"/>
    <w:rsid w:val="00C270C7"/>
    <w:rsid w:val="00C2714B"/>
    <w:rsid w:val="00C272B2"/>
    <w:rsid w:val="00C275A8"/>
    <w:rsid w:val="00C27724"/>
    <w:rsid w:val="00C2773B"/>
    <w:rsid w:val="00C27AFD"/>
    <w:rsid w:val="00C27D9D"/>
    <w:rsid w:val="00C27E62"/>
    <w:rsid w:val="00C27E67"/>
    <w:rsid w:val="00C27FFB"/>
    <w:rsid w:val="00C3000F"/>
    <w:rsid w:val="00C30016"/>
    <w:rsid w:val="00C301EB"/>
    <w:rsid w:val="00C3027B"/>
    <w:rsid w:val="00C3032D"/>
    <w:rsid w:val="00C30391"/>
    <w:rsid w:val="00C30452"/>
    <w:rsid w:val="00C305FE"/>
    <w:rsid w:val="00C308DF"/>
    <w:rsid w:val="00C3094F"/>
    <w:rsid w:val="00C30AC8"/>
    <w:rsid w:val="00C30C30"/>
    <w:rsid w:val="00C30E8B"/>
    <w:rsid w:val="00C3113A"/>
    <w:rsid w:val="00C3138D"/>
    <w:rsid w:val="00C314A4"/>
    <w:rsid w:val="00C317AE"/>
    <w:rsid w:val="00C31BB4"/>
    <w:rsid w:val="00C31C2D"/>
    <w:rsid w:val="00C31C5F"/>
    <w:rsid w:val="00C321E4"/>
    <w:rsid w:val="00C32441"/>
    <w:rsid w:val="00C32593"/>
    <w:rsid w:val="00C325AB"/>
    <w:rsid w:val="00C326CD"/>
    <w:rsid w:val="00C32769"/>
    <w:rsid w:val="00C32838"/>
    <w:rsid w:val="00C32855"/>
    <w:rsid w:val="00C32A47"/>
    <w:rsid w:val="00C32C37"/>
    <w:rsid w:val="00C32DAC"/>
    <w:rsid w:val="00C32E98"/>
    <w:rsid w:val="00C33123"/>
    <w:rsid w:val="00C336F6"/>
    <w:rsid w:val="00C337DD"/>
    <w:rsid w:val="00C337F9"/>
    <w:rsid w:val="00C338E1"/>
    <w:rsid w:val="00C339DE"/>
    <w:rsid w:val="00C33AD6"/>
    <w:rsid w:val="00C33CB2"/>
    <w:rsid w:val="00C33E17"/>
    <w:rsid w:val="00C33FFC"/>
    <w:rsid w:val="00C342F4"/>
    <w:rsid w:val="00C344C7"/>
    <w:rsid w:val="00C3454A"/>
    <w:rsid w:val="00C34958"/>
    <w:rsid w:val="00C349AF"/>
    <w:rsid w:val="00C34ABB"/>
    <w:rsid w:val="00C34D64"/>
    <w:rsid w:val="00C34F0C"/>
    <w:rsid w:val="00C350C7"/>
    <w:rsid w:val="00C3525A"/>
    <w:rsid w:val="00C354F3"/>
    <w:rsid w:val="00C3550B"/>
    <w:rsid w:val="00C355EF"/>
    <w:rsid w:val="00C35847"/>
    <w:rsid w:val="00C3599E"/>
    <w:rsid w:val="00C35B6C"/>
    <w:rsid w:val="00C35CB6"/>
    <w:rsid w:val="00C35CC8"/>
    <w:rsid w:val="00C35D10"/>
    <w:rsid w:val="00C35D84"/>
    <w:rsid w:val="00C35E86"/>
    <w:rsid w:val="00C361AB"/>
    <w:rsid w:val="00C363A2"/>
    <w:rsid w:val="00C364AF"/>
    <w:rsid w:val="00C3653F"/>
    <w:rsid w:val="00C36566"/>
    <w:rsid w:val="00C368C6"/>
    <w:rsid w:val="00C36956"/>
    <w:rsid w:val="00C36A13"/>
    <w:rsid w:val="00C36C66"/>
    <w:rsid w:val="00C36D09"/>
    <w:rsid w:val="00C36DF5"/>
    <w:rsid w:val="00C372A5"/>
    <w:rsid w:val="00C373BD"/>
    <w:rsid w:val="00C376F6"/>
    <w:rsid w:val="00C37980"/>
    <w:rsid w:val="00C37A0D"/>
    <w:rsid w:val="00C37A0F"/>
    <w:rsid w:val="00C37CA2"/>
    <w:rsid w:val="00C37D2B"/>
    <w:rsid w:val="00C37D53"/>
    <w:rsid w:val="00C37F66"/>
    <w:rsid w:val="00C40221"/>
    <w:rsid w:val="00C4033D"/>
    <w:rsid w:val="00C405D8"/>
    <w:rsid w:val="00C40643"/>
    <w:rsid w:val="00C407AE"/>
    <w:rsid w:val="00C408C5"/>
    <w:rsid w:val="00C40A18"/>
    <w:rsid w:val="00C40CC3"/>
    <w:rsid w:val="00C40D2F"/>
    <w:rsid w:val="00C40E0D"/>
    <w:rsid w:val="00C40E20"/>
    <w:rsid w:val="00C40E5F"/>
    <w:rsid w:val="00C41021"/>
    <w:rsid w:val="00C41217"/>
    <w:rsid w:val="00C4154B"/>
    <w:rsid w:val="00C41669"/>
    <w:rsid w:val="00C41773"/>
    <w:rsid w:val="00C41920"/>
    <w:rsid w:val="00C419E9"/>
    <w:rsid w:val="00C41B2F"/>
    <w:rsid w:val="00C41D1B"/>
    <w:rsid w:val="00C41E66"/>
    <w:rsid w:val="00C41EFF"/>
    <w:rsid w:val="00C41FA6"/>
    <w:rsid w:val="00C42169"/>
    <w:rsid w:val="00C42331"/>
    <w:rsid w:val="00C423BC"/>
    <w:rsid w:val="00C42566"/>
    <w:rsid w:val="00C427F7"/>
    <w:rsid w:val="00C42800"/>
    <w:rsid w:val="00C4286D"/>
    <w:rsid w:val="00C42883"/>
    <w:rsid w:val="00C42964"/>
    <w:rsid w:val="00C42EA6"/>
    <w:rsid w:val="00C42F97"/>
    <w:rsid w:val="00C430B5"/>
    <w:rsid w:val="00C4331F"/>
    <w:rsid w:val="00C43393"/>
    <w:rsid w:val="00C435F6"/>
    <w:rsid w:val="00C438F1"/>
    <w:rsid w:val="00C43C2C"/>
    <w:rsid w:val="00C43D33"/>
    <w:rsid w:val="00C43EA1"/>
    <w:rsid w:val="00C44014"/>
    <w:rsid w:val="00C4420D"/>
    <w:rsid w:val="00C443C1"/>
    <w:rsid w:val="00C443DC"/>
    <w:rsid w:val="00C4457E"/>
    <w:rsid w:val="00C4483C"/>
    <w:rsid w:val="00C44963"/>
    <w:rsid w:val="00C44977"/>
    <w:rsid w:val="00C44A32"/>
    <w:rsid w:val="00C44AA3"/>
    <w:rsid w:val="00C44CED"/>
    <w:rsid w:val="00C44D33"/>
    <w:rsid w:val="00C44EA5"/>
    <w:rsid w:val="00C44EB7"/>
    <w:rsid w:val="00C44F43"/>
    <w:rsid w:val="00C45408"/>
    <w:rsid w:val="00C454A2"/>
    <w:rsid w:val="00C45706"/>
    <w:rsid w:val="00C457BB"/>
    <w:rsid w:val="00C45AC0"/>
    <w:rsid w:val="00C45C78"/>
    <w:rsid w:val="00C45CDB"/>
    <w:rsid w:val="00C4608B"/>
    <w:rsid w:val="00C46397"/>
    <w:rsid w:val="00C463B1"/>
    <w:rsid w:val="00C463DB"/>
    <w:rsid w:val="00C46695"/>
    <w:rsid w:val="00C46825"/>
    <w:rsid w:val="00C46D3B"/>
    <w:rsid w:val="00C46D50"/>
    <w:rsid w:val="00C46E11"/>
    <w:rsid w:val="00C4707F"/>
    <w:rsid w:val="00C47089"/>
    <w:rsid w:val="00C47247"/>
    <w:rsid w:val="00C47537"/>
    <w:rsid w:val="00C4768F"/>
    <w:rsid w:val="00C476F5"/>
    <w:rsid w:val="00C47759"/>
    <w:rsid w:val="00C4778C"/>
    <w:rsid w:val="00C47854"/>
    <w:rsid w:val="00C47A81"/>
    <w:rsid w:val="00C47ABC"/>
    <w:rsid w:val="00C47C85"/>
    <w:rsid w:val="00C47F5B"/>
    <w:rsid w:val="00C50105"/>
    <w:rsid w:val="00C50163"/>
    <w:rsid w:val="00C50186"/>
    <w:rsid w:val="00C50488"/>
    <w:rsid w:val="00C50B78"/>
    <w:rsid w:val="00C50C71"/>
    <w:rsid w:val="00C50E1F"/>
    <w:rsid w:val="00C50E66"/>
    <w:rsid w:val="00C50E99"/>
    <w:rsid w:val="00C51035"/>
    <w:rsid w:val="00C51289"/>
    <w:rsid w:val="00C51501"/>
    <w:rsid w:val="00C51511"/>
    <w:rsid w:val="00C5160E"/>
    <w:rsid w:val="00C516D1"/>
    <w:rsid w:val="00C51840"/>
    <w:rsid w:val="00C519C5"/>
    <w:rsid w:val="00C51CC0"/>
    <w:rsid w:val="00C51DCD"/>
    <w:rsid w:val="00C51FD8"/>
    <w:rsid w:val="00C51FDF"/>
    <w:rsid w:val="00C52134"/>
    <w:rsid w:val="00C52197"/>
    <w:rsid w:val="00C5229A"/>
    <w:rsid w:val="00C523DD"/>
    <w:rsid w:val="00C52543"/>
    <w:rsid w:val="00C52941"/>
    <w:rsid w:val="00C52F06"/>
    <w:rsid w:val="00C52FF3"/>
    <w:rsid w:val="00C530B9"/>
    <w:rsid w:val="00C53317"/>
    <w:rsid w:val="00C5335C"/>
    <w:rsid w:val="00C53389"/>
    <w:rsid w:val="00C533CB"/>
    <w:rsid w:val="00C53694"/>
    <w:rsid w:val="00C5382F"/>
    <w:rsid w:val="00C53A16"/>
    <w:rsid w:val="00C53EAD"/>
    <w:rsid w:val="00C540A5"/>
    <w:rsid w:val="00C540C0"/>
    <w:rsid w:val="00C542BD"/>
    <w:rsid w:val="00C542C1"/>
    <w:rsid w:val="00C54502"/>
    <w:rsid w:val="00C546E3"/>
    <w:rsid w:val="00C547F1"/>
    <w:rsid w:val="00C5482F"/>
    <w:rsid w:val="00C549B2"/>
    <w:rsid w:val="00C54ADB"/>
    <w:rsid w:val="00C55043"/>
    <w:rsid w:val="00C55140"/>
    <w:rsid w:val="00C5517D"/>
    <w:rsid w:val="00C551F1"/>
    <w:rsid w:val="00C55440"/>
    <w:rsid w:val="00C55493"/>
    <w:rsid w:val="00C55551"/>
    <w:rsid w:val="00C5570D"/>
    <w:rsid w:val="00C5576E"/>
    <w:rsid w:val="00C5583B"/>
    <w:rsid w:val="00C5595C"/>
    <w:rsid w:val="00C55BCC"/>
    <w:rsid w:val="00C55C80"/>
    <w:rsid w:val="00C55C9E"/>
    <w:rsid w:val="00C5611E"/>
    <w:rsid w:val="00C56188"/>
    <w:rsid w:val="00C5637B"/>
    <w:rsid w:val="00C5673F"/>
    <w:rsid w:val="00C567A6"/>
    <w:rsid w:val="00C56D14"/>
    <w:rsid w:val="00C56D17"/>
    <w:rsid w:val="00C56DCA"/>
    <w:rsid w:val="00C5710F"/>
    <w:rsid w:val="00C571DC"/>
    <w:rsid w:val="00C5730C"/>
    <w:rsid w:val="00C57380"/>
    <w:rsid w:val="00C573D1"/>
    <w:rsid w:val="00C57609"/>
    <w:rsid w:val="00C57631"/>
    <w:rsid w:val="00C5780A"/>
    <w:rsid w:val="00C57821"/>
    <w:rsid w:val="00C57C81"/>
    <w:rsid w:val="00C57CB7"/>
    <w:rsid w:val="00C57F57"/>
    <w:rsid w:val="00C57FC4"/>
    <w:rsid w:val="00C6011E"/>
    <w:rsid w:val="00C601DF"/>
    <w:rsid w:val="00C601EB"/>
    <w:rsid w:val="00C60226"/>
    <w:rsid w:val="00C602B3"/>
    <w:rsid w:val="00C60383"/>
    <w:rsid w:val="00C60407"/>
    <w:rsid w:val="00C6053F"/>
    <w:rsid w:val="00C60A7C"/>
    <w:rsid w:val="00C60A81"/>
    <w:rsid w:val="00C60AEA"/>
    <w:rsid w:val="00C60C14"/>
    <w:rsid w:val="00C60C9D"/>
    <w:rsid w:val="00C60FC4"/>
    <w:rsid w:val="00C611AE"/>
    <w:rsid w:val="00C611C7"/>
    <w:rsid w:val="00C61229"/>
    <w:rsid w:val="00C61507"/>
    <w:rsid w:val="00C619DE"/>
    <w:rsid w:val="00C61DAA"/>
    <w:rsid w:val="00C61FC8"/>
    <w:rsid w:val="00C6203B"/>
    <w:rsid w:val="00C62642"/>
    <w:rsid w:val="00C62804"/>
    <w:rsid w:val="00C628D3"/>
    <w:rsid w:val="00C628F2"/>
    <w:rsid w:val="00C62D69"/>
    <w:rsid w:val="00C62DF3"/>
    <w:rsid w:val="00C63066"/>
    <w:rsid w:val="00C630D6"/>
    <w:rsid w:val="00C6314D"/>
    <w:rsid w:val="00C6344E"/>
    <w:rsid w:val="00C63476"/>
    <w:rsid w:val="00C63593"/>
    <w:rsid w:val="00C63B04"/>
    <w:rsid w:val="00C63E62"/>
    <w:rsid w:val="00C643E2"/>
    <w:rsid w:val="00C6447C"/>
    <w:rsid w:val="00C64787"/>
    <w:rsid w:val="00C64C31"/>
    <w:rsid w:val="00C64D5A"/>
    <w:rsid w:val="00C64D5E"/>
    <w:rsid w:val="00C64EB9"/>
    <w:rsid w:val="00C64F9C"/>
    <w:rsid w:val="00C65045"/>
    <w:rsid w:val="00C65235"/>
    <w:rsid w:val="00C6538C"/>
    <w:rsid w:val="00C65656"/>
    <w:rsid w:val="00C6567F"/>
    <w:rsid w:val="00C6572E"/>
    <w:rsid w:val="00C657F6"/>
    <w:rsid w:val="00C65A7D"/>
    <w:rsid w:val="00C65B4D"/>
    <w:rsid w:val="00C65ECC"/>
    <w:rsid w:val="00C65FF1"/>
    <w:rsid w:val="00C66172"/>
    <w:rsid w:val="00C665CE"/>
    <w:rsid w:val="00C666FA"/>
    <w:rsid w:val="00C667E8"/>
    <w:rsid w:val="00C66A89"/>
    <w:rsid w:val="00C66E70"/>
    <w:rsid w:val="00C66FA2"/>
    <w:rsid w:val="00C66FF7"/>
    <w:rsid w:val="00C6702B"/>
    <w:rsid w:val="00C672A6"/>
    <w:rsid w:val="00C672D5"/>
    <w:rsid w:val="00C6741E"/>
    <w:rsid w:val="00C674AF"/>
    <w:rsid w:val="00C674F0"/>
    <w:rsid w:val="00C6775C"/>
    <w:rsid w:val="00C6780E"/>
    <w:rsid w:val="00C67A31"/>
    <w:rsid w:val="00C67F61"/>
    <w:rsid w:val="00C701F2"/>
    <w:rsid w:val="00C70240"/>
    <w:rsid w:val="00C70580"/>
    <w:rsid w:val="00C706C1"/>
    <w:rsid w:val="00C70770"/>
    <w:rsid w:val="00C707E7"/>
    <w:rsid w:val="00C70950"/>
    <w:rsid w:val="00C70B93"/>
    <w:rsid w:val="00C70CB1"/>
    <w:rsid w:val="00C70D04"/>
    <w:rsid w:val="00C70FA4"/>
    <w:rsid w:val="00C70FC1"/>
    <w:rsid w:val="00C71100"/>
    <w:rsid w:val="00C71153"/>
    <w:rsid w:val="00C718F4"/>
    <w:rsid w:val="00C71962"/>
    <w:rsid w:val="00C71A34"/>
    <w:rsid w:val="00C71A89"/>
    <w:rsid w:val="00C71B9F"/>
    <w:rsid w:val="00C71D58"/>
    <w:rsid w:val="00C71F2B"/>
    <w:rsid w:val="00C72582"/>
    <w:rsid w:val="00C7265B"/>
    <w:rsid w:val="00C728E9"/>
    <w:rsid w:val="00C7296D"/>
    <w:rsid w:val="00C72C11"/>
    <w:rsid w:val="00C72DC1"/>
    <w:rsid w:val="00C72DEB"/>
    <w:rsid w:val="00C734C6"/>
    <w:rsid w:val="00C73623"/>
    <w:rsid w:val="00C73913"/>
    <w:rsid w:val="00C73D3F"/>
    <w:rsid w:val="00C73F1B"/>
    <w:rsid w:val="00C73FA5"/>
    <w:rsid w:val="00C74070"/>
    <w:rsid w:val="00C740C9"/>
    <w:rsid w:val="00C742F9"/>
    <w:rsid w:val="00C74628"/>
    <w:rsid w:val="00C7463D"/>
    <w:rsid w:val="00C74CB6"/>
    <w:rsid w:val="00C74CCF"/>
    <w:rsid w:val="00C74FB8"/>
    <w:rsid w:val="00C750CA"/>
    <w:rsid w:val="00C751DD"/>
    <w:rsid w:val="00C7538D"/>
    <w:rsid w:val="00C7554D"/>
    <w:rsid w:val="00C7567D"/>
    <w:rsid w:val="00C7576A"/>
    <w:rsid w:val="00C75A4F"/>
    <w:rsid w:val="00C75AE3"/>
    <w:rsid w:val="00C75B68"/>
    <w:rsid w:val="00C761E1"/>
    <w:rsid w:val="00C76575"/>
    <w:rsid w:val="00C7671B"/>
    <w:rsid w:val="00C768FA"/>
    <w:rsid w:val="00C76C26"/>
    <w:rsid w:val="00C76F58"/>
    <w:rsid w:val="00C76FD2"/>
    <w:rsid w:val="00C77355"/>
    <w:rsid w:val="00C773B0"/>
    <w:rsid w:val="00C774E1"/>
    <w:rsid w:val="00C775BB"/>
    <w:rsid w:val="00C77AFF"/>
    <w:rsid w:val="00C77D0B"/>
    <w:rsid w:val="00C77E4F"/>
    <w:rsid w:val="00C800B4"/>
    <w:rsid w:val="00C8042B"/>
    <w:rsid w:val="00C80459"/>
    <w:rsid w:val="00C806AD"/>
    <w:rsid w:val="00C809EE"/>
    <w:rsid w:val="00C80C43"/>
    <w:rsid w:val="00C80C8F"/>
    <w:rsid w:val="00C80D3B"/>
    <w:rsid w:val="00C80EF4"/>
    <w:rsid w:val="00C81002"/>
    <w:rsid w:val="00C81110"/>
    <w:rsid w:val="00C811CA"/>
    <w:rsid w:val="00C81268"/>
    <w:rsid w:val="00C8144A"/>
    <w:rsid w:val="00C81755"/>
    <w:rsid w:val="00C81ACF"/>
    <w:rsid w:val="00C81B81"/>
    <w:rsid w:val="00C81BAE"/>
    <w:rsid w:val="00C81C0F"/>
    <w:rsid w:val="00C81CA7"/>
    <w:rsid w:val="00C81FCE"/>
    <w:rsid w:val="00C81FF8"/>
    <w:rsid w:val="00C8204A"/>
    <w:rsid w:val="00C82242"/>
    <w:rsid w:val="00C8224F"/>
    <w:rsid w:val="00C824A5"/>
    <w:rsid w:val="00C824F7"/>
    <w:rsid w:val="00C825EB"/>
    <w:rsid w:val="00C827DA"/>
    <w:rsid w:val="00C828A2"/>
    <w:rsid w:val="00C82936"/>
    <w:rsid w:val="00C8293B"/>
    <w:rsid w:val="00C82AD1"/>
    <w:rsid w:val="00C82E1C"/>
    <w:rsid w:val="00C83057"/>
    <w:rsid w:val="00C8331A"/>
    <w:rsid w:val="00C83737"/>
    <w:rsid w:val="00C83741"/>
    <w:rsid w:val="00C837D0"/>
    <w:rsid w:val="00C837D3"/>
    <w:rsid w:val="00C837D6"/>
    <w:rsid w:val="00C838E1"/>
    <w:rsid w:val="00C83BA2"/>
    <w:rsid w:val="00C84113"/>
    <w:rsid w:val="00C841D0"/>
    <w:rsid w:val="00C845F7"/>
    <w:rsid w:val="00C847D1"/>
    <w:rsid w:val="00C847E6"/>
    <w:rsid w:val="00C849C1"/>
    <w:rsid w:val="00C84B60"/>
    <w:rsid w:val="00C84C93"/>
    <w:rsid w:val="00C84D91"/>
    <w:rsid w:val="00C84FFE"/>
    <w:rsid w:val="00C850E4"/>
    <w:rsid w:val="00C850EE"/>
    <w:rsid w:val="00C85212"/>
    <w:rsid w:val="00C852E2"/>
    <w:rsid w:val="00C854AF"/>
    <w:rsid w:val="00C855A0"/>
    <w:rsid w:val="00C857F0"/>
    <w:rsid w:val="00C85966"/>
    <w:rsid w:val="00C85C2A"/>
    <w:rsid w:val="00C85C8B"/>
    <w:rsid w:val="00C85E06"/>
    <w:rsid w:val="00C85F91"/>
    <w:rsid w:val="00C86366"/>
    <w:rsid w:val="00C864F1"/>
    <w:rsid w:val="00C865CC"/>
    <w:rsid w:val="00C86604"/>
    <w:rsid w:val="00C866C1"/>
    <w:rsid w:val="00C86851"/>
    <w:rsid w:val="00C86916"/>
    <w:rsid w:val="00C869F8"/>
    <w:rsid w:val="00C86B5F"/>
    <w:rsid w:val="00C86CE3"/>
    <w:rsid w:val="00C870AA"/>
    <w:rsid w:val="00C87220"/>
    <w:rsid w:val="00C87519"/>
    <w:rsid w:val="00C87A33"/>
    <w:rsid w:val="00C87D00"/>
    <w:rsid w:val="00C90024"/>
    <w:rsid w:val="00C9007C"/>
    <w:rsid w:val="00C9015A"/>
    <w:rsid w:val="00C90627"/>
    <w:rsid w:val="00C90746"/>
    <w:rsid w:val="00C907EA"/>
    <w:rsid w:val="00C9084B"/>
    <w:rsid w:val="00C908A2"/>
    <w:rsid w:val="00C909FC"/>
    <w:rsid w:val="00C90C97"/>
    <w:rsid w:val="00C90D1E"/>
    <w:rsid w:val="00C90F1B"/>
    <w:rsid w:val="00C90FA2"/>
    <w:rsid w:val="00C912FD"/>
    <w:rsid w:val="00C91313"/>
    <w:rsid w:val="00C913B2"/>
    <w:rsid w:val="00C914A9"/>
    <w:rsid w:val="00C914AC"/>
    <w:rsid w:val="00C915A3"/>
    <w:rsid w:val="00C91655"/>
    <w:rsid w:val="00C9176C"/>
    <w:rsid w:val="00C91771"/>
    <w:rsid w:val="00C9184B"/>
    <w:rsid w:val="00C918A3"/>
    <w:rsid w:val="00C91955"/>
    <w:rsid w:val="00C91966"/>
    <w:rsid w:val="00C91B6B"/>
    <w:rsid w:val="00C91BB8"/>
    <w:rsid w:val="00C91DF0"/>
    <w:rsid w:val="00C91F3A"/>
    <w:rsid w:val="00C91F4E"/>
    <w:rsid w:val="00C92019"/>
    <w:rsid w:val="00C920E1"/>
    <w:rsid w:val="00C9213A"/>
    <w:rsid w:val="00C92256"/>
    <w:rsid w:val="00C9226F"/>
    <w:rsid w:val="00C9242D"/>
    <w:rsid w:val="00C924B7"/>
    <w:rsid w:val="00C9269B"/>
    <w:rsid w:val="00C927EF"/>
    <w:rsid w:val="00C9283A"/>
    <w:rsid w:val="00C92C76"/>
    <w:rsid w:val="00C92DAB"/>
    <w:rsid w:val="00C93616"/>
    <w:rsid w:val="00C9368C"/>
    <w:rsid w:val="00C93843"/>
    <w:rsid w:val="00C93B9E"/>
    <w:rsid w:val="00C93D54"/>
    <w:rsid w:val="00C9426F"/>
    <w:rsid w:val="00C94386"/>
    <w:rsid w:val="00C94650"/>
    <w:rsid w:val="00C94870"/>
    <w:rsid w:val="00C94911"/>
    <w:rsid w:val="00C94B27"/>
    <w:rsid w:val="00C94D5B"/>
    <w:rsid w:val="00C94DE3"/>
    <w:rsid w:val="00C94DF7"/>
    <w:rsid w:val="00C94FA4"/>
    <w:rsid w:val="00C950D3"/>
    <w:rsid w:val="00C95265"/>
    <w:rsid w:val="00C9543A"/>
    <w:rsid w:val="00C956E7"/>
    <w:rsid w:val="00C95774"/>
    <w:rsid w:val="00C9593D"/>
    <w:rsid w:val="00C9595D"/>
    <w:rsid w:val="00C95A58"/>
    <w:rsid w:val="00C95A6A"/>
    <w:rsid w:val="00C95B29"/>
    <w:rsid w:val="00C95C23"/>
    <w:rsid w:val="00C95D97"/>
    <w:rsid w:val="00C95F8E"/>
    <w:rsid w:val="00C960B1"/>
    <w:rsid w:val="00C96108"/>
    <w:rsid w:val="00C9616C"/>
    <w:rsid w:val="00C96298"/>
    <w:rsid w:val="00C962FC"/>
    <w:rsid w:val="00C96369"/>
    <w:rsid w:val="00C969DE"/>
    <w:rsid w:val="00C96A91"/>
    <w:rsid w:val="00C96B29"/>
    <w:rsid w:val="00C96C30"/>
    <w:rsid w:val="00C96CCD"/>
    <w:rsid w:val="00C96DF9"/>
    <w:rsid w:val="00C96F6A"/>
    <w:rsid w:val="00C9701B"/>
    <w:rsid w:val="00C975D2"/>
    <w:rsid w:val="00C97776"/>
    <w:rsid w:val="00C97AE8"/>
    <w:rsid w:val="00C97B01"/>
    <w:rsid w:val="00C97ECE"/>
    <w:rsid w:val="00CA008D"/>
    <w:rsid w:val="00CA03F6"/>
    <w:rsid w:val="00CA0416"/>
    <w:rsid w:val="00CA05DA"/>
    <w:rsid w:val="00CA05F1"/>
    <w:rsid w:val="00CA07D2"/>
    <w:rsid w:val="00CA08C4"/>
    <w:rsid w:val="00CA0C16"/>
    <w:rsid w:val="00CA0D42"/>
    <w:rsid w:val="00CA0D9C"/>
    <w:rsid w:val="00CA1123"/>
    <w:rsid w:val="00CA186F"/>
    <w:rsid w:val="00CA1C47"/>
    <w:rsid w:val="00CA1CF0"/>
    <w:rsid w:val="00CA1E1B"/>
    <w:rsid w:val="00CA1E9E"/>
    <w:rsid w:val="00CA201B"/>
    <w:rsid w:val="00CA2237"/>
    <w:rsid w:val="00CA25C2"/>
    <w:rsid w:val="00CA26B0"/>
    <w:rsid w:val="00CA26CA"/>
    <w:rsid w:val="00CA2763"/>
    <w:rsid w:val="00CA2871"/>
    <w:rsid w:val="00CA28D9"/>
    <w:rsid w:val="00CA2AC4"/>
    <w:rsid w:val="00CA3530"/>
    <w:rsid w:val="00CA3581"/>
    <w:rsid w:val="00CA358D"/>
    <w:rsid w:val="00CA3637"/>
    <w:rsid w:val="00CA381D"/>
    <w:rsid w:val="00CA3901"/>
    <w:rsid w:val="00CA3987"/>
    <w:rsid w:val="00CA3B4D"/>
    <w:rsid w:val="00CA3BEC"/>
    <w:rsid w:val="00CA3F19"/>
    <w:rsid w:val="00CA3F43"/>
    <w:rsid w:val="00CA3F56"/>
    <w:rsid w:val="00CA4054"/>
    <w:rsid w:val="00CA40B7"/>
    <w:rsid w:val="00CA40E1"/>
    <w:rsid w:val="00CA4184"/>
    <w:rsid w:val="00CA45CC"/>
    <w:rsid w:val="00CA46C2"/>
    <w:rsid w:val="00CA4778"/>
    <w:rsid w:val="00CA4806"/>
    <w:rsid w:val="00CA4854"/>
    <w:rsid w:val="00CA4DE3"/>
    <w:rsid w:val="00CA508C"/>
    <w:rsid w:val="00CA5113"/>
    <w:rsid w:val="00CA52DD"/>
    <w:rsid w:val="00CA55E1"/>
    <w:rsid w:val="00CA5784"/>
    <w:rsid w:val="00CA5B7B"/>
    <w:rsid w:val="00CA5D8A"/>
    <w:rsid w:val="00CA5DBD"/>
    <w:rsid w:val="00CA5E98"/>
    <w:rsid w:val="00CA5F5F"/>
    <w:rsid w:val="00CA6367"/>
    <w:rsid w:val="00CA6368"/>
    <w:rsid w:val="00CA63D6"/>
    <w:rsid w:val="00CA64AF"/>
    <w:rsid w:val="00CA6531"/>
    <w:rsid w:val="00CA66D3"/>
    <w:rsid w:val="00CA6923"/>
    <w:rsid w:val="00CA6B6E"/>
    <w:rsid w:val="00CA6BDB"/>
    <w:rsid w:val="00CA6E7E"/>
    <w:rsid w:val="00CA6EBA"/>
    <w:rsid w:val="00CA6F0F"/>
    <w:rsid w:val="00CA7302"/>
    <w:rsid w:val="00CA7520"/>
    <w:rsid w:val="00CA7565"/>
    <w:rsid w:val="00CA7790"/>
    <w:rsid w:val="00CA797C"/>
    <w:rsid w:val="00CA7A78"/>
    <w:rsid w:val="00CA7D1D"/>
    <w:rsid w:val="00CA7E02"/>
    <w:rsid w:val="00CB0040"/>
    <w:rsid w:val="00CB0218"/>
    <w:rsid w:val="00CB0323"/>
    <w:rsid w:val="00CB0531"/>
    <w:rsid w:val="00CB0856"/>
    <w:rsid w:val="00CB0C6A"/>
    <w:rsid w:val="00CB0E7E"/>
    <w:rsid w:val="00CB1260"/>
    <w:rsid w:val="00CB1332"/>
    <w:rsid w:val="00CB1A31"/>
    <w:rsid w:val="00CB1C1F"/>
    <w:rsid w:val="00CB1D11"/>
    <w:rsid w:val="00CB226C"/>
    <w:rsid w:val="00CB23B4"/>
    <w:rsid w:val="00CB292D"/>
    <w:rsid w:val="00CB2BED"/>
    <w:rsid w:val="00CB2CFF"/>
    <w:rsid w:val="00CB2F32"/>
    <w:rsid w:val="00CB2FBA"/>
    <w:rsid w:val="00CB3005"/>
    <w:rsid w:val="00CB3146"/>
    <w:rsid w:val="00CB3284"/>
    <w:rsid w:val="00CB32B1"/>
    <w:rsid w:val="00CB32F7"/>
    <w:rsid w:val="00CB3467"/>
    <w:rsid w:val="00CB38B2"/>
    <w:rsid w:val="00CB38CF"/>
    <w:rsid w:val="00CB396E"/>
    <w:rsid w:val="00CB3EBA"/>
    <w:rsid w:val="00CB3EFA"/>
    <w:rsid w:val="00CB3EFD"/>
    <w:rsid w:val="00CB44F0"/>
    <w:rsid w:val="00CB45EA"/>
    <w:rsid w:val="00CB472E"/>
    <w:rsid w:val="00CB4803"/>
    <w:rsid w:val="00CB489A"/>
    <w:rsid w:val="00CB4DBC"/>
    <w:rsid w:val="00CB4FA7"/>
    <w:rsid w:val="00CB51CD"/>
    <w:rsid w:val="00CB5206"/>
    <w:rsid w:val="00CB53F4"/>
    <w:rsid w:val="00CB59FD"/>
    <w:rsid w:val="00CB5A02"/>
    <w:rsid w:val="00CB5AB2"/>
    <w:rsid w:val="00CB5E05"/>
    <w:rsid w:val="00CB5FF0"/>
    <w:rsid w:val="00CB6D47"/>
    <w:rsid w:val="00CB6DD2"/>
    <w:rsid w:val="00CB7515"/>
    <w:rsid w:val="00CB763C"/>
    <w:rsid w:val="00CB7926"/>
    <w:rsid w:val="00CB792B"/>
    <w:rsid w:val="00CB7B46"/>
    <w:rsid w:val="00CB7C24"/>
    <w:rsid w:val="00CB7F67"/>
    <w:rsid w:val="00CC0176"/>
    <w:rsid w:val="00CC0295"/>
    <w:rsid w:val="00CC041A"/>
    <w:rsid w:val="00CC0445"/>
    <w:rsid w:val="00CC058E"/>
    <w:rsid w:val="00CC0785"/>
    <w:rsid w:val="00CC07B7"/>
    <w:rsid w:val="00CC088E"/>
    <w:rsid w:val="00CC08CB"/>
    <w:rsid w:val="00CC0A62"/>
    <w:rsid w:val="00CC0B94"/>
    <w:rsid w:val="00CC0E89"/>
    <w:rsid w:val="00CC0FA7"/>
    <w:rsid w:val="00CC1648"/>
    <w:rsid w:val="00CC1703"/>
    <w:rsid w:val="00CC1730"/>
    <w:rsid w:val="00CC17B4"/>
    <w:rsid w:val="00CC1A69"/>
    <w:rsid w:val="00CC1C2A"/>
    <w:rsid w:val="00CC1F5F"/>
    <w:rsid w:val="00CC20A3"/>
    <w:rsid w:val="00CC25E6"/>
    <w:rsid w:val="00CC2812"/>
    <w:rsid w:val="00CC2826"/>
    <w:rsid w:val="00CC29A0"/>
    <w:rsid w:val="00CC29D4"/>
    <w:rsid w:val="00CC2A0E"/>
    <w:rsid w:val="00CC2BFD"/>
    <w:rsid w:val="00CC2D61"/>
    <w:rsid w:val="00CC2DD4"/>
    <w:rsid w:val="00CC3026"/>
    <w:rsid w:val="00CC3038"/>
    <w:rsid w:val="00CC3206"/>
    <w:rsid w:val="00CC32BA"/>
    <w:rsid w:val="00CC3312"/>
    <w:rsid w:val="00CC35E6"/>
    <w:rsid w:val="00CC35E8"/>
    <w:rsid w:val="00CC3943"/>
    <w:rsid w:val="00CC3976"/>
    <w:rsid w:val="00CC3A13"/>
    <w:rsid w:val="00CC3D15"/>
    <w:rsid w:val="00CC3F80"/>
    <w:rsid w:val="00CC4343"/>
    <w:rsid w:val="00CC4631"/>
    <w:rsid w:val="00CC46E8"/>
    <w:rsid w:val="00CC4894"/>
    <w:rsid w:val="00CC48C6"/>
    <w:rsid w:val="00CC4A1D"/>
    <w:rsid w:val="00CC4A3B"/>
    <w:rsid w:val="00CC4D24"/>
    <w:rsid w:val="00CC4D6B"/>
    <w:rsid w:val="00CC4EA3"/>
    <w:rsid w:val="00CC515B"/>
    <w:rsid w:val="00CC53BD"/>
    <w:rsid w:val="00CC55D1"/>
    <w:rsid w:val="00CC5B4A"/>
    <w:rsid w:val="00CC5C14"/>
    <w:rsid w:val="00CC5E72"/>
    <w:rsid w:val="00CC6061"/>
    <w:rsid w:val="00CC60AD"/>
    <w:rsid w:val="00CC613F"/>
    <w:rsid w:val="00CC628B"/>
    <w:rsid w:val="00CC646E"/>
    <w:rsid w:val="00CC647C"/>
    <w:rsid w:val="00CC6485"/>
    <w:rsid w:val="00CC6495"/>
    <w:rsid w:val="00CC64EE"/>
    <w:rsid w:val="00CC652F"/>
    <w:rsid w:val="00CC654E"/>
    <w:rsid w:val="00CC672D"/>
    <w:rsid w:val="00CC6A4A"/>
    <w:rsid w:val="00CC6A5B"/>
    <w:rsid w:val="00CC6B50"/>
    <w:rsid w:val="00CC6BB2"/>
    <w:rsid w:val="00CC6DBA"/>
    <w:rsid w:val="00CC6E42"/>
    <w:rsid w:val="00CC6E60"/>
    <w:rsid w:val="00CC6EF2"/>
    <w:rsid w:val="00CC7063"/>
    <w:rsid w:val="00CC7548"/>
    <w:rsid w:val="00CC756E"/>
    <w:rsid w:val="00CC75F9"/>
    <w:rsid w:val="00CC76C7"/>
    <w:rsid w:val="00CC7AEA"/>
    <w:rsid w:val="00CC7CD3"/>
    <w:rsid w:val="00CC7E16"/>
    <w:rsid w:val="00CD0138"/>
    <w:rsid w:val="00CD027C"/>
    <w:rsid w:val="00CD0493"/>
    <w:rsid w:val="00CD0539"/>
    <w:rsid w:val="00CD06FE"/>
    <w:rsid w:val="00CD082F"/>
    <w:rsid w:val="00CD0A2F"/>
    <w:rsid w:val="00CD0BAB"/>
    <w:rsid w:val="00CD0BD0"/>
    <w:rsid w:val="00CD0C5D"/>
    <w:rsid w:val="00CD0DEE"/>
    <w:rsid w:val="00CD0DFD"/>
    <w:rsid w:val="00CD0EC4"/>
    <w:rsid w:val="00CD1331"/>
    <w:rsid w:val="00CD1602"/>
    <w:rsid w:val="00CD17AD"/>
    <w:rsid w:val="00CD18C9"/>
    <w:rsid w:val="00CD1924"/>
    <w:rsid w:val="00CD1961"/>
    <w:rsid w:val="00CD1D4F"/>
    <w:rsid w:val="00CD1E5C"/>
    <w:rsid w:val="00CD1F19"/>
    <w:rsid w:val="00CD1F3D"/>
    <w:rsid w:val="00CD233F"/>
    <w:rsid w:val="00CD235C"/>
    <w:rsid w:val="00CD2613"/>
    <w:rsid w:val="00CD264B"/>
    <w:rsid w:val="00CD2665"/>
    <w:rsid w:val="00CD2B56"/>
    <w:rsid w:val="00CD2D92"/>
    <w:rsid w:val="00CD2ED1"/>
    <w:rsid w:val="00CD2F1D"/>
    <w:rsid w:val="00CD327B"/>
    <w:rsid w:val="00CD334B"/>
    <w:rsid w:val="00CD342E"/>
    <w:rsid w:val="00CD36A0"/>
    <w:rsid w:val="00CD375C"/>
    <w:rsid w:val="00CD3868"/>
    <w:rsid w:val="00CD395B"/>
    <w:rsid w:val="00CD39BB"/>
    <w:rsid w:val="00CD3AC8"/>
    <w:rsid w:val="00CD3C64"/>
    <w:rsid w:val="00CD4370"/>
    <w:rsid w:val="00CD4465"/>
    <w:rsid w:val="00CD448B"/>
    <w:rsid w:val="00CD4907"/>
    <w:rsid w:val="00CD4E4F"/>
    <w:rsid w:val="00CD4EF6"/>
    <w:rsid w:val="00CD51E6"/>
    <w:rsid w:val="00CD5450"/>
    <w:rsid w:val="00CD5532"/>
    <w:rsid w:val="00CD56EF"/>
    <w:rsid w:val="00CD57F4"/>
    <w:rsid w:val="00CD6012"/>
    <w:rsid w:val="00CD620E"/>
    <w:rsid w:val="00CD62D6"/>
    <w:rsid w:val="00CD64E4"/>
    <w:rsid w:val="00CD6777"/>
    <w:rsid w:val="00CD6962"/>
    <w:rsid w:val="00CD696D"/>
    <w:rsid w:val="00CD697E"/>
    <w:rsid w:val="00CD69BD"/>
    <w:rsid w:val="00CD6C58"/>
    <w:rsid w:val="00CD6ED1"/>
    <w:rsid w:val="00CD7B22"/>
    <w:rsid w:val="00CD7CD6"/>
    <w:rsid w:val="00CD7D6C"/>
    <w:rsid w:val="00CE00F8"/>
    <w:rsid w:val="00CE03A4"/>
    <w:rsid w:val="00CE04F5"/>
    <w:rsid w:val="00CE0862"/>
    <w:rsid w:val="00CE0975"/>
    <w:rsid w:val="00CE0BC8"/>
    <w:rsid w:val="00CE0C43"/>
    <w:rsid w:val="00CE0CD4"/>
    <w:rsid w:val="00CE0F5D"/>
    <w:rsid w:val="00CE10A6"/>
    <w:rsid w:val="00CE118F"/>
    <w:rsid w:val="00CE1531"/>
    <w:rsid w:val="00CE15FD"/>
    <w:rsid w:val="00CE16A8"/>
    <w:rsid w:val="00CE17E1"/>
    <w:rsid w:val="00CE1816"/>
    <w:rsid w:val="00CE1B4C"/>
    <w:rsid w:val="00CE1C02"/>
    <w:rsid w:val="00CE1CA9"/>
    <w:rsid w:val="00CE1F59"/>
    <w:rsid w:val="00CE1FD9"/>
    <w:rsid w:val="00CE2123"/>
    <w:rsid w:val="00CE249D"/>
    <w:rsid w:val="00CE2D8F"/>
    <w:rsid w:val="00CE2EC1"/>
    <w:rsid w:val="00CE2F8F"/>
    <w:rsid w:val="00CE311C"/>
    <w:rsid w:val="00CE312F"/>
    <w:rsid w:val="00CE32B0"/>
    <w:rsid w:val="00CE393B"/>
    <w:rsid w:val="00CE3D9C"/>
    <w:rsid w:val="00CE3DD6"/>
    <w:rsid w:val="00CE3DF3"/>
    <w:rsid w:val="00CE3F04"/>
    <w:rsid w:val="00CE3FCD"/>
    <w:rsid w:val="00CE3FDE"/>
    <w:rsid w:val="00CE40DF"/>
    <w:rsid w:val="00CE430F"/>
    <w:rsid w:val="00CE441A"/>
    <w:rsid w:val="00CE45D8"/>
    <w:rsid w:val="00CE46EA"/>
    <w:rsid w:val="00CE47AA"/>
    <w:rsid w:val="00CE4801"/>
    <w:rsid w:val="00CE49F5"/>
    <w:rsid w:val="00CE4B8E"/>
    <w:rsid w:val="00CE4CF5"/>
    <w:rsid w:val="00CE4D89"/>
    <w:rsid w:val="00CE501B"/>
    <w:rsid w:val="00CE5041"/>
    <w:rsid w:val="00CE5084"/>
    <w:rsid w:val="00CE50A0"/>
    <w:rsid w:val="00CE51D0"/>
    <w:rsid w:val="00CE5438"/>
    <w:rsid w:val="00CE54BE"/>
    <w:rsid w:val="00CE55AB"/>
    <w:rsid w:val="00CE55C8"/>
    <w:rsid w:val="00CE56CD"/>
    <w:rsid w:val="00CE56DC"/>
    <w:rsid w:val="00CE5926"/>
    <w:rsid w:val="00CE5ADB"/>
    <w:rsid w:val="00CE5C00"/>
    <w:rsid w:val="00CE5E1C"/>
    <w:rsid w:val="00CE5F4A"/>
    <w:rsid w:val="00CE6164"/>
    <w:rsid w:val="00CE622A"/>
    <w:rsid w:val="00CE624F"/>
    <w:rsid w:val="00CE634F"/>
    <w:rsid w:val="00CE6400"/>
    <w:rsid w:val="00CE66BD"/>
    <w:rsid w:val="00CE6745"/>
    <w:rsid w:val="00CE6803"/>
    <w:rsid w:val="00CE6A8F"/>
    <w:rsid w:val="00CE6B7B"/>
    <w:rsid w:val="00CE6C93"/>
    <w:rsid w:val="00CE6D46"/>
    <w:rsid w:val="00CE6EEC"/>
    <w:rsid w:val="00CE6F58"/>
    <w:rsid w:val="00CE6FAA"/>
    <w:rsid w:val="00CE701F"/>
    <w:rsid w:val="00CE7133"/>
    <w:rsid w:val="00CE71A4"/>
    <w:rsid w:val="00CE7547"/>
    <w:rsid w:val="00CE75FF"/>
    <w:rsid w:val="00CE7606"/>
    <w:rsid w:val="00CE7FB6"/>
    <w:rsid w:val="00CF0535"/>
    <w:rsid w:val="00CF05F9"/>
    <w:rsid w:val="00CF0684"/>
    <w:rsid w:val="00CF0971"/>
    <w:rsid w:val="00CF09A8"/>
    <w:rsid w:val="00CF09F6"/>
    <w:rsid w:val="00CF0CC0"/>
    <w:rsid w:val="00CF0CF3"/>
    <w:rsid w:val="00CF0DEF"/>
    <w:rsid w:val="00CF109F"/>
    <w:rsid w:val="00CF111A"/>
    <w:rsid w:val="00CF115D"/>
    <w:rsid w:val="00CF153D"/>
    <w:rsid w:val="00CF15E9"/>
    <w:rsid w:val="00CF1965"/>
    <w:rsid w:val="00CF1A27"/>
    <w:rsid w:val="00CF1EE8"/>
    <w:rsid w:val="00CF1F2C"/>
    <w:rsid w:val="00CF1FAC"/>
    <w:rsid w:val="00CF2369"/>
    <w:rsid w:val="00CF24B9"/>
    <w:rsid w:val="00CF256A"/>
    <w:rsid w:val="00CF2573"/>
    <w:rsid w:val="00CF2707"/>
    <w:rsid w:val="00CF277F"/>
    <w:rsid w:val="00CF29B5"/>
    <w:rsid w:val="00CF2AB6"/>
    <w:rsid w:val="00CF2AF0"/>
    <w:rsid w:val="00CF2C15"/>
    <w:rsid w:val="00CF2F07"/>
    <w:rsid w:val="00CF2F2A"/>
    <w:rsid w:val="00CF2F9D"/>
    <w:rsid w:val="00CF3080"/>
    <w:rsid w:val="00CF310F"/>
    <w:rsid w:val="00CF32C2"/>
    <w:rsid w:val="00CF32F9"/>
    <w:rsid w:val="00CF37ED"/>
    <w:rsid w:val="00CF38B6"/>
    <w:rsid w:val="00CF38BD"/>
    <w:rsid w:val="00CF393E"/>
    <w:rsid w:val="00CF3CE3"/>
    <w:rsid w:val="00CF3D24"/>
    <w:rsid w:val="00CF3D61"/>
    <w:rsid w:val="00CF3E48"/>
    <w:rsid w:val="00CF407D"/>
    <w:rsid w:val="00CF43C7"/>
    <w:rsid w:val="00CF4493"/>
    <w:rsid w:val="00CF4732"/>
    <w:rsid w:val="00CF47B9"/>
    <w:rsid w:val="00CF4B37"/>
    <w:rsid w:val="00CF4E2A"/>
    <w:rsid w:val="00CF5047"/>
    <w:rsid w:val="00CF51A4"/>
    <w:rsid w:val="00CF51B3"/>
    <w:rsid w:val="00CF56F9"/>
    <w:rsid w:val="00CF5A68"/>
    <w:rsid w:val="00CF5AFE"/>
    <w:rsid w:val="00CF5B67"/>
    <w:rsid w:val="00CF5CC4"/>
    <w:rsid w:val="00CF5EC7"/>
    <w:rsid w:val="00CF6068"/>
    <w:rsid w:val="00CF6333"/>
    <w:rsid w:val="00CF649F"/>
    <w:rsid w:val="00CF654C"/>
    <w:rsid w:val="00CF6640"/>
    <w:rsid w:val="00CF6A4C"/>
    <w:rsid w:val="00CF6D49"/>
    <w:rsid w:val="00CF70AB"/>
    <w:rsid w:val="00CF70B3"/>
    <w:rsid w:val="00CF70D2"/>
    <w:rsid w:val="00CF71EF"/>
    <w:rsid w:val="00CF76EB"/>
    <w:rsid w:val="00CF78B0"/>
    <w:rsid w:val="00CF7A14"/>
    <w:rsid w:val="00CF7A9B"/>
    <w:rsid w:val="00CF7B1A"/>
    <w:rsid w:val="00CF7C7D"/>
    <w:rsid w:val="00CF7CC4"/>
    <w:rsid w:val="00CF7E1C"/>
    <w:rsid w:val="00D00004"/>
    <w:rsid w:val="00D00074"/>
    <w:rsid w:val="00D001CB"/>
    <w:rsid w:val="00D0024A"/>
    <w:rsid w:val="00D002C9"/>
    <w:rsid w:val="00D005A1"/>
    <w:rsid w:val="00D0070C"/>
    <w:rsid w:val="00D00CED"/>
    <w:rsid w:val="00D00FF4"/>
    <w:rsid w:val="00D010EE"/>
    <w:rsid w:val="00D0112E"/>
    <w:rsid w:val="00D0132E"/>
    <w:rsid w:val="00D0133D"/>
    <w:rsid w:val="00D014B9"/>
    <w:rsid w:val="00D0157B"/>
    <w:rsid w:val="00D015B0"/>
    <w:rsid w:val="00D01609"/>
    <w:rsid w:val="00D01870"/>
    <w:rsid w:val="00D01893"/>
    <w:rsid w:val="00D01ABE"/>
    <w:rsid w:val="00D01BB3"/>
    <w:rsid w:val="00D01C3D"/>
    <w:rsid w:val="00D01D43"/>
    <w:rsid w:val="00D01F64"/>
    <w:rsid w:val="00D0264D"/>
    <w:rsid w:val="00D026D7"/>
    <w:rsid w:val="00D02756"/>
    <w:rsid w:val="00D0280B"/>
    <w:rsid w:val="00D028C9"/>
    <w:rsid w:val="00D02A24"/>
    <w:rsid w:val="00D02BB5"/>
    <w:rsid w:val="00D02D2F"/>
    <w:rsid w:val="00D02EB2"/>
    <w:rsid w:val="00D0305A"/>
    <w:rsid w:val="00D034EA"/>
    <w:rsid w:val="00D0360E"/>
    <w:rsid w:val="00D03812"/>
    <w:rsid w:val="00D039B7"/>
    <w:rsid w:val="00D03CA1"/>
    <w:rsid w:val="00D03D9C"/>
    <w:rsid w:val="00D03E3C"/>
    <w:rsid w:val="00D03E41"/>
    <w:rsid w:val="00D03EA8"/>
    <w:rsid w:val="00D03EE6"/>
    <w:rsid w:val="00D03EF0"/>
    <w:rsid w:val="00D041BF"/>
    <w:rsid w:val="00D04351"/>
    <w:rsid w:val="00D045C6"/>
    <w:rsid w:val="00D04745"/>
    <w:rsid w:val="00D048F7"/>
    <w:rsid w:val="00D04B59"/>
    <w:rsid w:val="00D05054"/>
    <w:rsid w:val="00D0509E"/>
    <w:rsid w:val="00D050FA"/>
    <w:rsid w:val="00D05432"/>
    <w:rsid w:val="00D05530"/>
    <w:rsid w:val="00D0553F"/>
    <w:rsid w:val="00D0580F"/>
    <w:rsid w:val="00D05913"/>
    <w:rsid w:val="00D05AF4"/>
    <w:rsid w:val="00D05B10"/>
    <w:rsid w:val="00D05C4D"/>
    <w:rsid w:val="00D05EAD"/>
    <w:rsid w:val="00D05F4A"/>
    <w:rsid w:val="00D060CA"/>
    <w:rsid w:val="00D0673B"/>
    <w:rsid w:val="00D0678A"/>
    <w:rsid w:val="00D06ABC"/>
    <w:rsid w:val="00D070E3"/>
    <w:rsid w:val="00D0714F"/>
    <w:rsid w:val="00D071ED"/>
    <w:rsid w:val="00D07238"/>
    <w:rsid w:val="00D0724D"/>
    <w:rsid w:val="00D073E2"/>
    <w:rsid w:val="00D07627"/>
    <w:rsid w:val="00D076B6"/>
    <w:rsid w:val="00D07834"/>
    <w:rsid w:val="00D079F5"/>
    <w:rsid w:val="00D07DBE"/>
    <w:rsid w:val="00D100F1"/>
    <w:rsid w:val="00D10184"/>
    <w:rsid w:val="00D1038C"/>
    <w:rsid w:val="00D103BD"/>
    <w:rsid w:val="00D103E9"/>
    <w:rsid w:val="00D10558"/>
    <w:rsid w:val="00D10735"/>
    <w:rsid w:val="00D10911"/>
    <w:rsid w:val="00D10CD1"/>
    <w:rsid w:val="00D10D64"/>
    <w:rsid w:val="00D10DC9"/>
    <w:rsid w:val="00D10E0E"/>
    <w:rsid w:val="00D10E5E"/>
    <w:rsid w:val="00D10FFB"/>
    <w:rsid w:val="00D1113C"/>
    <w:rsid w:val="00D1131B"/>
    <w:rsid w:val="00D11930"/>
    <w:rsid w:val="00D11A58"/>
    <w:rsid w:val="00D11D41"/>
    <w:rsid w:val="00D11D46"/>
    <w:rsid w:val="00D11DE6"/>
    <w:rsid w:val="00D11E5D"/>
    <w:rsid w:val="00D12100"/>
    <w:rsid w:val="00D121CA"/>
    <w:rsid w:val="00D12225"/>
    <w:rsid w:val="00D12295"/>
    <w:rsid w:val="00D1237A"/>
    <w:rsid w:val="00D12397"/>
    <w:rsid w:val="00D123C7"/>
    <w:rsid w:val="00D124D5"/>
    <w:rsid w:val="00D125F6"/>
    <w:rsid w:val="00D12815"/>
    <w:rsid w:val="00D12938"/>
    <w:rsid w:val="00D129A0"/>
    <w:rsid w:val="00D12AF3"/>
    <w:rsid w:val="00D12B19"/>
    <w:rsid w:val="00D12B2C"/>
    <w:rsid w:val="00D12FC5"/>
    <w:rsid w:val="00D12FFB"/>
    <w:rsid w:val="00D1342E"/>
    <w:rsid w:val="00D137D5"/>
    <w:rsid w:val="00D13A4D"/>
    <w:rsid w:val="00D13AED"/>
    <w:rsid w:val="00D1411F"/>
    <w:rsid w:val="00D14D29"/>
    <w:rsid w:val="00D1523E"/>
    <w:rsid w:val="00D15688"/>
    <w:rsid w:val="00D15735"/>
    <w:rsid w:val="00D157F4"/>
    <w:rsid w:val="00D1595B"/>
    <w:rsid w:val="00D15A2D"/>
    <w:rsid w:val="00D15CEC"/>
    <w:rsid w:val="00D15F7F"/>
    <w:rsid w:val="00D16014"/>
    <w:rsid w:val="00D16070"/>
    <w:rsid w:val="00D16271"/>
    <w:rsid w:val="00D16294"/>
    <w:rsid w:val="00D169B3"/>
    <w:rsid w:val="00D16A40"/>
    <w:rsid w:val="00D16B99"/>
    <w:rsid w:val="00D16C64"/>
    <w:rsid w:val="00D17226"/>
    <w:rsid w:val="00D172A2"/>
    <w:rsid w:val="00D172A4"/>
    <w:rsid w:val="00D17544"/>
    <w:rsid w:val="00D17793"/>
    <w:rsid w:val="00D17866"/>
    <w:rsid w:val="00D17A13"/>
    <w:rsid w:val="00D17E09"/>
    <w:rsid w:val="00D17E23"/>
    <w:rsid w:val="00D17E7F"/>
    <w:rsid w:val="00D17FB7"/>
    <w:rsid w:val="00D20142"/>
    <w:rsid w:val="00D2028D"/>
    <w:rsid w:val="00D205CE"/>
    <w:rsid w:val="00D20734"/>
    <w:rsid w:val="00D20A24"/>
    <w:rsid w:val="00D20A6B"/>
    <w:rsid w:val="00D20CBC"/>
    <w:rsid w:val="00D20F21"/>
    <w:rsid w:val="00D20FE2"/>
    <w:rsid w:val="00D212A2"/>
    <w:rsid w:val="00D21308"/>
    <w:rsid w:val="00D21394"/>
    <w:rsid w:val="00D213A3"/>
    <w:rsid w:val="00D214CD"/>
    <w:rsid w:val="00D21806"/>
    <w:rsid w:val="00D21ADC"/>
    <w:rsid w:val="00D21B85"/>
    <w:rsid w:val="00D21F38"/>
    <w:rsid w:val="00D22079"/>
    <w:rsid w:val="00D22268"/>
    <w:rsid w:val="00D222BD"/>
    <w:rsid w:val="00D2234C"/>
    <w:rsid w:val="00D2251C"/>
    <w:rsid w:val="00D225B6"/>
    <w:rsid w:val="00D226EC"/>
    <w:rsid w:val="00D22B1D"/>
    <w:rsid w:val="00D22CE3"/>
    <w:rsid w:val="00D22EA1"/>
    <w:rsid w:val="00D22ED9"/>
    <w:rsid w:val="00D22F58"/>
    <w:rsid w:val="00D22F5F"/>
    <w:rsid w:val="00D2325F"/>
    <w:rsid w:val="00D23532"/>
    <w:rsid w:val="00D2370E"/>
    <w:rsid w:val="00D238E3"/>
    <w:rsid w:val="00D23BCA"/>
    <w:rsid w:val="00D23BCC"/>
    <w:rsid w:val="00D23CE5"/>
    <w:rsid w:val="00D23D81"/>
    <w:rsid w:val="00D241DE"/>
    <w:rsid w:val="00D242E8"/>
    <w:rsid w:val="00D24479"/>
    <w:rsid w:val="00D24594"/>
    <w:rsid w:val="00D2470E"/>
    <w:rsid w:val="00D24942"/>
    <w:rsid w:val="00D24CD5"/>
    <w:rsid w:val="00D24D6C"/>
    <w:rsid w:val="00D2552E"/>
    <w:rsid w:val="00D255D7"/>
    <w:rsid w:val="00D256DA"/>
    <w:rsid w:val="00D2572B"/>
    <w:rsid w:val="00D257F2"/>
    <w:rsid w:val="00D25A9B"/>
    <w:rsid w:val="00D25B34"/>
    <w:rsid w:val="00D25D8D"/>
    <w:rsid w:val="00D25E2C"/>
    <w:rsid w:val="00D25ED6"/>
    <w:rsid w:val="00D2618C"/>
    <w:rsid w:val="00D26712"/>
    <w:rsid w:val="00D268EF"/>
    <w:rsid w:val="00D26A23"/>
    <w:rsid w:val="00D26A95"/>
    <w:rsid w:val="00D26EB6"/>
    <w:rsid w:val="00D27050"/>
    <w:rsid w:val="00D271E7"/>
    <w:rsid w:val="00D2733C"/>
    <w:rsid w:val="00D276F0"/>
    <w:rsid w:val="00D27728"/>
    <w:rsid w:val="00D277F2"/>
    <w:rsid w:val="00D27907"/>
    <w:rsid w:val="00D27AE3"/>
    <w:rsid w:val="00D27CA0"/>
    <w:rsid w:val="00D3045B"/>
    <w:rsid w:val="00D30497"/>
    <w:rsid w:val="00D3055F"/>
    <w:rsid w:val="00D30F4C"/>
    <w:rsid w:val="00D31013"/>
    <w:rsid w:val="00D311CE"/>
    <w:rsid w:val="00D31218"/>
    <w:rsid w:val="00D3123E"/>
    <w:rsid w:val="00D312DD"/>
    <w:rsid w:val="00D313D9"/>
    <w:rsid w:val="00D313F9"/>
    <w:rsid w:val="00D314E2"/>
    <w:rsid w:val="00D315FB"/>
    <w:rsid w:val="00D317A4"/>
    <w:rsid w:val="00D31A50"/>
    <w:rsid w:val="00D31AA7"/>
    <w:rsid w:val="00D31BCC"/>
    <w:rsid w:val="00D31BFB"/>
    <w:rsid w:val="00D31DD5"/>
    <w:rsid w:val="00D31FDA"/>
    <w:rsid w:val="00D3224B"/>
    <w:rsid w:val="00D32384"/>
    <w:rsid w:val="00D32A21"/>
    <w:rsid w:val="00D33283"/>
    <w:rsid w:val="00D33387"/>
    <w:rsid w:val="00D333D1"/>
    <w:rsid w:val="00D33403"/>
    <w:rsid w:val="00D33849"/>
    <w:rsid w:val="00D33879"/>
    <w:rsid w:val="00D33CF9"/>
    <w:rsid w:val="00D33D16"/>
    <w:rsid w:val="00D33DBB"/>
    <w:rsid w:val="00D33E85"/>
    <w:rsid w:val="00D34149"/>
    <w:rsid w:val="00D3426E"/>
    <w:rsid w:val="00D342CB"/>
    <w:rsid w:val="00D34585"/>
    <w:rsid w:val="00D3473D"/>
    <w:rsid w:val="00D34857"/>
    <w:rsid w:val="00D34B83"/>
    <w:rsid w:val="00D34CC1"/>
    <w:rsid w:val="00D34D2F"/>
    <w:rsid w:val="00D34E5A"/>
    <w:rsid w:val="00D353CF"/>
    <w:rsid w:val="00D3551E"/>
    <w:rsid w:val="00D35618"/>
    <w:rsid w:val="00D357CA"/>
    <w:rsid w:val="00D35988"/>
    <w:rsid w:val="00D35A06"/>
    <w:rsid w:val="00D35A54"/>
    <w:rsid w:val="00D35AE4"/>
    <w:rsid w:val="00D35D68"/>
    <w:rsid w:val="00D35DF7"/>
    <w:rsid w:val="00D35E77"/>
    <w:rsid w:val="00D35F54"/>
    <w:rsid w:val="00D36221"/>
    <w:rsid w:val="00D36499"/>
    <w:rsid w:val="00D3699F"/>
    <w:rsid w:val="00D36B3F"/>
    <w:rsid w:val="00D36EA3"/>
    <w:rsid w:val="00D3716D"/>
    <w:rsid w:val="00D371B7"/>
    <w:rsid w:val="00D3744E"/>
    <w:rsid w:val="00D376CB"/>
    <w:rsid w:val="00D376D8"/>
    <w:rsid w:val="00D377C9"/>
    <w:rsid w:val="00D37811"/>
    <w:rsid w:val="00D3798B"/>
    <w:rsid w:val="00D37BB9"/>
    <w:rsid w:val="00D37C19"/>
    <w:rsid w:val="00D37C77"/>
    <w:rsid w:val="00D37CE7"/>
    <w:rsid w:val="00D37E63"/>
    <w:rsid w:val="00D37F52"/>
    <w:rsid w:val="00D40018"/>
    <w:rsid w:val="00D40106"/>
    <w:rsid w:val="00D401E2"/>
    <w:rsid w:val="00D4055A"/>
    <w:rsid w:val="00D405BA"/>
    <w:rsid w:val="00D40626"/>
    <w:rsid w:val="00D40699"/>
    <w:rsid w:val="00D408EC"/>
    <w:rsid w:val="00D40929"/>
    <w:rsid w:val="00D40AD3"/>
    <w:rsid w:val="00D40B4D"/>
    <w:rsid w:val="00D40DC4"/>
    <w:rsid w:val="00D40EEA"/>
    <w:rsid w:val="00D40FD8"/>
    <w:rsid w:val="00D40FE2"/>
    <w:rsid w:val="00D4119D"/>
    <w:rsid w:val="00D411F9"/>
    <w:rsid w:val="00D416CC"/>
    <w:rsid w:val="00D4175D"/>
    <w:rsid w:val="00D41801"/>
    <w:rsid w:val="00D41887"/>
    <w:rsid w:val="00D419D3"/>
    <w:rsid w:val="00D41A40"/>
    <w:rsid w:val="00D41D94"/>
    <w:rsid w:val="00D41E05"/>
    <w:rsid w:val="00D41E25"/>
    <w:rsid w:val="00D41EAE"/>
    <w:rsid w:val="00D4213D"/>
    <w:rsid w:val="00D421B3"/>
    <w:rsid w:val="00D42281"/>
    <w:rsid w:val="00D422FD"/>
    <w:rsid w:val="00D425A1"/>
    <w:rsid w:val="00D426EF"/>
    <w:rsid w:val="00D42759"/>
    <w:rsid w:val="00D428BA"/>
    <w:rsid w:val="00D42A73"/>
    <w:rsid w:val="00D42CF2"/>
    <w:rsid w:val="00D42D3F"/>
    <w:rsid w:val="00D42EBA"/>
    <w:rsid w:val="00D42F49"/>
    <w:rsid w:val="00D42F5A"/>
    <w:rsid w:val="00D42F80"/>
    <w:rsid w:val="00D4302A"/>
    <w:rsid w:val="00D430EE"/>
    <w:rsid w:val="00D4346D"/>
    <w:rsid w:val="00D4357C"/>
    <w:rsid w:val="00D436E8"/>
    <w:rsid w:val="00D438B4"/>
    <w:rsid w:val="00D43960"/>
    <w:rsid w:val="00D43AA3"/>
    <w:rsid w:val="00D43E8B"/>
    <w:rsid w:val="00D441E4"/>
    <w:rsid w:val="00D441FA"/>
    <w:rsid w:val="00D442D6"/>
    <w:rsid w:val="00D446E0"/>
    <w:rsid w:val="00D44745"/>
    <w:rsid w:val="00D44879"/>
    <w:rsid w:val="00D44959"/>
    <w:rsid w:val="00D449F2"/>
    <w:rsid w:val="00D44A6E"/>
    <w:rsid w:val="00D44E1E"/>
    <w:rsid w:val="00D45021"/>
    <w:rsid w:val="00D45160"/>
    <w:rsid w:val="00D45411"/>
    <w:rsid w:val="00D45421"/>
    <w:rsid w:val="00D4569B"/>
    <w:rsid w:val="00D4570F"/>
    <w:rsid w:val="00D459AB"/>
    <w:rsid w:val="00D45CA3"/>
    <w:rsid w:val="00D45CCE"/>
    <w:rsid w:val="00D45D87"/>
    <w:rsid w:val="00D45E81"/>
    <w:rsid w:val="00D45FB3"/>
    <w:rsid w:val="00D461FB"/>
    <w:rsid w:val="00D462FE"/>
    <w:rsid w:val="00D46434"/>
    <w:rsid w:val="00D46777"/>
    <w:rsid w:val="00D4677F"/>
    <w:rsid w:val="00D4678E"/>
    <w:rsid w:val="00D46838"/>
    <w:rsid w:val="00D468D6"/>
    <w:rsid w:val="00D46D59"/>
    <w:rsid w:val="00D46E68"/>
    <w:rsid w:val="00D4700B"/>
    <w:rsid w:val="00D471AF"/>
    <w:rsid w:val="00D47326"/>
    <w:rsid w:val="00D47871"/>
    <w:rsid w:val="00D47C4C"/>
    <w:rsid w:val="00D47EBC"/>
    <w:rsid w:val="00D47FCE"/>
    <w:rsid w:val="00D500BB"/>
    <w:rsid w:val="00D50229"/>
    <w:rsid w:val="00D5026B"/>
    <w:rsid w:val="00D50301"/>
    <w:rsid w:val="00D5054E"/>
    <w:rsid w:val="00D5088C"/>
    <w:rsid w:val="00D50CA6"/>
    <w:rsid w:val="00D50E5D"/>
    <w:rsid w:val="00D51490"/>
    <w:rsid w:val="00D514AB"/>
    <w:rsid w:val="00D51524"/>
    <w:rsid w:val="00D516CA"/>
    <w:rsid w:val="00D51710"/>
    <w:rsid w:val="00D517AE"/>
    <w:rsid w:val="00D517EB"/>
    <w:rsid w:val="00D51833"/>
    <w:rsid w:val="00D51900"/>
    <w:rsid w:val="00D51A3F"/>
    <w:rsid w:val="00D52049"/>
    <w:rsid w:val="00D521F0"/>
    <w:rsid w:val="00D5255C"/>
    <w:rsid w:val="00D5269C"/>
    <w:rsid w:val="00D528AA"/>
    <w:rsid w:val="00D52A1E"/>
    <w:rsid w:val="00D52B2D"/>
    <w:rsid w:val="00D52C0A"/>
    <w:rsid w:val="00D52D66"/>
    <w:rsid w:val="00D52DBE"/>
    <w:rsid w:val="00D52FAE"/>
    <w:rsid w:val="00D5303E"/>
    <w:rsid w:val="00D530B0"/>
    <w:rsid w:val="00D53647"/>
    <w:rsid w:val="00D53AB9"/>
    <w:rsid w:val="00D53AD3"/>
    <w:rsid w:val="00D53ADB"/>
    <w:rsid w:val="00D53D9E"/>
    <w:rsid w:val="00D53DDF"/>
    <w:rsid w:val="00D53DFA"/>
    <w:rsid w:val="00D53DFE"/>
    <w:rsid w:val="00D54443"/>
    <w:rsid w:val="00D54533"/>
    <w:rsid w:val="00D54544"/>
    <w:rsid w:val="00D5475A"/>
    <w:rsid w:val="00D54769"/>
    <w:rsid w:val="00D54A6D"/>
    <w:rsid w:val="00D54BA8"/>
    <w:rsid w:val="00D54C86"/>
    <w:rsid w:val="00D54CC9"/>
    <w:rsid w:val="00D54FF8"/>
    <w:rsid w:val="00D550EC"/>
    <w:rsid w:val="00D55264"/>
    <w:rsid w:val="00D554B2"/>
    <w:rsid w:val="00D55855"/>
    <w:rsid w:val="00D5598C"/>
    <w:rsid w:val="00D55AA3"/>
    <w:rsid w:val="00D55B4D"/>
    <w:rsid w:val="00D55DB5"/>
    <w:rsid w:val="00D55F8E"/>
    <w:rsid w:val="00D55FF7"/>
    <w:rsid w:val="00D56072"/>
    <w:rsid w:val="00D56358"/>
    <w:rsid w:val="00D56402"/>
    <w:rsid w:val="00D56488"/>
    <w:rsid w:val="00D56772"/>
    <w:rsid w:val="00D569F0"/>
    <w:rsid w:val="00D56AB6"/>
    <w:rsid w:val="00D56B38"/>
    <w:rsid w:val="00D56B43"/>
    <w:rsid w:val="00D56F23"/>
    <w:rsid w:val="00D57008"/>
    <w:rsid w:val="00D57163"/>
    <w:rsid w:val="00D571C5"/>
    <w:rsid w:val="00D5747B"/>
    <w:rsid w:val="00D57639"/>
    <w:rsid w:val="00D577A1"/>
    <w:rsid w:val="00D5780C"/>
    <w:rsid w:val="00D57987"/>
    <w:rsid w:val="00D579C8"/>
    <w:rsid w:val="00D57A72"/>
    <w:rsid w:val="00D57B15"/>
    <w:rsid w:val="00D57E33"/>
    <w:rsid w:val="00D57F86"/>
    <w:rsid w:val="00D57FB6"/>
    <w:rsid w:val="00D6003A"/>
    <w:rsid w:val="00D60112"/>
    <w:rsid w:val="00D60983"/>
    <w:rsid w:val="00D60A9A"/>
    <w:rsid w:val="00D60B77"/>
    <w:rsid w:val="00D610E4"/>
    <w:rsid w:val="00D610FF"/>
    <w:rsid w:val="00D61333"/>
    <w:rsid w:val="00D614E9"/>
    <w:rsid w:val="00D61507"/>
    <w:rsid w:val="00D616D7"/>
    <w:rsid w:val="00D61705"/>
    <w:rsid w:val="00D61D14"/>
    <w:rsid w:val="00D61D8C"/>
    <w:rsid w:val="00D61E0C"/>
    <w:rsid w:val="00D61F82"/>
    <w:rsid w:val="00D620C3"/>
    <w:rsid w:val="00D62150"/>
    <w:rsid w:val="00D622FE"/>
    <w:rsid w:val="00D624B1"/>
    <w:rsid w:val="00D625C1"/>
    <w:rsid w:val="00D6278F"/>
    <w:rsid w:val="00D629F8"/>
    <w:rsid w:val="00D62A3A"/>
    <w:rsid w:val="00D62CA6"/>
    <w:rsid w:val="00D62CB6"/>
    <w:rsid w:val="00D62DC6"/>
    <w:rsid w:val="00D63313"/>
    <w:rsid w:val="00D6344F"/>
    <w:rsid w:val="00D63669"/>
    <w:rsid w:val="00D63938"/>
    <w:rsid w:val="00D63982"/>
    <w:rsid w:val="00D63A7E"/>
    <w:rsid w:val="00D63C41"/>
    <w:rsid w:val="00D63E6F"/>
    <w:rsid w:val="00D63FFE"/>
    <w:rsid w:val="00D6405E"/>
    <w:rsid w:val="00D64141"/>
    <w:rsid w:val="00D64216"/>
    <w:rsid w:val="00D64482"/>
    <w:rsid w:val="00D64596"/>
    <w:rsid w:val="00D64661"/>
    <w:rsid w:val="00D6486E"/>
    <w:rsid w:val="00D64A98"/>
    <w:rsid w:val="00D64B98"/>
    <w:rsid w:val="00D6513F"/>
    <w:rsid w:val="00D653ED"/>
    <w:rsid w:val="00D65448"/>
    <w:rsid w:val="00D65758"/>
    <w:rsid w:val="00D658D0"/>
    <w:rsid w:val="00D65A1A"/>
    <w:rsid w:val="00D65AED"/>
    <w:rsid w:val="00D65B3B"/>
    <w:rsid w:val="00D66010"/>
    <w:rsid w:val="00D66068"/>
    <w:rsid w:val="00D660E5"/>
    <w:rsid w:val="00D6611B"/>
    <w:rsid w:val="00D66398"/>
    <w:rsid w:val="00D664DF"/>
    <w:rsid w:val="00D6653A"/>
    <w:rsid w:val="00D66698"/>
    <w:rsid w:val="00D667ED"/>
    <w:rsid w:val="00D668E0"/>
    <w:rsid w:val="00D669C6"/>
    <w:rsid w:val="00D66AB5"/>
    <w:rsid w:val="00D66C83"/>
    <w:rsid w:val="00D66C9A"/>
    <w:rsid w:val="00D66D4A"/>
    <w:rsid w:val="00D66F0F"/>
    <w:rsid w:val="00D66F15"/>
    <w:rsid w:val="00D6720D"/>
    <w:rsid w:val="00D67344"/>
    <w:rsid w:val="00D67355"/>
    <w:rsid w:val="00D67577"/>
    <w:rsid w:val="00D675C6"/>
    <w:rsid w:val="00D67972"/>
    <w:rsid w:val="00D67A2B"/>
    <w:rsid w:val="00D67BF5"/>
    <w:rsid w:val="00D67C10"/>
    <w:rsid w:val="00D67C69"/>
    <w:rsid w:val="00D67D6C"/>
    <w:rsid w:val="00D67E02"/>
    <w:rsid w:val="00D700FA"/>
    <w:rsid w:val="00D701F8"/>
    <w:rsid w:val="00D7077D"/>
    <w:rsid w:val="00D70B74"/>
    <w:rsid w:val="00D70BC8"/>
    <w:rsid w:val="00D70CCB"/>
    <w:rsid w:val="00D70F3B"/>
    <w:rsid w:val="00D70F8A"/>
    <w:rsid w:val="00D70FAA"/>
    <w:rsid w:val="00D7117A"/>
    <w:rsid w:val="00D71300"/>
    <w:rsid w:val="00D7156F"/>
    <w:rsid w:val="00D7163E"/>
    <w:rsid w:val="00D716E0"/>
    <w:rsid w:val="00D71797"/>
    <w:rsid w:val="00D717B8"/>
    <w:rsid w:val="00D71859"/>
    <w:rsid w:val="00D71B4D"/>
    <w:rsid w:val="00D71B6E"/>
    <w:rsid w:val="00D71BED"/>
    <w:rsid w:val="00D71D3A"/>
    <w:rsid w:val="00D71E1B"/>
    <w:rsid w:val="00D71EFE"/>
    <w:rsid w:val="00D72163"/>
    <w:rsid w:val="00D72211"/>
    <w:rsid w:val="00D7229F"/>
    <w:rsid w:val="00D7235F"/>
    <w:rsid w:val="00D727F7"/>
    <w:rsid w:val="00D7284C"/>
    <w:rsid w:val="00D72930"/>
    <w:rsid w:val="00D72971"/>
    <w:rsid w:val="00D72FA4"/>
    <w:rsid w:val="00D73079"/>
    <w:rsid w:val="00D73533"/>
    <w:rsid w:val="00D736C0"/>
    <w:rsid w:val="00D73703"/>
    <w:rsid w:val="00D738EC"/>
    <w:rsid w:val="00D73952"/>
    <w:rsid w:val="00D73BB2"/>
    <w:rsid w:val="00D73EA4"/>
    <w:rsid w:val="00D74037"/>
    <w:rsid w:val="00D74293"/>
    <w:rsid w:val="00D742CD"/>
    <w:rsid w:val="00D74330"/>
    <w:rsid w:val="00D74505"/>
    <w:rsid w:val="00D74595"/>
    <w:rsid w:val="00D745A8"/>
    <w:rsid w:val="00D74983"/>
    <w:rsid w:val="00D74EAF"/>
    <w:rsid w:val="00D74ED6"/>
    <w:rsid w:val="00D752CD"/>
    <w:rsid w:val="00D75556"/>
    <w:rsid w:val="00D75585"/>
    <w:rsid w:val="00D75616"/>
    <w:rsid w:val="00D7566C"/>
    <w:rsid w:val="00D75780"/>
    <w:rsid w:val="00D759BA"/>
    <w:rsid w:val="00D75A99"/>
    <w:rsid w:val="00D75BC7"/>
    <w:rsid w:val="00D75ECD"/>
    <w:rsid w:val="00D761AC"/>
    <w:rsid w:val="00D762F9"/>
    <w:rsid w:val="00D767E3"/>
    <w:rsid w:val="00D76A3F"/>
    <w:rsid w:val="00D76D16"/>
    <w:rsid w:val="00D76D4D"/>
    <w:rsid w:val="00D76D7A"/>
    <w:rsid w:val="00D76DF0"/>
    <w:rsid w:val="00D76EEE"/>
    <w:rsid w:val="00D76F0E"/>
    <w:rsid w:val="00D76F6A"/>
    <w:rsid w:val="00D77101"/>
    <w:rsid w:val="00D7713D"/>
    <w:rsid w:val="00D773C0"/>
    <w:rsid w:val="00D77679"/>
    <w:rsid w:val="00D77770"/>
    <w:rsid w:val="00D778A2"/>
    <w:rsid w:val="00D77BF0"/>
    <w:rsid w:val="00D77F7A"/>
    <w:rsid w:val="00D801CB"/>
    <w:rsid w:val="00D801D0"/>
    <w:rsid w:val="00D804EF"/>
    <w:rsid w:val="00D80643"/>
    <w:rsid w:val="00D806E6"/>
    <w:rsid w:val="00D806F6"/>
    <w:rsid w:val="00D8085D"/>
    <w:rsid w:val="00D808A2"/>
    <w:rsid w:val="00D808A8"/>
    <w:rsid w:val="00D80B4B"/>
    <w:rsid w:val="00D80D38"/>
    <w:rsid w:val="00D8110D"/>
    <w:rsid w:val="00D81362"/>
    <w:rsid w:val="00D81BA6"/>
    <w:rsid w:val="00D81C59"/>
    <w:rsid w:val="00D81D14"/>
    <w:rsid w:val="00D81DF9"/>
    <w:rsid w:val="00D81E97"/>
    <w:rsid w:val="00D81F61"/>
    <w:rsid w:val="00D81F98"/>
    <w:rsid w:val="00D82092"/>
    <w:rsid w:val="00D82675"/>
    <w:rsid w:val="00D8269E"/>
    <w:rsid w:val="00D826FB"/>
    <w:rsid w:val="00D82891"/>
    <w:rsid w:val="00D82AAA"/>
    <w:rsid w:val="00D82B46"/>
    <w:rsid w:val="00D82E8E"/>
    <w:rsid w:val="00D8323E"/>
    <w:rsid w:val="00D8335D"/>
    <w:rsid w:val="00D8336C"/>
    <w:rsid w:val="00D83470"/>
    <w:rsid w:val="00D834D1"/>
    <w:rsid w:val="00D83808"/>
    <w:rsid w:val="00D83BD8"/>
    <w:rsid w:val="00D83F20"/>
    <w:rsid w:val="00D83FFF"/>
    <w:rsid w:val="00D84036"/>
    <w:rsid w:val="00D841EE"/>
    <w:rsid w:val="00D845F9"/>
    <w:rsid w:val="00D84671"/>
    <w:rsid w:val="00D84704"/>
    <w:rsid w:val="00D847BC"/>
    <w:rsid w:val="00D849BE"/>
    <w:rsid w:val="00D84C0A"/>
    <w:rsid w:val="00D84C91"/>
    <w:rsid w:val="00D8543B"/>
    <w:rsid w:val="00D855B2"/>
    <w:rsid w:val="00D8567B"/>
    <w:rsid w:val="00D85792"/>
    <w:rsid w:val="00D8583A"/>
    <w:rsid w:val="00D85CE0"/>
    <w:rsid w:val="00D85D37"/>
    <w:rsid w:val="00D85D9A"/>
    <w:rsid w:val="00D85E3B"/>
    <w:rsid w:val="00D85F06"/>
    <w:rsid w:val="00D8625B"/>
    <w:rsid w:val="00D86707"/>
    <w:rsid w:val="00D86BED"/>
    <w:rsid w:val="00D86DDD"/>
    <w:rsid w:val="00D86F09"/>
    <w:rsid w:val="00D873C8"/>
    <w:rsid w:val="00D87560"/>
    <w:rsid w:val="00D876AD"/>
    <w:rsid w:val="00D877FB"/>
    <w:rsid w:val="00D8794A"/>
    <w:rsid w:val="00D879BF"/>
    <w:rsid w:val="00D87A91"/>
    <w:rsid w:val="00D87F1E"/>
    <w:rsid w:val="00D90245"/>
    <w:rsid w:val="00D9032F"/>
    <w:rsid w:val="00D904EC"/>
    <w:rsid w:val="00D907C3"/>
    <w:rsid w:val="00D90A22"/>
    <w:rsid w:val="00D90B3D"/>
    <w:rsid w:val="00D90B67"/>
    <w:rsid w:val="00D90C39"/>
    <w:rsid w:val="00D910FC"/>
    <w:rsid w:val="00D911E7"/>
    <w:rsid w:val="00D91641"/>
    <w:rsid w:val="00D91703"/>
    <w:rsid w:val="00D917E4"/>
    <w:rsid w:val="00D9187A"/>
    <w:rsid w:val="00D91BB2"/>
    <w:rsid w:val="00D92118"/>
    <w:rsid w:val="00D9228B"/>
    <w:rsid w:val="00D92302"/>
    <w:rsid w:val="00D9244F"/>
    <w:rsid w:val="00D925F2"/>
    <w:rsid w:val="00D92604"/>
    <w:rsid w:val="00D92686"/>
    <w:rsid w:val="00D92720"/>
    <w:rsid w:val="00D92853"/>
    <w:rsid w:val="00D92ACC"/>
    <w:rsid w:val="00D92AE9"/>
    <w:rsid w:val="00D92B4F"/>
    <w:rsid w:val="00D92C0F"/>
    <w:rsid w:val="00D92DC3"/>
    <w:rsid w:val="00D92E2A"/>
    <w:rsid w:val="00D92ED3"/>
    <w:rsid w:val="00D93229"/>
    <w:rsid w:val="00D93410"/>
    <w:rsid w:val="00D938C5"/>
    <w:rsid w:val="00D93974"/>
    <w:rsid w:val="00D939F5"/>
    <w:rsid w:val="00D93A84"/>
    <w:rsid w:val="00D93CD9"/>
    <w:rsid w:val="00D93D1F"/>
    <w:rsid w:val="00D93F55"/>
    <w:rsid w:val="00D93FD3"/>
    <w:rsid w:val="00D940BC"/>
    <w:rsid w:val="00D9427B"/>
    <w:rsid w:val="00D944F0"/>
    <w:rsid w:val="00D9475A"/>
    <w:rsid w:val="00D94CD7"/>
    <w:rsid w:val="00D95410"/>
    <w:rsid w:val="00D956B2"/>
    <w:rsid w:val="00D95840"/>
    <w:rsid w:val="00D95E55"/>
    <w:rsid w:val="00D95E9A"/>
    <w:rsid w:val="00D960D7"/>
    <w:rsid w:val="00D96172"/>
    <w:rsid w:val="00D962E2"/>
    <w:rsid w:val="00D96378"/>
    <w:rsid w:val="00D967D5"/>
    <w:rsid w:val="00D96A1E"/>
    <w:rsid w:val="00D96BF0"/>
    <w:rsid w:val="00D97360"/>
    <w:rsid w:val="00D976BF"/>
    <w:rsid w:val="00D97765"/>
    <w:rsid w:val="00D97D07"/>
    <w:rsid w:val="00D97E79"/>
    <w:rsid w:val="00D97FE3"/>
    <w:rsid w:val="00DA01EC"/>
    <w:rsid w:val="00DA023B"/>
    <w:rsid w:val="00DA04A5"/>
    <w:rsid w:val="00DA057E"/>
    <w:rsid w:val="00DA07BD"/>
    <w:rsid w:val="00DA089D"/>
    <w:rsid w:val="00DA08B2"/>
    <w:rsid w:val="00DA09F9"/>
    <w:rsid w:val="00DA0B39"/>
    <w:rsid w:val="00DA0CED"/>
    <w:rsid w:val="00DA0E8B"/>
    <w:rsid w:val="00DA0EA9"/>
    <w:rsid w:val="00DA0F1A"/>
    <w:rsid w:val="00DA1141"/>
    <w:rsid w:val="00DA135C"/>
    <w:rsid w:val="00DA13A2"/>
    <w:rsid w:val="00DA14BE"/>
    <w:rsid w:val="00DA176E"/>
    <w:rsid w:val="00DA1B4B"/>
    <w:rsid w:val="00DA1D5A"/>
    <w:rsid w:val="00DA23BA"/>
    <w:rsid w:val="00DA2459"/>
    <w:rsid w:val="00DA24DE"/>
    <w:rsid w:val="00DA25CE"/>
    <w:rsid w:val="00DA26C2"/>
    <w:rsid w:val="00DA28F8"/>
    <w:rsid w:val="00DA292A"/>
    <w:rsid w:val="00DA2F10"/>
    <w:rsid w:val="00DA31D5"/>
    <w:rsid w:val="00DA3217"/>
    <w:rsid w:val="00DA337C"/>
    <w:rsid w:val="00DA34B8"/>
    <w:rsid w:val="00DA3594"/>
    <w:rsid w:val="00DA3A34"/>
    <w:rsid w:val="00DA3C3A"/>
    <w:rsid w:val="00DA3C95"/>
    <w:rsid w:val="00DA3F95"/>
    <w:rsid w:val="00DA45DA"/>
    <w:rsid w:val="00DA47A6"/>
    <w:rsid w:val="00DA482C"/>
    <w:rsid w:val="00DA4B17"/>
    <w:rsid w:val="00DA4C06"/>
    <w:rsid w:val="00DA4CA5"/>
    <w:rsid w:val="00DA4F07"/>
    <w:rsid w:val="00DA501E"/>
    <w:rsid w:val="00DA50EF"/>
    <w:rsid w:val="00DA510D"/>
    <w:rsid w:val="00DA56E4"/>
    <w:rsid w:val="00DA56FA"/>
    <w:rsid w:val="00DA58C1"/>
    <w:rsid w:val="00DA5CD1"/>
    <w:rsid w:val="00DA604B"/>
    <w:rsid w:val="00DA6061"/>
    <w:rsid w:val="00DA61B6"/>
    <w:rsid w:val="00DA634C"/>
    <w:rsid w:val="00DA642A"/>
    <w:rsid w:val="00DA670D"/>
    <w:rsid w:val="00DA6836"/>
    <w:rsid w:val="00DA68BA"/>
    <w:rsid w:val="00DA6A03"/>
    <w:rsid w:val="00DA6AC3"/>
    <w:rsid w:val="00DA6E3B"/>
    <w:rsid w:val="00DA6EE4"/>
    <w:rsid w:val="00DA6FF5"/>
    <w:rsid w:val="00DA733C"/>
    <w:rsid w:val="00DA7470"/>
    <w:rsid w:val="00DA775F"/>
    <w:rsid w:val="00DA778A"/>
    <w:rsid w:val="00DA78E5"/>
    <w:rsid w:val="00DA7A06"/>
    <w:rsid w:val="00DA7D72"/>
    <w:rsid w:val="00DA7DC1"/>
    <w:rsid w:val="00DA7E30"/>
    <w:rsid w:val="00DB0390"/>
    <w:rsid w:val="00DB03E7"/>
    <w:rsid w:val="00DB058F"/>
    <w:rsid w:val="00DB06E6"/>
    <w:rsid w:val="00DB08DF"/>
    <w:rsid w:val="00DB0916"/>
    <w:rsid w:val="00DB09B6"/>
    <w:rsid w:val="00DB0B7F"/>
    <w:rsid w:val="00DB0BBA"/>
    <w:rsid w:val="00DB1257"/>
    <w:rsid w:val="00DB1281"/>
    <w:rsid w:val="00DB12F9"/>
    <w:rsid w:val="00DB1BE2"/>
    <w:rsid w:val="00DB1C76"/>
    <w:rsid w:val="00DB1CA1"/>
    <w:rsid w:val="00DB1D79"/>
    <w:rsid w:val="00DB1DB4"/>
    <w:rsid w:val="00DB20E8"/>
    <w:rsid w:val="00DB2346"/>
    <w:rsid w:val="00DB2638"/>
    <w:rsid w:val="00DB264A"/>
    <w:rsid w:val="00DB274E"/>
    <w:rsid w:val="00DB277C"/>
    <w:rsid w:val="00DB2C4D"/>
    <w:rsid w:val="00DB2C7D"/>
    <w:rsid w:val="00DB2D1B"/>
    <w:rsid w:val="00DB2DC0"/>
    <w:rsid w:val="00DB30D6"/>
    <w:rsid w:val="00DB3102"/>
    <w:rsid w:val="00DB32CB"/>
    <w:rsid w:val="00DB340F"/>
    <w:rsid w:val="00DB3473"/>
    <w:rsid w:val="00DB347E"/>
    <w:rsid w:val="00DB37BF"/>
    <w:rsid w:val="00DB3909"/>
    <w:rsid w:val="00DB3977"/>
    <w:rsid w:val="00DB3A47"/>
    <w:rsid w:val="00DB3AC9"/>
    <w:rsid w:val="00DB3BC7"/>
    <w:rsid w:val="00DB3C5A"/>
    <w:rsid w:val="00DB3EBD"/>
    <w:rsid w:val="00DB40E1"/>
    <w:rsid w:val="00DB4EDC"/>
    <w:rsid w:val="00DB4F5E"/>
    <w:rsid w:val="00DB5043"/>
    <w:rsid w:val="00DB5090"/>
    <w:rsid w:val="00DB5533"/>
    <w:rsid w:val="00DB5A73"/>
    <w:rsid w:val="00DB6036"/>
    <w:rsid w:val="00DB6150"/>
    <w:rsid w:val="00DB61C9"/>
    <w:rsid w:val="00DB6315"/>
    <w:rsid w:val="00DB646E"/>
    <w:rsid w:val="00DB6576"/>
    <w:rsid w:val="00DB660B"/>
    <w:rsid w:val="00DB6647"/>
    <w:rsid w:val="00DB66BB"/>
    <w:rsid w:val="00DB6794"/>
    <w:rsid w:val="00DB68AB"/>
    <w:rsid w:val="00DB69EF"/>
    <w:rsid w:val="00DB6C69"/>
    <w:rsid w:val="00DB6E29"/>
    <w:rsid w:val="00DB6E7F"/>
    <w:rsid w:val="00DB7117"/>
    <w:rsid w:val="00DB71DA"/>
    <w:rsid w:val="00DB7224"/>
    <w:rsid w:val="00DB72A1"/>
    <w:rsid w:val="00DB73C8"/>
    <w:rsid w:val="00DB7421"/>
    <w:rsid w:val="00DB7554"/>
    <w:rsid w:val="00DB755B"/>
    <w:rsid w:val="00DB75BF"/>
    <w:rsid w:val="00DB76CF"/>
    <w:rsid w:val="00DB7AF7"/>
    <w:rsid w:val="00DB7C53"/>
    <w:rsid w:val="00DC02F6"/>
    <w:rsid w:val="00DC0315"/>
    <w:rsid w:val="00DC070D"/>
    <w:rsid w:val="00DC0A31"/>
    <w:rsid w:val="00DC0A75"/>
    <w:rsid w:val="00DC0BA8"/>
    <w:rsid w:val="00DC0D69"/>
    <w:rsid w:val="00DC11E2"/>
    <w:rsid w:val="00DC150E"/>
    <w:rsid w:val="00DC199D"/>
    <w:rsid w:val="00DC1B99"/>
    <w:rsid w:val="00DC1D23"/>
    <w:rsid w:val="00DC2144"/>
    <w:rsid w:val="00DC22CB"/>
    <w:rsid w:val="00DC2356"/>
    <w:rsid w:val="00DC2533"/>
    <w:rsid w:val="00DC2756"/>
    <w:rsid w:val="00DC2A73"/>
    <w:rsid w:val="00DC2F10"/>
    <w:rsid w:val="00DC313E"/>
    <w:rsid w:val="00DC318C"/>
    <w:rsid w:val="00DC3284"/>
    <w:rsid w:val="00DC32BB"/>
    <w:rsid w:val="00DC35F8"/>
    <w:rsid w:val="00DC3772"/>
    <w:rsid w:val="00DC37A2"/>
    <w:rsid w:val="00DC38A5"/>
    <w:rsid w:val="00DC397F"/>
    <w:rsid w:val="00DC3A0A"/>
    <w:rsid w:val="00DC3AAC"/>
    <w:rsid w:val="00DC3D7F"/>
    <w:rsid w:val="00DC4782"/>
    <w:rsid w:val="00DC4B78"/>
    <w:rsid w:val="00DC4C82"/>
    <w:rsid w:val="00DC4CC6"/>
    <w:rsid w:val="00DC4D2C"/>
    <w:rsid w:val="00DC4E6A"/>
    <w:rsid w:val="00DC50CB"/>
    <w:rsid w:val="00DC5278"/>
    <w:rsid w:val="00DC544F"/>
    <w:rsid w:val="00DC5D83"/>
    <w:rsid w:val="00DC5DB1"/>
    <w:rsid w:val="00DC5E72"/>
    <w:rsid w:val="00DC5F16"/>
    <w:rsid w:val="00DC5F40"/>
    <w:rsid w:val="00DC6103"/>
    <w:rsid w:val="00DC62F4"/>
    <w:rsid w:val="00DC6459"/>
    <w:rsid w:val="00DC6501"/>
    <w:rsid w:val="00DC657B"/>
    <w:rsid w:val="00DC6658"/>
    <w:rsid w:val="00DC69D9"/>
    <w:rsid w:val="00DC6A05"/>
    <w:rsid w:val="00DC6BC0"/>
    <w:rsid w:val="00DC7232"/>
    <w:rsid w:val="00DC7405"/>
    <w:rsid w:val="00DC7621"/>
    <w:rsid w:val="00DC767B"/>
    <w:rsid w:val="00DC76B2"/>
    <w:rsid w:val="00DC784C"/>
    <w:rsid w:val="00DC7940"/>
    <w:rsid w:val="00DC7D7A"/>
    <w:rsid w:val="00DC7DCA"/>
    <w:rsid w:val="00DD00D9"/>
    <w:rsid w:val="00DD014F"/>
    <w:rsid w:val="00DD03DD"/>
    <w:rsid w:val="00DD074D"/>
    <w:rsid w:val="00DD08A3"/>
    <w:rsid w:val="00DD0926"/>
    <w:rsid w:val="00DD0A1E"/>
    <w:rsid w:val="00DD0B48"/>
    <w:rsid w:val="00DD0EDC"/>
    <w:rsid w:val="00DD0F09"/>
    <w:rsid w:val="00DD0FE1"/>
    <w:rsid w:val="00DD111A"/>
    <w:rsid w:val="00DD1155"/>
    <w:rsid w:val="00DD12C4"/>
    <w:rsid w:val="00DD167C"/>
    <w:rsid w:val="00DD1742"/>
    <w:rsid w:val="00DD179A"/>
    <w:rsid w:val="00DD1875"/>
    <w:rsid w:val="00DD1941"/>
    <w:rsid w:val="00DD1AA2"/>
    <w:rsid w:val="00DD1ACA"/>
    <w:rsid w:val="00DD1E7C"/>
    <w:rsid w:val="00DD1EBE"/>
    <w:rsid w:val="00DD204E"/>
    <w:rsid w:val="00DD2148"/>
    <w:rsid w:val="00DD22B0"/>
    <w:rsid w:val="00DD2349"/>
    <w:rsid w:val="00DD2371"/>
    <w:rsid w:val="00DD23D0"/>
    <w:rsid w:val="00DD24EC"/>
    <w:rsid w:val="00DD24FE"/>
    <w:rsid w:val="00DD2627"/>
    <w:rsid w:val="00DD2661"/>
    <w:rsid w:val="00DD26C5"/>
    <w:rsid w:val="00DD278A"/>
    <w:rsid w:val="00DD27A9"/>
    <w:rsid w:val="00DD28BF"/>
    <w:rsid w:val="00DD2AE8"/>
    <w:rsid w:val="00DD2CC1"/>
    <w:rsid w:val="00DD2EAA"/>
    <w:rsid w:val="00DD3081"/>
    <w:rsid w:val="00DD3096"/>
    <w:rsid w:val="00DD30AF"/>
    <w:rsid w:val="00DD32CF"/>
    <w:rsid w:val="00DD370C"/>
    <w:rsid w:val="00DD383E"/>
    <w:rsid w:val="00DD38A2"/>
    <w:rsid w:val="00DD3A7D"/>
    <w:rsid w:val="00DD3E05"/>
    <w:rsid w:val="00DD3E0B"/>
    <w:rsid w:val="00DD3E59"/>
    <w:rsid w:val="00DD42A5"/>
    <w:rsid w:val="00DD442E"/>
    <w:rsid w:val="00DD4581"/>
    <w:rsid w:val="00DD467E"/>
    <w:rsid w:val="00DD4A34"/>
    <w:rsid w:val="00DD4D1F"/>
    <w:rsid w:val="00DD4ED3"/>
    <w:rsid w:val="00DD4F0F"/>
    <w:rsid w:val="00DD4F20"/>
    <w:rsid w:val="00DD4F9F"/>
    <w:rsid w:val="00DD5106"/>
    <w:rsid w:val="00DD53FB"/>
    <w:rsid w:val="00DD5687"/>
    <w:rsid w:val="00DD5739"/>
    <w:rsid w:val="00DD5B83"/>
    <w:rsid w:val="00DD5E4D"/>
    <w:rsid w:val="00DD5FD8"/>
    <w:rsid w:val="00DD6164"/>
    <w:rsid w:val="00DD6379"/>
    <w:rsid w:val="00DD6577"/>
    <w:rsid w:val="00DD673F"/>
    <w:rsid w:val="00DD678A"/>
    <w:rsid w:val="00DD68B7"/>
    <w:rsid w:val="00DD6A87"/>
    <w:rsid w:val="00DD6AB5"/>
    <w:rsid w:val="00DD6CB4"/>
    <w:rsid w:val="00DD6CCB"/>
    <w:rsid w:val="00DD70FD"/>
    <w:rsid w:val="00DD712C"/>
    <w:rsid w:val="00DD73A0"/>
    <w:rsid w:val="00DD77F3"/>
    <w:rsid w:val="00DD791F"/>
    <w:rsid w:val="00DD7ACB"/>
    <w:rsid w:val="00DD7B49"/>
    <w:rsid w:val="00DD7BC1"/>
    <w:rsid w:val="00DD7C2F"/>
    <w:rsid w:val="00DD7DC8"/>
    <w:rsid w:val="00DE0782"/>
    <w:rsid w:val="00DE0848"/>
    <w:rsid w:val="00DE0867"/>
    <w:rsid w:val="00DE0D67"/>
    <w:rsid w:val="00DE1181"/>
    <w:rsid w:val="00DE1186"/>
    <w:rsid w:val="00DE1405"/>
    <w:rsid w:val="00DE15E4"/>
    <w:rsid w:val="00DE1668"/>
    <w:rsid w:val="00DE1691"/>
    <w:rsid w:val="00DE16CC"/>
    <w:rsid w:val="00DE1882"/>
    <w:rsid w:val="00DE1883"/>
    <w:rsid w:val="00DE1B06"/>
    <w:rsid w:val="00DE1B3F"/>
    <w:rsid w:val="00DE1BAA"/>
    <w:rsid w:val="00DE1BE1"/>
    <w:rsid w:val="00DE1C3A"/>
    <w:rsid w:val="00DE1CF5"/>
    <w:rsid w:val="00DE1D16"/>
    <w:rsid w:val="00DE1FD4"/>
    <w:rsid w:val="00DE2123"/>
    <w:rsid w:val="00DE21CE"/>
    <w:rsid w:val="00DE220D"/>
    <w:rsid w:val="00DE251A"/>
    <w:rsid w:val="00DE255B"/>
    <w:rsid w:val="00DE275C"/>
    <w:rsid w:val="00DE28E2"/>
    <w:rsid w:val="00DE2AA1"/>
    <w:rsid w:val="00DE2C7B"/>
    <w:rsid w:val="00DE2DBB"/>
    <w:rsid w:val="00DE331F"/>
    <w:rsid w:val="00DE3835"/>
    <w:rsid w:val="00DE3D53"/>
    <w:rsid w:val="00DE402E"/>
    <w:rsid w:val="00DE4205"/>
    <w:rsid w:val="00DE431A"/>
    <w:rsid w:val="00DE4605"/>
    <w:rsid w:val="00DE461C"/>
    <w:rsid w:val="00DE4637"/>
    <w:rsid w:val="00DE4CE9"/>
    <w:rsid w:val="00DE4D3A"/>
    <w:rsid w:val="00DE4DAD"/>
    <w:rsid w:val="00DE4DD3"/>
    <w:rsid w:val="00DE5002"/>
    <w:rsid w:val="00DE5406"/>
    <w:rsid w:val="00DE548A"/>
    <w:rsid w:val="00DE5552"/>
    <w:rsid w:val="00DE55BF"/>
    <w:rsid w:val="00DE5713"/>
    <w:rsid w:val="00DE5874"/>
    <w:rsid w:val="00DE5968"/>
    <w:rsid w:val="00DE5A99"/>
    <w:rsid w:val="00DE5B72"/>
    <w:rsid w:val="00DE5D44"/>
    <w:rsid w:val="00DE5E02"/>
    <w:rsid w:val="00DE5ED9"/>
    <w:rsid w:val="00DE61CE"/>
    <w:rsid w:val="00DE6471"/>
    <w:rsid w:val="00DE647D"/>
    <w:rsid w:val="00DE648A"/>
    <w:rsid w:val="00DE652D"/>
    <w:rsid w:val="00DE692A"/>
    <w:rsid w:val="00DE69AA"/>
    <w:rsid w:val="00DE6ADA"/>
    <w:rsid w:val="00DE6B3F"/>
    <w:rsid w:val="00DE6EA2"/>
    <w:rsid w:val="00DE6F83"/>
    <w:rsid w:val="00DE7063"/>
    <w:rsid w:val="00DE7095"/>
    <w:rsid w:val="00DE7630"/>
    <w:rsid w:val="00DE7754"/>
    <w:rsid w:val="00DE77A6"/>
    <w:rsid w:val="00DE7954"/>
    <w:rsid w:val="00DE7C61"/>
    <w:rsid w:val="00DE7CB1"/>
    <w:rsid w:val="00DF009C"/>
    <w:rsid w:val="00DF0208"/>
    <w:rsid w:val="00DF068A"/>
    <w:rsid w:val="00DF08EB"/>
    <w:rsid w:val="00DF0B21"/>
    <w:rsid w:val="00DF0B50"/>
    <w:rsid w:val="00DF0BDF"/>
    <w:rsid w:val="00DF0D7A"/>
    <w:rsid w:val="00DF0FBB"/>
    <w:rsid w:val="00DF1032"/>
    <w:rsid w:val="00DF10FA"/>
    <w:rsid w:val="00DF118D"/>
    <w:rsid w:val="00DF1A39"/>
    <w:rsid w:val="00DF1C3B"/>
    <w:rsid w:val="00DF1CBF"/>
    <w:rsid w:val="00DF2082"/>
    <w:rsid w:val="00DF2352"/>
    <w:rsid w:val="00DF2375"/>
    <w:rsid w:val="00DF2718"/>
    <w:rsid w:val="00DF297A"/>
    <w:rsid w:val="00DF2C54"/>
    <w:rsid w:val="00DF2CFB"/>
    <w:rsid w:val="00DF2E78"/>
    <w:rsid w:val="00DF3028"/>
    <w:rsid w:val="00DF31C7"/>
    <w:rsid w:val="00DF322B"/>
    <w:rsid w:val="00DF33EF"/>
    <w:rsid w:val="00DF34A3"/>
    <w:rsid w:val="00DF34F8"/>
    <w:rsid w:val="00DF368F"/>
    <w:rsid w:val="00DF3831"/>
    <w:rsid w:val="00DF3855"/>
    <w:rsid w:val="00DF3957"/>
    <w:rsid w:val="00DF3A18"/>
    <w:rsid w:val="00DF3D8B"/>
    <w:rsid w:val="00DF3F7E"/>
    <w:rsid w:val="00DF40DF"/>
    <w:rsid w:val="00DF44F5"/>
    <w:rsid w:val="00DF458E"/>
    <w:rsid w:val="00DF487B"/>
    <w:rsid w:val="00DF49C2"/>
    <w:rsid w:val="00DF49ED"/>
    <w:rsid w:val="00DF4B4C"/>
    <w:rsid w:val="00DF4F65"/>
    <w:rsid w:val="00DF4F75"/>
    <w:rsid w:val="00DF5139"/>
    <w:rsid w:val="00DF5253"/>
    <w:rsid w:val="00DF563B"/>
    <w:rsid w:val="00DF585B"/>
    <w:rsid w:val="00DF5979"/>
    <w:rsid w:val="00DF5BB0"/>
    <w:rsid w:val="00DF6292"/>
    <w:rsid w:val="00DF6365"/>
    <w:rsid w:val="00DF646A"/>
    <w:rsid w:val="00DF675F"/>
    <w:rsid w:val="00DF6A03"/>
    <w:rsid w:val="00DF6E58"/>
    <w:rsid w:val="00DF75ED"/>
    <w:rsid w:val="00DF76D2"/>
    <w:rsid w:val="00DF7A23"/>
    <w:rsid w:val="00DF7A8F"/>
    <w:rsid w:val="00DF7AAE"/>
    <w:rsid w:val="00DF7BD2"/>
    <w:rsid w:val="00DF7EA7"/>
    <w:rsid w:val="00E003D5"/>
    <w:rsid w:val="00E003E5"/>
    <w:rsid w:val="00E00496"/>
    <w:rsid w:val="00E00557"/>
    <w:rsid w:val="00E005B3"/>
    <w:rsid w:val="00E00702"/>
    <w:rsid w:val="00E0083A"/>
    <w:rsid w:val="00E00894"/>
    <w:rsid w:val="00E00938"/>
    <w:rsid w:val="00E00A9E"/>
    <w:rsid w:val="00E00CDC"/>
    <w:rsid w:val="00E00D53"/>
    <w:rsid w:val="00E00EF6"/>
    <w:rsid w:val="00E00F2B"/>
    <w:rsid w:val="00E011EF"/>
    <w:rsid w:val="00E014A3"/>
    <w:rsid w:val="00E015FD"/>
    <w:rsid w:val="00E01B75"/>
    <w:rsid w:val="00E0242B"/>
    <w:rsid w:val="00E0243F"/>
    <w:rsid w:val="00E02465"/>
    <w:rsid w:val="00E025D6"/>
    <w:rsid w:val="00E0265D"/>
    <w:rsid w:val="00E026BA"/>
    <w:rsid w:val="00E027C3"/>
    <w:rsid w:val="00E028BD"/>
    <w:rsid w:val="00E02AB6"/>
    <w:rsid w:val="00E02B38"/>
    <w:rsid w:val="00E02B4F"/>
    <w:rsid w:val="00E02E8B"/>
    <w:rsid w:val="00E03072"/>
    <w:rsid w:val="00E032C9"/>
    <w:rsid w:val="00E03502"/>
    <w:rsid w:val="00E03776"/>
    <w:rsid w:val="00E037AA"/>
    <w:rsid w:val="00E039EF"/>
    <w:rsid w:val="00E03E00"/>
    <w:rsid w:val="00E03F1A"/>
    <w:rsid w:val="00E04104"/>
    <w:rsid w:val="00E0412E"/>
    <w:rsid w:val="00E0428B"/>
    <w:rsid w:val="00E0437C"/>
    <w:rsid w:val="00E04BFC"/>
    <w:rsid w:val="00E04EC7"/>
    <w:rsid w:val="00E0531B"/>
    <w:rsid w:val="00E054F5"/>
    <w:rsid w:val="00E05629"/>
    <w:rsid w:val="00E056E6"/>
    <w:rsid w:val="00E056F1"/>
    <w:rsid w:val="00E0577E"/>
    <w:rsid w:val="00E057FE"/>
    <w:rsid w:val="00E05869"/>
    <w:rsid w:val="00E05981"/>
    <w:rsid w:val="00E05C73"/>
    <w:rsid w:val="00E05D1A"/>
    <w:rsid w:val="00E05D2F"/>
    <w:rsid w:val="00E0603C"/>
    <w:rsid w:val="00E06700"/>
    <w:rsid w:val="00E0687B"/>
    <w:rsid w:val="00E07092"/>
    <w:rsid w:val="00E07130"/>
    <w:rsid w:val="00E0718E"/>
    <w:rsid w:val="00E071B8"/>
    <w:rsid w:val="00E07229"/>
    <w:rsid w:val="00E07259"/>
    <w:rsid w:val="00E07920"/>
    <w:rsid w:val="00E07A25"/>
    <w:rsid w:val="00E07A5E"/>
    <w:rsid w:val="00E07A69"/>
    <w:rsid w:val="00E07D35"/>
    <w:rsid w:val="00E07E10"/>
    <w:rsid w:val="00E07E2A"/>
    <w:rsid w:val="00E07EB4"/>
    <w:rsid w:val="00E07F4C"/>
    <w:rsid w:val="00E100CF"/>
    <w:rsid w:val="00E100F8"/>
    <w:rsid w:val="00E1014E"/>
    <w:rsid w:val="00E101C7"/>
    <w:rsid w:val="00E10215"/>
    <w:rsid w:val="00E104A7"/>
    <w:rsid w:val="00E105A9"/>
    <w:rsid w:val="00E10862"/>
    <w:rsid w:val="00E10923"/>
    <w:rsid w:val="00E109B5"/>
    <w:rsid w:val="00E10CF2"/>
    <w:rsid w:val="00E10E94"/>
    <w:rsid w:val="00E10F6C"/>
    <w:rsid w:val="00E11076"/>
    <w:rsid w:val="00E11263"/>
    <w:rsid w:val="00E114F0"/>
    <w:rsid w:val="00E11937"/>
    <w:rsid w:val="00E11A53"/>
    <w:rsid w:val="00E11CA9"/>
    <w:rsid w:val="00E11EB9"/>
    <w:rsid w:val="00E11F19"/>
    <w:rsid w:val="00E12366"/>
    <w:rsid w:val="00E125A6"/>
    <w:rsid w:val="00E125CE"/>
    <w:rsid w:val="00E127F1"/>
    <w:rsid w:val="00E12914"/>
    <w:rsid w:val="00E12C78"/>
    <w:rsid w:val="00E12EC4"/>
    <w:rsid w:val="00E12FB1"/>
    <w:rsid w:val="00E130EA"/>
    <w:rsid w:val="00E131C5"/>
    <w:rsid w:val="00E13498"/>
    <w:rsid w:val="00E135E1"/>
    <w:rsid w:val="00E135E6"/>
    <w:rsid w:val="00E1369A"/>
    <w:rsid w:val="00E13813"/>
    <w:rsid w:val="00E1398D"/>
    <w:rsid w:val="00E13AA5"/>
    <w:rsid w:val="00E13C09"/>
    <w:rsid w:val="00E13F92"/>
    <w:rsid w:val="00E142D4"/>
    <w:rsid w:val="00E14541"/>
    <w:rsid w:val="00E148F7"/>
    <w:rsid w:val="00E148FC"/>
    <w:rsid w:val="00E14A2B"/>
    <w:rsid w:val="00E14C15"/>
    <w:rsid w:val="00E14C7A"/>
    <w:rsid w:val="00E1506A"/>
    <w:rsid w:val="00E157C8"/>
    <w:rsid w:val="00E15857"/>
    <w:rsid w:val="00E15860"/>
    <w:rsid w:val="00E158EB"/>
    <w:rsid w:val="00E158EF"/>
    <w:rsid w:val="00E15A59"/>
    <w:rsid w:val="00E15E37"/>
    <w:rsid w:val="00E16179"/>
    <w:rsid w:val="00E1627F"/>
    <w:rsid w:val="00E16362"/>
    <w:rsid w:val="00E163B9"/>
    <w:rsid w:val="00E16723"/>
    <w:rsid w:val="00E16940"/>
    <w:rsid w:val="00E16D0C"/>
    <w:rsid w:val="00E16E4A"/>
    <w:rsid w:val="00E16F9C"/>
    <w:rsid w:val="00E170D0"/>
    <w:rsid w:val="00E17174"/>
    <w:rsid w:val="00E1719F"/>
    <w:rsid w:val="00E17451"/>
    <w:rsid w:val="00E17554"/>
    <w:rsid w:val="00E17743"/>
    <w:rsid w:val="00E17B62"/>
    <w:rsid w:val="00E20093"/>
    <w:rsid w:val="00E2041B"/>
    <w:rsid w:val="00E20496"/>
    <w:rsid w:val="00E20593"/>
    <w:rsid w:val="00E20AAC"/>
    <w:rsid w:val="00E20CDB"/>
    <w:rsid w:val="00E21090"/>
    <w:rsid w:val="00E21181"/>
    <w:rsid w:val="00E213C5"/>
    <w:rsid w:val="00E213E4"/>
    <w:rsid w:val="00E217EB"/>
    <w:rsid w:val="00E21A5F"/>
    <w:rsid w:val="00E21BCE"/>
    <w:rsid w:val="00E21ED0"/>
    <w:rsid w:val="00E21F1B"/>
    <w:rsid w:val="00E21F85"/>
    <w:rsid w:val="00E22019"/>
    <w:rsid w:val="00E22652"/>
    <w:rsid w:val="00E2274A"/>
    <w:rsid w:val="00E22948"/>
    <w:rsid w:val="00E22DB1"/>
    <w:rsid w:val="00E22E06"/>
    <w:rsid w:val="00E22FAE"/>
    <w:rsid w:val="00E23064"/>
    <w:rsid w:val="00E2315D"/>
    <w:rsid w:val="00E23207"/>
    <w:rsid w:val="00E23510"/>
    <w:rsid w:val="00E236CE"/>
    <w:rsid w:val="00E23766"/>
    <w:rsid w:val="00E237D2"/>
    <w:rsid w:val="00E23966"/>
    <w:rsid w:val="00E23A12"/>
    <w:rsid w:val="00E23B8D"/>
    <w:rsid w:val="00E23BA4"/>
    <w:rsid w:val="00E23BB6"/>
    <w:rsid w:val="00E23CF4"/>
    <w:rsid w:val="00E23E6F"/>
    <w:rsid w:val="00E2405B"/>
    <w:rsid w:val="00E24146"/>
    <w:rsid w:val="00E24520"/>
    <w:rsid w:val="00E245F9"/>
    <w:rsid w:val="00E24659"/>
    <w:rsid w:val="00E249D4"/>
    <w:rsid w:val="00E24A36"/>
    <w:rsid w:val="00E24B98"/>
    <w:rsid w:val="00E24C77"/>
    <w:rsid w:val="00E24C9E"/>
    <w:rsid w:val="00E24DD5"/>
    <w:rsid w:val="00E24E74"/>
    <w:rsid w:val="00E24F21"/>
    <w:rsid w:val="00E24F60"/>
    <w:rsid w:val="00E25178"/>
    <w:rsid w:val="00E251ED"/>
    <w:rsid w:val="00E252B9"/>
    <w:rsid w:val="00E252FD"/>
    <w:rsid w:val="00E255B8"/>
    <w:rsid w:val="00E25736"/>
    <w:rsid w:val="00E258CD"/>
    <w:rsid w:val="00E25913"/>
    <w:rsid w:val="00E25B64"/>
    <w:rsid w:val="00E26158"/>
    <w:rsid w:val="00E262A1"/>
    <w:rsid w:val="00E26401"/>
    <w:rsid w:val="00E26923"/>
    <w:rsid w:val="00E26DA1"/>
    <w:rsid w:val="00E27168"/>
    <w:rsid w:val="00E271C3"/>
    <w:rsid w:val="00E272A1"/>
    <w:rsid w:val="00E272D5"/>
    <w:rsid w:val="00E273BC"/>
    <w:rsid w:val="00E27805"/>
    <w:rsid w:val="00E278CB"/>
    <w:rsid w:val="00E27C52"/>
    <w:rsid w:val="00E27C64"/>
    <w:rsid w:val="00E27FB5"/>
    <w:rsid w:val="00E30014"/>
    <w:rsid w:val="00E3002D"/>
    <w:rsid w:val="00E3014F"/>
    <w:rsid w:val="00E30380"/>
    <w:rsid w:val="00E303A4"/>
    <w:rsid w:val="00E304E9"/>
    <w:rsid w:val="00E30593"/>
    <w:rsid w:val="00E3094D"/>
    <w:rsid w:val="00E30974"/>
    <w:rsid w:val="00E309A6"/>
    <w:rsid w:val="00E30A85"/>
    <w:rsid w:val="00E30AFE"/>
    <w:rsid w:val="00E30B37"/>
    <w:rsid w:val="00E30B7B"/>
    <w:rsid w:val="00E30BE0"/>
    <w:rsid w:val="00E30CBE"/>
    <w:rsid w:val="00E30D50"/>
    <w:rsid w:val="00E30D8B"/>
    <w:rsid w:val="00E30E3D"/>
    <w:rsid w:val="00E31018"/>
    <w:rsid w:val="00E31071"/>
    <w:rsid w:val="00E31202"/>
    <w:rsid w:val="00E315D4"/>
    <w:rsid w:val="00E316F1"/>
    <w:rsid w:val="00E31773"/>
    <w:rsid w:val="00E31954"/>
    <w:rsid w:val="00E319C8"/>
    <w:rsid w:val="00E31B0C"/>
    <w:rsid w:val="00E31EB2"/>
    <w:rsid w:val="00E32348"/>
    <w:rsid w:val="00E32512"/>
    <w:rsid w:val="00E325D9"/>
    <w:rsid w:val="00E32CFD"/>
    <w:rsid w:val="00E32F1B"/>
    <w:rsid w:val="00E32F9B"/>
    <w:rsid w:val="00E32FC8"/>
    <w:rsid w:val="00E32FD3"/>
    <w:rsid w:val="00E33014"/>
    <w:rsid w:val="00E330E1"/>
    <w:rsid w:val="00E33281"/>
    <w:rsid w:val="00E33555"/>
    <w:rsid w:val="00E335E9"/>
    <w:rsid w:val="00E3360D"/>
    <w:rsid w:val="00E33715"/>
    <w:rsid w:val="00E33783"/>
    <w:rsid w:val="00E33948"/>
    <w:rsid w:val="00E3394A"/>
    <w:rsid w:val="00E33BFC"/>
    <w:rsid w:val="00E33C07"/>
    <w:rsid w:val="00E33D8C"/>
    <w:rsid w:val="00E33DF1"/>
    <w:rsid w:val="00E33F45"/>
    <w:rsid w:val="00E33F7A"/>
    <w:rsid w:val="00E3402F"/>
    <w:rsid w:val="00E34030"/>
    <w:rsid w:val="00E340CD"/>
    <w:rsid w:val="00E340EA"/>
    <w:rsid w:val="00E34333"/>
    <w:rsid w:val="00E3434B"/>
    <w:rsid w:val="00E344DE"/>
    <w:rsid w:val="00E34892"/>
    <w:rsid w:val="00E348CC"/>
    <w:rsid w:val="00E34959"/>
    <w:rsid w:val="00E34B88"/>
    <w:rsid w:val="00E34B9E"/>
    <w:rsid w:val="00E34BC9"/>
    <w:rsid w:val="00E34DCA"/>
    <w:rsid w:val="00E35311"/>
    <w:rsid w:val="00E35323"/>
    <w:rsid w:val="00E35568"/>
    <w:rsid w:val="00E355FD"/>
    <w:rsid w:val="00E356FB"/>
    <w:rsid w:val="00E35748"/>
    <w:rsid w:val="00E35931"/>
    <w:rsid w:val="00E35973"/>
    <w:rsid w:val="00E35A1F"/>
    <w:rsid w:val="00E35B3E"/>
    <w:rsid w:val="00E35B5A"/>
    <w:rsid w:val="00E35D34"/>
    <w:rsid w:val="00E35DF0"/>
    <w:rsid w:val="00E35FCE"/>
    <w:rsid w:val="00E361BC"/>
    <w:rsid w:val="00E363FA"/>
    <w:rsid w:val="00E3684D"/>
    <w:rsid w:val="00E36E63"/>
    <w:rsid w:val="00E36F77"/>
    <w:rsid w:val="00E37054"/>
    <w:rsid w:val="00E37109"/>
    <w:rsid w:val="00E371F2"/>
    <w:rsid w:val="00E3720B"/>
    <w:rsid w:val="00E3721A"/>
    <w:rsid w:val="00E37630"/>
    <w:rsid w:val="00E377EC"/>
    <w:rsid w:val="00E37819"/>
    <w:rsid w:val="00E37C22"/>
    <w:rsid w:val="00E37EC1"/>
    <w:rsid w:val="00E37F25"/>
    <w:rsid w:val="00E4055C"/>
    <w:rsid w:val="00E405A5"/>
    <w:rsid w:val="00E405E0"/>
    <w:rsid w:val="00E405F1"/>
    <w:rsid w:val="00E40717"/>
    <w:rsid w:val="00E4073D"/>
    <w:rsid w:val="00E407AE"/>
    <w:rsid w:val="00E40824"/>
    <w:rsid w:val="00E40B90"/>
    <w:rsid w:val="00E41270"/>
    <w:rsid w:val="00E412CC"/>
    <w:rsid w:val="00E4133B"/>
    <w:rsid w:val="00E41349"/>
    <w:rsid w:val="00E41468"/>
    <w:rsid w:val="00E41582"/>
    <w:rsid w:val="00E416AD"/>
    <w:rsid w:val="00E418E5"/>
    <w:rsid w:val="00E418EE"/>
    <w:rsid w:val="00E419B6"/>
    <w:rsid w:val="00E41A07"/>
    <w:rsid w:val="00E41C14"/>
    <w:rsid w:val="00E41D33"/>
    <w:rsid w:val="00E41DB5"/>
    <w:rsid w:val="00E41E5C"/>
    <w:rsid w:val="00E4214F"/>
    <w:rsid w:val="00E4227E"/>
    <w:rsid w:val="00E422F1"/>
    <w:rsid w:val="00E42614"/>
    <w:rsid w:val="00E42685"/>
    <w:rsid w:val="00E426EF"/>
    <w:rsid w:val="00E4276F"/>
    <w:rsid w:val="00E42859"/>
    <w:rsid w:val="00E42B05"/>
    <w:rsid w:val="00E42BCC"/>
    <w:rsid w:val="00E42C46"/>
    <w:rsid w:val="00E42CDB"/>
    <w:rsid w:val="00E431DD"/>
    <w:rsid w:val="00E432A7"/>
    <w:rsid w:val="00E433F1"/>
    <w:rsid w:val="00E43434"/>
    <w:rsid w:val="00E4382E"/>
    <w:rsid w:val="00E43876"/>
    <w:rsid w:val="00E43A91"/>
    <w:rsid w:val="00E43CAD"/>
    <w:rsid w:val="00E43D1D"/>
    <w:rsid w:val="00E43E70"/>
    <w:rsid w:val="00E4414D"/>
    <w:rsid w:val="00E441B0"/>
    <w:rsid w:val="00E443F2"/>
    <w:rsid w:val="00E44471"/>
    <w:rsid w:val="00E444E3"/>
    <w:rsid w:val="00E44529"/>
    <w:rsid w:val="00E44544"/>
    <w:rsid w:val="00E44957"/>
    <w:rsid w:val="00E449A9"/>
    <w:rsid w:val="00E44E12"/>
    <w:rsid w:val="00E44EA5"/>
    <w:rsid w:val="00E45394"/>
    <w:rsid w:val="00E4548E"/>
    <w:rsid w:val="00E45561"/>
    <w:rsid w:val="00E45664"/>
    <w:rsid w:val="00E45944"/>
    <w:rsid w:val="00E45C52"/>
    <w:rsid w:val="00E45C59"/>
    <w:rsid w:val="00E45DF1"/>
    <w:rsid w:val="00E45E93"/>
    <w:rsid w:val="00E46338"/>
    <w:rsid w:val="00E465EE"/>
    <w:rsid w:val="00E46965"/>
    <w:rsid w:val="00E46AB8"/>
    <w:rsid w:val="00E46D85"/>
    <w:rsid w:val="00E46DE7"/>
    <w:rsid w:val="00E47064"/>
    <w:rsid w:val="00E4710F"/>
    <w:rsid w:val="00E4727A"/>
    <w:rsid w:val="00E4768C"/>
    <w:rsid w:val="00E476D3"/>
    <w:rsid w:val="00E47796"/>
    <w:rsid w:val="00E47856"/>
    <w:rsid w:val="00E47E48"/>
    <w:rsid w:val="00E500FA"/>
    <w:rsid w:val="00E50121"/>
    <w:rsid w:val="00E501AE"/>
    <w:rsid w:val="00E501EF"/>
    <w:rsid w:val="00E50552"/>
    <w:rsid w:val="00E50BD9"/>
    <w:rsid w:val="00E50C06"/>
    <w:rsid w:val="00E50D64"/>
    <w:rsid w:val="00E50EAB"/>
    <w:rsid w:val="00E51086"/>
    <w:rsid w:val="00E5116B"/>
    <w:rsid w:val="00E51181"/>
    <w:rsid w:val="00E5126B"/>
    <w:rsid w:val="00E514CE"/>
    <w:rsid w:val="00E515D0"/>
    <w:rsid w:val="00E516DF"/>
    <w:rsid w:val="00E5176B"/>
    <w:rsid w:val="00E51793"/>
    <w:rsid w:val="00E5186B"/>
    <w:rsid w:val="00E51956"/>
    <w:rsid w:val="00E519FC"/>
    <w:rsid w:val="00E51A4D"/>
    <w:rsid w:val="00E51B53"/>
    <w:rsid w:val="00E51D41"/>
    <w:rsid w:val="00E51EF5"/>
    <w:rsid w:val="00E51F26"/>
    <w:rsid w:val="00E51FFD"/>
    <w:rsid w:val="00E5244B"/>
    <w:rsid w:val="00E525BC"/>
    <w:rsid w:val="00E526F1"/>
    <w:rsid w:val="00E52739"/>
    <w:rsid w:val="00E528B0"/>
    <w:rsid w:val="00E528EB"/>
    <w:rsid w:val="00E53065"/>
    <w:rsid w:val="00E5307B"/>
    <w:rsid w:val="00E5316B"/>
    <w:rsid w:val="00E53190"/>
    <w:rsid w:val="00E5319A"/>
    <w:rsid w:val="00E53418"/>
    <w:rsid w:val="00E534F2"/>
    <w:rsid w:val="00E53617"/>
    <w:rsid w:val="00E537BE"/>
    <w:rsid w:val="00E5383F"/>
    <w:rsid w:val="00E538F2"/>
    <w:rsid w:val="00E539EE"/>
    <w:rsid w:val="00E53AB1"/>
    <w:rsid w:val="00E53CFB"/>
    <w:rsid w:val="00E53ED3"/>
    <w:rsid w:val="00E545BF"/>
    <w:rsid w:val="00E54A23"/>
    <w:rsid w:val="00E54B24"/>
    <w:rsid w:val="00E54BCF"/>
    <w:rsid w:val="00E54BE8"/>
    <w:rsid w:val="00E54C5C"/>
    <w:rsid w:val="00E54E48"/>
    <w:rsid w:val="00E54E58"/>
    <w:rsid w:val="00E54F48"/>
    <w:rsid w:val="00E5541A"/>
    <w:rsid w:val="00E5584C"/>
    <w:rsid w:val="00E55875"/>
    <w:rsid w:val="00E559B0"/>
    <w:rsid w:val="00E559D0"/>
    <w:rsid w:val="00E55A13"/>
    <w:rsid w:val="00E55A58"/>
    <w:rsid w:val="00E55AF8"/>
    <w:rsid w:val="00E55B0D"/>
    <w:rsid w:val="00E55B38"/>
    <w:rsid w:val="00E55C07"/>
    <w:rsid w:val="00E55E7C"/>
    <w:rsid w:val="00E56048"/>
    <w:rsid w:val="00E563D6"/>
    <w:rsid w:val="00E564EA"/>
    <w:rsid w:val="00E56667"/>
    <w:rsid w:val="00E566A4"/>
    <w:rsid w:val="00E569AF"/>
    <w:rsid w:val="00E56B8F"/>
    <w:rsid w:val="00E56D6D"/>
    <w:rsid w:val="00E56DBC"/>
    <w:rsid w:val="00E56E3B"/>
    <w:rsid w:val="00E570C0"/>
    <w:rsid w:val="00E571F3"/>
    <w:rsid w:val="00E5739C"/>
    <w:rsid w:val="00E57592"/>
    <w:rsid w:val="00E57652"/>
    <w:rsid w:val="00E5765D"/>
    <w:rsid w:val="00E579BE"/>
    <w:rsid w:val="00E57ACE"/>
    <w:rsid w:val="00E57B89"/>
    <w:rsid w:val="00E57E69"/>
    <w:rsid w:val="00E57FCD"/>
    <w:rsid w:val="00E604A3"/>
    <w:rsid w:val="00E604BE"/>
    <w:rsid w:val="00E605ED"/>
    <w:rsid w:val="00E60D41"/>
    <w:rsid w:val="00E60EC1"/>
    <w:rsid w:val="00E60EC2"/>
    <w:rsid w:val="00E60F84"/>
    <w:rsid w:val="00E61329"/>
    <w:rsid w:val="00E614B4"/>
    <w:rsid w:val="00E61570"/>
    <w:rsid w:val="00E616E7"/>
    <w:rsid w:val="00E61848"/>
    <w:rsid w:val="00E61856"/>
    <w:rsid w:val="00E61A70"/>
    <w:rsid w:val="00E61A8F"/>
    <w:rsid w:val="00E61ADA"/>
    <w:rsid w:val="00E61EA9"/>
    <w:rsid w:val="00E6207F"/>
    <w:rsid w:val="00E620F3"/>
    <w:rsid w:val="00E62251"/>
    <w:rsid w:val="00E62255"/>
    <w:rsid w:val="00E6229A"/>
    <w:rsid w:val="00E6265C"/>
    <w:rsid w:val="00E629AF"/>
    <w:rsid w:val="00E62D53"/>
    <w:rsid w:val="00E62EFA"/>
    <w:rsid w:val="00E63002"/>
    <w:rsid w:val="00E63166"/>
    <w:rsid w:val="00E6355B"/>
    <w:rsid w:val="00E63666"/>
    <w:rsid w:val="00E63C3F"/>
    <w:rsid w:val="00E63C8F"/>
    <w:rsid w:val="00E63E17"/>
    <w:rsid w:val="00E63F11"/>
    <w:rsid w:val="00E641F7"/>
    <w:rsid w:val="00E6459D"/>
    <w:rsid w:val="00E64604"/>
    <w:rsid w:val="00E646DF"/>
    <w:rsid w:val="00E6470F"/>
    <w:rsid w:val="00E6491E"/>
    <w:rsid w:val="00E64A12"/>
    <w:rsid w:val="00E64BD3"/>
    <w:rsid w:val="00E64F04"/>
    <w:rsid w:val="00E650C8"/>
    <w:rsid w:val="00E65147"/>
    <w:rsid w:val="00E652C5"/>
    <w:rsid w:val="00E65349"/>
    <w:rsid w:val="00E659BF"/>
    <w:rsid w:val="00E65AFD"/>
    <w:rsid w:val="00E65DA9"/>
    <w:rsid w:val="00E65E3E"/>
    <w:rsid w:val="00E6607D"/>
    <w:rsid w:val="00E6621A"/>
    <w:rsid w:val="00E66263"/>
    <w:rsid w:val="00E663A0"/>
    <w:rsid w:val="00E66966"/>
    <w:rsid w:val="00E66AA2"/>
    <w:rsid w:val="00E66D6D"/>
    <w:rsid w:val="00E66F70"/>
    <w:rsid w:val="00E67362"/>
    <w:rsid w:val="00E674E1"/>
    <w:rsid w:val="00E6761D"/>
    <w:rsid w:val="00E67637"/>
    <w:rsid w:val="00E67AEB"/>
    <w:rsid w:val="00E67AF7"/>
    <w:rsid w:val="00E7009B"/>
    <w:rsid w:val="00E702A3"/>
    <w:rsid w:val="00E70643"/>
    <w:rsid w:val="00E70675"/>
    <w:rsid w:val="00E70887"/>
    <w:rsid w:val="00E708BC"/>
    <w:rsid w:val="00E70982"/>
    <w:rsid w:val="00E70996"/>
    <w:rsid w:val="00E70C31"/>
    <w:rsid w:val="00E70E94"/>
    <w:rsid w:val="00E70EE8"/>
    <w:rsid w:val="00E70F76"/>
    <w:rsid w:val="00E710BB"/>
    <w:rsid w:val="00E713BE"/>
    <w:rsid w:val="00E714E4"/>
    <w:rsid w:val="00E722F7"/>
    <w:rsid w:val="00E72403"/>
    <w:rsid w:val="00E724D7"/>
    <w:rsid w:val="00E7262A"/>
    <w:rsid w:val="00E72A8B"/>
    <w:rsid w:val="00E72D9C"/>
    <w:rsid w:val="00E72F37"/>
    <w:rsid w:val="00E73461"/>
    <w:rsid w:val="00E73636"/>
    <w:rsid w:val="00E73670"/>
    <w:rsid w:val="00E7373B"/>
    <w:rsid w:val="00E73A57"/>
    <w:rsid w:val="00E73A8E"/>
    <w:rsid w:val="00E73AE3"/>
    <w:rsid w:val="00E73D91"/>
    <w:rsid w:val="00E73E50"/>
    <w:rsid w:val="00E74029"/>
    <w:rsid w:val="00E74082"/>
    <w:rsid w:val="00E74090"/>
    <w:rsid w:val="00E7418D"/>
    <w:rsid w:val="00E74251"/>
    <w:rsid w:val="00E74900"/>
    <w:rsid w:val="00E749C3"/>
    <w:rsid w:val="00E749E8"/>
    <w:rsid w:val="00E74C51"/>
    <w:rsid w:val="00E74FC4"/>
    <w:rsid w:val="00E751DC"/>
    <w:rsid w:val="00E7524D"/>
    <w:rsid w:val="00E75339"/>
    <w:rsid w:val="00E7559E"/>
    <w:rsid w:val="00E75662"/>
    <w:rsid w:val="00E7575C"/>
    <w:rsid w:val="00E75AB0"/>
    <w:rsid w:val="00E75B21"/>
    <w:rsid w:val="00E75B3A"/>
    <w:rsid w:val="00E75C0F"/>
    <w:rsid w:val="00E75CE5"/>
    <w:rsid w:val="00E75EFB"/>
    <w:rsid w:val="00E7608B"/>
    <w:rsid w:val="00E760A3"/>
    <w:rsid w:val="00E760E3"/>
    <w:rsid w:val="00E7614A"/>
    <w:rsid w:val="00E764C4"/>
    <w:rsid w:val="00E7659B"/>
    <w:rsid w:val="00E765EF"/>
    <w:rsid w:val="00E767E7"/>
    <w:rsid w:val="00E76851"/>
    <w:rsid w:val="00E76C1A"/>
    <w:rsid w:val="00E76FED"/>
    <w:rsid w:val="00E770EC"/>
    <w:rsid w:val="00E771C2"/>
    <w:rsid w:val="00E7724D"/>
    <w:rsid w:val="00E7730F"/>
    <w:rsid w:val="00E7732F"/>
    <w:rsid w:val="00E7742A"/>
    <w:rsid w:val="00E77667"/>
    <w:rsid w:val="00E7766E"/>
    <w:rsid w:val="00E77B96"/>
    <w:rsid w:val="00E77BDB"/>
    <w:rsid w:val="00E80143"/>
    <w:rsid w:val="00E80319"/>
    <w:rsid w:val="00E80980"/>
    <w:rsid w:val="00E80B86"/>
    <w:rsid w:val="00E80C4C"/>
    <w:rsid w:val="00E80CB1"/>
    <w:rsid w:val="00E80CD5"/>
    <w:rsid w:val="00E80D0D"/>
    <w:rsid w:val="00E80FB8"/>
    <w:rsid w:val="00E8117E"/>
    <w:rsid w:val="00E81750"/>
    <w:rsid w:val="00E817E7"/>
    <w:rsid w:val="00E81BD0"/>
    <w:rsid w:val="00E81ED0"/>
    <w:rsid w:val="00E823D8"/>
    <w:rsid w:val="00E8254A"/>
    <w:rsid w:val="00E82A43"/>
    <w:rsid w:val="00E82C75"/>
    <w:rsid w:val="00E82CF1"/>
    <w:rsid w:val="00E82E8A"/>
    <w:rsid w:val="00E82ECC"/>
    <w:rsid w:val="00E82EEB"/>
    <w:rsid w:val="00E830DD"/>
    <w:rsid w:val="00E831C4"/>
    <w:rsid w:val="00E836D0"/>
    <w:rsid w:val="00E8392F"/>
    <w:rsid w:val="00E83A89"/>
    <w:rsid w:val="00E83C30"/>
    <w:rsid w:val="00E83E19"/>
    <w:rsid w:val="00E83F1E"/>
    <w:rsid w:val="00E84314"/>
    <w:rsid w:val="00E844C2"/>
    <w:rsid w:val="00E847B2"/>
    <w:rsid w:val="00E84877"/>
    <w:rsid w:val="00E84A00"/>
    <w:rsid w:val="00E84A6E"/>
    <w:rsid w:val="00E84B3B"/>
    <w:rsid w:val="00E84C12"/>
    <w:rsid w:val="00E84DBE"/>
    <w:rsid w:val="00E84EE3"/>
    <w:rsid w:val="00E84FC9"/>
    <w:rsid w:val="00E852A7"/>
    <w:rsid w:val="00E853E5"/>
    <w:rsid w:val="00E85432"/>
    <w:rsid w:val="00E854BB"/>
    <w:rsid w:val="00E8554C"/>
    <w:rsid w:val="00E85606"/>
    <w:rsid w:val="00E85B66"/>
    <w:rsid w:val="00E85D65"/>
    <w:rsid w:val="00E862C4"/>
    <w:rsid w:val="00E865C5"/>
    <w:rsid w:val="00E869D7"/>
    <w:rsid w:val="00E86A55"/>
    <w:rsid w:val="00E86A70"/>
    <w:rsid w:val="00E86D56"/>
    <w:rsid w:val="00E86F52"/>
    <w:rsid w:val="00E873B6"/>
    <w:rsid w:val="00E876C8"/>
    <w:rsid w:val="00E87747"/>
    <w:rsid w:val="00E87780"/>
    <w:rsid w:val="00E87851"/>
    <w:rsid w:val="00E879A4"/>
    <w:rsid w:val="00E879E5"/>
    <w:rsid w:val="00E87AE7"/>
    <w:rsid w:val="00E87E01"/>
    <w:rsid w:val="00E87F35"/>
    <w:rsid w:val="00E9009A"/>
    <w:rsid w:val="00E905BB"/>
    <w:rsid w:val="00E90B5D"/>
    <w:rsid w:val="00E90BB6"/>
    <w:rsid w:val="00E90C2E"/>
    <w:rsid w:val="00E90D86"/>
    <w:rsid w:val="00E90DAD"/>
    <w:rsid w:val="00E9134D"/>
    <w:rsid w:val="00E913CD"/>
    <w:rsid w:val="00E913DC"/>
    <w:rsid w:val="00E9152A"/>
    <w:rsid w:val="00E9159F"/>
    <w:rsid w:val="00E918D5"/>
    <w:rsid w:val="00E91C79"/>
    <w:rsid w:val="00E91D1B"/>
    <w:rsid w:val="00E91E17"/>
    <w:rsid w:val="00E9238C"/>
    <w:rsid w:val="00E92483"/>
    <w:rsid w:val="00E92606"/>
    <w:rsid w:val="00E9291C"/>
    <w:rsid w:val="00E92AC8"/>
    <w:rsid w:val="00E92B22"/>
    <w:rsid w:val="00E92C6C"/>
    <w:rsid w:val="00E92DBE"/>
    <w:rsid w:val="00E92EF8"/>
    <w:rsid w:val="00E9325E"/>
    <w:rsid w:val="00E93281"/>
    <w:rsid w:val="00E93298"/>
    <w:rsid w:val="00E9331C"/>
    <w:rsid w:val="00E93933"/>
    <w:rsid w:val="00E9396F"/>
    <w:rsid w:val="00E93A61"/>
    <w:rsid w:val="00E93A96"/>
    <w:rsid w:val="00E93DB9"/>
    <w:rsid w:val="00E93E50"/>
    <w:rsid w:val="00E9412D"/>
    <w:rsid w:val="00E9423C"/>
    <w:rsid w:val="00E943D2"/>
    <w:rsid w:val="00E946AF"/>
    <w:rsid w:val="00E947C8"/>
    <w:rsid w:val="00E94A3B"/>
    <w:rsid w:val="00E94AA4"/>
    <w:rsid w:val="00E94B2E"/>
    <w:rsid w:val="00E94BC3"/>
    <w:rsid w:val="00E94C50"/>
    <w:rsid w:val="00E950D1"/>
    <w:rsid w:val="00E951C9"/>
    <w:rsid w:val="00E95236"/>
    <w:rsid w:val="00E952B5"/>
    <w:rsid w:val="00E95442"/>
    <w:rsid w:val="00E9548A"/>
    <w:rsid w:val="00E954C2"/>
    <w:rsid w:val="00E95583"/>
    <w:rsid w:val="00E95612"/>
    <w:rsid w:val="00E95804"/>
    <w:rsid w:val="00E95852"/>
    <w:rsid w:val="00E95AD9"/>
    <w:rsid w:val="00E95B51"/>
    <w:rsid w:val="00E95D13"/>
    <w:rsid w:val="00E95E3E"/>
    <w:rsid w:val="00E95EBC"/>
    <w:rsid w:val="00E96177"/>
    <w:rsid w:val="00E9626F"/>
    <w:rsid w:val="00E96295"/>
    <w:rsid w:val="00E9651E"/>
    <w:rsid w:val="00E96542"/>
    <w:rsid w:val="00E965A5"/>
    <w:rsid w:val="00E96807"/>
    <w:rsid w:val="00E96CD1"/>
    <w:rsid w:val="00E96F46"/>
    <w:rsid w:val="00E96FFA"/>
    <w:rsid w:val="00E97023"/>
    <w:rsid w:val="00E9719F"/>
    <w:rsid w:val="00E9723A"/>
    <w:rsid w:val="00E97529"/>
    <w:rsid w:val="00E9770D"/>
    <w:rsid w:val="00E9772C"/>
    <w:rsid w:val="00E97860"/>
    <w:rsid w:val="00E97996"/>
    <w:rsid w:val="00E97AEF"/>
    <w:rsid w:val="00E97D84"/>
    <w:rsid w:val="00E97F1F"/>
    <w:rsid w:val="00E97F34"/>
    <w:rsid w:val="00EA04CB"/>
    <w:rsid w:val="00EA0757"/>
    <w:rsid w:val="00EA077B"/>
    <w:rsid w:val="00EA081C"/>
    <w:rsid w:val="00EA0915"/>
    <w:rsid w:val="00EA0921"/>
    <w:rsid w:val="00EA0B83"/>
    <w:rsid w:val="00EA0CDF"/>
    <w:rsid w:val="00EA0D72"/>
    <w:rsid w:val="00EA0E1A"/>
    <w:rsid w:val="00EA15B6"/>
    <w:rsid w:val="00EA166A"/>
    <w:rsid w:val="00EA179E"/>
    <w:rsid w:val="00EA18AD"/>
    <w:rsid w:val="00EA1E9D"/>
    <w:rsid w:val="00EA209C"/>
    <w:rsid w:val="00EA20F7"/>
    <w:rsid w:val="00EA217D"/>
    <w:rsid w:val="00EA2323"/>
    <w:rsid w:val="00EA2494"/>
    <w:rsid w:val="00EA25B0"/>
    <w:rsid w:val="00EA2699"/>
    <w:rsid w:val="00EA277A"/>
    <w:rsid w:val="00EA2A8B"/>
    <w:rsid w:val="00EA2BE5"/>
    <w:rsid w:val="00EA2D57"/>
    <w:rsid w:val="00EA30E2"/>
    <w:rsid w:val="00EA327A"/>
    <w:rsid w:val="00EA37A9"/>
    <w:rsid w:val="00EA38FF"/>
    <w:rsid w:val="00EA396F"/>
    <w:rsid w:val="00EA399B"/>
    <w:rsid w:val="00EA3DDA"/>
    <w:rsid w:val="00EA410E"/>
    <w:rsid w:val="00EA4415"/>
    <w:rsid w:val="00EA445F"/>
    <w:rsid w:val="00EA4717"/>
    <w:rsid w:val="00EA4780"/>
    <w:rsid w:val="00EA4927"/>
    <w:rsid w:val="00EA4B88"/>
    <w:rsid w:val="00EA4D64"/>
    <w:rsid w:val="00EA4F9F"/>
    <w:rsid w:val="00EA51D1"/>
    <w:rsid w:val="00EA5340"/>
    <w:rsid w:val="00EA53B8"/>
    <w:rsid w:val="00EA53E0"/>
    <w:rsid w:val="00EA5499"/>
    <w:rsid w:val="00EA5611"/>
    <w:rsid w:val="00EA56F7"/>
    <w:rsid w:val="00EA582F"/>
    <w:rsid w:val="00EA592B"/>
    <w:rsid w:val="00EA5BCB"/>
    <w:rsid w:val="00EA5F5F"/>
    <w:rsid w:val="00EA6162"/>
    <w:rsid w:val="00EA64CE"/>
    <w:rsid w:val="00EA6664"/>
    <w:rsid w:val="00EA673B"/>
    <w:rsid w:val="00EA681B"/>
    <w:rsid w:val="00EA69FB"/>
    <w:rsid w:val="00EA6C01"/>
    <w:rsid w:val="00EA6D0A"/>
    <w:rsid w:val="00EA7133"/>
    <w:rsid w:val="00EA7146"/>
    <w:rsid w:val="00EA7620"/>
    <w:rsid w:val="00EA7675"/>
    <w:rsid w:val="00EA77BA"/>
    <w:rsid w:val="00EA7A06"/>
    <w:rsid w:val="00EA7AE2"/>
    <w:rsid w:val="00EA7DDE"/>
    <w:rsid w:val="00EA7F60"/>
    <w:rsid w:val="00EB0215"/>
    <w:rsid w:val="00EB0279"/>
    <w:rsid w:val="00EB02A3"/>
    <w:rsid w:val="00EB0593"/>
    <w:rsid w:val="00EB05F3"/>
    <w:rsid w:val="00EB08F6"/>
    <w:rsid w:val="00EB0FD2"/>
    <w:rsid w:val="00EB12F6"/>
    <w:rsid w:val="00EB152E"/>
    <w:rsid w:val="00EB1532"/>
    <w:rsid w:val="00EB1566"/>
    <w:rsid w:val="00EB16A6"/>
    <w:rsid w:val="00EB18DB"/>
    <w:rsid w:val="00EB196B"/>
    <w:rsid w:val="00EB1CA6"/>
    <w:rsid w:val="00EB1D3B"/>
    <w:rsid w:val="00EB1F04"/>
    <w:rsid w:val="00EB20D0"/>
    <w:rsid w:val="00EB20DD"/>
    <w:rsid w:val="00EB2117"/>
    <w:rsid w:val="00EB2157"/>
    <w:rsid w:val="00EB21DF"/>
    <w:rsid w:val="00EB234E"/>
    <w:rsid w:val="00EB2470"/>
    <w:rsid w:val="00EB2789"/>
    <w:rsid w:val="00EB27D0"/>
    <w:rsid w:val="00EB2847"/>
    <w:rsid w:val="00EB2908"/>
    <w:rsid w:val="00EB2B84"/>
    <w:rsid w:val="00EB2DC4"/>
    <w:rsid w:val="00EB2F22"/>
    <w:rsid w:val="00EB309F"/>
    <w:rsid w:val="00EB3161"/>
    <w:rsid w:val="00EB32F5"/>
    <w:rsid w:val="00EB3464"/>
    <w:rsid w:val="00EB37A5"/>
    <w:rsid w:val="00EB3A2C"/>
    <w:rsid w:val="00EB3A39"/>
    <w:rsid w:val="00EB3E12"/>
    <w:rsid w:val="00EB3F19"/>
    <w:rsid w:val="00EB3F88"/>
    <w:rsid w:val="00EB4669"/>
    <w:rsid w:val="00EB4683"/>
    <w:rsid w:val="00EB4709"/>
    <w:rsid w:val="00EB4750"/>
    <w:rsid w:val="00EB48A5"/>
    <w:rsid w:val="00EB4AB3"/>
    <w:rsid w:val="00EB502C"/>
    <w:rsid w:val="00EB504C"/>
    <w:rsid w:val="00EB510A"/>
    <w:rsid w:val="00EB5131"/>
    <w:rsid w:val="00EB521E"/>
    <w:rsid w:val="00EB539E"/>
    <w:rsid w:val="00EB5435"/>
    <w:rsid w:val="00EB5A52"/>
    <w:rsid w:val="00EB5B72"/>
    <w:rsid w:val="00EB5DA1"/>
    <w:rsid w:val="00EB5F60"/>
    <w:rsid w:val="00EB6048"/>
    <w:rsid w:val="00EB60F2"/>
    <w:rsid w:val="00EB64A2"/>
    <w:rsid w:val="00EB68BC"/>
    <w:rsid w:val="00EB6984"/>
    <w:rsid w:val="00EB6B00"/>
    <w:rsid w:val="00EB6B22"/>
    <w:rsid w:val="00EB6B2F"/>
    <w:rsid w:val="00EB6D57"/>
    <w:rsid w:val="00EB6DF1"/>
    <w:rsid w:val="00EB6F93"/>
    <w:rsid w:val="00EB71D3"/>
    <w:rsid w:val="00EB72AD"/>
    <w:rsid w:val="00EB7418"/>
    <w:rsid w:val="00EB7850"/>
    <w:rsid w:val="00EB7BDE"/>
    <w:rsid w:val="00EB7D63"/>
    <w:rsid w:val="00EB7DFA"/>
    <w:rsid w:val="00EB7E42"/>
    <w:rsid w:val="00EC0103"/>
    <w:rsid w:val="00EC0411"/>
    <w:rsid w:val="00EC0715"/>
    <w:rsid w:val="00EC071F"/>
    <w:rsid w:val="00EC0A16"/>
    <w:rsid w:val="00EC0A7E"/>
    <w:rsid w:val="00EC0BC7"/>
    <w:rsid w:val="00EC0C7C"/>
    <w:rsid w:val="00EC1237"/>
    <w:rsid w:val="00EC1399"/>
    <w:rsid w:val="00EC1459"/>
    <w:rsid w:val="00EC1478"/>
    <w:rsid w:val="00EC155A"/>
    <w:rsid w:val="00EC169F"/>
    <w:rsid w:val="00EC17E0"/>
    <w:rsid w:val="00EC19A5"/>
    <w:rsid w:val="00EC1A93"/>
    <w:rsid w:val="00EC1AC8"/>
    <w:rsid w:val="00EC1C0A"/>
    <w:rsid w:val="00EC1C2B"/>
    <w:rsid w:val="00EC1C6B"/>
    <w:rsid w:val="00EC1F1B"/>
    <w:rsid w:val="00EC1F51"/>
    <w:rsid w:val="00EC2009"/>
    <w:rsid w:val="00EC2086"/>
    <w:rsid w:val="00EC2261"/>
    <w:rsid w:val="00EC2278"/>
    <w:rsid w:val="00EC2612"/>
    <w:rsid w:val="00EC286A"/>
    <w:rsid w:val="00EC2A0A"/>
    <w:rsid w:val="00EC2C68"/>
    <w:rsid w:val="00EC2D1F"/>
    <w:rsid w:val="00EC2F9E"/>
    <w:rsid w:val="00EC3178"/>
    <w:rsid w:val="00EC328B"/>
    <w:rsid w:val="00EC32F0"/>
    <w:rsid w:val="00EC3493"/>
    <w:rsid w:val="00EC3611"/>
    <w:rsid w:val="00EC3725"/>
    <w:rsid w:val="00EC39E1"/>
    <w:rsid w:val="00EC3CFC"/>
    <w:rsid w:val="00EC3FDC"/>
    <w:rsid w:val="00EC41F8"/>
    <w:rsid w:val="00EC4520"/>
    <w:rsid w:val="00EC453C"/>
    <w:rsid w:val="00EC463D"/>
    <w:rsid w:val="00EC4900"/>
    <w:rsid w:val="00EC4EB4"/>
    <w:rsid w:val="00EC4F02"/>
    <w:rsid w:val="00EC4F5A"/>
    <w:rsid w:val="00EC4FAE"/>
    <w:rsid w:val="00EC4FB5"/>
    <w:rsid w:val="00EC5284"/>
    <w:rsid w:val="00EC5317"/>
    <w:rsid w:val="00EC5479"/>
    <w:rsid w:val="00EC54E8"/>
    <w:rsid w:val="00EC5533"/>
    <w:rsid w:val="00EC5596"/>
    <w:rsid w:val="00EC559F"/>
    <w:rsid w:val="00EC5753"/>
    <w:rsid w:val="00EC59DE"/>
    <w:rsid w:val="00EC5BDC"/>
    <w:rsid w:val="00EC5D08"/>
    <w:rsid w:val="00EC5D61"/>
    <w:rsid w:val="00EC601B"/>
    <w:rsid w:val="00EC605A"/>
    <w:rsid w:val="00EC61FD"/>
    <w:rsid w:val="00EC63EF"/>
    <w:rsid w:val="00EC6813"/>
    <w:rsid w:val="00EC6B17"/>
    <w:rsid w:val="00EC6CE1"/>
    <w:rsid w:val="00EC6FDE"/>
    <w:rsid w:val="00EC7140"/>
    <w:rsid w:val="00EC72A7"/>
    <w:rsid w:val="00EC761C"/>
    <w:rsid w:val="00EC767C"/>
    <w:rsid w:val="00EC770E"/>
    <w:rsid w:val="00EC774B"/>
    <w:rsid w:val="00EC7776"/>
    <w:rsid w:val="00EC778B"/>
    <w:rsid w:val="00EC7B48"/>
    <w:rsid w:val="00EC7BC3"/>
    <w:rsid w:val="00EC7C40"/>
    <w:rsid w:val="00EC7F4F"/>
    <w:rsid w:val="00EC7FB6"/>
    <w:rsid w:val="00EC7FBD"/>
    <w:rsid w:val="00EC7FDA"/>
    <w:rsid w:val="00EC7FFA"/>
    <w:rsid w:val="00ED0142"/>
    <w:rsid w:val="00ED01C4"/>
    <w:rsid w:val="00ED0252"/>
    <w:rsid w:val="00ED0287"/>
    <w:rsid w:val="00ED04FB"/>
    <w:rsid w:val="00ED06E3"/>
    <w:rsid w:val="00ED06EC"/>
    <w:rsid w:val="00ED07B7"/>
    <w:rsid w:val="00ED07DD"/>
    <w:rsid w:val="00ED087B"/>
    <w:rsid w:val="00ED0899"/>
    <w:rsid w:val="00ED095A"/>
    <w:rsid w:val="00ED0D84"/>
    <w:rsid w:val="00ED1002"/>
    <w:rsid w:val="00ED10BD"/>
    <w:rsid w:val="00ED12CD"/>
    <w:rsid w:val="00ED130E"/>
    <w:rsid w:val="00ED15BF"/>
    <w:rsid w:val="00ED1640"/>
    <w:rsid w:val="00ED1662"/>
    <w:rsid w:val="00ED16CB"/>
    <w:rsid w:val="00ED1A18"/>
    <w:rsid w:val="00ED1D58"/>
    <w:rsid w:val="00ED1D81"/>
    <w:rsid w:val="00ED1D8E"/>
    <w:rsid w:val="00ED2051"/>
    <w:rsid w:val="00ED21B1"/>
    <w:rsid w:val="00ED238C"/>
    <w:rsid w:val="00ED2429"/>
    <w:rsid w:val="00ED2753"/>
    <w:rsid w:val="00ED27B8"/>
    <w:rsid w:val="00ED2959"/>
    <w:rsid w:val="00ED2A89"/>
    <w:rsid w:val="00ED2D3E"/>
    <w:rsid w:val="00ED2D9A"/>
    <w:rsid w:val="00ED2F0B"/>
    <w:rsid w:val="00ED301E"/>
    <w:rsid w:val="00ED3133"/>
    <w:rsid w:val="00ED32EC"/>
    <w:rsid w:val="00ED3470"/>
    <w:rsid w:val="00ED354E"/>
    <w:rsid w:val="00ED3728"/>
    <w:rsid w:val="00ED3746"/>
    <w:rsid w:val="00ED398F"/>
    <w:rsid w:val="00ED3A54"/>
    <w:rsid w:val="00ED3D84"/>
    <w:rsid w:val="00ED3DEE"/>
    <w:rsid w:val="00ED416D"/>
    <w:rsid w:val="00ED41C8"/>
    <w:rsid w:val="00ED43F8"/>
    <w:rsid w:val="00ED441F"/>
    <w:rsid w:val="00ED44A2"/>
    <w:rsid w:val="00ED46F8"/>
    <w:rsid w:val="00ED47DA"/>
    <w:rsid w:val="00ED497B"/>
    <w:rsid w:val="00ED4CE0"/>
    <w:rsid w:val="00ED4E12"/>
    <w:rsid w:val="00ED4E20"/>
    <w:rsid w:val="00ED4FE2"/>
    <w:rsid w:val="00ED509F"/>
    <w:rsid w:val="00ED5245"/>
    <w:rsid w:val="00ED538C"/>
    <w:rsid w:val="00ED56D5"/>
    <w:rsid w:val="00ED572C"/>
    <w:rsid w:val="00ED58A3"/>
    <w:rsid w:val="00ED59E7"/>
    <w:rsid w:val="00ED5AA6"/>
    <w:rsid w:val="00ED5B09"/>
    <w:rsid w:val="00ED5B7E"/>
    <w:rsid w:val="00ED5BD4"/>
    <w:rsid w:val="00ED5C1E"/>
    <w:rsid w:val="00ED5C95"/>
    <w:rsid w:val="00ED5DC7"/>
    <w:rsid w:val="00ED5E96"/>
    <w:rsid w:val="00ED5EF7"/>
    <w:rsid w:val="00ED6908"/>
    <w:rsid w:val="00ED6C54"/>
    <w:rsid w:val="00ED6DBD"/>
    <w:rsid w:val="00ED6DC9"/>
    <w:rsid w:val="00ED6F1F"/>
    <w:rsid w:val="00ED718B"/>
    <w:rsid w:val="00ED71E6"/>
    <w:rsid w:val="00ED758E"/>
    <w:rsid w:val="00ED7606"/>
    <w:rsid w:val="00ED7612"/>
    <w:rsid w:val="00ED7BED"/>
    <w:rsid w:val="00ED7CC3"/>
    <w:rsid w:val="00ED7CEA"/>
    <w:rsid w:val="00EE0075"/>
    <w:rsid w:val="00EE00BA"/>
    <w:rsid w:val="00EE01A6"/>
    <w:rsid w:val="00EE01B0"/>
    <w:rsid w:val="00EE0441"/>
    <w:rsid w:val="00EE0805"/>
    <w:rsid w:val="00EE0952"/>
    <w:rsid w:val="00EE0A71"/>
    <w:rsid w:val="00EE0B01"/>
    <w:rsid w:val="00EE0EA1"/>
    <w:rsid w:val="00EE1036"/>
    <w:rsid w:val="00EE13FB"/>
    <w:rsid w:val="00EE1461"/>
    <w:rsid w:val="00EE1593"/>
    <w:rsid w:val="00EE15AE"/>
    <w:rsid w:val="00EE181B"/>
    <w:rsid w:val="00EE1969"/>
    <w:rsid w:val="00EE199B"/>
    <w:rsid w:val="00EE1BD9"/>
    <w:rsid w:val="00EE1F08"/>
    <w:rsid w:val="00EE1FC1"/>
    <w:rsid w:val="00EE22FA"/>
    <w:rsid w:val="00EE235B"/>
    <w:rsid w:val="00EE2500"/>
    <w:rsid w:val="00EE2C0B"/>
    <w:rsid w:val="00EE2C96"/>
    <w:rsid w:val="00EE2E65"/>
    <w:rsid w:val="00EE2F60"/>
    <w:rsid w:val="00EE30DD"/>
    <w:rsid w:val="00EE3658"/>
    <w:rsid w:val="00EE37D1"/>
    <w:rsid w:val="00EE37DF"/>
    <w:rsid w:val="00EE3B5A"/>
    <w:rsid w:val="00EE3C88"/>
    <w:rsid w:val="00EE3E5F"/>
    <w:rsid w:val="00EE3ECD"/>
    <w:rsid w:val="00EE4020"/>
    <w:rsid w:val="00EE445C"/>
    <w:rsid w:val="00EE4515"/>
    <w:rsid w:val="00EE4735"/>
    <w:rsid w:val="00EE48FC"/>
    <w:rsid w:val="00EE491B"/>
    <w:rsid w:val="00EE49FB"/>
    <w:rsid w:val="00EE4BAB"/>
    <w:rsid w:val="00EE512F"/>
    <w:rsid w:val="00EE534C"/>
    <w:rsid w:val="00EE535A"/>
    <w:rsid w:val="00EE5411"/>
    <w:rsid w:val="00EE5434"/>
    <w:rsid w:val="00EE555C"/>
    <w:rsid w:val="00EE5620"/>
    <w:rsid w:val="00EE5674"/>
    <w:rsid w:val="00EE59D4"/>
    <w:rsid w:val="00EE5FB0"/>
    <w:rsid w:val="00EE60B1"/>
    <w:rsid w:val="00EE6241"/>
    <w:rsid w:val="00EE665A"/>
    <w:rsid w:val="00EE66F3"/>
    <w:rsid w:val="00EE6898"/>
    <w:rsid w:val="00EE6A7A"/>
    <w:rsid w:val="00EE6C32"/>
    <w:rsid w:val="00EE6C92"/>
    <w:rsid w:val="00EE6DA9"/>
    <w:rsid w:val="00EE731D"/>
    <w:rsid w:val="00EE74D0"/>
    <w:rsid w:val="00EE7987"/>
    <w:rsid w:val="00EE7A25"/>
    <w:rsid w:val="00EE7A7A"/>
    <w:rsid w:val="00EE7CA8"/>
    <w:rsid w:val="00EE7EA8"/>
    <w:rsid w:val="00EE7FD7"/>
    <w:rsid w:val="00EF004E"/>
    <w:rsid w:val="00EF0103"/>
    <w:rsid w:val="00EF04B0"/>
    <w:rsid w:val="00EF070D"/>
    <w:rsid w:val="00EF07C5"/>
    <w:rsid w:val="00EF0F71"/>
    <w:rsid w:val="00EF1184"/>
    <w:rsid w:val="00EF138B"/>
    <w:rsid w:val="00EF14A4"/>
    <w:rsid w:val="00EF1560"/>
    <w:rsid w:val="00EF1647"/>
    <w:rsid w:val="00EF16AC"/>
    <w:rsid w:val="00EF1751"/>
    <w:rsid w:val="00EF1DDB"/>
    <w:rsid w:val="00EF1DE0"/>
    <w:rsid w:val="00EF1ED0"/>
    <w:rsid w:val="00EF1F8F"/>
    <w:rsid w:val="00EF20CC"/>
    <w:rsid w:val="00EF23D0"/>
    <w:rsid w:val="00EF25C8"/>
    <w:rsid w:val="00EF26BF"/>
    <w:rsid w:val="00EF2A89"/>
    <w:rsid w:val="00EF2B0F"/>
    <w:rsid w:val="00EF2BB6"/>
    <w:rsid w:val="00EF2CD9"/>
    <w:rsid w:val="00EF2D6C"/>
    <w:rsid w:val="00EF2DB2"/>
    <w:rsid w:val="00EF2E14"/>
    <w:rsid w:val="00EF3278"/>
    <w:rsid w:val="00EF32F1"/>
    <w:rsid w:val="00EF344B"/>
    <w:rsid w:val="00EF3534"/>
    <w:rsid w:val="00EF36DC"/>
    <w:rsid w:val="00EF3B3C"/>
    <w:rsid w:val="00EF3B7C"/>
    <w:rsid w:val="00EF3C5F"/>
    <w:rsid w:val="00EF3CDB"/>
    <w:rsid w:val="00EF3D52"/>
    <w:rsid w:val="00EF3D62"/>
    <w:rsid w:val="00EF4228"/>
    <w:rsid w:val="00EF43F5"/>
    <w:rsid w:val="00EF45BF"/>
    <w:rsid w:val="00EF4A73"/>
    <w:rsid w:val="00EF4A95"/>
    <w:rsid w:val="00EF4ABE"/>
    <w:rsid w:val="00EF4BA9"/>
    <w:rsid w:val="00EF5053"/>
    <w:rsid w:val="00EF5CB0"/>
    <w:rsid w:val="00EF5D87"/>
    <w:rsid w:val="00EF6010"/>
    <w:rsid w:val="00EF60EF"/>
    <w:rsid w:val="00EF616C"/>
    <w:rsid w:val="00EF662C"/>
    <w:rsid w:val="00EF6817"/>
    <w:rsid w:val="00EF6C0C"/>
    <w:rsid w:val="00EF6FC1"/>
    <w:rsid w:val="00EF7022"/>
    <w:rsid w:val="00EF71A7"/>
    <w:rsid w:val="00EF72EB"/>
    <w:rsid w:val="00EF73C8"/>
    <w:rsid w:val="00EF75B0"/>
    <w:rsid w:val="00EF771F"/>
    <w:rsid w:val="00EF77BC"/>
    <w:rsid w:val="00EF7805"/>
    <w:rsid w:val="00EF78E8"/>
    <w:rsid w:val="00EF7B60"/>
    <w:rsid w:val="00EF7B61"/>
    <w:rsid w:val="00EF7B7E"/>
    <w:rsid w:val="00EF7F15"/>
    <w:rsid w:val="00F00252"/>
    <w:rsid w:val="00F00275"/>
    <w:rsid w:val="00F002DA"/>
    <w:rsid w:val="00F00AEC"/>
    <w:rsid w:val="00F00B73"/>
    <w:rsid w:val="00F00DC5"/>
    <w:rsid w:val="00F0126F"/>
    <w:rsid w:val="00F0129B"/>
    <w:rsid w:val="00F01479"/>
    <w:rsid w:val="00F01487"/>
    <w:rsid w:val="00F0157A"/>
    <w:rsid w:val="00F015AC"/>
    <w:rsid w:val="00F015BD"/>
    <w:rsid w:val="00F0176A"/>
    <w:rsid w:val="00F0177B"/>
    <w:rsid w:val="00F017C4"/>
    <w:rsid w:val="00F0183F"/>
    <w:rsid w:val="00F01A05"/>
    <w:rsid w:val="00F01BE1"/>
    <w:rsid w:val="00F01CF6"/>
    <w:rsid w:val="00F01D0D"/>
    <w:rsid w:val="00F01D6B"/>
    <w:rsid w:val="00F01DAE"/>
    <w:rsid w:val="00F01E48"/>
    <w:rsid w:val="00F01E56"/>
    <w:rsid w:val="00F01E60"/>
    <w:rsid w:val="00F02069"/>
    <w:rsid w:val="00F0214F"/>
    <w:rsid w:val="00F02443"/>
    <w:rsid w:val="00F024CD"/>
    <w:rsid w:val="00F0275F"/>
    <w:rsid w:val="00F02A1B"/>
    <w:rsid w:val="00F02AD5"/>
    <w:rsid w:val="00F02C1D"/>
    <w:rsid w:val="00F02F03"/>
    <w:rsid w:val="00F03020"/>
    <w:rsid w:val="00F03026"/>
    <w:rsid w:val="00F031F4"/>
    <w:rsid w:val="00F03267"/>
    <w:rsid w:val="00F032B1"/>
    <w:rsid w:val="00F03321"/>
    <w:rsid w:val="00F033D6"/>
    <w:rsid w:val="00F035C8"/>
    <w:rsid w:val="00F036C2"/>
    <w:rsid w:val="00F0374A"/>
    <w:rsid w:val="00F037FB"/>
    <w:rsid w:val="00F03D31"/>
    <w:rsid w:val="00F03D5C"/>
    <w:rsid w:val="00F03F39"/>
    <w:rsid w:val="00F04039"/>
    <w:rsid w:val="00F0419F"/>
    <w:rsid w:val="00F041BD"/>
    <w:rsid w:val="00F0421B"/>
    <w:rsid w:val="00F045A2"/>
    <w:rsid w:val="00F046F4"/>
    <w:rsid w:val="00F04997"/>
    <w:rsid w:val="00F04A23"/>
    <w:rsid w:val="00F04A54"/>
    <w:rsid w:val="00F04E2D"/>
    <w:rsid w:val="00F04F8E"/>
    <w:rsid w:val="00F0525B"/>
    <w:rsid w:val="00F053E4"/>
    <w:rsid w:val="00F058A7"/>
    <w:rsid w:val="00F0592B"/>
    <w:rsid w:val="00F05BB2"/>
    <w:rsid w:val="00F05C20"/>
    <w:rsid w:val="00F0604E"/>
    <w:rsid w:val="00F060E4"/>
    <w:rsid w:val="00F060F7"/>
    <w:rsid w:val="00F06129"/>
    <w:rsid w:val="00F061D4"/>
    <w:rsid w:val="00F06287"/>
    <w:rsid w:val="00F06357"/>
    <w:rsid w:val="00F0649C"/>
    <w:rsid w:val="00F0669F"/>
    <w:rsid w:val="00F0685E"/>
    <w:rsid w:val="00F068D4"/>
    <w:rsid w:val="00F06BC4"/>
    <w:rsid w:val="00F06E7C"/>
    <w:rsid w:val="00F070FA"/>
    <w:rsid w:val="00F072A1"/>
    <w:rsid w:val="00F072C6"/>
    <w:rsid w:val="00F07514"/>
    <w:rsid w:val="00F0778F"/>
    <w:rsid w:val="00F079A9"/>
    <w:rsid w:val="00F07A79"/>
    <w:rsid w:val="00F07AC6"/>
    <w:rsid w:val="00F07BED"/>
    <w:rsid w:val="00F07C62"/>
    <w:rsid w:val="00F07D1E"/>
    <w:rsid w:val="00F1000D"/>
    <w:rsid w:val="00F10184"/>
    <w:rsid w:val="00F10440"/>
    <w:rsid w:val="00F10702"/>
    <w:rsid w:val="00F1079E"/>
    <w:rsid w:val="00F1087A"/>
    <w:rsid w:val="00F10A19"/>
    <w:rsid w:val="00F10C92"/>
    <w:rsid w:val="00F10D90"/>
    <w:rsid w:val="00F11023"/>
    <w:rsid w:val="00F11175"/>
    <w:rsid w:val="00F111BD"/>
    <w:rsid w:val="00F113CB"/>
    <w:rsid w:val="00F11403"/>
    <w:rsid w:val="00F11496"/>
    <w:rsid w:val="00F11583"/>
    <w:rsid w:val="00F115AE"/>
    <w:rsid w:val="00F11622"/>
    <w:rsid w:val="00F11969"/>
    <w:rsid w:val="00F11AC1"/>
    <w:rsid w:val="00F11DE4"/>
    <w:rsid w:val="00F11FD7"/>
    <w:rsid w:val="00F122BA"/>
    <w:rsid w:val="00F123A7"/>
    <w:rsid w:val="00F12699"/>
    <w:rsid w:val="00F127B4"/>
    <w:rsid w:val="00F127EC"/>
    <w:rsid w:val="00F12863"/>
    <w:rsid w:val="00F1290F"/>
    <w:rsid w:val="00F12A6B"/>
    <w:rsid w:val="00F12B6A"/>
    <w:rsid w:val="00F12B96"/>
    <w:rsid w:val="00F12C46"/>
    <w:rsid w:val="00F12CFC"/>
    <w:rsid w:val="00F13126"/>
    <w:rsid w:val="00F13206"/>
    <w:rsid w:val="00F134BD"/>
    <w:rsid w:val="00F13729"/>
    <w:rsid w:val="00F13746"/>
    <w:rsid w:val="00F13B06"/>
    <w:rsid w:val="00F13B42"/>
    <w:rsid w:val="00F13CF0"/>
    <w:rsid w:val="00F13DEF"/>
    <w:rsid w:val="00F13FCD"/>
    <w:rsid w:val="00F14083"/>
    <w:rsid w:val="00F1414C"/>
    <w:rsid w:val="00F14205"/>
    <w:rsid w:val="00F143E0"/>
    <w:rsid w:val="00F144A3"/>
    <w:rsid w:val="00F14AF4"/>
    <w:rsid w:val="00F14AF7"/>
    <w:rsid w:val="00F14B12"/>
    <w:rsid w:val="00F14DB3"/>
    <w:rsid w:val="00F14E04"/>
    <w:rsid w:val="00F15169"/>
    <w:rsid w:val="00F151B0"/>
    <w:rsid w:val="00F15313"/>
    <w:rsid w:val="00F1549B"/>
    <w:rsid w:val="00F154E4"/>
    <w:rsid w:val="00F15906"/>
    <w:rsid w:val="00F15A57"/>
    <w:rsid w:val="00F15C02"/>
    <w:rsid w:val="00F15C05"/>
    <w:rsid w:val="00F1665F"/>
    <w:rsid w:val="00F16871"/>
    <w:rsid w:val="00F16932"/>
    <w:rsid w:val="00F16963"/>
    <w:rsid w:val="00F16973"/>
    <w:rsid w:val="00F16B09"/>
    <w:rsid w:val="00F17253"/>
    <w:rsid w:val="00F1766D"/>
    <w:rsid w:val="00F17A0B"/>
    <w:rsid w:val="00F17B9D"/>
    <w:rsid w:val="00F17D70"/>
    <w:rsid w:val="00F20090"/>
    <w:rsid w:val="00F201E5"/>
    <w:rsid w:val="00F20237"/>
    <w:rsid w:val="00F2054B"/>
    <w:rsid w:val="00F20653"/>
    <w:rsid w:val="00F2065F"/>
    <w:rsid w:val="00F208A8"/>
    <w:rsid w:val="00F20EA2"/>
    <w:rsid w:val="00F211A3"/>
    <w:rsid w:val="00F2127A"/>
    <w:rsid w:val="00F21353"/>
    <w:rsid w:val="00F21518"/>
    <w:rsid w:val="00F2156C"/>
    <w:rsid w:val="00F21608"/>
    <w:rsid w:val="00F219C1"/>
    <w:rsid w:val="00F21A07"/>
    <w:rsid w:val="00F21D9B"/>
    <w:rsid w:val="00F22058"/>
    <w:rsid w:val="00F22235"/>
    <w:rsid w:val="00F2234B"/>
    <w:rsid w:val="00F22448"/>
    <w:rsid w:val="00F2260A"/>
    <w:rsid w:val="00F2260F"/>
    <w:rsid w:val="00F229E1"/>
    <w:rsid w:val="00F22C59"/>
    <w:rsid w:val="00F22CCB"/>
    <w:rsid w:val="00F22EE8"/>
    <w:rsid w:val="00F22F38"/>
    <w:rsid w:val="00F22F5B"/>
    <w:rsid w:val="00F2332D"/>
    <w:rsid w:val="00F23768"/>
    <w:rsid w:val="00F238AB"/>
    <w:rsid w:val="00F23BD9"/>
    <w:rsid w:val="00F23CBD"/>
    <w:rsid w:val="00F23F50"/>
    <w:rsid w:val="00F24368"/>
    <w:rsid w:val="00F243D2"/>
    <w:rsid w:val="00F245E8"/>
    <w:rsid w:val="00F24700"/>
    <w:rsid w:val="00F2479C"/>
    <w:rsid w:val="00F247B7"/>
    <w:rsid w:val="00F247FB"/>
    <w:rsid w:val="00F249AB"/>
    <w:rsid w:val="00F24A0F"/>
    <w:rsid w:val="00F24FF0"/>
    <w:rsid w:val="00F25052"/>
    <w:rsid w:val="00F250FD"/>
    <w:rsid w:val="00F25133"/>
    <w:rsid w:val="00F251EA"/>
    <w:rsid w:val="00F252BF"/>
    <w:rsid w:val="00F253A3"/>
    <w:rsid w:val="00F253AF"/>
    <w:rsid w:val="00F253D0"/>
    <w:rsid w:val="00F254D9"/>
    <w:rsid w:val="00F255FB"/>
    <w:rsid w:val="00F2586E"/>
    <w:rsid w:val="00F25A4D"/>
    <w:rsid w:val="00F25C3A"/>
    <w:rsid w:val="00F25D54"/>
    <w:rsid w:val="00F25DBB"/>
    <w:rsid w:val="00F25DF5"/>
    <w:rsid w:val="00F25EA6"/>
    <w:rsid w:val="00F25F4B"/>
    <w:rsid w:val="00F25F55"/>
    <w:rsid w:val="00F25F6E"/>
    <w:rsid w:val="00F25FF9"/>
    <w:rsid w:val="00F262D2"/>
    <w:rsid w:val="00F2633E"/>
    <w:rsid w:val="00F26587"/>
    <w:rsid w:val="00F26721"/>
    <w:rsid w:val="00F269B6"/>
    <w:rsid w:val="00F269F0"/>
    <w:rsid w:val="00F26A50"/>
    <w:rsid w:val="00F26B3B"/>
    <w:rsid w:val="00F26CD6"/>
    <w:rsid w:val="00F26DF2"/>
    <w:rsid w:val="00F26FD9"/>
    <w:rsid w:val="00F2702C"/>
    <w:rsid w:val="00F27699"/>
    <w:rsid w:val="00F2780A"/>
    <w:rsid w:val="00F27B20"/>
    <w:rsid w:val="00F27CF0"/>
    <w:rsid w:val="00F27D16"/>
    <w:rsid w:val="00F27ECE"/>
    <w:rsid w:val="00F27F96"/>
    <w:rsid w:val="00F300D6"/>
    <w:rsid w:val="00F30373"/>
    <w:rsid w:val="00F304A6"/>
    <w:rsid w:val="00F304CA"/>
    <w:rsid w:val="00F3050B"/>
    <w:rsid w:val="00F30597"/>
    <w:rsid w:val="00F305D7"/>
    <w:rsid w:val="00F306E1"/>
    <w:rsid w:val="00F3081A"/>
    <w:rsid w:val="00F308D8"/>
    <w:rsid w:val="00F308E5"/>
    <w:rsid w:val="00F309E0"/>
    <w:rsid w:val="00F30CEE"/>
    <w:rsid w:val="00F30D62"/>
    <w:rsid w:val="00F30DD8"/>
    <w:rsid w:val="00F30E4D"/>
    <w:rsid w:val="00F31091"/>
    <w:rsid w:val="00F3117C"/>
    <w:rsid w:val="00F311CE"/>
    <w:rsid w:val="00F313D9"/>
    <w:rsid w:val="00F3161D"/>
    <w:rsid w:val="00F318F5"/>
    <w:rsid w:val="00F31DDF"/>
    <w:rsid w:val="00F32486"/>
    <w:rsid w:val="00F32645"/>
    <w:rsid w:val="00F327AF"/>
    <w:rsid w:val="00F32AF1"/>
    <w:rsid w:val="00F32BE2"/>
    <w:rsid w:val="00F32D23"/>
    <w:rsid w:val="00F32D58"/>
    <w:rsid w:val="00F32D7A"/>
    <w:rsid w:val="00F32E54"/>
    <w:rsid w:val="00F33188"/>
    <w:rsid w:val="00F3327B"/>
    <w:rsid w:val="00F33331"/>
    <w:rsid w:val="00F33389"/>
    <w:rsid w:val="00F33477"/>
    <w:rsid w:val="00F33521"/>
    <w:rsid w:val="00F335DF"/>
    <w:rsid w:val="00F33615"/>
    <w:rsid w:val="00F33769"/>
    <w:rsid w:val="00F338EE"/>
    <w:rsid w:val="00F338FB"/>
    <w:rsid w:val="00F33DCC"/>
    <w:rsid w:val="00F33EE7"/>
    <w:rsid w:val="00F33FF3"/>
    <w:rsid w:val="00F340E4"/>
    <w:rsid w:val="00F3415A"/>
    <w:rsid w:val="00F3439C"/>
    <w:rsid w:val="00F34425"/>
    <w:rsid w:val="00F34575"/>
    <w:rsid w:val="00F34633"/>
    <w:rsid w:val="00F347AA"/>
    <w:rsid w:val="00F34853"/>
    <w:rsid w:val="00F34A63"/>
    <w:rsid w:val="00F34D85"/>
    <w:rsid w:val="00F34DBC"/>
    <w:rsid w:val="00F34DDE"/>
    <w:rsid w:val="00F34F37"/>
    <w:rsid w:val="00F34FD5"/>
    <w:rsid w:val="00F350FE"/>
    <w:rsid w:val="00F35322"/>
    <w:rsid w:val="00F35332"/>
    <w:rsid w:val="00F35900"/>
    <w:rsid w:val="00F35955"/>
    <w:rsid w:val="00F35D34"/>
    <w:rsid w:val="00F35D4C"/>
    <w:rsid w:val="00F360F6"/>
    <w:rsid w:val="00F36126"/>
    <w:rsid w:val="00F361F2"/>
    <w:rsid w:val="00F3643E"/>
    <w:rsid w:val="00F36448"/>
    <w:rsid w:val="00F364E6"/>
    <w:rsid w:val="00F36706"/>
    <w:rsid w:val="00F36791"/>
    <w:rsid w:val="00F3679E"/>
    <w:rsid w:val="00F36B12"/>
    <w:rsid w:val="00F36B9F"/>
    <w:rsid w:val="00F36BA3"/>
    <w:rsid w:val="00F37054"/>
    <w:rsid w:val="00F3713B"/>
    <w:rsid w:val="00F3717E"/>
    <w:rsid w:val="00F3718C"/>
    <w:rsid w:val="00F37211"/>
    <w:rsid w:val="00F37350"/>
    <w:rsid w:val="00F37407"/>
    <w:rsid w:val="00F37418"/>
    <w:rsid w:val="00F378D7"/>
    <w:rsid w:val="00F379C0"/>
    <w:rsid w:val="00F379C2"/>
    <w:rsid w:val="00F37C06"/>
    <w:rsid w:val="00F37C57"/>
    <w:rsid w:val="00F37F2C"/>
    <w:rsid w:val="00F400B7"/>
    <w:rsid w:val="00F40196"/>
    <w:rsid w:val="00F40705"/>
    <w:rsid w:val="00F407B2"/>
    <w:rsid w:val="00F40BF0"/>
    <w:rsid w:val="00F40C24"/>
    <w:rsid w:val="00F40DA7"/>
    <w:rsid w:val="00F40F93"/>
    <w:rsid w:val="00F4125D"/>
    <w:rsid w:val="00F417E3"/>
    <w:rsid w:val="00F4197F"/>
    <w:rsid w:val="00F41ACA"/>
    <w:rsid w:val="00F41B1B"/>
    <w:rsid w:val="00F41BCB"/>
    <w:rsid w:val="00F41C7D"/>
    <w:rsid w:val="00F41CD0"/>
    <w:rsid w:val="00F42096"/>
    <w:rsid w:val="00F424E1"/>
    <w:rsid w:val="00F4269E"/>
    <w:rsid w:val="00F429A3"/>
    <w:rsid w:val="00F42A7C"/>
    <w:rsid w:val="00F42C2B"/>
    <w:rsid w:val="00F42CA6"/>
    <w:rsid w:val="00F42DFD"/>
    <w:rsid w:val="00F42E40"/>
    <w:rsid w:val="00F432E7"/>
    <w:rsid w:val="00F43398"/>
    <w:rsid w:val="00F4362C"/>
    <w:rsid w:val="00F43668"/>
    <w:rsid w:val="00F436A5"/>
    <w:rsid w:val="00F4370F"/>
    <w:rsid w:val="00F4374D"/>
    <w:rsid w:val="00F437CF"/>
    <w:rsid w:val="00F43881"/>
    <w:rsid w:val="00F43A8A"/>
    <w:rsid w:val="00F43D1D"/>
    <w:rsid w:val="00F43D3E"/>
    <w:rsid w:val="00F43EF5"/>
    <w:rsid w:val="00F4413E"/>
    <w:rsid w:val="00F442A8"/>
    <w:rsid w:val="00F4436A"/>
    <w:rsid w:val="00F44448"/>
    <w:rsid w:val="00F447AA"/>
    <w:rsid w:val="00F448B5"/>
    <w:rsid w:val="00F44B67"/>
    <w:rsid w:val="00F44BC7"/>
    <w:rsid w:val="00F44CD7"/>
    <w:rsid w:val="00F44D3D"/>
    <w:rsid w:val="00F44DE6"/>
    <w:rsid w:val="00F45163"/>
    <w:rsid w:val="00F451FF"/>
    <w:rsid w:val="00F454A1"/>
    <w:rsid w:val="00F4554F"/>
    <w:rsid w:val="00F455E2"/>
    <w:rsid w:val="00F4571D"/>
    <w:rsid w:val="00F4575A"/>
    <w:rsid w:val="00F45808"/>
    <w:rsid w:val="00F45921"/>
    <w:rsid w:val="00F45B6C"/>
    <w:rsid w:val="00F45DE0"/>
    <w:rsid w:val="00F466D5"/>
    <w:rsid w:val="00F4696F"/>
    <w:rsid w:val="00F46A4F"/>
    <w:rsid w:val="00F46B34"/>
    <w:rsid w:val="00F46B76"/>
    <w:rsid w:val="00F46BA3"/>
    <w:rsid w:val="00F46CC6"/>
    <w:rsid w:val="00F46D4B"/>
    <w:rsid w:val="00F46DB1"/>
    <w:rsid w:val="00F46E1E"/>
    <w:rsid w:val="00F46EDF"/>
    <w:rsid w:val="00F46FB0"/>
    <w:rsid w:val="00F46FE7"/>
    <w:rsid w:val="00F47055"/>
    <w:rsid w:val="00F471BC"/>
    <w:rsid w:val="00F47214"/>
    <w:rsid w:val="00F474A1"/>
    <w:rsid w:val="00F4778C"/>
    <w:rsid w:val="00F47811"/>
    <w:rsid w:val="00F47860"/>
    <w:rsid w:val="00F47A7C"/>
    <w:rsid w:val="00F47B53"/>
    <w:rsid w:val="00F47C77"/>
    <w:rsid w:val="00F50193"/>
    <w:rsid w:val="00F5060B"/>
    <w:rsid w:val="00F506E6"/>
    <w:rsid w:val="00F507D8"/>
    <w:rsid w:val="00F50801"/>
    <w:rsid w:val="00F5087D"/>
    <w:rsid w:val="00F50917"/>
    <w:rsid w:val="00F50972"/>
    <w:rsid w:val="00F509E3"/>
    <w:rsid w:val="00F50A05"/>
    <w:rsid w:val="00F50BE7"/>
    <w:rsid w:val="00F50BF5"/>
    <w:rsid w:val="00F50C17"/>
    <w:rsid w:val="00F50CF7"/>
    <w:rsid w:val="00F50D6E"/>
    <w:rsid w:val="00F51010"/>
    <w:rsid w:val="00F51123"/>
    <w:rsid w:val="00F51229"/>
    <w:rsid w:val="00F514B7"/>
    <w:rsid w:val="00F514F2"/>
    <w:rsid w:val="00F515D1"/>
    <w:rsid w:val="00F518DF"/>
    <w:rsid w:val="00F519C7"/>
    <w:rsid w:val="00F51F03"/>
    <w:rsid w:val="00F51F2D"/>
    <w:rsid w:val="00F51FE7"/>
    <w:rsid w:val="00F520AB"/>
    <w:rsid w:val="00F522A2"/>
    <w:rsid w:val="00F5261C"/>
    <w:rsid w:val="00F5278A"/>
    <w:rsid w:val="00F527BF"/>
    <w:rsid w:val="00F52A97"/>
    <w:rsid w:val="00F52AE9"/>
    <w:rsid w:val="00F52DF2"/>
    <w:rsid w:val="00F52EDC"/>
    <w:rsid w:val="00F530BF"/>
    <w:rsid w:val="00F53246"/>
    <w:rsid w:val="00F536F3"/>
    <w:rsid w:val="00F537F4"/>
    <w:rsid w:val="00F53847"/>
    <w:rsid w:val="00F53856"/>
    <w:rsid w:val="00F53A0A"/>
    <w:rsid w:val="00F53B94"/>
    <w:rsid w:val="00F53CA3"/>
    <w:rsid w:val="00F53E27"/>
    <w:rsid w:val="00F53EE8"/>
    <w:rsid w:val="00F53F79"/>
    <w:rsid w:val="00F54269"/>
    <w:rsid w:val="00F544FF"/>
    <w:rsid w:val="00F5456A"/>
    <w:rsid w:val="00F546C7"/>
    <w:rsid w:val="00F54706"/>
    <w:rsid w:val="00F548EC"/>
    <w:rsid w:val="00F54A78"/>
    <w:rsid w:val="00F54C2D"/>
    <w:rsid w:val="00F55112"/>
    <w:rsid w:val="00F55711"/>
    <w:rsid w:val="00F557B7"/>
    <w:rsid w:val="00F557C2"/>
    <w:rsid w:val="00F557DD"/>
    <w:rsid w:val="00F5583B"/>
    <w:rsid w:val="00F5594B"/>
    <w:rsid w:val="00F55B79"/>
    <w:rsid w:val="00F55B7E"/>
    <w:rsid w:val="00F55BA8"/>
    <w:rsid w:val="00F55D90"/>
    <w:rsid w:val="00F56101"/>
    <w:rsid w:val="00F56178"/>
    <w:rsid w:val="00F5624D"/>
    <w:rsid w:val="00F563AD"/>
    <w:rsid w:val="00F565C7"/>
    <w:rsid w:val="00F565D0"/>
    <w:rsid w:val="00F5695C"/>
    <w:rsid w:val="00F56BF3"/>
    <w:rsid w:val="00F56CBA"/>
    <w:rsid w:val="00F56E56"/>
    <w:rsid w:val="00F57110"/>
    <w:rsid w:val="00F57162"/>
    <w:rsid w:val="00F571B8"/>
    <w:rsid w:val="00F574DC"/>
    <w:rsid w:val="00F575A9"/>
    <w:rsid w:val="00F5789C"/>
    <w:rsid w:val="00F579FB"/>
    <w:rsid w:val="00F57A08"/>
    <w:rsid w:val="00F57A19"/>
    <w:rsid w:val="00F57EFA"/>
    <w:rsid w:val="00F57F6B"/>
    <w:rsid w:val="00F60075"/>
    <w:rsid w:val="00F602F3"/>
    <w:rsid w:val="00F60347"/>
    <w:rsid w:val="00F604E6"/>
    <w:rsid w:val="00F60621"/>
    <w:rsid w:val="00F607CB"/>
    <w:rsid w:val="00F608E3"/>
    <w:rsid w:val="00F60AE5"/>
    <w:rsid w:val="00F60B18"/>
    <w:rsid w:val="00F60D3B"/>
    <w:rsid w:val="00F60E67"/>
    <w:rsid w:val="00F61016"/>
    <w:rsid w:val="00F61461"/>
    <w:rsid w:val="00F6185C"/>
    <w:rsid w:val="00F6187C"/>
    <w:rsid w:val="00F61B23"/>
    <w:rsid w:val="00F61D31"/>
    <w:rsid w:val="00F621FF"/>
    <w:rsid w:val="00F62391"/>
    <w:rsid w:val="00F623BE"/>
    <w:rsid w:val="00F627D7"/>
    <w:rsid w:val="00F62AA8"/>
    <w:rsid w:val="00F62D6C"/>
    <w:rsid w:val="00F62E1B"/>
    <w:rsid w:val="00F62E93"/>
    <w:rsid w:val="00F63216"/>
    <w:rsid w:val="00F63378"/>
    <w:rsid w:val="00F6370A"/>
    <w:rsid w:val="00F63A24"/>
    <w:rsid w:val="00F63D1D"/>
    <w:rsid w:val="00F63D33"/>
    <w:rsid w:val="00F63F52"/>
    <w:rsid w:val="00F640BE"/>
    <w:rsid w:val="00F64223"/>
    <w:rsid w:val="00F643F6"/>
    <w:rsid w:val="00F645B4"/>
    <w:rsid w:val="00F64817"/>
    <w:rsid w:val="00F649D8"/>
    <w:rsid w:val="00F64BBB"/>
    <w:rsid w:val="00F64BC8"/>
    <w:rsid w:val="00F64F4B"/>
    <w:rsid w:val="00F652D0"/>
    <w:rsid w:val="00F654E2"/>
    <w:rsid w:val="00F65630"/>
    <w:rsid w:val="00F656E7"/>
    <w:rsid w:val="00F65743"/>
    <w:rsid w:val="00F65845"/>
    <w:rsid w:val="00F65945"/>
    <w:rsid w:val="00F659E0"/>
    <w:rsid w:val="00F65C9E"/>
    <w:rsid w:val="00F65EEA"/>
    <w:rsid w:val="00F65F80"/>
    <w:rsid w:val="00F6602B"/>
    <w:rsid w:val="00F660A1"/>
    <w:rsid w:val="00F6640C"/>
    <w:rsid w:val="00F6645C"/>
    <w:rsid w:val="00F6663A"/>
    <w:rsid w:val="00F666E8"/>
    <w:rsid w:val="00F669E1"/>
    <w:rsid w:val="00F66A53"/>
    <w:rsid w:val="00F66E4B"/>
    <w:rsid w:val="00F6721A"/>
    <w:rsid w:val="00F672A7"/>
    <w:rsid w:val="00F67931"/>
    <w:rsid w:val="00F700A2"/>
    <w:rsid w:val="00F700CB"/>
    <w:rsid w:val="00F70687"/>
    <w:rsid w:val="00F7095C"/>
    <w:rsid w:val="00F709C9"/>
    <w:rsid w:val="00F70ADB"/>
    <w:rsid w:val="00F70D6F"/>
    <w:rsid w:val="00F70E46"/>
    <w:rsid w:val="00F70EE8"/>
    <w:rsid w:val="00F70FCC"/>
    <w:rsid w:val="00F7106F"/>
    <w:rsid w:val="00F710A8"/>
    <w:rsid w:val="00F71187"/>
    <w:rsid w:val="00F711D9"/>
    <w:rsid w:val="00F711DD"/>
    <w:rsid w:val="00F7136B"/>
    <w:rsid w:val="00F717B4"/>
    <w:rsid w:val="00F718CA"/>
    <w:rsid w:val="00F71A2D"/>
    <w:rsid w:val="00F71B90"/>
    <w:rsid w:val="00F71DC8"/>
    <w:rsid w:val="00F7214A"/>
    <w:rsid w:val="00F7227A"/>
    <w:rsid w:val="00F72611"/>
    <w:rsid w:val="00F72A0A"/>
    <w:rsid w:val="00F72A80"/>
    <w:rsid w:val="00F72C38"/>
    <w:rsid w:val="00F72D70"/>
    <w:rsid w:val="00F72F42"/>
    <w:rsid w:val="00F72FC1"/>
    <w:rsid w:val="00F73319"/>
    <w:rsid w:val="00F73392"/>
    <w:rsid w:val="00F7383F"/>
    <w:rsid w:val="00F7399E"/>
    <w:rsid w:val="00F739F5"/>
    <w:rsid w:val="00F73BBA"/>
    <w:rsid w:val="00F73C1D"/>
    <w:rsid w:val="00F73FA4"/>
    <w:rsid w:val="00F741C6"/>
    <w:rsid w:val="00F7422F"/>
    <w:rsid w:val="00F74472"/>
    <w:rsid w:val="00F74546"/>
    <w:rsid w:val="00F74C76"/>
    <w:rsid w:val="00F74E36"/>
    <w:rsid w:val="00F750A7"/>
    <w:rsid w:val="00F756EE"/>
    <w:rsid w:val="00F75A4A"/>
    <w:rsid w:val="00F75B7D"/>
    <w:rsid w:val="00F75D92"/>
    <w:rsid w:val="00F75FCE"/>
    <w:rsid w:val="00F760E7"/>
    <w:rsid w:val="00F760E9"/>
    <w:rsid w:val="00F76788"/>
    <w:rsid w:val="00F76A65"/>
    <w:rsid w:val="00F76CBD"/>
    <w:rsid w:val="00F76E01"/>
    <w:rsid w:val="00F77055"/>
    <w:rsid w:val="00F77089"/>
    <w:rsid w:val="00F77129"/>
    <w:rsid w:val="00F7772C"/>
    <w:rsid w:val="00F7780A"/>
    <w:rsid w:val="00F77880"/>
    <w:rsid w:val="00F77A92"/>
    <w:rsid w:val="00F77C0F"/>
    <w:rsid w:val="00F77DC5"/>
    <w:rsid w:val="00F77EB5"/>
    <w:rsid w:val="00F80134"/>
    <w:rsid w:val="00F8029C"/>
    <w:rsid w:val="00F802FB"/>
    <w:rsid w:val="00F8045D"/>
    <w:rsid w:val="00F80639"/>
    <w:rsid w:val="00F80A75"/>
    <w:rsid w:val="00F80BE2"/>
    <w:rsid w:val="00F80E8D"/>
    <w:rsid w:val="00F80FD3"/>
    <w:rsid w:val="00F810C1"/>
    <w:rsid w:val="00F810F3"/>
    <w:rsid w:val="00F81114"/>
    <w:rsid w:val="00F811F3"/>
    <w:rsid w:val="00F81341"/>
    <w:rsid w:val="00F816DB"/>
    <w:rsid w:val="00F8195D"/>
    <w:rsid w:val="00F81964"/>
    <w:rsid w:val="00F8197D"/>
    <w:rsid w:val="00F81AFB"/>
    <w:rsid w:val="00F81B4B"/>
    <w:rsid w:val="00F81C3C"/>
    <w:rsid w:val="00F81C76"/>
    <w:rsid w:val="00F81DF1"/>
    <w:rsid w:val="00F8213E"/>
    <w:rsid w:val="00F821D5"/>
    <w:rsid w:val="00F822C8"/>
    <w:rsid w:val="00F823BA"/>
    <w:rsid w:val="00F8257B"/>
    <w:rsid w:val="00F828BD"/>
    <w:rsid w:val="00F829C1"/>
    <w:rsid w:val="00F82AD5"/>
    <w:rsid w:val="00F82B14"/>
    <w:rsid w:val="00F82C59"/>
    <w:rsid w:val="00F82D16"/>
    <w:rsid w:val="00F82F90"/>
    <w:rsid w:val="00F82FAB"/>
    <w:rsid w:val="00F8313C"/>
    <w:rsid w:val="00F83245"/>
    <w:rsid w:val="00F832AA"/>
    <w:rsid w:val="00F8331B"/>
    <w:rsid w:val="00F83819"/>
    <w:rsid w:val="00F8386F"/>
    <w:rsid w:val="00F83997"/>
    <w:rsid w:val="00F83F74"/>
    <w:rsid w:val="00F845E3"/>
    <w:rsid w:val="00F84811"/>
    <w:rsid w:val="00F84AB2"/>
    <w:rsid w:val="00F84B52"/>
    <w:rsid w:val="00F84CA3"/>
    <w:rsid w:val="00F84EA8"/>
    <w:rsid w:val="00F84F45"/>
    <w:rsid w:val="00F8505D"/>
    <w:rsid w:val="00F8530F"/>
    <w:rsid w:val="00F8543B"/>
    <w:rsid w:val="00F85667"/>
    <w:rsid w:val="00F85715"/>
    <w:rsid w:val="00F85854"/>
    <w:rsid w:val="00F85C5E"/>
    <w:rsid w:val="00F85D33"/>
    <w:rsid w:val="00F85DE2"/>
    <w:rsid w:val="00F85F05"/>
    <w:rsid w:val="00F85F81"/>
    <w:rsid w:val="00F86207"/>
    <w:rsid w:val="00F8621C"/>
    <w:rsid w:val="00F862BD"/>
    <w:rsid w:val="00F863C8"/>
    <w:rsid w:val="00F864B1"/>
    <w:rsid w:val="00F86A6A"/>
    <w:rsid w:val="00F86AFE"/>
    <w:rsid w:val="00F87025"/>
    <w:rsid w:val="00F87086"/>
    <w:rsid w:val="00F8746D"/>
    <w:rsid w:val="00F8751D"/>
    <w:rsid w:val="00F875DE"/>
    <w:rsid w:val="00F8774E"/>
    <w:rsid w:val="00F87825"/>
    <w:rsid w:val="00F879AA"/>
    <w:rsid w:val="00F879C6"/>
    <w:rsid w:val="00F87BDA"/>
    <w:rsid w:val="00F9009D"/>
    <w:rsid w:val="00F902D3"/>
    <w:rsid w:val="00F9033E"/>
    <w:rsid w:val="00F904AF"/>
    <w:rsid w:val="00F905A6"/>
    <w:rsid w:val="00F905AC"/>
    <w:rsid w:val="00F90816"/>
    <w:rsid w:val="00F90A37"/>
    <w:rsid w:val="00F90F25"/>
    <w:rsid w:val="00F91034"/>
    <w:rsid w:val="00F9113E"/>
    <w:rsid w:val="00F91370"/>
    <w:rsid w:val="00F913D3"/>
    <w:rsid w:val="00F914AE"/>
    <w:rsid w:val="00F91694"/>
    <w:rsid w:val="00F916F6"/>
    <w:rsid w:val="00F91803"/>
    <w:rsid w:val="00F918DE"/>
    <w:rsid w:val="00F91AB9"/>
    <w:rsid w:val="00F91CFB"/>
    <w:rsid w:val="00F91FA2"/>
    <w:rsid w:val="00F91FDB"/>
    <w:rsid w:val="00F92086"/>
    <w:rsid w:val="00F9220D"/>
    <w:rsid w:val="00F9221C"/>
    <w:rsid w:val="00F92319"/>
    <w:rsid w:val="00F925C9"/>
    <w:rsid w:val="00F925F7"/>
    <w:rsid w:val="00F926A4"/>
    <w:rsid w:val="00F926E5"/>
    <w:rsid w:val="00F927A3"/>
    <w:rsid w:val="00F92873"/>
    <w:rsid w:val="00F928F2"/>
    <w:rsid w:val="00F929AE"/>
    <w:rsid w:val="00F930D8"/>
    <w:rsid w:val="00F937AF"/>
    <w:rsid w:val="00F93C58"/>
    <w:rsid w:val="00F93DC1"/>
    <w:rsid w:val="00F93E5C"/>
    <w:rsid w:val="00F93F75"/>
    <w:rsid w:val="00F941BA"/>
    <w:rsid w:val="00F9420B"/>
    <w:rsid w:val="00F94429"/>
    <w:rsid w:val="00F94534"/>
    <w:rsid w:val="00F9482F"/>
    <w:rsid w:val="00F94897"/>
    <w:rsid w:val="00F94A0C"/>
    <w:rsid w:val="00F94A10"/>
    <w:rsid w:val="00F94D17"/>
    <w:rsid w:val="00F94FD1"/>
    <w:rsid w:val="00F95105"/>
    <w:rsid w:val="00F952BF"/>
    <w:rsid w:val="00F954B0"/>
    <w:rsid w:val="00F9566B"/>
    <w:rsid w:val="00F959B4"/>
    <w:rsid w:val="00F95E55"/>
    <w:rsid w:val="00F95F60"/>
    <w:rsid w:val="00F960D7"/>
    <w:rsid w:val="00F96275"/>
    <w:rsid w:val="00F963B4"/>
    <w:rsid w:val="00F96580"/>
    <w:rsid w:val="00F966C5"/>
    <w:rsid w:val="00F967AE"/>
    <w:rsid w:val="00F970ED"/>
    <w:rsid w:val="00F97122"/>
    <w:rsid w:val="00F97285"/>
    <w:rsid w:val="00F97459"/>
    <w:rsid w:val="00F975F5"/>
    <w:rsid w:val="00F97631"/>
    <w:rsid w:val="00F976BE"/>
    <w:rsid w:val="00F9786E"/>
    <w:rsid w:val="00F97A3F"/>
    <w:rsid w:val="00F97B7E"/>
    <w:rsid w:val="00F97B8A"/>
    <w:rsid w:val="00F97BDA"/>
    <w:rsid w:val="00FA04A5"/>
    <w:rsid w:val="00FA07AA"/>
    <w:rsid w:val="00FA07AF"/>
    <w:rsid w:val="00FA0957"/>
    <w:rsid w:val="00FA09FE"/>
    <w:rsid w:val="00FA0B14"/>
    <w:rsid w:val="00FA0B5C"/>
    <w:rsid w:val="00FA0D57"/>
    <w:rsid w:val="00FA0E90"/>
    <w:rsid w:val="00FA0FBC"/>
    <w:rsid w:val="00FA1173"/>
    <w:rsid w:val="00FA11BC"/>
    <w:rsid w:val="00FA131B"/>
    <w:rsid w:val="00FA1440"/>
    <w:rsid w:val="00FA179A"/>
    <w:rsid w:val="00FA1887"/>
    <w:rsid w:val="00FA196D"/>
    <w:rsid w:val="00FA1AAF"/>
    <w:rsid w:val="00FA2169"/>
    <w:rsid w:val="00FA2691"/>
    <w:rsid w:val="00FA26E9"/>
    <w:rsid w:val="00FA2C17"/>
    <w:rsid w:val="00FA2C50"/>
    <w:rsid w:val="00FA2D35"/>
    <w:rsid w:val="00FA2F82"/>
    <w:rsid w:val="00FA3542"/>
    <w:rsid w:val="00FA360F"/>
    <w:rsid w:val="00FA372B"/>
    <w:rsid w:val="00FA3868"/>
    <w:rsid w:val="00FA3A99"/>
    <w:rsid w:val="00FA3ABC"/>
    <w:rsid w:val="00FA3C65"/>
    <w:rsid w:val="00FA3EAA"/>
    <w:rsid w:val="00FA3F8C"/>
    <w:rsid w:val="00FA4019"/>
    <w:rsid w:val="00FA425E"/>
    <w:rsid w:val="00FA43BE"/>
    <w:rsid w:val="00FA43C2"/>
    <w:rsid w:val="00FA460E"/>
    <w:rsid w:val="00FA4B4A"/>
    <w:rsid w:val="00FA4C0B"/>
    <w:rsid w:val="00FA4E0F"/>
    <w:rsid w:val="00FA5017"/>
    <w:rsid w:val="00FA528E"/>
    <w:rsid w:val="00FA561B"/>
    <w:rsid w:val="00FA589D"/>
    <w:rsid w:val="00FA5C5F"/>
    <w:rsid w:val="00FA5C91"/>
    <w:rsid w:val="00FA5DAE"/>
    <w:rsid w:val="00FA62EF"/>
    <w:rsid w:val="00FA6384"/>
    <w:rsid w:val="00FA668D"/>
    <w:rsid w:val="00FA6991"/>
    <w:rsid w:val="00FA6C61"/>
    <w:rsid w:val="00FA6D62"/>
    <w:rsid w:val="00FA6F11"/>
    <w:rsid w:val="00FA6F66"/>
    <w:rsid w:val="00FA7544"/>
    <w:rsid w:val="00FA7727"/>
    <w:rsid w:val="00FA77DE"/>
    <w:rsid w:val="00FA7C86"/>
    <w:rsid w:val="00FA7CE2"/>
    <w:rsid w:val="00FA7DF2"/>
    <w:rsid w:val="00FB00FB"/>
    <w:rsid w:val="00FB0105"/>
    <w:rsid w:val="00FB0127"/>
    <w:rsid w:val="00FB0523"/>
    <w:rsid w:val="00FB057B"/>
    <w:rsid w:val="00FB0589"/>
    <w:rsid w:val="00FB0711"/>
    <w:rsid w:val="00FB07DB"/>
    <w:rsid w:val="00FB0B9B"/>
    <w:rsid w:val="00FB0D3C"/>
    <w:rsid w:val="00FB1040"/>
    <w:rsid w:val="00FB129F"/>
    <w:rsid w:val="00FB1365"/>
    <w:rsid w:val="00FB1524"/>
    <w:rsid w:val="00FB1735"/>
    <w:rsid w:val="00FB1C34"/>
    <w:rsid w:val="00FB1D79"/>
    <w:rsid w:val="00FB1F86"/>
    <w:rsid w:val="00FB2105"/>
    <w:rsid w:val="00FB222D"/>
    <w:rsid w:val="00FB22BE"/>
    <w:rsid w:val="00FB22E1"/>
    <w:rsid w:val="00FB22E3"/>
    <w:rsid w:val="00FB2339"/>
    <w:rsid w:val="00FB2400"/>
    <w:rsid w:val="00FB246B"/>
    <w:rsid w:val="00FB2766"/>
    <w:rsid w:val="00FB28D0"/>
    <w:rsid w:val="00FB297D"/>
    <w:rsid w:val="00FB2D70"/>
    <w:rsid w:val="00FB2E31"/>
    <w:rsid w:val="00FB2FBB"/>
    <w:rsid w:val="00FB36D7"/>
    <w:rsid w:val="00FB36FF"/>
    <w:rsid w:val="00FB3BF4"/>
    <w:rsid w:val="00FB3CF3"/>
    <w:rsid w:val="00FB4156"/>
    <w:rsid w:val="00FB420A"/>
    <w:rsid w:val="00FB4248"/>
    <w:rsid w:val="00FB42B3"/>
    <w:rsid w:val="00FB4647"/>
    <w:rsid w:val="00FB4862"/>
    <w:rsid w:val="00FB4B8B"/>
    <w:rsid w:val="00FB4B8C"/>
    <w:rsid w:val="00FB500C"/>
    <w:rsid w:val="00FB50F5"/>
    <w:rsid w:val="00FB5803"/>
    <w:rsid w:val="00FB5808"/>
    <w:rsid w:val="00FB59F3"/>
    <w:rsid w:val="00FB5A96"/>
    <w:rsid w:val="00FB5E72"/>
    <w:rsid w:val="00FB5F31"/>
    <w:rsid w:val="00FB5F9E"/>
    <w:rsid w:val="00FB5FB1"/>
    <w:rsid w:val="00FB63FC"/>
    <w:rsid w:val="00FB68C8"/>
    <w:rsid w:val="00FB69C9"/>
    <w:rsid w:val="00FB6A4B"/>
    <w:rsid w:val="00FB6A9A"/>
    <w:rsid w:val="00FB6BA8"/>
    <w:rsid w:val="00FB6E04"/>
    <w:rsid w:val="00FB70FF"/>
    <w:rsid w:val="00FB739E"/>
    <w:rsid w:val="00FB7733"/>
    <w:rsid w:val="00FB77D2"/>
    <w:rsid w:val="00FB797F"/>
    <w:rsid w:val="00FB7B71"/>
    <w:rsid w:val="00FB7C16"/>
    <w:rsid w:val="00FB7C19"/>
    <w:rsid w:val="00FB7E2F"/>
    <w:rsid w:val="00FC0073"/>
    <w:rsid w:val="00FC036E"/>
    <w:rsid w:val="00FC047F"/>
    <w:rsid w:val="00FC049F"/>
    <w:rsid w:val="00FC0694"/>
    <w:rsid w:val="00FC08B9"/>
    <w:rsid w:val="00FC09AB"/>
    <w:rsid w:val="00FC0A33"/>
    <w:rsid w:val="00FC0B48"/>
    <w:rsid w:val="00FC0B5B"/>
    <w:rsid w:val="00FC1632"/>
    <w:rsid w:val="00FC1977"/>
    <w:rsid w:val="00FC19F8"/>
    <w:rsid w:val="00FC1D18"/>
    <w:rsid w:val="00FC1DCE"/>
    <w:rsid w:val="00FC1E83"/>
    <w:rsid w:val="00FC21CB"/>
    <w:rsid w:val="00FC2216"/>
    <w:rsid w:val="00FC2338"/>
    <w:rsid w:val="00FC23B9"/>
    <w:rsid w:val="00FC23EC"/>
    <w:rsid w:val="00FC25C0"/>
    <w:rsid w:val="00FC2796"/>
    <w:rsid w:val="00FC2D8C"/>
    <w:rsid w:val="00FC2E63"/>
    <w:rsid w:val="00FC32AC"/>
    <w:rsid w:val="00FC342B"/>
    <w:rsid w:val="00FC34D3"/>
    <w:rsid w:val="00FC3947"/>
    <w:rsid w:val="00FC3C72"/>
    <w:rsid w:val="00FC3C9E"/>
    <w:rsid w:val="00FC3DC0"/>
    <w:rsid w:val="00FC3E22"/>
    <w:rsid w:val="00FC3E6D"/>
    <w:rsid w:val="00FC3E8D"/>
    <w:rsid w:val="00FC4310"/>
    <w:rsid w:val="00FC4503"/>
    <w:rsid w:val="00FC45FA"/>
    <w:rsid w:val="00FC4894"/>
    <w:rsid w:val="00FC4899"/>
    <w:rsid w:val="00FC4AE3"/>
    <w:rsid w:val="00FC4D39"/>
    <w:rsid w:val="00FC55ED"/>
    <w:rsid w:val="00FC570B"/>
    <w:rsid w:val="00FC58A2"/>
    <w:rsid w:val="00FC6022"/>
    <w:rsid w:val="00FC6091"/>
    <w:rsid w:val="00FC6461"/>
    <w:rsid w:val="00FC65B3"/>
    <w:rsid w:val="00FC65F7"/>
    <w:rsid w:val="00FC67EF"/>
    <w:rsid w:val="00FC6BA2"/>
    <w:rsid w:val="00FC6D82"/>
    <w:rsid w:val="00FC6E15"/>
    <w:rsid w:val="00FC6EF3"/>
    <w:rsid w:val="00FC6FE7"/>
    <w:rsid w:val="00FC6FFF"/>
    <w:rsid w:val="00FC70A2"/>
    <w:rsid w:val="00FC7448"/>
    <w:rsid w:val="00FC771E"/>
    <w:rsid w:val="00FC7769"/>
    <w:rsid w:val="00FC78EE"/>
    <w:rsid w:val="00FC7C68"/>
    <w:rsid w:val="00FC7CF3"/>
    <w:rsid w:val="00FC7E0E"/>
    <w:rsid w:val="00FD000A"/>
    <w:rsid w:val="00FD0105"/>
    <w:rsid w:val="00FD079A"/>
    <w:rsid w:val="00FD088F"/>
    <w:rsid w:val="00FD09F2"/>
    <w:rsid w:val="00FD0A64"/>
    <w:rsid w:val="00FD0B9B"/>
    <w:rsid w:val="00FD0BD0"/>
    <w:rsid w:val="00FD0BEE"/>
    <w:rsid w:val="00FD0E3A"/>
    <w:rsid w:val="00FD0F7A"/>
    <w:rsid w:val="00FD1292"/>
    <w:rsid w:val="00FD12E2"/>
    <w:rsid w:val="00FD1878"/>
    <w:rsid w:val="00FD19B7"/>
    <w:rsid w:val="00FD1A59"/>
    <w:rsid w:val="00FD1BFC"/>
    <w:rsid w:val="00FD1C73"/>
    <w:rsid w:val="00FD1F2D"/>
    <w:rsid w:val="00FD1FBC"/>
    <w:rsid w:val="00FD2011"/>
    <w:rsid w:val="00FD203D"/>
    <w:rsid w:val="00FD2151"/>
    <w:rsid w:val="00FD2251"/>
    <w:rsid w:val="00FD238B"/>
    <w:rsid w:val="00FD23D6"/>
    <w:rsid w:val="00FD24BC"/>
    <w:rsid w:val="00FD2902"/>
    <w:rsid w:val="00FD2DAD"/>
    <w:rsid w:val="00FD2F9E"/>
    <w:rsid w:val="00FD3114"/>
    <w:rsid w:val="00FD32FB"/>
    <w:rsid w:val="00FD373B"/>
    <w:rsid w:val="00FD384B"/>
    <w:rsid w:val="00FD3ACA"/>
    <w:rsid w:val="00FD3AD3"/>
    <w:rsid w:val="00FD3B0E"/>
    <w:rsid w:val="00FD3CFF"/>
    <w:rsid w:val="00FD3E8C"/>
    <w:rsid w:val="00FD3EDA"/>
    <w:rsid w:val="00FD3FA6"/>
    <w:rsid w:val="00FD4091"/>
    <w:rsid w:val="00FD412C"/>
    <w:rsid w:val="00FD4168"/>
    <w:rsid w:val="00FD41FE"/>
    <w:rsid w:val="00FD47AA"/>
    <w:rsid w:val="00FD49CD"/>
    <w:rsid w:val="00FD4CC5"/>
    <w:rsid w:val="00FD4D16"/>
    <w:rsid w:val="00FD4F21"/>
    <w:rsid w:val="00FD503B"/>
    <w:rsid w:val="00FD53CB"/>
    <w:rsid w:val="00FD53D4"/>
    <w:rsid w:val="00FD557D"/>
    <w:rsid w:val="00FD58BF"/>
    <w:rsid w:val="00FD59B5"/>
    <w:rsid w:val="00FD5ADE"/>
    <w:rsid w:val="00FD5B88"/>
    <w:rsid w:val="00FD5CBC"/>
    <w:rsid w:val="00FD61DD"/>
    <w:rsid w:val="00FD61F5"/>
    <w:rsid w:val="00FD621E"/>
    <w:rsid w:val="00FD6262"/>
    <w:rsid w:val="00FD628C"/>
    <w:rsid w:val="00FD631D"/>
    <w:rsid w:val="00FD661B"/>
    <w:rsid w:val="00FD681C"/>
    <w:rsid w:val="00FD6878"/>
    <w:rsid w:val="00FD68CD"/>
    <w:rsid w:val="00FD68D1"/>
    <w:rsid w:val="00FD69A3"/>
    <w:rsid w:val="00FD69C8"/>
    <w:rsid w:val="00FD6A8B"/>
    <w:rsid w:val="00FD6B0A"/>
    <w:rsid w:val="00FD6F14"/>
    <w:rsid w:val="00FD70C6"/>
    <w:rsid w:val="00FD70D7"/>
    <w:rsid w:val="00FD71C5"/>
    <w:rsid w:val="00FD71E9"/>
    <w:rsid w:val="00FD7415"/>
    <w:rsid w:val="00FD76C0"/>
    <w:rsid w:val="00FD7825"/>
    <w:rsid w:val="00FD7861"/>
    <w:rsid w:val="00FD7906"/>
    <w:rsid w:val="00FD7AB9"/>
    <w:rsid w:val="00FD7B71"/>
    <w:rsid w:val="00FE003B"/>
    <w:rsid w:val="00FE0084"/>
    <w:rsid w:val="00FE042D"/>
    <w:rsid w:val="00FE054F"/>
    <w:rsid w:val="00FE05DA"/>
    <w:rsid w:val="00FE0780"/>
    <w:rsid w:val="00FE0994"/>
    <w:rsid w:val="00FE0F67"/>
    <w:rsid w:val="00FE1090"/>
    <w:rsid w:val="00FE13FA"/>
    <w:rsid w:val="00FE13FF"/>
    <w:rsid w:val="00FE1501"/>
    <w:rsid w:val="00FE163E"/>
    <w:rsid w:val="00FE1876"/>
    <w:rsid w:val="00FE1F9A"/>
    <w:rsid w:val="00FE2295"/>
    <w:rsid w:val="00FE234F"/>
    <w:rsid w:val="00FE23B4"/>
    <w:rsid w:val="00FE24D7"/>
    <w:rsid w:val="00FE2602"/>
    <w:rsid w:val="00FE279F"/>
    <w:rsid w:val="00FE2880"/>
    <w:rsid w:val="00FE2998"/>
    <w:rsid w:val="00FE2A6F"/>
    <w:rsid w:val="00FE2BF5"/>
    <w:rsid w:val="00FE2D4B"/>
    <w:rsid w:val="00FE2F4F"/>
    <w:rsid w:val="00FE3046"/>
    <w:rsid w:val="00FE3113"/>
    <w:rsid w:val="00FE31A8"/>
    <w:rsid w:val="00FE3349"/>
    <w:rsid w:val="00FE3610"/>
    <w:rsid w:val="00FE37A5"/>
    <w:rsid w:val="00FE3B19"/>
    <w:rsid w:val="00FE3BBE"/>
    <w:rsid w:val="00FE3E75"/>
    <w:rsid w:val="00FE3FC3"/>
    <w:rsid w:val="00FE4018"/>
    <w:rsid w:val="00FE4051"/>
    <w:rsid w:val="00FE40F4"/>
    <w:rsid w:val="00FE4469"/>
    <w:rsid w:val="00FE468E"/>
    <w:rsid w:val="00FE484B"/>
    <w:rsid w:val="00FE48F2"/>
    <w:rsid w:val="00FE49DE"/>
    <w:rsid w:val="00FE49E8"/>
    <w:rsid w:val="00FE4D32"/>
    <w:rsid w:val="00FE4D73"/>
    <w:rsid w:val="00FE4E4E"/>
    <w:rsid w:val="00FE4EB3"/>
    <w:rsid w:val="00FE5234"/>
    <w:rsid w:val="00FE54FF"/>
    <w:rsid w:val="00FE5608"/>
    <w:rsid w:val="00FE56A6"/>
    <w:rsid w:val="00FE56FB"/>
    <w:rsid w:val="00FE58F6"/>
    <w:rsid w:val="00FE5987"/>
    <w:rsid w:val="00FE59C9"/>
    <w:rsid w:val="00FE5A0A"/>
    <w:rsid w:val="00FE5B85"/>
    <w:rsid w:val="00FE5BA5"/>
    <w:rsid w:val="00FE5C5D"/>
    <w:rsid w:val="00FE5E30"/>
    <w:rsid w:val="00FE5F8F"/>
    <w:rsid w:val="00FE5FD9"/>
    <w:rsid w:val="00FE6102"/>
    <w:rsid w:val="00FE617B"/>
    <w:rsid w:val="00FE6653"/>
    <w:rsid w:val="00FE6A13"/>
    <w:rsid w:val="00FE6CBF"/>
    <w:rsid w:val="00FE6FFA"/>
    <w:rsid w:val="00FE7098"/>
    <w:rsid w:val="00FE7122"/>
    <w:rsid w:val="00FE744C"/>
    <w:rsid w:val="00FE7465"/>
    <w:rsid w:val="00FE7842"/>
    <w:rsid w:val="00FE7B86"/>
    <w:rsid w:val="00FE7C96"/>
    <w:rsid w:val="00FE7F04"/>
    <w:rsid w:val="00FE7FA7"/>
    <w:rsid w:val="00FF01B2"/>
    <w:rsid w:val="00FF0225"/>
    <w:rsid w:val="00FF05E5"/>
    <w:rsid w:val="00FF07DF"/>
    <w:rsid w:val="00FF0A01"/>
    <w:rsid w:val="00FF0E08"/>
    <w:rsid w:val="00FF101B"/>
    <w:rsid w:val="00FF11BB"/>
    <w:rsid w:val="00FF12B9"/>
    <w:rsid w:val="00FF160B"/>
    <w:rsid w:val="00FF1A19"/>
    <w:rsid w:val="00FF1A84"/>
    <w:rsid w:val="00FF1D93"/>
    <w:rsid w:val="00FF20E4"/>
    <w:rsid w:val="00FF2343"/>
    <w:rsid w:val="00FF26F1"/>
    <w:rsid w:val="00FF2A60"/>
    <w:rsid w:val="00FF2C14"/>
    <w:rsid w:val="00FF2C3C"/>
    <w:rsid w:val="00FF2DAB"/>
    <w:rsid w:val="00FF2DF1"/>
    <w:rsid w:val="00FF2E30"/>
    <w:rsid w:val="00FF3094"/>
    <w:rsid w:val="00FF30E0"/>
    <w:rsid w:val="00FF3204"/>
    <w:rsid w:val="00FF32BF"/>
    <w:rsid w:val="00FF35EE"/>
    <w:rsid w:val="00FF37CC"/>
    <w:rsid w:val="00FF38E6"/>
    <w:rsid w:val="00FF3C48"/>
    <w:rsid w:val="00FF3E67"/>
    <w:rsid w:val="00FF4114"/>
    <w:rsid w:val="00FF41D0"/>
    <w:rsid w:val="00FF4278"/>
    <w:rsid w:val="00FF48D3"/>
    <w:rsid w:val="00FF4B30"/>
    <w:rsid w:val="00FF4C61"/>
    <w:rsid w:val="00FF4CD5"/>
    <w:rsid w:val="00FF4CE9"/>
    <w:rsid w:val="00FF4DC2"/>
    <w:rsid w:val="00FF4E84"/>
    <w:rsid w:val="00FF4EAE"/>
    <w:rsid w:val="00FF4ED9"/>
    <w:rsid w:val="00FF5324"/>
    <w:rsid w:val="00FF539C"/>
    <w:rsid w:val="00FF53A9"/>
    <w:rsid w:val="00FF5501"/>
    <w:rsid w:val="00FF5509"/>
    <w:rsid w:val="00FF5593"/>
    <w:rsid w:val="00FF575C"/>
    <w:rsid w:val="00FF578B"/>
    <w:rsid w:val="00FF586F"/>
    <w:rsid w:val="00FF590C"/>
    <w:rsid w:val="00FF5913"/>
    <w:rsid w:val="00FF59CB"/>
    <w:rsid w:val="00FF5B9C"/>
    <w:rsid w:val="00FF5C3D"/>
    <w:rsid w:val="00FF61E3"/>
    <w:rsid w:val="00FF6353"/>
    <w:rsid w:val="00FF63BB"/>
    <w:rsid w:val="00FF6450"/>
    <w:rsid w:val="00FF64EE"/>
    <w:rsid w:val="00FF65FF"/>
    <w:rsid w:val="00FF671A"/>
    <w:rsid w:val="00FF6832"/>
    <w:rsid w:val="00FF6BC7"/>
    <w:rsid w:val="00FF6E47"/>
    <w:rsid w:val="00FF6ED3"/>
    <w:rsid w:val="00FF6FC5"/>
    <w:rsid w:val="00FF74FD"/>
    <w:rsid w:val="00FF77E6"/>
    <w:rsid w:val="00FF78F2"/>
    <w:rsid w:val="00FF79FC"/>
    <w:rsid w:val="00FF7BCD"/>
    <w:rsid w:val="00FF7E0A"/>
    <w:rsid w:val="021A6D35"/>
    <w:rsid w:val="03593915"/>
    <w:rsid w:val="0815DFD3"/>
    <w:rsid w:val="087F75A9"/>
    <w:rsid w:val="0A323436"/>
    <w:rsid w:val="0D84A9F0"/>
    <w:rsid w:val="0F289345"/>
    <w:rsid w:val="12266FE7"/>
    <w:rsid w:val="123B08DD"/>
    <w:rsid w:val="13CF87F0"/>
    <w:rsid w:val="13ECA448"/>
    <w:rsid w:val="15E565C5"/>
    <w:rsid w:val="18BC693B"/>
    <w:rsid w:val="1B6A7F37"/>
    <w:rsid w:val="206606AA"/>
    <w:rsid w:val="2A03A8CD"/>
    <w:rsid w:val="2CC2D9CF"/>
    <w:rsid w:val="3EC382D3"/>
    <w:rsid w:val="45B0C33D"/>
    <w:rsid w:val="48F670E1"/>
    <w:rsid w:val="4971B19E"/>
    <w:rsid w:val="530FAF2F"/>
    <w:rsid w:val="576AB269"/>
    <w:rsid w:val="5B073290"/>
    <w:rsid w:val="61007A5E"/>
    <w:rsid w:val="63AC57BA"/>
    <w:rsid w:val="665C4CC7"/>
    <w:rsid w:val="67C7EBDC"/>
    <w:rsid w:val="74C9C61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E3F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24"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qFormat="1"/>
    <w:lsdException w:name="List Bullet 3" w:semiHidden="1" w:uiPriority="4" w:unhideWhenUsed="1" w:qFormat="1"/>
    <w:lsdException w:name="List Bullet 4" w:semiHidden="1" w:uiPriority="0" w:unhideWhenUsed="1"/>
    <w:lsdException w:name="List Bullet 5" w:semiHidden="1" w:unhideWhenUsed="1"/>
    <w:lsdException w:name="List Number 2" w:semiHidden="1" w:uiPriority="5" w:unhideWhenUsed="1" w:qFormat="1"/>
    <w:lsdException w:name="List Number 3" w:semiHidden="1" w:uiPriority="5" w:unhideWhenUsed="1" w:qFormat="1"/>
    <w:lsdException w:name="List Number 4" w:semiHidden="1" w:unhideWhenUsed="1"/>
    <w:lsdException w:name="List Number 5" w:semiHidden="1" w:unhideWhenUsed="1"/>
    <w:lsdException w:name="Title" w:uiPriority="24"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BE0"/>
    <w:pPr>
      <w:spacing w:after="100" w:line="264" w:lineRule="auto"/>
    </w:pPr>
    <w:rPr>
      <w:rFonts w:ascii="Arial" w:hAnsi="Arial"/>
    </w:rPr>
  </w:style>
  <w:style w:type="paragraph" w:styleId="Heading1">
    <w:name w:val="heading 1"/>
    <w:basedOn w:val="Normal"/>
    <w:next w:val="Normal"/>
    <w:link w:val="Heading1Char"/>
    <w:uiPriority w:val="9"/>
    <w:qFormat/>
    <w:rsid w:val="00D12938"/>
    <w:pPr>
      <w:keepNext/>
      <w:keepLines/>
      <w:spacing w:before="240" w:after="0" w:line="276" w:lineRule="auto"/>
      <w:outlineLvl w:val="0"/>
    </w:pPr>
    <w:rPr>
      <w:rFonts w:eastAsiaTheme="majorEastAsia" w:cstheme="majorBidi"/>
      <w:b/>
      <w:color w:val="4B0885" w:themeColor="text2"/>
      <w:sz w:val="56"/>
      <w:szCs w:val="32"/>
    </w:rPr>
  </w:style>
  <w:style w:type="paragraph" w:styleId="Heading2">
    <w:name w:val="heading 2"/>
    <w:basedOn w:val="Normal"/>
    <w:next w:val="Normal"/>
    <w:link w:val="Heading2Char"/>
    <w:uiPriority w:val="9"/>
    <w:unhideWhenUsed/>
    <w:qFormat/>
    <w:rsid w:val="00D12938"/>
    <w:pPr>
      <w:keepNext/>
      <w:keepLines/>
      <w:spacing w:before="240" w:after="0" w:line="276" w:lineRule="auto"/>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D12938"/>
    <w:pPr>
      <w:keepNext/>
      <w:keepLines/>
      <w:spacing w:before="240" w:after="0" w:line="276" w:lineRule="auto"/>
      <w:outlineLvl w:val="2"/>
    </w:pPr>
    <w:rPr>
      <w:rFonts w:eastAsiaTheme="majorEastAsia" w:cstheme="majorBidi"/>
      <w:b/>
      <w:color w:val="4B0885" w:themeColor="text2"/>
      <w:sz w:val="26"/>
      <w:szCs w:val="24"/>
    </w:rPr>
  </w:style>
  <w:style w:type="paragraph" w:styleId="Heading4">
    <w:name w:val="heading 4"/>
    <w:basedOn w:val="Normal"/>
    <w:next w:val="Normal"/>
    <w:link w:val="Heading4Char"/>
    <w:uiPriority w:val="9"/>
    <w:unhideWhenUsed/>
    <w:qFormat/>
    <w:rsid w:val="00D12938"/>
    <w:pPr>
      <w:spacing w:before="240" w:after="0" w:line="276" w:lineRule="auto"/>
      <w:outlineLvl w:val="3"/>
    </w:pPr>
    <w:rPr>
      <w:rFonts w:cs="Arial"/>
      <w:b/>
      <w:bCs/>
      <w:color w:val="012749" w:themeColor="accent3"/>
    </w:rPr>
  </w:style>
  <w:style w:type="paragraph" w:styleId="Heading5">
    <w:name w:val="heading 5"/>
    <w:basedOn w:val="Normal"/>
    <w:next w:val="Normal"/>
    <w:link w:val="Heading5Char"/>
    <w:uiPriority w:val="9"/>
    <w:unhideWhenUsed/>
    <w:qFormat/>
    <w:rsid w:val="007B049B"/>
    <w:pPr>
      <w:spacing w:before="240" w:after="0" w:line="276" w:lineRule="auto"/>
      <w:outlineLvl w:val="4"/>
    </w:pPr>
    <w:rPr>
      <w:rFonts w:cs="Arial"/>
      <w:b/>
      <w:color w:val="4B0885" w:themeColor="text2"/>
      <w:szCs w:val="19"/>
    </w:rPr>
  </w:style>
  <w:style w:type="paragraph" w:styleId="Heading6">
    <w:name w:val="heading 6"/>
    <w:basedOn w:val="Normal"/>
    <w:next w:val="Normal"/>
    <w:link w:val="Heading6Char"/>
    <w:uiPriority w:val="9"/>
    <w:unhideWhenUsed/>
    <w:qFormat/>
    <w:rsid w:val="00D12938"/>
    <w:pPr>
      <w:keepNext/>
      <w:keepLines/>
      <w:spacing w:before="240" w:after="0" w:line="276" w:lineRule="auto"/>
      <w:outlineLvl w:val="5"/>
    </w:pPr>
    <w:rPr>
      <w:rFonts w:eastAsiaTheme="majorEastAsia" w:cstheme="majorBidi"/>
      <w:color w:val="341461" w:themeColor="accent1" w:themeShade="7F"/>
    </w:rPr>
  </w:style>
  <w:style w:type="paragraph" w:styleId="Heading7">
    <w:name w:val="heading 7"/>
    <w:basedOn w:val="Normal"/>
    <w:next w:val="Normal"/>
    <w:link w:val="Heading7Char"/>
    <w:uiPriority w:val="9"/>
    <w:unhideWhenUsed/>
    <w:qFormat/>
    <w:rsid w:val="00642A9A"/>
    <w:pPr>
      <w:keepNext/>
      <w:keepLines/>
      <w:spacing w:before="240" w:after="0"/>
      <w:outlineLvl w:val="6"/>
    </w:pPr>
    <w:rPr>
      <w:rFonts w:asciiTheme="majorHAnsi" w:eastAsiaTheme="majorEastAsia" w:hAnsiTheme="majorHAnsi" w:cstheme="majorBidi"/>
      <w:i/>
      <w:iCs/>
      <w:color w:val="341461" w:themeColor="accent1" w:themeShade="7F"/>
    </w:rPr>
  </w:style>
  <w:style w:type="paragraph" w:styleId="Heading8">
    <w:name w:val="heading 8"/>
    <w:basedOn w:val="Normal"/>
    <w:next w:val="Normal"/>
    <w:link w:val="Heading8Char"/>
    <w:uiPriority w:val="9"/>
    <w:semiHidden/>
    <w:unhideWhenUsed/>
    <w:qFormat/>
    <w:rsid w:val="00642A9A"/>
    <w:pPr>
      <w:keepNext/>
      <w:keepLines/>
      <w:spacing w:before="2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2A9A"/>
    <w:pPr>
      <w:keepNext/>
      <w:keepLines/>
      <w:spacing w:before="2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UnresolvedMention">
    <w:name w:val="Unresolved Mention"/>
    <w:basedOn w:val="DefaultParagraphFont"/>
    <w:uiPriority w:val="99"/>
    <w:semiHidden/>
    <w:unhideWhenUsed/>
    <w:rsid w:val="00E82EEB"/>
    <w:rPr>
      <w:color w:val="605E5C"/>
      <w:shd w:val="clear" w:color="auto" w:fill="E1DFDD"/>
    </w:rPr>
  </w:style>
  <w:style w:type="paragraph" w:styleId="Footer">
    <w:name w:val="footer"/>
    <w:basedOn w:val="Normal"/>
    <w:link w:val="FooterChar"/>
    <w:uiPriority w:val="99"/>
    <w:unhideWhenUsed/>
    <w:rsid w:val="00991526"/>
    <w:pPr>
      <w:tabs>
        <w:tab w:val="right" w:pos="9026"/>
      </w:tabs>
      <w:spacing w:before="20" w:after="0" w:line="240" w:lineRule="auto"/>
    </w:pPr>
    <w:rPr>
      <w:sz w:val="17"/>
      <w:szCs w:val="17"/>
    </w:rPr>
  </w:style>
  <w:style w:type="character" w:customStyle="1" w:styleId="FooterChar">
    <w:name w:val="Footer Char"/>
    <w:basedOn w:val="DefaultParagraphFont"/>
    <w:link w:val="Footer"/>
    <w:uiPriority w:val="99"/>
    <w:rsid w:val="00991526"/>
    <w:rPr>
      <w:color w:val="000000" w:themeColor="text1"/>
      <w:sz w:val="17"/>
      <w:szCs w:val="17"/>
    </w:rPr>
  </w:style>
  <w:style w:type="paragraph" w:styleId="Title">
    <w:name w:val="Title"/>
    <w:basedOn w:val="Normal"/>
    <w:next w:val="Normal"/>
    <w:link w:val="TitleChar"/>
    <w:uiPriority w:val="24"/>
    <w:qFormat/>
    <w:rsid w:val="00233A75"/>
    <w:pPr>
      <w:spacing w:before="2600" w:after="240" w:line="252" w:lineRule="auto"/>
    </w:pPr>
    <w:rPr>
      <w:rFonts w:asciiTheme="majorHAnsi" w:eastAsiaTheme="majorEastAsia" w:hAnsiTheme="majorHAnsi" w:cstheme="majorBidi"/>
      <w:b/>
      <w:color w:val="FFFFFF" w:themeColor="background1"/>
      <w:spacing w:val="-2"/>
      <w:kern w:val="28"/>
      <w:sz w:val="80"/>
      <w:szCs w:val="80"/>
    </w:rPr>
  </w:style>
  <w:style w:type="character" w:customStyle="1" w:styleId="TitleChar">
    <w:name w:val="Title Char"/>
    <w:basedOn w:val="DefaultParagraphFont"/>
    <w:link w:val="Title"/>
    <w:uiPriority w:val="24"/>
    <w:rsid w:val="00233A75"/>
    <w:rPr>
      <w:rFonts w:asciiTheme="majorHAnsi" w:eastAsiaTheme="majorEastAsia" w:hAnsiTheme="majorHAnsi" w:cstheme="majorBidi"/>
      <w:b/>
      <w:color w:val="FFFFFF" w:themeColor="background1"/>
      <w:spacing w:val="-2"/>
      <w:kern w:val="28"/>
      <w:sz w:val="80"/>
      <w:szCs w:val="80"/>
    </w:rPr>
  </w:style>
  <w:style w:type="character" w:customStyle="1" w:styleId="Heading1Char">
    <w:name w:val="Heading 1 Char"/>
    <w:basedOn w:val="DefaultParagraphFont"/>
    <w:link w:val="Heading1"/>
    <w:uiPriority w:val="9"/>
    <w:rsid w:val="00D12938"/>
    <w:rPr>
      <w:rFonts w:ascii="Arial" w:eastAsiaTheme="majorEastAsia" w:hAnsi="Arial" w:cstheme="majorBidi"/>
      <w:b/>
      <w:color w:val="4B0885" w:themeColor="text2"/>
      <w:sz w:val="56"/>
      <w:szCs w:val="32"/>
    </w:rPr>
  </w:style>
  <w:style w:type="paragraph" w:styleId="TOCHeading">
    <w:name w:val="TOC Heading"/>
    <w:basedOn w:val="Heading1"/>
    <w:next w:val="Normal"/>
    <w:uiPriority w:val="39"/>
    <w:unhideWhenUsed/>
    <w:qFormat/>
    <w:rsid w:val="007177A7"/>
    <w:pPr>
      <w:outlineLvl w:val="9"/>
    </w:pPr>
    <w:rPr>
      <w:lang w:val="en-US"/>
    </w:rPr>
  </w:style>
  <w:style w:type="paragraph" w:styleId="ListParagraph">
    <w:name w:val="List Paragraph"/>
    <w:basedOn w:val="Normal"/>
    <w:uiPriority w:val="34"/>
    <w:qFormat/>
    <w:rsid w:val="00E148F7"/>
    <w:pPr>
      <w:ind w:left="720"/>
      <w:contextualSpacing/>
    </w:pPr>
  </w:style>
  <w:style w:type="table" w:styleId="TableGrid">
    <w:name w:val="Table Grid"/>
    <w:basedOn w:val="TableNormal"/>
    <w:uiPriority w:val="39"/>
    <w:rsid w:val="00F43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7DBD"/>
    <w:rPr>
      <w:sz w:val="16"/>
      <w:szCs w:val="16"/>
    </w:rPr>
  </w:style>
  <w:style w:type="paragraph" w:styleId="CommentText">
    <w:name w:val="annotation text"/>
    <w:basedOn w:val="Normal"/>
    <w:link w:val="CommentTextChar"/>
    <w:uiPriority w:val="99"/>
    <w:unhideWhenUsed/>
    <w:rsid w:val="007F7DBD"/>
    <w:pPr>
      <w:spacing w:line="240" w:lineRule="auto"/>
    </w:pPr>
    <w:rPr>
      <w:sz w:val="20"/>
      <w:szCs w:val="20"/>
    </w:rPr>
  </w:style>
  <w:style w:type="character" w:customStyle="1" w:styleId="CommentTextChar">
    <w:name w:val="Comment Text Char"/>
    <w:basedOn w:val="DefaultParagraphFont"/>
    <w:link w:val="CommentText"/>
    <w:uiPriority w:val="99"/>
    <w:rsid w:val="007F7DBD"/>
    <w:rPr>
      <w:sz w:val="20"/>
      <w:szCs w:val="20"/>
    </w:rPr>
  </w:style>
  <w:style w:type="paragraph" w:styleId="CommentSubject">
    <w:name w:val="annotation subject"/>
    <w:basedOn w:val="CommentText"/>
    <w:next w:val="CommentText"/>
    <w:link w:val="CommentSubjectChar"/>
    <w:uiPriority w:val="99"/>
    <w:semiHidden/>
    <w:unhideWhenUsed/>
    <w:rsid w:val="007F7DBD"/>
    <w:rPr>
      <w:b/>
      <w:bCs/>
    </w:rPr>
  </w:style>
  <w:style w:type="character" w:customStyle="1" w:styleId="CommentSubjectChar">
    <w:name w:val="Comment Subject Char"/>
    <w:basedOn w:val="CommentTextChar"/>
    <w:link w:val="CommentSubject"/>
    <w:uiPriority w:val="99"/>
    <w:semiHidden/>
    <w:rsid w:val="007F7DBD"/>
    <w:rPr>
      <w:b/>
      <w:bCs/>
      <w:sz w:val="20"/>
      <w:szCs w:val="20"/>
    </w:rPr>
  </w:style>
  <w:style w:type="paragraph" w:styleId="NoSpacing">
    <w:name w:val="No Spacing"/>
    <w:uiPriority w:val="1"/>
    <w:qFormat/>
    <w:rsid w:val="006C282B"/>
    <w:pPr>
      <w:spacing w:after="0" w:line="240" w:lineRule="auto"/>
    </w:pPr>
    <w:rPr>
      <w:rFonts w:ascii="Arial" w:hAnsi="Arial"/>
    </w:rPr>
  </w:style>
  <w:style w:type="table" w:styleId="PlainTable4">
    <w:name w:val="Plain Table 4"/>
    <w:basedOn w:val="TableNormal"/>
    <w:uiPriority w:val="44"/>
    <w:rsid w:val="006066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uiPriority w:val="4"/>
    <w:qFormat/>
    <w:rsid w:val="006C282B"/>
    <w:pPr>
      <w:numPr>
        <w:numId w:val="1"/>
      </w:numPr>
      <w:spacing w:after="120"/>
      <w:ind w:left="284" w:hanging="284"/>
    </w:pPr>
    <w:rPr>
      <w:rFonts w:eastAsia="SimSun" w:cs="Times New Roman"/>
      <w:spacing w:val="-1"/>
      <w:szCs w:val="20"/>
      <w:lang w:val="en-GB" w:eastAsia="en-GB"/>
    </w:rPr>
  </w:style>
  <w:style w:type="character" w:customStyle="1" w:styleId="Heading2Char">
    <w:name w:val="Heading 2 Char"/>
    <w:basedOn w:val="DefaultParagraphFont"/>
    <w:link w:val="Heading2"/>
    <w:uiPriority w:val="9"/>
    <w:rsid w:val="00D12938"/>
    <w:rPr>
      <w:rFonts w:ascii="Arial" w:eastAsiaTheme="majorEastAsia" w:hAnsi="Arial" w:cstheme="majorBidi"/>
      <w:b/>
      <w:sz w:val="32"/>
      <w:szCs w:val="26"/>
    </w:rPr>
  </w:style>
  <w:style w:type="paragraph" w:styleId="TOC1">
    <w:name w:val="toc 1"/>
    <w:basedOn w:val="Normal"/>
    <w:next w:val="Normal"/>
    <w:uiPriority w:val="39"/>
    <w:unhideWhenUsed/>
    <w:rsid w:val="00A3043E"/>
    <w:rPr>
      <w:b/>
      <w:color w:val="4B0885" w:themeColor="text2"/>
    </w:rPr>
  </w:style>
  <w:style w:type="character" w:customStyle="1" w:styleId="Heading3Char">
    <w:name w:val="Heading 3 Char"/>
    <w:basedOn w:val="DefaultParagraphFont"/>
    <w:link w:val="Heading3"/>
    <w:uiPriority w:val="9"/>
    <w:rsid w:val="00D12938"/>
    <w:rPr>
      <w:rFonts w:ascii="Arial" w:eastAsiaTheme="majorEastAsia" w:hAnsi="Arial" w:cstheme="majorBidi"/>
      <w:b/>
      <w:color w:val="4B0885" w:themeColor="text2"/>
      <w:sz w:val="26"/>
      <w:szCs w:val="24"/>
    </w:rPr>
  </w:style>
  <w:style w:type="paragraph" w:styleId="TOC2">
    <w:name w:val="toc 2"/>
    <w:basedOn w:val="Normal"/>
    <w:next w:val="Normal"/>
    <w:uiPriority w:val="39"/>
    <w:unhideWhenUsed/>
    <w:rsid w:val="00233A75"/>
    <w:pPr>
      <w:ind w:left="227"/>
    </w:pPr>
  </w:style>
  <w:style w:type="paragraph" w:styleId="TOC4">
    <w:name w:val="toc 4"/>
    <w:basedOn w:val="Normal"/>
    <w:next w:val="Normal"/>
    <w:autoRedefine/>
    <w:uiPriority w:val="39"/>
    <w:unhideWhenUsed/>
    <w:rsid w:val="007B2AD6"/>
    <w:pPr>
      <w:tabs>
        <w:tab w:val="right" w:leader="dot" w:pos="9016"/>
      </w:tabs>
      <w:ind w:left="220"/>
    </w:pPr>
  </w:style>
  <w:style w:type="paragraph" w:styleId="TOC3">
    <w:name w:val="toc 3"/>
    <w:basedOn w:val="Normal"/>
    <w:next w:val="Normal"/>
    <w:uiPriority w:val="39"/>
    <w:unhideWhenUsed/>
    <w:rsid w:val="00233A75"/>
    <w:pPr>
      <w:tabs>
        <w:tab w:val="right" w:leader="dot" w:pos="9016"/>
      </w:tabs>
      <w:ind w:left="454"/>
    </w:pPr>
  </w:style>
  <w:style w:type="paragraph" w:styleId="TOC5">
    <w:name w:val="toc 5"/>
    <w:basedOn w:val="Normal"/>
    <w:next w:val="Normal"/>
    <w:autoRedefine/>
    <w:uiPriority w:val="39"/>
    <w:unhideWhenUsed/>
    <w:rsid w:val="007B2AD6"/>
    <w:pPr>
      <w:tabs>
        <w:tab w:val="right" w:leader="dot" w:pos="9016"/>
      </w:tabs>
      <w:ind w:left="220"/>
    </w:pPr>
  </w:style>
  <w:style w:type="character" w:styleId="Hyperlink">
    <w:name w:val="Hyperlink"/>
    <w:basedOn w:val="DefaultParagraphFont"/>
    <w:uiPriority w:val="99"/>
    <w:unhideWhenUsed/>
    <w:qFormat/>
    <w:rsid w:val="00A93DF6"/>
    <w:rPr>
      <w:color w:val="013D74" w:themeColor="hyperlink"/>
      <w:u w:val="single"/>
    </w:rPr>
  </w:style>
  <w:style w:type="paragraph" w:styleId="ListBullet2">
    <w:name w:val="List Bullet 2"/>
    <w:basedOn w:val="Normal"/>
    <w:uiPriority w:val="4"/>
    <w:qFormat/>
    <w:rsid w:val="006C282B"/>
    <w:pPr>
      <w:numPr>
        <w:ilvl w:val="1"/>
        <w:numId w:val="1"/>
      </w:numPr>
      <w:spacing w:after="110"/>
      <w:ind w:left="568" w:hanging="284"/>
    </w:pPr>
    <w:rPr>
      <w:rFonts w:eastAsia="SimSun" w:cs="Times New Roman"/>
      <w:spacing w:val="-1"/>
      <w:szCs w:val="20"/>
      <w:lang w:val="en-GB" w:eastAsia="en-GB"/>
    </w:rPr>
  </w:style>
  <w:style w:type="paragraph" w:styleId="ListBullet3">
    <w:name w:val="List Bullet 3"/>
    <w:basedOn w:val="Normal"/>
    <w:uiPriority w:val="4"/>
    <w:qFormat/>
    <w:rsid w:val="00BE68F3"/>
    <w:pPr>
      <w:numPr>
        <w:ilvl w:val="2"/>
        <w:numId w:val="1"/>
      </w:numPr>
      <w:spacing w:line="240" w:lineRule="atLeast"/>
    </w:pPr>
    <w:rPr>
      <w:rFonts w:eastAsia="SimSun" w:cs="Times New Roman"/>
      <w:spacing w:val="-1"/>
      <w:szCs w:val="20"/>
      <w:lang w:val="en-GB" w:eastAsia="en-GB"/>
    </w:rPr>
  </w:style>
  <w:style w:type="paragraph" w:styleId="ListBullet4">
    <w:name w:val="List Bullet 4"/>
    <w:basedOn w:val="ListBullet3"/>
    <w:semiHidden/>
    <w:rsid w:val="00597EF7"/>
    <w:pPr>
      <w:numPr>
        <w:ilvl w:val="3"/>
      </w:numPr>
    </w:pPr>
  </w:style>
  <w:style w:type="character" w:customStyle="1" w:styleId="Heading4Char">
    <w:name w:val="Heading 4 Char"/>
    <w:basedOn w:val="DefaultParagraphFont"/>
    <w:link w:val="Heading4"/>
    <w:uiPriority w:val="9"/>
    <w:rsid w:val="00D12938"/>
    <w:rPr>
      <w:rFonts w:ascii="Arial" w:hAnsi="Arial" w:cs="Arial"/>
      <w:b/>
      <w:bCs/>
      <w:color w:val="012749" w:themeColor="accent3"/>
    </w:rPr>
  </w:style>
  <w:style w:type="character" w:customStyle="1" w:styleId="Heading5Char">
    <w:name w:val="Heading 5 Char"/>
    <w:basedOn w:val="DefaultParagraphFont"/>
    <w:link w:val="Heading5"/>
    <w:uiPriority w:val="9"/>
    <w:rsid w:val="007B049B"/>
    <w:rPr>
      <w:rFonts w:ascii="Arial" w:hAnsi="Arial" w:cs="Arial"/>
      <w:b/>
      <w:color w:val="4B0885" w:themeColor="text2"/>
      <w:szCs w:val="19"/>
    </w:rPr>
  </w:style>
  <w:style w:type="character" w:customStyle="1" w:styleId="Heading6Char">
    <w:name w:val="Heading 6 Char"/>
    <w:basedOn w:val="DefaultParagraphFont"/>
    <w:link w:val="Heading6"/>
    <w:uiPriority w:val="9"/>
    <w:rsid w:val="00D12938"/>
    <w:rPr>
      <w:rFonts w:ascii="Arial" w:eastAsiaTheme="majorEastAsia" w:hAnsi="Arial" w:cstheme="majorBidi"/>
      <w:color w:val="341461" w:themeColor="accent1" w:themeShade="7F"/>
    </w:rPr>
  </w:style>
  <w:style w:type="character" w:customStyle="1" w:styleId="Heading7Char">
    <w:name w:val="Heading 7 Char"/>
    <w:basedOn w:val="DefaultParagraphFont"/>
    <w:link w:val="Heading7"/>
    <w:uiPriority w:val="9"/>
    <w:rsid w:val="00642A9A"/>
    <w:rPr>
      <w:rFonts w:asciiTheme="majorHAnsi" w:eastAsiaTheme="majorEastAsia" w:hAnsiTheme="majorHAnsi" w:cstheme="majorBidi"/>
      <w:i/>
      <w:iCs/>
      <w:color w:val="341461" w:themeColor="accent1" w:themeShade="7F"/>
    </w:rPr>
  </w:style>
  <w:style w:type="paragraph" w:styleId="Header">
    <w:name w:val="header"/>
    <w:basedOn w:val="Normal"/>
    <w:link w:val="HeaderChar"/>
    <w:uiPriority w:val="99"/>
    <w:unhideWhenUsed/>
    <w:rsid w:val="00C40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E20"/>
    <w:rPr>
      <w:rFonts w:ascii="Arial" w:hAnsi="Arial"/>
      <w:color w:val="000000" w:themeColor="text1"/>
    </w:rPr>
  </w:style>
  <w:style w:type="paragraph" w:styleId="Caption">
    <w:name w:val="caption"/>
    <w:basedOn w:val="Normal"/>
    <w:next w:val="Normal"/>
    <w:uiPriority w:val="35"/>
    <w:unhideWhenUsed/>
    <w:qFormat/>
    <w:rsid w:val="00642A9A"/>
    <w:pPr>
      <w:keepNext/>
      <w:spacing w:before="320" w:after="200" w:line="240" w:lineRule="auto"/>
    </w:pPr>
    <w:rPr>
      <w:b/>
      <w:bCs/>
      <w:sz w:val="18"/>
      <w:szCs w:val="18"/>
    </w:rPr>
  </w:style>
  <w:style w:type="paragraph" w:styleId="Subtitle">
    <w:name w:val="Subtitle"/>
    <w:basedOn w:val="Normal"/>
    <w:next w:val="Normal"/>
    <w:link w:val="SubtitleChar"/>
    <w:uiPriority w:val="24"/>
    <w:qFormat/>
    <w:rsid w:val="00233A75"/>
    <w:pPr>
      <w:numPr>
        <w:ilvl w:val="1"/>
      </w:numPr>
      <w:spacing w:before="480" w:after="160"/>
    </w:pPr>
    <w:rPr>
      <w:rFonts w:asciiTheme="majorHAnsi" w:eastAsiaTheme="minorEastAsia" w:hAnsiTheme="majorHAnsi"/>
      <w:color w:val="FFFFFF" w:themeColor="background1"/>
      <w:sz w:val="48"/>
      <w:szCs w:val="48"/>
    </w:rPr>
  </w:style>
  <w:style w:type="character" w:customStyle="1" w:styleId="SubtitleChar">
    <w:name w:val="Subtitle Char"/>
    <w:basedOn w:val="DefaultParagraphFont"/>
    <w:link w:val="Subtitle"/>
    <w:uiPriority w:val="24"/>
    <w:rsid w:val="00233A75"/>
    <w:rPr>
      <w:rFonts w:asciiTheme="majorHAnsi" w:eastAsiaTheme="minorEastAsia" w:hAnsiTheme="majorHAnsi"/>
      <w:color w:val="FFFFFF" w:themeColor="background1"/>
      <w:sz w:val="48"/>
      <w:szCs w:val="48"/>
    </w:rPr>
  </w:style>
  <w:style w:type="paragraph" w:customStyle="1" w:styleId="Spacer">
    <w:name w:val="Spacer"/>
    <w:basedOn w:val="NoSpacing"/>
    <w:qFormat/>
    <w:rsid w:val="00506CD7"/>
    <w:pPr>
      <w:tabs>
        <w:tab w:val="left" w:pos="2906"/>
      </w:tabs>
    </w:pPr>
    <w:rPr>
      <w:rFonts w:ascii="Times New Roman" w:hAnsi="Times New Roman" w:cs="Times New Roman"/>
      <w:bCs/>
      <w:noProof/>
      <w:color w:val="E55493" w:themeColor="accent6" w:themeTint="99"/>
      <w:spacing w:val="-5"/>
      <w:sz w:val="6"/>
      <w:szCs w:val="23"/>
    </w:rPr>
  </w:style>
  <w:style w:type="character" w:styleId="PlaceholderText">
    <w:name w:val="Placeholder Text"/>
    <w:basedOn w:val="DefaultParagraphFont"/>
    <w:uiPriority w:val="99"/>
    <w:rsid w:val="00C6447C"/>
    <w:rPr>
      <w:color w:val="808080"/>
    </w:rPr>
  </w:style>
  <w:style w:type="paragraph" w:customStyle="1" w:styleId="Source">
    <w:name w:val="Source"/>
    <w:basedOn w:val="Normal"/>
    <w:next w:val="Normal"/>
    <w:uiPriority w:val="17"/>
    <w:qFormat/>
    <w:rsid w:val="00AF2783"/>
    <w:pPr>
      <w:spacing w:before="120" w:after="120"/>
    </w:pPr>
    <w:rPr>
      <w:sz w:val="18"/>
      <w:szCs w:val="18"/>
    </w:rPr>
  </w:style>
  <w:style w:type="paragraph" w:styleId="MacroText">
    <w:name w:val="macro"/>
    <w:link w:val="MacroTextChar"/>
    <w:uiPriority w:val="99"/>
    <w:unhideWhenUsed/>
    <w:rsid w:val="00AF2783"/>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sz w:val="20"/>
      <w:szCs w:val="20"/>
    </w:rPr>
  </w:style>
  <w:style w:type="character" w:customStyle="1" w:styleId="MacroTextChar">
    <w:name w:val="Macro Text Char"/>
    <w:basedOn w:val="DefaultParagraphFont"/>
    <w:link w:val="MacroText"/>
    <w:uiPriority w:val="99"/>
    <w:rsid w:val="00AF2783"/>
    <w:rPr>
      <w:rFonts w:ascii="Consolas" w:hAnsi="Consolas"/>
      <w:sz w:val="20"/>
      <w:szCs w:val="20"/>
    </w:rPr>
  </w:style>
  <w:style w:type="table" w:customStyle="1" w:styleId="JSATable1">
    <w:name w:val="JSA Table 1"/>
    <w:basedOn w:val="TableNormal"/>
    <w:uiPriority w:val="99"/>
    <w:rsid w:val="00D73EA4"/>
    <w:pPr>
      <w:spacing w:after="0" w:line="240" w:lineRule="auto"/>
    </w:pPr>
    <w:tblPr>
      <w:tblStyleRowBandSize w:val="1"/>
      <w:tblBorders>
        <w:bottom w:val="single" w:sz="4" w:space="0" w:color="4B0885"/>
      </w:tblBorders>
    </w:tblPr>
    <w:tblStylePr w:type="firstRow">
      <w:tblPr/>
      <w:tcPr>
        <w:shd w:val="clear" w:color="auto" w:fill="2F005F"/>
      </w:tcPr>
    </w:tblStylePr>
    <w:tblStylePr w:type="band2Horz">
      <w:tblPr/>
      <w:tcPr>
        <w:shd w:val="clear" w:color="auto" w:fill="E6E6E6"/>
      </w:tcPr>
    </w:tblStylePr>
  </w:style>
  <w:style w:type="table" w:customStyle="1" w:styleId="JSATable2">
    <w:name w:val="JSA Table 2"/>
    <w:basedOn w:val="TableNormal"/>
    <w:uiPriority w:val="99"/>
    <w:rsid w:val="00A74E0F"/>
    <w:pPr>
      <w:spacing w:after="0" w:line="240" w:lineRule="auto"/>
    </w:pPr>
    <w:tblPr>
      <w:tblStyleRowBandSize w:val="1"/>
      <w:tblBorders>
        <w:bottom w:val="single" w:sz="4" w:space="0" w:color="A584C2"/>
      </w:tblBorders>
    </w:tblPr>
    <w:tblStylePr w:type="firstRow">
      <w:rPr>
        <w:rFonts w:asciiTheme="majorHAnsi" w:hAnsiTheme="majorHAnsi"/>
        <w:color w:val="FFFFFF" w:themeColor="background1"/>
        <w:sz w:val="22"/>
      </w:rPr>
      <w:tblPr/>
      <w:tcPr>
        <w:shd w:val="clear" w:color="auto" w:fill="012749" w:themeFill="accent3"/>
      </w:tcPr>
    </w:tblStylePr>
    <w:tblStylePr w:type="band2Horz">
      <w:tblPr/>
      <w:tcPr>
        <w:shd w:val="clear" w:color="auto" w:fill="E6E6E6"/>
      </w:tcPr>
    </w:tblStylePr>
  </w:style>
  <w:style w:type="paragraph" w:styleId="Index7">
    <w:name w:val="index 7"/>
    <w:basedOn w:val="Normal"/>
    <w:next w:val="Normal"/>
    <w:autoRedefine/>
    <w:uiPriority w:val="99"/>
    <w:semiHidden/>
    <w:unhideWhenUsed/>
    <w:rsid w:val="00244550"/>
    <w:pPr>
      <w:spacing w:before="240" w:after="0" w:line="240" w:lineRule="auto"/>
      <w:ind w:left="1542" w:hanging="221"/>
    </w:pPr>
  </w:style>
  <w:style w:type="character" w:customStyle="1" w:styleId="Heading8Char">
    <w:name w:val="Heading 8 Char"/>
    <w:basedOn w:val="DefaultParagraphFont"/>
    <w:link w:val="Heading8"/>
    <w:uiPriority w:val="9"/>
    <w:semiHidden/>
    <w:rsid w:val="00642A9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42A9A"/>
    <w:rPr>
      <w:rFonts w:asciiTheme="majorHAnsi" w:eastAsiaTheme="majorEastAsia" w:hAnsiTheme="majorHAnsi" w:cstheme="majorBidi"/>
      <w:i/>
      <w:iCs/>
      <w:color w:val="272727" w:themeColor="text1" w:themeTint="D8"/>
      <w:sz w:val="21"/>
      <w:szCs w:val="21"/>
    </w:rPr>
  </w:style>
  <w:style w:type="character" w:customStyle="1" w:styleId="StrongandEmphasis">
    <w:name w:val="Strong and Emphasis"/>
    <w:basedOn w:val="DefaultParagraphFont"/>
    <w:uiPriority w:val="1"/>
    <w:qFormat/>
    <w:rsid w:val="00D12938"/>
    <w:rPr>
      <w:rFonts w:ascii="Arial" w:hAnsi="Arial"/>
      <w:b/>
      <w:i/>
      <w:sz w:val="22"/>
    </w:rPr>
  </w:style>
  <w:style w:type="character" w:styleId="Emphasis">
    <w:name w:val="Emphasis"/>
    <w:basedOn w:val="DefaultParagraphFont"/>
    <w:uiPriority w:val="20"/>
    <w:qFormat/>
    <w:rsid w:val="002927DB"/>
    <w:rPr>
      <w:rFonts w:ascii="Arial" w:hAnsi="Arial"/>
      <w:i/>
      <w:iCs/>
      <w:sz w:val="22"/>
    </w:rPr>
  </w:style>
  <w:style w:type="character" w:styleId="Strong">
    <w:name w:val="Strong"/>
    <w:basedOn w:val="DefaultParagraphFont"/>
    <w:uiPriority w:val="22"/>
    <w:qFormat/>
    <w:rsid w:val="00DB0916"/>
    <w:rPr>
      <w:rFonts w:ascii="Arial" w:hAnsi="Arial"/>
      <w:b/>
      <w:bCs/>
      <w:sz w:val="22"/>
    </w:rPr>
  </w:style>
  <w:style w:type="paragraph" w:styleId="Quote">
    <w:name w:val="Quote"/>
    <w:basedOn w:val="Normal"/>
    <w:next w:val="Normal"/>
    <w:link w:val="QuoteChar"/>
    <w:uiPriority w:val="29"/>
    <w:qFormat/>
    <w:rsid w:val="00DB091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B0916"/>
    <w:rPr>
      <w:rFonts w:ascii="Arial" w:hAnsi="Arial"/>
      <w:i/>
      <w:iCs/>
      <w:color w:val="404040" w:themeColor="text1" w:themeTint="BF"/>
    </w:rPr>
  </w:style>
  <w:style w:type="character" w:customStyle="1" w:styleId="Characterbold">
    <w:name w:val="Character (bold)"/>
    <w:basedOn w:val="DefaultParagraphFont"/>
    <w:uiPriority w:val="2"/>
    <w:qFormat/>
    <w:rsid w:val="006B590D"/>
    <w:rPr>
      <w:b/>
      <w:lang w:val="en-AU"/>
    </w:rPr>
  </w:style>
  <w:style w:type="character" w:customStyle="1" w:styleId="Characteritalic">
    <w:name w:val="Character (italic)"/>
    <w:basedOn w:val="DefaultParagraphFont"/>
    <w:uiPriority w:val="2"/>
    <w:qFormat/>
    <w:rsid w:val="006B590D"/>
    <w:rPr>
      <w:i/>
      <w:lang w:val="en-AU"/>
    </w:rPr>
  </w:style>
  <w:style w:type="paragraph" w:styleId="BodyText">
    <w:name w:val="Body Text"/>
    <w:basedOn w:val="Normal"/>
    <w:link w:val="BodyTextChar"/>
    <w:qFormat/>
    <w:rsid w:val="006B590D"/>
    <w:pPr>
      <w:tabs>
        <w:tab w:val="left" w:pos="357"/>
        <w:tab w:val="left" w:pos="714"/>
        <w:tab w:val="left" w:pos="1072"/>
        <w:tab w:val="left" w:pos="1429"/>
      </w:tabs>
      <w:spacing w:before="120" w:after="120" w:line="276" w:lineRule="auto"/>
    </w:pPr>
    <w:rPr>
      <w:szCs w:val="20"/>
    </w:rPr>
  </w:style>
  <w:style w:type="character" w:customStyle="1" w:styleId="BodyTextChar">
    <w:name w:val="Body Text Char"/>
    <w:basedOn w:val="DefaultParagraphFont"/>
    <w:link w:val="BodyText"/>
    <w:rsid w:val="006B590D"/>
    <w:rPr>
      <w:rFonts w:ascii="Arial" w:hAnsi="Arial"/>
      <w:szCs w:val="20"/>
    </w:rPr>
  </w:style>
  <w:style w:type="paragraph" w:customStyle="1" w:styleId="Image">
    <w:name w:val="Image"/>
    <w:basedOn w:val="Normal"/>
    <w:next w:val="BodyText"/>
    <w:uiPriority w:val="19"/>
    <w:qFormat/>
    <w:rsid w:val="006B590D"/>
    <w:pPr>
      <w:spacing w:before="120" w:after="120" w:line="276" w:lineRule="auto"/>
    </w:pPr>
    <w:rPr>
      <w:rFonts w:eastAsia="Times New Roman" w:cs="Times New Roman"/>
      <w:szCs w:val="24"/>
      <w:lang w:eastAsia="en-AU"/>
    </w:rPr>
  </w:style>
  <w:style w:type="paragraph" w:customStyle="1" w:styleId="Heading1unnumbered">
    <w:name w:val="Heading 1 (unnumbered)"/>
    <w:basedOn w:val="Heading1"/>
    <w:next w:val="BodyText"/>
    <w:uiPriority w:val="10"/>
    <w:rsid w:val="00AD6426"/>
    <w:rPr>
      <w:color w:val="4B0885"/>
      <w:szCs w:val="56"/>
    </w:rPr>
  </w:style>
  <w:style w:type="character" w:styleId="IntenseEmphasis">
    <w:name w:val="Intense Emphasis"/>
    <w:basedOn w:val="DefaultParagraphFont"/>
    <w:uiPriority w:val="21"/>
    <w:qFormat/>
    <w:rsid w:val="00D95E9A"/>
    <w:rPr>
      <w:i/>
      <w:iCs/>
      <w:color w:val="4E1E92" w:themeColor="accent1" w:themeShade="BF"/>
    </w:rPr>
  </w:style>
  <w:style w:type="paragraph" w:styleId="IntenseQuote">
    <w:name w:val="Intense Quote"/>
    <w:basedOn w:val="Normal"/>
    <w:next w:val="Normal"/>
    <w:link w:val="IntenseQuoteChar"/>
    <w:uiPriority w:val="30"/>
    <w:qFormat/>
    <w:rsid w:val="00D95E9A"/>
    <w:pPr>
      <w:pBdr>
        <w:top w:val="single" w:sz="4" w:space="10" w:color="4E1E92" w:themeColor="accent1" w:themeShade="BF"/>
        <w:bottom w:val="single" w:sz="4" w:space="10" w:color="4E1E92" w:themeColor="accent1" w:themeShade="BF"/>
      </w:pBdr>
      <w:spacing w:before="360" w:after="360" w:line="240" w:lineRule="auto"/>
      <w:ind w:left="864" w:right="864"/>
      <w:jc w:val="center"/>
    </w:pPr>
    <w:rPr>
      <w:i/>
      <w:iCs/>
      <w:color w:val="4E1E92" w:themeColor="accent1" w:themeShade="BF"/>
      <w:szCs w:val="20"/>
    </w:rPr>
  </w:style>
  <w:style w:type="character" w:customStyle="1" w:styleId="IntenseQuoteChar">
    <w:name w:val="Intense Quote Char"/>
    <w:basedOn w:val="DefaultParagraphFont"/>
    <w:link w:val="IntenseQuote"/>
    <w:uiPriority w:val="30"/>
    <w:rsid w:val="00D95E9A"/>
    <w:rPr>
      <w:rFonts w:ascii="Arial" w:hAnsi="Arial"/>
      <w:i/>
      <w:iCs/>
      <w:color w:val="4E1E92" w:themeColor="accent1" w:themeShade="BF"/>
      <w:szCs w:val="20"/>
    </w:rPr>
  </w:style>
  <w:style w:type="character" w:styleId="IntenseReference">
    <w:name w:val="Intense Reference"/>
    <w:basedOn w:val="DefaultParagraphFont"/>
    <w:uiPriority w:val="32"/>
    <w:qFormat/>
    <w:rsid w:val="00D95E9A"/>
    <w:rPr>
      <w:b/>
      <w:bCs/>
      <w:smallCaps/>
      <w:color w:val="4E1E92" w:themeColor="accent1" w:themeShade="BF"/>
      <w:spacing w:val="5"/>
    </w:rPr>
  </w:style>
  <w:style w:type="numbering" w:customStyle="1" w:styleId="ListBulletmaster">
    <w:name w:val="List Bullet (master)"/>
    <w:rsid w:val="00D95E9A"/>
    <w:pPr>
      <w:numPr>
        <w:numId w:val="4"/>
      </w:numPr>
    </w:pPr>
  </w:style>
  <w:style w:type="paragraph" w:customStyle="1" w:styleId="AppendixHeading1">
    <w:name w:val="Appendix Heading 1"/>
    <w:basedOn w:val="Heading1"/>
    <w:next w:val="BodyText"/>
    <w:uiPriority w:val="11"/>
    <w:qFormat/>
    <w:rsid w:val="00D95E9A"/>
    <w:pPr>
      <w:keepNext w:val="0"/>
      <w:keepLines w:val="0"/>
      <w:pageBreakBefore/>
      <w:numPr>
        <w:numId w:val="5"/>
      </w:numPr>
      <w:tabs>
        <w:tab w:val="left" w:pos="357"/>
        <w:tab w:val="left" w:pos="714"/>
        <w:tab w:val="left" w:pos="1072"/>
        <w:tab w:val="left" w:pos="1429"/>
        <w:tab w:val="left" w:pos="2268"/>
      </w:tabs>
      <w:suppressAutoHyphens/>
      <w:spacing w:after="800"/>
    </w:pPr>
    <w:rPr>
      <w:rFonts w:eastAsia="Times New Roman" w:cs="Arial"/>
      <w:bCs/>
      <w:color w:val="4B0985"/>
      <w:sz w:val="48"/>
      <w:szCs w:val="30"/>
      <w:lang w:eastAsia="en-AU"/>
    </w:rPr>
  </w:style>
  <w:style w:type="numbering" w:customStyle="1" w:styleId="AppendixHeadingmaster">
    <w:name w:val="Appendix Heading (master)"/>
    <w:uiPriority w:val="99"/>
    <w:rsid w:val="00D95E9A"/>
    <w:pPr>
      <w:numPr>
        <w:numId w:val="2"/>
      </w:numPr>
    </w:pPr>
  </w:style>
  <w:style w:type="paragraph" w:customStyle="1" w:styleId="AppendixHeading2">
    <w:name w:val="Appendix Heading 2"/>
    <w:basedOn w:val="AppendixHeading1"/>
    <w:next w:val="BodyText"/>
    <w:uiPriority w:val="11"/>
    <w:qFormat/>
    <w:rsid w:val="00D95E9A"/>
    <w:pPr>
      <w:keepNext/>
      <w:pageBreakBefore w:val="0"/>
      <w:numPr>
        <w:ilvl w:val="1"/>
      </w:numPr>
      <w:spacing w:after="120"/>
    </w:pPr>
    <w:rPr>
      <w:color w:val="012749"/>
      <w:sz w:val="28"/>
    </w:rPr>
  </w:style>
  <w:style w:type="numbering" w:customStyle="1" w:styleId="Headingsmaster">
    <w:name w:val="Headings (master)"/>
    <w:uiPriority w:val="99"/>
    <w:rsid w:val="00D95E9A"/>
    <w:pPr>
      <w:numPr>
        <w:numId w:val="3"/>
      </w:numPr>
    </w:pPr>
  </w:style>
  <w:style w:type="character" w:styleId="PageNumber">
    <w:name w:val="page number"/>
    <w:basedOn w:val="DefaultParagraphFont"/>
    <w:uiPriority w:val="24"/>
    <w:semiHidden/>
    <w:rsid w:val="00D95E9A"/>
    <w:rPr>
      <w:lang w:val="en-AU"/>
    </w:rPr>
  </w:style>
  <w:style w:type="paragraph" w:customStyle="1" w:styleId="Footerlandscape">
    <w:name w:val="Footer (landscape)"/>
    <w:basedOn w:val="Footer"/>
    <w:uiPriority w:val="24"/>
    <w:semiHidden/>
    <w:rsid w:val="00D95E9A"/>
    <w:pPr>
      <w:tabs>
        <w:tab w:val="clear" w:pos="9026"/>
        <w:tab w:val="right" w:pos="13608"/>
        <w:tab w:val="right" w:pos="14629"/>
      </w:tabs>
      <w:spacing w:before="40" w:after="40" w:line="276" w:lineRule="auto"/>
    </w:pPr>
    <w:rPr>
      <w:sz w:val="16"/>
      <w:szCs w:val="20"/>
    </w:rPr>
  </w:style>
  <w:style w:type="paragraph" w:customStyle="1" w:styleId="DocumentDetails">
    <w:name w:val="Document Details"/>
    <w:basedOn w:val="Normal"/>
    <w:next w:val="BodyText"/>
    <w:uiPriority w:val="24"/>
    <w:rsid w:val="00D95E9A"/>
    <w:pPr>
      <w:spacing w:before="480" w:after="240" w:line="276" w:lineRule="auto"/>
    </w:pPr>
    <w:rPr>
      <w:rFonts w:ascii="Arial Bold" w:hAnsi="Arial Bold"/>
      <w:b/>
      <w:color w:val="FFFFFF" w:themeColor="background1"/>
      <w:spacing w:val="-10"/>
      <w:sz w:val="28"/>
      <w:szCs w:val="20"/>
    </w:rPr>
  </w:style>
  <w:style w:type="paragraph" w:customStyle="1" w:styleId="SingleSpace">
    <w:name w:val="Single Space"/>
    <w:basedOn w:val="BodyText"/>
    <w:uiPriority w:val="21"/>
    <w:rsid w:val="00D95E9A"/>
    <w:pPr>
      <w:spacing w:before="0" w:after="0" w:line="240" w:lineRule="auto"/>
    </w:pPr>
    <w:rPr>
      <w:sz w:val="2"/>
    </w:rPr>
  </w:style>
  <w:style w:type="table" w:customStyle="1" w:styleId="CustomTablekeythemes">
    <w:name w:val="Custom Table (key themes)"/>
    <w:basedOn w:val="TableNormal"/>
    <w:uiPriority w:val="99"/>
    <w:rsid w:val="00D95E9A"/>
    <w:pPr>
      <w:spacing w:after="0" w:line="240" w:lineRule="auto"/>
    </w:pPr>
    <w:rPr>
      <w:sz w:val="20"/>
      <w:szCs w:val="20"/>
      <w:lang w:val="en-US"/>
    </w:rPr>
    <w:tblPr>
      <w:tblBorders>
        <w:top w:val="double" w:sz="12" w:space="0" w:color="D9D9D9" w:themeColor="background1" w:themeShade="D9"/>
        <w:bottom w:val="double" w:sz="12" w:space="0" w:color="D9D9D9" w:themeColor="background1" w:themeShade="D9"/>
      </w:tblBorders>
    </w:tblPr>
    <w:tcPr>
      <w:shd w:val="clear" w:color="auto" w:fill="D9D9D9" w:themeFill="background1" w:themeFillShade="D9"/>
      <w:tcMar>
        <w:top w:w="227" w:type="dxa"/>
        <w:left w:w="227" w:type="dxa"/>
        <w:bottom w:w="227" w:type="dxa"/>
        <w:right w:w="227" w:type="dxa"/>
      </w:tcMar>
    </w:tcPr>
  </w:style>
  <w:style w:type="paragraph" w:styleId="FootnoteText">
    <w:name w:val="footnote text"/>
    <w:basedOn w:val="Normal"/>
    <w:link w:val="FootnoteTextChar"/>
    <w:uiPriority w:val="99"/>
    <w:unhideWhenUsed/>
    <w:rsid w:val="00D95E9A"/>
    <w:pPr>
      <w:spacing w:after="0" w:line="240" w:lineRule="auto"/>
    </w:pPr>
    <w:rPr>
      <w:rFonts w:asciiTheme="minorHAnsi" w:hAnsiTheme="minorHAnsi"/>
      <w:kern w:val="2"/>
      <w:sz w:val="20"/>
      <w:szCs w:val="20"/>
      <w14:ligatures w14:val="standardContextual"/>
    </w:rPr>
  </w:style>
  <w:style w:type="character" w:customStyle="1" w:styleId="FootnoteTextChar">
    <w:name w:val="Footnote Text Char"/>
    <w:basedOn w:val="DefaultParagraphFont"/>
    <w:link w:val="FootnoteText"/>
    <w:uiPriority w:val="99"/>
    <w:rsid w:val="00D95E9A"/>
    <w:rPr>
      <w:kern w:val="2"/>
      <w:sz w:val="20"/>
      <w:szCs w:val="20"/>
      <w14:ligatures w14:val="standardContextual"/>
    </w:rPr>
  </w:style>
  <w:style w:type="character" w:styleId="FootnoteReference">
    <w:name w:val="footnote reference"/>
    <w:aliases w:val="FC,(NECG) Footnote Reference,Footnote sign,Footnote sign1,EN Footnote Reference,number,SUPERS"/>
    <w:basedOn w:val="DefaultParagraphFont"/>
    <w:uiPriority w:val="99"/>
    <w:unhideWhenUsed/>
    <w:rsid w:val="00D95E9A"/>
    <w:rPr>
      <w:vertAlign w:val="superscript"/>
    </w:rPr>
  </w:style>
  <w:style w:type="table" w:styleId="GridTable4-Accent4">
    <w:name w:val="Grid Table 4 Accent 4"/>
    <w:basedOn w:val="TableNormal"/>
    <w:uiPriority w:val="49"/>
    <w:rsid w:val="00D95E9A"/>
    <w:pPr>
      <w:spacing w:after="0" w:line="240" w:lineRule="auto"/>
    </w:pPr>
    <w:rPr>
      <w:kern w:val="2"/>
      <w14:ligatures w14:val="standardContextual"/>
    </w:rPr>
    <w:tblPr>
      <w:tblStyleRowBandSize w:val="1"/>
      <w:tblStyleColBandSize w:val="1"/>
      <w:tblBorders>
        <w:top w:val="single" w:sz="4" w:space="0" w:color="F497B9" w:themeColor="accent4" w:themeTint="99"/>
        <w:left w:val="single" w:sz="4" w:space="0" w:color="F497B9" w:themeColor="accent4" w:themeTint="99"/>
        <w:bottom w:val="single" w:sz="4" w:space="0" w:color="F497B9" w:themeColor="accent4" w:themeTint="99"/>
        <w:right w:val="single" w:sz="4" w:space="0" w:color="F497B9" w:themeColor="accent4" w:themeTint="99"/>
        <w:insideH w:val="single" w:sz="4" w:space="0" w:color="F497B9" w:themeColor="accent4" w:themeTint="99"/>
        <w:insideV w:val="single" w:sz="4" w:space="0" w:color="F497B9" w:themeColor="accent4" w:themeTint="99"/>
      </w:tblBorders>
    </w:tblPr>
    <w:tblStylePr w:type="firstRow">
      <w:rPr>
        <w:b/>
        <w:bCs/>
        <w:color w:val="FFFFFF" w:themeColor="background1"/>
      </w:rPr>
      <w:tblPr/>
      <w:tcPr>
        <w:tcBorders>
          <w:top w:val="single" w:sz="4" w:space="0" w:color="EE538B" w:themeColor="accent4"/>
          <w:left w:val="single" w:sz="4" w:space="0" w:color="EE538B" w:themeColor="accent4"/>
          <w:bottom w:val="single" w:sz="4" w:space="0" w:color="EE538B" w:themeColor="accent4"/>
          <w:right w:val="single" w:sz="4" w:space="0" w:color="EE538B" w:themeColor="accent4"/>
          <w:insideH w:val="nil"/>
          <w:insideV w:val="nil"/>
        </w:tcBorders>
        <w:shd w:val="clear" w:color="auto" w:fill="EE538B" w:themeFill="accent4"/>
      </w:tcPr>
    </w:tblStylePr>
    <w:tblStylePr w:type="lastRow">
      <w:rPr>
        <w:b/>
        <w:bCs/>
      </w:rPr>
      <w:tblPr/>
      <w:tcPr>
        <w:tcBorders>
          <w:top w:val="double" w:sz="4" w:space="0" w:color="EE538B" w:themeColor="accent4"/>
        </w:tcBorders>
      </w:tcPr>
    </w:tblStylePr>
    <w:tblStylePr w:type="firstCol">
      <w:rPr>
        <w:b/>
        <w:bCs/>
      </w:rPr>
    </w:tblStylePr>
    <w:tblStylePr w:type="lastCol">
      <w:rPr>
        <w:b/>
        <w:bCs/>
      </w:rPr>
    </w:tblStylePr>
    <w:tblStylePr w:type="band1Vert">
      <w:tblPr/>
      <w:tcPr>
        <w:shd w:val="clear" w:color="auto" w:fill="FBDCE7" w:themeFill="accent4" w:themeFillTint="33"/>
      </w:tcPr>
    </w:tblStylePr>
    <w:tblStylePr w:type="band1Horz">
      <w:tblPr/>
      <w:tcPr>
        <w:shd w:val="clear" w:color="auto" w:fill="FBDCE7" w:themeFill="accent4" w:themeFillTint="33"/>
      </w:tcPr>
    </w:tblStylePr>
  </w:style>
  <w:style w:type="table" w:styleId="PlainTable1">
    <w:name w:val="Plain Table 1"/>
    <w:basedOn w:val="TableNormal"/>
    <w:uiPriority w:val="41"/>
    <w:rsid w:val="00D95E9A"/>
    <w:pPr>
      <w:spacing w:after="0" w:line="240" w:lineRule="auto"/>
    </w:pPr>
    <w:rPr>
      <w:kern w:val="2"/>
      <w:sz w:val="24"/>
      <w:szCs w:val="24"/>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D95E9A"/>
    <w:rPr>
      <w:color w:val="4B0885" w:themeColor="followedHyperlink"/>
      <w:u w:val="single"/>
    </w:rPr>
  </w:style>
  <w:style w:type="table" w:styleId="GridTable5Dark-Accent1">
    <w:name w:val="Grid Table 5 Dark Accent 1"/>
    <w:basedOn w:val="TableNormal"/>
    <w:uiPriority w:val="50"/>
    <w:rsid w:val="00D95E9A"/>
    <w:pPr>
      <w:spacing w:after="0" w:line="240" w:lineRule="auto"/>
    </w:pPr>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1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929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929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929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929C4" w:themeFill="accent1"/>
      </w:tcPr>
    </w:tblStylePr>
    <w:tblStylePr w:type="band1Vert">
      <w:tblPr/>
      <w:tcPr>
        <w:shd w:val="clear" w:color="auto" w:fill="C2A4EC" w:themeFill="accent1" w:themeFillTint="66"/>
      </w:tcPr>
    </w:tblStylePr>
    <w:tblStylePr w:type="band1Horz">
      <w:tblPr/>
      <w:tcPr>
        <w:shd w:val="clear" w:color="auto" w:fill="C2A4EC" w:themeFill="accent1" w:themeFillTint="66"/>
      </w:tcPr>
    </w:tblStylePr>
  </w:style>
  <w:style w:type="table" w:customStyle="1" w:styleId="GridTable5Dark-Accent11">
    <w:name w:val="Grid Table 5 Dark - Accent 11"/>
    <w:basedOn w:val="TableNormal"/>
    <w:next w:val="GridTable5Dark-Accent1"/>
    <w:uiPriority w:val="50"/>
    <w:rsid w:val="00D95E9A"/>
    <w:pPr>
      <w:spacing w:after="0" w:line="240" w:lineRule="auto"/>
    </w:pPr>
    <w:rPr>
      <w:kern w:val="2"/>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0D1F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6929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6929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6929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6929C4"/>
      </w:tcPr>
    </w:tblStylePr>
    <w:tblStylePr w:type="band1Vert">
      <w:tblPr/>
      <w:tcPr>
        <w:shd w:val="clear" w:color="auto" w:fill="C2A4EC"/>
      </w:tcPr>
    </w:tblStylePr>
    <w:tblStylePr w:type="band1Horz">
      <w:tblPr/>
      <w:tcPr>
        <w:shd w:val="clear" w:color="auto" w:fill="C2A4EC"/>
      </w:tcPr>
    </w:tblStylePr>
  </w:style>
  <w:style w:type="table" w:customStyle="1" w:styleId="GridTable5Dark-Accent12">
    <w:name w:val="Grid Table 5 Dark - Accent 12"/>
    <w:basedOn w:val="TableNormal"/>
    <w:next w:val="GridTable5Dark-Accent1"/>
    <w:uiPriority w:val="50"/>
    <w:rsid w:val="00D95E9A"/>
    <w:pPr>
      <w:spacing w:after="0" w:line="240" w:lineRule="auto"/>
    </w:pPr>
    <w:rPr>
      <w:kern w:val="2"/>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0D1F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6929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6929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6929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6929C4"/>
      </w:tcPr>
    </w:tblStylePr>
    <w:tblStylePr w:type="band1Vert">
      <w:tblPr/>
      <w:tcPr>
        <w:shd w:val="clear" w:color="auto" w:fill="C2A4EC"/>
      </w:tcPr>
    </w:tblStylePr>
    <w:tblStylePr w:type="band1Horz">
      <w:tblPr/>
      <w:tcPr>
        <w:shd w:val="clear" w:color="auto" w:fill="C2A4EC"/>
      </w:tcPr>
    </w:tblStylePr>
  </w:style>
  <w:style w:type="table" w:customStyle="1" w:styleId="GridTable5Dark-Accent13">
    <w:name w:val="Grid Table 5 Dark - Accent 13"/>
    <w:basedOn w:val="TableNormal"/>
    <w:next w:val="GridTable5Dark-Accent1"/>
    <w:uiPriority w:val="50"/>
    <w:rsid w:val="00D95E9A"/>
    <w:pPr>
      <w:spacing w:after="0" w:line="240" w:lineRule="auto"/>
    </w:pPr>
    <w:rPr>
      <w:kern w:val="2"/>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0D1F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6929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6929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6929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6929C4"/>
      </w:tcPr>
    </w:tblStylePr>
    <w:tblStylePr w:type="band1Vert">
      <w:tblPr/>
      <w:tcPr>
        <w:shd w:val="clear" w:color="auto" w:fill="C2A4EC"/>
      </w:tcPr>
    </w:tblStylePr>
    <w:tblStylePr w:type="band1Horz">
      <w:tblPr/>
      <w:tcPr>
        <w:shd w:val="clear" w:color="auto" w:fill="C2A4EC"/>
      </w:tcPr>
    </w:tblStylePr>
  </w:style>
  <w:style w:type="table" w:customStyle="1" w:styleId="GridTable5Dark-Accent14">
    <w:name w:val="Grid Table 5 Dark - Accent 14"/>
    <w:basedOn w:val="TableNormal"/>
    <w:next w:val="GridTable5Dark-Accent1"/>
    <w:uiPriority w:val="50"/>
    <w:rsid w:val="00D95E9A"/>
    <w:pPr>
      <w:spacing w:after="0" w:line="240" w:lineRule="auto"/>
    </w:pPr>
    <w:rPr>
      <w:kern w:val="2"/>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0D1F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6929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6929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6929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6929C4"/>
      </w:tcPr>
    </w:tblStylePr>
    <w:tblStylePr w:type="band1Vert">
      <w:tblPr/>
      <w:tcPr>
        <w:shd w:val="clear" w:color="auto" w:fill="C2A4EC"/>
      </w:tcPr>
    </w:tblStylePr>
    <w:tblStylePr w:type="band1Horz">
      <w:tblPr/>
      <w:tcPr>
        <w:shd w:val="clear" w:color="auto" w:fill="C2A4EC"/>
      </w:tcPr>
    </w:tblStylePr>
  </w:style>
  <w:style w:type="paragraph" w:customStyle="1" w:styleId="Bodycopy">
    <w:name w:val="Body copy"/>
    <w:basedOn w:val="Normal"/>
    <w:link w:val="BodycopyChar"/>
    <w:qFormat/>
    <w:rsid w:val="00D95E9A"/>
    <w:pPr>
      <w:spacing w:after="160" w:line="259" w:lineRule="auto"/>
    </w:pPr>
    <w:rPr>
      <w:color w:val="000000" w:themeColor="text1"/>
    </w:rPr>
  </w:style>
  <w:style w:type="character" w:customStyle="1" w:styleId="BodycopyChar">
    <w:name w:val="Body copy Char"/>
    <w:basedOn w:val="DefaultParagraphFont"/>
    <w:link w:val="Bodycopy"/>
    <w:rsid w:val="00D95E9A"/>
    <w:rPr>
      <w:rFonts w:ascii="Arial" w:hAnsi="Arial"/>
      <w:color w:val="000000" w:themeColor="text1"/>
    </w:rPr>
  </w:style>
  <w:style w:type="table" w:customStyle="1" w:styleId="GridTable4-Accent11">
    <w:name w:val="Grid Table 4 - Accent 11"/>
    <w:basedOn w:val="TableNormal"/>
    <w:next w:val="GridTable4-Accent1"/>
    <w:uiPriority w:val="49"/>
    <w:rsid w:val="00D95E9A"/>
    <w:pPr>
      <w:spacing w:after="0" w:line="240" w:lineRule="auto"/>
    </w:pPr>
    <w:rPr>
      <w:kern w:val="2"/>
      <w14:ligatures w14:val="standardContextual"/>
    </w:rPr>
    <w:tblPr>
      <w:tblStyleRowBandSize w:val="1"/>
      <w:tblStyleColBandSize w:val="1"/>
      <w:tblBorders>
        <w:top w:val="single" w:sz="4" w:space="0" w:color="A377E2"/>
        <w:left w:val="single" w:sz="4" w:space="0" w:color="A377E2"/>
        <w:bottom w:val="single" w:sz="4" w:space="0" w:color="A377E2"/>
        <w:right w:val="single" w:sz="4" w:space="0" w:color="A377E2"/>
        <w:insideH w:val="single" w:sz="4" w:space="0" w:color="A377E2"/>
        <w:insideV w:val="single" w:sz="4" w:space="0" w:color="A377E2"/>
      </w:tblBorders>
    </w:tblPr>
    <w:tblStylePr w:type="firstRow">
      <w:rPr>
        <w:b/>
        <w:bCs/>
        <w:color w:val="FFFFFF"/>
      </w:rPr>
      <w:tblPr/>
      <w:tcPr>
        <w:tcBorders>
          <w:top w:val="single" w:sz="4" w:space="0" w:color="6929C4"/>
          <w:left w:val="single" w:sz="4" w:space="0" w:color="6929C4"/>
          <w:bottom w:val="single" w:sz="4" w:space="0" w:color="6929C4"/>
          <w:right w:val="single" w:sz="4" w:space="0" w:color="6929C4"/>
          <w:insideH w:val="nil"/>
          <w:insideV w:val="nil"/>
        </w:tcBorders>
        <w:shd w:val="clear" w:color="auto" w:fill="6929C4"/>
      </w:tcPr>
    </w:tblStylePr>
    <w:tblStylePr w:type="lastRow">
      <w:rPr>
        <w:b/>
        <w:bCs/>
      </w:rPr>
      <w:tblPr/>
      <w:tcPr>
        <w:tcBorders>
          <w:top w:val="double" w:sz="4" w:space="0" w:color="6929C4"/>
        </w:tcBorders>
      </w:tcPr>
    </w:tblStylePr>
    <w:tblStylePr w:type="firstCol">
      <w:rPr>
        <w:b/>
        <w:bCs/>
      </w:rPr>
    </w:tblStylePr>
    <w:tblStylePr w:type="lastCol">
      <w:rPr>
        <w:b/>
        <w:bCs/>
      </w:rPr>
    </w:tblStylePr>
    <w:tblStylePr w:type="band1Vert">
      <w:tblPr/>
      <w:tcPr>
        <w:shd w:val="clear" w:color="auto" w:fill="E0D1F5"/>
      </w:tcPr>
    </w:tblStylePr>
    <w:tblStylePr w:type="band1Horz">
      <w:tblPr/>
      <w:tcPr>
        <w:shd w:val="clear" w:color="auto" w:fill="E0D1F5"/>
      </w:tcPr>
    </w:tblStylePr>
  </w:style>
  <w:style w:type="table" w:styleId="GridTable4-Accent1">
    <w:name w:val="Grid Table 4 Accent 1"/>
    <w:basedOn w:val="TableNormal"/>
    <w:uiPriority w:val="49"/>
    <w:rsid w:val="00D95E9A"/>
    <w:pPr>
      <w:spacing w:after="0" w:line="240" w:lineRule="auto"/>
    </w:pPr>
    <w:rPr>
      <w:kern w:val="2"/>
      <w:sz w:val="24"/>
      <w:szCs w:val="24"/>
      <w14:ligatures w14:val="standardContextual"/>
    </w:rPr>
    <w:tblPr>
      <w:tblStyleRowBandSize w:val="1"/>
      <w:tblStyleColBandSize w:val="1"/>
      <w:tblBorders>
        <w:top w:val="single" w:sz="4" w:space="0" w:color="A377E2" w:themeColor="accent1" w:themeTint="99"/>
        <w:left w:val="single" w:sz="4" w:space="0" w:color="A377E2" w:themeColor="accent1" w:themeTint="99"/>
        <w:bottom w:val="single" w:sz="4" w:space="0" w:color="A377E2" w:themeColor="accent1" w:themeTint="99"/>
        <w:right w:val="single" w:sz="4" w:space="0" w:color="A377E2" w:themeColor="accent1" w:themeTint="99"/>
        <w:insideH w:val="single" w:sz="4" w:space="0" w:color="A377E2" w:themeColor="accent1" w:themeTint="99"/>
        <w:insideV w:val="single" w:sz="4" w:space="0" w:color="A377E2" w:themeColor="accent1" w:themeTint="99"/>
      </w:tblBorders>
    </w:tblPr>
    <w:tblStylePr w:type="firstRow">
      <w:rPr>
        <w:b/>
        <w:bCs/>
        <w:color w:val="FFFFFF" w:themeColor="background1"/>
      </w:rPr>
      <w:tblPr/>
      <w:tcPr>
        <w:tcBorders>
          <w:top w:val="single" w:sz="4" w:space="0" w:color="6929C4" w:themeColor="accent1"/>
          <w:left w:val="single" w:sz="4" w:space="0" w:color="6929C4" w:themeColor="accent1"/>
          <w:bottom w:val="single" w:sz="4" w:space="0" w:color="6929C4" w:themeColor="accent1"/>
          <w:right w:val="single" w:sz="4" w:space="0" w:color="6929C4" w:themeColor="accent1"/>
          <w:insideH w:val="nil"/>
          <w:insideV w:val="nil"/>
        </w:tcBorders>
        <w:shd w:val="clear" w:color="auto" w:fill="6929C4" w:themeFill="accent1"/>
      </w:tcPr>
    </w:tblStylePr>
    <w:tblStylePr w:type="lastRow">
      <w:rPr>
        <w:b/>
        <w:bCs/>
      </w:rPr>
      <w:tblPr/>
      <w:tcPr>
        <w:tcBorders>
          <w:top w:val="double" w:sz="4" w:space="0" w:color="6929C4" w:themeColor="accent1"/>
        </w:tcBorders>
      </w:tcPr>
    </w:tblStylePr>
    <w:tblStylePr w:type="firstCol">
      <w:rPr>
        <w:b/>
        <w:bCs/>
      </w:rPr>
    </w:tblStylePr>
    <w:tblStylePr w:type="lastCol">
      <w:rPr>
        <w:b/>
        <w:bCs/>
      </w:rPr>
    </w:tblStylePr>
    <w:tblStylePr w:type="band1Vert">
      <w:tblPr/>
      <w:tcPr>
        <w:shd w:val="clear" w:color="auto" w:fill="E0D1F5" w:themeFill="accent1" w:themeFillTint="33"/>
      </w:tcPr>
    </w:tblStylePr>
    <w:tblStylePr w:type="band1Horz">
      <w:tblPr/>
      <w:tcPr>
        <w:shd w:val="clear" w:color="auto" w:fill="E0D1F5" w:themeFill="accent1" w:themeFillTint="33"/>
      </w:tcPr>
    </w:tblStylePr>
  </w:style>
  <w:style w:type="paragraph" w:styleId="Revision">
    <w:name w:val="Revision"/>
    <w:hidden/>
    <w:uiPriority w:val="99"/>
    <w:semiHidden/>
    <w:rsid w:val="00C36C66"/>
    <w:pPr>
      <w:spacing w:after="0" w:line="240" w:lineRule="auto"/>
    </w:pPr>
    <w:rPr>
      <w:rFonts w:ascii="Arial" w:hAnsi="Arial"/>
    </w:rPr>
  </w:style>
  <w:style w:type="paragraph" w:styleId="TOC9">
    <w:name w:val="toc 9"/>
    <w:basedOn w:val="Normal"/>
    <w:next w:val="Normal"/>
    <w:autoRedefine/>
    <w:uiPriority w:val="39"/>
    <w:unhideWhenUsed/>
    <w:rsid w:val="00AF658C"/>
    <w:pPr>
      <w:ind w:left="1760"/>
    </w:pPr>
  </w:style>
  <w:style w:type="paragraph" w:styleId="Bibliography">
    <w:name w:val="Bibliography"/>
    <w:basedOn w:val="Normal"/>
    <w:next w:val="Normal"/>
    <w:uiPriority w:val="37"/>
    <w:semiHidden/>
    <w:unhideWhenUsed/>
    <w:rsid w:val="00F97B8A"/>
  </w:style>
  <w:style w:type="paragraph" w:styleId="TableofFigures">
    <w:name w:val="table of figures"/>
    <w:basedOn w:val="Normal"/>
    <w:next w:val="Normal"/>
    <w:uiPriority w:val="99"/>
    <w:unhideWhenUsed/>
    <w:rsid w:val="00D85F06"/>
    <w:pPr>
      <w:spacing w:after="0"/>
    </w:pPr>
  </w:style>
  <w:style w:type="paragraph" w:customStyle="1" w:styleId="ChartandTablelabel">
    <w:name w:val="Chart and Table label"/>
    <w:basedOn w:val="Normal"/>
    <w:qFormat/>
    <w:rsid w:val="004F3956"/>
    <w:pPr>
      <w:keepNext/>
      <w:spacing w:after="160" w:line="259" w:lineRule="auto"/>
    </w:pPr>
    <w:rPr>
      <w:b/>
      <w:color w:val="000000" w:themeColor="text1"/>
      <w:sz w:val="20"/>
      <w:lang w:val="en-US"/>
    </w:rPr>
  </w:style>
  <w:style w:type="character" w:styleId="Mention">
    <w:name w:val="Mention"/>
    <w:basedOn w:val="DefaultParagraphFont"/>
    <w:uiPriority w:val="99"/>
    <w:unhideWhenUsed/>
    <w:rsid w:val="00156FA4"/>
    <w:rPr>
      <w:color w:val="2B579A"/>
      <w:shd w:val="clear" w:color="auto" w:fill="E1DFDD"/>
    </w:rPr>
  </w:style>
  <w:style w:type="paragraph" w:customStyle="1" w:styleId="BoxHeading">
    <w:name w:val="Box Heading"/>
    <w:basedOn w:val="BodyText"/>
    <w:uiPriority w:val="16"/>
    <w:qFormat/>
    <w:rsid w:val="003D07B9"/>
    <w:pPr>
      <w:keepNext/>
    </w:pPr>
    <w:rPr>
      <w:b/>
      <w:color w:val="2F005F"/>
      <w:sz w:val="23"/>
      <w:lang w:eastAsia="en-GB"/>
    </w:rPr>
  </w:style>
  <w:style w:type="table" w:customStyle="1" w:styleId="CustomTablepulloutbox2">
    <w:name w:val="Custom Table (pullout box 2)"/>
    <w:basedOn w:val="TableNormal"/>
    <w:uiPriority w:val="99"/>
    <w:rsid w:val="003D07B9"/>
    <w:pPr>
      <w:spacing w:after="0" w:line="240" w:lineRule="auto"/>
    </w:pPr>
    <w:rPr>
      <w:sz w:val="20"/>
      <w:szCs w:val="20"/>
      <w:lang w:val="en-US"/>
    </w:rPr>
    <w:tblPr>
      <w:tblBorders>
        <w:left w:val="single" w:sz="24" w:space="0" w:color="4B0885"/>
      </w:tblBorders>
    </w:tblPr>
    <w:tcPr>
      <w:shd w:val="clear" w:color="auto" w:fill="E0D1F5"/>
      <w:tcMar>
        <w:top w:w="227" w:type="dxa"/>
        <w:left w:w="227" w:type="dxa"/>
        <w:bottom w:w="227" w:type="dxa"/>
        <w:right w:w="227" w:type="dxa"/>
      </w:tcMar>
    </w:tcPr>
  </w:style>
  <w:style w:type="paragraph" w:customStyle="1" w:styleId="TableHeading1">
    <w:name w:val="Table Heading 1"/>
    <w:basedOn w:val="Normal"/>
    <w:uiPriority w:val="13"/>
    <w:qFormat/>
    <w:rsid w:val="009F3667"/>
    <w:pPr>
      <w:spacing w:before="80" w:after="80" w:line="240" w:lineRule="auto"/>
    </w:pPr>
    <w:rPr>
      <w:rFonts w:eastAsia="Times New Roman" w:cs="Times New Roman"/>
      <w:bCs/>
      <w:sz w:val="20"/>
      <w:szCs w:val="24"/>
      <w:lang w:eastAsia="en-GB"/>
    </w:rPr>
  </w:style>
  <w:style w:type="paragraph" w:customStyle="1" w:styleId="TableListBullet">
    <w:name w:val="Table List Bullet"/>
    <w:basedOn w:val="Normal"/>
    <w:uiPriority w:val="15"/>
    <w:qFormat/>
    <w:rsid w:val="009F3667"/>
    <w:pPr>
      <w:spacing w:before="80" w:after="80" w:line="240" w:lineRule="auto"/>
      <w:ind w:left="360" w:hanging="360"/>
    </w:pPr>
    <w:rPr>
      <w:rFonts w:eastAsia="Times New Roman" w:cs="Times New Roman"/>
      <w:bCs/>
      <w:sz w:val="20"/>
      <w:szCs w:val="24"/>
      <w:lang w:eastAsia="en-GB"/>
    </w:rPr>
  </w:style>
  <w:style w:type="numbering" w:customStyle="1" w:styleId="TableListBulletmaster">
    <w:name w:val="Table List Bullet (master)"/>
    <w:rsid w:val="009F3667"/>
    <w:pPr>
      <w:numPr>
        <w:numId w:val="18"/>
      </w:numPr>
    </w:pPr>
  </w:style>
  <w:style w:type="paragraph" w:customStyle="1" w:styleId="TableListBullet2">
    <w:name w:val="Table List Bullet 2"/>
    <w:basedOn w:val="TableListBullet"/>
    <w:uiPriority w:val="15"/>
    <w:qFormat/>
    <w:rsid w:val="009F3667"/>
    <w:pPr>
      <w:ind w:left="1080"/>
    </w:pPr>
  </w:style>
  <w:style w:type="paragraph" w:customStyle="1" w:styleId="TableListNumber">
    <w:name w:val="Table List Number"/>
    <w:basedOn w:val="Normal"/>
    <w:uiPriority w:val="15"/>
    <w:qFormat/>
    <w:rsid w:val="009F3667"/>
    <w:pPr>
      <w:spacing w:before="80" w:after="80" w:line="240" w:lineRule="auto"/>
      <w:ind w:left="360" w:hanging="360"/>
    </w:pPr>
    <w:rPr>
      <w:rFonts w:eastAsia="Times New Roman" w:cs="Times New Roman"/>
      <w:bCs/>
      <w:sz w:val="20"/>
      <w:szCs w:val="24"/>
      <w:lang w:eastAsia="en-GB"/>
    </w:rPr>
  </w:style>
  <w:style w:type="numbering" w:customStyle="1" w:styleId="TableListNumbermaster">
    <w:name w:val="Table List Number (master)"/>
    <w:rsid w:val="009F3667"/>
    <w:pPr>
      <w:numPr>
        <w:numId w:val="45"/>
      </w:numPr>
    </w:pPr>
  </w:style>
  <w:style w:type="paragraph" w:customStyle="1" w:styleId="TableListNumber2">
    <w:name w:val="Table List Number 2"/>
    <w:basedOn w:val="TableListNumber"/>
    <w:uiPriority w:val="15"/>
    <w:qFormat/>
    <w:rsid w:val="009F3667"/>
    <w:pPr>
      <w:numPr>
        <w:ilvl w:val="1"/>
      </w:numPr>
      <w:ind w:left="360" w:hanging="360"/>
    </w:pPr>
  </w:style>
  <w:style w:type="paragraph" w:customStyle="1" w:styleId="TableBodyText">
    <w:name w:val="Table Body Text"/>
    <w:basedOn w:val="Normal"/>
    <w:uiPriority w:val="14"/>
    <w:qFormat/>
    <w:rsid w:val="009F3667"/>
    <w:pPr>
      <w:spacing w:before="80" w:after="80" w:line="240" w:lineRule="auto"/>
    </w:pPr>
    <w:rPr>
      <w:rFonts w:eastAsia="Times New Roman" w:cs="Times New Roman"/>
      <w:bCs/>
      <w:sz w:val="20"/>
      <w:szCs w:val="24"/>
      <w:lang w:eastAsia="en-GB"/>
    </w:rPr>
  </w:style>
  <w:style w:type="table" w:customStyle="1" w:styleId="CustomTablebasic">
    <w:name w:val="Custom Table (basic)"/>
    <w:basedOn w:val="TableNormal"/>
    <w:uiPriority w:val="99"/>
    <w:rsid w:val="009F3667"/>
    <w:pPr>
      <w:spacing w:after="0" w:line="240" w:lineRule="auto"/>
    </w:pPr>
    <w:rPr>
      <w:rFonts w:ascii="Arial" w:hAnsi="Arial"/>
      <w:szCs w:val="20"/>
      <w:lang w:val="en-US"/>
    </w:rPr>
    <w:tblPr>
      <w:tblStyleRowBandSize w:val="1"/>
      <w:tblBorders>
        <w:bottom w:val="single" w:sz="4" w:space="0" w:color="2F005F"/>
      </w:tblBorders>
    </w:tblPr>
    <w:tblStylePr w:type="firstRow">
      <w:tblPr/>
      <w:tcPr>
        <w:tcBorders>
          <w:bottom w:val="nil"/>
        </w:tcBorders>
        <w:shd w:val="clear" w:color="auto" w:fill="2F005F"/>
      </w:tcPr>
    </w:tblStylePr>
    <w:tblStylePr w:type="band2Horz">
      <w:tblPr/>
      <w:tcPr>
        <w:shd w:val="clear" w:color="auto" w:fill="F2F2F2" w:themeFill="background1" w:themeFillShade="F2"/>
      </w:tcPr>
    </w:tblStylePr>
  </w:style>
  <w:style w:type="numbering" w:customStyle="1" w:styleId="ListNumbermaster">
    <w:name w:val="List Number (master)"/>
    <w:rsid w:val="006F2554"/>
    <w:pPr>
      <w:numPr>
        <w:numId w:val="21"/>
      </w:numPr>
    </w:pPr>
  </w:style>
  <w:style w:type="paragraph" w:styleId="ListNumber2">
    <w:name w:val="List Number 2"/>
    <w:basedOn w:val="Normal"/>
    <w:uiPriority w:val="5"/>
    <w:qFormat/>
    <w:rsid w:val="006F2554"/>
    <w:pPr>
      <w:spacing w:before="120" w:after="120" w:line="276" w:lineRule="auto"/>
      <w:ind w:left="207" w:hanging="283"/>
    </w:pPr>
    <w:rPr>
      <w:rFonts w:eastAsia="Times New Roman" w:cs="Times New Roman"/>
      <w:szCs w:val="24"/>
      <w:lang w:eastAsia="en-GB"/>
    </w:rPr>
  </w:style>
  <w:style w:type="paragraph" w:styleId="ListNumber3">
    <w:name w:val="List Number 3"/>
    <w:basedOn w:val="Normal"/>
    <w:uiPriority w:val="5"/>
    <w:qFormat/>
    <w:rsid w:val="006F2554"/>
    <w:pPr>
      <w:spacing w:before="120" w:after="120" w:line="276" w:lineRule="auto"/>
      <w:ind w:left="1080" w:hanging="360"/>
    </w:pPr>
    <w:rPr>
      <w:rFonts w:eastAsia="Times New Roman" w:cs="Times New Roman"/>
      <w:szCs w:val="24"/>
      <w:lang w:eastAsia="en-GB"/>
    </w:rPr>
  </w:style>
  <w:style w:type="paragraph" w:styleId="ListNumber">
    <w:name w:val="List Number"/>
    <w:basedOn w:val="Normal"/>
    <w:uiPriority w:val="5"/>
    <w:qFormat/>
    <w:rsid w:val="006F2554"/>
    <w:pPr>
      <w:spacing w:before="120" w:after="120" w:line="276" w:lineRule="auto"/>
      <w:ind w:left="360" w:hanging="284"/>
    </w:pPr>
    <w:rPr>
      <w:rFonts w:eastAsia="Times New Roman" w:cs="Times New Roman"/>
      <w:szCs w:val="24"/>
      <w:lang w:eastAsia="en-GB"/>
    </w:rPr>
  </w:style>
  <w:style w:type="table" w:customStyle="1" w:styleId="CustomTablepulloutbox">
    <w:name w:val="Custom Table (pullout box)"/>
    <w:basedOn w:val="TableNormal"/>
    <w:uiPriority w:val="99"/>
    <w:rsid w:val="000853FB"/>
    <w:pPr>
      <w:spacing w:after="0" w:line="240" w:lineRule="auto"/>
    </w:pPr>
    <w:rPr>
      <w:sz w:val="20"/>
      <w:szCs w:val="20"/>
      <w:lang w:val="en-US"/>
    </w:rPr>
    <w:tblPr>
      <w:tblBorders>
        <w:left w:val="single" w:sz="24" w:space="0" w:color="4B0885"/>
      </w:tblBorders>
    </w:tblPr>
    <w:tcPr>
      <w:shd w:val="clear" w:color="auto" w:fill="F2F2F2" w:themeFill="background1" w:themeFillShade="F2"/>
      <w:tcMar>
        <w:top w:w="227" w:type="dxa"/>
        <w:left w:w="227" w:type="dxa"/>
        <w:bottom w:w="227" w:type="dxa"/>
        <w:right w:w="227" w:type="dxa"/>
      </w:tcMar>
    </w:tcPr>
  </w:style>
  <w:style w:type="paragraph" w:customStyle="1" w:styleId="Heading11">
    <w:name w:val="Heading 1.1"/>
    <w:basedOn w:val="Heading2"/>
    <w:link w:val="Heading11Char"/>
    <w:qFormat/>
    <w:rsid w:val="008C29CA"/>
  </w:style>
  <w:style w:type="character" w:customStyle="1" w:styleId="Heading11Char">
    <w:name w:val="Heading 1.1 Char"/>
    <w:basedOn w:val="Heading2Char"/>
    <w:link w:val="Heading11"/>
    <w:rsid w:val="008C29CA"/>
    <w:rPr>
      <w:rFonts w:ascii="Arial" w:eastAsiaTheme="majorEastAsia" w:hAnsi="Arial" w:cstheme="majorBidi"/>
      <w:b/>
      <w:sz w:val="32"/>
      <w:szCs w:val="26"/>
    </w:rPr>
  </w:style>
  <w:style w:type="paragraph" w:styleId="NormalWeb">
    <w:name w:val="Normal (Web)"/>
    <w:basedOn w:val="Normal"/>
    <w:uiPriority w:val="99"/>
    <w:semiHidden/>
    <w:unhideWhenUsed/>
    <w:rsid w:val="00212A56"/>
    <w:rPr>
      <w:rFonts w:ascii="Times New Roman" w:hAnsi="Times New Roman" w:cs="Times New Roman"/>
      <w:sz w:val="24"/>
      <w:szCs w:val="24"/>
    </w:rPr>
  </w:style>
  <w:style w:type="paragraph" w:styleId="TOC6">
    <w:name w:val="toc 6"/>
    <w:basedOn w:val="Normal"/>
    <w:next w:val="Normal"/>
    <w:autoRedefine/>
    <w:uiPriority w:val="39"/>
    <w:unhideWhenUsed/>
    <w:rsid w:val="00C05D65"/>
    <w:pPr>
      <w:spacing w:line="278" w:lineRule="auto"/>
      <w:ind w:left="1200"/>
    </w:pPr>
    <w:rPr>
      <w:rFonts w:asciiTheme="minorHAnsi" w:eastAsiaTheme="minorEastAsia" w:hAnsiTheme="minorHAnsi"/>
      <w:kern w:val="2"/>
      <w:sz w:val="24"/>
      <w:szCs w:val="24"/>
      <w:lang w:eastAsia="en-AU"/>
      <w14:ligatures w14:val="standardContextual"/>
    </w:rPr>
  </w:style>
  <w:style w:type="paragraph" w:styleId="TOC7">
    <w:name w:val="toc 7"/>
    <w:basedOn w:val="Normal"/>
    <w:next w:val="Normal"/>
    <w:autoRedefine/>
    <w:uiPriority w:val="39"/>
    <w:unhideWhenUsed/>
    <w:rsid w:val="00C05D65"/>
    <w:pPr>
      <w:spacing w:line="278" w:lineRule="auto"/>
      <w:ind w:left="1440"/>
    </w:pPr>
    <w:rPr>
      <w:rFonts w:asciiTheme="minorHAnsi" w:eastAsiaTheme="minorEastAsia" w:hAnsiTheme="minorHAnsi"/>
      <w:kern w:val="2"/>
      <w:sz w:val="24"/>
      <w:szCs w:val="24"/>
      <w:lang w:eastAsia="en-AU"/>
      <w14:ligatures w14:val="standardContextual"/>
    </w:rPr>
  </w:style>
  <w:style w:type="paragraph" w:styleId="TOC8">
    <w:name w:val="toc 8"/>
    <w:basedOn w:val="Normal"/>
    <w:next w:val="Normal"/>
    <w:autoRedefine/>
    <w:uiPriority w:val="39"/>
    <w:unhideWhenUsed/>
    <w:rsid w:val="00C05D65"/>
    <w:pPr>
      <w:spacing w:line="278" w:lineRule="auto"/>
      <w:ind w:left="1680"/>
    </w:pPr>
    <w:rPr>
      <w:rFonts w:asciiTheme="minorHAnsi" w:eastAsiaTheme="minorEastAsia" w:hAnsiTheme="minorHAnsi"/>
      <w:kern w:val="2"/>
      <w:sz w:val="24"/>
      <w:szCs w:val="24"/>
      <w:lang w:eastAsia="en-AU"/>
      <w14:ligatures w14:val="standardContextual"/>
    </w:rPr>
  </w:style>
  <w:style w:type="paragraph" w:customStyle="1" w:styleId="Heading1-NoToC">
    <w:name w:val="Heading 1 - No ToC"/>
    <w:basedOn w:val="Heading1"/>
    <w:next w:val="Normal"/>
    <w:qFormat/>
    <w:rsid w:val="00213BEE"/>
    <w:rPr>
      <w:bCs/>
      <w:noProof/>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40878">
      <w:bodyDiv w:val="1"/>
      <w:marLeft w:val="0"/>
      <w:marRight w:val="0"/>
      <w:marTop w:val="0"/>
      <w:marBottom w:val="0"/>
      <w:divBdr>
        <w:top w:val="none" w:sz="0" w:space="0" w:color="auto"/>
        <w:left w:val="none" w:sz="0" w:space="0" w:color="auto"/>
        <w:bottom w:val="none" w:sz="0" w:space="0" w:color="auto"/>
        <w:right w:val="none" w:sz="0" w:space="0" w:color="auto"/>
      </w:divBdr>
    </w:div>
    <w:div w:id="69540818">
      <w:bodyDiv w:val="1"/>
      <w:marLeft w:val="0"/>
      <w:marRight w:val="0"/>
      <w:marTop w:val="0"/>
      <w:marBottom w:val="0"/>
      <w:divBdr>
        <w:top w:val="none" w:sz="0" w:space="0" w:color="auto"/>
        <w:left w:val="none" w:sz="0" w:space="0" w:color="auto"/>
        <w:bottom w:val="none" w:sz="0" w:space="0" w:color="auto"/>
        <w:right w:val="none" w:sz="0" w:space="0" w:color="auto"/>
      </w:divBdr>
    </w:div>
    <w:div w:id="189950552">
      <w:bodyDiv w:val="1"/>
      <w:marLeft w:val="0"/>
      <w:marRight w:val="0"/>
      <w:marTop w:val="0"/>
      <w:marBottom w:val="0"/>
      <w:divBdr>
        <w:top w:val="none" w:sz="0" w:space="0" w:color="auto"/>
        <w:left w:val="none" w:sz="0" w:space="0" w:color="auto"/>
        <w:bottom w:val="none" w:sz="0" w:space="0" w:color="auto"/>
        <w:right w:val="none" w:sz="0" w:space="0" w:color="auto"/>
      </w:divBdr>
      <w:divsChild>
        <w:div w:id="1702435955">
          <w:marLeft w:val="0"/>
          <w:marRight w:val="0"/>
          <w:marTop w:val="0"/>
          <w:marBottom w:val="0"/>
          <w:divBdr>
            <w:top w:val="none" w:sz="0" w:space="0" w:color="auto"/>
            <w:left w:val="none" w:sz="0" w:space="0" w:color="auto"/>
            <w:bottom w:val="none" w:sz="0" w:space="0" w:color="auto"/>
            <w:right w:val="none" w:sz="0" w:space="0" w:color="auto"/>
          </w:divBdr>
        </w:div>
        <w:div w:id="1930194989">
          <w:marLeft w:val="0"/>
          <w:marRight w:val="0"/>
          <w:marTop w:val="0"/>
          <w:marBottom w:val="0"/>
          <w:divBdr>
            <w:top w:val="none" w:sz="0" w:space="0" w:color="auto"/>
            <w:left w:val="none" w:sz="0" w:space="0" w:color="auto"/>
            <w:bottom w:val="none" w:sz="0" w:space="0" w:color="auto"/>
            <w:right w:val="none" w:sz="0" w:space="0" w:color="auto"/>
          </w:divBdr>
        </w:div>
      </w:divsChild>
    </w:div>
    <w:div w:id="194080537">
      <w:bodyDiv w:val="1"/>
      <w:marLeft w:val="0"/>
      <w:marRight w:val="0"/>
      <w:marTop w:val="0"/>
      <w:marBottom w:val="0"/>
      <w:divBdr>
        <w:top w:val="none" w:sz="0" w:space="0" w:color="auto"/>
        <w:left w:val="none" w:sz="0" w:space="0" w:color="auto"/>
        <w:bottom w:val="none" w:sz="0" w:space="0" w:color="auto"/>
        <w:right w:val="none" w:sz="0" w:space="0" w:color="auto"/>
      </w:divBdr>
    </w:div>
    <w:div w:id="197011094">
      <w:bodyDiv w:val="1"/>
      <w:marLeft w:val="0"/>
      <w:marRight w:val="0"/>
      <w:marTop w:val="0"/>
      <w:marBottom w:val="0"/>
      <w:divBdr>
        <w:top w:val="none" w:sz="0" w:space="0" w:color="auto"/>
        <w:left w:val="none" w:sz="0" w:space="0" w:color="auto"/>
        <w:bottom w:val="none" w:sz="0" w:space="0" w:color="auto"/>
        <w:right w:val="none" w:sz="0" w:space="0" w:color="auto"/>
      </w:divBdr>
    </w:div>
    <w:div w:id="257449455">
      <w:bodyDiv w:val="1"/>
      <w:marLeft w:val="0"/>
      <w:marRight w:val="0"/>
      <w:marTop w:val="0"/>
      <w:marBottom w:val="0"/>
      <w:divBdr>
        <w:top w:val="none" w:sz="0" w:space="0" w:color="auto"/>
        <w:left w:val="none" w:sz="0" w:space="0" w:color="auto"/>
        <w:bottom w:val="none" w:sz="0" w:space="0" w:color="auto"/>
        <w:right w:val="none" w:sz="0" w:space="0" w:color="auto"/>
      </w:divBdr>
    </w:div>
    <w:div w:id="265232660">
      <w:bodyDiv w:val="1"/>
      <w:marLeft w:val="0"/>
      <w:marRight w:val="0"/>
      <w:marTop w:val="0"/>
      <w:marBottom w:val="0"/>
      <w:divBdr>
        <w:top w:val="none" w:sz="0" w:space="0" w:color="auto"/>
        <w:left w:val="none" w:sz="0" w:space="0" w:color="auto"/>
        <w:bottom w:val="none" w:sz="0" w:space="0" w:color="auto"/>
        <w:right w:val="none" w:sz="0" w:space="0" w:color="auto"/>
      </w:divBdr>
    </w:div>
    <w:div w:id="301816965">
      <w:bodyDiv w:val="1"/>
      <w:marLeft w:val="0"/>
      <w:marRight w:val="0"/>
      <w:marTop w:val="0"/>
      <w:marBottom w:val="0"/>
      <w:divBdr>
        <w:top w:val="none" w:sz="0" w:space="0" w:color="auto"/>
        <w:left w:val="none" w:sz="0" w:space="0" w:color="auto"/>
        <w:bottom w:val="none" w:sz="0" w:space="0" w:color="auto"/>
        <w:right w:val="none" w:sz="0" w:space="0" w:color="auto"/>
      </w:divBdr>
      <w:divsChild>
        <w:div w:id="477384086">
          <w:marLeft w:val="0"/>
          <w:marRight w:val="0"/>
          <w:marTop w:val="0"/>
          <w:marBottom w:val="0"/>
          <w:divBdr>
            <w:top w:val="none" w:sz="0" w:space="0" w:color="auto"/>
            <w:left w:val="none" w:sz="0" w:space="0" w:color="auto"/>
            <w:bottom w:val="none" w:sz="0" w:space="0" w:color="auto"/>
            <w:right w:val="none" w:sz="0" w:space="0" w:color="auto"/>
          </w:divBdr>
        </w:div>
        <w:div w:id="1297684742">
          <w:marLeft w:val="0"/>
          <w:marRight w:val="0"/>
          <w:marTop w:val="0"/>
          <w:marBottom w:val="0"/>
          <w:divBdr>
            <w:top w:val="none" w:sz="0" w:space="0" w:color="auto"/>
            <w:left w:val="none" w:sz="0" w:space="0" w:color="auto"/>
            <w:bottom w:val="none" w:sz="0" w:space="0" w:color="auto"/>
            <w:right w:val="none" w:sz="0" w:space="0" w:color="auto"/>
          </w:divBdr>
        </w:div>
      </w:divsChild>
    </w:div>
    <w:div w:id="342780726">
      <w:bodyDiv w:val="1"/>
      <w:marLeft w:val="0"/>
      <w:marRight w:val="0"/>
      <w:marTop w:val="0"/>
      <w:marBottom w:val="0"/>
      <w:divBdr>
        <w:top w:val="none" w:sz="0" w:space="0" w:color="auto"/>
        <w:left w:val="none" w:sz="0" w:space="0" w:color="auto"/>
        <w:bottom w:val="none" w:sz="0" w:space="0" w:color="auto"/>
        <w:right w:val="none" w:sz="0" w:space="0" w:color="auto"/>
      </w:divBdr>
    </w:div>
    <w:div w:id="365301369">
      <w:bodyDiv w:val="1"/>
      <w:marLeft w:val="0"/>
      <w:marRight w:val="0"/>
      <w:marTop w:val="0"/>
      <w:marBottom w:val="0"/>
      <w:divBdr>
        <w:top w:val="none" w:sz="0" w:space="0" w:color="auto"/>
        <w:left w:val="none" w:sz="0" w:space="0" w:color="auto"/>
        <w:bottom w:val="none" w:sz="0" w:space="0" w:color="auto"/>
        <w:right w:val="none" w:sz="0" w:space="0" w:color="auto"/>
      </w:divBdr>
    </w:div>
    <w:div w:id="379061535">
      <w:bodyDiv w:val="1"/>
      <w:marLeft w:val="0"/>
      <w:marRight w:val="0"/>
      <w:marTop w:val="0"/>
      <w:marBottom w:val="0"/>
      <w:divBdr>
        <w:top w:val="none" w:sz="0" w:space="0" w:color="auto"/>
        <w:left w:val="none" w:sz="0" w:space="0" w:color="auto"/>
        <w:bottom w:val="none" w:sz="0" w:space="0" w:color="auto"/>
        <w:right w:val="none" w:sz="0" w:space="0" w:color="auto"/>
      </w:divBdr>
    </w:div>
    <w:div w:id="411969573">
      <w:bodyDiv w:val="1"/>
      <w:marLeft w:val="0"/>
      <w:marRight w:val="0"/>
      <w:marTop w:val="0"/>
      <w:marBottom w:val="0"/>
      <w:divBdr>
        <w:top w:val="none" w:sz="0" w:space="0" w:color="auto"/>
        <w:left w:val="none" w:sz="0" w:space="0" w:color="auto"/>
        <w:bottom w:val="none" w:sz="0" w:space="0" w:color="auto"/>
        <w:right w:val="none" w:sz="0" w:space="0" w:color="auto"/>
      </w:divBdr>
    </w:div>
    <w:div w:id="426387109">
      <w:bodyDiv w:val="1"/>
      <w:marLeft w:val="0"/>
      <w:marRight w:val="0"/>
      <w:marTop w:val="0"/>
      <w:marBottom w:val="0"/>
      <w:divBdr>
        <w:top w:val="none" w:sz="0" w:space="0" w:color="auto"/>
        <w:left w:val="none" w:sz="0" w:space="0" w:color="auto"/>
        <w:bottom w:val="none" w:sz="0" w:space="0" w:color="auto"/>
        <w:right w:val="none" w:sz="0" w:space="0" w:color="auto"/>
      </w:divBdr>
    </w:div>
    <w:div w:id="484249622">
      <w:bodyDiv w:val="1"/>
      <w:marLeft w:val="0"/>
      <w:marRight w:val="0"/>
      <w:marTop w:val="0"/>
      <w:marBottom w:val="0"/>
      <w:divBdr>
        <w:top w:val="none" w:sz="0" w:space="0" w:color="auto"/>
        <w:left w:val="none" w:sz="0" w:space="0" w:color="auto"/>
        <w:bottom w:val="none" w:sz="0" w:space="0" w:color="auto"/>
        <w:right w:val="none" w:sz="0" w:space="0" w:color="auto"/>
      </w:divBdr>
    </w:div>
    <w:div w:id="532812173">
      <w:bodyDiv w:val="1"/>
      <w:marLeft w:val="0"/>
      <w:marRight w:val="0"/>
      <w:marTop w:val="0"/>
      <w:marBottom w:val="0"/>
      <w:divBdr>
        <w:top w:val="none" w:sz="0" w:space="0" w:color="auto"/>
        <w:left w:val="none" w:sz="0" w:space="0" w:color="auto"/>
        <w:bottom w:val="none" w:sz="0" w:space="0" w:color="auto"/>
        <w:right w:val="none" w:sz="0" w:space="0" w:color="auto"/>
      </w:divBdr>
    </w:div>
    <w:div w:id="568072888">
      <w:bodyDiv w:val="1"/>
      <w:marLeft w:val="0"/>
      <w:marRight w:val="0"/>
      <w:marTop w:val="0"/>
      <w:marBottom w:val="0"/>
      <w:divBdr>
        <w:top w:val="none" w:sz="0" w:space="0" w:color="auto"/>
        <w:left w:val="none" w:sz="0" w:space="0" w:color="auto"/>
        <w:bottom w:val="none" w:sz="0" w:space="0" w:color="auto"/>
        <w:right w:val="none" w:sz="0" w:space="0" w:color="auto"/>
      </w:divBdr>
      <w:divsChild>
        <w:div w:id="208540414">
          <w:marLeft w:val="0"/>
          <w:marRight w:val="0"/>
          <w:marTop w:val="0"/>
          <w:marBottom w:val="0"/>
          <w:divBdr>
            <w:top w:val="none" w:sz="0" w:space="0" w:color="auto"/>
            <w:left w:val="none" w:sz="0" w:space="0" w:color="auto"/>
            <w:bottom w:val="none" w:sz="0" w:space="0" w:color="auto"/>
            <w:right w:val="none" w:sz="0" w:space="0" w:color="auto"/>
          </w:divBdr>
        </w:div>
        <w:div w:id="925067816">
          <w:marLeft w:val="0"/>
          <w:marRight w:val="0"/>
          <w:marTop w:val="0"/>
          <w:marBottom w:val="0"/>
          <w:divBdr>
            <w:top w:val="none" w:sz="0" w:space="0" w:color="auto"/>
            <w:left w:val="none" w:sz="0" w:space="0" w:color="auto"/>
            <w:bottom w:val="none" w:sz="0" w:space="0" w:color="auto"/>
            <w:right w:val="none" w:sz="0" w:space="0" w:color="auto"/>
          </w:divBdr>
        </w:div>
      </w:divsChild>
    </w:div>
    <w:div w:id="582109913">
      <w:bodyDiv w:val="1"/>
      <w:marLeft w:val="0"/>
      <w:marRight w:val="0"/>
      <w:marTop w:val="0"/>
      <w:marBottom w:val="0"/>
      <w:divBdr>
        <w:top w:val="none" w:sz="0" w:space="0" w:color="auto"/>
        <w:left w:val="none" w:sz="0" w:space="0" w:color="auto"/>
        <w:bottom w:val="none" w:sz="0" w:space="0" w:color="auto"/>
        <w:right w:val="none" w:sz="0" w:space="0" w:color="auto"/>
      </w:divBdr>
    </w:div>
    <w:div w:id="595290802">
      <w:bodyDiv w:val="1"/>
      <w:marLeft w:val="0"/>
      <w:marRight w:val="0"/>
      <w:marTop w:val="0"/>
      <w:marBottom w:val="0"/>
      <w:divBdr>
        <w:top w:val="none" w:sz="0" w:space="0" w:color="auto"/>
        <w:left w:val="none" w:sz="0" w:space="0" w:color="auto"/>
        <w:bottom w:val="none" w:sz="0" w:space="0" w:color="auto"/>
        <w:right w:val="none" w:sz="0" w:space="0" w:color="auto"/>
      </w:divBdr>
    </w:div>
    <w:div w:id="675884436">
      <w:bodyDiv w:val="1"/>
      <w:marLeft w:val="0"/>
      <w:marRight w:val="0"/>
      <w:marTop w:val="0"/>
      <w:marBottom w:val="0"/>
      <w:divBdr>
        <w:top w:val="none" w:sz="0" w:space="0" w:color="auto"/>
        <w:left w:val="none" w:sz="0" w:space="0" w:color="auto"/>
        <w:bottom w:val="none" w:sz="0" w:space="0" w:color="auto"/>
        <w:right w:val="none" w:sz="0" w:space="0" w:color="auto"/>
      </w:divBdr>
    </w:div>
    <w:div w:id="696739350">
      <w:bodyDiv w:val="1"/>
      <w:marLeft w:val="0"/>
      <w:marRight w:val="0"/>
      <w:marTop w:val="0"/>
      <w:marBottom w:val="0"/>
      <w:divBdr>
        <w:top w:val="none" w:sz="0" w:space="0" w:color="auto"/>
        <w:left w:val="none" w:sz="0" w:space="0" w:color="auto"/>
        <w:bottom w:val="none" w:sz="0" w:space="0" w:color="auto"/>
        <w:right w:val="none" w:sz="0" w:space="0" w:color="auto"/>
      </w:divBdr>
    </w:div>
    <w:div w:id="701709210">
      <w:bodyDiv w:val="1"/>
      <w:marLeft w:val="0"/>
      <w:marRight w:val="0"/>
      <w:marTop w:val="0"/>
      <w:marBottom w:val="0"/>
      <w:divBdr>
        <w:top w:val="none" w:sz="0" w:space="0" w:color="auto"/>
        <w:left w:val="none" w:sz="0" w:space="0" w:color="auto"/>
        <w:bottom w:val="none" w:sz="0" w:space="0" w:color="auto"/>
        <w:right w:val="none" w:sz="0" w:space="0" w:color="auto"/>
      </w:divBdr>
    </w:div>
    <w:div w:id="727342388">
      <w:bodyDiv w:val="1"/>
      <w:marLeft w:val="0"/>
      <w:marRight w:val="0"/>
      <w:marTop w:val="0"/>
      <w:marBottom w:val="0"/>
      <w:divBdr>
        <w:top w:val="none" w:sz="0" w:space="0" w:color="auto"/>
        <w:left w:val="none" w:sz="0" w:space="0" w:color="auto"/>
        <w:bottom w:val="none" w:sz="0" w:space="0" w:color="auto"/>
        <w:right w:val="none" w:sz="0" w:space="0" w:color="auto"/>
      </w:divBdr>
    </w:div>
    <w:div w:id="738871283">
      <w:bodyDiv w:val="1"/>
      <w:marLeft w:val="0"/>
      <w:marRight w:val="0"/>
      <w:marTop w:val="0"/>
      <w:marBottom w:val="0"/>
      <w:divBdr>
        <w:top w:val="none" w:sz="0" w:space="0" w:color="auto"/>
        <w:left w:val="none" w:sz="0" w:space="0" w:color="auto"/>
        <w:bottom w:val="none" w:sz="0" w:space="0" w:color="auto"/>
        <w:right w:val="none" w:sz="0" w:space="0" w:color="auto"/>
      </w:divBdr>
    </w:div>
    <w:div w:id="809515186">
      <w:bodyDiv w:val="1"/>
      <w:marLeft w:val="0"/>
      <w:marRight w:val="0"/>
      <w:marTop w:val="0"/>
      <w:marBottom w:val="0"/>
      <w:divBdr>
        <w:top w:val="none" w:sz="0" w:space="0" w:color="auto"/>
        <w:left w:val="none" w:sz="0" w:space="0" w:color="auto"/>
        <w:bottom w:val="none" w:sz="0" w:space="0" w:color="auto"/>
        <w:right w:val="none" w:sz="0" w:space="0" w:color="auto"/>
      </w:divBdr>
    </w:div>
    <w:div w:id="819227838">
      <w:bodyDiv w:val="1"/>
      <w:marLeft w:val="0"/>
      <w:marRight w:val="0"/>
      <w:marTop w:val="0"/>
      <w:marBottom w:val="0"/>
      <w:divBdr>
        <w:top w:val="none" w:sz="0" w:space="0" w:color="auto"/>
        <w:left w:val="none" w:sz="0" w:space="0" w:color="auto"/>
        <w:bottom w:val="none" w:sz="0" w:space="0" w:color="auto"/>
        <w:right w:val="none" w:sz="0" w:space="0" w:color="auto"/>
      </w:divBdr>
    </w:div>
    <w:div w:id="858853099">
      <w:bodyDiv w:val="1"/>
      <w:marLeft w:val="0"/>
      <w:marRight w:val="0"/>
      <w:marTop w:val="0"/>
      <w:marBottom w:val="0"/>
      <w:divBdr>
        <w:top w:val="none" w:sz="0" w:space="0" w:color="auto"/>
        <w:left w:val="none" w:sz="0" w:space="0" w:color="auto"/>
        <w:bottom w:val="none" w:sz="0" w:space="0" w:color="auto"/>
        <w:right w:val="none" w:sz="0" w:space="0" w:color="auto"/>
      </w:divBdr>
    </w:div>
    <w:div w:id="861553414">
      <w:bodyDiv w:val="1"/>
      <w:marLeft w:val="0"/>
      <w:marRight w:val="0"/>
      <w:marTop w:val="0"/>
      <w:marBottom w:val="0"/>
      <w:divBdr>
        <w:top w:val="none" w:sz="0" w:space="0" w:color="auto"/>
        <w:left w:val="none" w:sz="0" w:space="0" w:color="auto"/>
        <w:bottom w:val="none" w:sz="0" w:space="0" w:color="auto"/>
        <w:right w:val="none" w:sz="0" w:space="0" w:color="auto"/>
      </w:divBdr>
    </w:div>
    <w:div w:id="922372436">
      <w:bodyDiv w:val="1"/>
      <w:marLeft w:val="0"/>
      <w:marRight w:val="0"/>
      <w:marTop w:val="0"/>
      <w:marBottom w:val="0"/>
      <w:divBdr>
        <w:top w:val="none" w:sz="0" w:space="0" w:color="auto"/>
        <w:left w:val="none" w:sz="0" w:space="0" w:color="auto"/>
        <w:bottom w:val="none" w:sz="0" w:space="0" w:color="auto"/>
        <w:right w:val="none" w:sz="0" w:space="0" w:color="auto"/>
      </w:divBdr>
    </w:div>
    <w:div w:id="986784717">
      <w:bodyDiv w:val="1"/>
      <w:marLeft w:val="0"/>
      <w:marRight w:val="0"/>
      <w:marTop w:val="0"/>
      <w:marBottom w:val="0"/>
      <w:divBdr>
        <w:top w:val="none" w:sz="0" w:space="0" w:color="auto"/>
        <w:left w:val="none" w:sz="0" w:space="0" w:color="auto"/>
        <w:bottom w:val="none" w:sz="0" w:space="0" w:color="auto"/>
        <w:right w:val="none" w:sz="0" w:space="0" w:color="auto"/>
      </w:divBdr>
    </w:div>
    <w:div w:id="1040782541">
      <w:bodyDiv w:val="1"/>
      <w:marLeft w:val="0"/>
      <w:marRight w:val="0"/>
      <w:marTop w:val="0"/>
      <w:marBottom w:val="0"/>
      <w:divBdr>
        <w:top w:val="none" w:sz="0" w:space="0" w:color="auto"/>
        <w:left w:val="none" w:sz="0" w:space="0" w:color="auto"/>
        <w:bottom w:val="none" w:sz="0" w:space="0" w:color="auto"/>
        <w:right w:val="none" w:sz="0" w:space="0" w:color="auto"/>
      </w:divBdr>
    </w:div>
    <w:div w:id="1044060606">
      <w:bodyDiv w:val="1"/>
      <w:marLeft w:val="0"/>
      <w:marRight w:val="0"/>
      <w:marTop w:val="0"/>
      <w:marBottom w:val="0"/>
      <w:divBdr>
        <w:top w:val="none" w:sz="0" w:space="0" w:color="auto"/>
        <w:left w:val="none" w:sz="0" w:space="0" w:color="auto"/>
        <w:bottom w:val="none" w:sz="0" w:space="0" w:color="auto"/>
        <w:right w:val="none" w:sz="0" w:space="0" w:color="auto"/>
      </w:divBdr>
    </w:div>
    <w:div w:id="1061636480">
      <w:bodyDiv w:val="1"/>
      <w:marLeft w:val="0"/>
      <w:marRight w:val="0"/>
      <w:marTop w:val="0"/>
      <w:marBottom w:val="0"/>
      <w:divBdr>
        <w:top w:val="none" w:sz="0" w:space="0" w:color="auto"/>
        <w:left w:val="none" w:sz="0" w:space="0" w:color="auto"/>
        <w:bottom w:val="none" w:sz="0" w:space="0" w:color="auto"/>
        <w:right w:val="none" w:sz="0" w:space="0" w:color="auto"/>
      </w:divBdr>
    </w:div>
    <w:div w:id="1111389476">
      <w:bodyDiv w:val="1"/>
      <w:marLeft w:val="0"/>
      <w:marRight w:val="0"/>
      <w:marTop w:val="0"/>
      <w:marBottom w:val="0"/>
      <w:divBdr>
        <w:top w:val="none" w:sz="0" w:space="0" w:color="auto"/>
        <w:left w:val="none" w:sz="0" w:space="0" w:color="auto"/>
        <w:bottom w:val="none" w:sz="0" w:space="0" w:color="auto"/>
        <w:right w:val="none" w:sz="0" w:space="0" w:color="auto"/>
      </w:divBdr>
    </w:div>
    <w:div w:id="1191068253">
      <w:bodyDiv w:val="1"/>
      <w:marLeft w:val="0"/>
      <w:marRight w:val="0"/>
      <w:marTop w:val="0"/>
      <w:marBottom w:val="0"/>
      <w:divBdr>
        <w:top w:val="none" w:sz="0" w:space="0" w:color="auto"/>
        <w:left w:val="none" w:sz="0" w:space="0" w:color="auto"/>
        <w:bottom w:val="none" w:sz="0" w:space="0" w:color="auto"/>
        <w:right w:val="none" w:sz="0" w:space="0" w:color="auto"/>
      </w:divBdr>
    </w:div>
    <w:div w:id="1202979464">
      <w:bodyDiv w:val="1"/>
      <w:marLeft w:val="0"/>
      <w:marRight w:val="0"/>
      <w:marTop w:val="0"/>
      <w:marBottom w:val="0"/>
      <w:divBdr>
        <w:top w:val="none" w:sz="0" w:space="0" w:color="auto"/>
        <w:left w:val="none" w:sz="0" w:space="0" w:color="auto"/>
        <w:bottom w:val="none" w:sz="0" w:space="0" w:color="auto"/>
        <w:right w:val="none" w:sz="0" w:space="0" w:color="auto"/>
      </w:divBdr>
    </w:div>
    <w:div w:id="1203833480">
      <w:bodyDiv w:val="1"/>
      <w:marLeft w:val="0"/>
      <w:marRight w:val="0"/>
      <w:marTop w:val="0"/>
      <w:marBottom w:val="0"/>
      <w:divBdr>
        <w:top w:val="none" w:sz="0" w:space="0" w:color="auto"/>
        <w:left w:val="none" w:sz="0" w:space="0" w:color="auto"/>
        <w:bottom w:val="none" w:sz="0" w:space="0" w:color="auto"/>
        <w:right w:val="none" w:sz="0" w:space="0" w:color="auto"/>
      </w:divBdr>
    </w:div>
    <w:div w:id="1271934366">
      <w:bodyDiv w:val="1"/>
      <w:marLeft w:val="0"/>
      <w:marRight w:val="0"/>
      <w:marTop w:val="0"/>
      <w:marBottom w:val="0"/>
      <w:divBdr>
        <w:top w:val="none" w:sz="0" w:space="0" w:color="auto"/>
        <w:left w:val="none" w:sz="0" w:space="0" w:color="auto"/>
        <w:bottom w:val="none" w:sz="0" w:space="0" w:color="auto"/>
        <w:right w:val="none" w:sz="0" w:space="0" w:color="auto"/>
      </w:divBdr>
    </w:div>
    <w:div w:id="1280408734">
      <w:bodyDiv w:val="1"/>
      <w:marLeft w:val="0"/>
      <w:marRight w:val="0"/>
      <w:marTop w:val="0"/>
      <w:marBottom w:val="0"/>
      <w:divBdr>
        <w:top w:val="none" w:sz="0" w:space="0" w:color="auto"/>
        <w:left w:val="none" w:sz="0" w:space="0" w:color="auto"/>
        <w:bottom w:val="none" w:sz="0" w:space="0" w:color="auto"/>
        <w:right w:val="none" w:sz="0" w:space="0" w:color="auto"/>
      </w:divBdr>
    </w:div>
    <w:div w:id="1365406607">
      <w:bodyDiv w:val="1"/>
      <w:marLeft w:val="0"/>
      <w:marRight w:val="0"/>
      <w:marTop w:val="0"/>
      <w:marBottom w:val="0"/>
      <w:divBdr>
        <w:top w:val="none" w:sz="0" w:space="0" w:color="auto"/>
        <w:left w:val="none" w:sz="0" w:space="0" w:color="auto"/>
        <w:bottom w:val="none" w:sz="0" w:space="0" w:color="auto"/>
        <w:right w:val="none" w:sz="0" w:space="0" w:color="auto"/>
      </w:divBdr>
    </w:div>
    <w:div w:id="1377466860">
      <w:bodyDiv w:val="1"/>
      <w:marLeft w:val="0"/>
      <w:marRight w:val="0"/>
      <w:marTop w:val="0"/>
      <w:marBottom w:val="0"/>
      <w:divBdr>
        <w:top w:val="none" w:sz="0" w:space="0" w:color="auto"/>
        <w:left w:val="none" w:sz="0" w:space="0" w:color="auto"/>
        <w:bottom w:val="none" w:sz="0" w:space="0" w:color="auto"/>
        <w:right w:val="none" w:sz="0" w:space="0" w:color="auto"/>
      </w:divBdr>
    </w:div>
    <w:div w:id="1407023627">
      <w:bodyDiv w:val="1"/>
      <w:marLeft w:val="0"/>
      <w:marRight w:val="0"/>
      <w:marTop w:val="0"/>
      <w:marBottom w:val="0"/>
      <w:divBdr>
        <w:top w:val="none" w:sz="0" w:space="0" w:color="auto"/>
        <w:left w:val="none" w:sz="0" w:space="0" w:color="auto"/>
        <w:bottom w:val="none" w:sz="0" w:space="0" w:color="auto"/>
        <w:right w:val="none" w:sz="0" w:space="0" w:color="auto"/>
      </w:divBdr>
    </w:div>
    <w:div w:id="1443498025">
      <w:bodyDiv w:val="1"/>
      <w:marLeft w:val="0"/>
      <w:marRight w:val="0"/>
      <w:marTop w:val="0"/>
      <w:marBottom w:val="0"/>
      <w:divBdr>
        <w:top w:val="none" w:sz="0" w:space="0" w:color="auto"/>
        <w:left w:val="none" w:sz="0" w:space="0" w:color="auto"/>
        <w:bottom w:val="none" w:sz="0" w:space="0" w:color="auto"/>
        <w:right w:val="none" w:sz="0" w:space="0" w:color="auto"/>
      </w:divBdr>
      <w:divsChild>
        <w:div w:id="184484696">
          <w:marLeft w:val="0"/>
          <w:marRight w:val="0"/>
          <w:marTop w:val="0"/>
          <w:marBottom w:val="0"/>
          <w:divBdr>
            <w:top w:val="none" w:sz="0" w:space="0" w:color="auto"/>
            <w:left w:val="none" w:sz="0" w:space="0" w:color="auto"/>
            <w:bottom w:val="none" w:sz="0" w:space="0" w:color="auto"/>
            <w:right w:val="none" w:sz="0" w:space="0" w:color="auto"/>
          </w:divBdr>
        </w:div>
        <w:div w:id="373048171">
          <w:marLeft w:val="0"/>
          <w:marRight w:val="0"/>
          <w:marTop w:val="0"/>
          <w:marBottom w:val="0"/>
          <w:divBdr>
            <w:top w:val="none" w:sz="0" w:space="0" w:color="auto"/>
            <w:left w:val="none" w:sz="0" w:space="0" w:color="auto"/>
            <w:bottom w:val="none" w:sz="0" w:space="0" w:color="auto"/>
            <w:right w:val="none" w:sz="0" w:space="0" w:color="auto"/>
          </w:divBdr>
        </w:div>
        <w:div w:id="635187773">
          <w:marLeft w:val="0"/>
          <w:marRight w:val="0"/>
          <w:marTop w:val="0"/>
          <w:marBottom w:val="0"/>
          <w:divBdr>
            <w:top w:val="none" w:sz="0" w:space="0" w:color="auto"/>
            <w:left w:val="none" w:sz="0" w:space="0" w:color="auto"/>
            <w:bottom w:val="none" w:sz="0" w:space="0" w:color="auto"/>
            <w:right w:val="none" w:sz="0" w:space="0" w:color="auto"/>
          </w:divBdr>
        </w:div>
        <w:div w:id="766392574">
          <w:marLeft w:val="0"/>
          <w:marRight w:val="0"/>
          <w:marTop w:val="0"/>
          <w:marBottom w:val="0"/>
          <w:divBdr>
            <w:top w:val="none" w:sz="0" w:space="0" w:color="auto"/>
            <w:left w:val="none" w:sz="0" w:space="0" w:color="auto"/>
            <w:bottom w:val="none" w:sz="0" w:space="0" w:color="auto"/>
            <w:right w:val="none" w:sz="0" w:space="0" w:color="auto"/>
          </w:divBdr>
        </w:div>
        <w:div w:id="842818458">
          <w:marLeft w:val="0"/>
          <w:marRight w:val="0"/>
          <w:marTop w:val="0"/>
          <w:marBottom w:val="0"/>
          <w:divBdr>
            <w:top w:val="none" w:sz="0" w:space="0" w:color="auto"/>
            <w:left w:val="none" w:sz="0" w:space="0" w:color="auto"/>
            <w:bottom w:val="none" w:sz="0" w:space="0" w:color="auto"/>
            <w:right w:val="none" w:sz="0" w:space="0" w:color="auto"/>
          </w:divBdr>
        </w:div>
        <w:div w:id="1102140080">
          <w:marLeft w:val="0"/>
          <w:marRight w:val="0"/>
          <w:marTop w:val="0"/>
          <w:marBottom w:val="0"/>
          <w:divBdr>
            <w:top w:val="none" w:sz="0" w:space="0" w:color="auto"/>
            <w:left w:val="none" w:sz="0" w:space="0" w:color="auto"/>
            <w:bottom w:val="none" w:sz="0" w:space="0" w:color="auto"/>
            <w:right w:val="none" w:sz="0" w:space="0" w:color="auto"/>
          </w:divBdr>
        </w:div>
        <w:div w:id="1289824106">
          <w:marLeft w:val="0"/>
          <w:marRight w:val="0"/>
          <w:marTop w:val="0"/>
          <w:marBottom w:val="0"/>
          <w:divBdr>
            <w:top w:val="none" w:sz="0" w:space="0" w:color="auto"/>
            <w:left w:val="none" w:sz="0" w:space="0" w:color="auto"/>
            <w:bottom w:val="none" w:sz="0" w:space="0" w:color="auto"/>
            <w:right w:val="none" w:sz="0" w:space="0" w:color="auto"/>
          </w:divBdr>
        </w:div>
        <w:div w:id="1427770481">
          <w:marLeft w:val="0"/>
          <w:marRight w:val="0"/>
          <w:marTop w:val="0"/>
          <w:marBottom w:val="0"/>
          <w:divBdr>
            <w:top w:val="none" w:sz="0" w:space="0" w:color="auto"/>
            <w:left w:val="none" w:sz="0" w:space="0" w:color="auto"/>
            <w:bottom w:val="none" w:sz="0" w:space="0" w:color="auto"/>
            <w:right w:val="none" w:sz="0" w:space="0" w:color="auto"/>
          </w:divBdr>
        </w:div>
        <w:div w:id="1758625225">
          <w:marLeft w:val="0"/>
          <w:marRight w:val="0"/>
          <w:marTop w:val="0"/>
          <w:marBottom w:val="0"/>
          <w:divBdr>
            <w:top w:val="none" w:sz="0" w:space="0" w:color="auto"/>
            <w:left w:val="none" w:sz="0" w:space="0" w:color="auto"/>
            <w:bottom w:val="none" w:sz="0" w:space="0" w:color="auto"/>
            <w:right w:val="none" w:sz="0" w:space="0" w:color="auto"/>
          </w:divBdr>
        </w:div>
        <w:div w:id="1860655748">
          <w:marLeft w:val="0"/>
          <w:marRight w:val="0"/>
          <w:marTop w:val="0"/>
          <w:marBottom w:val="0"/>
          <w:divBdr>
            <w:top w:val="none" w:sz="0" w:space="0" w:color="auto"/>
            <w:left w:val="none" w:sz="0" w:space="0" w:color="auto"/>
            <w:bottom w:val="none" w:sz="0" w:space="0" w:color="auto"/>
            <w:right w:val="none" w:sz="0" w:space="0" w:color="auto"/>
          </w:divBdr>
        </w:div>
        <w:div w:id="1970433984">
          <w:marLeft w:val="0"/>
          <w:marRight w:val="0"/>
          <w:marTop w:val="0"/>
          <w:marBottom w:val="0"/>
          <w:divBdr>
            <w:top w:val="none" w:sz="0" w:space="0" w:color="auto"/>
            <w:left w:val="none" w:sz="0" w:space="0" w:color="auto"/>
            <w:bottom w:val="none" w:sz="0" w:space="0" w:color="auto"/>
            <w:right w:val="none" w:sz="0" w:space="0" w:color="auto"/>
          </w:divBdr>
        </w:div>
      </w:divsChild>
    </w:div>
    <w:div w:id="1479877585">
      <w:bodyDiv w:val="1"/>
      <w:marLeft w:val="0"/>
      <w:marRight w:val="0"/>
      <w:marTop w:val="0"/>
      <w:marBottom w:val="0"/>
      <w:divBdr>
        <w:top w:val="none" w:sz="0" w:space="0" w:color="auto"/>
        <w:left w:val="none" w:sz="0" w:space="0" w:color="auto"/>
        <w:bottom w:val="none" w:sz="0" w:space="0" w:color="auto"/>
        <w:right w:val="none" w:sz="0" w:space="0" w:color="auto"/>
      </w:divBdr>
      <w:divsChild>
        <w:div w:id="2632229">
          <w:marLeft w:val="0"/>
          <w:marRight w:val="0"/>
          <w:marTop w:val="0"/>
          <w:marBottom w:val="0"/>
          <w:divBdr>
            <w:top w:val="none" w:sz="0" w:space="0" w:color="auto"/>
            <w:left w:val="none" w:sz="0" w:space="0" w:color="auto"/>
            <w:bottom w:val="none" w:sz="0" w:space="0" w:color="auto"/>
            <w:right w:val="none" w:sz="0" w:space="0" w:color="auto"/>
          </w:divBdr>
        </w:div>
        <w:div w:id="498347641">
          <w:marLeft w:val="0"/>
          <w:marRight w:val="0"/>
          <w:marTop w:val="0"/>
          <w:marBottom w:val="0"/>
          <w:divBdr>
            <w:top w:val="none" w:sz="0" w:space="0" w:color="auto"/>
            <w:left w:val="none" w:sz="0" w:space="0" w:color="auto"/>
            <w:bottom w:val="none" w:sz="0" w:space="0" w:color="auto"/>
            <w:right w:val="none" w:sz="0" w:space="0" w:color="auto"/>
          </w:divBdr>
        </w:div>
        <w:div w:id="590509314">
          <w:marLeft w:val="0"/>
          <w:marRight w:val="0"/>
          <w:marTop w:val="0"/>
          <w:marBottom w:val="0"/>
          <w:divBdr>
            <w:top w:val="none" w:sz="0" w:space="0" w:color="auto"/>
            <w:left w:val="none" w:sz="0" w:space="0" w:color="auto"/>
            <w:bottom w:val="none" w:sz="0" w:space="0" w:color="auto"/>
            <w:right w:val="none" w:sz="0" w:space="0" w:color="auto"/>
          </w:divBdr>
        </w:div>
        <w:div w:id="716007653">
          <w:marLeft w:val="0"/>
          <w:marRight w:val="0"/>
          <w:marTop w:val="0"/>
          <w:marBottom w:val="0"/>
          <w:divBdr>
            <w:top w:val="none" w:sz="0" w:space="0" w:color="auto"/>
            <w:left w:val="none" w:sz="0" w:space="0" w:color="auto"/>
            <w:bottom w:val="none" w:sz="0" w:space="0" w:color="auto"/>
            <w:right w:val="none" w:sz="0" w:space="0" w:color="auto"/>
          </w:divBdr>
        </w:div>
        <w:div w:id="1093209712">
          <w:marLeft w:val="0"/>
          <w:marRight w:val="0"/>
          <w:marTop w:val="0"/>
          <w:marBottom w:val="0"/>
          <w:divBdr>
            <w:top w:val="none" w:sz="0" w:space="0" w:color="auto"/>
            <w:left w:val="none" w:sz="0" w:space="0" w:color="auto"/>
            <w:bottom w:val="none" w:sz="0" w:space="0" w:color="auto"/>
            <w:right w:val="none" w:sz="0" w:space="0" w:color="auto"/>
          </w:divBdr>
        </w:div>
        <w:div w:id="1278634978">
          <w:marLeft w:val="0"/>
          <w:marRight w:val="0"/>
          <w:marTop w:val="0"/>
          <w:marBottom w:val="0"/>
          <w:divBdr>
            <w:top w:val="none" w:sz="0" w:space="0" w:color="auto"/>
            <w:left w:val="none" w:sz="0" w:space="0" w:color="auto"/>
            <w:bottom w:val="none" w:sz="0" w:space="0" w:color="auto"/>
            <w:right w:val="none" w:sz="0" w:space="0" w:color="auto"/>
          </w:divBdr>
        </w:div>
        <w:div w:id="1439913327">
          <w:marLeft w:val="0"/>
          <w:marRight w:val="0"/>
          <w:marTop w:val="0"/>
          <w:marBottom w:val="0"/>
          <w:divBdr>
            <w:top w:val="none" w:sz="0" w:space="0" w:color="auto"/>
            <w:left w:val="none" w:sz="0" w:space="0" w:color="auto"/>
            <w:bottom w:val="none" w:sz="0" w:space="0" w:color="auto"/>
            <w:right w:val="none" w:sz="0" w:space="0" w:color="auto"/>
          </w:divBdr>
        </w:div>
        <w:div w:id="1458639047">
          <w:marLeft w:val="0"/>
          <w:marRight w:val="0"/>
          <w:marTop w:val="0"/>
          <w:marBottom w:val="0"/>
          <w:divBdr>
            <w:top w:val="none" w:sz="0" w:space="0" w:color="auto"/>
            <w:left w:val="none" w:sz="0" w:space="0" w:color="auto"/>
            <w:bottom w:val="none" w:sz="0" w:space="0" w:color="auto"/>
            <w:right w:val="none" w:sz="0" w:space="0" w:color="auto"/>
          </w:divBdr>
        </w:div>
        <w:div w:id="1618025179">
          <w:marLeft w:val="0"/>
          <w:marRight w:val="0"/>
          <w:marTop w:val="0"/>
          <w:marBottom w:val="0"/>
          <w:divBdr>
            <w:top w:val="none" w:sz="0" w:space="0" w:color="auto"/>
            <w:left w:val="none" w:sz="0" w:space="0" w:color="auto"/>
            <w:bottom w:val="none" w:sz="0" w:space="0" w:color="auto"/>
            <w:right w:val="none" w:sz="0" w:space="0" w:color="auto"/>
          </w:divBdr>
        </w:div>
        <w:div w:id="1702591829">
          <w:marLeft w:val="0"/>
          <w:marRight w:val="0"/>
          <w:marTop w:val="0"/>
          <w:marBottom w:val="0"/>
          <w:divBdr>
            <w:top w:val="none" w:sz="0" w:space="0" w:color="auto"/>
            <w:left w:val="none" w:sz="0" w:space="0" w:color="auto"/>
            <w:bottom w:val="none" w:sz="0" w:space="0" w:color="auto"/>
            <w:right w:val="none" w:sz="0" w:space="0" w:color="auto"/>
          </w:divBdr>
        </w:div>
        <w:div w:id="1907111444">
          <w:marLeft w:val="0"/>
          <w:marRight w:val="0"/>
          <w:marTop w:val="0"/>
          <w:marBottom w:val="0"/>
          <w:divBdr>
            <w:top w:val="none" w:sz="0" w:space="0" w:color="auto"/>
            <w:left w:val="none" w:sz="0" w:space="0" w:color="auto"/>
            <w:bottom w:val="none" w:sz="0" w:space="0" w:color="auto"/>
            <w:right w:val="none" w:sz="0" w:space="0" w:color="auto"/>
          </w:divBdr>
        </w:div>
      </w:divsChild>
    </w:div>
    <w:div w:id="1487822450">
      <w:bodyDiv w:val="1"/>
      <w:marLeft w:val="0"/>
      <w:marRight w:val="0"/>
      <w:marTop w:val="0"/>
      <w:marBottom w:val="0"/>
      <w:divBdr>
        <w:top w:val="none" w:sz="0" w:space="0" w:color="auto"/>
        <w:left w:val="none" w:sz="0" w:space="0" w:color="auto"/>
        <w:bottom w:val="none" w:sz="0" w:space="0" w:color="auto"/>
        <w:right w:val="none" w:sz="0" w:space="0" w:color="auto"/>
      </w:divBdr>
    </w:div>
    <w:div w:id="1511751202">
      <w:bodyDiv w:val="1"/>
      <w:marLeft w:val="0"/>
      <w:marRight w:val="0"/>
      <w:marTop w:val="0"/>
      <w:marBottom w:val="0"/>
      <w:divBdr>
        <w:top w:val="none" w:sz="0" w:space="0" w:color="auto"/>
        <w:left w:val="none" w:sz="0" w:space="0" w:color="auto"/>
        <w:bottom w:val="none" w:sz="0" w:space="0" w:color="auto"/>
        <w:right w:val="none" w:sz="0" w:space="0" w:color="auto"/>
      </w:divBdr>
    </w:div>
    <w:div w:id="1542092222">
      <w:bodyDiv w:val="1"/>
      <w:marLeft w:val="0"/>
      <w:marRight w:val="0"/>
      <w:marTop w:val="0"/>
      <w:marBottom w:val="0"/>
      <w:divBdr>
        <w:top w:val="none" w:sz="0" w:space="0" w:color="auto"/>
        <w:left w:val="none" w:sz="0" w:space="0" w:color="auto"/>
        <w:bottom w:val="none" w:sz="0" w:space="0" w:color="auto"/>
        <w:right w:val="none" w:sz="0" w:space="0" w:color="auto"/>
      </w:divBdr>
    </w:div>
    <w:div w:id="1542546708">
      <w:bodyDiv w:val="1"/>
      <w:marLeft w:val="0"/>
      <w:marRight w:val="0"/>
      <w:marTop w:val="0"/>
      <w:marBottom w:val="0"/>
      <w:divBdr>
        <w:top w:val="none" w:sz="0" w:space="0" w:color="auto"/>
        <w:left w:val="none" w:sz="0" w:space="0" w:color="auto"/>
        <w:bottom w:val="none" w:sz="0" w:space="0" w:color="auto"/>
        <w:right w:val="none" w:sz="0" w:space="0" w:color="auto"/>
      </w:divBdr>
      <w:divsChild>
        <w:div w:id="1218202521">
          <w:marLeft w:val="0"/>
          <w:marRight w:val="0"/>
          <w:marTop w:val="0"/>
          <w:marBottom w:val="0"/>
          <w:divBdr>
            <w:top w:val="none" w:sz="0" w:space="0" w:color="auto"/>
            <w:left w:val="none" w:sz="0" w:space="0" w:color="auto"/>
            <w:bottom w:val="none" w:sz="0" w:space="0" w:color="auto"/>
            <w:right w:val="none" w:sz="0" w:space="0" w:color="auto"/>
          </w:divBdr>
        </w:div>
        <w:div w:id="1396778549">
          <w:marLeft w:val="0"/>
          <w:marRight w:val="0"/>
          <w:marTop w:val="0"/>
          <w:marBottom w:val="0"/>
          <w:divBdr>
            <w:top w:val="none" w:sz="0" w:space="0" w:color="auto"/>
            <w:left w:val="none" w:sz="0" w:space="0" w:color="auto"/>
            <w:bottom w:val="none" w:sz="0" w:space="0" w:color="auto"/>
            <w:right w:val="none" w:sz="0" w:space="0" w:color="auto"/>
          </w:divBdr>
        </w:div>
      </w:divsChild>
    </w:div>
    <w:div w:id="1546529861">
      <w:bodyDiv w:val="1"/>
      <w:marLeft w:val="0"/>
      <w:marRight w:val="0"/>
      <w:marTop w:val="0"/>
      <w:marBottom w:val="0"/>
      <w:divBdr>
        <w:top w:val="none" w:sz="0" w:space="0" w:color="auto"/>
        <w:left w:val="none" w:sz="0" w:space="0" w:color="auto"/>
        <w:bottom w:val="none" w:sz="0" w:space="0" w:color="auto"/>
        <w:right w:val="none" w:sz="0" w:space="0" w:color="auto"/>
      </w:divBdr>
    </w:div>
    <w:div w:id="1567112237">
      <w:bodyDiv w:val="1"/>
      <w:marLeft w:val="0"/>
      <w:marRight w:val="0"/>
      <w:marTop w:val="0"/>
      <w:marBottom w:val="0"/>
      <w:divBdr>
        <w:top w:val="none" w:sz="0" w:space="0" w:color="auto"/>
        <w:left w:val="none" w:sz="0" w:space="0" w:color="auto"/>
        <w:bottom w:val="none" w:sz="0" w:space="0" w:color="auto"/>
        <w:right w:val="none" w:sz="0" w:space="0" w:color="auto"/>
      </w:divBdr>
    </w:div>
    <w:div w:id="1597983098">
      <w:bodyDiv w:val="1"/>
      <w:marLeft w:val="0"/>
      <w:marRight w:val="0"/>
      <w:marTop w:val="0"/>
      <w:marBottom w:val="0"/>
      <w:divBdr>
        <w:top w:val="none" w:sz="0" w:space="0" w:color="auto"/>
        <w:left w:val="none" w:sz="0" w:space="0" w:color="auto"/>
        <w:bottom w:val="none" w:sz="0" w:space="0" w:color="auto"/>
        <w:right w:val="none" w:sz="0" w:space="0" w:color="auto"/>
      </w:divBdr>
    </w:div>
    <w:div w:id="1631473268">
      <w:bodyDiv w:val="1"/>
      <w:marLeft w:val="0"/>
      <w:marRight w:val="0"/>
      <w:marTop w:val="0"/>
      <w:marBottom w:val="0"/>
      <w:divBdr>
        <w:top w:val="none" w:sz="0" w:space="0" w:color="auto"/>
        <w:left w:val="none" w:sz="0" w:space="0" w:color="auto"/>
        <w:bottom w:val="none" w:sz="0" w:space="0" w:color="auto"/>
        <w:right w:val="none" w:sz="0" w:space="0" w:color="auto"/>
      </w:divBdr>
    </w:div>
    <w:div w:id="1639333440">
      <w:bodyDiv w:val="1"/>
      <w:marLeft w:val="0"/>
      <w:marRight w:val="0"/>
      <w:marTop w:val="0"/>
      <w:marBottom w:val="0"/>
      <w:divBdr>
        <w:top w:val="none" w:sz="0" w:space="0" w:color="auto"/>
        <w:left w:val="none" w:sz="0" w:space="0" w:color="auto"/>
        <w:bottom w:val="none" w:sz="0" w:space="0" w:color="auto"/>
        <w:right w:val="none" w:sz="0" w:space="0" w:color="auto"/>
      </w:divBdr>
    </w:div>
    <w:div w:id="1677613930">
      <w:bodyDiv w:val="1"/>
      <w:marLeft w:val="0"/>
      <w:marRight w:val="0"/>
      <w:marTop w:val="0"/>
      <w:marBottom w:val="0"/>
      <w:divBdr>
        <w:top w:val="none" w:sz="0" w:space="0" w:color="auto"/>
        <w:left w:val="none" w:sz="0" w:space="0" w:color="auto"/>
        <w:bottom w:val="none" w:sz="0" w:space="0" w:color="auto"/>
        <w:right w:val="none" w:sz="0" w:space="0" w:color="auto"/>
      </w:divBdr>
    </w:div>
    <w:div w:id="1691880113">
      <w:bodyDiv w:val="1"/>
      <w:marLeft w:val="0"/>
      <w:marRight w:val="0"/>
      <w:marTop w:val="0"/>
      <w:marBottom w:val="0"/>
      <w:divBdr>
        <w:top w:val="none" w:sz="0" w:space="0" w:color="auto"/>
        <w:left w:val="none" w:sz="0" w:space="0" w:color="auto"/>
        <w:bottom w:val="none" w:sz="0" w:space="0" w:color="auto"/>
        <w:right w:val="none" w:sz="0" w:space="0" w:color="auto"/>
      </w:divBdr>
    </w:div>
    <w:div w:id="1756240871">
      <w:bodyDiv w:val="1"/>
      <w:marLeft w:val="0"/>
      <w:marRight w:val="0"/>
      <w:marTop w:val="0"/>
      <w:marBottom w:val="0"/>
      <w:divBdr>
        <w:top w:val="none" w:sz="0" w:space="0" w:color="auto"/>
        <w:left w:val="none" w:sz="0" w:space="0" w:color="auto"/>
        <w:bottom w:val="none" w:sz="0" w:space="0" w:color="auto"/>
        <w:right w:val="none" w:sz="0" w:space="0" w:color="auto"/>
      </w:divBdr>
    </w:div>
    <w:div w:id="1772165419">
      <w:bodyDiv w:val="1"/>
      <w:marLeft w:val="0"/>
      <w:marRight w:val="0"/>
      <w:marTop w:val="0"/>
      <w:marBottom w:val="0"/>
      <w:divBdr>
        <w:top w:val="none" w:sz="0" w:space="0" w:color="auto"/>
        <w:left w:val="none" w:sz="0" w:space="0" w:color="auto"/>
        <w:bottom w:val="none" w:sz="0" w:space="0" w:color="auto"/>
        <w:right w:val="none" w:sz="0" w:space="0" w:color="auto"/>
      </w:divBdr>
    </w:div>
    <w:div w:id="1783840332">
      <w:bodyDiv w:val="1"/>
      <w:marLeft w:val="0"/>
      <w:marRight w:val="0"/>
      <w:marTop w:val="0"/>
      <w:marBottom w:val="0"/>
      <w:divBdr>
        <w:top w:val="none" w:sz="0" w:space="0" w:color="auto"/>
        <w:left w:val="none" w:sz="0" w:space="0" w:color="auto"/>
        <w:bottom w:val="none" w:sz="0" w:space="0" w:color="auto"/>
        <w:right w:val="none" w:sz="0" w:space="0" w:color="auto"/>
      </w:divBdr>
    </w:div>
    <w:div w:id="1793552673">
      <w:bodyDiv w:val="1"/>
      <w:marLeft w:val="0"/>
      <w:marRight w:val="0"/>
      <w:marTop w:val="0"/>
      <w:marBottom w:val="0"/>
      <w:divBdr>
        <w:top w:val="none" w:sz="0" w:space="0" w:color="auto"/>
        <w:left w:val="none" w:sz="0" w:space="0" w:color="auto"/>
        <w:bottom w:val="none" w:sz="0" w:space="0" w:color="auto"/>
        <w:right w:val="none" w:sz="0" w:space="0" w:color="auto"/>
      </w:divBdr>
    </w:div>
    <w:div w:id="1816795533">
      <w:bodyDiv w:val="1"/>
      <w:marLeft w:val="0"/>
      <w:marRight w:val="0"/>
      <w:marTop w:val="0"/>
      <w:marBottom w:val="0"/>
      <w:divBdr>
        <w:top w:val="none" w:sz="0" w:space="0" w:color="auto"/>
        <w:left w:val="none" w:sz="0" w:space="0" w:color="auto"/>
        <w:bottom w:val="none" w:sz="0" w:space="0" w:color="auto"/>
        <w:right w:val="none" w:sz="0" w:space="0" w:color="auto"/>
      </w:divBdr>
    </w:div>
    <w:div w:id="1823698100">
      <w:bodyDiv w:val="1"/>
      <w:marLeft w:val="0"/>
      <w:marRight w:val="0"/>
      <w:marTop w:val="0"/>
      <w:marBottom w:val="0"/>
      <w:divBdr>
        <w:top w:val="none" w:sz="0" w:space="0" w:color="auto"/>
        <w:left w:val="none" w:sz="0" w:space="0" w:color="auto"/>
        <w:bottom w:val="none" w:sz="0" w:space="0" w:color="auto"/>
        <w:right w:val="none" w:sz="0" w:space="0" w:color="auto"/>
      </w:divBdr>
    </w:div>
    <w:div w:id="1827893622">
      <w:bodyDiv w:val="1"/>
      <w:marLeft w:val="0"/>
      <w:marRight w:val="0"/>
      <w:marTop w:val="0"/>
      <w:marBottom w:val="0"/>
      <w:divBdr>
        <w:top w:val="none" w:sz="0" w:space="0" w:color="auto"/>
        <w:left w:val="none" w:sz="0" w:space="0" w:color="auto"/>
        <w:bottom w:val="none" w:sz="0" w:space="0" w:color="auto"/>
        <w:right w:val="none" w:sz="0" w:space="0" w:color="auto"/>
      </w:divBdr>
    </w:div>
    <w:div w:id="1897423567">
      <w:bodyDiv w:val="1"/>
      <w:marLeft w:val="0"/>
      <w:marRight w:val="0"/>
      <w:marTop w:val="0"/>
      <w:marBottom w:val="0"/>
      <w:divBdr>
        <w:top w:val="none" w:sz="0" w:space="0" w:color="auto"/>
        <w:left w:val="none" w:sz="0" w:space="0" w:color="auto"/>
        <w:bottom w:val="none" w:sz="0" w:space="0" w:color="auto"/>
        <w:right w:val="none" w:sz="0" w:space="0" w:color="auto"/>
      </w:divBdr>
    </w:div>
    <w:div w:id="1911035438">
      <w:bodyDiv w:val="1"/>
      <w:marLeft w:val="0"/>
      <w:marRight w:val="0"/>
      <w:marTop w:val="0"/>
      <w:marBottom w:val="0"/>
      <w:divBdr>
        <w:top w:val="none" w:sz="0" w:space="0" w:color="auto"/>
        <w:left w:val="none" w:sz="0" w:space="0" w:color="auto"/>
        <w:bottom w:val="none" w:sz="0" w:space="0" w:color="auto"/>
        <w:right w:val="none" w:sz="0" w:space="0" w:color="auto"/>
      </w:divBdr>
    </w:div>
    <w:div w:id="1988852370">
      <w:bodyDiv w:val="1"/>
      <w:marLeft w:val="0"/>
      <w:marRight w:val="0"/>
      <w:marTop w:val="0"/>
      <w:marBottom w:val="0"/>
      <w:divBdr>
        <w:top w:val="none" w:sz="0" w:space="0" w:color="auto"/>
        <w:left w:val="none" w:sz="0" w:space="0" w:color="auto"/>
        <w:bottom w:val="none" w:sz="0" w:space="0" w:color="auto"/>
        <w:right w:val="none" w:sz="0" w:space="0" w:color="auto"/>
      </w:divBdr>
    </w:div>
    <w:div w:id="1996763979">
      <w:bodyDiv w:val="1"/>
      <w:marLeft w:val="0"/>
      <w:marRight w:val="0"/>
      <w:marTop w:val="0"/>
      <w:marBottom w:val="0"/>
      <w:divBdr>
        <w:top w:val="none" w:sz="0" w:space="0" w:color="auto"/>
        <w:left w:val="none" w:sz="0" w:space="0" w:color="auto"/>
        <w:bottom w:val="none" w:sz="0" w:space="0" w:color="auto"/>
        <w:right w:val="none" w:sz="0" w:space="0" w:color="auto"/>
      </w:divBdr>
      <w:divsChild>
        <w:div w:id="98113405">
          <w:marLeft w:val="0"/>
          <w:marRight w:val="0"/>
          <w:marTop w:val="0"/>
          <w:marBottom w:val="0"/>
          <w:divBdr>
            <w:top w:val="none" w:sz="0" w:space="0" w:color="auto"/>
            <w:left w:val="none" w:sz="0" w:space="0" w:color="auto"/>
            <w:bottom w:val="none" w:sz="0" w:space="0" w:color="auto"/>
            <w:right w:val="none" w:sz="0" w:space="0" w:color="auto"/>
          </w:divBdr>
        </w:div>
        <w:div w:id="163592365">
          <w:marLeft w:val="0"/>
          <w:marRight w:val="0"/>
          <w:marTop w:val="0"/>
          <w:marBottom w:val="0"/>
          <w:divBdr>
            <w:top w:val="none" w:sz="0" w:space="0" w:color="auto"/>
            <w:left w:val="none" w:sz="0" w:space="0" w:color="auto"/>
            <w:bottom w:val="none" w:sz="0" w:space="0" w:color="auto"/>
            <w:right w:val="none" w:sz="0" w:space="0" w:color="auto"/>
          </w:divBdr>
        </w:div>
        <w:div w:id="357588074">
          <w:marLeft w:val="0"/>
          <w:marRight w:val="0"/>
          <w:marTop w:val="0"/>
          <w:marBottom w:val="0"/>
          <w:divBdr>
            <w:top w:val="none" w:sz="0" w:space="0" w:color="auto"/>
            <w:left w:val="none" w:sz="0" w:space="0" w:color="auto"/>
            <w:bottom w:val="none" w:sz="0" w:space="0" w:color="auto"/>
            <w:right w:val="none" w:sz="0" w:space="0" w:color="auto"/>
          </w:divBdr>
        </w:div>
        <w:div w:id="556163729">
          <w:marLeft w:val="0"/>
          <w:marRight w:val="0"/>
          <w:marTop w:val="0"/>
          <w:marBottom w:val="0"/>
          <w:divBdr>
            <w:top w:val="none" w:sz="0" w:space="0" w:color="auto"/>
            <w:left w:val="none" w:sz="0" w:space="0" w:color="auto"/>
            <w:bottom w:val="none" w:sz="0" w:space="0" w:color="auto"/>
            <w:right w:val="none" w:sz="0" w:space="0" w:color="auto"/>
          </w:divBdr>
        </w:div>
        <w:div w:id="610623062">
          <w:marLeft w:val="0"/>
          <w:marRight w:val="0"/>
          <w:marTop w:val="0"/>
          <w:marBottom w:val="0"/>
          <w:divBdr>
            <w:top w:val="none" w:sz="0" w:space="0" w:color="auto"/>
            <w:left w:val="none" w:sz="0" w:space="0" w:color="auto"/>
            <w:bottom w:val="none" w:sz="0" w:space="0" w:color="auto"/>
            <w:right w:val="none" w:sz="0" w:space="0" w:color="auto"/>
          </w:divBdr>
        </w:div>
        <w:div w:id="662853262">
          <w:marLeft w:val="0"/>
          <w:marRight w:val="0"/>
          <w:marTop w:val="0"/>
          <w:marBottom w:val="0"/>
          <w:divBdr>
            <w:top w:val="none" w:sz="0" w:space="0" w:color="auto"/>
            <w:left w:val="none" w:sz="0" w:space="0" w:color="auto"/>
            <w:bottom w:val="none" w:sz="0" w:space="0" w:color="auto"/>
            <w:right w:val="none" w:sz="0" w:space="0" w:color="auto"/>
          </w:divBdr>
        </w:div>
        <w:div w:id="726075662">
          <w:marLeft w:val="0"/>
          <w:marRight w:val="0"/>
          <w:marTop w:val="0"/>
          <w:marBottom w:val="0"/>
          <w:divBdr>
            <w:top w:val="none" w:sz="0" w:space="0" w:color="auto"/>
            <w:left w:val="none" w:sz="0" w:space="0" w:color="auto"/>
            <w:bottom w:val="none" w:sz="0" w:space="0" w:color="auto"/>
            <w:right w:val="none" w:sz="0" w:space="0" w:color="auto"/>
          </w:divBdr>
        </w:div>
        <w:div w:id="808715435">
          <w:marLeft w:val="0"/>
          <w:marRight w:val="0"/>
          <w:marTop w:val="0"/>
          <w:marBottom w:val="0"/>
          <w:divBdr>
            <w:top w:val="none" w:sz="0" w:space="0" w:color="auto"/>
            <w:left w:val="none" w:sz="0" w:space="0" w:color="auto"/>
            <w:bottom w:val="none" w:sz="0" w:space="0" w:color="auto"/>
            <w:right w:val="none" w:sz="0" w:space="0" w:color="auto"/>
          </w:divBdr>
        </w:div>
        <w:div w:id="825515424">
          <w:marLeft w:val="0"/>
          <w:marRight w:val="0"/>
          <w:marTop w:val="0"/>
          <w:marBottom w:val="0"/>
          <w:divBdr>
            <w:top w:val="none" w:sz="0" w:space="0" w:color="auto"/>
            <w:left w:val="none" w:sz="0" w:space="0" w:color="auto"/>
            <w:bottom w:val="none" w:sz="0" w:space="0" w:color="auto"/>
            <w:right w:val="none" w:sz="0" w:space="0" w:color="auto"/>
          </w:divBdr>
        </w:div>
        <w:div w:id="857281140">
          <w:marLeft w:val="0"/>
          <w:marRight w:val="0"/>
          <w:marTop w:val="0"/>
          <w:marBottom w:val="0"/>
          <w:divBdr>
            <w:top w:val="none" w:sz="0" w:space="0" w:color="auto"/>
            <w:left w:val="none" w:sz="0" w:space="0" w:color="auto"/>
            <w:bottom w:val="none" w:sz="0" w:space="0" w:color="auto"/>
            <w:right w:val="none" w:sz="0" w:space="0" w:color="auto"/>
          </w:divBdr>
        </w:div>
        <w:div w:id="1047677748">
          <w:marLeft w:val="0"/>
          <w:marRight w:val="0"/>
          <w:marTop w:val="0"/>
          <w:marBottom w:val="0"/>
          <w:divBdr>
            <w:top w:val="none" w:sz="0" w:space="0" w:color="auto"/>
            <w:left w:val="none" w:sz="0" w:space="0" w:color="auto"/>
            <w:bottom w:val="none" w:sz="0" w:space="0" w:color="auto"/>
            <w:right w:val="none" w:sz="0" w:space="0" w:color="auto"/>
          </w:divBdr>
        </w:div>
        <w:div w:id="1089078777">
          <w:marLeft w:val="0"/>
          <w:marRight w:val="0"/>
          <w:marTop w:val="0"/>
          <w:marBottom w:val="0"/>
          <w:divBdr>
            <w:top w:val="none" w:sz="0" w:space="0" w:color="auto"/>
            <w:left w:val="none" w:sz="0" w:space="0" w:color="auto"/>
            <w:bottom w:val="none" w:sz="0" w:space="0" w:color="auto"/>
            <w:right w:val="none" w:sz="0" w:space="0" w:color="auto"/>
          </w:divBdr>
        </w:div>
        <w:div w:id="1408265700">
          <w:marLeft w:val="0"/>
          <w:marRight w:val="0"/>
          <w:marTop w:val="0"/>
          <w:marBottom w:val="0"/>
          <w:divBdr>
            <w:top w:val="none" w:sz="0" w:space="0" w:color="auto"/>
            <w:left w:val="none" w:sz="0" w:space="0" w:color="auto"/>
            <w:bottom w:val="none" w:sz="0" w:space="0" w:color="auto"/>
            <w:right w:val="none" w:sz="0" w:space="0" w:color="auto"/>
          </w:divBdr>
        </w:div>
        <w:div w:id="1487622015">
          <w:marLeft w:val="0"/>
          <w:marRight w:val="0"/>
          <w:marTop w:val="0"/>
          <w:marBottom w:val="0"/>
          <w:divBdr>
            <w:top w:val="none" w:sz="0" w:space="0" w:color="auto"/>
            <w:left w:val="none" w:sz="0" w:space="0" w:color="auto"/>
            <w:bottom w:val="none" w:sz="0" w:space="0" w:color="auto"/>
            <w:right w:val="none" w:sz="0" w:space="0" w:color="auto"/>
          </w:divBdr>
        </w:div>
        <w:div w:id="1561358429">
          <w:marLeft w:val="0"/>
          <w:marRight w:val="0"/>
          <w:marTop w:val="0"/>
          <w:marBottom w:val="0"/>
          <w:divBdr>
            <w:top w:val="none" w:sz="0" w:space="0" w:color="auto"/>
            <w:left w:val="none" w:sz="0" w:space="0" w:color="auto"/>
            <w:bottom w:val="none" w:sz="0" w:space="0" w:color="auto"/>
            <w:right w:val="none" w:sz="0" w:space="0" w:color="auto"/>
          </w:divBdr>
        </w:div>
        <w:div w:id="1585995143">
          <w:marLeft w:val="0"/>
          <w:marRight w:val="0"/>
          <w:marTop w:val="0"/>
          <w:marBottom w:val="0"/>
          <w:divBdr>
            <w:top w:val="none" w:sz="0" w:space="0" w:color="auto"/>
            <w:left w:val="none" w:sz="0" w:space="0" w:color="auto"/>
            <w:bottom w:val="none" w:sz="0" w:space="0" w:color="auto"/>
            <w:right w:val="none" w:sz="0" w:space="0" w:color="auto"/>
          </w:divBdr>
        </w:div>
        <w:div w:id="1643268243">
          <w:marLeft w:val="0"/>
          <w:marRight w:val="0"/>
          <w:marTop w:val="0"/>
          <w:marBottom w:val="0"/>
          <w:divBdr>
            <w:top w:val="none" w:sz="0" w:space="0" w:color="auto"/>
            <w:left w:val="none" w:sz="0" w:space="0" w:color="auto"/>
            <w:bottom w:val="none" w:sz="0" w:space="0" w:color="auto"/>
            <w:right w:val="none" w:sz="0" w:space="0" w:color="auto"/>
          </w:divBdr>
        </w:div>
        <w:div w:id="1761680496">
          <w:marLeft w:val="0"/>
          <w:marRight w:val="0"/>
          <w:marTop w:val="0"/>
          <w:marBottom w:val="0"/>
          <w:divBdr>
            <w:top w:val="none" w:sz="0" w:space="0" w:color="auto"/>
            <w:left w:val="none" w:sz="0" w:space="0" w:color="auto"/>
            <w:bottom w:val="none" w:sz="0" w:space="0" w:color="auto"/>
            <w:right w:val="none" w:sz="0" w:space="0" w:color="auto"/>
          </w:divBdr>
        </w:div>
        <w:div w:id="1807317333">
          <w:marLeft w:val="0"/>
          <w:marRight w:val="0"/>
          <w:marTop w:val="0"/>
          <w:marBottom w:val="0"/>
          <w:divBdr>
            <w:top w:val="none" w:sz="0" w:space="0" w:color="auto"/>
            <w:left w:val="none" w:sz="0" w:space="0" w:color="auto"/>
            <w:bottom w:val="none" w:sz="0" w:space="0" w:color="auto"/>
            <w:right w:val="none" w:sz="0" w:space="0" w:color="auto"/>
          </w:divBdr>
        </w:div>
        <w:div w:id="1924490083">
          <w:marLeft w:val="0"/>
          <w:marRight w:val="0"/>
          <w:marTop w:val="0"/>
          <w:marBottom w:val="0"/>
          <w:divBdr>
            <w:top w:val="none" w:sz="0" w:space="0" w:color="auto"/>
            <w:left w:val="none" w:sz="0" w:space="0" w:color="auto"/>
            <w:bottom w:val="none" w:sz="0" w:space="0" w:color="auto"/>
            <w:right w:val="none" w:sz="0" w:space="0" w:color="auto"/>
          </w:divBdr>
        </w:div>
        <w:div w:id="1976980377">
          <w:marLeft w:val="0"/>
          <w:marRight w:val="0"/>
          <w:marTop w:val="0"/>
          <w:marBottom w:val="0"/>
          <w:divBdr>
            <w:top w:val="none" w:sz="0" w:space="0" w:color="auto"/>
            <w:left w:val="none" w:sz="0" w:space="0" w:color="auto"/>
            <w:bottom w:val="none" w:sz="0" w:space="0" w:color="auto"/>
            <w:right w:val="none" w:sz="0" w:space="0" w:color="auto"/>
          </w:divBdr>
        </w:div>
        <w:div w:id="1989043310">
          <w:marLeft w:val="0"/>
          <w:marRight w:val="0"/>
          <w:marTop w:val="0"/>
          <w:marBottom w:val="0"/>
          <w:divBdr>
            <w:top w:val="none" w:sz="0" w:space="0" w:color="auto"/>
            <w:left w:val="none" w:sz="0" w:space="0" w:color="auto"/>
            <w:bottom w:val="none" w:sz="0" w:space="0" w:color="auto"/>
            <w:right w:val="none" w:sz="0" w:space="0" w:color="auto"/>
          </w:divBdr>
          <w:divsChild>
            <w:div w:id="100540780">
              <w:marLeft w:val="0"/>
              <w:marRight w:val="0"/>
              <w:marTop w:val="0"/>
              <w:marBottom w:val="0"/>
              <w:divBdr>
                <w:top w:val="none" w:sz="0" w:space="0" w:color="auto"/>
                <w:left w:val="none" w:sz="0" w:space="0" w:color="auto"/>
                <w:bottom w:val="none" w:sz="0" w:space="0" w:color="auto"/>
                <w:right w:val="none" w:sz="0" w:space="0" w:color="auto"/>
              </w:divBdr>
            </w:div>
            <w:div w:id="268391175">
              <w:marLeft w:val="0"/>
              <w:marRight w:val="0"/>
              <w:marTop w:val="0"/>
              <w:marBottom w:val="0"/>
              <w:divBdr>
                <w:top w:val="none" w:sz="0" w:space="0" w:color="auto"/>
                <w:left w:val="none" w:sz="0" w:space="0" w:color="auto"/>
                <w:bottom w:val="none" w:sz="0" w:space="0" w:color="auto"/>
                <w:right w:val="none" w:sz="0" w:space="0" w:color="auto"/>
              </w:divBdr>
            </w:div>
            <w:div w:id="426511305">
              <w:marLeft w:val="0"/>
              <w:marRight w:val="0"/>
              <w:marTop w:val="0"/>
              <w:marBottom w:val="0"/>
              <w:divBdr>
                <w:top w:val="none" w:sz="0" w:space="0" w:color="auto"/>
                <w:left w:val="none" w:sz="0" w:space="0" w:color="auto"/>
                <w:bottom w:val="none" w:sz="0" w:space="0" w:color="auto"/>
                <w:right w:val="none" w:sz="0" w:space="0" w:color="auto"/>
              </w:divBdr>
            </w:div>
            <w:div w:id="445733084">
              <w:marLeft w:val="0"/>
              <w:marRight w:val="0"/>
              <w:marTop w:val="0"/>
              <w:marBottom w:val="0"/>
              <w:divBdr>
                <w:top w:val="none" w:sz="0" w:space="0" w:color="auto"/>
                <w:left w:val="none" w:sz="0" w:space="0" w:color="auto"/>
                <w:bottom w:val="none" w:sz="0" w:space="0" w:color="auto"/>
                <w:right w:val="none" w:sz="0" w:space="0" w:color="auto"/>
              </w:divBdr>
            </w:div>
            <w:div w:id="747071175">
              <w:marLeft w:val="0"/>
              <w:marRight w:val="0"/>
              <w:marTop w:val="0"/>
              <w:marBottom w:val="0"/>
              <w:divBdr>
                <w:top w:val="none" w:sz="0" w:space="0" w:color="auto"/>
                <w:left w:val="none" w:sz="0" w:space="0" w:color="auto"/>
                <w:bottom w:val="none" w:sz="0" w:space="0" w:color="auto"/>
                <w:right w:val="none" w:sz="0" w:space="0" w:color="auto"/>
              </w:divBdr>
            </w:div>
            <w:div w:id="750662661">
              <w:marLeft w:val="0"/>
              <w:marRight w:val="0"/>
              <w:marTop w:val="0"/>
              <w:marBottom w:val="0"/>
              <w:divBdr>
                <w:top w:val="none" w:sz="0" w:space="0" w:color="auto"/>
                <w:left w:val="none" w:sz="0" w:space="0" w:color="auto"/>
                <w:bottom w:val="none" w:sz="0" w:space="0" w:color="auto"/>
                <w:right w:val="none" w:sz="0" w:space="0" w:color="auto"/>
              </w:divBdr>
            </w:div>
            <w:div w:id="857810774">
              <w:marLeft w:val="0"/>
              <w:marRight w:val="0"/>
              <w:marTop w:val="0"/>
              <w:marBottom w:val="0"/>
              <w:divBdr>
                <w:top w:val="none" w:sz="0" w:space="0" w:color="auto"/>
                <w:left w:val="none" w:sz="0" w:space="0" w:color="auto"/>
                <w:bottom w:val="none" w:sz="0" w:space="0" w:color="auto"/>
                <w:right w:val="none" w:sz="0" w:space="0" w:color="auto"/>
              </w:divBdr>
            </w:div>
            <w:div w:id="1133866532">
              <w:marLeft w:val="0"/>
              <w:marRight w:val="0"/>
              <w:marTop w:val="0"/>
              <w:marBottom w:val="0"/>
              <w:divBdr>
                <w:top w:val="none" w:sz="0" w:space="0" w:color="auto"/>
                <w:left w:val="none" w:sz="0" w:space="0" w:color="auto"/>
                <w:bottom w:val="none" w:sz="0" w:space="0" w:color="auto"/>
                <w:right w:val="none" w:sz="0" w:space="0" w:color="auto"/>
              </w:divBdr>
            </w:div>
            <w:div w:id="1143349306">
              <w:marLeft w:val="0"/>
              <w:marRight w:val="0"/>
              <w:marTop w:val="0"/>
              <w:marBottom w:val="0"/>
              <w:divBdr>
                <w:top w:val="none" w:sz="0" w:space="0" w:color="auto"/>
                <w:left w:val="none" w:sz="0" w:space="0" w:color="auto"/>
                <w:bottom w:val="none" w:sz="0" w:space="0" w:color="auto"/>
                <w:right w:val="none" w:sz="0" w:space="0" w:color="auto"/>
              </w:divBdr>
            </w:div>
            <w:div w:id="1384020451">
              <w:marLeft w:val="0"/>
              <w:marRight w:val="0"/>
              <w:marTop w:val="0"/>
              <w:marBottom w:val="0"/>
              <w:divBdr>
                <w:top w:val="none" w:sz="0" w:space="0" w:color="auto"/>
                <w:left w:val="none" w:sz="0" w:space="0" w:color="auto"/>
                <w:bottom w:val="none" w:sz="0" w:space="0" w:color="auto"/>
                <w:right w:val="none" w:sz="0" w:space="0" w:color="auto"/>
              </w:divBdr>
            </w:div>
            <w:div w:id="1648241900">
              <w:marLeft w:val="0"/>
              <w:marRight w:val="0"/>
              <w:marTop w:val="0"/>
              <w:marBottom w:val="0"/>
              <w:divBdr>
                <w:top w:val="none" w:sz="0" w:space="0" w:color="auto"/>
                <w:left w:val="none" w:sz="0" w:space="0" w:color="auto"/>
                <w:bottom w:val="none" w:sz="0" w:space="0" w:color="auto"/>
                <w:right w:val="none" w:sz="0" w:space="0" w:color="auto"/>
              </w:divBdr>
            </w:div>
            <w:div w:id="1685789707">
              <w:marLeft w:val="0"/>
              <w:marRight w:val="0"/>
              <w:marTop w:val="0"/>
              <w:marBottom w:val="0"/>
              <w:divBdr>
                <w:top w:val="none" w:sz="0" w:space="0" w:color="auto"/>
                <w:left w:val="none" w:sz="0" w:space="0" w:color="auto"/>
                <w:bottom w:val="none" w:sz="0" w:space="0" w:color="auto"/>
                <w:right w:val="none" w:sz="0" w:space="0" w:color="auto"/>
              </w:divBdr>
            </w:div>
            <w:div w:id="1785422766">
              <w:marLeft w:val="0"/>
              <w:marRight w:val="0"/>
              <w:marTop w:val="0"/>
              <w:marBottom w:val="0"/>
              <w:divBdr>
                <w:top w:val="none" w:sz="0" w:space="0" w:color="auto"/>
                <w:left w:val="none" w:sz="0" w:space="0" w:color="auto"/>
                <w:bottom w:val="none" w:sz="0" w:space="0" w:color="auto"/>
                <w:right w:val="none" w:sz="0" w:space="0" w:color="auto"/>
              </w:divBdr>
            </w:div>
            <w:div w:id="1844662441">
              <w:marLeft w:val="0"/>
              <w:marRight w:val="0"/>
              <w:marTop w:val="0"/>
              <w:marBottom w:val="0"/>
              <w:divBdr>
                <w:top w:val="none" w:sz="0" w:space="0" w:color="auto"/>
                <w:left w:val="none" w:sz="0" w:space="0" w:color="auto"/>
                <w:bottom w:val="none" w:sz="0" w:space="0" w:color="auto"/>
                <w:right w:val="none" w:sz="0" w:space="0" w:color="auto"/>
              </w:divBdr>
            </w:div>
          </w:divsChild>
        </w:div>
        <w:div w:id="2117364933">
          <w:marLeft w:val="0"/>
          <w:marRight w:val="0"/>
          <w:marTop w:val="0"/>
          <w:marBottom w:val="0"/>
          <w:divBdr>
            <w:top w:val="none" w:sz="0" w:space="0" w:color="auto"/>
            <w:left w:val="none" w:sz="0" w:space="0" w:color="auto"/>
            <w:bottom w:val="none" w:sz="0" w:space="0" w:color="auto"/>
            <w:right w:val="none" w:sz="0" w:space="0" w:color="auto"/>
          </w:divBdr>
        </w:div>
      </w:divsChild>
    </w:div>
    <w:div w:id="1997414203">
      <w:bodyDiv w:val="1"/>
      <w:marLeft w:val="0"/>
      <w:marRight w:val="0"/>
      <w:marTop w:val="0"/>
      <w:marBottom w:val="0"/>
      <w:divBdr>
        <w:top w:val="none" w:sz="0" w:space="0" w:color="auto"/>
        <w:left w:val="none" w:sz="0" w:space="0" w:color="auto"/>
        <w:bottom w:val="none" w:sz="0" w:space="0" w:color="auto"/>
        <w:right w:val="none" w:sz="0" w:space="0" w:color="auto"/>
      </w:divBdr>
    </w:div>
    <w:div w:id="2000885584">
      <w:bodyDiv w:val="1"/>
      <w:marLeft w:val="0"/>
      <w:marRight w:val="0"/>
      <w:marTop w:val="0"/>
      <w:marBottom w:val="0"/>
      <w:divBdr>
        <w:top w:val="none" w:sz="0" w:space="0" w:color="auto"/>
        <w:left w:val="none" w:sz="0" w:space="0" w:color="auto"/>
        <w:bottom w:val="none" w:sz="0" w:space="0" w:color="auto"/>
        <w:right w:val="none" w:sz="0" w:space="0" w:color="auto"/>
      </w:divBdr>
    </w:div>
    <w:div w:id="2017028455">
      <w:bodyDiv w:val="1"/>
      <w:marLeft w:val="0"/>
      <w:marRight w:val="0"/>
      <w:marTop w:val="0"/>
      <w:marBottom w:val="0"/>
      <w:divBdr>
        <w:top w:val="none" w:sz="0" w:space="0" w:color="auto"/>
        <w:left w:val="none" w:sz="0" w:space="0" w:color="auto"/>
        <w:bottom w:val="none" w:sz="0" w:space="0" w:color="auto"/>
        <w:right w:val="none" w:sz="0" w:space="0" w:color="auto"/>
      </w:divBdr>
    </w:div>
    <w:div w:id="2027975998">
      <w:bodyDiv w:val="1"/>
      <w:marLeft w:val="0"/>
      <w:marRight w:val="0"/>
      <w:marTop w:val="0"/>
      <w:marBottom w:val="0"/>
      <w:divBdr>
        <w:top w:val="none" w:sz="0" w:space="0" w:color="auto"/>
        <w:left w:val="none" w:sz="0" w:space="0" w:color="auto"/>
        <w:bottom w:val="none" w:sz="0" w:space="0" w:color="auto"/>
        <w:right w:val="none" w:sz="0" w:space="0" w:color="auto"/>
      </w:divBdr>
    </w:div>
    <w:div w:id="2032798169">
      <w:bodyDiv w:val="1"/>
      <w:marLeft w:val="0"/>
      <w:marRight w:val="0"/>
      <w:marTop w:val="0"/>
      <w:marBottom w:val="0"/>
      <w:divBdr>
        <w:top w:val="none" w:sz="0" w:space="0" w:color="auto"/>
        <w:left w:val="none" w:sz="0" w:space="0" w:color="auto"/>
        <w:bottom w:val="none" w:sz="0" w:space="0" w:color="auto"/>
        <w:right w:val="none" w:sz="0" w:space="0" w:color="auto"/>
      </w:divBdr>
      <w:divsChild>
        <w:div w:id="59406162">
          <w:marLeft w:val="0"/>
          <w:marRight w:val="0"/>
          <w:marTop w:val="0"/>
          <w:marBottom w:val="0"/>
          <w:divBdr>
            <w:top w:val="none" w:sz="0" w:space="0" w:color="auto"/>
            <w:left w:val="none" w:sz="0" w:space="0" w:color="auto"/>
            <w:bottom w:val="none" w:sz="0" w:space="0" w:color="auto"/>
            <w:right w:val="none" w:sz="0" w:space="0" w:color="auto"/>
          </w:divBdr>
        </w:div>
        <w:div w:id="82186362">
          <w:marLeft w:val="0"/>
          <w:marRight w:val="0"/>
          <w:marTop w:val="0"/>
          <w:marBottom w:val="0"/>
          <w:divBdr>
            <w:top w:val="none" w:sz="0" w:space="0" w:color="auto"/>
            <w:left w:val="none" w:sz="0" w:space="0" w:color="auto"/>
            <w:bottom w:val="none" w:sz="0" w:space="0" w:color="auto"/>
            <w:right w:val="none" w:sz="0" w:space="0" w:color="auto"/>
          </w:divBdr>
        </w:div>
        <w:div w:id="213276705">
          <w:marLeft w:val="0"/>
          <w:marRight w:val="0"/>
          <w:marTop w:val="0"/>
          <w:marBottom w:val="0"/>
          <w:divBdr>
            <w:top w:val="none" w:sz="0" w:space="0" w:color="auto"/>
            <w:left w:val="none" w:sz="0" w:space="0" w:color="auto"/>
            <w:bottom w:val="none" w:sz="0" w:space="0" w:color="auto"/>
            <w:right w:val="none" w:sz="0" w:space="0" w:color="auto"/>
          </w:divBdr>
        </w:div>
        <w:div w:id="343173457">
          <w:marLeft w:val="0"/>
          <w:marRight w:val="0"/>
          <w:marTop w:val="0"/>
          <w:marBottom w:val="0"/>
          <w:divBdr>
            <w:top w:val="none" w:sz="0" w:space="0" w:color="auto"/>
            <w:left w:val="none" w:sz="0" w:space="0" w:color="auto"/>
            <w:bottom w:val="none" w:sz="0" w:space="0" w:color="auto"/>
            <w:right w:val="none" w:sz="0" w:space="0" w:color="auto"/>
          </w:divBdr>
        </w:div>
        <w:div w:id="373697112">
          <w:marLeft w:val="0"/>
          <w:marRight w:val="0"/>
          <w:marTop w:val="0"/>
          <w:marBottom w:val="0"/>
          <w:divBdr>
            <w:top w:val="none" w:sz="0" w:space="0" w:color="auto"/>
            <w:left w:val="none" w:sz="0" w:space="0" w:color="auto"/>
            <w:bottom w:val="none" w:sz="0" w:space="0" w:color="auto"/>
            <w:right w:val="none" w:sz="0" w:space="0" w:color="auto"/>
          </w:divBdr>
        </w:div>
        <w:div w:id="427701700">
          <w:marLeft w:val="0"/>
          <w:marRight w:val="0"/>
          <w:marTop w:val="0"/>
          <w:marBottom w:val="0"/>
          <w:divBdr>
            <w:top w:val="none" w:sz="0" w:space="0" w:color="auto"/>
            <w:left w:val="none" w:sz="0" w:space="0" w:color="auto"/>
            <w:bottom w:val="none" w:sz="0" w:space="0" w:color="auto"/>
            <w:right w:val="none" w:sz="0" w:space="0" w:color="auto"/>
          </w:divBdr>
        </w:div>
        <w:div w:id="487288048">
          <w:marLeft w:val="0"/>
          <w:marRight w:val="0"/>
          <w:marTop w:val="0"/>
          <w:marBottom w:val="0"/>
          <w:divBdr>
            <w:top w:val="none" w:sz="0" w:space="0" w:color="auto"/>
            <w:left w:val="none" w:sz="0" w:space="0" w:color="auto"/>
            <w:bottom w:val="none" w:sz="0" w:space="0" w:color="auto"/>
            <w:right w:val="none" w:sz="0" w:space="0" w:color="auto"/>
          </w:divBdr>
        </w:div>
        <w:div w:id="503936603">
          <w:marLeft w:val="0"/>
          <w:marRight w:val="0"/>
          <w:marTop w:val="0"/>
          <w:marBottom w:val="0"/>
          <w:divBdr>
            <w:top w:val="none" w:sz="0" w:space="0" w:color="auto"/>
            <w:left w:val="none" w:sz="0" w:space="0" w:color="auto"/>
            <w:bottom w:val="none" w:sz="0" w:space="0" w:color="auto"/>
            <w:right w:val="none" w:sz="0" w:space="0" w:color="auto"/>
          </w:divBdr>
        </w:div>
        <w:div w:id="622268728">
          <w:marLeft w:val="0"/>
          <w:marRight w:val="0"/>
          <w:marTop w:val="0"/>
          <w:marBottom w:val="0"/>
          <w:divBdr>
            <w:top w:val="none" w:sz="0" w:space="0" w:color="auto"/>
            <w:left w:val="none" w:sz="0" w:space="0" w:color="auto"/>
            <w:bottom w:val="none" w:sz="0" w:space="0" w:color="auto"/>
            <w:right w:val="none" w:sz="0" w:space="0" w:color="auto"/>
          </w:divBdr>
        </w:div>
        <w:div w:id="748159954">
          <w:marLeft w:val="0"/>
          <w:marRight w:val="0"/>
          <w:marTop w:val="0"/>
          <w:marBottom w:val="0"/>
          <w:divBdr>
            <w:top w:val="none" w:sz="0" w:space="0" w:color="auto"/>
            <w:left w:val="none" w:sz="0" w:space="0" w:color="auto"/>
            <w:bottom w:val="none" w:sz="0" w:space="0" w:color="auto"/>
            <w:right w:val="none" w:sz="0" w:space="0" w:color="auto"/>
          </w:divBdr>
        </w:div>
        <w:div w:id="795174697">
          <w:marLeft w:val="0"/>
          <w:marRight w:val="0"/>
          <w:marTop w:val="0"/>
          <w:marBottom w:val="0"/>
          <w:divBdr>
            <w:top w:val="none" w:sz="0" w:space="0" w:color="auto"/>
            <w:left w:val="none" w:sz="0" w:space="0" w:color="auto"/>
            <w:bottom w:val="none" w:sz="0" w:space="0" w:color="auto"/>
            <w:right w:val="none" w:sz="0" w:space="0" w:color="auto"/>
          </w:divBdr>
        </w:div>
        <w:div w:id="815758598">
          <w:marLeft w:val="0"/>
          <w:marRight w:val="0"/>
          <w:marTop w:val="0"/>
          <w:marBottom w:val="0"/>
          <w:divBdr>
            <w:top w:val="none" w:sz="0" w:space="0" w:color="auto"/>
            <w:left w:val="none" w:sz="0" w:space="0" w:color="auto"/>
            <w:bottom w:val="none" w:sz="0" w:space="0" w:color="auto"/>
            <w:right w:val="none" w:sz="0" w:space="0" w:color="auto"/>
          </w:divBdr>
        </w:div>
        <w:div w:id="826557086">
          <w:marLeft w:val="0"/>
          <w:marRight w:val="0"/>
          <w:marTop w:val="0"/>
          <w:marBottom w:val="0"/>
          <w:divBdr>
            <w:top w:val="none" w:sz="0" w:space="0" w:color="auto"/>
            <w:left w:val="none" w:sz="0" w:space="0" w:color="auto"/>
            <w:bottom w:val="none" w:sz="0" w:space="0" w:color="auto"/>
            <w:right w:val="none" w:sz="0" w:space="0" w:color="auto"/>
          </w:divBdr>
        </w:div>
        <w:div w:id="964579876">
          <w:marLeft w:val="0"/>
          <w:marRight w:val="0"/>
          <w:marTop w:val="0"/>
          <w:marBottom w:val="0"/>
          <w:divBdr>
            <w:top w:val="none" w:sz="0" w:space="0" w:color="auto"/>
            <w:left w:val="none" w:sz="0" w:space="0" w:color="auto"/>
            <w:bottom w:val="none" w:sz="0" w:space="0" w:color="auto"/>
            <w:right w:val="none" w:sz="0" w:space="0" w:color="auto"/>
          </w:divBdr>
        </w:div>
        <w:div w:id="1036007975">
          <w:marLeft w:val="0"/>
          <w:marRight w:val="0"/>
          <w:marTop w:val="0"/>
          <w:marBottom w:val="0"/>
          <w:divBdr>
            <w:top w:val="none" w:sz="0" w:space="0" w:color="auto"/>
            <w:left w:val="none" w:sz="0" w:space="0" w:color="auto"/>
            <w:bottom w:val="none" w:sz="0" w:space="0" w:color="auto"/>
            <w:right w:val="none" w:sz="0" w:space="0" w:color="auto"/>
          </w:divBdr>
        </w:div>
        <w:div w:id="1051883252">
          <w:marLeft w:val="0"/>
          <w:marRight w:val="0"/>
          <w:marTop w:val="0"/>
          <w:marBottom w:val="0"/>
          <w:divBdr>
            <w:top w:val="none" w:sz="0" w:space="0" w:color="auto"/>
            <w:left w:val="none" w:sz="0" w:space="0" w:color="auto"/>
            <w:bottom w:val="none" w:sz="0" w:space="0" w:color="auto"/>
            <w:right w:val="none" w:sz="0" w:space="0" w:color="auto"/>
          </w:divBdr>
        </w:div>
        <w:div w:id="1078750560">
          <w:marLeft w:val="0"/>
          <w:marRight w:val="0"/>
          <w:marTop w:val="0"/>
          <w:marBottom w:val="0"/>
          <w:divBdr>
            <w:top w:val="none" w:sz="0" w:space="0" w:color="auto"/>
            <w:left w:val="none" w:sz="0" w:space="0" w:color="auto"/>
            <w:bottom w:val="none" w:sz="0" w:space="0" w:color="auto"/>
            <w:right w:val="none" w:sz="0" w:space="0" w:color="auto"/>
          </w:divBdr>
        </w:div>
        <w:div w:id="1175653913">
          <w:marLeft w:val="0"/>
          <w:marRight w:val="0"/>
          <w:marTop w:val="0"/>
          <w:marBottom w:val="0"/>
          <w:divBdr>
            <w:top w:val="none" w:sz="0" w:space="0" w:color="auto"/>
            <w:left w:val="none" w:sz="0" w:space="0" w:color="auto"/>
            <w:bottom w:val="none" w:sz="0" w:space="0" w:color="auto"/>
            <w:right w:val="none" w:sz="0" w:space="0" w:color="auto"/>
          </w:divBdr>
        </w:div>
        <w:div w:id="1383939127">
          <w:marLeft w:val="0"/>
          <w:marRight w:val="0"/>
          <w:marTop w:val="0"/>
          <w:marBottom w:val="0"/>
          <w:divBdr>
            <w:top w:val="none" w:sz="0" w:space="0" w:color="auto"/>
            <w:left w:val="none" w:sz="0" w:space="0" w:color="auto"/>
            <w:bottom w:val="none" w:sz="0" w:space="0" w:color="auto"/>
            <w:right w:val="none" w:sz="0" w:space="0" w:color="auto"/>
          </w:divBdr>
        </w:div>
        <w:div w:id="1622304553">
          <w:marLeft w:val="0"/>
          <w:marRight w:val="0"/>
          <w:marTop w:val="0"/>
          <w:marBottom w:val="0"/>
          <w:divBdr>
            <w:top w:val="none" w:sz="0" w:space="0" w:color="auto"/>
            <w:left w:val="none" w:sz="0" w:space="0" w:color="auto"/>
            <w:bottom w:val="none" w:sz="0" w:space="0" w:color="auto"/>
            <w:right w:val="none" w:sz="0" w:space="0" w:color="auto"/>
          </w:divBdr>
        </w:div>
        <w:div w:id="1640383240">
          <w:marLeft w:val="0"/>
          <w:marRight w:val="0"/>
          <w:marTop w:val="0"/>
          <w:marBottom w:val="0"/>
          <w:divBdr>
            <w:top w:val="none" w:sz="0" w:space="0" w:color="auto"/>
            <w:left w:val="none" w:sz="0" w:space="0" w:color="auto"/>
            <w:bottom w:val="none" w:sz="0" w:space="0" w:color="auto"/>
            <w:right w:val="none" w:sz="0" w:space="0" w:color="auto"/>
          </w:divBdr>
        </w:div>
        <w:div w:id="1707559786">
          <w:marLeft w:val="0"/>
          <w:marRight w:val="0"/>
          <w:marTop w:val="0"/>
          <w:marBottom w:val="0"/>
          <w:divBdr>
            <w:top w:val="none" w:sz="0" w:space="0" w:color="auto"/>
            <w:left w:val="none" w:sz="0" w:space="0" w:color="auto"/>
            <w:bottom w:val="none" w:sz="0" w:space="0" w:color="auto"/>
            <w:right w:val="none" w:sz="0" w:space="0" w:color="auto"/>
          </w:divBdr>
          <w:divsChild>
            <w:div w:id="64424262">
              <w:marLeft w:val="0"/>
              <w:marRight w:val="0"/>
              <w:marTop w:val="0"/>
              <w:marBottom w:val="0"/>
              <w:divBdr>
                <w:top w:val="none" w:sz="0" w:space="0" w:color="auto"/>
                <w:left w:val="none" w:sz="0" w:space="0" w:color="auto"/>
                <w:bottom w:val="none" w:sz="0" w:space="0" w:color="auto"/>
                <w:right w:val="none" w:sz="0" w:space="0" w:color="auto"/>
              </w:divBdr>
            </w:div>
            <w:div w:id="145324280">
              <w:marLeft w:val="0"/>
              <w:marRight w:val="0"/>
              <w:marTop w:val="0"/>
              <w:marBottom w:val="0"/>
              <w:divBdr>
                <w:top w:val="none" w:sz="0" w:space="0" w:color="auto"/>
                <w:left w:val="none" w:sz="0" w:space="0" w:color="auto"/>
                <w:bottom w:val="none" w:sz="0" w:space="0" w:color="auto"/>
                <w:right w:val="none" w:sz="0" w:space="0" w:color="auto"/>
              </w:divBdr>
            </w:div>
            <w:div w:id="251161356">
              <w:marLeft w:val="0"/>
              <w:marRight w:val="0"/>
              <w:marTop w:val="0"/>
              <w:marBottom w:val="0"/>
              <w:divBdr>
                <w:top w:val="none" w:sz="0" w:space="0" w:color="auto"/>
                <w:left w:val="none" w:sz="0" w:space="0" w:color="auto"/>
                <w:bottom w:val="none" w:sz="0" w:space="0" w:color="auto"/>
                <w:right w:val="none" w:sz="0" w:space="0" w:color="auto"/>
              </w:divBdr>
            </w:div>
            <w:div w:id="523518420">
              <w:marLeft w:val="0"/>
              <w:marRight w:val="0"/>
              <w:marTop w:val="0"/>
              <w:marBottom w:val="0"/>
              <w:divBdr>
                <w:top w:val="none" w:sz="0" w:space="0" w:color="auto"/>
                <w:left w:val="none" w:sz="0" w:space="0" w:color="auto"/>
                <w:bottom w:val="none" w:sz="0" w:space="0" w:color="auto"/>
                <w:right w:val="none" w:sz="0" w:space="0" w:color="auto"/>
              </w:divBdr>
            </w:div>
            <w:div w:id="689529507">
              <w:marLeft w:val="0"/>
              <w:marRight w:val="0"/>
              <w:marTop w:val="0"/>
              <w:marBottom w:val="0"/>
              <w:divBdr>
                <w:top w:val="none" w:sz="0" w:space="0" w:color="auto"/>
                <w:left w:val="none" w:sz="0" w:space="0" w:color="auto"/>
                <w:bottom w:val="none" w:sz="0" w:space="0" w:color="auto"/>
                <w:right w:val="none" w:sz="0" w:space="0" w:color="auto"/>
              </w:divBdr>
            </w:div>
            <w:div w:id="871188376">
              <w:marLeft w:val="0"/>
              <w:marRight w:val="0"/>
              <w:marTop w:val="0"/>
              <w:marBottom w:val="0"/>
              <w:divBdr>
                <w:top w:val="none" w:sz="0" w:space="0" w:color="auto"/>
                <w:left w:val="none" w:sz="0" w:space="0" w:color="auto"/>
                <w:bottom w:val="none" w:sz="0" w:space="0" w:color="auto"/>
                <w:right w:val="none" w:sz="0" w:space="0" w:color="auto"/>
              </w:divBdr>
            </w:div>
            <w:div w:id="884412434">
              <w:marLeft w:val="0"/>
              <w:marRight w:val="0"/>
              <w:marTop w:val="0"/>
              <w:marBottom w:val="0"/>
              <w:divBdr>
                <w:top w:val="none" w:sz="0" w:space="0" w:color="auto"/>
                <w:left w:val="none" w:sz="0" w:space="0" w:color="auto"/>
                <w:bottom w:val="none" w:sz="0" w:space="0" w:color="auto"/>
                <w:right w:val="none" w:sz="0" w:space="0" w:color="auto"/>
              </w:divBdr>
            </w:div>
            <w:div w:id="896280821">
              <w:marLeft w:val="0"/>
              <w:marRight w:val="0"/>
              <w:marTop w:val="0"/>
              <w:marBottom w:val="0"/>
              <w:divBdr>
                <w:top w:val="none" w:sz="0" w:space="0" w:color="auto"/>
                <w:left w:val="none" w:sz="0" w:space="0" w:color="auto"/>
                <w:bottom w:val="none" w:sz="0" w:space="0" w:color="auto"/>
                <w:right w:val="none" w:sz="0" w:space="0" w:color="auto"/>
              </w:divBdr>
            </w:div>
            <w:div w:id="1310281193">
              <w:marLeft w:val="0"/>
              <w:marRight w:val="0"/>
              <w:marTop w:val="0"/>
              <w:marBottom w:val="0"/>
              <w:divBdr>
                <w:top w:val="none" w:sz="0" w:space="0" w:color="auto"/>
                <w:left w:val="none" w:sz="0" w:space="0" w:color="auto"/>
                <w:bottom w:val="none" w:sz="0" w:space="0" w:color="auto"/>
                <w:right w:val="none" w:sz="0" w:space="0" w:color="auto"/>
              </w:divBdr>
            </w:div>
            <w:div w:id="1444226869">
              <w:marLeft w:val="0"/>
              <w:marRight w:val="0"/>
              <w:marTop w:val="0"/>
              <w:marBottom w:val="0"/>
              <w:divBdr>
                <w:top w:val="none" w:sz="0" w:space="0" w:color="auto"/>
                <w:left w:val="none" w:sz="0" w:space="0" w:color="auto"/>
                <w:bottom w:val="none" w:sz="0" w:space="0" w:color="auto"/>
                <w:right w:val="none" w:sz="0" w:space="0" w:color="auto"/>
              </w:divBdr>
            </w:div>
            <w:div w:id="1590119547">
              <w:marLeft w:val="0"/>
              <w:marRight w:val="0"/>
              <w:marTop w:val="0"/>
              <w:marBottom w:val="0"/>
              <w:divBdr>
                <w:top w:val="none" w:sz="0" w:space="0" w:color="auto"/>
                <w:left w:val="none" w:sz="0" w:space="0" w:color="auto"/>
                <w:bottom w:val="none" w:sz="0" w:space="0" w:color="auto"/>
                <w:right w:val="none" w:sz="0" w:space="0" w:color="auto"/>
              </w:divBdr>
            </w:div>
            <w:div w:id="1881235851">
              <w:marLeft w:val="0"/>
              <w:marRight w:val="0"/>
              <w:marTop w:val="0"/>
              <w:marBottom w:val="0"/>
              <w:divBdr>
                <w:top w:val="none" w:sz="0" w:space="0" w:color="auto"/>
                <w:left w:val="none" w:sz="0" w:space="0" w:color="auto"/>
                <w:bottom w:val="none" w:sz="0" w:space="0" w:color="auto"/>
                <w:right w:val="none" w:sz="0" w:space="0" w:color="auto"/>
              </w:divBdr>
            </w:div>
            <w:div w:id="1911190464">
              <w:marLeft w:val="0"/>
              <w:marRight w:val="0"/>
              <w:marTop w:val="0"/>
              <w:marBottom w:val="0"/>
              <w:divBdr>
                <w:top w:val="none" w:sz="0" w:space="0" w:color="auto"/>
                <w:left w:val="none" w:sz="0" w:space="0" w:color="auto"/>
                <w:bottom w:val="none" w:sz="0" w:space="0" w:color="auto"/>
                <w:right w:val="none" w:sz="0" w:space="0" w:color="auto"/>
              </w:divBdr>
            </w:div>
            <w:div w:id="1920167474">
              <w:marLeft w:val="0"/>
              <w:marRight w:val="0"/>
              <w:marTop w:val="0"/>
              <w:marBottom w:val="0"/>
              <w:divBdr>
                <w:top w:val="none" w:sz="0" w:space="0" w:color="auto"/>
                <w:left w:val="none" w:sz="0" w:space="0" w:color="auto"/>
                <w:bottom w:val="none" w:sz="0" w:space="0" w:color="auto"/>
                <w:right w:val="none" w:sz="0" w:space="0" w:color="auto"/>
              </w:divBdr>
            </w:div>
          </w:divsChild>
        </w:div>
        <w:div w:id="1784377451">
          <w:marLeft w:val="0"/>
          <w:marRight w:val="0"/>
          <w:marTop w:val="0"/>
          <w:marBottom w:val="0"/>
          <w:divBdr>
            <w:top w:val="none" w:sz="0" w:space="0" w:color="auto"/>
            <w:left w:val="none" w:sz="0" w:space="0" w:color="auto"/>
            <w:bottom w:val="none" w:sz="0" w:space="0" w:color="auto"/>
            <w:right w:val="none" w:sz="0" w:space="0" w:color="auto"/>
          </w:divBdr>
        </w:div>
      </w:divsChild>
    </w:div>
    <w:div w:id="2064526760">
      <w:bodyDiv w:val="1"/>
      <w:marLeft w:val="0"/>
      <w:marRight w:val="0"/>
      <w:marTop w:val="0"/>
      <w:marBottom w:val="0"/>
      <w:divBdr>
        <w:top w:val="none" w:sz="0" w:space="0" w:color="auto"/>
        <w:left w:val="none" w:sz="0" w:space="0" w:color="auto"/>
        <w:bottom w:val="none" w:sz="0" w:space="0" w:color="auto"/>
        <w:right w:val="none" w:sz="0" w:space="0" w:color="auto"/>
      </w:divBdr>
    </w:div>
    <w:div w:id="2066221055">
      <w:bodyDiv w:val="1"/>
      <w:marLeft w:val="0"/>
      <w:marRight w:val="0"/>
      <w:marTop w:val="0"/>
      <w:marBottom w:val="0"/>
      <w:divBdr>
        <w:top w:val="none" w:sz="0" w:space="0" w:color="auto"/>
        <w:left w:val="none" w:sz="0" w:space="0" w:color="auto"/>
        <w:bottom w:val="none" w:sz="0" w:space="0" w:color="auto"/>
        <w:right w:val="none" w:sz="0" w:space="0" w:color="auto"/>
      </w:divBdr>
    </w:div>
    <w:div w:id="2079744403">
      <w:bodyDiv w:val="1"/>
      <w:marLeft w:val="0"/>
      <w:marRight w:val="0"/>
      <w:marTop w:val="0"/>
      <w:marBottom w:val="0"/>
      <w:divBdr>
        <w:top w:val="none" w:sz="0" w:space="0" w:color="auto"/>
        <w:left w:val="none" w:sz="0" w:space="0" w:color="auto"/>
        <w:bottom w:val="none" w:sz="0" w:space="0" w:color="auto"/>
        <w:right w:val="none" w:sz="0" w:space="0" w:color="auto"/>
      </w:divBdr>
    </w:div>
    <w:div w:id="2114590617">
      <w:bodyDiv w:val="1"/>
      <w:marLeft w:val="0"/>
      <w:marRight w:val="0"/>
      <w:marTop w:val="0"/>
      <w:marBottom w:val="0"/>
      <w:divBdr>
        <w:top w:val="none" w:sz="0" w:space="0" w:color="auto"/>
        <w:left w:val="none" w:sz="0" w:space="0" w:color="auto"/>
        <w:bottom w:val="none" w:sz="0" w:space="0" w:color="auto"/>
        <w:right w:val="none" w:sz="0" w:space="0" w:color="auto"/>
      </w:divBdr>
    </w:div>
    <w:div w:id="2136484501">
      <w:bodyDiv w:val="1"/>
      <w:marLeft w:val="0"/>
      <w:marRight w:val="0"/>
      <w:marTop w:val="0"/>
      <w:marBottom w:val="0"/>
      <w:divBdr>
        <w:top w:val="none" w:sz="0" w:space="0" w:color="auto"/>
        <w:left w:val="none" w:sz="0" w:space="0" w:color="auto"/>
        <w:bottom w:val="none" w:sz="0" w:space="0" w:color="auto"/>
        <w:right w:val="none" w:sz="0" w:space="0" w:color="auto"/>
      </w:divBdr>
    </w:div>
    <w:div w:id="214376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ountisa.qld.gov.au/files/assets/public/v/3/council/documents/future-ready-economy-roadmap.pdf" TargetMode="External"/><Relationship Id="rId21" Type="http://schemas.openxmlformats.org/officeDocument/2006/relationships/image" Target="media/image7.jpeg"/><Relationship Id="rId42" Type="http://schemas.openxmlformats.org/officeDocument/2006/relationships/image" Target="media/image21.png"/><Relationship Id="rId63" Type="http://schemas.openxmlformats.org/officeDocument/2006/relationships/hyperlink" Target="https://immi.homeaffairs.gov.au/visas/employing-and-sponsoring-someone/sponsoring-workers/nominating-a-position/salary-requirements" TargetMode="External"/><Relationship Id="rId84" Type="http://schemas.openxmlformats.org/officeDocument/2006/relationships/hyperlink" Target="https://unihubsg.org/" TargetMode="External"/><Relationship Id="rId16" Type="http://schemas.openxmlformats.org/officeDocument/2006/relationships/footer" Target="footer3.xml"/><Relationship Id="rId107" Type="http://schemas.openxmlformats.org/officeDocument/2006/relationships/hyperlink" Target="https://www.dss.gov.au/supporting-community-change/resource/entrenched-disadvantage-package" TargetMode="External"/><Relationship Id="rId11" Type="http://schemas.openxmlformats.org/officeDocument/2006/relationships/header" Target="header1.xml"/><Relationship Id="rId32" Type="http://schemas.openxmlformats.org/officeDocument/2006/relationships/image" Target="media/image16.png"/><Relationship Id="rId37" Type="http://schemas.openxmlformats.org/officeDocument/2006/relationships/hyperlink" Target="https://resources.finalsite.net/images/v1716776521/boardingorgau/wqcxakqtpqvqef94dxyu/ABSA3359_census-2024_digital.pdf" TargetMode="External"/><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hyperlink" Target="https://www.dewr.gov.au/skills-education-and-employment" TargetMode="External"/><Relationship Id="rId123" Type="http://schemas.openxmlformats.org/officeDocument/2006/relationships/hyperlink" Target="https://www.vic.gov.au/senior-secondary-schooling-pathway-reforms" TargetMode="External"/><Relationship Id="rId128" Type="http://schemas.openxmlformats.org/officeDocument/2006/relationships/hyperlink" Target="https://creativecommons.org/" TargetMode="External"/><Relationship Id="rId5" Type="http://schemas.openxmlformats.org/officeDocument/2006/relationships/webSettings" Target="webSettings.xml"/><Relationship Id="rId90" Type="http://schemas.openxmlformats.org/officeDocument/2006/relationships/hyperlink" Target="https://www.dewr.gov.au/skills-education-and-employment" TargetMode="External"/><Relationship Id="rId95" Type="http://schemas.openxmlformats.org/officeDocument/2006/relationships/footer" Target="footer5.xml"/><Relationship Id="rId22" Type="http://schemas.openxmlformats.org/officeDocument/2006/relationships/image" Target="media/image8.png"/><Relationship Id="rId27" Type="http://schemas.openxmlformats.org/officeDocument/2006/relationships/image" Target="media/image11.png"/><Relationship Id="rId43" Type="http://schemas.openxmlformats.org/officeDocument/2006/relationships/image" Target="media/image22.png"/><Relationship Id="rId48" Type="http://schemas.openxmlformats.org/officeDocument/2006/relationships/image" Target="media/image26.png"/><Relationship Id="rId64" Type="http://schemas.openxmlformats.org/officeDocument/2006/relationships/image" Target="media/image40.png"/><Relationship Id="rId69" Type="http://schemas.openxmlformats.org/officeDocument/2006/relationships/image" Target="media/image42.png"/><Relationship Id="rId113" Type="http://schemas.openxmlformats.org/officeDocument/2006/relationships/hyperlink" Target="https://www.jobsandskills.gov.au/sites/default/files/2023-04/Foundation%20Skills%20Study%20-%20Discussion%20paper.pdf" TargetMode="External"/><Relationship Id="rId118" Type="http://schemas.openxmlformats.org/officeDocument/2006/relationships/hyperlink" Target="https://www.aph.gov.au/parliamentary_business/committees/house_of_representatives_committees?url=ra/fifodido/report/index.htm" TargetMode="External"/><Relationship Id="rId134" Type="http://schemas.openxmlformats.org/officeDocument/2006/relationships/header" Target="header6.xml"/><Relationship Id="rId80" Type="http://schemas.openxmlformats.org/officeDocument/2006/relationships/image" Target="media/image53.png"/><Relationship Id="rId85" Type="http://schemas.openxmlformats.org/officeDocument/2006/relationships/hyperlink" Target="https://www.education.gov.au/regional-university-study-hubs" TargetMode="External"/><Relationship Id="rId12" Type="http://schemas.openxmlformats.org/officeDocument/2006/relationships/header" Target="header2.xml"/><Relationship Id="rId17" Type="http://schemas.openxmlformats.org/officeDocument/2006/relationships/image" Target="media/image4.png"/><Relationship Id="rId33" Type="http://schemas.openxmlformats.org/officeDocument/2006/relationships/image" Target="media/image17.png"/><Relationship Id="rId38" Type="http://schemas.openxmlformats.org/officeDocument/2006/relationships/hyperlink" Target="https://www.theaustralian.com.au/special-reports/numbers-show-the-home-away-from-home-is-here-to-stay/news-story/01c8a2c848c9bea0b70eb1034a23bb5c" TargetMode="External"/><Relationship Id="rId59" Type="http://schemas.openxmlformats.org/officeDocument/2006/relationships/image" Target="media/image37.png"/><Relationship Id="rId103" Type="http://schemas.openxmlformats.org/officeDocument/2006/relationships/hyperlink" Target="https://www.pmc.gov.au/domestic-policy/care-and-support-economy" TargetMode="External"/><Relationship Id="rId108" Type="http://schemas.openxmlformats.org/officeDocument/2006/relationships/hyperlink" Target="https://treasury.gov.au/policy-topics/future-made-australia" TargetMode="External"/><Relationship Id="rId124" Type="http://schemas.openxmlformats.org/officeDocument/2006/relationships/hyperlink" Target="https://www.volunteeringaustralia.org/wp-content/uploads/National-Standards-Document-FINAL_Web.pdf" TargetMode="External"/><Relationship Id="rId129" Type="http://schemas.openxmlformats.org/officeDocument/2006/relationships/hyperlink" Target="https://www.pmc.gov.au/" TargetMode="External"/><Relationship Id="rId54" Type="http://schemas.openxmlformats.org/officeDocument/2006/relationships/image" Target="media/image32.png"/><Relationship Id="rId70" Type="http://schemas.openxmlformats.org/officeDocument/2006/relationships/image" Target="media/image43.png"/><Relationship Id="rId75" Type="http://schemas.openxmlformats.org/officeDocument/2006/relationships/image" Target="media/image48.png"/><Relationship Id="rId91" Type="http://schemas.openxmlformats.org/officeDocument/2006/relationships/hyperlink" Target="https://www.jobsandskills.gov.au/consultations/" TargetMode="External"/><Relationship Id="rId96"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2.png"/><Relationship Id="rId49" Type="http://schemas.openxmlformats.org/officeDocument/2006/relationships/image" Target="media/image27.png"/><Relationship Id="rId114" Type="http://schemas.openxmlformats.org/officeDocument/2006/relationships/hyperlink" Target="https://www.jobsandskills.gov.au/download/19681/jobs-and-skills-report-2024/2833/better-together-jobs-and-skills-report-2024/pdf" TargetMode="External"/><Relationship Id="rId119" Type="http://schemas.openxmlformats.org/officeDocument/2006/relationships/hyperlink" Target="https://desbt.qld.gov.au/training/providers/funded/userchoice/resources" TargetMode="External"/><Relationship Id="rId44" Type="http://schemas.openxmlformats.org/officeDocument/2006/relationships/image" Target="media/image23.png"/><Relationship Id="rId60" Type="http://schemas.openxmlformats.org/officeDocument/2006/relationships/image" Target="media/image38.png"/><Relationship Id="rId65" Type="http://schemas.openxmlformats.org/officeDocument/2006/relationships/hyperlink" Target="https://immi.homeaffairs.gov.au/what-we-do/migration-strategy" TargetMode="External"/><Relationship Id="rId81" Type="http://schemas.openxmlformats.org/officeDocument/2006/relationships/image" Target="media/image54.png"/><Relationship Id="rId86" Type="http://schemas.openxmlformats.org/officeDocument/2006/relationships/image" Target="media/image56.png"/><Relationship Id="rId130" Type="http://schemas.openxmlformats.org/officeDocument/2006/relationships/hyperlink" Target="mailto:copyright@dewr.gov.au" TargetMode="External"/><Relationship Id="rId135" Type="http://schemas.openxmlformats.org/officeDocument/2006/relationships/footer" Target="footer7.xml"/><Relationship Id="rId13" Type="http://schemas.openxmlformats.org/officeDocument/2006/relationships/footer" Target="footer1.xml"/><Relationship Id="rId18" Type="http://schemas.openxmlformats.org/officeDocument/2006/relationships/image" Target="media/image5.jpeg"/><Relationship Id="rId39" Type="http://schemas.openxmlformats.org/officeDocument/2006/relationships/hyperlink" Target="https://www.acses.edu.au/app/uploads/2017/02/Regional-Student-Participation-and-Migration-20170227-Final.pdf" TargetMode="External"/><Relationship Id="rId109" Type="http://schemas.openxmlformats.org/officeDocument/2006/relationships/hyperlink" Target="https://library.bsl.org.au/bsljspui/bitstream/1/13495/1/RegionalJobsHub_Final_Eval_Report_2024.pdf" TargetMode="External"/><Relationship Id="rId34" Type="http://schemas.openxmlformats.org/officeDocument/2006/relationships/image" Target="media/image18.jpe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49.png"/><Relationship Id="rId97" Type="http://schemas.openxmlformats.org/officeDocument/2006/relationships/hyperlink" Target="https://www.abs.gov.au/statistics/standards/australian-statistical-geography-standard-asgs-edition-3/jul2021-jun2026/main-structure-and-greater-capital-city-statistical-areas" TargetMode="External"/><Relationship Id="rId104" Type="http://schemas.openxmlformats.org/officeDocument/2006/relationships/hyperlink" Target="https://www.education.gov.au/australian-universities-accord/resources/final-report" TargetMode="External"/><Relationship Id="rId120" Type="http://schemas.openxmlformats.org/officeDocument/2006/relationships/hyperlink" Target="https://rebalancethenation.com.au/common/Uploaded%20files/Rebalance-the-Nation/Rebalance-the-Nation-Report-2022.pdf" TargetMode="External"/><Relationship Id="rId125" Type="http://schemas.openxmlformats.org/officeDocument/2006/relationships/hyperlink" Target="https://www.education.gov.au/system/files/documents/document-file/2020-12/volunteering-australia.pdf" TargetMode="Externa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hyperlink" Target="mailto:RegionalWorkforceAssessment@jobsandskills.gov.au"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cid:image007.png@01DBA4A5.666BC6E0" TargetMode="External"/><Relationship Id="rId40" Type="http://schemas.openxmlformats.org/officeDocument/2006/relationships/hyperlink" Target="https://www.education.gov.au/regional-education-commissioner/resources/regional-education-commissioner-annual-report-2023" TargetMode="External"/><Relationship Id="rId45" Type="http://schemas.openxmlformats.org/officeDocument/2006/relationships/image" Target="media/image24.png"/><Relationship Id="rId66" Type="http://schemas.openxmlformats.org/officeDocument/2006/relationships/hyperlink" Target="https://www.homeaffairs.gov.au/reports-and-publications/submissions-and-discussion-papers/review-of-regional-migration-settings-discussion-paper" TargetMode="External"/><Relationship Id="rId87" Type="http://schemas.openxmlformats.org/officeDocument/2006/relationships/hyperlink" Target="https://library.bsl.org.au/bsljspui/bitstream/1/13495/1/RegionalJobsHub_Final_Eval_Report_2024.pdf" TargetMode="External"/><Relationship Id="rId110" Type="http://schemas.openxmlformats.org/officeDocument/2006/relationships/hyperlink" Target="https://treasury.gov.au/sites/default/files/2023-10/p2023-447996-working-future.pdf" TargetMode="External"/><Relationship Id="rId115" Type="http://schemas.openxmlformats.org/officeDocument/2006/relationships/hyperlink" Target="https://www.jobsandskills.gov.au/sites/default/files/2024-10/recruitment_experiences_across_australias_regions_-_october_2024.pdf" TargetMode="External"/><Relationship Id="rId131" Type="http://schemas.openxmlformats.org/officeDocument/2006/relationships/image" Target="media/image60.jpeg"/><Relationship Id="rId136" Type="http://schemas.openxmlformats.org/officeDocument/2006/relationships/fontTable" Target="fontTable.xml"/><Relationship Id="rId61" Type="http://schemas.openxmlformats.org/officeDocument/2006/relationships/image" Target="media/image39.png"/><Relationship Id="rId82" Type="http://schemas.openxmlformats.org/officeDocument/2006/relationships/image" Target="media/image55.jpeg"/><Relationship Id="rId19" Type="http://schemas.openxmlformats.org/officeDocument/2006/relationships/image" Target="media/image6.png"/><Relationship Id="rId14" Type="http://schemas.openxmlformats.org/officeDocument/2006/relationships/footer" Target="footer2.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4.png"/><Relationship Id="rId77" Type="http://schemas.openxmlformats.org/officeDocument/2006/relationships/image" Target="media/image50.png"/><Relationship Id="rId100" Type="http://schemas.openxmlformats.org/officeDocument/2006/relationships/hyperlink" Target="https://www.education.gov.au/regional-university-study-hubs" TargetMode="External"/><Relationship Id="rId105" Type="http://schemas.openxmlformats.org/officeDocument/2006/relationships/hyperlink" Target="https://www.dcceew.gov.au/climate-change/emissions-reduction/net-zero" TargetMode="External"/><Relationship Id="rId126" Type="http://schemas.openxmlformats.org/officeDocument/2006/relationships/hyperlink" Target="https://www.peppergreenfarm.com.au/" TargetMode="Externa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45.png"/><Relationship Id="rId93" Type="http://schemas.openxmlformats.org/officeDocument/2006/relationships/hyperlink" Target="https://www.jobsandskills.gov.au/privacy" TargetMode="External"/><Relationship Id="rId98" Type="http://schemas.openxmlformats.org/officeDocument/2006/relationships/hyperlink" Target="https://www.pc.gov.au/inquiries/completed/labour-mobility/report" TargetMode="External"/><Relationship Id="rId121" Type="http://schemas.openxmlformats.org/officeDocument/2006/relationships/hyperlink" Target="https://www.regionalaustralia.org.au/Web/Web/About-Us/What-is-Regional-Australia.aspx" TargetMode="External"/><Relationship Id="rId3" Type="http://schemas.openxmlformats.org/officeDocument/2006/relationships/styles" Target="styles.xml"/><Relationship Id="rId25" Type="http://schemas.openxmlformats.org/officeDocument/2006/relationships/hyperlink" Target="https://www.infrastructure.gov.au/territories-regions-cities/regional-australia/regional-investment-framework" TargetMode="External"/><Relationship Id="rId46" Type="http://schemas.openxmlformats.org/officeDocument/2006/relationships/image" Target="media/image25.png"/><Relationship Id="rId67" Type="http://schemas.openxmlformats.org/officeDocument/2006/relationships/hyperlink" Target="https://www.homeaffairs.gov.au/reports-and-publications/submissions-and-discussion-papers/review-of-regional-migration-settings-discussion-paper" TargetMode="External"/><Relationship Id="rId116" Type="http://schemas.openxmlformats.org/officeDocument/2006/relationships/hyperlink" Target="https://www.jobsandskills.gov.au/publications/opportunity-and-productivity-towards-tertiary-harmonisation-roadmap" TargetMode="External"/><Relationship Id="rId137"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image" Target="media/image20.png"/><Relationship Id="rId62" Type="http://schemas.openxmlformats.org/officeDocument/2006/relationships/hyperlink" Target="https://www.abs.gov.au/statistics/classifications/anzsco-australian-and-new-zealand-standard-classification-occupations/2022" TargetMode="External"/><Relationship Id="rId83" Type="http://schemas.openxmlformats.org/officeDocument/2006/relationships/hyperlink" Target="https://www.dewr.gov.au/local-jobs" TargetMode="External"/><Relationship Id="rId88" Type="http://schemas.openxmlformats.org/officeDocument/2006/relationships/hyperlink" Target="https://www.dewr.gov.au/download/16743/transition-work-supplementary-evaluation-report-2016-2021/39210/transition-work-supplementary-evaluation-report-2016-2021/pdf" TargetMode="External"/><Relationship Id="rId111" Type="http://schemas.openxmlformats.org/officeDocument/2006/relationships/hyperlink" Target="https://www.education.vic.gov.au/Documents/school/vocational-applied-learning-pathways-report.pdf" TargetMode="External"/><Relationship Id="rId132" Type="http://schemas.openxmlformats.org/officeDocument/2006/relationships/header" Target="header5.xml"/><Relationship Id="rId15" Type="http://schemas.openxmlformats.org/officeDocument/2006/relationships/header" Target="header3.xml"/><Relationship Id="rId36" Type="http://schemas.openxmlformats.org/officeDocument/2006/relationships/hyperlink" Target="https://www.education.gov.au/commonwealth-regional-scholarship-program" TargetMode="External"/><Relationship Id="rId57" Type="http://schemas.openxmlformats.org/officeDocument/2006/relationships/image" Target="media/image35.png"/><Relationship Id="rId106" Type="http://schemas.openxmlformats.org/officeDocument/2006/relationships/hyperlink" Target="https://www.dss.gov.au/social-impact-investing/social-enterprise-development-initiative" TargetMode="External"/><Relationship Id="rId127" Type="http://schemas.openxmlformats.org/officeDocument/2006/relationships/image" Target="media/image59.png"/><Relationship Id="rId10" Type="http://schemas.openxmlformats.org/officeDocument/2006/relationships/image" Target="media/image3.jpeg"/><Relationship Id="rId31" Type="http://schemas.openxmlformats.org/officeDocument/2006/relationships/image" Target="media/image15.png"/><Relationship Id="rId52" Type="http://schemas.openxmlformats.org/officeDocument/2006/relationships/image" Target="media/image30.png"/><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header" Target="header4.xml"/><Relationship Id="rId99" Type="http://schemas.openxmlformats.org/officeDocument/2006/relationships/hyperlink" Target="https://www.dewr.gov.au/local-jobs" TargetMode="External"/><Relationship Id="rId101" Type="http://schemas.openxmlformats.org/officeDocument/2006/relationships/hyperlink" Target="https://www.education.gov.au/tertiary-access-payment" TargetMode="External"/><Relationship Id="rId122" Type="http://schemas.openxmlformats.org/officeDocument/2006/relationships/hyperlink" Target="https://unihubsg.org/" TargetMode="External"/><Relationship Id="rId4" Type="http://schemas.openxmlformats.org/officeDocument/2006/relationships/settings" Target="settings.xml"/><Relationship Id="rId9" Type="http://schemas.openxmlformats.org/officeDocument/2006/relationships/image" Target="media/image2.svg"/><Relationship Id="rId26" Type="http://schemas.openxmlformats.org/officeDocument/2006/relationships/image" Target="media/image10.png"/><Relationship Id="rId47" Type="http://schemas.openxmlformats.org/officeDocument/2006/relationships/hyperlink" Target="https://www.jobsandskills.gov.au/publications/opportunity-and-productivity-towards-tertiary-harmonisation-roadmap" TargetMode="External"/><Relationship Id="rId68" Type="http://schemas.openxmlformats.org/officeDocument/2006/relationships/image" Target="media/image41.png"/><Relationship Id="rId89" Type="http://schemas.openxmlformats.org/officeDocument/2006/relationships/image" Target="media/image57.png"/><Relationship Id="rId112" Type="http://schemas.openxmlformats.org/officeDocument/2006/relationships/hyperlink" Target="https://www.jobsandskills.gov.au/studies/foundation-skills-study" TargetMode="External"/><Relationship Id="rId133" Type="http://schemas.openxmlformats.org/officeDocument/2006/relationships/footer" Target="footer6.xml"/></Relationships>
</file>

<file path=word/_rels/footnotes.xml.rels><?xml version="1.0" encoding="UTF-8" standalone="yes"?>
<Relationships xmlns="http://schemas.openxmlformats.org/package/2006/relationships"><Relationship Id="rId8" Type="http://schemas.openxmlformats.org/officeDocument/2006/relationships/hyperlink" Target="https://treasury.gov.au/publication/economic-roundup-issue-2-2013-2/economic-roundup-issue-2-2013/income-inequality-in-australia" TargetMode="External"/><Relationship Id="rId13" Type="http://schemas.openxmlformats.org/officeDocument/2006/relationships/hyperlink" Target="https://www.jobsandskills.gov.au/studies/foundation-skills-study" TargetMode="External"/><Relationship Id="rId3" Type="http://schemas.openxmlformats.org/officeDocument/2006/relationships/hyperlink" Target="https://treasury.gov.au/policy-topics/future-made-australia" TargetMode="External"/><Relationship Id="rId7" Type="http://schemas.openxmlformats.org/officeDocument/2006/relationships/hyperlink" Target="https://www.jobsandskills.gov.au/sites/default/files/2024-10/2024_osl_key_findings_and_insights_report_0.pdf" TargetMode="External"/><Relationship Id="rId12" Type="http://schemas.openxmlformats.org/officeDocument/2006/relationships/hyperlink" Target="https://treasury.gov.au/sites/default/files/2024-03/p2024-495252-full-report_0.pdf" TargetMode="External"/><Relationship Id="rId2" Type="http://schemas.openxmlformats.org/officeDocument/2006/relationships/hyperlink" Target="https://www.dcceew.gov.au/climate-change/emissions-reduction/net-zero" TargetMode="External"/><Relationship Id="rId1" Type="http://schemas.openxmlformats.org/officeDocument/2006/relationships/hyperlink" Target="https://treasury.gov.au/employment-whitepaper/final-report" TargetMode="External"/><Relationship Id="rId6" Type="http://schemas.openxmlformats.org/officeDocument/2006/relationships/hyperlink" Target="https://www.abs.gov.au/statistics/standards/australian-statistical-geography-standard-asgs-edition-3/jul2021-jun2026/main-structure-and-greater-capital-city-statistical-areas" TargetMode="External"/><Relationship Id="rId11" Type="http://schemas.openxmlformats.org/officeDocument/2006/relationships/hyperlink" Target="https://www.pc.gov.au/inquiries/completed/productivity/report/productivity-volume7-labour-market.pdf" TargetMode="External"/><Relationship Id="rId5" Type="http://schemas.openxmlformats.org/officeDocument/2006/relationships/hyperlink" Target="https://www.pmc.gov.au/domestic-policy/care-and-support-economy" TargetMode="External"/><Relationship Id="rId15" Type="http://schemas.openxmlformats.org/officeDocument/2006/relationships/hyperlink" Target="https://www.jobsandskills.gov.au/download/19681/jobs-and-skills-report-2024/2833/better-together-jobs-and-skills-report-2024/pdf" TargetMode="External"/><Relationship Id="rId10" Type="http://schemas.openxmlformats.org/officeDocument/2006/relationships/hyperlink" Target="https://www.rba.gov.au/publications/bulletin/2023/sep/recent-developments-in-small-business-finance-and-economic-conditions.html" TargetMode="External"/><Relationship Id="rId4" Type="http://schemas.openxmlformats.org/officeDocument/2006/relationships/hyperlink" Target="https://www.dss.gov.au/supporting-community-change/resource/entrenched-disadvantage-package" TargetMode="External"/><Relationship Id="rId9" Type="http://schemas.openxmlformats.org/officeDocument/2006/relationships/hyperlink" Target="https://treasury.gov.au/sites/default/files/2021-05/171663_institute_of_public_affairs_supporting_document_3.pdf" TargetMode="External"/><Relationship Id="rId14" Type="http://schemas.openxmlformats.org/officeDocument/2006/relationships/hyperlink" Target="https://www.jobsandskills.gov.au/sites/default/files/2023-04/Foundation%20Skills%20Study%20-%20Discussion%20paper.pdf" TargetMode="External"/></Relationships>
</file>

<file path=word/theme/theme1.xml><?xml version="1.0" encoding="utf-8"?>
<a:theme xmlns:a="http://schemas.openxmlformats.org/drawingml/2006/main" name="Office Theme">
  <a:themeElements>
    <a:clrScheme name="New JSA purple fix">
      <a:dk1>
        <a:sysClr val="windowText" lastClr="000000"/>
      </a:dk1>
      <a:lt1>
        <a:sysClr val="window" lastClr="FFFFFF"/>
      </a:lt1>
      <a:dk2>
        <a:srgbClr val="4B0885"/>
      </a:dk2>
      <a:lt2>
        <a:srgbClr val="D2DE5A"/>
      </a:lt2>
      <a:accent1>
        <a:srgbClr val="6929C4"/>
      </a:accent1>
      <a:accent2>
        <a:srgbClr val="009D9A"/>
      </a:accent2>
      <a:accent3>
        <a:srgbClr val="012749"/>
      </a:accent3>
      <a:accent4>
        <a:srgbClr val="EE538B"/>
      </a:accent4>
      <a:accent5>
        <a:srgbClr val="1192E8"/>
      </a:accent5>
      <a:accent6>
        <a:srgbClr val="9F1853"/>
      </a:accent6>
      <a:hlink>
        <a:srgbClr val="013D74"/>
      </a:hlink>
      <a:folHlink>
        <a:srgbClr val="4B08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2BD7F"/>
        </a:solidFill>
        <a:ln>
          <a:solidFill>
            <a:srgbClr val="52BD7F"/>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D174A-DF8D-45B2-A472-5D9384021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166</Pages>
  <Words>45842</Words>
  <Characters>256259</Characters>
  <Application>Microsoft Office Word</Application>
  <DocSecurity>0</DocSecurity>
  <Lines>5959</Lines>
  <Paragraphs>4082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298019</CharactersWithSpaces>
  <SharedDoc>false</SharedDoc>
  <HLinks>
    <vt:vector size="1008" baseType="variant">
      <vt:variant>
        <vt:i4>1638522</vt:i4>
      </vt:variant>
      <vt:variant>
        <vt:i4>1062</vt:i4>
      </vt:variant>
      <vt:variant>
        <vt:i4>0</vt:i4>
      </vt:variant>
      <vt:variant>
        <vt:i4>5</vt:i4>
      </vt:variant>
      <vt:variant>
        <vt:lpwstr>mailto:copyright@dewr.gov.au</vt:lpwstr>
      </vt:variant>
      <vt:variant>
        <vt:lpwstr/>
      </vt:variant>
      <vt:variant>
        <vt:i4>4128803</vt:i4>
      </vt:variant>
      <vt:variant>
        <vt:i4>1059</vt:i4>
      </vt:variant>
      <vt:variant>
        <vt:i4>0</vt:i4>
      </vt:variant>
      <vt:variant>
        <vt:i4>5</vt:i4>
      </vt:variant>
      <vt:variant>
        <vt:lpwstr>https://www.pmc.gov.au/</vt:lpwstr>
      </vt:variant>
      <vt:variant>
        <vt:lpwstr/>
      </vt:variant>
      <vt:variant>
        <vt:i4>1114206</vt:i4>
      </vt:variant>
      <vt:variant>
        <vt:i4>1056</vt:i4>
      </vt:variant>
      <vt:variant>
        <vt:i4>0</vt:i4>
      </vt:variant>
      <vt:variant>
        <vt:i4>5</vt:i4>
      </vt:variant>
      <vt:variant>
        <vt:lpwstr>https://creativecommons.org/</vt:lpwstr>
      </vt:variant>
      <vt:variant>
        <vt:lpwstr/>
      </vt:variant>
      <vt:variant>
        <vt:i4>3538986</vt:i4>
      </vt:variant>
      <vt:variant>
        <vt:i4>1053</vt:i4>
      </vt:variant>
      <vt:variant>
        <vt:i4>0</vt:i4>
      </vt:variant>
      <vt:variant>
        <vt:i4>5</vt:i4>
      </vt:variant>
      <vt:variant>
        <vt:lpwstr>https://www.peppergreenfarm.com.au/</vt:lpwstr>
      </vt:variant>
      <vt:variant>
        <vt:lpwstr/>
      </vt:variant>
      <vt:variant>
        <vt:i4>5046366</vt:i4>
      </vt:variant>
      <vt:variant>
        <vt:i4>1050</vt:i4>
      </vt:variant>
      <vt:variant>
        <vt:i4>0</vt:i4>
      </vt:variant>
      <vt:variant>
        <vt:i4>5</vt:i4>
      </vt:variant>
      <vt:variant>
        <vt:lpwstr>https://www.education.gov.au/system/files/documents/document-file/2020-12/volunteering-australia.pdf</vt:lpwstr>
      </vt:variant>
      <vt:variant>
        <vt:lpwstr/>
      </vt:variant>
      <vt:variant>
        <vt:i4>3604560</vt:i4>
      </vt:variant>
      <vt:variant>
        <vt:i4>1047</vt:i4>
      </vt:variant>
      <vt:variant>
        <vt:i4>0</vt:i4>
      </vt:variant>
      <vt:variant>
        <vt:i4>5</vt:i4>
      </vt:variant>
      <vt:variant>
        <vt:lpwstr>https://www.volunteeringaustralia.org/wp-content/uploads/National-Standards-Document-FINAL_Web.pdf</vt:lpwstr>
      </vt:variant>
      <vt:variant>
        <vt:lpwstr/>
      </vt:variant>
      <vt:variant>
        <vt:i4>5505028</vt:i4>
      </vt:variant>
      <vt:variant>
        <vt:i4>1044</vt:i4>
      </vt:variant>
      <vt:variant>
        <vt:i4>0</vt:i4>
      </vt:variant>
      <vt:variant>
        <vt:i4>5</vt:i4>
      </vt:variant>
      <vt:variant>
        <vt:lpwstr>https://www.vic.gov.au/senior-secondary-schooling-pathway-reforms</vt:lpwstr>
      </vt:variant>
      <vt:variant>
        <vt:lpwstr/>
      </vt:variant>
      <vt:variant>
        <vt:i4>1703942</vt:i4>
      </vt:variant>
      <vt:variant>
        <vt:i4>1041</vt:i4>
      </vt:variant>
      <vt:variant>
        <vt:i4>0</vt:i4>
      </vt:variant>
      <vt:variant>
        <vt:i4>5</vt:i4>
      </vt:variant>
      <vt:variant>
        <vt:lpwstr>https://unihubsg.org/</vt:lpwstr>
      </vt:variant>
      <vt:variant>
        <vt:lpwstr/>
      </vt:variant>
      <vt:variant>
        <vt:i4>4325395</vt:i4>
      </vt:variant>
      <vt:variant>
        <vt:i4>1038</vt:i4>
      </vt:variant>
      <vt:variant>
        <vt:i4>0</vt:i4>
      </vt:variant>
      <vt:variant>
        <vt:i4>5</vt:i4>
      </vt:variant>
      <vt:variant>
        <vt:lpwstr>https://www.regionalaustralia.org.au/Web/Web/About-Us/What-is-Regional-Australia.aspx</vt:lpwstr>
      </vt:variant>
      <vt:variant>
        <vt:lpwstr/>
      </vt:variant>
      <vt:variant>
        <vt:i4>5242883</vt:i4>
      </vt:variant>
      <vt:variant>
        <vt:i4>1035</vt:i4>
      </vt:variant>
      <vt:variant>
        <vt:i4>0</vt:i4>
      </vt:variant>
      <vt:variant>
        <vt:i4>5</vt:i4>
      </vt:variant>
      <vt:variant>
        <vt:lpwstr>https://rebalancethenation.com.au/common/Uploaded files/Rebalance-the-Nation/Rebalance-the-Nation-Report-2022.pdf</vt:lpwstr>
      </vt:variant>
      <vt:variant>
        <vt:lpwstr/>
      </vt:variant>
      <vt:variant>
        <vt:i4>7405612</vt:i4>
      </vt:variant>
      <vt:variant>
        <vt:i4>1032</vt:i4>
      </vt:variant>
      <vt:variant>
        <vt:i4>0</vt:i4>
      </vt:variant>
      <vt:variant>
        <vt:i4>5</vt:i4>
      </vt:variant>
      <vt:variant>
        <vt:lpwstr>https://desbt.qld.gov.au/training/providers/funded/userchoice/resources</vt:lpwstr>
      </vt:variant>
      <vt:variant>
        <vt:lpwstr/>
      </vt:variant>
      <vt:variant>
        <vt:i4>4915228</vt:i4>
      </vt:variant>
      <vt:variant>
        <vt:i4>1029</vt:i4>
      </vt:variant>
      <vt:variant>
        <vt:i4>0</vt:i4>
      </vt:variant>
      <vt:variant>
        <vt:i4>5</vt:i4>
      </vt:variant>
      <vt:variant>
        <vt:lpwstr>https://www.aph.gov.au/parliamentary_business/committees/house_of_representatives_committees?url=ra/fifodido/report/index.htm</vt:lpwstr>
      </vt:variant>
      <vt:variant>
        <vt:lpwstr/>
      </vt:variant>
      <vt:variant>
        <vt:i4>7405674</vt:i4>
      </vt:variant>
      <vt:variant>
        <vt:i4>1026</vt:i4>
      </vt:variant>
      <vt:variant>
        <vt:i4>0</vt:i4>
      </vt:variant>
      <vt:variant>
        <vt:i4>5</vt:i4>
      </vt:variant>
      <vt:variant>
        <vt:lpwstr>https://www.mountisa.qld.gov.au/files/assets/public/v/3/council/documents/future-ready-economy-roadmap.pdf</vt:lpwstr>
      </vt:variant>
      <vt:variant>
        <vt:lpwstr/>
      </vt:variant>
      <vt:variant>
        <vt:i4>524290</vt:i4>
      </vt:variant>
      <vt:variant>
        <vt:i4>1023</vt:i4>
      </vt:variant>
      <vt:variant>
        <vt:i4>0</vt:i4>
      </vt:variant>
      <vt:variant>
        <vt:i4>5</vt:i4>
      </vt:variant>
      <vt:variant>
        <vt:lpwstr>https://www.jobsandskills.gov.au/publications/opportunity-and-productivity-towards-tertiary-harmonisation-roadmap</vt:lpwstr>
      </vt:variant>
      <vt:variant>
        <vt:lpwstr/>
      </vt:variant>
      <vt:variant>
        <vt:i4>7733332</vt:i4>
      </vt:variant>
      <vt:variant>
        <vt:i4>1020</vt:i4>
      </vt:variant>
      <vt:variant>
        <vt:i4>0</vt:i4>
      </vt:variant>
      <vt:variant>
        <vt:i4>5</vt:i4>
      </vt:variant>
      <vt:variant>
        <vt:lpwstr>https://www.jobsandskills.gov.au/sites/default/files/2024-10/recruitment_experiences_across_australias_regions_-_october_2024.pdf</vt:lpwstr>
      </vt:variant>
      <vt:variant>
        <vt:lpwstr/>
      </vt:variant>
      <vt:variant>
        <vt:i4>4325380</vt:i4>
      </vt:variant>
      <vt:variant>
        <vt:i4>1017</vt:i4>
      </vt:variant>
      <vt:variant>
        <vt:i4>0</vt:i4>
      </vt:variant>
      <vt:variant>
        <vt:i4>5</vt:i4>
      </vt:variant>
      <vt:variant>
        <vt:lpwstr>https://www.jobsandskills.gov.au/download/19681/jobs-and-skills-report-2024/2833/better-together-jobs-and-skills-report-2024/pdf</vt:lpwstr>
      </vt:variant>
      <vt:variant>
        <vt:lpwstr/>
      </vt:variant>
      <vt:variant>
        <vt:i4>3866720</vt:i4>
      </vt:variant>
      <vt:variant>
        <vt:i4>1014</vt:i4>
      </vt:variant>
      <vt:variant>
        <vt:i4>0</vt:i4>
      </vt:variant>
      <vt:variant>
        <vt:i4>5</vt:i4>
      </vt:variant>
      <vt:variant>
        <vt:lpwstr>https://www.jobsandskills.gov.au/sites/default/files/2023-04/Foundation Skills Study - Discussion paper.pdf</vt:lpwstr>
      </vt:variant>
      <vt:variant>
        <vt:lpwstr/>
      </vt:variant>
      <vt:variant>
        <vt:i4>16</vt:i4>
      </vt:variant>
      <vt:variant>
        <vt:i4>1011</vt:i4>
      </vt:variant>
      <vt:variant>
        <vt:i4>0</vt:i4>
      </vt:variant>
      <vt:variant>
        <vt:i4>5</vt:i4>
      </vt:variant>
      <vt:variant>
        <vt:lpwstr>https://www.jobsandskills.gov.au/studies/foundation-skills-study</vt:lpwstr>
      </vt:variant>
      <vt:variant>
        <vt:lpwstr/>
      </vt:variant>
      <vt:variant>
        <vt:i4>6094878</vt:i4>
      </vt:variant>
      <vt:variant>
        <vt:i4>1008</vt:i4>
      </vt:variant>
      <vt:variant>
        <vt:i4>0</vt:i4>
      </vt:variant>
      <vt:variant>
        <vt:i4>5</vt:i4>
      </vt:variant>
      <vt:variant>
        <vt:lpwstr>https://www.education.vic.gov.au/Documents/school/vocational-applied-learning-pathways-report.pdf</vt:lpwstr>
      </vt:variant>
      <vt:variant>
        <vt:lpwstr/>
      </vt:variant>
      <vt:variant>
        <vt:i4>3932271</vt:i4>
      </vt:variant>
      <vt:variant>
        <vt:i4>1005</vt:i4>
      </vt:variant>
      <vt:variant>
        <vt:i4>0</vt:i4>
      </vt:variant>
      <vt:variant>
        <vt:i4>5</vt:i4>
      </vt:variant>
      <vt:variant>
        <vt:lpwstr>https://treasury.gov.au/sites/default/files/2023-10/p2023-447996-working-future.pdf</vt:lpwstr>
      </vt:variant>
      <vt:variant>
        <vt:lpwstr/>
      </vt:variant>
      <vt:variant>
        <vt:i4>5111894</vt:i4>
      </vt:variant>
      <vt:variant>
        <vt:i4>1002</vt:i4>
      </vt:variant>
      <vt:variant>
        <vt:i4>0</vt:i4>
      </vt:variant>
      <vt:variant>
        <vt:i4>5</vt:i4>
      </vt:variant>
      <vt:variant>
        <vt:lpwstr>https://library.bsl.org.au/bsljspui/bitstream/1/13495/1/RegionalJobsHub_Final_Eval_Report_2024.pdf</vt:lpwstr>
      </vt:variant>
      <vt:variant>
        <vt:lpwstr/>
      </vt:variant>
      <vt:variant>
        <vt:i4>3014696</vt:i4>
      </vt:variant>
      <vt:variant>
        <vt:i4>999</vt:i4>
      </vt:variant>
      <vt:variant>
        <vt:i4>0</vt:i4>
      </vt:variant>
      <vt:variant>
        <vt:i4>5</vt:i4>
      </vt:variant>
      <vt:variant>
        <vt:lpwstr>https://treasury.gov.au/policy-topics/future-made-australia</vt:lpwstr>
      </vt:variant>
      <vt:variant>
        <vt:lpwstr/>
      </vt:variant>
      <vt:variant>
        <vt:i4>2818164</vt:i4>
      </vt:variant>
      <vt:variant>
        <vt:i4>996</vt:i4>
      </vt:variant>
      <vt:variant>
        <vt:i4>0</vt:i4>
      </vt:variant>
      <vt:variant>
        <vt:i4>5</vt:i4>
      </vt:variant>
      <vt:variant>
        <vt:lpwstr>https://www.dss.gov.au/supporting-community-change/resource/entrenched-disadvantage-package</vt:lpwstr>
      </vt:variant>
      <vt:variant>
        <vt:lpwstr/>
      </vt:variant>
      <vt:variant>
        <vt:i4>3670141</vt:i4>
      </vt:variant>
      <vt:variant>
        <vt:i4>993</vt:i4>
      </vt:variant>
      <vt:variant>
        <vt:i4>0</vt:i4>
      </vt:variant>
      <vt:variant>
        <vt:i4>5</vt:i4>
      </vt:variant>
      <vt:variant>
        <vt:lpwstr>https://www.dss.gov.au/social-impact-investing/social-enterprise-development-initiative</vt:lpwstr>
      </vt:variant>
      <vt:variant>
        <vt:lpwstr/>
      </vt:variant>
      <vt:variant>
        <vt:i4>6160449</vt:i4>
      </vt:variant>
      <vt:variant>
        <vt:i4>990</vt:i4>
      </vt:variant>
      <vt:variant>
        <vt:i4>0</vt:i4>
      </vt:variant>
      <vt:variant>
        <vt:i4>5</vt:i4>
      </vt:variant>
      <vt:variant>
        <vt:lpwstr>https://www.dcceew.gov.au/climate-change/emissions-reduction/net-zero</vt:lpwstr>
      </vt:variant>
      <vt:variant>
        <vt:lpwstr/>
      </vt:variant>
      <vt:variant>
        <vt:i4>2162720</vt:i4>
      </vt:variant>
      <vt:variant>
        <vt:i4>987</vt:i4>
      </vt:variant>
      <vt:variant>
        <vt:i4>0</vt:i4>
      </vt:variant>
      <vt:variant>
        <vt:i4>5</vt:i4>
      </vt:variant>
      <vt:variant>
        <vt:lpwstr>https://www.education.gov.au/australian-universities-accord/resources/final-report</vt:lpwstr>
      </vt:variant>
      <vt:variant>
        <vt:lpwstr/>
      </vt:variant>
      <vt:variant>
        <vt:i4>3866685</vt:i4>
      </vt:variant>
      <vt:variant>
        <vt:i4>984</vt:i4>
      </vt:variant>
      <vt:variant>
        <vt:i4>0</vt:i4>
      </vt:variant>
      <vt:variant>
        <vt:i4>5</vt:i4>
      </vt:variant>
      <vt:variant>
        <vt:lpwstr>https://www.pmc.gov.au/domestic-policy/care-and-support-economy</vt:lpwstr>
      </vt:variant>
      <vt:variant>
        <vt:lpwstr/>
      </vt:variant>
      <vt:variant>
        <vt:i4>8257661</vt:i4>
      </vt:variant>
      <vt:variant>
        <vt:i4>981</vt:i4>
      </vt:variant>
      <vt:variant>
        <vt:i4>0</vt:i4>
      </vt:variant>
      <vt:variant>
        <vt:i4>5</vt:i4>
      </vt:variant>
      <vt:variant>
        <vt:lpwstr>https://www.dewr.gov.au/skills-education-and-employment</vt:lpwstr>
      </vt:variant>
      <vt:variant>
        <vt:lpwstr/>
      </vt:variant>
      <vt:variant>
        <vt:i4>1245278</vt:i4>
      </vt:variant>
      <vt:variant>
        <vt:i4>978</vt:i4>
      </vt:variant>
      <vt:variant>
        <vt:i4>0</vt:i4>
      </vt:variant>
      <vt:variant>
        <vt:i4>5</vt:i4>
      </vt:variant>
      <vt:variant>
        <vt:lpwstr>https://www.education.gov.au/tertiary-access-payment</vt:lpwstr>
      </vt:variant>
      <vt:variant>
        <vt:lpwstr/>
      </vt:variant>
      <vt:variant>
        <vt:i4>7798908</vt:i4>
      </vt:variant>
      <vt:variant>
        <vt:i4>975</vt:i4>
      </vt:variant>
      <vt:variant>
        <vt:i4>0</vt:i4>
      </vt:variant>
      <vt:variant>
        <vt:i4>5</vt:i4>
      </vt:variant>
      <vt:variant>
        <vt:lpwstr>https://www.education.gov.au/regional-university-study-hubs</vt:lpwstr>
      </vt:variant>
      <vt:variant>
        <vt:lpwstr/>
      </vt:variant>
      <vt:variant>
        <vt:i4>4128802</vt:i4>
      </vt:variant>
      <vt:variant>
        <vt:i4>972</vt:i4>
      </vt:variant>
      <vt:variant>
        <vt:i4>0</vt:i4>
      </vt:variant>
      <vt:variant>
        <vt:i4>5</vt:i4>
      </vt:variant>
      <vt:variant>
        <vt:lpwstr>https://www.dewr.gov.au/local-jobs</vt:lpwstr>
      </vt:variant>
      <vt:variant>
        <vt:lpwstr/>
      </vt:variant>
      <vt:variant>
        <vt:i4>6094851</vt:i4>
      </vt:variant>
      <vt:variant>
        <vt:i4>969</vt:i4>
      </vt:variant>
      <vt:variant>
        <vt:i4>0</vt:i4>
      </vt:variant>
      <vt:variant>
        <vt:i4>5</vt:i4>
      </vt:variant>
      <vt:variant>
        <vt:lpwstr>https://www.pc.gov.au/inquiries/completed/labour-mobility/report</vt:lpwstr>
      </vt:variant>
      <vt:variant>
        <vt:lpwstr/>
      </vt:variant>
      <vt:variant>
        <vt:i4>8061024</vt:i4>
      </vt:variant>
      <vt:variant>
        <vt:i4>966</vt:i4>
      </vt:variant>
      <vt:variant>
        <vt:i4>0</vt:i4>
      </vt:variant>
      <vt:variant>
        <vt:i4>5</vt:i4>
      </vt:variant>
      <vt:variant>
        <vt:lpwstr>https://www.abs.gov.au/statistics/standards/australian-statistical-geography-standard-asgs-edition-3/jul2021-jun2026/main-structure-and-greater-capital-city-statistical-areas</vt:lpwstr>
      </vt:variant>
      <vt:variant>
        <vt:lpwstr/>
      </vt:variant>
      <vt:variant>
        <vt:i4>1507379</vt:i4>
      </vt:variant>
      <vt:variant>
        <vt:i4>959</vt:i4>
      </vt:variant>
      <vt:variant>
        <vt:i4>0</vt:i4>
      </vt:variant>
      <vt:variant>
        <vt:i4>5</vt:i4>
      </vt:variant>
      <vt:variant>
        <vt:lpwstr/>
      </vt:variant>
      <vt:variant>
        <vt:lpwstr>_Toc201149486</vt:lpwstr>
      </vt:variant>
      <vt:variant>
        <vt:i4>1507379</vt:i4>
      </vt:variant>
      <vt:variant>
        <vt:i4>953</vt:i4>
      </vt:variant>
      <vt:variant>
        <vt:i4>0</vt:i4>
      </vt:variant>
      <vt:variant>
        <vt:i4>5</vt:i4>
      </vt:variant>
      <vt:variant>
        <vt:lpwstr/>
      </vt:variant>
      <vt:variant>
        <vt:lpwstr>_Toc201149485</vt:lpwstr>
      </vt:variant>
      <vt:variant>
        <vt:i4>1507379</vt:i4>
      </vt:variant>
      <vt:variant>
        <vt:i4>947</vt:i4>
      </vt:variant>
      <vt:variant>
        <vt:i4>0</vt:i4>
      </vt:variant>
      <vt:variant>
        <vt:i4>5</vt:i4>
      </vt:variant>
      <vt:variant>
        <vt:lpwstr/>
      </vt:variant>
      <vt:variant>
        <vt:lpwstr>_Toc201149484</vt:lpwstr>
      </vt:variant>
      <vt:variant>
        <vt:i4>1507379</vt:i4>
      </vt:variant>
      <vt:variant>
        <vt:i4>941</vt:i4>
      </vt:variant>
      <vt:variant>
        <vt:i4>0</vt:i4>
      </vt:variant>
      <vt:variant>
        <vt:i4>5</vt:i4>
      </vt:variant>
      <vt:variant>
        <vt:lpwstr/>
      </vt:variant>
      <vt:variant>
        <vt:lpwstr>_Toc201149483</vt:lpwstr>
      </vt:variant>
      <vt:variant>
        <vt:i4>1507379</vt:i4>
      </vt:variant>
      <vt:variant>
        <vt:i4>935</vt:i4>
      </vt:variant>
      <vt:variant>
        <vt:i4>0</vt:i4>
      </vt:variant>
      <vt:variant>
        <vt:i4>5</vt:i4>
      </vt:variant>
      <vt:variant>
        <vt:lpwstr/>
      </vt:variant>
      <vt:variant>
        <vt:lpwstr>_Toc201149482</vt:lpwstr>
      </vt:variant>
      <vt:variant>
        <vt:i4>1507379</vt:i4>
      </vt:variant>
      <vt:variant>
        <vt:i4>929</vt:i4>
      </vt:variant>
      <vt:variant>
        <vt:i4>0</vt:i4>
      </vt:variant>
      <vt:variant>
        <vt:i4>5</vt:i4>
      </vt:variant>
      <vt:variant>
        <vt:lpwstr/>
      </vt:variant>
      <vt:variant>
        <vt:lpwstr>_Toc201149481</vt:lpwstr>
      </vt:variant>
      <vt:variant>
        <vt:i4>1507379</vt:i4>
      </vt:variant>
      <vt:variant>
        <vt:i4>923</vt:i4>
      </vt:variant>
      <vt:variant>
        <vt:i4>0</vt:i4>
      </vt:variant>
      <vt:variant>
        <vt:i4>5</vt:i4>
      </vt:variant>
      <vt:variant>
        <vt:lpwstr/>
      </vt:variant>
      <vt:variant>
        <vt:lpwstr>_Toc201149480</vt:lpwstr>
      </vt:variant>
      <vt:variant>
        <vt:i4>1572915</vt:i4>
      </vt:variant>
      <vt:variant>
        <vt:i4>917</vt:i4>
      </vt:variant>
      <vt:variant>
        <vt:i4>0</vt:i4>
      </vt:variant>
      <vt:variant>
        <vt:i4>5</vt:i4>
      </vt:variant>
      <vt:variant>
        <vt:lpwstr/>
      </vt:variant>
      <vt:variant>
        <vt:lpwstr>_Toc201149479</vt:lpwstr>
      </vt:variant>
      <vt:variant>
        <vt:i4>1572915</vt:i4>
      </vt:variant>
      <vt:variant>
        <vt:i4>911</vt:i4>
      </vt:variant>
      <vt:variant>
        <vt:i4>0</vt:i4>
      </vt:variant>
      <vt:variant>
        <vt:i4>5</vt:i4>
      </vt:variant>
      <vt:variant>
        <vt:lpwstr/>
      </vt:variant>
      <vt:variant>
        <vt:lpwstr>_Toc201149478</vt:lpwstr>
      </vt:variant>
      <vt:variant>
        <vt:i4>1572915</vt:i4>
      </vt:variant>
      <vt:variant>
        <vt:i4>905</vt:i4>
      </vt:variant>
      <vt:variant>
        <vt:i4>0</vt:i4>
      </vt:variant>
      <vt:variant>
        <vt:i4>5</vt:i4>
      </vt:variant>
      <vt:variant>
        <vt:lpwstr/>
      </vt:variant>
      <vt:variant>
        <vt:lpwstr>_Toc201149477</vt:lpwstr>
      </vt:variant>
      <vt:variant>
        <vt:i4>1572915</vt:i4>
      </vt:variant>
      <vt:variant>
        <vt:i4>899</vt:i4>
      </vt:variant>
      <vt:variant>
        <vt:i4>0</vt:i4>
      </vt:variant>
      <vt:variant>
        <vt:i4>5</vt:i4>
      </vt:variant>
      <vt:variant>
        <vt:lpwstr/>
      </vt:variant>
      <vt:variant>
        <vt:lpwstr>_Toc201149476</vt:lpwstr>
      </vt:variant>
      <vt:variant>
        <vt:i4>1572915</vt:i4>
      </vt:variant>
      <vt:variant>
        <vt:i4>893</vt:i4>
      </vt:variant>
      <vt:variant>
        <vt:i4>0</vt:i4>
      </vt:variant>
      <vt:variant>
        <vt:i4>5</vt:i4>
      </vt:variant>
      <vt:variant>
        <vt:lpwstr/>
      </vt:variant>
      <vt:variant>
        <vt:lpwstr>_Toc201149475</vt:lpwstr>
      </vt:variant>
      <vt:variant>
        <vt:i4>1572915</vt:i4>
      </vt:variant>
      <vt:variant>
        <vt:i4>887</vt:i4>
      </vt:variant>
      <vt:variant>
        <vt:i4>0</vt:i4>
      </vt:variant>
      <vt:variant>
        <vt:i4>5</vt:i4>
      </vt:variant>
      <vt:variant>
        <vt:lpwstr/>
      </vt:variant>
      <vt:variant>
        <vt:lpwstr>_Toc201149474</vt:lpwstr>
      </vt:variant>
      <vt:variant>
        <vt:i4>1572915</vt:i4>
      </vt:variant>
      <vt:variant>
        <vt:i4>881</vt:i4>
      </vt:variant>
      <vt:variant>
        <vt:i4>0</vt:i4>
      </vt:variant>
      <vt:variant>
        <vt:i4>5</vt:i4>
      </vt:variant>
      <vt:variant>
        <vt:lpwstr/>
      </vt:variant>
      <vt:variant>
        <vt:lpwstr>_Toc201149473</vt:lpwstr>
      </vt:variant>
      <vt:variant>
        <vt:i4>1572915</vt:i4>
      </vt:variant>
      <vt:variant>
        <vt:i4>875</vt:i4>
      </vt:variant>
      <vt:variant>
        <vt:i4>0</vt:i4>
      </vt:variant>
      <vt:variant>
        <vt:i4>5</vt:i4>
      </vt:variant>
      <vt:variant>
        <vt:lpwstr/>
      </vt:variant>
      <vt:variant>
        <vt:lpwstr>_Toc201149472</vt:lpwstr>
      </vt:variant>
      <vt:variant>
        <vt:i4>1572915</vt:i4>
      </vt:variant>
      <vt:variant>
        <vt:i4>869</vt:i4>
      </vt:variant>
      <vt:variant>
        <vt:i4>0</vt:i4>
      </vt:variant>
      <vt:variant>
        <vt:i4>5</vt:i4>
      </vt:variant>
      <vt:variant>
        <vt:lpwstr/>
      </vt:variant>
      <vt:variant>
        <vt:lpwstr>_Toc201149471</vt:lpwstr>
      </vt:variant>
      <vt:variant>
        <vt:i4>1572915</vt:i4>
      </vt:variant>
      <vt:variant>
        <vt:i4>863</vt:i4>
      </vt:variant>
      <vt:variant>
        <vt:i4>0</vt:i4>
      </vt:variant>
      <vt:variant>
        <vt:i4>5</vt:i4>
      </vt:variant>
      <vt:variant>
        <vt:lpwstr/>
      </vt:variant>
      <vt:variant>
        <vt:lpwstr>_Toc201149470</vt:lpwstr>
      </vt:variant>
      <vt:variant>
        <vt:i4>1638451</vt:i4>
      </vt:variant>
      <vt:variant>
        <vt:i4>857</vt:i4>
      </vt:variant>
      <vt:variant>
        <vt:i4>0</vt:i4>
      </vt:variant>
      <vt:variant>
        <vt:i4>5</vt:i4>
      </vt:variant>
      <vt:variant>
        <vt:lpwstr/>
      </vt:variant>
      <vt:variant>
        <vt:lpwstr>_Toc201149469</vt:lpwstr>
      </vt:variant>
      <vt:variant>
        <vt:i4>1638451</vt:i4>
      </vt:variant>
      <vt:variant>
        <vt:i4>851</vt:i4>
      </vt:variant>
      <vt:variant>
        <vt:i4>0</vt:i4>
      </vt:variant>
      <vt:variant>
        <vt:i4>5</vt:i4>
      </vt:variant>
      <vt:variant>
        <vt:lpwstr/>
      </vt:variant>
      <vt:variant>
        <vt:lpwstr>_Toc201149468</vt:lpwstr>
      </vt:variant>
      <vt:variant>
        <vt:i4>1638451</vt:i4>
      </vt:variant>
      <vt:variant>
        <vt:i4>845</vt:i4>
      </vt:variant>
      <vt:variant>
        <vt:i4>0</vt:i4>
      </vt:variant>
      <vt:variant>
        <vt:i4>5</vt:i4>
      </vt:variant>
      <vt:variant>
        <vt:lpwstr/>
      </vt:variant>
      <vt:variant>
        <vt:lpwstr>_Toc201149467</vt:lpwstr>
      </vt:variant>
      <vt:variant>
        <vt:i4>1638451</vt:i4>
      </vt:variant>
      <vt:variant>
        <vt:i4>839</vt:i4>
      </vt:variant>
      <vt:variant>
        <vt:i4>0</vt:i4>
      </vt:variant>
      <vt:variant>
        <vt:i4>5</vt:i4>
      </vt:variant>
      <vt:variant>
        <vt:lpwstr/>
      </vt:variant>
      <vt:variant>
        <vt:lpwstr>_Toc201149466</vt:lpwstr>
      </vt:variant>
      <vt:variant>
        <vt:i4>1638451</vt:i4>
      </vt:variant>
      <vt:variant>
        <vt:i4>833</vt:i4>
      </vt:variant>
      <vt:variant>
        <vt:i4>0</vt:i4>
      </vt:variant>
      <vt:variant>
        <vt:i4>5</vt:i4>
      </vt:variant>
      <vt:variant>
        <vt:lpwstr/>
      </vt:variant>
      <vt:variant>
        <vt:lpwstr>_Toc201149465</vt:lpwstr>
      </vt:variant>
      <vt:variant>
        <vt:i4>1638451</vt:i4>
      </vt:variant>
      <vt:variant>
        <vt:i4>827</vt:i4>
      </vt:variant>
      <vt:variant>
        <vt:i4>0</vt:i4>
      </vt:variant>
      <vt:variant>
        <vt:i4>5</vt:i4>
      </vt:variant>
      <vt:variant>
        <vt:lpwstr/>
      </vt:variant>
      <vt:variant>
        <vt:lpwstr>_Toc201149464</vt:lpwstr>
      </vt:variant>
      <vt:variant>
        <vt:i4>1638451</vt:i4>
      </vt:variant>
      <vt:variant>
        <vt:i4>821</vt:i4>
      </vt:variant>
      <vt:variant>
        <vt:i4>0</vt:i4>
      </vt:variant>
      <vt:variant>
        <vt:i4>5</vt:i4>
      </vt:variant>
      <vt:variant>
        <vt:lpwstr/>
      </vt:variant>
      <vt:variant>
        <vt:lpwstr>_Toc201149463</vt:lpwstr>
      </vt:variant>
      <vt:variant>
        <vt:i4>1638451</vt:i4>
      </vt:variant>
      <vt:variant>
        <vt:i4>815</vt:i4>
      </vt:variant>
      <vt:variant>
        <vt:i4>0</vt:i4>
      </vt:variant>
      <vt:variant>
        <vt:i4>5</vt:i4>
      </vt:variant>
      <vt:variant>
        <vt:lpwstr/>
      </vt:variant>
      <vt:variant>
        <vt:lpwstr>_Toc201149462</vt:lpwstr>
      </vt:variant>
      <vt:variant>
        <vt:i4>1638451</vt:i4>
      </vt:variant>
      <vt:variant>
        <vt:i4>809</vt:i4>
      </vt:variant>
      <vt:variant>
        <vt:i4>0</vt:i4>
      </vt:variant>
      <vt:variant>
        <vt:i4>5</vt:i4>
      </vt:variant>
      <vt:variant>
        <vt:lpwstr/>
      </vt:variant>
      <vt:variant>
        <vt:lpwstr>_Toc201149461</vt:lpwstr>
      </vt:variant>
      <vt:variant>
        <vt:i4>1638451</vt:i4>
      </vt:variant>
      <vt:variant>
        <vt:i4>803</vt:i4>
      </vt:variant>
      <vt:variant>
        <vt:i4>0</vt:i4>
      </vt:variant>
      <vt:variant>
        <vt:i4>5</vt:i4>
      </vt:variant>
      <vt:variant>
        <vt:lpwstr/>
      </vt:variant>
      <vt:variant>
        <vt:lpwstr>_Toc201149460</vt:lpwstr>
      </vt:variant>
      <vt:variant>
        <vt:i4>1703987</vt:i4>
      </vt:variant>
      <vt:variant>
        <vt:i4>797</vt:i4>
      </vt:variant>
      <vt:variant>
        <vt:i4>0</vt:i4>
      </vt:variant>
      <vt:variant>
        <vt:i4>5</vt:i4>
      </vt:variant>
      <vt:variant>
        <vt:lpwstr/>
      </vt:variant>
      <vt:variant>
        <vt:lpwstr>_Toc201149459</vt:lpwstr>
      </vt:variant>
      <vt:variant>
        <vt:i4>1703987</vt:i4>
      </vt:variant>
      <vt:variant>
        <vt:i4>791</vt:i4>
      </vt:variant>
      <vt:variant>
        <vt:i4>0</vt:i4>
      </vt:variant>
      <vt:variant>
        <vt:i4>5</vt:i4>
      </vt:variant>
      <vt:variant>
        <vt:lpwstr/>
      </vt:variant>
      <vt:variant>
        <vt:lpwstr>_Toc201149458</vt:lpwstr>
      </vt:variant>
      <vt:variant>
        <vt:i4>1703987</vt:i4>
      </vt:variant>
      <vt:variant>
        <vt:i4>785</vt:i4>
      </vt:variant>
      <vt:variant>
        <vt:i4>0</vt:i4>
      </vt:variant>
      <vt:variant>
        <vt:i4>5</vt:i4>
      </vt:variant>
      <vt:variant>
        <vt:lpwstr/>
      </vt:variant>
      <vt:variant>
        <vt:lpwstr>_Toc201149457</vt:lpwstr>
      </vt:variant>
      <vt:variant>
        <vt:i4>1703987</vt:i4>
      </vt:variant>
      <vt:variant>
        <vt:i4>779</vt:i4>
      </vt:variant>
      <vt:variant>
        <vt:i4>0</vt:i4>
      </vt:variant>
      <vt:variant>
        <vt:i4>5</vt:i4>
      </vt:variant>
      <vt:variant>
        <vt:lpwstr/>
      </vt:variant>
      <vt:variant>
        <vt:lpwstr>_Toc201149456</vt:lpwstr>
      </vt:variant>
      <vt:variant>
        <vt:i4>1703987</vt:i4>
      </vt:variant>
      <vt:variant>
        <vt:i4>773</vt:i4>
      </vt:variant>
      <vt:variant>
        <vt:i4>0</vt:i4>
      </vt:variant>
      <vt:variant>
        <vt:i4>5</vt:i4>
      </vt:variant>
      <vt:variant>
        <vt:lpwstr/>
      </vt:variant>
      <vt:variant>
        <vt:lpwstr>_Toc201149455</vt:lpwstr>
      </vt:variant>
      <vt:variant>
        <vt:i4>1703987</vt:i4>
      </vt:variant>
      <vt:variant>
        <vt:i4>767</vt:i4>
      </vt:variant>
      <vt:variant>
        <vt:i4>0</vt:i4>
      </vt:variant>
      <vt:variant>
        <vt:i4>5</vt:i4>
      </vt:variant>
      <vt:variant>
        <vt:lpwstr/>
      </vt:variant>
      <vt:variant>
        <vt:lpwstr>_Toc201149454</vt:lpwstr>
      </vt:variant>
      <vt:variant>
        <vt:i4>1703987</vt:i4>
      </vt:variant>
      <vt:variant>
        <vt:i4>761</vt:i4>
      </vt:variant>
      <vt:variant>
        <vt:i4>0</vt:i4>
      </vt:variant>
      <vt:variant>
        <vt:i4>5</vt:i4>
      </vt:variant>
      <vt:variant>
        <vt:lpwstr/>
      </vt:variant>
      <vt:variant>
        <vt:lpwstr>_Toc201149453</vt:lpwstr>
      </vt:variant>
      <vt:variant>
        <vt:i4>1703987</vt:i4>
      </vt:variant>
      <vt:variant>
        <vt:i4>755</vt:i4>
      </vt:variant>
      <vt:variant>
        <vt:i4>0</vt:i4>
      </vt:variant>
      <vt:variant>
        <vt:i4>5</vt:i4>
      </vt:variant>
      <vt:variant>
        <vt:lpwstr/>
      </vt:variant>
      <vt:variant>
        <vt:lpwstr>_Toc201149452</vt:lpwstr>
      </vt:variant>
      <vt:variant>
        <vt:i4>1703987</vt:i4>
      </vt:variant>
      <vt:variant>
        <vt:i4>749</vt:i4>
      </vt:variant>
      <vt:variant>
        <vt:i4>0</vt:i4>
      </vt:variant>
      <vt:variant>
        <vt:i4>5</vt:i4>
      </vt:variant>
      <vt:variant>
        <vt:lpwstr/>
      </vt:variant>
      <vt:variant>
        <vt:lpwstr>_Toc201149451</vt:lpwstr>
      </vt:variant>
      <vt:variant>
        <vt:i4>1703987</vt:i4>
      </vt:variant>
      <vt:variant>
        <vt:i4>743</vt:i4>
      </vt:variant>
      <vt:variant>
        <vt:i4>0</vt:i4>
      </vt:variant>
      <vt:variant>
        <vt:i4>5</vt:i4>
      </vt:variant>
      <vt:variant>
        <vt:lpwstr/>
      </vt:variant>
      <vt:variant>
        <vt:lpwstr>_Toc201149450</vt:lpwstr>
      </vt:variant>
      <vt:variant>
        <vt:i4>1769523</vt:i4>
      </vt:variant>
      <vt:variant>
        <vt:i4>737</vt:i4>
      </vt:variant>
      <vt:variant>
        <vt:i4>0</vt:i4>
      </vt:variant>
      <vt:variant>
        <vt:i4>5</vt:i4>
      </vt:variant>
      <vt:variant>
        <vt:lpwstr/>
      </vt:variant>
      <vt:variant>
        <vt:lpwstr>_Toc201149449</vt:lpwstr>
      </vt:variant>
      <vt:variant>
        <vt:i4>1769523</vt:i4>
      </vt:variant>
      <vt:variant>
        <vt:i4>731</vt:i4>
      </vt:variant>
      <vt:variant>
        <vt:i4>0</vt:i4>
      </vt:variant>
      <vt:variant>
        <vt:i4>5</vt:i4>
      </vt:variant>
      <vt:variant>
        <vt:lpwstr/>
      </vt:variant>
      <vt:variant>
        <vt:lpwstr>_Toc201149448</vt:lpwstr>
      </vt:variant>
      <vt:variant>
        <vt:i4>1769523</vt:i4>
      </vt:variant>
      <vt:variant>
        <vt:i4>725</vt:i4>
      </vt:variant>
      <vt:variant>
        <vt:i4>0</vt:i4>
      </vt:variant>
      <vt:variant>
        <vt:i4>5</vt:i4>
      </vt:variant>
      <vt:variant>
        <vt:lpwstr/>
      </vt:variant>
      <vt:variant>
        <vt:lpwstr>_Toc201149447</vt:lpwstr>
      </vt:variant>
      <vt:variant>
        <vt:i4>1769523</vt:i4>
      </vt:variant>
      <vt:variant>
        <vt:i4>719</vt:i4>
      </vt:variant>
      <vt:variant>
        <vt:i4>0</vt:i4>
      </vt:variant>
      <vt:variant>
        <vt:i4>5</vt:i4>
      </vt:variant>
      <vt:variant>
        <vt:lpwstr/>
      </vt:variant>
      <vt:variant>
        <vt:lpwstr>_Toc201149446</vt:lpwstr>
      </vt:variant>
      <vt:variant>
        <vt:i4>1769523</vt:i4>
      </vt:variant>
      <vt:variant>
        <vt:i4>713</vt:i4>
      </vt:variant>
      <vt:variant>
        <vt:i4>0</vt:i4>
      </vt:variant>
      <vt:variant>
        <vt:i4>5</vt:i4>
      </vt:variant>
      <vt:variant>
        <vt:lpwstr/>
      </vt:variant>
      <vt:variant>
        <vt:lpwstr>_Toc201149445</vt:lpwstr>
      </vt:variant>
      <vt:variant>
        <vt:i4>1769523</vt:i4>
      </vt:variant>
      <vt:variant>
        <vt:i4>707</vt:i4>
      </vt:variant>
      <vt:variant>
        <vt:i4>0</vt:i4>
      </vt:variant>
      <vt:variant>
        <vt:i4>5</vt:i4>
      </vt:variant>
      <vt:variant>
        <vt:lpwstr/>
      </vt:variant>
      <vt:variant>
        <vt:lpwstr>_Toc201149444</vt:lpwstr>
      </vt:variant>
      <vt:variant>
        <vt:i4>1769523</vt:i4>
      </vt:variant>
      <vt:variant>
        <vt:i4>701</vt:i4>
      </vt:variant>
      <vt:variant>
        <vt:i4>0</vt:i4>
      </vt:variant>
      <vt:variant>
        <vt:i4>5</vt:i4>
      </vt:variant>
      <vt:variant>
        <vt:lpwstr/>
      </vt:variant>
      <vt:variant>
        <vt:lpwstr>_Toc201149443</vt:lpwstr>
      </vt:variant>
      <vt:variant>
        <vt:i4>1769523</vt:i4>
      </vt:variant>
      <vt:variant>
        <vt:i4>695</vt:i4>
      </vt:variant>
      <vt:variant>
        <vt:i4>0</vt:i4>
      </vt:variant>
      <vt:variant>
        <vt:i4>5</vt:i4>
      </vt:variant>
      <vt:variant>
        <vt:lpwstr/>
      </vt:variant>
      <vt:variant>
        <vt:lpwstr>_Toc201149442</vt:lpwstr>
      </vt:variant>
      <vt:variant>
        <vt:i4>1769523</vt:i4>
      </vt:variant>
      <vt:variant>
        <vt:i4>689</vt:i4>
      </vt:variant>
      <vt:variant>
        <vt:i4>0</vt:i4>
      </vt:variant>
      <vt:variant>
        <vt:i4>5</vt:i4>
      </vt:variant>
      <vt:variant>
        <vt:lpwstr/>
      </vt:variant>
      <vt:variant>
        <vt:lpwstr>_Toc201149441</vt:lpwstr>
      </vt:variant>
      <vt:variant>
        <vt:i4>1769523</vt:i4>
      </vt:variant>
      <vt:variant>
        <vt:i4>683</vt:i4>
      </vt:variant>
      <vt:variant>
        <vt:i4>0</vt:i4>
      </vt:variant>
      <vt:variant>
        <vt:i4>5</vt:i4>
      </vt:variant>
      <vt:variant>
        <vt:lpwstr/>
      </vt:variant>
      <vt:variant>
        <vt:lpwstr>_Toc201149440</vt:lpwstr>
      </vt:variant>
      <vt:variant>
        <vt:i4>1835059</vt:i4>
      </vt:variant>
      <vt:variant>
        <vt:i4>677</vt:i4>
      </vt:variant>
      <vt:variant>
        <vt:i4>0</vt:i4>
      </vt:variant>
      <vt:variant>
        <vt:i4>5</vt:i4>
      </vt:variant>
      <vt:variant>
        <vt:lpwstr/>
      </vt:variant>
      <vt:variant>
        <vt:lpwstr>_Toc201149439</vt:lpwstr>
      </vt:variant>
      <vt:variant>
        <vt:i4>1835059</vt:i4>
      </vt:variant>
      <vt:variant>
        <vt:i4>671</vt:i4>
      </vt:variant>
      <vt:variant>
        <vt:i4>0</vt:i4>
      </vt:variant>
      <vt:variant>
        <vt:i4>5</vt:i4>
      </vt:variant>
      <vt:variant>
        <vt:lpwstr/>
      </vt:variant>
      <vt:variant>
        <vt:lpwstr>_Toc201149438</vt:lpwstr>
      </vt:variant>
      <vt:variant>
        <vt:i4>1835059</vt:i4>
      </vt:variant>
      <vt:variant>
        <vt:i4>665</vt:i4>
      </vt:variant>
      <vt:variant>
        <vt:i4>0</vt:i4>
      </vt:variant>
      <vt:variant>
        <vt:i4>5</vt:i4>
      </vt:variant>
      <vt:variant>
        <vt:lpwstr/>
      </vt:variant>
      <vt:variant>
        <vt:lpwstr>_Toc201149437</vt:lpwstr>
      </vt:variant>
      <vt:variant>
        <vt:i4>1835059</vt:i4>
      </vt:variant>
      <vt:variant>
        <vt:i4>659</vt:i4>
      </vt:variant>
      <vt:variant>
        <vt:i4>0</vt:i4>
      </vt:variant>
      <vt:variant>
        <vt:i4>5</vt:i4>
      </vt:variant>
      <vt:variant>
        <vt:lpwstr/>
      </vt:variant>
      <vt:variant>
        <vt:lpwstr>_Toc201149436</vt:lpwstr>
      </vt:variant>
      <vt:variant>
        <vt:i4>1835059</vt:i4>
      </vt:variant>
      <vt:variant>
        <vt:i4>653</vt:i4>
      </vt:variant>
      <vt:variant>
        <vt:i4>0</vt:i4>
      </vt:variant>
      <vt:variant>
        <vt:i4>5</vt:i4>
      </vt:variant>
      <vt:variant>
        <vt:lpwstr/>
      </vt:variant>
      <vt:variant>
        <vt:lpwstr>_Toc201149435</vt:lpwstr>
      </vt:variant>
      <vt:variant>
        <vt:i4>1835059</vt:i4>
      </vt:variant>
      <vt:variant>
        <vt:i4>647</vt:i4>
      </vt:variant>
      <vt:variant>
        <vt:i4>0</vt:i4>
      </vt:variant>
      <vt:variant>
        <vt:i4>5</vt:i4>
      </vt:variant>
      <vt:variant>
        <vt:lpwstr/>
      </vt:variant>
      <vt:variant>
        <vt:lpwstr>_Toc201149434</vt:lpwstr>
      </vt:variant>
      <vt:variant>
        <vt:i4>7340037</vt:i4>
      </vt:variant>
      <vt:variant>
        <vt:i4>594</vt:i4>
      </vt:variant>
      <vt:variant>
        <vt:i4>0</vt:i4>
      </vt:variant>
      <vt:variant>
        <vt:i4>5</vt:i4>
      </vt:variant>
      <vt:variant>
        <vt:lpwstr>mailto:RegionalWorkforceAssessment@jobsandskills.gov.au</vt:lpwstr>
      </vt:variant>
      <vt:variant>
        <vt:lpwstr/>
      </vt:variant>
      <vt:variant>
        <vt:i4>7340037</vt:i4>
      </vt:variant>
      <vt:variant>
        <vt:i4>588</vt:i4>
      </vt:variant>
      <vt:variant>
        <vt:i4>0</vt:i4>
      </vt:variant>
      <vt:variant>
        <vt:i4>5</vt:i4>
      </vt:variant>
      <vt:variant>
        <vt:lpwstr>mailto:RegionalWorkforceAssessment@jobsandskills.gov.au</vt:lpwstr>
      </vt:variant>
      <vt:variant>
        <vt:lpwstr/>
      </vt:variant>
      <vt:variant>
        <vt:i4>8257661</vt:i4>
      </vt:variant>
      <vt:variant>
        <vt:i4>582</vt:i4>
      </vt:variant>
      <vt:variant>
        <vt:i4>0</vt:i4>
      </vt:variant>
      <vt:variant>
        <vt:i4>5</vt:i4>
      </vt:variant>
      <vt:variant>
        <vt:lpwstr>https://www.dewr.gov.au/skills-education-and-employment</vt:lpwstr>
      </vt:variant>
      <vt:variant>
        <vt:lpwstr/>
      </vt:variant>
      <vt:variant>
        <vt:i4>1572886</vt:i4>
      </vt:variant>
      <vt:variant>
        <vt:i4>576</vt:i4>
      </vt:variant>
      <vt:variant>
        <vt:i4>0</vt:i4>
      </vt:variant>
      <vt:variant>
        <vt:i4>5</vt:i4>
      </vt:variant>
      <vt:variant>
        <vt:lpwstr>https://www.dewr.gov.au/download/16743/transition-work-supplementary-evaluation-report-2016-2021/39210/transition-work-supplementary-evaluation-report-2016-2021/pdf</vt:lpwstr>
      </vt:variant>
      <vt:variant>
        <vt:lpwstr/>
      </vt:variant>
      <vt:variant>
        <vt:i4>5111894</vt:i4>
      </vt:variant>
      <vt:variant>
        <vt:i4>573</vt:i4>
      </vt:variant>
      <vt:variant>
        <vt:i4>0</vt:i4>
      </vt:variant>
      <vt:variant>
        <vt:i4>5</vt:i4>
      </vt:variant>
      <vt:variant>
        <vt:lpwstr>https://library.bsl.org.au/bsljspui/bitstream/1/13495/1/RegionalJobsHub_Final_Eval_Report_2024.pdf</vt:lpwstr>
      </vt:variant>
      <vt:variant>
        <vt:lpwstr/>
      </vt:variant>
      <vt:variant>
        <vt:i4>7798908</vt:i4>
      </vt:variant>
      <vt:variant>
        <vt:i4>570</vt:i4>
      </vt:variant>
      <vt:variant>
        <vt:i4>0</vt:i4>
      </vt:variant>
      <vt:variant>
        <vt:i4>5</vt:i4>
      </vt:variant>
      <vt:variant>
        <vt:lpwstr>https://www.education.gov.au/regional-university-study-hubs</vt:lpwstr>
      </vt:variant>
      <vt:variant>
        <vt:lpwstr/>
      </vt:variant>
      <vt:variant>
        <vt:i4>1703942</vt:i4>
      </vt:variant>
      <vt:variant>
        <vt:i4>567</vt:i4>
      </vt:variant>
      <vt:variant>
        <vt:i4>0</vt:i4>
      </vt:variant>
      <vt:variant>
        <vt:i4>5</vt:i4>
      </vt:variant>
      <vt:variant>
        <vt:lpwstr>https://unihubsg.org/</vt:lpwstr>
      </vt:variant>
      <vt:variant>
        <vt:lpwstr/>
      </vt:variant>
      <vt:variant>
        <vt:i4>4128802</vt:i4>
      </vt:variant>
      <vt:variant>
        <vt:i4>564</vt:i4>
      </vt:variant>
      <vt:variant>
        <vt:i4>0</vt:i4>
      </vt:variant>
      <vt:variant>
        <vt:i4>5</vt:i4>
      </vt:variant>
      <vt:variant>
        <vt:lpwstr>https://www.dewr.gov.au/local-jobs</vt:lpwstr>
      </vt:variant>
      <vt:variant>
        <vt:lpwstr/>
      </vt:variant>
      <vt:variant>
        <vt:i4>4915289</vt:i4>
      </vt:variant>
      <vt:variant>
        <vt:i4>486</vt:i4>
      </vt:variant>
      <vt:variant>
        <vt:i4>0</vt:i4>
      </vt:variant>
      <vt:variant>
        <vt:i4>5</vt:i4>
      </vt:variant>
      <vt:variant>
        <vt:lpwstr>https://www.homeaffairs.gov.au/reports-and-publications/submissions-and-discussion-papers/review-of-regional-migration-settings-discussion-paper</vt:lpwstr>
      </vt:variant>
      <vt:variant>
        <vt:lpwstr/>
      </vt:variant>
      <vt:variant>
        <vt:i4>4915289</vt:i4>
      </vt:variant>
      <vt:variant>
        <vt:i4>483</vt:i4>
      </vt:variant>
      <vt:variant>
        <vt:i4>0</vt:i4>
      </vt:variant>
      <vt:variant>
        <vt:i4>5</vt:i4>
      </vt:variant>
      <vt:variant>
        <vt:lpwstr>https://www.homeaffairs.gov.au/reports-and-publications/submissions-and-discussion-papers/review-of-regional-migration-settings-discussion-paper</vt:lpwstr>
      </vt:variant>
      <vt:variant>
        <vt:lpwstr/>
      </vt:variant>
      <vt:variant>
        <vt:i4>327751</vt:i4>
      </vt:variant>
      <vt:variant>
        <vt:i4>480</vt:i4>
      </vt:variant>
      <vt:variant>
        <vt:i4>0</vt:i4>
      </vt:variant>
      <vt:variant>
        <vt:i4>5</vt:i4>
      </vt:variant>
      <vt:variant>
        <vt:lpwstr>https://immi.homeaffairs.gov.au/what-we-do/migration-strategy</vt:lpwstr>
      </vt:variant>
      <vt:variant>
        <vt:lpwstr/>
      </vt:variant>
      <vt:variant>
        <vt:i4>524290</vt:i4>
      </vt:variant>
      <vt:variant>
        <vt:i4>402</vt:i4>
      </vt:variant>
      <vt:variant>
        <vt:i4>0</vt:i4>
      </vt:variant>
      <vt:variant>
        <vt:i4>5</vt:i4>
      </vt:variant>
      <vt:variant>
        <vt:lpwstr>https://www.jobsandskills.gov.au/publications/opportunity-and-productivity-towards-tertiary-harmonisation-roadmap</vt:lpwstr>
      </vt:variant>
      <vt:variant>
        <vt:lpwstr/>
      </vt:variant>
      <vt:variant>
        <vt:i4>1507395</vt:i4>
      </vt:variant>
      <vt:variant>
        <vt:i4>369</vt:i4>
      </vt:variant>
      <vt:variant>
        <vt:i4>0</vt:i4>
      </vt:variant>
      <vt:variant>
        <vt:i4>5</vt:i4>
      </vt:variant>
      <vt:variant>
        <vt:lpwstr>https://www.education.gov.au/regional-education-commissioner/resources/regional-education-commissioner-annual-report-2023</vt:lpwstr>
      </vt:variant>
      <vt:variant>
        <vt:lpwstr/>
      </vt:variant>
      <vt:variant>
        <vt:i4>1048598</vt:i4>
      </vt:variant>
      <vt:variant>
        <vt:i4>366</vt:i4>
      </vt:variant>
      <vt:variant>
        <vt:i4>0</vt:i4>
      </vt:variant>
      <vt:variant>
        <vt:i4>5</vt:i4>
      </vt:variant>
      <vt:variant>
        <vt:lpwstr>https://www.acses.edu.au/app/uploads/2017/02/Regional-Student-Participation-and-Migration-20170227-Final.pdf</vt:lpwstr>
      </vt:variant>
      <vt:variant>
        <vt:lpwstr/>
      </vt:variant>
      <vt:variant>
        <vt:i4>458764</vt:i4>
      </vt:variant>
      <vt:variant>
        <vt:i4>363</vt:i4>
      </vt:variant>
      <vt:variant>
        <vt:i4>0</vt:i4>
      </vt:variant>
      <vt:variant>
        <vt:i4>5</vt:i4>
      </vt:variant>
      <vt:variant>
        <vt:lpwstr>https://www.theaustralian.com.au/special-reports/numbers-show-the-home-away-from-home-is-here-to-stay/news-story/01c8a2c848c9bea0b70eb1034a23bb5c</vt:lpwstr>
      </vt:variant>
      <vt:variant>
        <vt:lpwstr/>
      </vt:variant>
      <vt:variant>
        <vt:i4>3735604</vt:i4>
      </vt:variant>
      <vt:variant>
        <vt:i4>360</vt:i4>
      </vt:variant>
      <vt:variant>
        <vt:i4>0</vt:i4>
      </vt:variant>
      <vt:variant>
        <vt:i4>5</vt:i4>
      </vt:variant>
      <vt:variant>
        <vt:lpwstr>https://resources.finalsite.net/images/v1716776521/boardingorgau/wqcxakqtpqvqef94dxyu/ABSA3359_census-2024_digital.pdf</vt:lpwstr>
      </vt:variant>
      <vt:variant>
        <vt:lpwstr/>
      </vt:variant>
      <vt:variant>
        <vt:i4>7536764</vt:i4>
      </vt:variant>
      <vt:variant>
        <vt:i4>357</vt:i4>
      </vt:variant>
      <vt:variant>
        <vt:i4>0</vt:i4>
      </vt:variant>
      <vt:variant>
        <vt:i4>5</vt:i4>
      </vt:variant>
      <vt:variant>
        <vt:lpwstr>https://www.education.gov.au/commonwealth-regional-scholarship-program</vt:lpwstr>
      </vt:variant>
      <vt:variant>
        <vt:lpwstr/>
      </vt:variant>
      <vt:variant>
        <vt:i4>5898315</vt:i4>
      </vt:variant>
      <vt:variant>
        <vt:i4>312</vt:i4>
      </vt:variant>
      <vt:variant>
        <vt:i4>0</vt:i4>
      </vt:variant>
      <vt:variant>
        <vt:i4>5</vt:i4>
      </vt:variant>
      <vt:variant>
        <vt:lpwstr>https://www.infrastructure.gov.au/territories-regions-cities/regional-australia/regional-investment-framework</vt:lpwstr>
      </vt:variant>
      <vt:variant>
        <vt:lpwstr/>
      </vt:variant>
      <vt:variant>
        <vt:i4>1769521</vt:i4>
      </vt:variant>
      <vt:variant>
        <vt:i4>290</vt:i4>
      </vt:variant>
      <vt:variant>
        <vt:i4>0</vt:i4>
      </vt:variant>
      <vt:variant>
        <vt:i4>5</vt:i4>
      </vt:variant>
      <vt:variant>
        <vt:lpwstr/>
      </vt:variant>
      <vt:variant>
        <vt:lpwstr>_Toc201149641</vt:lpwstr>
      </vt:variant>
      <vt:variant>
        <vt:i4>1769521</vt:i4>
      </vt:variant>
      <vt:variant>
        <vt:i4>284</vt:i4>
      </vt:variant>
      <vt:variant>
        <vt:i4>0</vt:i4>
      </vt:variant>
      <vt:variant>
        <vt:i4>5</vt:i4>
      </vt:variant>
      <vt:variant>
        <vt:lpwstr/>
      </vt:variant>
      <vt:variant>
        <vt:lpwstr>_Toc201149640</vt:lpwstr>
      </vt:variant>
      <vt:variant>
        <vt:i4>1835057</vt:i4>
      </vt:variant>
      <vt:variant>
        <vt:i4>278</vt:i4>
      </vt:variant>
      <vt:variant>
        <vt:i4>0</vt:i4>
      </vt:variant>
      <vt:variant>
        <vt:i4>5</vt:i4>
      </vt:variant>
      <vt:variant>
        <vt:lpwstr/>
      </vt:variant>
      <vt:variant>
        <vt:lpwstr>_Toc201149639</vt:lpwstr>
      </vt:variant>
      <vt:variant>
        <vt:i4>1835057</vt:i4>
      </vt:variant>
      <vt:variant>
        <vt:i4>272</vt:i4>
      </vt:variant>
      <vt:variant>
        <vt:i4>0</vt:i4>
      </vt:variant>
      <vt:variant>
        <vt:i4>5</vt:i4>
      </vt:variant>
      <vt:variant>
        <vt:lpwstr/>
      </vt:variant>
      <vt:variant>
        <vt:lpwstr>_Toc201149638</vt:lpwstr>
      </vt:variant>
      <vt:variant>
        <vt:i4>1835057</vt:i4>
      </vt:variant>
      <vt:variant>
        <vt:i4>266</vt:i4>
      </vt:variant>
      <vt:variant>
        <vt:i4>0</vt:i4>
      </vt:variant>
      <vt:variant>
        <vt:i4>5</vt:i4>
      </vt:variant>
      <vt:variant>
        <vt:lpwstr/>
      </vt:variant>
      <vt:variant>
        <vt:lpwstr>_Toc201149637</vt:lpwstr>
      </vt:variant>
      <vt:variant>
        <vt:i4>1835057</vt:i4>
      </vt:variant>
      <vt:variant>
        <vt:i4>260</vt:i4>
      </vt:variant>
      <vt:variant>
        <vt:i4>0</vt:i4>
      </vt:variant>
      <vt:variant>
        <vt:i4>5</vt:i4>
      </vt:variant>
      <vt:variant>
        <vt:lpwstr/>
      </vt:variant>
      <vt:variant>
        <vt:lpwstr>_Toc201149636</vt:lpwstr>
      </vt:variant>
      <vt:variant>
        <vt:i4>1835057</vt:i4>
      </vt:variant>
      <vt:variant>
        <vt:i4>254</vt:i4>
      </vt:variant>
      <vt:variant>
        <vt:i4>0</vt:i4>
      </vt:variant>
      <vt:variant>
        <vt:i4>5</vt:i4>
      </vt:variant>
      <vt:variant>
        <vt:lpwstr/>
      </vt:variant>
      <vt:variant>
        <vt:lpwstr>_Toc201149635</vt:lpwstr>
      </vt:variant>
      <vt:variant>
        <vt:i4>1835057</vt:i4>
      </vt:variant>
      <vt:variant>
        <vt:i4>248</vt:i4>
      </vt:variant>
      <vt:variant>
        <vt:i4>0</vt:i4>
      </vt:variant>
      <vt:variant>
        <vt:i4>5</vt:i4>
      </vt:variant>
      <vt:variant>
        <vt:lpwstr/>
      </vt:variant>
      <vt:variant>
        <vt:lpwstr>_Toc201149634</vt:lpwstr>
      </vt:variant>
      <vt:variant>
        <vt:i4>1835057</vt:i4>
      </vt:variant>
      <vt:variant>
        <vt:i4>242</vt:i4>
      </vt:variant>
      <vt:variant>
        <vt:i4>0</vt:i4>
      </vt:variant>
      <vt:variant>
        <vt:i4>5</vt:i4>
      </vt:variant>
      <vt:variant>
        <vt:lpwstr/>
      </vt:variant>
      <vt:variant>
        <vt:lpwstr>_Toc201149633</vt:lpwstr>
      </vt:variant>
      <vt:variant>
        <vt:i4>1835057</vt:i4>
      </vt:variant>
      <vt:variant>
        <vt:i4>236</vt:i4>
      </vt:variant>
      <vt:variant>
        <vt:i4>0</vt:i4>
      </vt:variant>
      <vt:variant>
        <vt:i4>5</vt:i4>
      </vt:variant>
      <vt:variant>
        <vt:lpwstr/>
      </vt:variant>
      <vt:variant>
        <vt:lpwstr>_Toc201149632</vt:lpwstr>
      </vt:variant>
      <vt:variant>
        <vt:i4>1835057</vt:i4>
      </vt:variant>
      <vt:variant>
        <vt:i4>230</vt:i4>
      </vt:variant>
      <vt:variant>
        <vt:i4>0</vt:i4>
      </vt:variant>
      <vt:variant>
        <vt:i4>5</vt:i4>
      </vt:variant>
      <vt:variant>
        <vt:lpwstr/>
      </vt:variant>
      <vt:variant>
        <vt:lpwstr>_Toc201149631</vt:lpwstr>
      </vt:variant>
      <vt:variant>
        <vt:i4>1835057</vt:i4>
      </vt:variant>
      <vt:variant>
        <vt:i4>224</vt:i4>
      </vt:variant>
      <vt:variant>
        <vt:i4>0</vt:i4>
      </vt:variant>
      <vt:variant>
        <vt:i4>5</vt:i4>
      </vt:variant>
      <vt:variant>
        <vt:lpwstr/>
      </vt:variant>
      <vt:variant>
        <vt:lpwstr>_Toc201149630</vt:lpwstr>
      </vt:variant>
      <vt:variant>
        <vt:i4>1900593</vt:i4>
      </vt:variant>
      <vt:variant>
        <vt:i4>218</vt:i4>
      </vt:variant>
      <vt:variant>
        <vt:i4>0</vt:i4>
      </vt:variant>
      <vt:variant>
        <vt:i4>5</vt:i4>
      </vt:variant>
      <vt:variant>
        <vt:lpwstr/>
      </vt:variant>
      <vt:variant>
        <vt:lpwstr>_Toc201149629</vt:lpwstr>
      </vt:variant>
      <vt:variant>
        <vt:i4>1900593</vt:i4>
      </vt:variant>
      <vt:variant>
        <vt:i4>212</vt:i4>
      </vt:variant>
      <vt:variant>
        <vt:i4>0</vt:i4>
      </vt:variant>
      <vt:variant>
        <vt:i4>5</vt:i4>
      </vt:variant>
      <vt:variant>
        <vt:lpwstr/>
      </vt:variant>
      <vt:variant>
        <vt:lpwstr>_Toc201149628</vt:lpwstr>
      </vt:variant>
      <vt:variant>
        <vt:i4>1900593</vt:i4>
      </vt:variant>
      <vt:variant>
        <vt:i4>206</vt:i4>
      </vt:variant>
      <vt:variant>
        <vt:i4>0</vt:i4>
      </vt:variant>
      <vt:variant>
        <vt:i4>5</vt:i4>
      </vt:variant>
      <vt:variant>
        <vt:lpwstr/>
      </vt:variant>
      <vt:variant>
        <vt:lpwstr>_Toc201149627</vt:lpwstr>
      </vt:variant>
      <vt:variant>
        <vt:i4>1900593</vt:i4>
      </vt:variant>
      <vt:variant>
        <vt:i4>200</vt:i4>
      </vt:variant>
      <vt:variant>
        <vt:i4>0</vt:i4>
      </vt:variant>
      <vt:variant>
        <vt:i4>5</vt:i4>
      </vt:variant>
      <vt:variant>
        <vt:lpwstr/>
      </vt:variant>
      <vt:variant>
        <vt:lpwstr>_Toc201149626</vt:lpwstr>
      </vt:variant>
      <vt:variant>
        <vt:i4>1900593</vt:i4>
      </vt:variant>
      <vt:variant>
        <vt:i4>194</vt:i4>
      </vt:variant>
      <vt:variant>
        <vt:i4>0</vt:i4>
      </vt:variant>
      <vt:variant>
        <vt:i4>5</vt:i4>
      </vt:variant>
      <vt:variant>
        <vt:lpwstr/>
      </vt:variant>
      <vt:variant>
        <vt:lpwstr>_Toc201149625</vt:lpwstr>
      </vt:variant>
      <vt:variant>
        <vt:i4>1900593</vt:i4>
      </vt:variant>
      <vt:variant>
        <vt:i4>188</vt:i4>
      </vt:variant>
      <vt:variant>
        <vt:i4>0</vt:i4>
      </vt:variant>
      <vt:variant>
        <vt:i4>5</vt:i4>
      </vt:variant>
      <vt:variant>
        <vt:lpwstr/>
      </vt:variant>
      <vt:variant>
        <vt:lpwstr>_Toc201149624</vt:lpwstr>
      </vt:variant>
      <vt:variant>
        <vt:i4>1900593</vt:i4>
      </vt:variant>
      <vt:variant>
        <vt:i4>182</vt:i4>
      </vt:variant>
      <vt:variant>
        <vt:i4>0</vt:i4>
      </vt:variant>
      <vt:variant>
        <vt:i4>5</vt:i4>
      </vt:variant>
      <vt:variant>
        <vt:lpwstr/>
      </vt:variant>
      <vt:variant>
        <vt:lpwstr>_Toc201149623</vt:lpwstr>
      </vt:variant>
      <vt:variant>
        <vt:i4>1900593</vt:i4>
      </vt:variant>
      <vt:variant>
        <vt:i4>176</vt:i4>
      </vt:variant>
      <vt:variant>
        <vt:i4>0</vt:i4>
      </vt:variant>
      <vt:variant>
        <vt:i4>5</vt:i4>
      </vt:variant>
      <vt:variant>
        <vt:lpwstr/>
      </vt:variant>
      <vt:variant>
        <vt:lpwstr>_Toc201149622</vt:lpwstr>
      </vt:variant>
      <vt:variant>
        <vt:i4>1900593</vt:i4>
      </vt:variant>
      <vt:variant>
        <vt:i4>170</vt:i4>
      </vt:variant>
      <vt:variant>
        <vt:i4>0</vt:i4>
      </vt:variant>
      <vt:variant>
        <vt:i4>5</vt:i4>
      </vt:variant>
      <vt:variant>
        <vt:lpwstr/>
      </vt:variant>
      <vt:variant>
        <vt:lpwstr>_Toc201149621</vt:lpwstr>
      </vt:variant>
      <vt:variant>
        <vt:i4>1900593</vt:i4>
      </vt:variant>
      <vt:variant>
        <vt:i4>164</vt:i4>
      </vt:variant>
      <vt:variant>
        <vt:i4>0</vt:i4>
      </vt:variant>
      <vt:variant>
        <vt:i4>5</vt:i4>
      </vt:variant>
      <vt:variant>
        <vt:lpwstr/>
      </vt:variant>
      <vt:variant>
        <vt:lpwstr>_Toc201149620</vt:lpwstr>
      </vt:variant>
      <vt:variant>
        <vt:i4>1966129</vt:i4>
      </vt:variant>
      <vt:variant>
        <vt:i4>158</vt:i4>
      </vt:variant>
      <vt:variant>
        <vt:i4>0</vt:i4>
      </vt:variant>
      <vt:variant>
        <vt:i4>5</vt:i4>
      </vt:variant>
      <vt:variant>
        <vt:lpwstr/>
      </vt:variant>
      <vt:variant>
        <vt:lpwstr>_Toc201149619</vt:lpwstr>
      </vt:variant>
      <vt:variant>
        <vt:i4>1966129</vt:i4>
      </vt:variant>
      <vt:variant>
        <vt:i4>152</vt:i4>
      </vt:variant>
      <vt:variant>
        <vt:i4>0</vt:i4>
      </vt:variant>
      <vt:variant>
        <vt:i4>5</vt:i4>
      </vt:variant>
      <vt:variant>
        <vt:lpwstr/>
      </vt:variant>
      <vt:variant>
        <vt:lpwstr>_Toc201149618</vt:lpwstr>
      </vt:variant>
      <vt:variant>
        <vt:i4>1966129</vt:i4>
      </vt:variant>
      <vt:variant>
        <vt:i4>146</vt:i4>
      </vt:variant>
      <vt:variant>
        <vt:i4>0</vt:i4>
      </vt:variant>
      <vt:variant>
        <vt:i4>5</vt:i4>
      </vt:variant>
      <vt:variant>
        <vt:lpwstr/>
      </vt:variant>
      <vt:variant>
        <vt:lpwstr>_Toc201149617</vt:lpwstr>
      </vt:variant>
      <vt:variant>
        <vt:i4>1966129</vt:i4>
      </vt:variant>
      <vt:variant>
        <vt:i4>140</vt:i4>
      </vt:variant>
      <vt:variant>
        <vt:i4>0</vt:i4>
      </vt:variant>
      <vt:variant>
        <vt:i4>5</vt:i4>
      </vt:variant>
      <vt:variant>
        <vt:lpwstr/>
      </vt:variant>
      <vt:variant>
        <vt:lpwstr>_Toc201149616</vt:lpwstr>
      </vt:variant>
      <vt:variant>
        <vt:i4>1966129</vt:i4>
      </vt:variant>
      <vt:variant>
        <vt:i4>134</vt:i4>
      </vt:variant>
      <vt:variant>
        <vt:i4>0</vt:i4>
      </vt:variant>
      <vt:variant>
        <vt:i4>5</vt:i4>
      </vt:variant>
      <vt:variant>
        <vt:lpwstr/>
      </vt:variant>
      <vt:variant>
        <vt:lpwstr>_Toc201149615</vt:lpwstr>
      </vt:variant>
      <vt:variant>
        <vt:i4>1966129</vt:i4>
      </vt:variant>
      <vt:variant>
        <vt:i4>128</vt:i4>
      </vt:variant>
      <vt:variant>
        <vt:i4>0</vt:i4>
      </vt:variant>
      <vt:variant>
        <vt:i4>5</vt:i4>
      </vt:variant>
      <vt:variant>
        <vt:lpwstr/>
      </vt:variant>
      <vt:variant>
        <vt:lpwstr>_Toc201149614</vt:lpwstr>
      </vt:variant>
      <vt:variant>
        <vt:i4>1966129</vt:i4>
      </vt:variant>
      <vt:variant>
        <vt:i4>122</vt:i4>
      </vt:variant>
      <vt:variant>
        <vt:i4>0</vt:i4>
      </vt:variant>
      <vt:variant>
        <vt:i4>5</vt:i4>
      </vt:variant>
      <vt:variant>
        <vt:lpwstr/>
      </vt:variant>
      <vt:variant>
        <vt:lpwstr>_Toc201149613</vt:lpwstr>
      </vt:variant>
      <vt:variant>
        <vt:i4>1966129</vt:i4>
      </vt:variant>
      <vt:variant>
        <vt:i4>116</vt:i4>
      </vt:variant>
      <vt:variant>
        <vt:i4>0</vt:i4>
      </vt:variant>
      <vt:variant>
        <vt:i4>5</vt:i4>
      </vt:variant>
      <vt:variant>
        <vt:lpwstr/>
      </vt:variant>
      <vt:variant>
        <vt:lpwstr>_Toc201149612</vt:lpwstr>
      </vt:variant>
      <vt:variant>
        <vt:i4>1966129</vt:i4>
      </vt:variant>
      <vt:variant>
        <vt:i4>110</vt:i4>
      </vt:variant>
      <vt:variant>
        <vt:i4>0</vt:i4>
      </vt:variant>
      <vt:variant>
        <vt:i4>5</vt:i4>
      </vt:variant>
      <vt:variant>
        <vt:lpwstr/>
      </vt:variant>
      <vt:variant>
        <vt:lpwstr>_Toc201149611</vt:lpwstr>
      </vt:variant>
      <vt:variant>
        <vt:i4>1966129</vt:i4>
      </vt:variant>
      <vt:variant>
        <vt:i4>104</vt:i4>
      </vt:variant>
      <vt:variant>
        <vt:i4>0</vt:i4>
      </vt:variant>
      <vt:variant>
        <vt:i4>5</vt:i4>
      </vt:variant>
      <vt:variant>
        <vt:lpwstr/>
      </vt:variant>
      <vt:variant>
        <vt:lpwstr>_Toc201149610</vt:lpwstr>
      </vt:variant>
      <vt:variant>
        <vt:i4>2031665</vt:i4>
      </vt:variant>
      <vt:variant>
        <vt:i4>98</vt:i4>
      </vt:variant>
      <vt:variant>
        <vt:i4>0</vt:i4>
      </vt:variant>
      <vt:variant>
        <vt:i4>5</vt:i4>
      </vt:variant>
      <vt:variant>
        <vt:lpwstr/>
      </vt:variant>
      <vt:variant>
        <vt:lpwstr>_Toc201149609</vt:lpwstr>
      </vt:variant>
      <vt:variant>
        <vt:i4>2031665</vt:i4>
      </vt:variant>
      <vt:variant>
        <vt:i4>92</vt:i4>
      </vt:variant>
      <vt:variant>
        <vt:i4>0</vt:i4>
      </vt:variant>
      <vt:variant>
        <vt:i4>5</vt:i4>
      </vt:variant>
      <vt:variant>
        <vt:lpwstr/>
      </vt:variant>
      <vt:variant>
        <vt:lpwstr>_Toc201149608</vt:lpwstr>
      </vt:variant>
      <vt:variant>
        <vt:i4>2031665</vt:i4>
      </vt:variant>
      <vt:variant>
        <vt:i4>86</vt:i4>
      </vt:variant>
      <vt:variant>
        <vt:i4>0</vt:i4>
      </vt:variant>
      <vt:variant>
        <vt:i4>5</vt:i4>
      </vt:variant>
      <vt:variant>
        <vt:lpwstr/>
      </vt:variant>
      <vt:variant>
        <vt:lpwstr>_Toc201149607</vt:lpwstr>
      </vt:variant>
      <vt:variant>
        <vt:i4>2031665</vt:i4>
      </vt:variant>
      <vt:variant>
        <vt:i4>80</vt:i4>
      </vt:variant>
      <vt:variant>
        <vt:i4>0</vt:i4>
      </vt:variant>
      <vt:variant>
        <vt:i4>5</vt:i4>
      </vt:variant>
      <vt:variant>
        <vt:lpwstr/>
      </vt:variant>
      <vt:variant>
        <vt:lpwstr>_Toc201149606</vt:lpwstr>
      </vt:variant>
      <vt:variant>
        <vt:i4>2031665</vt:i4>
      </vt:variant>
      <vt:variant>
        <vt:i4>74</vt:i4>
      </vt:variant>
      <vt:variant>
        <vt:i4>0</vt:i4>
      </vt:variant>
      <vt:variant>
        <vt:i4>5</vt:i4>
      </vt:variant>
      <vt:variant>
        <vt:lpwstr/>
      </vt:variant>
      <vt:variant>
        <vt:lpwstr>_Toc201149605</vt:lpwstr>
      </vt:variant>
      <vt:variant>
        <vt:i4>2031665</vt:i4>
      </vt:variant>
      <vt:variant>
        <vt:i4>68</vt:i4>
      </vt:variant>
      <vt:variant>
        <vt:i4>0</vt:i4>
      </vt:variant>
      <vt:variant>
        <vt:i4>5</vt:i4>
      </vt:variant>
      <vt:variant>
        <vt:lpwstr/>
      </vt:variant>
      <vt:variant>
        <vt:lpwstr>_Toc201149604</vt:lpwstr>
      </vt:variant>
      <vt:variant>
        <vt:i4>2031665</vt:i4>
      </vt:variant>
      <vt:variant>
        <vt:i4>62</vt:i4>
      </vt:variant>
      <vt:variant>
        <vt:i4>0</vt:i4>
      </vt:variant>
      <vt:variant>
        <vt:i4>5</vt:i4>
      </vt:variant>
      <vt:variant>
        <vt:lpwstr/>
      </vt:variant>
      <vt:variant>
        <vt:lpwstr>_Toc201149603</vt:lpwstr>
      </vt:variant>
      <vt:variant>
        <vt:i4>2031665</vt:i4>
      </vt:variant>
      <vt:variant>
        <vt:i4>56</vt:i4>
      </vt:variant>
      <vt:variant>
        <vt:i4>0</vt:i4>
      </vt:variant>
      <vt:variant>
        <vt:i4>5</vt:i4>
      </vt:variant>
      <vt:variant>
        <vt:lpwstr/>
      </vt:variant>
      <vt:variant>
        <vt:lpwstr>_Toc201149602</vt:lpwstr>
      </vt:variant>
      <vt:variant>
        <vt:i4>2031665</vt:i4>
      </vt:variant>
      <vt:variant>
        <vt:i4>50</vt:i4>
      </vt:variant>
      <vt:variant>
        <vt:i4>0</vt:i4>
      </vt:variant>
      <vt:variant>
        <vt:i4>5</vt:i4>
      </vt:variant>
      <vt:variant>
        <vt:lpwstr/>
      </vt:variant>
      <vt:variant>
        <vt:lpwstr>_Toc201149601</vt:lpwstr>
      </vt:variant>
      <vt:variant>
        <vt:i4>2031665</vt:i4>
      </vt:variant>
      <vt:variant>
        <vt:i4>44</vt:i4>
      </vt:variant>
      <vt:variant>
        <vt:i4>0</vt:i4>
      </vt:variant>
      <vt:variant>
        <vt:i4>5</vt:i4>
      </vt:variant>
      <vt:variant>
        <vt:lpwstr/>
      </vt:variant>
      <vt:variant>
        <vt:lpwstr>_Toc201149600</vt:lpwstr>
      </vt:variant>
      <vt:variant>
        <vt:i4>1441842</vt:i4>
      </vt:variant>
      <vt:variant>
        <vt:i4>38</vt:i4>
      </vt:variant>
      <vt:variant>
        <vt:i4>0</vt:i4>
      </vt:variant>
      <vt:variant>
        <vt:i4>5</vt:i4>
      </vt:variant>
      <vt:variant>
        <vt:lpwstr/>
      </vt:variant>
      <vt:variant>
        <vt:lpwstr>_Toc201149599</vt:lpwstr>
      </vt:variant>
      <vt:variant>
        <vt:i4>1441842</vt:i4>
      </vt:variant>
      <vt:variant>
        <vt:i4>32</vt:i4>
      </vt:variant>
      <vt:variant>
        <vt:i4>0</vt:i4>
      </vt:variant>
      <vt:variant>
        <vt:i4>5</vt:i4>
      </vt:variant>
      <vt:variant>
        <vt:lpwstr/>
      </vt:variant>
      <vt:variant>
        <vt:lpwstr>_Toc201149598</vt:lpwstr>
      </vt:variant>
      <vt:variant>
        <vt:i4>1441842</vt:i4>
      </vt:variant>
      <vt:variant>
        <vt:i4>26</vt:i4>
      </vt:variant>
      <vt:variant>
        <vt:i4>0</vt:i4>
      </vt:variant>
      <vt:variant>
        <vt:i4>5</vt:i4>
      </vt:variant>
      <vt:variant>
        <vt:lpwstr/>
      </vt:variant>
      <vt:variant>
        <vt:lpwstr>_Toc201149597</vt:lpwstr>
      </vt:variant>
      <vt:variant>
        <vt:i4>1441842</vt:i4>
      </vt:variant>
      <vt:variant>
        <vt:i4>20</vt:i4>
      </vt:variant>
      <vt:variant>
        <vt:i4>0</vt:i4>
      </vt:variant>
      <vt:variant>
        <vt:i4>5</vt:i4>
      </vt:variant>
      <vt:variant>
        <vt:lpwstr/>
      </vt:variant>
      <vt:variant>
        <vt:lpwstr>_Toc201149596</vt:lpwstr>
      </vt:variant>
      <vt:variant>
        <vt:i4>1441842</vt:i4>
      </vt:variant>
      <vt:variant>
        <vt:i4>14</vt:i4>
      </vt:variant>
      <vt:variant>
        <vt:i4>0</vt:i4>
      </vt:variant>
      <vt:variant>
        <vt:i4>5</vt:i4>
      </vt:variant>
      <vt:variant>
        <vt:lpwstr/>
      </vt:variant>
      <vt:variant>
        <vt:lpwstr>_Toc201149595</vt:lpwstr>
      </vt:variant>
      <vt:variant>
        <vt:i4>1441842</vt:i4>
      </vt:variant>
      <vt:variant>
        <vt:i4>8</vt:i4>
      </vt:variant>
      <vt:variant>
        <vt:i4>0</vt:i4>
      </vt:variant>
      <vt:variant>
        <vt:i4>5</vt:i4>
      </vt:variant>
      <vt:variant>
        <vt:lpwstr/>
      </vt:variant>
      <vt:variant>
        <vt:lpwstr>_Toc201149594</vt:lpwstr>
      </vt:variant>
      <vt:variant>
        <vt:i4>1441842</vt:i4>
      </vt:variant>
      <vt:variant>
        <vt:i4>2</vt:i4>
      </vt:variant>
      <vt:variant>
        <vt:i4>0</vt:i4>
      </vt:variant>
      <vt:variant>
        <vt:i4>5</vt:i4>
      </vt:variant>
      <vt:variant>
        <vt:lpwstr/>
      </vt:variant>
      <vt:variant>
        <vt:lpwstr>_Toc201149593</vt:lpwstr>
      </vt:variant>
      <vt:variant>
        <vt:i4>4325380</vt:i4>
      </vt:variant>
      <vt:variant>
        <vt:i4>42</vt:i4>
      </vt:variant>
      <vt:variant>
        <vt:i4>0</vt:i4>
      </vt:variant>
      <vt:variant>
        <vt:i4>5</vt:i4>
      </vt:variant>
      <vt:variant>
        <vt:lpwstr>https://www.jobsandskills.gov.au/download/19681/jobs-and-skills-report-2024/2833/better-together-jobs-and-skills-report-2024/pdf</vt:lpwstr>
      </vt:variant>
      <vt:variant>
        <vt:lpwstr/>
      </vt:variant>
      <vt:variant>
        <vt:i4>3866720</vt:i4>
      </vt:variant>
      <vt:variant>
        <vt:i4>39</vt:i4>
      </vt:variant>
      <vt:variant>
        <vt:i4>0</vt:i4>
      </vt:variant>
      <vt:variant>
        <vt:i4>5</vt:i4>
      </vt:variant>
      <vt:variant>
        <vt:lpwstr>https://www.jobsandskills.gov.au/sites/default/files/2023-04/Foundation Skills Study - Discussion paper.pdf</vt:lpwstr>
      </vt:variant>
      <vt:variant>
        <vt:lpwstr/>
      </vt:variant>
      <vt:variant>
        <vt:i4>16</vt:i4>
      </vt:variant>
      <vt:variant>
        <vt:i4>36</vt:i4>
      </vt:variant>
      <vt:variant>
        <vt:i4>0</vt:i4>
      </vt:variant>
      <vt:variant>
        <vt:i4>5</vt:i4>
      </vt:variant>
      <vt:variant>
        <vt:lpwstr>https://www.jobsandskills.gov.au/studies/foundation-skills-study</vt:lpwstr>
      </vt:variant>
      <vt:variant>
        <vt:lpwstr/>
      </vt:variant>
      <vt:variant>
        <vt:i4>6684747</vt:i4>
      </vt:variant>
      <vt:variant>
        <vt:i4>33</vt:i4>
      </vt:variant>
      <vt:variant>
        <vt:i4>0</vt:i4>
      </vt:variant>
      <vt:variant>
        <vt:i4>5</vt:i4>
      </vt:variant>
      <vt:variant>
        <vt:lpwstr>https://treasury.gov.au/sites/default/files/2024-03/p2024-495252-full-report_0.pdf</vt:lpwstr>
      </vt:variant>
      <vt:variant>
        <vt:lpwstr/>
      </vt:variant>
      <vt:variant>
        <vt:i4>4587601</vt:i4>
      </vt:variant>
      <vt:variant>
        <vt:i4>30</vt:i4>
      </vt:variant>
      <vt:variant>
        <vt:i4>0</vt:i4>
      </vt:variant>
      <vt:variant>
        <vt:i4>5</vt:i4>
      </vt:variant>
      <vt:variant>
        <vt:lpwstr>https://www.pc.gov.au/inquiries/completed/productivity/report/productivity-volume7-labour-market.pdf</vt:lpwstr>
      </vt:variant>
      <vt:variant>
        <vt:lpwstr/>
      </vt:variant>
      <vt:variant>
        <vt:i4>4194397</vt:i4>
      </vt:variant>
      <vt:variant>
        <vt:i4>27</vt:i4>
      </vt:variant>
      <vt:variant>
        <vt:i4>0</vt:i4>
      </vt:variant>
      <vt:variant>
        <vt:i4>5</vt:i4>
      </vt:variant>
      <vt:variant>
        <vt:lpwstr>https://www.rba.gov.au/publications/bulletin/2023/sep/recent-developments-in-small-business-finance-and-economic-conditions.html</vt:lpwstr>
      </vt:variant>
      <vt:variant>
        <vt:lpwstr/>
      </vt:variant>
      <vt:variant>
        <vt:i4>589936</vt:i4>
      </vt:variant>
      <vt:variant>
        <vt:i4>24</vt:i4>
      </vt:variant>
      <vt:variant>
        <vt:i4>0</vt:i4>
      </vt:variant>
      <vt:variant>
        <vt:i4>5</vt:i4>
      </vt:variant>
      <vt:variant>
        <vt:lpwstr>https://treasury.gov.au/sites/default/files/2021-05/171663_institute_of_public_affairs_supporting_document_3.pdf</vt:lpwstr>
      </vt:variant>
      <vt:variant>
        <vt:lpwstr/>
      </vt:variant>
      <vt:variant>
        <vt:i4>1638412</vt:i4>
      </vt:variant>
      <vt:variant>
        <vt:i4>21</vt:i4>
      </vt:variant>
      <vt:variant>
        <vt:i4>0</vt:i4>
      </vt:variant>
      <vt:variant>
        <vt:i4>5</vt:i4>
      </vt:variant>
      <vt:variant>
        <vt:lpwstr>https://treasury.gov.au/publication/economic-roundup-issue-2-2013-2/economic-roundup-issue-2-2013/income-inequality-in-australia</vt:lpwstr>
      </vt:variant>
      <vt:variant>
        <vt:lpwstr/>
      </vt:variant>
      <vt:variant>
        <vt:i4>1507391</vt:i4>
      </vt:variant>
      <vt:variant>
        <vt:i4>18</vt:i4>
      </vt:variant>
      <vt:variant>
        <vt:i4>0</vt:i4>
      </vt:variant>
      <vt:variant>
        <vt:i4>5</vt:i4>
      </vt:variant>
      <vt:variant>
        <vt:lpwstr>https://www.jobsandskills.gov.au/sites/default/files/2024-10/2024_osl_key_findings_and_insights_report_0.pdf</vt:lpwstr>
      </vt:variant>
      <vt:variant>
        <vt:lpwstr/>
      </vt:variant>
      <vt:variant>
        <vt:i4>8061024</vt:i4>
      </vt:variant>
      <vt:variant>
        <vt:i4>15</vt:i4>
      </vt:variant>
      <vt:variant>
        <vt:i4>0</vt:i4>
      </vt:variant>
      <vt:variant>
        <vt:i4>5</vt:i4>
      </vt:variant>
      <vt:variant>
        <vt:lpwstr>https://www.abs.gov.au/statistics/standards/australian-statistical-geography-standard-asgs-edition-3/jul2021-jun2026/main-structure-and-greater-capital-city-statistical-areas</vt:lpwstr>
      </vt:variant>
      <vt:variant>
        <vt:lpwstr/>
      </vt:variant>
      <vt:variant>
        <vt:i4>3866685</vt:i4>
      </vt:variant>
      <vt:variant>
        <vt:i4>12</vt:i4>
      </vt:variant>
      <vt:variant>
        <vt:i4>0</vt:i4>
      </vt:variant>
      <vt:variant>
        <vt:i4>5</vt:i4>
      </vt:variant>
      <vt:variant>
        <vt:lpwstr>https://www.pmc.gov.au/domestic-policy/care-and-support-economy</vt:lpwstr>
      </vt:variant>
      <vt:variant>
        <vt:lpwstr/>
      </vt:variant>
      <vt:variant>
        <vt:i4>2818164</vt:i4>
      </vt:variant>
      <vt:variant>
        <vt:i4>9</vt:i4>
      </vt:variant>
      <vt:variant>
        <vt:i4>0</vt:i4>
      </vt:variant>
      <vt:variant>
        <vt:i4>5</vt:i4>
      </vt:variant>
      <vt:variant>
        <vt:lpwstr>https://www.dss.gov.au/supporting-community-change/resource/entrenched-disadvantage-package</vt:lpwstr>
      </vt:variant>
      <vt:variant>
        <vt:lpwstr/>
      </vt:variant>
      <vt:variant>
        <vt:i4>3014696</vt:i4>
      </vt:variant>
      <vt:variant>
        <vt:i4>6</vt:i4>
      </vt:variant>
      <vt:variant>
        <vt:i4>0</vt:i4>
      </vt:variant>
      <vt:variant>
        <vt:i4>5</vt:i4>
      </vt:variant>
      <vt:variant>
        <vt:lpwstr>https://treasury.gov.au/policy-topics/future-made-australia</vt:lpwstr>
      </vt:variant>
      <vt:variant>
        <vt:lpwstr/>
      </vt:variant>
      <vt:variant>
        <vt:i4>6160449</vt:i4>
      </vt:variant>
      <vt:variant>
        <vt:i4>3</vt:i4>
      </vt:variant>
      <vt:variant>
        <vt:i4>0</vt:i4>
      </vt:variant>
      <vt:variant>
        <vt:i4>5</vt:i4>
      </vt:variant>
      <vt:variant>
        <vt:lpwstr>https://www.dcceew.gov.au/climate-change/emissions-reduction/net-zero</vt:lpwstr>
      </vt:variant>
      <vt:variant>
        <vt:lpwstr/>
      </vt:variant>
      <vt:variant>
        <vt:i4>3342436</vt:i4>
      </vt:variant>
      <vt:variant>
        <vt:i4>0</vt:i4>
      </vt:variant>
      <vt:variant>
        <vt:i4>0</vt:i4>
      </vt:variant>
      <vt:variant>
        <vt:i4>5</vt:i4>
      </vt:variant>
      <vt:variant>
        <vt:lpwstr>https://treasury.gov.au/employment-whitepaper/final-report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2025-07-02T05:42:00Z</dcterms:created>
  <dcterms:modified xsi:type="dcterms:W3CDTF">2025-07-02T05:48:00Z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2025-07-02T05:42:27Z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97206411-4496-4c02-9a71-d857993ec75c</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