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4.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5.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6.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7.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8.xml" ContentType="application/vnd.openxmlformats-officedocument.drawingml.chart+xml"/>
  <Override PartName="/word/charts/chart9.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10.xml" ContentType="application/vnd.openxmlformats-officedocument.drawingml.chart+xml"/>
  <Override PartName="/word/charts/style7.xml" ContentType="application/vnd.ms-office.chartstyle+xml"/>
  <Override PartName="/word/charts/colors7.xml" ContentType="application/vnd.ms-office.chartcolorstyle+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CC52F1" w14:textId="001A6744" w:rsidR="003E0B70" w:rsidRPr="00B11937" w:rsidRDefault="00FF6546" w:rsidP="00B11937">
      <w:bookmarkStart w:id="0" w:name="_Hlk179453749"/>
      <w:bookmarkStart w:id="1" w:name="_Toc118443202"/>
      <w:bookmarkStart w:id="2" w:name="_Toc119418020"/>
      <w:r>
        <w:rPr>
          <w:noProof/>
        </w:rPr>
        <w:drawing>
          <wp:anchor distT="0" distB="0" distL="114300" distR="114300" simplePos="0" relativeHeight="251657215" behindDoc="0" locked="0" layoutInCell="1" allowOverlap="1" wp14:anchorId="46BB426E" wp14:editId="27E8DCC5">
            <wp:simplePos x="0" y="0"/>
            <wp:positionH relativeFrom="page">
              <wp:align>left</wp:align>
            </wp:positionH>
            <wp:positionV relativeFrom="paragraph">
              <wp:posOffset>-809625</wp:posOffset>
            </wp:positionV>
            <wp:extent cx="7559675" cy="1624234"/>
            <wp:effectExtent l="0" t="0" r="3175" b="0"/>
            <wp:wrapNone/>
            <wp:docPr id="1891891851" name="Graphic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9284876" name="Graphic 3">
                      <a:extLst>
                        <a:ext uri="{C183D7F6-B498-43B3-948B-1728B52AA6E4}">
                          <adec:decorative xmlns:adec="http://schemas.microsoft.com/office/drawing/2017/decorative" val="1"/>
                        </a:ext>
                      </a:extLst>
                    </pic:cNvPr>
                    <pic:cNvPicPr/>
                  </pic:nvPicPr>
                  <pic:blipFill>
                    <a:blip r:embed="rId8">
                      <a:extLst>
                        <a:ext uri="{28A0092B-C50C-407E-A947-70E740481C1C}">
                          <a14:useLocalDpi xmlns:a14="http://schemas.microsoft.com/office/drawing/2010/main" val="0"/>
                        </a:ext>
                        <a:ext uri="{96DAC541-7B7A-43D3-8B79-37D633B846F1}">
                          <asvg:svgBlip xmlns:asvg="http://schemas.microsoft.com/office/drawing/2016/SVG/main" r:embed="rId9"/>
                        </a:ext>
                      </a:extLst>
                    </a:blip>
                    <a:stretch>
                      <a:fillRect/>
                    </a:stretch>
                  </pic:blipFill>
                  <pic:spPr>
                    <a:xfrm>
                      <a:off x="0" y="0"/>
                      <a:ext cx="7559675" cy="1624234"/>
                    </a:xfrm>
                    <a:prstGeom prst="rect">
                      <a:avLst/>
                    </a:prstGeom>
                  </pic:spPr>
                </pic:pic>
              </a:graphicData>
            </a:graphic>
            <wp14:sizeRelH relativeFrom="page">
              <wp14:pctWidth>0</wp14:pctWidth>
            </wp14:sizeRelH>
            <wp14:sizeRelV relativeFrom="page">
              <wp14:pctHeight>0</wp14:pctHeight>
            </wp14:sizeRelV>
          </wp:anchor>
        </w:drawing>
      </w:r>
    </w:p>
    <w:p w14:paraId="11FE5BC8" w14:textId="77777777" w:rsidR="008029EE" w:rsidRDefault="008029EE" w:rsidP="00FF6546">
      <w:pPr>
        <w:pStyle w:val="Heading1"/>
      </w:pPr>
    </w:p>
    <w:p w14:paraId="2602AF56" w14:textId="43DD0B11" w:rsidR="00FF6546" w:rsidRDefault="00B91589" w:rsidP="00FF6546">
      <w:pPr>
        <w:pStyle w:val="Heading1"/>
      </w:pPr>
      <w:sdt>
        <w:sdtPr>
          <w:alias w:val="Title"/>
          <w:tag w:val=""/>
          <w:id w:val="1539707718"/>
          <w:placeholder>
            <w:docPart w:val="40A7780B7E214FA6B2253BE804C934D8"/>
          </w:placeholder>
          <w:dataBinding w:prefixMappings="xmlns:ns0='http://purl.org/dc/elements/1.1/' xmlns:ns1='http://schemas.openxmlformats.org/package/2006/metadata/core-properties' " w:xpath="/ns1:coreProperties[1]/ns0:title[1]" w:storeItemID="{6C3C8BC8-F283-45AE-878A-BAB7291924A1}"/>
          <w:text/>
        </w:sdtPr>
        <w:sdtEndPr/>
        <w:sdtContent>
          <w:r w:rsidR="00FF6546">
            <w:t>Australian Labour Market for Migrants</w:t>
          </w:r>
        </w:sdtContent>
      </w:sdt>
    </w:p>
    <w:p w14:paraId="2B4B8634" w14:textId="33DC5056" w:rsidR="00394894" w:rsidRPr="00804A37" w:rsidRDefault="00394894" w:rsidP="0017535B">
      <w:pPr>
        <w:spacing w:before="240"/>
      </w:pPr>
      <w:r w:rsidRPr="00804A37">
        <w:t>The Australian Labour Market for Migrants publication provides information on the Australian labour market. It is intended to inform recent migrants to Australia, people interested in working in Australia on a temporary or permanent basis, and organisations providing services to migrants and potential visa applicants.</w:t>
      </w:r>
    </w:p>
    <w:p w14:paraId="0B68313E" w14:textId="374CE235" w:rsidR="00394894" w:rsidRPr="00A10533" w:rsidRDefault="00BD5713" w:rsidP="00394894">
      <w:r w:rsidRPr="00146E8E">
        <w:t>The Australian labour market continues to perform well</w:t>
      </w:r>
      <w:r w:rsidR="00146E8E" w:rsidRPr="00146E8E">
        <w:t xml:space="preserve">, although </w:t>
      </w:r>
      <w:r w:rsidR="0060772E">
        <w:t xml:space="preserve">there are ongoing signs of an easing </w:t>
      </w:r>
      <w:r w:rsidR="00146E8E" w:rsidRPr="00146E8E">
        <w:t xml:space="preserve">in labour market </w:t>
      </w:r>
      <w:r w:rsidR="00FF4658" w:rsidRPr="00146E8E">
        <w:t>conditions. See</w:t>
      </w:r>
      <w:r w:rsidR="00394894" w:rsidRPr="00146E8E">
        <w:t xml:space="preserve"> the </w:t>
      </w:r>
      <w:hyperlink r:id="rId10" w:history="1">
        <w:r w:rsidR="00394894" w:rsidRPr="00146E8E">
          <w:rPr>
            <w:rStyle w:val="Hyperlink"/>
          </w:rPr>
          <w:t>Jobs and Skills Australia</w:t>
        </w:r>
      </w:hyperlink>
      <w:r w:rsidR="00394894" w:rsidRPr="00146E8E">
        <w:t xml:space="preserve"> website for recent labour market data and analysis.</w:t>
      </w:r>
      <w:r w:rsidR="00A10533">
        <w:t xml:space="preserve"> </w:t>
      </w:r>
      <w:r w:rsidR="00A10533" w:rsidRPr="00406B2E">
        <w:t>Appendix A</w:t>
      </w:r>
      <w:r w:rsidR="00A10533">
        <w:t xml:space="preserve"> provides some </w:t>
      </w:r>
      <w:r w:rsidR="00406B2E">
        <w:t xml:space="preserve">additional </w:t>
      </w:r>
      <w:r w:rsidR="00A10533">
        <w:t>economic and labour market data for each state and territory.</w:t>
      </w:r>
    </w:p>
    <w:p w14:paraId="3735BB6A" w14:textId="5759FBA9" w:rsidR="00394894" w:rsidRPr="00804A37" w:rsidRDefault="00394894" w:rsidP="00394894">
      <w:pPr>
        <w:rPr>
          <w:bCs/>
          <w:iCs/>
        </w:rPr>
      </w:pPr>
      <w:r w:rsidRPr="00804A37">
        <w:t xml:space="preserve">Unless otherwise stated, data in this publication are from the Australian Bureau of Statistics (ABS) Labour Force Survey, </w:t>
      </w:r>
      <w:r w:rsidR="00091995" w:rsidRPr="00081C73">
        <w:t>February 2025</w:t>
      </w:r>
      <w:r w:rsidRPr="00081C73">
        <w:rPr>
          <w:rStyle w:val="StrongandEmphasis"/>
          <w:b w:val="0"/>
          <w:bCs/>
          <w:i w:val="0"/>
          <w:iCs/>
        </w:rPr>
        <w:t>.</w:t>
      </w:r>
      <w:r w:rsidRPr="00081C73">
        <w:rPr>
          <w:rStyle w:val="FootnoteReference"/>
        </w:rPr>
        <w:footnoteReference w:id="2"/>
      </w:r>
      <w:r w:rsidR="00621048" w:rsidRPr="00621048">
        <w:rPr>
          <w:rStyle w:val="StrongandEmphasis"/>
          <w:b w:val="0"/>
          <w:bCs/>
          <w:i w:val="0"/>
          <w:iCs/>
          <w:vertAlign w:val="superscript"/>
        </w:rPr>
        <w:t>,</w:t>
      </w:r>
      <w:r w:rsidR="00621048">
        <w:rPr>
          <w:rStyle w:val="FootnoteReference"/>
          <w:bCs/>
          <w:iCs/>
        </w:rPr>
        <w:footnoteReference w:id="3"/>
      </w:r>
    </w:p>
    <w:p w14:paraId="079157B2" w14:textId="250423F5" w:rsidR="001677D2" w:rsidRPr="001677D2" w:rsidRDefault="00A47CAC" w:rsidP="00A149A2">
      <w:pPr>
        <w:pStyle w:val="Heading2"/>
      </w:pPr>
      <w:r w:rsidRPr="000D47CA">
        <w:t>Employment</w:t>
      </w:r>
    </w:p>
    <w:p w14:paraId="25B0D709" w14:textId="215E2185" w:rsidR="001677D2" w:rsidRPr="000D47CA" w:rsidRDefault="001677D2" w:rsidP="001677D2">
      <w:pPr>
        <w:pStyle w:val="Caption"/>
        <w:keepNext w:val="0"/>
        <w:spacing w:before="0" w:after="100" w:line="264" w:lineRule="auto"/>
        <w:rPr>
          <w:b w:val="0"/>
          <w:color w:val="000000" w:themeColor="text1"/>
          <w:sz w:val="22"/>
          <w:szCs w:val="22"/>
        </w:rPr>
      </w:pPr>
      <w:r w:rsidRPr="00804A37">
        <w:rPr>
          <w:b w:val="0"/>
          <w:color w:val="000000" w:themeColor="text1"/>
          <w:sz w:val="22"/>
          <w:szCs w:val="22"/>
        </w:rPr>
        <w:t>Over the 12 months t</w:t>
      </w:r>
      <w:r w:rsidRPr="00081C73">
        <w:rPr>
          <w:b w:val="0"/>
          <w:color w:val="000000" w:themeColor="text1"/>
          <w:sz w:val="22"/>
          <w:szCs w:val="22"/>
        </w:rPr>
        <w:t xml:space="preserve">o </w:t>
      </w:r>
      <w:r w:rsidR="00091995" w:rsidRPr="00081C73">
        <w:rPr>
          <w:b w:val="0"/>
          <w:sz w:val="22"/>
          <w:szCs w:val="22"/>
        </w:rPr>
        <w:t>February 2025</w:t>
      </w:r>
      <w:r w:rsidRPr="00081C73">
        <w:rPr>
          <w:b w:val="0"/>
          <w:color w:val="000000" w:themeColor="text1"/>
          <w:sz w:val="22"/>
          <w:szCs w:val="22"/>
        </w:rPr>
        <w:t>,</w:t>
      </w:r>
      <w:r w:rsidRPr="00804A37">
        <w:rPr>
          <w:b w:val="0"/>
          <w:color w:val="000000" w:themeColor="text1"/>
          <w:sz w:val="22"/>
          <w:szCs w:val="22"/>
        </w:rPr>
        <w:t xml:space="preserve"> employment opportunities and growth varied </w:t>
      </w:r>
      <w:r w:rsidR="00DD3D41">
        <w:rPr>
          <w:b w:val="0"/>
          <w:color w:val="000000" w:themeColor="text1"/>
          <w:sz w:val="22"/>
          <w:szCs w:val="22"/>
        </w:rPr>
        <w:t xml:space="preserve">widely </w:t>
      </w:r>
      <w:r w:rsidRPr="000D47CA">
        <w:rPr>
          <w:b w:val="0"/>
          <w:color w:val="000000" w:themeColor="text1"/>
          <w:sz w:val="22"/>
          <w:szCs w:val="22"/>
        </w:rPr>
        <w:t>across industries.</w:t>
      </w:r>
    </w:p>
    <w:p w14:paraId="0A1AA28D" w14:textId="54E5186C" w:rsidR="00A149A2" w:rsidRPr="00406B2E" w:rsidRDefault="001677D2">
      <w:pPr>
        <w:spacing w:after="160" w:line="259" w:lineRule="auto"/>
      </w:pPr>
      <w:r w:rsidRPr="000D47CA">
        <w:t xml:space="preserve">Figure 1 shows the </w:t>
      </w:r>
      <w:r w:rsidRPr="00406B2E">
        <w:t xml:space="preserve">largest increases in trend employment occurred in Health Care and Social Assistance (up by </w:t>
      </w:r>
      <w:r w:rsidR="0080374F" w:rsidRPr="00406B2E">
        <w:t>7</w:t>
      </w:r>
      <w:r w:rsidR="000D47CA" w:rsidRPr="00406B2E">
        <w:t>3</w:t>
      </w:r>
      <w:r w:rsidR="0080374F" w:rsidRPr="00406B2E">
        <w:t>,</w:t>
      </w:r>
      <w:r w:rsidR="000D47CA" w:rsidRPr="00406B2E">
        <w:t>8</w:t>
      </w:r>
      <w:r w:rsidR="0080374F" w:rsidRPr="00406B2E">
        <w:t>00</w:t>
      </w:r>
      <w:r w:rsidRPr="00406B2E">
        <w:t xml:space="preserve">), </w:t>
      </w:r>
      <w:r w:rsidR="0080374F" w:rsidRPr="00406B2E">
        <w:t xml:space="preserve">Education and Training </w:t>
      </w:r>
      <w:r w:rsidRPr="00406B2E">
        <w:t xml:space="preserve">(up by </w:t>
      </w:r>
      <w:r w:rsidR="0080374F" w:rsidRPr="00406B2E">
        <w:t>5</w:t>
      </w:r>
      <w:r w:rsidR="000D47CA" w:rsidRPr="00406B2E">
        <w:t>0,5</w:t>
      </w:r>
      <w:r w:rsidR="0080374F" w:rsidRPr="00406B2E">
        <w:t>00</w:t>
      </w:r>
      <w:r w:rsidRPr="00406B2E">
        <w:t xml:space="preserve">) and </w:t>
      </w:r>
      <w:r w:rsidR="000D47CA" w:rsidRPr="00406B2E">
        <w:t>Construction</w:t>
      </w:r>
      <w:r w:rsidRPr="00406B2E">
        <w:t xml:space="preserve"> (up by </w:t>
      </w:r>
      <w:r w:rsidR="0080374F" w:rsidRPr="00406B2E">
        <w:t>4</w:t>
      </w:r>
      <w:r w:rsidR="000D47CA" w:rsidRPr="00406B2E">
        <w:t>7</w:t>
      </w:r>
      <w:r w:rsidR="0080374F" w:rsidRPr="00406B2E">
        <w:t>,</w:t>
      </w:r>
      <w:r w:rsidR="000D47CA" w:rsidRPr="00406B2E">
        <w:t>5</w:t>
      </w:r>
      <w:r w:rsidR="0080374F" w:rsidRPr="00406B2E">
        <w:t>00</w:t>
      </w:r>
      <w:r w:rsidRPr="00406B2E">
        <w:t>). The largest decreases in employment occurred in</w:t>
      </w:r>
      <w:r w:rsidR="00A149A2" w:rsidRPr="00406B2E">
        <w:t xml:space="preserve"> </w:t>
      </w:r>
      <w:r w:rsidR="000D47CA" w:rsidRPr="00406B2E">
        <w:t xml:space="preserve">Professional, Scientific and Technical Services (down by 26,300), </w:t>
      </w:r>
      <w:r w:rsidR="0080374F" w:rsidRPr="00406B2E">
        <w:t>Manufacturing</w:t>
      </w:r>
      <w:r w:rsidR="00DD3D41" w:rsidRPr="00406B2E">
        <w:t xml:space="preserve"> (down by </w:t>
      </w:r>
      <w:r w:rsidR="000D47CA" w:rsidRPr="00406B2E">
        <w:t>20,500</w:t>
      </w:r>
      <w:r w:rsidR="00DD3D41" w:rsidRPr="00406B2E">
        <w:t xml:space="preserve">) </w:t>
      </w:r>
      <w:r w:rsidR="000D47CA" w:rsidRPr="00406B2E">
        <w:t>and Agriculture, Forestry and Fishing (down by 5,700).</w:t>
      </w:r>
    </w:p>
    <w:p w14:paraId="0B21381A" w14:textId="228D6C30" w:rsidR="00CB3582" w:rsidRPr="00406B2E" w:rsidRDefault="00A149A2">
      <w:pPr>
        <w:spacing w:after="160" w:line="259" w:lineRule="auto"/>
      </w:pPr>
      <w:r w:rsidRPr="00406B2E">
        <w:t xml:space="preserve">The strongest rates of employment growth were in Electricity, Gas, Water and Waste Services (up by </w:t>
      </w:r>
      <w:r w:rsidR="002F6A87" w:rsidRPr="00406B2E">
        <w:t>6.4</w:t>
      </w:r>
      <w:r w:rsidR="0080374F" w:rsidRPr="00406B2E">
        <w:t>%</w:t>
      </w:r>
      <w:r w:rsidRPr="00406B2E">
        <w:t xml:space="preserve">), </w:t>
      </w:r>
      <w:r w:rsidR="0080374F" w:rsidRPr="00406B2E">
        <w:t>Rental, Hiring and Real Estate Services</w:t>
      </w:r>
      <w:r w:rsidRPr="00406B2E">
        <w:t xml:space="preserve"> (up by </w:t>
      </w:r>
      <w:r w:rsidR="002F6A87" w:rsidRPr="00406B2E">
        <w:t>5.4</w:t>
      </w:r>
      <w:r w:rsidRPr="00406B2E">
        <w:t>%</w:t>
      </w:r>
      <w:r w:rsidR="008C604D" w:rsidRPr="00406B2E">
        <w:t>)</w:t>
      </w:r>
      <w:r w:rsidR="002F6A87" w:rsidRPr="00406B2E">
        <w:t xml:space="preserve"> and Education and </w:t>
      </w:r>
      <w:r w:rsidR="0080374F" w:rsidRPr="00406B2E">
        <w:t>Training</w:t>
      </w:r>
      <w:r w:rsidR="00966851" w:rsidRPr="00406B2E">
        <w:t xml:space="preserve"> </w:t>
      </w:r>
      <w:r w:rsidR="002F6A87" w:rsidRPr="00406B2E">
        <w:t>(up by 4.2%).</w:t>
      </w:r>
    </w:p>
    <w:p w14:paraId="10EC9FC5" w14:textId="77777777" w:rsidR="00A77C91" w:rsidRPr="00406B2E" w:rsidRDefault="00A77C91">
      <w:pPr>
        <w:spacing w:after="160" w:line="259" w:lineRule="auto"/>
        <w:rPr>
          <w:sz w:val="18"/>
          <w:szCs w:val="18"/>
        </w:rPr>
      </w:pPr>
      <w:r w:rsidRPr="00406B2E">
        <w:br w:type="page"/>
      </w:r>
    </w:p>
    <w:p w14:paraId="74032A95" w14:textId="267C3479" w:rsidR="00CB3582" w:rsidRPr="00564920" w:rsidRDefault="00A77C91" w:rsidP="00A77C91">
      <w:pPr>
        <w:pStyle w:val="Caption"/>
        <w:rPr>
          <w:sz w:val="20"/>
          <w:szCs w:val="20"/>
        </w:rPr>
      </w:pPr>
      <w:r w:rsidRPr="00564920">
        <w:rPr>
          <w:sz w:val="20"/>
          <w:szCs w:val="20"/>
        </w:rPr>
        <w:lastRenderedPageBreak/>
        <w:t xml:space="preserve">Figure </w:t>
      </w:r>
      <w:r w:rsidRPr="00564920">
        <w:rPr>
          <w:sz w:val="20"/>
          <w:szCs w:val="20"/>
        </w:rPr>
        <w:fldChar w:fldCharType="begin"/>
      </w:r>
      <w:r w:rsidRPr="00564920">
        <w:rPr>
          <w:sz w:val="20"/>
          <w:szCs w:val="20"/>
        </w:rPr>
        <w:instrText xml:space="preserve"> SEQ Figure \* ARABIC </w:instrText>
      </w:r>
      <w:r w:rsidRPr="00564920">
        <w:rPr>
          <w:sz w:val="20"/>
          <w:szCs w:val="20"/>
        </w:rPr>
        <w:fldChar w:fldCharType="separate"/>
      </w:r>
      <w:r w:rsidR="00C21FFA" w:rsidRPr="00564920">
        <w:rPr>
          <w:noProof/>
          <w:sz w:val="20"/>
          <w:szCs w:val="20"/>
        </w:rPr>
        <w:t>1</w:t>
      </w:r>
      <w:r w:rsidRPr="00564920">
        <w:rPr>
          <w:sz w:val="20"/>
          <w:szCs w:val="20"/>
        </w:rPr>
        <w:fldChar w:fldCharType="end"/>
      </w:r>
      <w:r w:rsidRPr="00564920">
        <w:rPr>
          <w:sz w:val="20"/>
          <w:szCs w:val="20"/>
        </w:rPr>
        <w:t>: Employment growth by industry (’000s persons)</w:t>
      </w:r>
      <w:bookmarkStart w:id="3" w:name="_Hlk194418287"/>
      <w:r w:rsidR="00AF1416" w:rsidRPr="00564920">
        <w:rPr>
          <w:sz w:val="20"/>
          <w:szCs w:val="20"/>
        </w:rPr>
        <w:t xml:space="preserve"> </w:t>
      </w:r>
      <w:r w:rsidR="0060772E">
        <w:rPr>
          <w:sz w:val="20"/>
          <w:szCs w:val="20"/>
        </w:rPr>
        <w:t>–</w:t>
      </w:r>
      <w:r w:rsidR="00AF1416" w:rsidRPr="00564920">
        <w:rPr>
          <w:sz w:val="20"/>
          <w:szCs w:val="20"/>
        </w:rPr>
        <w:t xml:space="preserve"> </w:t>
      </w:r>
      <w:r w:rsidR="004D1E1C" w:rsidRPr="00564920">
        <w:rPr>
          <w:sz w:val="20"/>
          <w:szCs w:val="20"/>
        </w:rPr>
        <w:t>February 2024</w:t>
      </w:r>
      <w:r w:rsidRPr="00564920">
        <w:rPr>
          <w:sz w:val="20"/>
          <w:szCs w:val="20"/>
        </w:rPr>
        <w:t xml:space="preserve"> to</w:t>
      </w:r>
      <w:r w:rsidR="004D1E1C" w:rsidRPr="00564920">
        <w:rPr>
          <w:sz w:val="20"/>
          <w:szCs w:val="20"/>
        </w:rPr>
        <w:t xml:space="preserve"> February 2025</w:t>
      </w:r>
      <w:bookmarkEnd w:id="3"/>
    </w:p>
    <w:p w14:paraId="3B653C78" w14:textId="0CEBFF8C" w:rsidR="004E295D" w:rsidRDefault="004E295D">
      <w:pPr>
        <w:spacing w:after="160" w:line="259" w:lineRule="auto"/>
        <w:rPr>
          <w:sz w:val="18"/>
          <w:szCs w:val="18"/>
        </w:rPr>
      </w:pPr>
      <w:r>
        <w:rPr>
          <w:noProof/>
        </w:rPr>
        <w:drawing>
          <wp:inline distT="0" distB="0" distL="0" distR="0" wp14:anchorId="54B74BA4" wp14:editId="74421B60">
            <wp:extent cx="5556250" cy="3810635"/>
            <wp:effectExtent l="0" t="0" r="6350" b="0"/>
            <wp:docPr id="1657021622" name="Chart 1" descr="Figure 1: Trend unemployment rates by State/Territory at February 2025. Industry of Employment.     &#10;Health Care and Social Assistance increased 73800.     &#10;Education and Training increased 50500.     &#10;Construction increased 47500.     &#10;Accommodation and Food Services increased 34500.     &#10;Public Administration and Safety increased 32800.     &#10;Other Services increased 17700.     &#10;Retail Trade increased 13600.     &#10;Rental, Hiring and Real Estate Services increased 12500.     &#10;Electricity, Gas, Water and Waste Services increased 11500.     &#10;Mining increased 10300.     &#10;Arts and Recreation Services increased 10000.     &#10;Financial and Insurance Services increased 5000.     &#10;Administrative and Support Services increased 2600.     &#10;Transport, Postal and Warehousing increased 1800.     &#10;Information Media and Telecommunications decreased 900.     &#10;Wholesale Trade decreased 4000.     &#10;Agriculture, Forestry and Fishing decreased 5700.     &#10;Manufacturing decreased 20500.     &#10;Professional, Scientific and Technical Services decreased 26300. ">
              <a:extLst xmlns:a="http://schemas.openxmlformats.org/drawingml/2006/main">
                <a:ext uri="{FF2B5EF4-FFF2-40B4-BE49-F238E27FC236}">
                  <a16:creationId xmlns:a16="http://schemas.microsoft.com/office/drawing/2014/main" id="{3649B8EB-C843-11BB-2098-D830291BC5A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0B66B1F4" w14:textId="4E736136" w:rsidR="00CB3582" w:rsidRPr="00DB4D8F" w:rsidRDefault="00A77C91">
      <w:pPr>
        <w:spacing w:after="160" w:line="259" w:lineRule="auto"/>
        <w:rPr>
          <w:sz w:val="18"/>
          <w:szCs w:val="18"/>
        </w:rPr>
      </w:pPr>
      <w:r w:rsidRPr="00DB4D8F">
        <w:rPr>
          <w:sz w:val="18"/>
          <w:szCs w:val="18"/>
        </w:rPr>
        <w:t xml:space="preserve">Source: </w:t>
      </w:r>
      <w:r w:rsidRPr="00DB4D8F">
        <w:rPr>
          <w:rFonts w:cs="Arial"/>
          <w:sz w:val="18"/>
          <w:szCs w:val="18"/>
        </w:rPr>
        <w:t>ABS</w:t>
      </w:r>
      <w:r w:rsidRPr="00DB4D8F">
        <w:rPr>
          <w:sz w:val="18"/>
          <w:szCs w:val="18"/>
        </w:rPr>
        <w:t xml:space="preserve">, </w:t>
      </w:r>
      <w:hyperlink r:id="rId12" w:history="1">
        <w:r w:rsidRPr="00DB4D8F">
          <w:rPr>
            <w:rStyle w:val="Hyperlink"/>
            <w:i/>
            <w:iCs/>
            <w:sz w:val="18"/>
            <w:szCs w:val="18"/>
          </w:rPr>
          <w:t>Labour Force, Australia, Detailed</w:t>
        </w:r>
      </w:hyperlink>
      <w:r w:rsidRPr="00DB4D8F">
        <w:rPr>
          <w:i/>
          <w:iCs/>
          <w:sz w:val="18"/>
          <w:szCs w:val="18"/>
        </w:rPr>
        <w:t>,</w:t>
      </w:r>
      <w:r w:rsidRPr="00DB4D8F">
        <w:rPr>
          <w:i/>
          <w:iCs/>
          <w:color w:val="FF0000"/>
          <w:sz w:val="18"/>
          <w:szCs w:val="18"/>
        </w:rPr>
        <w:t xml:space="preserve"> </w:t>
      </w:r>
      <w:r w:rsidR="004D1E1C" w:rsidRPr="00DB4D8F">
        <w:rPr>
          <w:sz w:val="18"/>
          <w:szCs w:val="18"/>
        </w:rPr>
        <w:t>February 2025</w:t>
      </w:r>
      <w:r w:rsidRPr="00DB4D8F">
        <w:rPr>
          <w:sz w:val="18"/>
          <w:szCs w:val="18"/>
        </w:rPr>
        <w:t xml:space="preserve"> (Table 04: Employed persons by Industry division of main job (ANZSIC)), released </w:t>
      </w:r>
      <w:r w:rsidR="000115FE" w:rsidRPr="00DB4D8F">
        <w:rPr>
          <w:sz w:val="18"/>
          <w:szCs w:val="18"/>
        </w:rPr>
        <w:t>27</w:t>
      </w:r>
      <w:r w:rsidR="004D1E1C" w:rsidRPr="00DB4D8F">
        <w:rPr>
          <w:sz w:val="18"/>
          <w:szCs w:val="18"/>
        </w:rPr>
        <w:t xml:space="preserve"> March 2025.</w:t>
      </w:r>
      <w:r w:rsidRPr="00DB4D8F">
        <w:rPr>
          <w:sz w:val="18"/>
          <w:szCs w:val="18"/>
        </w:rPr>
        <w:t xml:space="preserve"> Data trended by Jobs and Skills Australia</w:t>
      </w:r>
      <w:r w:rsidRPr="00DB4D8F">
        <w:rPr>
          <w:rFonts w:cs="Arial"/>
          <w:sz w:val="18"/>
          <w:szCs w:val="18"/>
        </w:rPr>
        <w:t>.</w:t>
      </w:r>
    </w:p>
    <w:p w14:paraId="7DC5905D" w14:textId="748882BA" w:rsidR="00CB3582" w:rsidRDefault="00CB3582" w:rsidP="00CB3582">
      <w:pPr>
        <w:pStyle w:val="Heading2"/>
      </w:pPr>
      <w:r w:rsidRPr="00937E90">
        <w:t>Occupation by state/territory</w:t>
      </w:r>
    </w:p>
    <w:p w14:paraId="304932F7" w14:textId="343AEA42" w:rsidR="00721FF9" w:rsidRDefault="006D4293" w:rsidP="0092610B">
      <w:pPr>
        <w:spacing w:before="100"/>
        <w:rPr>
          <w:rFonts w:cs="Arial"/>
        </w:rPr>
      </w:pPr>
      <w:r>
        <w:t xml:space="preserve">Figure 2 shows </w:t>
      </w:r>
      <w:r w:rsidRPr="00816CE5">
        <w:t xml:space="preserve">that in </w:t>
      </w:r>
      <w:bookmarkStart w:id="4" w:name="_Hlk194418251"/>
      <w:r w:rsidR="004D1E1C" w:rsidRPr="008E4471">
        <w:t>February 2025</w:t>
      </w:r>
      <w:r w:rsidRPr="008E4471">
        <w:t xml:space="preserve"> </w:t>
      </w:r>
      <w:bookmarkEnd w:id="4"/>
      <w:r w:rsidRPr="008E4471">
        <w:t>(trend data),</w:t>
      </w:r>
      <w:r w:rsidR="00DD23D1" w:rsidRPr="008E4471">
        <w:t xml:space="preserve"> the Australian Capital Territory (ACT) had the highest share (</w:t>
      </w:r>
      <w:r w:rsidR="0080374F" w:rsidRPr="008E4471">
        <w:t>61</w:t>
      </w:r>
      <w:r w:rsidR="00816CE5" w:rsidRPr="008E4471">
        <w:t>.</w:t>
      </w:r>
      <w:r w:rsidR="00A56C77" w:rsidRPr="008E4471">
        <w:t>6</w:t>
      </w:r>
      <w:r w:rsidR="0080374F" w:rsidRPr="008E4471">
        <w:t>%)</w:t>
      </w:r>
      <w:r w:rsidR="00DD23D1" w:rsidRPr="008E4471">
        <w:t xml:space="preserve"> of employment in the selected </w:t>
      </w:r>
      <w:r w:rsidR="005E0DC1" w:rsidRPr="008E4471">
        <w:t xml:space="preserve">occupation </w:t>
      </w:r>
      <w:r w:rsidR="003D342A" w:rsidRPr="008E4471">
        <w:t xml:space="preserve">major </w:t>
      </w:r>
      <w:r w:rsidR="00DD23D1" w:rsidRPr="008E4471">
        <w:t xml:space="preserve">groups </w:t>
      </w:r>
      <w:r w:rsidR="00DD23D1" w:rsidRPr="008E4471">
        <w:rPr>
          <w:rFonts w:cs="Arial"/>
        </w:rPr>
        <w:t xml:space="preserve">(i.e. Managers, Professionals, and Technicians and Trade Workers), followed by </w:t>
      </w:r>
      <w:r w:rsidR="0080374F" w:rsidRPr="008E4471">
        <w:rPr>
          <w:rFonts w:cs="Arial"/>
        </w:rPr>
        <w:t>Victoria</w:t>
      </w:r>
      <w:r w:rsidR="00DD23D1" w:rsidRPr="008E4471">
        <w:rPr>
          <w:rFonts w:cs="Arial"/>
        </w:rPr>
        <w:t xml:space="preserve"> (</w:t>
      </w:r>
      <w:r w:rsidR="0080374F" w:rsidRPr="008E4471">
        <w:rPr>
          <w:rFonts w:cs="Arial"/>
        </w:rPr>
        <w:t>5</w:t>
      </w:r>
      <w:r w:rsidR="00A56C77" w:rsidRPr="008E4471">
        <w:rPr>
          <w:rFonts w:cs="Arial"/>
        </w:rPr>
        <w:t>5</w:t>
      </w:r>
      <w:r w:rsidR="000115FE">
        <w:rPr>
          <w:rFonts w:cs="Arial"/>
        </w:rPr>
        <w:t>.0</w:t>
      </w:r>
      <w:r w:rsidR="0080374F" w:rsidRPr="008E4471">
        <w:rPr>
          <w:rFonts w:cs="Arial"/>
        </w:rPr>
        <w:t>%</w:t>
      </w:r>
      <w:r w:rsidR="00DD23D1" w:rsidRPr="008E4471">
        <w:rPr>
          <w:rFonts w:cs="Arial"/>
        </w:rPr>
        <w:t>) and New South Wales (NSW, 5</w:t>
      </w:r>
      <w:r w:rsidR="0080374F" w:rsidRPr="008E4471">
        <w:rPr>
          <w:rFonts w:cs="Arial"/>
        </w:rPr>
        <w:t>4</w:t>
      </w:r>
      <w:r w:rsidR="00816CE5" w:rsidRPr="008E4471">
        <w:t>.</w:t>
      </w:r>
      <w:r w:rsidR="00A56C77" w:rsidRPr="008E4471">
        <w:t>2</w:t>
      </w:r>
      <w:r w:rsidR="0080374F" w:rsidRPr="008E4471">
        <w:rPr>
          <w:rFonts w:cs="Arial"/>
        </w:rPr>
        <w:t>%</w:t>
      </w:r>
      <w:r w:rsidR="00DD23D1" w:rsidRPr="008E4471">
        <w:rPr>
          <w:rFonts w:cs="Arial"/>
        </w:rPr>
        <w:t>).</w:t>
      </w:r>
    </w:p>
    <w:p w14:paraId="7EDC0446" w14:textId="753696D5" w:rsidR="002A3617" w:rsidRDefault="00DD23D1" w:rsidP="00A77C91">
      <w:pPr>
        <w:rPr>
          <w:rFonts w:cs="Arial"/>
        </w:rPr>
      </w:pPr>
      <w:r>
        <w:rPr>
          <w:rFonts w:cs="Arial"/>
        </w:rPr>
        <w:t xml:space="preserve">In the 12 months </w:t>
      </w:r>
      <w:r w:rsidRPr="00816CE5">
        <w:rPr>
          <w:rFonts w:cs="Arial"/>
        </w:rPr>
        <w:t xml:space="preserve">to </w:t>
      </w:r>
      <w:r w:rsidR="004D1E1C">
        <w:t>February 2025</w:t>
      </w:r>
      <w:r w:rsidRPr="00816CE5">
        <w:rPr>
          <w:rFonts w:cs="Arial"/>
        </w:rPr>
        <w:t xml:space="preserve">, the share of workers employed in these selected occupation groups increased in </w:t>
      </w:r>
      <w:r w:rsidRPr="008E4471">
        <w:rPr>
          <w:rFonts w:cs="Arial"/>
        </w:rPr>
        <w:t xml:space="preserve">all states and </w:t>
      </w:r>
      <w:r w:rsidR="000D380C" w:rsidRPr="008E4471">
        <w:rPr>
          <w:rFonts w:cs="Arial"/>
        </w:rPr>
        <w:t xml:space="preserve">territories except for </w:t>
      </w:r>
      <w:r w:rsidR="002E4D89" w:rsidRPr="008E4471">
        <w:rPr>
          <w:rFonts w:cs="Arial"/>
        </w:rPr>
        <w:t>Northern Territory (NT</w:t>
      </w:r>
      <w:r w:rsidR="008E4471" w:rsidRPr="008E4471">
        <w:rPr>
          <w:rFonts w:cs="Arial"/>
        </w:rPr>
        <w:t xml:space="preserve">, down by 0.1pp) and Western Australia (WA) </w:t>
      </w:r>
      <w:r w:rsidR="002E4D89" w:rsidRPr="008E4471">
        <w:rPr>
          <w:rFonts w:cs="Arial"/>
        </w:rPr>
        <w:t>which remained the same</w:t>
      </w:r>
      <w:r w:rsidR="000D380C" w:rsidRPr="008E4471">
        <w:rPr>
          <w:rFonts w:cs="Arial"/>
        </w:rPr>
        <w:t>.</w:t>
      </w:r>
      <w:r w:rsidR="000D380C" w:rsidRPr="008E4471">
        <w:rPr>
          <w:rStyle w:val="FootnoteReference"/>
          <w:rFonts w:cs="Arial"/>
        </w:rPr>
        <w:footnoteReference w:id="4"/>
      </w:r>
      <w:r w:rsidR="000D380C" w:rsidRPr="008E4471">
        <w:rPr>
          <w:rFonts w:cs="Arial"/>
        </w:rPr>
        <w:t xml:space="preserve"> The largest increases </w:t>
      </w:r>
      <w:r w:rsidR="000D380C" w:rsidRPr="00937E90">
        <w:rPr>
          <w:rFonts w:cs="Arial"/>
        </w:rPr>
        <w:t xml:space="preserve">were in the ACT (up by </w:t>
      </w:r>
      <w:r w:rsidR="002E4D89" w:rsidRPr="00937E90">
        <w:rPr>
          <w:rFonts w:cs="Arial"/>
        </w:rPr>
        <w:t>0.</w:t>
      </w:r>
      <w:r w:rsidR="008E4471" w:rsidRPr="00937E90">
        <w:rPr>
          <w:rFonts w:cs="Arial"/>
        </w:rPr>
        <w:t>9</w:t>
      </w:r>
      <w:r w:rsidR="002E4D89" w:rsidRPr="00937E90">
        <w:rPr>
          <w:rFonts w:cs="Arial"/>
        </w:rPr>
        <w:t>pp</w:t>
      </w:r>
      <w:r w:rsidR="000D380C" w:rsidRPr="00937E90">
        <w:rPr>
          <w:rFonts w:cs="Arial"/>
        </w:rPr>
        <w:t>)</w:t>
      </w:r>
      <w:r w:rsidR="002E4D89" w:rsidRPr="00937E90">
        <w:rPr>
          <w:rFonts w:cs="Arial"/>
        </w:rPr>
        <w:t xml:space="preserve"> and </w:t>
      </w:r>
      <w:r w:rsidR="008E4471" w:rsidRPr="00937E90">
        <w:rPr>
          <w:rFonts w:cs="Arial"/>
        </w:rPr>
        <w:t>NSW</w:t>
      </w:r>
      <w:r w:rsidR="007147FC" w:rsidRPr="00937E90">
        <w:rPr>
          <w:rFonts w:cs="Arial"/>
        </w:rPr>
        <w:t xml:space="preserve"> (up by </w:t>
      </w:r>
      <w:r w:rsidR="002E4D89" w:rsidRPr="00937E90">
        <w:rPr>
          <w:rFonts w:cs="Arial"/>
        </w:rPr>
        <w:t>0.4pp</w:t>
      </w:r>
      <w:r w:rsidR="007147FC" w:rsidRPr="00937E90">
        <w:rPr>
          <w:rFonts w:cs="Arial"/>
        </w:rPr>
        <w:t>)</w:t>
      </w:r>
      <w:r w:rsidR="002E4D89" w:rsidRPr="00937E90">
        <w:rPr>
          <w:rFonts w:cs="Arial"/>
        </w:rPr>
        <w:t xml:space="preserve">. </w:t>
      </w:r>
      <w:r w:rsidR="007147FC" w:rsidRPr="00937E90">
        <w:rPr>
          <w:rFonts w:cs="Arial"/>
        </w:rPr>
        <w:t xml:space="preserve">Increases were also estimated for </w:t>
      </w:r>
      <w:r w:rsidR="00937E90" w:rsidRPr="00937E90">
        <w:rPr>
          <w:rFonts w:cs="Arial"/>
        </w:rPr>
        <w:t xml:space="preserve">South Australia (SA, up by 0.3pp), Tasmania (up by 0.2pp), and </w:t>
      </w:r>
      <w:r w:rsidR="00FA2088">
        <w:rPr>
          <w:rFonts w:cs="Arial"/>
        </w:rPr>
        <w:t>Victoria</w:t>
      </w:r>
      <w:r w:rsidR="000115FE">
        <w:rPr>
          <w:rFonts w:cs="Arial"/>
        </w:rPr>
        <w:t xml:space="preserve"> (u</w:t>
      </w:r>
      <w:r w:rsidR="00937E90" w:rsidRPr="00937E90">
        <w:rPr>
          <w:rFonts w:cs="Arial"/>
        </w:rPr>
        <w:t>p by 0.1pp).</w:t>
      </w:r>
    </w:p>
    <w:p w14:paraId="02267ADA" w14:textId="77777777" w:rsidR="00493287" w:rsidRDefault="00493287" w:rsidP="00A77C91"/>
    <w:p w14:paraId="2A240A64" w14:textId="77777777" w:rsidR="00DB4D8F" w:rsidRDefault="00DB4D8F" w:rsidP="00A77C91"/>
    <w:p w14:paraId="39520CF4" w14:textId="77777777" w:rsidR="00DB4D8F" w:rsidRDefault="00DB4D8F" w:rsidP="00A77C91"/>
    <w:p w14:paraId="5B74DE94" w14:textId="77777777" w:rsidR="00DB4D8F" w:rsidRDefault="00DB4D8F" w:rsidP="00A77C91"/>
    <w:p w14:paraId="6E66EB76" w14:textId="77777777" w:rsidR="00DB4D8F" w:rsidRDefault="00DB4D8F" w:rsidP="00A77C91"/>
    <w:p w14:paraId="7B5ABDB4" w14:textId="22B99370" w:rsidR="002A3617" w:rsidRPr="00564920" w:rsidRDefault="00A77C91" w:rsidP="00BF4483">
      <w:pPr>
        <w:pStyle w:val="Caption"/>
        <w:spacing w:after="120"/>
        <w:rPr>
          <w:sz w:val="20"/>
          <w:szCs w:val="20"/>
        </w:rPr>
      </w:pPr>
      <w:r w:rsidRPr="00564920">
        <w:rPr>
          <w:sz w:val="20"/>
          <w:szCs w:val="20"/>
        </w:rPr>
        <w:lastRenderedPageBreak/>
        <w:t xml:space="preserve">Figure </w:t>
      </w:r>
      <w:r w:rsidRPr="00564920">
        <w:rPr>
          <w:sz w:val="20"/>
          <w:szCs w:val="20"/>
        </w:rPr>
        <w:fldChar w:fldCharType="begin"/>
      </w:r>
      <w:r w:rsidRPr="00564920">
        <w:rPr>
          <w:sz w:val="20"/>
          <w:szCs w:val="20"/>
        </w:rPr>
        <w:instrText xml:space="preserve"> SEQ Figure \* ARABIC </w:instrText>
      </w:r>
      <w:r w:rsidRPr="00564920">
        <w:rPr>
          <w:sz w:val="20"/>
          <w:szCs w:val="20"/>
        </w:rPr>
        <w:fldChar w:fldCharType="separate"/>
      </w:r>
      <w:r w:rsidR="00C21FFA" w:rsidRPr="00564920">
        <w:rPr>
          <w:noProof/>
          <w:sz w:val="20"/>
          <w:szCs w:val="20"/>
        </w:rPr>
        <w:t>2</w:t>
      </w:r>
      <w:r w:rsidRPr="00564920">
        <w:rPr>
          <w:sz w:val="20"/>
          <w:szCs w:val="20"/>
        </w:rPr>
        <w:fldChar w:fldCharType="end"/>
      </w:r>
      <w:r w:rsidRPr="00564920">
        <w:rPr>
          <w:sz w:val="20"/>
          <w:szCs w:val="20"/>
        </w:rPr>
        <w:t>: Share of employment in selected occupation groups</w:t>
      </w:r>
      <w:r w:rsidR="00AE002F" w:rsidRPr="00564920">
        <w:rPr>
          <w:sz w:val="20"/>
          <w:szCs w:val="20"/>
          <w:vertAlign w:val="superscript"/>
        </w:rPr>
        <w:t>#</w:t>
      </w:r>
      <w:r w:rsidRPr="00564920">
        <w:rPr>
          <w:sz w:val="20"/>
          <w:szCs w:val="20"/>
        </w:rPr>
        <w:t xml:space="preserve"> by state/territory</w:t>
      </w:r>
      <w:r w:rsidR="00AF1416" w:rsidRPr="00564920">
        <w:rPr>
          <w:sz w:val="20"/>
          <w:szCs w:val="20"/>
        </w:rPr>
        <w:t xml:space="preserve"> </w:t>
      </w:r>
      <w:r w:rsidR="0060772E">
        <w:rPr>
          <w:sz w:val="20"/>
          <w:szCs w:val="20"/>
        </w:rPr>
        <w:t>–</w:t>
      </w:r>
      <w:r w:rsidR="00AF1416" w:rsidRPr="00564920">
        <w:rPr>
          <w:sz w:val="20"/>
          <w:szCs w:val="20"/>
        </w:rPr>
        <w:t xml:space="preserve"> </w:t>
      </w:r>
      <w:r w:rsidR="004D1E1C" w:rsidRPr="00564920">
        <w:rPr>
          <w:sz w:val="20"/>
          <w:szCs w:val="20"/>
        </w:rPr>
        <w:t>February 2024 to February 2025</w:t>
      </w:r>
    </w:p>
    <w:p w14:paraId="2CE93D90" w14:textId="5591C2D5" w:rsidR="00EB7C69" w:rsidRDefault="00EB7C69" w:rsidP="00A77C91">
      <w:pPr>
        <w:pStyle w:val="Source"/>
      </w:pPr>
      <w:r>
        <w:rPr>
          <w:noProof/>
        </w:rPr>
        <w:drawing>
          <wp:inline distT="0" distB="0" distL="0" distR="0" wp14:anchorId="53EC50AD" wp14:editId="1107DD4B">
            <wp:extent cx="5731510" cy="2612390"/>
            <wp:effectExtent l="0" t="0" r="2540" b="0"/>
            <wp:docPr id="325004805" name="Chart 1" descr="Figure 2: Share of Employment for Selected Occupation Groups by State/Territory, for February 2024 and February 2025 (Trend data). In Figure 2, Selected Occupation Groups are ANZSCO Major Groups 1 to 3 (that is, Managers; Professionals; and Technicians and Trades Workers).&#10;State/Territory.&#10;New South Wales: November 2023 - 53.9%; November 2024 - 54%.&#10;Victoria: November 2023 - 54.8%; November 2024 - 54.9%.&#10;Queensland: November 2023 - 50.1%; November 2024 - 50%.&#10;South Australia: November 2023 - 49.9%; November 2024 - 50.1%.&#10;Western Australia: November 2023 - 51.4%; November 2024 - 51.5%.&#10;Tasmania: November 2023 - 50%; November 2024 - 50.4%.&#10;Northern Territory: November 2023 - 50.3%; November 2024 - 50.3%.&#10;Australian Capital Territory: November 2023 - 60.3%; November 2024 - 61%.">
              <a:extLst xmlns:a="http://schemas.openxmlformats.org/drawingml/2006/main">
                <a:ext uri="{FF2B5EF4-FFF2-40B4-BE49-F238E27FC236}">
                  <a16:creationId xmlns:a16="http://schemas.microsoft.com/office/drawing/2014/main" id="{914D3FBD-F340-39A4-3114-D62F31CDB68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2FAE81FA" w14:textId="3D0CBE31" w:rsidR="00A77C91" w:rsidRPr="00804A37" w:rsidRDefault="00A77C91" w:rsidP="00406B2E">
      <w:pPr>
        <w:pStyle w:val="Source"/>
        <w:spacing w:after="80"/>
      </w:pPr>
      <w:r w:rsidRPr="00804A37">
        <w:t># Selected occupation groups include ANZSCO Major Groups 1 to 3 (i.e. Managers, Professionals, Technicians and Trades Workers).</w:t>
      </w:r>
    </w:p>
    <w:p w14:paraId="31C6B8DB" w14:textId="5CFB27C6" w:rsidR="00A77C91" w:rsidRPr="00816CE5" w:rsidRDefault="00A77C91" w:rsidP="00A77C91">
      <w:pPr>
        <w:pStyle w:val="Source"/>
      </w:pPr>
      <w:r w:rsidRPr="00804A37">
        <w:t xml:space="preserve">Source: ABS, </w:t>
      </w:r>
      <w:hyperlink r:id="rId14" w:history="1">
        <w:r w:rsidRPr="00804A37">
          <w:rPr>
            <w:rStyle w:val="Hyperlink"/>
            <w:i/>
            <w:iCs/>
          </w:rPr>
          <w:t>Labour Force, Australia, Detailed</w:t>
        </w:r>
      </w:hyperlink>
      <w:r w:rsidRPr="00804A37">
        <w:rPr>
          <w:i/>
          <w:iCs/>
        </w:rPr>
        <w:t xml:space="preserve"> </w:t>
      </w:r>
      <w:r w:rsidRPr="00804A37">
        <w:t>(Table EQ08: Employed persons by Occupation unit group of main job (ANZSCO, Sex, State and Territory</w:t>
      </w:r>
      <w:r w:rsidRPr="00816CE5">
        <w:t xml:space="preserve">), </w:t>
      </w:r>
      <w:r w:rsidR="004D1E1C">
        <w:t>February 2025</w:t>
      </w:r>
      <w:r w:rsidRPr="00816CE5">
        <w:t xml:space="preserve">, released </w:t>
      </w:r>
      <w:r w:rsidR="00367F62">
        <w:t>27 March</w:t>
      </w:r>
      <w:r w:rsidR="004D1E1C">
        <w:t xml:space="preserve"> 2025</w:t>
      </w:r>
      <w:r w:rsidRPr="00816CE5">
        <w:t>. Data trended by Jobs and Skills Australia.</w:t>
      </w:r>
    </w:p>
    <w:p w14:paraId="433B2965" w14:textId="23613A5A" w:rsidR="002A3617" w:rsidRDefault="002A3617" w:rsidP="002A3617">
      <w:pPr>
        <w:pStyle w:val="Heading2"/>
      </w:pPr>
      <w:r w:rsidRPr="00937E90">
        <w:t>Unemployment</w:t>
      </w:r>
    </w:p>
    <w:p w14:paraId="4F2A263B" w14:textId="611F6C4E" w:rsidR="002A3617" w:rsidRPr="00FF4658" w:rsidRDefault="002A3617">
      <w:pPr>
        <w:spacing w:after="160" w:line="259" w:lineRule="auto"/>
      </w:pPr>
      <w:r>
        <w:t xml:space="preserve">The trend </w:t>
      </w:r>
      <w:r w:rsidRPr="008E2BA1">
        <w:t xml:space="preserve">unemployment rate in Australia was </w:t>
      </w:r>
      <w:r w:rsidR="00A72174" w:rsidRPr="008E2BA1">
        <w:t>4.0%</w:t>
      </w:r>
      <w:r w:rsidRPr="008E2BA1">
        <w:t xml:space="preserve"> in </w:t>
      </w:r>
      <w:r w:rsidR="00F403AB">
        <w:t>February 2025</w:t>
      </w:r>
      <w:r w:rsidRPr="008E2BA1">
        <w:t xml:space="preserve">, up from </w:t>
      </w:r>
      <w:r w:rsidR="00A72174" w:rsidRPr="008E2BA1">
        <w:t>3.9%</w:t>
      </w:r>
      <w:r w:rsidRPr="008E2BA1">
        <w:t xml:space="preserve"> in </w:t>
      </w:r>
      <w:r w:rsidR="00F403AB">
        <w:t>February</w:t>
      </w:r>
      <w:r w:rsidR="00A72174" w:rsidRPr="008E2BA1">
        <w:t xml:space="preserve"> 202</w:t>
      </w:r>
      <w:r w:rsidR="00F403AB">
        <w:t>4</w:t>
      </w:r>
      <w:r w:rsidRPr="008E2BA1">
        <w:t>.</w:t>
      </w:r>
    </w:p>
    <w:p w14:paraId="202194B5" w14:textId="01B6F40B" w:rsidR="0081027D" w:rsidRDefault="002A3617">
      <w:pPr>
        <w:spacing w:after="160" w:line="259" w:lineRule="auto"/>
      </w:pPr>
      <w:r w:rsidRPr="008E2BA1">
        <w:t xml:space="preserve">Over the 12 months to </w:t>
      </w:r>
      <w:r w:rsidR="00F403AB">
        <w:t>February 2025</w:t>
      </w:r>
      <w:r w:rsidRPr="00816CE5">
        <w:t xml:space="preserve">, the </w:t>
      </w:r>
      <w:r w:rsidR="00AD298F" w:rsidRPr="00816CE5">
        <w:t>unemployment rate decreased in</w:t>
      </w:r>
      <w:r w:rsidR="00367F62" w:rsidRPr="00367F62">
        <w:t xml:space="preserve"> </w:t>
      </w:r>
      <w:r w:rsidR="00367F62">
        <w:t xml:space="preserve">the </w:t>
      </w:r>
      <w:r w:rsidR="00367F62" w:rsidRPr="00816CE5">
        <w:t>ACT (</w:t>
      </w:r>
      <w:r w:rsidR="00367F62">
        <w:t>4.0</w:t>
      </w:r>
      <w:r w:rsidR="00367F62" w:rsidRPr="00816CE5">
        <w:t>% to 3</w:t>
      </w:r>
      <w:r w:rsidR="00367F62">
        <w:t>.0</w:t>
      </w:r>
      <w:r w:rsidR="00367F62" w:rsidRPr="00816CE5">
        <w:t>%)</w:t>
      </w:r>
      <w:r w:rsidR="00367F62">
        <w:t>,</w:t>
      </w:r>
      <w:r w:rsidR="00AD298F" w:rsidRPr="00816CE5">
        <w:t xml:space="preserve"> </w:t>
      </w:r>
      <w:r w:rsidR="00367F62" w:rsidRPr="00816CE5">
        <w:t>WA (3.8% to 3.</w:t>
      </w:r>
      <w:r w:rsidR="00367F62">
        <w:t>5</w:t>
      </w:r>
      <w:r w:rsidR="00367F62" w:rsidRPr="00816CE5">
        <w:t xml:space="preserve">%), </w:t>
      </w:r>
      <w:r w:rsidR="00A72174" w:rsidRPr="00816CE5">
        <w:t>Queensland (4.</w:t>
      </w:r>
      <w:r w:rsidR="00F403AB">
        <w:t>1</w:t>
      </w:r>
      <w:r w:rsidR="00A72174" w:rsidRPr="00816CE5">
        <w:t>% to 3.9%),</w:t>
      </w:r>
      <w:r w:rsidR="00367F62">
        <w:t xml:space="preserve"> and</w:t>
      </w:r>
      <w:r w:rsidR="00A72174" w:rsidRPr="00816CE5">
        <w:t xml:space="preserve"> </w:t>
      </w:r>
      <w:r w:rsidR="00FA2088" w:rsidRPr="001315F5">
        <w:t xml:space="preserve">Tasmania </w:t>
      </w:r>
      <w:r w:rsidR="00F403AB">
        <w:t>(4.1% to 4</w:t>
      </w:r>
      <w:r w:rsidR="00367F62">
        <w:t>.0</w:t>
      </w:r>
      <w:r w:rsidR="00F403AB">
        <w:t>%)</w:t>
      </w:r>
      <w:r w:rsidR="00A72174" w:rsidRPr="00816CE5">
        <w:t xml:space="preserve">; </w:t>
      </w:r>
      <w:r w:rsidR="00AD298F" w:rsidRPr="00816CE5">
        <w:t xml:space="preserve">while remaining at </w:t>
      </w:r>
      <w:r w:rsidR="00A72174" w:rsidRPr="00816CE5">
        <w:t>4.</w:t>
      </w:r>
      <w:r w:rsidR="00F403AB">
        <w:t>3</w:t>
      </w:r>
      <w:r w:rsidR="00A72174" w:rsidRPr="00816CE5">
        <w:t>%</w:t>
      </w:r>
      <w:r w:rsidR="00AD298F" w:rsidRPr="00816CE5">
        <w:t xml:space="preserve"> in </w:t>
      </w:r>
      <w:r w:rsidR="00F403AB" w:rsidRPr="00816CE5">
        <w:t>NT</w:t>
      </w:r>
      <w:r w:rsidR="00F403AB">
        <w:t xml:space="preserve"> and 4</w:t>
      </w:r>
      <w:r w:rsidR="00367F62">
        <w:t>.0</w:t>
      </w:r>
      <w:r w:rsidR="00F403AB">
        <w:t>% in SA</w:t>
      </w:r>
      <w:r w:rsidR="00AD298F" w:rsidRPr="00816CE5">
        <w:t>. The unemployment rate rose in</w:t>
      </w:r>
      <w:r w:rsidR="00A72174" w:rsidRPr="00816CE5">
        <w:t xml:space="preserve"> </w:t>
      </w:r>
      <w:r w:rsidR="00367F62" w:rsidRPr="00816CE5">
        <w:t>Victoria (</w:t>
      </w:r>
      <w:r w:rsidR="00367F62">
        <w:t>4.0</w:t>
      </w:r>
      <w:r w:rsidR="00367F62" w:rsidRPr="00816CE5">
        <w:t>% to 4.</w:t>
      </w:r>
      <w:r w:rsidR="00367F62">
        <w:t>6</w:t>
      </w:r>
      <w:r w:rsidR="00367F62" w:rsidRPr="00816CE5">
        <w:t>%)</w:t>
      </w:r>
      <w:r w:rsidR="00367F62">
        <w:t xml:space="preserve"> and </w:t>
      </w:r>
      <w:r w:rsidR="002E4D89" w:rsidRPr="00816CE5">
        <w:t>NSW</w:t>
      </w:r>
      <w:r w:rsidR="00A72174" w:rsidRPr="00816CE5">
        <w:t xml:space="preserve"> (3.</w:t>
      </w:r>
      <w:r w:rsidR="00F403AB">
        <w:t>8</w:t>
      </w:r>
      <w:r w:rsidR="00A72174" w:rsidRPr="00816CE5">
        <w:t xml:space="preserve">% to </w:t>
      </w:r>
      <w:r w:rsidR="00570444">
        <w:t>4</w:t>
      </w:r>
      <w:r w:rsidR="00367F62">
        <w:t>.0</w:t>
      </w:r>
      <w:r w:rsidR="00A72174" w:rsidRPr="00816CE5">
        <w:t>%)</w:t>
      </w:r>
      <w:r w:rsidR="00367F62">
        <w:t>.</w:t>
      </w:r>
    </w:p>
    <w:p w14:paraId="59468B51" w14:textId="5AB81B13" w:rsidR="0081027D" w:rsidRDefault="0081027D">
      <w:pPr>
        <w:spacing w:after="160" w:line="259" w:lineRule="auto"/>
      </w:pPr>
      <w:r>
        <w:t xml:space="preserve">Figure 3 shows </w:t>
      </w:r>
      <w:r w:rsidRPr="00816CE5">
        <w:t xml:space="preserve">that </w:t>
      </w:r>
      <w:r w:rsidR="00785FB9">
        <w:t xml:space="preserve">the </w:t>
      </w:r>
      <w:r w:rsidR="00A72174" w:rsidRPr="00816CE5">
        <w:t>ACT</w:t>
      </w:r>
      <w:r w:rsidRPr="00816CE5">
        <w:t xml:space="preserve"> recorded the lowest unemployment rate at 3</w:t>
      </w:r>
      <w:r w:rsidR="00367F62">
        <w:t>.0</w:t>
      </w:r>
      <w:r w:rsidRPr="00816CE5">
        <w:t>%</w:t>
      </w:r>
      <w:r w:rsidR="00966851" w:rsidRPr="00816CE5">
        <w:t xml:space="preserve">, while </w:t>
      </w:r>
      <w:r w:rsidR="00FA2088">
        <w:rPr>
          <w:rFonts w:cs="Arial"/>
        </w:rPr>
        <w:t xml:space="preserve">Victoria </w:t>
      </w:r>
      <w:r w:rsidR="00F403AB">
        <w:t>recorded</w:t>
      </w:r>
      <w:r w:rsidR="00A72174" w:rsidRPr="00816CE5">
        <w:t xml:space="preserve"> </w:t>
      </w:r>
      <w:r w:rsidRPr="00816CE5">
        <w:t xml:space="preserve">the highest </w:t>
      </w:r>
      <w:r w:rsidR="00966851" w:rsidRPr="00816CE5">
        <w:t xml:space="preserve">rate </w:t>
      </w:r>
      <w:r w:rsidRPr="00816CE5">
        <w:t>at 4.</w:t>
      </w:r>
      <w:r w:rsidR="00F403AB">
        <w:t>6</w:t>
      </w:r>
      <w:r w:rsidRPr="00816CE5">
        <w:t>%.</w:t>
      </w:r>
    </w:p>
    <w:p w14:paraId="1E22C1BB" w14:textId="3CD43A87" w:rsidR="0081027D" w:rsidRPr="00564920" w:rsidRDefault="009E2B08" w:rsidP="009E2B08">
      <w:pPr>
        <w:pStyle w:val="Caption"/>
        <w:rPr>
          <w:sz w:val="20"/>
          <w:szCs w:val="20"/>
        </w:rPr>
      </w:pPr>
      <w:r w:rsidRPr="00564920">
        <w:rPr>
          <w:sz w:val="20"/>
          <w:szCs w:val="20"/>
        </w:rPr>
        <w:t xml:space="preserve">Figure </w:t>
      </w:r>
      <w:r w:rsidRPr="00564920">
        <w:rPr>
          <w:sz w:val="20"/>
          <w:szCs w:val="20"/>
        </w:rPr>
        <w:fldChar w:fldCharType="begin"/>
      </w:r>
      <w:r w:rsidRPr="00564920">
        <w:rPr>
          <w:sz w:val="20"/>
          <w:szCs w:val="20"/>
        </w:rPr>
        <w:instrText xml:space="preserve"> SEQ Figure \* ARABIC </w:instrText>
      </w:r>
      <w:r w:rsidRPr="00564920">
        <w:rPr>
          <w:sz w:val="20"/>
          <w:szCs w:val="20"/>
        </w:rPr>
        <w:fldChar w:fldCharType="separate"/>
      </w:r>
      <w:r w:rsidR="00C21FFA" w:rsidRPr="00564920">
        <w:rPr>
          <w:noProof/>
          <w:sz w:val="20"/>
          <w:szCs w:val="20"/>
        </w:rPr>
        <w:t>3</w:t>
      </w:r>
      <w:r w:rsidRPr="00564920">
        <w:rPr>
          <w:sz w:val="20"/>
          <w:szCs w:val="20"/>
        </w:rPr>
        <w:fldChar w:fldCharType="end"/>
      </w:r>
      <w:r w:rsidRPr="00564920">
        <w:rPr>
          <w:sz w:val="20"/>
          <w:szCs w:val="20"/>
        </w:rPr>
        <w:t xml:space="preserve">: </w:t>
      </w:r>
      <w:r w:rsidR="008A329D" w:rsidRPr="00564920">
        <w:rPr>
          <w:sz w:val="20"/>
          <w:szCs w:val="20"/>
        </w:rPr>
        <w:t>U</w:t>
      </w:r>
      <w:r w:rsidRPr="00564920">
        <w:rPr>
          <w:sz w:val="20"/>
          <w:szCs w:val="20"/>
        </w:rPr>
        <w:t>nemployment rates (%) by state/territory</w:t>
      </w:r>
      <w:r w:rsidR="00AF1416" w:rsidRPr="00564920">
        <w:rPr>
          <w:sz w:val="20"/>
          <w:szCs w:val="20"/>
        </w:rPr>
        <w:t xml:space="preserve"> </w:t>
      </w:r>
      <w:r w:rsidR="00BC32E6">
        <w:rPr>
          <w:sz w:val="20"/>
          <w:szCs w:val="20"/>
        </w:rPr>
        <w:t>–</w:t>
      </w:r>
      <w:r w:rsidR="00AF1416" w:rsidRPr="00564920">
        <w:rPr>
          <w:sz w:val="20"/>
          <w:szCs w:val="20"/>
        </w:rPr>
        <w:t xml:space="preserve"> </w:t>
      </w:r>
      <w:r w:rsidR="00F403AB" w:rsidRPr="00564920">
        <w:rPr>
          <w:sz w:val="20"/>
          <w:szCs w:val="20"/>
        </w:rPr>
        <w:t>February</w:t>
      </w:r>
      <w:r w:rsidRPr="00564920">
        <w:rPr>
          <w:sz w:val="20"/>
          <w:szCs w:val="20"/>
        </w:rPr>
        <w:t xml:space="preserve"> 202</w:t>
      </w:r>
      <w:r w:rsidR="00F403AB" w:rsidRPr="00564920">
        <w:rPr>
          <w:sz w:val="20"/>
          <w:szCs w:val="20"/>
        </w:rPr>
        <w:t>5</w:t>
      </w:r>
    </w:p>
    <w:p w14:paraId="6B6081E2" w14:textId="41A2A68B" w:rsidR="009E2B08" w:rsidRPr="009E2B08" w:rsidRDefault="00570444" w:rsidP="005F303D">
      <w:pPr>
        <w:jc w:val="center"/>
      </w:pPr>
      <w:r>
        <w:rPr>
          <w:noProof/>
        </w:rPr>
        <w:drawing>
          <wp:inline distT="0" distB="0" distL="0" distR="0" wp14:anchorId="17DBF8AB" wp14:editId="60092877">
            <wp:extent cx="5643880" cy="2416810"/>
            <wp:effectExtent l="0" t="0" r="0" b="2540"/>
            <wp:docPr id="665519861" name="Chart 1" descr="Figure 3: Trend unemployment rates by State/Territory at February 2025. State/territory/Country. Trend Unemployment Rate. &#10;New South Wales 4%. &#10;Victoria 4.6%. &#10;Queensland 3.9%. &#10;South Australia 4%. &#10;Western Australia 3.5%. &#10;Tasmania 4%. &#10;Northern Territory 4.3%. &#10;Australian Capital Territory 3%. &#10;Australia 4%. ">
              <a:extLst xmlns:a="http://schemas.openxmlformats.org/drawingml/2006/main">
                <a:ext uri="{FF2B5EF4-FFF2-40B4-BE49-F238E27FC236}">
                  <a16:creationId xmlns:a16="http://schemas.microsoft.com/office/drawing/2014/main" id="{6CA7B11D-34C4-A593-50CB-96AAD9A6D49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55AB65BD" w14:textId="3C100F26" w:rsidR="0081027D" w:rsidRPr="00816CE5" w:rsidRDefault="009E2B08">
      <w:pPr>
        <w:spacing w:after="160" w:line="259" w:lineRule="auto"/>
        <w:rPr>
          <w:sz w:val="18"/>
          <w:szCs w:val="18"/>
        </w:rPr>
      </w:pPr>
      <w:r w:rsidRPr="00BC1B39">
        <w:rPr>
          <w:sz w:val="18"/>
          <w:szCs w:val="18"/>
        </w:rPr>
        <w:t xml:space="preserve">Source: ABS </w:t>
      </w:r>
      <w:hyperlink r:id="rId16" w:anchor="unemployment" w:history="1">
        <w:r w:rsidRPr="00BC1B39">
          <w:rPr>
            <w:rStyle w:val="Hyperlink"/>
            <w:i/>
            <w:iCs/>
            <w:sz w:val="18"/>
            <w:szCs w:val="18"/>
          </w:rPr>
          <w:t>Labour Force, Australia</w:t>
        </w:r>
      </w:hyperlink>
      <w:r w:rsidRPr="00BC1B39">
        <w:rPr>
          <w:sz w:val="18"/>
          <w:szCs w:val="18"/>
        </w:rPr>
        <w:t xml:space="preserve">, </w:t>
      </w:r>
      <w:r w:rsidR="00F403AB">
        <w:rPr>
          <w:sz w:val="18"/>
          <w:szCs w:val="18"/>
        </w:rPr>
        <w:t>February</w:t>
      </w:r>
      <w:r w:rsidRPr="00816CE5">
        <w:rPr>
          <w:sz w:val="18"/>
          <w:szCs w:val="18"/>
        </w:rPr>
        <w:t xml:space="preserve"> 202</w:t>
      </w:r>
      <w:r w:rsidR="00F403AB">
        <w:rPr>
          <w:sz w:val="18"/>
          <w:szCs w:val="18"/>
        </w:rPr>
        <w:t>5</w:t>
      </w:r>
      <w:r w:rsidRPr="00816CE5">
        <w:rPr>
          <w:sz w:val="18"/>
          <w:szCs w:val="18"/>
        </w:rPr>
        <w:t xml:space="preserve"> (Table 12: </w:t>
      </w:r>
      <w:r w:rsidR="00AF1416" w:rsidRPr="00AF1416">
        <w:rPr>
          <w:sz w:val="18"/>
          <w:szCs w:val="18"/>
        </w:rPr>
        <w:t>Labour force status by Sex, State and Territory - Trend, Seasonally adjusted and Original</w:t>
      </w:r>
      <w:r w:rsidRPr="00816CE5">
        <w:rPr>
          <w:sz w:val="18"/>
          <w:szCs w:val="18"/>
        </w:rPr>
        <w:t xml:space="preserve">), released </w:t>
      </w:r>
      <w:r w:rsidR="00EA0C01">
        <w:rPr>
          <w:sz w:val="18"/>
          <w:szCs w:val="18"/>
        </w:rPr>
        <w:t xml:space="preserve">20 March </w:t>
      </w:r>
      <w:r w:rsidR="00A72174" w:rsidRPr="00816CE5">
        <w:rPr>
          <w:sz w:val="18"/>
          <w:szCs w:val="18"/>
        </w:rPr>
        <w:t>202</w:t>
      </w:r>
      <w:r w:rsidR="00EA0C01">
        <w:rPr>
          <w:sz w:val="18"/>
          <w:szCs w:val="18"/>
        </w:rPr>
        <w:t>5</w:t>
      </w:r>
      <w:r w:rsidRPr="00816CE5">
        <w:rPr>
          <w:sz w:val="18"/>
          <w:szCs w:val="18"/>
        </w:rPr>
        <w:t>.</w:t>
      </w:r>
    </w:p>
    <w:p w14:paraId="3D672D2E" w14:textId="35FFCD51" w:rsidR="0081027D" w:rsidRDefault="0081027D" w:rsidP="0081027D">
      <w:pPr>
        <w:pStyle w:val="Heading2"/>
      </w:pPr>
      <w:r w:rsidRPr="00937E90">
        <w:lastRenderedPageBreak/>
        <w:t xml:space="preserve">Migrant </w:t>
      </w:r>
      <w:r w:rsidR="00EA516C" w:rsidRPr="00937E90">
        <w:t>e</w:t>
      </w:r>
      <w:r w:rsidRPr="00937E90">
        <w:t>mployment</w:t>
      </w:r>
    </w:p>
    <w:p w14:paraId="05D8C020" w14:textId="4459EC9B" w:rsidR="00EA516C" w:rsidRDefault="0081027D">
      <w:pPr>
        <w:spacing w:after="160" w:line="259" w:lineRule="auto"/>
      </w:pPr>
      <w:r>
        <w:t>Australian-born people</w:t>
      </w:r>
      <w:r w:rsidR="00EA516C">
        <w:t xml:space="preserve"> represent the</w:t>
      </w:r>
      <w:r w:rsidR="00EA516C" w:rsidRPr="00816CE5">
        <w:t xml:space="preserve"> highest share of people employed in </w:t>
      </w:r>
      <w:r w:rsidR="00FA2088" w:rsidRPr="001315F5">
        <w:t xml:space="preserve">Tasmania </w:t>
      </w:r>
      <w:r w:rsidR="00EA516C" w:rsidRPr="00816CE5">
        <w:t>(</w:t>
      </w:r>
      <w:r w:rsidR="00AE002F" w:rsidRPr="00816CE5">
        <w:t>8</w:t>
      </w:r>
      <w:r w:rsidR="00816CE5">
        <w:t>0</w:t>
      </w:r>
      <w:r w:rsidR="00081C73">
        <w:t>.5</w:t>
      </w:r>
      <w:r w:rsidR="00AE002F" w:rsidRPr="00816CE5">
        <w:t xml:space="preserve">%) </w:t>
      </w:r>
      <w:r w:rsidR="00EA516C" w:rsidRPr="00816CE5">
        <w:t>and the lowest share in WA (</w:t>
      </w:r>
      <w:r w:rsidR="00AE002F" w:rsidRPr="00816CE5">
        <w:t>58</w:t>
      </w:r>
      <w:r w:rsidR="00816CE5">
        <w:t>.</w:t>
      </w:r>
      <w:r w:rsidR="00081C73">
        <w:t>3</w:t>
      </w:r>
      <w:r w:rsidR="00AE002F" w:rsidRPr="00816CE5">
        <w:t>%</w:t>
      </w:r>
      <w:r w:rsidR="00EA516C" w:rsidRPr="00816CE5">
        <w:t xml:space="preserve">). The </w:t>
      </w:r>
      <w:r w:rsidR="00EA516C">
        <w:t>share of employed people born in other than main English-speaking countries (</w:t>
      </w:r>
      <w:r w:rsidR="00EA516C" w:rsidRPr="00804A37">
        <w:t>OTM</w:t>
      </w:r>
      <w:r w:rsidR="00EA516C" w:rsidRPr="00816CE5">
        <w:t>ESC)</w:t>
      </w:r>
      <w:r w:rsidR="00EA516C" w:rsidRPr="00816CE5">
        <w:rPr>
          <w:rStyle w:val="FootnoteReference"/>
        </w:rPr>
        <w:footnoteReference w:id="5"/>
      </w:r>
      <w:r w:rsidR="00EA516C" w:rsidRPr="00816CE5">
        <w:t xml:space="preserve"> is highest in </w:t>
      </w:r>
      <w:r w:rsidR="0060772E">
        <w:t>Victoria</w:t>
      </w:r>
      <w:r w:rsidR="00EA516C" w:rsidRPr="00816CE5">
        <w:t>,</w:t>
      </w:r>
      <w:r w:rsidR="00785FB9">
        <w:t xml:space="preserve"> </w:t>
      </w:r>
      <w:r w:rsidR="00EA516C" w:rsidRPr="00816CE5">
        <w:t xml:space="preserve">NSW </w:t>
      </w:r>
      <w:r w:rsidR="00081C73">
        <w:t xml:space="preserve">and the ACT </w:t>
      </w:r>
      <w:r w:rsidR="00EA516C" w:rsidRPr="00816CE5">
        <w:t>(</w:t>
      </w:r>
      <w:r w:rsidR="00AE002F" w:rsidRPr="00816CE5">
        <w:t>3</w:t>
      </w:r>
      <w:r w:rsidR="00081C73">
        <w:t>0.2</w:t>
      </w:r>
      <w:r w:rsidR="00AE002F" w:rsidRPr="00816CE5">
        <w:t>%, 2</w:t>
      </w:r>
      <w:r w:rsidR="00081C73">
        <w:t>8.9</w:t>
      </w:r>
      <w:r w:rsidR="00AE002F" w:rsidRPr="00816CE5">
        <w:t>% and 2</w:t>
      </w:r>
      <w:r w:rsidR="00081C73">
        <w:t>9.1</w:t>
      </w:r>
      <w:r w:rsidR="00AE002F" w:rsidRPr="00816CE5">
        <w:t>%</w:t>
      </w:r>
      <w:r w:rsidR="00EA516C" w:rsidRPr="00816CE5">
        <w:t xml:space="preserve"> respectively). See Figure </w:t>
      </w:r>
      <w:r w:rsidR="00EA516C">
        <w:t>4.</w:t>
      </w:r>
    </w:p>
    <w:p w14:paraId="657ED330" w14:textId="1D27D3DB" w:rsidR="00756629" w:rsidRPr="00564920" w:rsidRDefault="00756629" w:rsidP="00756629">
      <w:pPr>
        <w:pStyle w:val="Caption"/>
        <w:rPr>
          <w:sz w:val="20"/>
          <w:szCs w:val="20"/>
        </w:rPr>
      </w:pPr>
      <w:r w:rsidRPr="00564920">
        <w:rPr>
          <w:sz w:val="20"/>
          <w:szCs w:val="20"/>
        </w:rPr>
        <w:t>Figure 4: Share of employment by state/territory and place of birth</w:t>
      </w:r>
      <w:r w:rsidR="00AF1416" w:rsidRPr="00564920">
        <w:rPr>
          <w:sz w:val="20"/>
          <w:szCs w:val="20"/>
        </w:rPr>
        <w:t xml:space="preserve"> </w:t>
      </w:r>
      <w:r w:rsidR="00C96757">
        <w:rPr>
          <w:sz w:val="20"/>
          <w:szCs w:val="20"/>
        </w:rPr>
        <w:t>–</w:t>
      </w:r>
      <w:r w:rsidR="00AF1416" w:rsidRPr="00564920">
        <w:rPr>
          <w:sz w:val="20"/>
          <w:szCs w:val="20"/>
        </w:rPr>
        <w:t xml:space="preserve"> </w:t>
      </w:r>
      <w:r w:rsidR="00081C73" w:rsidRPr="00564920">
        <w:rPr>
          <w:sz w:val="20"/>
          <w:szCs w:val="20"/>
        </w:rPr>
        <w:t>February 2025</w:t>
      </w:r>
    </w:p>
    <w:p w14:paraId="66A1D533" w14:textId="6AF1399E" w:rsidR="00EA516C" w:rsidRDefault="00FF6530">
      <w:pPr>
        <w:spacing w:after="160" w:line="259" w:lineRule="auto"/>
      </w:pPr>
      <w:r>
        <w:rPr>
          <w:noProof/>
        </w:rPr>
        <w:drawing>
          <wp:inline distT="0" distB="0" distL="0" distR="0" wp14:anchorId="433C4E98" wp14:editId="03B245C0">
            <wp:extent cx="5660136" cy="3470275"/>
            <wp:effectExtent l="0" t="0" r="0" b="0"/>
            <wp:docPr id="1666376649" name="Chart 1" descr="Figure 4: Share of Employment by State/Territory and Place of Birth, February 2025&#10;Share of Employment by State/Territory of persons born in Main English Speaking Countries (MESC, includes people from the United Kingdom, the Republic of Ireland, South Africa, Canada, the United States of America and New Zealand), Other than Main English Speaking Countries (OTMESC), and Australia, by years elapsed since arrival in Australia. &#10;New South Wales: MESC-born persons - 8.1% OTMESC-born persons - 29.1% Australia-born persons - 62.8% &#10;Victoria: MESC-born persons - 7.1% OTMESC-born persons - 30.2% Australia-born persons - 62.7% &#10;Queensland: MESC-born persons - 12.6% OTMESC-born persons - 18.1% Australia-born persons - 69.4% &#10;South Australia: MESC-born persons - 6.5% OTMESC-born persons - 17% Australia-born persons - 76.4% &#10;Western Australia: MESC-born persons - 16.7% OTMESC-born persons - 25% Australia-born persons - 58.3% &#10;Tasmania: MESC-born persons - 5.8% OTMESC-born persons - 13.7% Australia-born persons - 80.5% &#10;Northern Territory: MESC-born persons - 7.8% OTMESC-born persons - 26.4% Australia-born persons - 65.8% &#10;Australian Capital Territory: MESC-born persons - 6.6% OTMESC-born persons - 28.9% Australia-born persons - 64.6% ">
              <a:extLst xmlns:a="http://schemas.openxmlformats.org/drawingml/2006/main">
                <a:ext uri="{FF2B5EF4-FFF2-40B4-BE49-F238E27FC236}">
                  <a16:creationId xmlns:a16="http://schemas.microsoft.com/office/drawing/2014/main" id="{501E18EE-1809-8B78-5B1D-3AE3A933B56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6B6EB786" w14:textId="58EB7E3B" w:rsidR="00EA516C" w:rsidRPr="00BC1B39" w:rsidRDefault="00756629">
      <w:pPr>
        <w:spacing w:after="160" w:line="259" w:lineRule="auto"/>
        <w:rPr>
          <w:sz w:val="18"/>
          <w:szCs w:val="18"/>
        </w:rPr>
      </w:pPr>
      <w:bookmarkStart w:id="5" w:name="_Hlk169782946"/>
      <w:r w:rsidRPr="00BC1B39">
        <w:rPr>
          <w:rFonts w:cs="Arial"/>
          <w:bCs/>
          <w:sz w:val="18"/>
          <w:szCs w:val="18"/>
        </w:rPr>
        <w:t xml:space="preserve">Source: ABS, </w:t>
      </w:r>
      <w:hyperlink r:id="rId18" w:history="1">
        <w:r w:rsidRPr="00BC1B39">
          <w:rPr>
            <w:rStyle w:val="Hyperlink"/>
            <w:rFonts w:cs="Arial"/>
            <w:bCs/>
            <w:i/>
            <w:iCs/>
            <w:sz w:val="18"/>
            <w:szCs w:val="18"/>
          </w:rPr>
          <w:t>Labour Force, Australia, Detailed</w:t>
        </w:r>
      </w:hyperlink>
      <w:r w:rsidRPr="00BC1B39">
        <w:rPr>
          <w:rFonts w:cs="Arial"/>
          <w:bCs/>
          <w:sz w:val="18"/>
          <w:szCs w:val="18"/>
        </w:rPr>
        <w:t xml:space="preserve">, </w:t>
      </w:r>
      <w:r w:rsidR="00081C73">
        <w:rPr>
          <w:rFonts w:cs="Arial"/>
          <w:bCs/>
          <w:sz w:val="18"/>
          <w:szCs w:val="18"/>
        </w:rPr>
        <w:t>February 2025</w:t>
      </w:r>
      <w:r w:rsidRPr="00816CE5">
        <w:rPr>
          <w:rFonts w:cs="Arial"/>
          <w:bCs/>
          <w:sz w:val="18"/>
          <w:szCs w:val="18"/>
        </w:rPr>
        <w:t xml:space="preserve">, (Table LM7: Labour force status by elapsed years since arrival, main English-speaking countries, sex, state and territory), released </w:t>
      </w:r>
      <w:r w:rsidR="00081C73">
        <w:rPr>
          <w:sz w:val="18"/>
          <w:szCs w:val="18"/>
        </w:rPr>
        <w:t>27 March 2025</w:t>
      </w:r>
      <w:r w:rsidRPr="00816CE5">
        <w:rPr>
          <w:rFonts w:cs="Arial"/>
          <w:bCs/>
          <w:sz w:val="18"/>
          <w:szCs w:val="18"/>
        </w:rPr>
        <w:t>.</w:t>
      </w:r>
      <w:bookmarkEnd w:id="5"/>
    </w:p>
    <w:p w14:paraId="7B3FD05E" w14:textId="58EA62E7" w:rsidR="00EA516C" w:rsidRDefault="00EA516C" w:rsidP="00EA516C">
      <w:pPr>
        <w:pStyle w:val="Heading2"/>
      </w:pPr>
      <w:r w:rsidRPr="00937E90">
        <w:t>Migrant unemployment</w:t>
      </w:r>
    </w:p>
    <w:p w14:paraId="40484FB4" w14:textId="0CE4A66B" w:rsidR="00F15282" w:rsidRPr="00816CE5" w:rsidRDefault="00EA516C">
      <w:pPr>
        <w:spacing w:after="160" w:line="259" w:lineRule="auto"/>
      </w:pPr>
      <w:r>
        <w:t xml:space="preserve">The unemployment rates for people who migrate to Australia vary appreciably. Several factors influence migrant unemployment rates including skill level, age, English language proficiency, recent and relevant work experience and the period since arrival in Australia. Data consistently shows that </w:t>
      </w:r>
      <w:r w:rsidR="00816CE5" w:rsidRPr="00816CE5">
        <w:t>recently arrived migrants have a higher unemployment rate on average than those who have lived in Australia for some years.</w:t>
      </w:r>
    </w:p>
    <w:p w14:paraId="1A11653A" w14:textId="6C74D3BA" w:rsidR="00F15282" w:rsidRDefault="00F15282">
      <w:pPr>
        <w:spacing w:after="160" w:line="259" w:lineRule="auto"/>
      </w:pPr>
      <w:r>
        <w:t xml:space="preserve">Figure 5 shows the participation and unemployment rates of the Australian-born and migrants by broad </w:t>
      </w:r>
      <w:r w:rsidRPr="00816CE5">
        <w:t xml:space="preserve">country of birth groups and period of residence in Australia (average of the last 12 months to </w:t>
      </w:r>
      <w:r w:rsidR="003316B5">
        <w:t>February 2025</w:t>
      </w:r>
      <w:r>
        <w:t>).</w:t>
      </w:r>
    </w:p>
    <w:p w14:paraId="50DB2408" w14:textId="73DB8777" w:rsidR="003316B5" w:rsidRPr="00564920" w:rsidRDefault="00756629" w:rsidP="00AE002F">
      <w:pPr>
        <w:pStyle w:val="Caption"/>
        <w:rPr>
          <w:noProof/>
          <w:sz w:val="20"/>
          <w:szCs w:val="20"/>
        </w:rPr>
      </w:pPr>
      <w:r w:rsidRPr="00564920">
        <w:rPr>
          <w:sz w:val="20"/>
          <w:szCs w:val="20"/>
        </w:rPr>
        <w:lastRenderedPageBreak/>
        <w:t xml:space="preserve">Figure 5: Labour force participation rate and unemployment rate, by years since arrival in Australia for broad country of birth groups </w:t>
      </w:r>
      <w:r w:rsidR="00C96757">
        <w:rPr>
          <w:sz w:val="20"/>
          <w:szCs w:val="20"/>
        </w:rPr>
        <w:t>–</w:t>
      </w:r>
      <w:r w:rsidRPr="00564920">
        <w:rPr>
          <w:sz w:val="20"/>
          <w:szCs w:val="20"/>
        </w:rPr>
        <w:t xml:space="preserve"> 12 months to </w:t>
      </w:r>
      <w:r w:rsidR="003316B5" w:rsidRPr="00564920">
        <w:rPr>
          <w:sz w:val="20"/>
          <w:szCs w:val="20"/>
        </w:rPr>
        <w:t>February 2025</w:t>
      </w:r>
      <w:r w:rsidRPr="00564920">
        <w:rPr>
          <w:sz w:val="20"/>
          <w:szCs w:val="20"/>
        </w:rPr>
        <w:t xml:space="preserve"> average</w:t>
      </w:r>
    </w:p>
    <w:p w14:paraId="4CD820EA" w14:textId="3AAB495B" w:rsidR="00F15282" w:rsidRDefault="0054373F" w:rsidP="00AE002F">
      <w:pPr>
        <w:pStyle w:val="Caption"/>
      </w:pPr>
      <w:r>
        <w:rPr>
          <w:noProof/>
        </w:rPr>
        <w:drawing>
          <wp:inline distT="0" distB="0" distL="0" distR="0" wp14:anchorId="5829EB1E" wp14:editId="55B09733">
            <wp:extent cx="5731510" cy="3616960"/>
            <wp:effectExtent l="0" t="0" r="2540" b="2540"/>
            <wp:docPr id="1712938302" name="Chart 1" descr="Figure 5: Years since arrival in Australia by labour force participation rates (%) and unemployment rates (%) for broad country of birth groups—12 months to February 2025.&#10;Labour force participation rate of persons born in Main English Speaking Countries (MESC, includes people from the United Kingdom, the Republic of Ireland, South Africa, Canada, the United States of America and New Zealand), Other than Main English Speaking Countries (OTMESC), and Australia, by years elapsed since arrival in Australia. &#10;Arrived within last 5 years: MESC-born persons - 81.8%; OTMESC-born persons - 68.9%.&#10;Arrived 5-9          years ago: MESC-born persons - 85.8%; OTMESC-born persons - 79.8%.&#10;Arrived 10-14      years ago: MESC-born persons - 83.4%; OTMESC-born persons - 77.4%.&#10;Arrived 15-19      years ago: MESC-born persons - 85.1%; OTMESC-born persons - 82.5%.&#10;Arrived 20 or more years ago: MESC-born persons - 52.8%; OTMESC-born persons - 53.6%.&#10;Born in Australia: 67.9%.">
              <a:extLst xmlns:a="http://schemas.openxmlformats.org/drawingml/2006/main">
                <a:ext uri="{FF2B5EF4-FFF2-40B4-BE49-F238E27FC236}">
                  <a16:creationId xmlns:a16="http://schemas.microsoft.com/office/drawing/2014/main" id="{C401A6A3-1454-4734-CC2E-3F64D568474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r>
        <w:rPr>
          <w:noProof/>
        </w:rPr>
        <w:drawing>
          <wp:inline distT="0" distB="0" distL="0" distR="0" wp14:anchorId="073319B4" wp14:editId="4BC1679C">
            <wp:extent cx="5731510" cy="3556000"/>
            <wp:effectExtent l="0" t="0" r="2540" b="6350"/>
            <wp:docPr id="305250075" name="Chart 2" descr="Unemployment rate of persons born in Main English Speaking Countries (MESC, includes people from the United Kingdom, the Republic of Ireland, South Africa, Canada, the United States of America and New Zealand), Other than Main English Speaking Countries (OTMESC), and Australia, by years elapsed since arrival in Australia. &#10;Arrived within last 5 years: MESC-born persons - 7.4%; OTMESC-born persons - 6.6%.&#10;Arrived 5-9          years ago: MESC-born persons - 2.7%; OTMESC-born persons - 4.3%.&#10;Arrived 10-14      years ago: MESC-born persons - 3.5%; OTMESC-born persons - 4.1%.&#10;Arrived 15-19      years ago: MESC-born persons - 3.3%; OTMESC-born persons - 3.6%.&#10;Arrived 20 or more years ago: MESC-born persons - 2.8%; OTMESC-born persons - 3.5%.&#10;Born in Australia: 4%.">
              <a:extLst xmlns:a="http://schemas.openxmlformats.org/drawingml/2006/main">
                <a:ext uri="{FF2B5EF4-FFF2-40B4-BE49-F238E27FC236}">
                  <a16:creationId xmlns:a16="http://schemas.microsoft.com/office/drawing/2014/main" id="{0E59308C-9C18-6B95-B5A4-14DBA2D8925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3AD28FD5" w14:textId="69E7AC15" w:rsidR="00756629" w:rsidRPr="00BC1B39" w:rsidRDefault="00756629" w:rsidP="00BC1B39">
      <w:pPr>
        <w:spacing w:before="120" w:after="0"/>
        <w:rPr>
          <w:sz w:val="18"/>
          <w:szCs w:val="18"/>
        </w:rPr>
      </w:pPr>
      <w:r w:rsidRPr="00BC1B39">
        <w:rPr>
          <w:rStyle w:val="SourceChar"/>
        </w:rPr>
        <w:t xml:space="preserve">Source: ABS </w:t>
      </w:r>
      <w:hyperlink r:id="rId21" w:history="1">
        <w:r w:rsidRPr="00BC1B39">
          <w:rPr>
            <w:rStyle w:val="Hyperlink"/>
            <w:i/>
            <w:iCs/>
            <w:sz w:val="18"/>
            <w:szCs w:val="18"/>
          </w:rPr>
          <w:t>Labour Force, Australia, Detailed</w:t>
        </w:r>
      </w:hyperlink>
      <w:r w:rsidRPr="00BC1B39">
        <w:rPr>
          <w:rStyle w:val="SourceChar"/>
        </w:rPr>
        <w:t xml:space="preserve">, </w:t>
      </w:r>
      <w:r w:rsidR="003316B5">
        <w:rPr>
          <w:sz w:val="18"/>
          <w:szCs w:val="18"/>
        </w:rPr>
        <w:t>February 2025</w:t>
      </w:r>
      <w:r w:rsidRPr="00816CE5">
        <w:rPr>
          <w:rStyle w:val="SourceChar"/>
        </w:rPr>
        <w:t xml:space="preserve"> (Table LM7: Labour force status by elapsed years since arrival, main English-speaking countries, sex, state and territory), released </w:t>
      </w:r>
      <w:r w:rsidR="003316B5">
        <w:rPr>
          <w:sz w:val="18"/>
          <w:szCs w:val="18"/>
        </w:rPr>
        <w:t>27 March 2025</w:t>
      </w:r>
      <w:r w:rsidRPr="00BC1B39">
        <w:rPr>
          <w:rStyle w:val="SourceChar"/>
        </w:rPr>
        <w:t>.</w:t>
      </w:r>
    </w:p>
    <w:p w14:paraId="4CC8784C" w14:textId="77777777" w:rsidR="00F15282" w:rsidRDefault="00F15282" w:rsidP="007952F3">
      <w:pPr>
        <w:spacing w:after="0" w:line="259" w:lineRule="auto"/>
      </w:pPr>
    </w:p>
    <w:p w14:paraId="735E0EEE" w14:textId="58875706" w:rsidR="00C209B3" w:rsidRDefault="00F15282" w:rsidP="00C209B3">
      <w:pPr>
        <w:spacing w:after="160" w:line="259" w:lineRule="auto"/>
      </w:pPr>
      <w:r>
        <w:t xml:space="preserve">Figure 6 shows average unemployment rates for the 12 </w:t>
      </w:r>
      <w:r w:rsidRPr="00816CE5">
        <w:t xml:space="preserve">months to </w:t>
      </w:r>
      <w:r w:rsidR="003203A9">
        <w:t>February 2025</w:t>
      </w:r>
      <w:r w:rsidRPr="00816CE5">
        <w:t xml:space="preserve"> </w:t>
      </w:r>
      <w:r>
        <w:t xml:space="preserve">for people resident in Australia by their major birth country </w:t>
      </w:r>
      <w:r w:rsidRPr="00816CE5">
        <w:t xml:space="preserve">groups (by subcontinent). People born in </w:t>
      </w:r>
      <w:r w:rsidR="003203A9">
        <w:t xml:space="preserve">the </w:t>
      </w:r>
      <w:r w:rsidR="0054373F">
        <w:t>North West Europe</w:t>
      </w:r>
      <w:r w:rsidRPr="00816CE5">
        <w:t xml:space="preserve"> had the lowest unemployment rate (</w:t>
      </w:r>
      <w:r w:rsidR="0054373F">
        <w:t>2.9</w:t>
      </w:r>
      <w:r w:rsidRPr="00816CE5">
        <w:t>%),</w:t>
      </w:r>
      <w:r w:rsidR="001B319D" w:rsidRPr="00816CE5">
        <w:t xml:space="preserve"> while the unemployment rate for people born in North Africa and the Middle East (</w:t>
      </w:r>
      <w:r w:rsidR="0054373F">
        <w:t>6.</w:t>
      </w:r>
      <w:r w:rsidR="00ED1CEA">
        <w:t>8</w:t>
      </w:r>
      <w:r w:rsidR="00C209B3" w:rsidRPr="00816CE5">
        <w:t>%)</w:t>
      </w:r>
      <w:r w:rsidR="001B319D" w:rsidRPr="00816CE5">
        <w:t xml:space="preserve"> was relatively high (possibly reflecting English language proficiency and period of residence in Australia</w:t>
      </w:r>
      <w:r w:rsidR="001B319D" w:rsidRPr="00804A37">
        <w:t>).</w:t>
      </w:r>
    </w:p>
    <w:p w14:paraId="4FF87377" w14:textId="653AAC00" w:rsidR="00BA4C54" w:rsidRPr="00564920" w:rsidRDefault="00BA4C54" w:rsidP="00530574">
      <w:pPr>
        <w:pStyle w:val="Caption"/>
        <w:spacing w:after="0"/>
        <w:rPr>
          <w:sz w:val="20"/>
          <w:szCs w:val="20"/>
        </w:rPr>
      </w:pPr>
      <w:r w:rsidRPr="00564920">
        <w:rPr>
          <w:sz w:val="20"/>
          <w:szCs w:val="20"/>
        </w:rPr>
        <w:lastRenderedPageBreak/>
        <w:t xml:space="preserve">Figure 6: Unemployment rate by broad country of birth groups </w:t>
      </w:r>
      <w:r w:rsidR="00C96757">
        <w:rPr>
          <w:rFonts w:ascii="Arial-BoldMT" w:hAnsi="Arial-BoldMT" w:cs="Arial-BoldMT"/>
          <w:sz w:val="20"/>
          <w:szCs w:val="20"/>
        </w:rPr>
        <w:t>–</w:t>
      </w:r>
      <w:r w:rsidRPr="00564920">
        <w:rPr>
          <w:rFonts w:ascii="Arial-BoldMT" w:hAnsi="Arial-BoldMT" w:cs="Arial-BoldMT"/>
          <w:sz w:val="20"/>
          <w:szCs w:val="20"/>
        </w:rPr>
        <w:t xml:space="preserve"> </w:t>
      </w:r>
      <w:r w:rsidRPr="00564920">
        <w:rPr>
          <w:sz w:val="20"/>
          <w:szCs w:val="20"/>
        </w:rPr>
        <w:t xml:space="preserve">12 months to </w:t>
      </w:r>
      <w:r w:rsidR="003203A9" w:rsidRPr="00564920">
        <w:rPr>
          <w:sz w:val="20"/>
          <w:szCs w:val="20"/>
        </w:rPr>
        <w:t>February 2025</w:t>
      </w:r>
      <w:r w:rsidRPr="00564920">
        <w:rPr>
          <w:sz w:val="20"/>
          <w:szCs w:val="20"/>
        </w:rPr>
        <w:t xml:space="preserve"> average</w:t>
      </w:r>
    </w:p>
    <w:p w14:paraId="40545CF3" w14:textId="3D4BE061" w:rsidR="00816CE5" w:rsidRDefault="00ED1CEA">
      <w:pPr>
        <w:spacing w:after="160" w:line="259" w:lineRule="auto"/>
      </w:pPr>
      <w:r>
        <w:rPr>
          <w:noProof/>
        </w:rPr>
        <w:drawing>
          <wp:inline distT="0" distB="0" distL="0" distR="0" wp14:anchorId="3B76878A" wp14:editId="51A4B0AB">
            <wp:extent cx="5731510" cy="3410712"/>
            <wp:effectExtent l="0" t="0" r="2540" b="0"/>
            <wp:docPr id="30605824" name="Chart 1" descr="Figure 6: Unemployment rates by major country groups (subcontinent) of birth (average of the last 12 months to February 2025 ; original data).&#10;Australia (includes External Territories) 4%.&#10;Oceania and Antarctica 4.3%.&#10;North-West Europe 2.9%.&#10;Southern and Eastern Europe 3.7%.&#10;North Africa and the Middle East 6.8%.&#10;South-East Asia 3.9%.&#10;North-East Asia 4.3%.&#10;Southern and Central Asia 4.2%.&#10;Americas 3.4%.&#10;Sub-Saharan Africa 4.7%.&#10;MESC 3.4%.&#10;OTMESC 4.3%.">
              <a:extLst xmlns:a="http://schemas.openxmlformats.org/drawingml/2006/main">
                <a:ext uri="{FF2B5EF4-FFF2-40B4-BE49-F238E27FC236}">
                  <a16:creationId xmlns:a16="http://schemas.microsoft.com/office/drawing/2014/main" id="{BDE02916-74F1-657E-81C4-38B449DC796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577F6EAD" w14:textId="77AF5247" w:rsidR="00E75824" w:rsidRPr="00804A37" w:rsidRDefault="00E75824" w:rsidP="0062632C">
      <w:pPr>
        <w:pStyle w:val="Source"/>
        <w:spacing w:after="80" w:line="240" w:lineRule="auto"/>
      </w:pPr>
      <w:r w:rsidRPr="00804A37">
        <w:t>Note: Australia (includes External Territories)’ is within ‘Oceania and Antarctica</w:t>
      </w:r>
      <w:r w:rsidR="00564920" w:rsidRPr="00804A37">
        <w:t>.</w:t>
      </w:r>
    </w:p>
    <w:p w14:paraId="697AB8C4" w14:textId="72889084" w:rsidR="00E75824" w:rsidRDefault="00E75824" w:rsidP="00E75824">
      <w:pPr>
        <w:pStyle w:val="Source"/>
        <w:spacing w:after="0"/>
      </w:pPr>
      <w:r w:rsidRPr="00804A37">
        <w:t xml:space="preserve">Source: ABS </w:t>
      </w:r>
      <w:hyperlink r:id="rId23" w:history="1">
        <w:r w:rsidRPr="00804A37">
          <w:rPr>
            <w:rStyle w:val="Hyperlink"/>
            <w:i/>
            <w:iCs/>
          </w:rPr>
          <w:t>Labour Force, Australia, Detailed</w:t>
        </w:r>
      </w:hyperlink>
      <w:r w:rsidRPr="00804A37">
        <w:t xml:space="preserve">, </w:t>
      </w:r>
      <w:r w:rsidR="004D1E1C">
        <w:t>February</w:t>
      </w:r>
      <w:r w:rsidR="003203A9">
        <w:t xml:space="preserve"> 2025,</w:t>
      </w:r>
      <w:r w:rsidRPr="00816CE5">
        <w:t xml:space="preserve"> </w:t>
      </w:r>
      <w:r w:rsidRPr="00804A37">
        <w:t xml:space="preserve">(Table LM5: Labour force status by age, major country group (subcontinent) of birth (SACC) and sex; and Table LM7: Labour force status by elapsed years since arrival, main English-speaking countries, sex, state and territory), </w:t>
      </w:r>
      <w:r w:rsidRPr="00816CE5">
        <w:t xml:space="preserve">released </w:t>
      </w:r>
      <w:r w:rsidR="003203A9">
        <w:t>27 March 2025.</w:t>
      </w:r>
    </w:p>
    <w:p w14:paraId="637B17D0" w14:textId="3D2D5429" w:rsidR="001B319D" w:rsidRDefault="001B319D" w:rsidP="001B319D">
      <w:pPr>
        <w:pStyle w:val="Heading2"/>
      </w:pPr>
      <w:r w:rsidRPr="00C363B9">
        <w:t>Employment by occupation</w:t>
      </w:r>
    </w:p>
    <w:p w14:paraId="29F4F39D" w14:textId="77777777" w:rsidR="004E295D" w:rsidRDefault="004E295D" w:rsidP="0062632C">
      <w:pPr>
        <w:spacing w:after="0"/>
        <w:rPr>
          <w:rFonts w:ascii="Aptos" w:hAnsi="Aptos"/>
          <w:color w:val="000000" w:themeColor="text1"/>
        </w:rPr>
      </w:pPr>
      <w:bookmarkStart w:id="6" w:name="_Hlk195605563"/>
      <w:r>
        <w:rPr>
          <w:color w:val="000000" w:themeColor="text1"/>
        </w:rPr>
        <w:t>Over the 12 months to February 2025, the largest increases in employment (trend data) occurred for Professionals (up by 100,600), Community and Personal Service Workers (up by 71,700) and Technicians and Trades Workers (up by 49,400). Declines in employment growth occurred for both Clerical and Administrative workers (down by 6,600) and Machinery Operators and Drivers (down by 4,800). Employment growth for the major occupation groups is shown in Table 1.</w:t>
      </w:r>
    </w:p>
    <w:p w14:paraId="0828F1DC" w14:textId="4088CFF9" w:rsidR="00E75824" w:rsidRPr="00564920" w:rsidRDefault="00E75824" w:rsidP="0062632C">
      <w:pPr>
        <w:pStyle w:val="Caption"/>
        <w:spacing w:before="240"/>
        <w:rPr>
          <w:sz w:val="20"/>
          <w:szCs w:val="20"/>
        </w:rPr>
      </w:pPr>
      <w:bookmarkStart w:id="7" w:name="_Ref147925073"/>
      <w:bookmarkEnd w:id="6"/>
      <w:r w:rsidRPr="00564920">
        <w:rPr>
          <w:sz w:val="20"/>
          <w:szCs w:val="20"/>
        </w:rPr>
        <w:t xml:space="preserve">Table </w:t>
      </w:r>
      <w:r w:rsidRPr="00564920">
        <w:rPr>
          <w:sz w:val="20"/>
          <w:szCs w:val="20"/>
        </w:rPr>
        <w:fldChar w:fldCharType="begin"/>
      </w:r>
      <w:r w:rsidRPr="00564920">
        <w:rPr>
          <w:sz w:val="20"/>
          <w:szCs w:val="20"/>
        </w:rPr>
        <w:instrText xml:space="preserve"> SEQ Table \* ARABIC </w:instrText>
      </w:r>
      <w:r w:rsidRPr="00564920">
        <w:rPr>
          <w:sz w:val="20"/>
          <w:szCs w:val="20"/>
        </w:rPr>
        <w:fldChar w:fldCharType="separate"/>
      </w:r>
      <w:r w:rsidR="00C21FFA" w:rsidRPr="00564920">
        <w:rPr>
          <w:noProof/>
          <w:sz w:val="20"/>
          <w:szCs w:val="20"/>
        </w:rPr>
        <w:t>1</w:t>
      </w:r>
      <w:r w:rsidRPr="00564920">
        <w:rPr>
          <w:noProof/>
          <w:sz w:val="20"/>
          <w:szCs w:val="20"/>
        </w:rPr>
        <w:fldChar w:fldCharType="end"/>
      </w:r>
      <w:bookmarkEnd w:id="7"/>
      <w:r w:rsidRPr="00564920">
        <w:rPr>
          <w:sz w:val="20"/>
          <w:szCs w:val="20"/>
        </w:rPr>
        <w:t xml:space="preserve">: Trend employment growth by occupation </w:t>
      </w:r>
      <w:r w:rsidR="00C96757">
        <w:rPr>
          <w:sz w:val="20"/>
          <w:szCs w:val="20"/>
        </w:rPr>
        <w:t>–</w:t>
      </w:r>
      <w:r w:rsidRPr="00564920">
        <w:rPr>
          <w:sz w:val="20"/>
          <w:szCs w:val="20"/>
        </w:rPr>
        <w:t xml:space="preserve"> 12 months to </w:t>
      </w:r>
      <w:r w:rsidR="004D1E1C" w:rsidRPr="00564920">
        <w:rPr>
          <w:sz w:val="20"/>
          <w:szCs w:val="20"/>
        </w:rPr>
        <w:t>February 2025</w:t>
      </w:r>
    </w:p>
    <w:tbl>
      <w:tblPr>
        <w:tblStyle w:val="JSATable1"/>
        <w:tblW w:w="9072" w:type="dxa"/>
        <w:tblLayout w:type="fixed"/>
        <w:tblLook w:val="0020" w:firstRow="1" w:lastRow="0" w:firstColumn="0" w:lastColumn="0" w:noHBand="0" w:noVBand="0"/>
      </w:tblPr>
      <w:tblGrid>
        <w:gridCol w:w="4536"/>
        <w:gridCol w:w="2268"/>
        <w:gridCol w:w="2268"/>
      </w:tblGrid>
      <w:tr w:rsidR="00E75824" w:rsidRPr="00804A37" w14:paraId="622F2D4D" w14:textId="77777777">
        <w:trPr>
          <w:cnfStyle w:val="100000000000" w:firstRow="1" w:lastRow="0" w:firstColumn="0" w:lastColumn="0" w:oddVBand="0" w:evenVBand="0" w:oddHBand="0" w:evenHBand="0" w:firstRowFirstColumn="0" w:firstRowLastColumn="0" w:lastRowFirstColumn="0" w:lastRowLastColumn="0"/>
          <w:trHeight w:val="600"/>
        </w:trPr>
        <w:tc>
          <w:tcPr>
            <w:tcW w:w="4536" w:type="dxa"/>
            <w:vAlign w:val="center"/>
          </w:tcPr>
          <w:p w14:paraId="25D34151" w14:textId="77777777" w:rsidR="00E75824" w:rsidRPr="00804A37" w:rsidRDefault="00E75824">
            <w:pPr>
              <w:spacing w:after="0"/>
            </w:pPr>
            <w:r w:rsidRPr="00804A37">
              <w:t>Occupational Group</w:t>
            </w:r>
          </w:p>
        </w:tc>
        <w:tc>
          <w:tcPr>
            <w:tcW w:w="2268" w:type="dxa"/>
            <w:vAlign w:val="center"/>
          </w:tcPr>
          <w:p w14:paraId="347D8356" w14:textId="77777777" w:rsidR="00E75824" w:rsidRPr="00804A37" w:rsidRDefault="00E75824">
            <w:pPr>
              <w:spacing w:after="0" w:line="240" w:lineRule="auto"/>
              <w:jc w:val="center"/>
            </w:pPr>
            <w:r w:rsidRPr="00804A37">
              <w:t>1 Year Change</w:t>
            </w:r>
          </w:p>
          <w:p w14:paraId="4E245BF3" w14:textId="77777777" w:rsidR="00E75824" w:rsidRPr="00804A37" w:rsidRDefault="00E75824">
            <w:pPr>
              <w:spacing w:after="0" w:line="240" w:lineRule="auto"/>
              <w:jc w:val="center"/>
            </w:pPr>
            <w:r w:rsidRPr="00804A37">
              <w:t>(‘000 persons)</w:t>
            </w:r>
          </w:p>
        </w:tc>
        <w:tc>
          <w:tcPr>
            <w:tcW w:w="2268" w:type="dxa"/>
            <w:vAlign w:val="center"/>
          </w:tcPr>
          <w:p w14:paraId="63E84DB8" w14:textId="77777777" w:rsidR="00E75824" w:rsidRPr="00804A37" w:rsidRDefault="00E75824">
            <w:pPr>
              <w:spacing w:after="0" w:line="240" w:lineRule="auto"/>
              <w:jc w:val="center"/>
            </w:pPr>
            <w:r w:rsidRPr="00804A37">
              <w:t>1 Year Change</w:t>
            </w:r>
          </w:p>
          <w:p w14:paraId="61FA80E1" w14:textId="77777777" w:rsidR="00E75824" w:rsidRPr="00804A37" w:rsidRDefault="00E75824">
            <w:pPr>
              <w:spacing w:after="0" w:line="240" w:lineRule="auto"/>
              <w:jc w:val="center"/>
            </w:pPr>
            <w:r w:rsidRPr="00804A37">
              <w:t>(%)</w:t>
            </w:r>
          </w:p>
        </w:tc>
      </w:tr>
      <w:tr w:rsidR="00C363B9" w:rsidRPr="00804A37" w14:paraId="29CB7B0E" w14:textId="77777777" w:rsidTr="00B150F4">
        <w:trPr>
          <w:trHeight w:val="308"/>
        </w:trPr>
        <w:tc>
          <w:tcPr>
            <w:tcW w:w="4536" w:type="dxa"/>
            <w:vAlign w:val="center"/>
          </w:tcPr>
          <w:p w14:paraId="46E9BC96" w14:textId="77777777" w:rsidR="00C363B9" w:rsidRPr="00804A37" w:rsidRDefault="00C363B9" w:rsidP="00C363B9">
            <w:pPr>
              <w:spacing w:after="0"/>
            </w:pPr>
            <w:r w:rsidRPr="00804A37">
              <w:t>Managers</w:t>
            </w:r>
          </w:p>
        </w:tc>
        <w:tc>
          <w:tcPr>
            <w:tcW w:w="2268" w:type="dxa"/>
          </w:tcPr>
          <w:p w14:paraId="0FF4A9A0" w14:textId="6502C088" w:rsidR="00C363B9" w:rsidRPr="00C363B9" w:rsidRDefault="00C363B9" w:rsidP="00ED698F">
            <w:pPr>
              <w:spacing w:after="0"/>
              <w:jc w:val="center"/>
            </w:pPr>
            <w:r w:rsidRPr="00C54285">
              <w:t>4.6</w:t>
            </w:r>
          </w:p>
        </w:tc>
        <w:tc>
          <w:tcPr>
            <w:tcW w:w="2268" w:type="dxa"/>
          </w:tcPr>
          <w:p w14:paraId="381C1E84" w14:textId="00B8B92D" w:rsidR="00C363B9" w:rsidRPr="00C363B9" w:rsidRDefault="00C363B9" w:rsidP="00ED698F">
            <w:pPr>
              <w:spacing w:after="0"/>
              <w:jc w:val="center"/>
            </w:pPr>
            <w:r w:rsidRPr="00C54285">
              <w:t>0.2</w:t>
            </w:r>
          </w:p>
        </w:tc>
      </w:tr>
      <w:tr w:rsidR="00C363B9" w:rsidRPr="00804A37" w14:paraId="2334B3A6" w14:textId="77777777" w:rsidTr="00B150F4">
        <w:trPr>
          <w:cnfStyle w:val="000000010000" w:firstRow="0" w:lastRow="0" w:firstColumn="0" w:lastColumn="0" w:oddVBand="0" w:evenVBand="0" w:oddHBand="0" w:evenHBand="1" w:firstRowFirstColumn="0" w:firstRowLastColumn="0" w:lastRowFirstColumn="0" w:lastRowLastColumn="0"/>
          <w:trHeight w:val="308"/>
        </w:trPr>
        <w:tc>
          <w:tcPr>
            <w:tcW w:w="4536" w:type="dxa"/>
            <w:vAlign w:val="center"/>
          </w:tcPr>
          <w:p w14:paraId="7E3C9E66" w14:textId="77777777" w:rsidR="00C363B9" w:rsidRPr="00804A37" w:rsidRDefault="00C363B9" w:rsidP="00C363B9">
            <w:pPr>
              <w:spacing w:after="0"/>
            </w:pPr>
            <w:r w:rsidRPr="00804A37">
              <w:t>Professionals</w:t>
            </w:r>
          </w:p>
        </w:tc>
        <w:tc>
          <w:tcPr>
            <w:tcW w:w="2268" w:type="dxa"/>
          </w:tcPr>
          <w:p w14:paraId="7695B8D8" w14:textId="4D80F43D" w:rsidR="00C363B9" w:rsidRPr="00C363B9" w:rsidRDefault="00C363B9" w:rsidP="00ED698F">
            <w:pPr>
              <w:spacing w:after="0"/>
              <w:jc w:val="center"/>
            </w:pPr>
            <w:r w:rsidRPr="00C54285">
              <w:t>100.6</w:t>
            </w:r>
          </w:p>
        </w:tc>
        <w:tc>
          <w:tcPr>
            <w:tcW w:w="2268" w:type="dxa"/>
          </w:tcPr>
          <w:p w14:paraId="68E1382B" w14:textId="4F9A91C0" w:rsidR="00C363B9" w:rsidRPr="00C363B9" w:rsidRDefault="00C363B9" w:rsidP="00ED698F">
            <w:pPr>
              <w:spacing w:after="0"/>
              <w:jc w:val="center"/>
            </w:pPr>
            <w:r w:rsidRPr="00C54285">
              <w:t>2.7</w:t>
            </w:r>
          </w:p>
        </w:tc>
      </w:tr>
      <w:tr w:rsidR="00C363B9" w:rsidRPr="00804A37" w14:paraId="5D87F3BC" w14:textId="77777777" w:rsidTr="00B150F4">
        <w:trPr>
          <w:trHeight w:val="300"/>
        </w:trPr>
        <w:tc>
          <w:tcPr>
            <w:tcW w:w="4536" w:type="dxa"/>
            <w:vAlign w:val="center"/>
          </w:tcPr>
          <w:p w14:paraId="37DC9B9B" w14:textId="77777777" w:rsidR="00C363B9" w:rsidRPr="00804A37" w:rsidRDefault="00C363B9" w:rsidP="00C363B9">
            <w:pPr>
              <w:spacing w:after="0"/>
            </w:pPr>
            <w:r w:rsidRPr="00804A37">
              <w:t>Technicians and Trades Workers</w:t>
            </w:r>
          </w:p>
        </w:tc>
        <w:tc>
          <w:tcPr>
            <w:tcW w:w="2268" w:type="dxa"/>
          </w:tcPr>
          <w:p w14:paraId="254A5AE8" w14:textId="737BAC11" w:rsidR="00C363B9" w:rsidRPr="00C363B9" w:rsidRDefault="00C363B9" w:rsidP="00ED698F">
            <w:pPr>
              <w:spacing w:after="0"/>
              <w:jc w:val="center"/>
            </w:pPr>
            <w:r w:rsidRPr="00C54285">
              <w:t>49.4</w:t>
            </w:r>
          </w:p>
        </w:tc>
        <w:tc>
          <w:tcPr>
            <w:tcW w:w="2268" w:type="dxa"/>
          </w:tcPr>
          <w:p w14:paraId="308E48B4" w14:textId="0C54865A" w:rsidR="00C363B9" w:rsidRPr="00C363B9" w:rsidRDefault="00C363B9" w:rsidP="00ED698F">
            <w:pPr>
              <w:spacing w:after="0"/>
              <w:jc w:val="center"/>
            </w:pPr>
            <w:r w:rsidRPr="00C54285">
              <w:t>2.6</w:t>
            </w:r>
          </w:p>
        </w:tc>
      </w:tr>
      <w:tr w:rsidR="00C363B9" w:rsidRPr="00804A37" w14:paraId="287905F8" w14:textId="77777777" w:rsidTr="00B150F4">
        <w:trPr>
          <w:cnfStyle w:val="000000010000" w:firstRow="0" w:lastRow="0" w:firstColumn="0" w:lastColumn="0" w:oddVBand="0" w:evenVBand="0" w:oddHBand="0" w:evenHBand="1" w:firstRowFirstColumn="0" w:firstRowLastColumn="0" w:lastRowFirstColumn="0" w:lastRowLastColumn="0"/>
          <w:trHeight w:val="308"/>
        </w:trPr>
        <w:tc>
          <w:tcPr>
            <w:tcW w:w="4536" w:type="dxa"/>
            <w:vAlign w:val="center"/>
          </w:tcPr>
          <w:p w14:paraId="439E650A" w14:textId="77777777" w:rsidR="00C363B9" w:rsidRPr="00804A37" w:rsidRDefault="00C363B9" w:rsidP="00C363B9">
            <w:pPr>
              <w:spacing w:after="0"/>
            </w:pPr>
            <w:r w:rsidRPr="00804A37">
              <w:t>Community and Personal Service Workers</w:t>
            </w:r>
          </w:p>
        </w:tc>
        <w:tc>
          <w:tcPr>
            <w:tcW w:w="2268" w:type="dxa"/>
          </w:tcPr>
          <w:p w14:paraId="2E970022" w14:textId="65CB721D" w:rsidR="00C363B9" w:rsidRPr="00C363B9" w:rsidRDefault="00C363B9" w:rsidP="00ED698F">
            <w:pPr>
              <w:spacing w:after="0"/>
              <w:jc w:val="center"/>
            </w:pPr>
            <w:r w:rsidRPr="00C54285">
              <w:t>71.7</w:t>
            </w:r>
          </w:p>
        </w:tc>
        <w:tc>
          <w:tcPr>
            <w:tcW w:w="2268" w:type="dxa"/>
          </w:tcPr>
          <w:p w14:paraId="71ECE779" w14:textId="2BD7FE9C" w:rsidR="00C363B9" w:rsidRPr="00C363B9" w:rsidRDefault="00C363B9" w:rsidP="00ED698F">
            <w:pPr>
              <w:spacing w:after="0"/>
              <w:jc w:val="center"/>
            </w:pPr>
            <w:r w:rsidRPr="00C54285">
              <w:t>4.4</w:t>
            </w:r>
          </w:p>
        </w:tc>
      </w:tr>
      <w:tr w:rsidR="00C363B9" w:rsidRPr="00804A37" w14:paraId="780F18F2" w14:textId="77777777" w:rsidTr="00B150F4">
        <w:trPr>
          <w:trHeight w:val="308"/>
        </w:trPr>
        <w:tc>
          <w:tcPr>
            <w:tcW w:w="4536" w:type="dxa"/>
            <w:vAlign w:val="center"/>
          </w:tcPr>
          <w:p w14:paraId="45E6BC0E" w14:textId="77777777" w:rsidR="00C363B9" w:rsidRPr="00804A37" w:rsidRDefault="00C363B9" w:rsidP="00C363B9">
            <w:pPr>
              <w:spacing w:after="0"/>
            </w:pPr>
            <w:r w:rsidRPr="00804A37">
              <w:t>Clerical and Administrative Workers</w:t>
            </w:r>
          </w:p>
        </w:tc>
        <w:tc>
          <w:tcPr>
            <w:tcW w:w="2268" w:type="dxa"/>
          </w:tcPr>
          <w:p w14:paraId="3FC9516F" w14:textId="396CFC84" w:rsidR="00C363B9" w:rsidRPr="00C363B9" w:rsidRDefault="00C363B9" w:rsidP="00ED698F">
            <w:pPr>
              <w:spacing w:after="0"/>
              <w:jc w:val="center"/>
            </w:pPr>
            <w:r w:rsidRPr="00C54285">
              <w:t>-6.6</w:t>
            </w:r>
          </w:p>
        </w:tc>
        <w:tc>
          <w:tcPr>
            <w:tcW w:w="2268" w:type="dxa"/>
          </w:tcPr>
          <w:p w14:paraId="2945DBD4" w14:textId="6002257A" w:rsidR="00C363B9" w:rsidRPr="00C363B9" w:rsidRDefault="00C363B9" w:rsidP="00ED698F">
            <w:pPr>
              <w:spacing w:after="0"/>
              <w:jc w:val="center"/>
            </w:pPr>
            <w:r w:rsidRPr="00C54285">
              <w:t>-0.4</w:t>
            </w:r>
          </w:p>
        </w:tc>
      </w:tr>
      <w:tr w:rsidR="00C363B9" w:rsidRPr="00804A37" w14:paraId="260A6D4E" w14:textId="77777777" w:rsidTr="00B150F4">
        <w:trPr>
          <w:cnfStyle w:val="000000010000" w:firstRow="0" w:lastRow="0" w:firstColumn="0" w:lastColumn="0" w:oddVBand="0" w:evenVBand="0" w:oddHBand="0" w:evenHBand="1" w:firstRowFirstColumn="0" w:firstRowLastColumn="0" w:lastRowFirstColumn="0" w:lastRowLastColumn="0"/>
          <w:trHeight w:val="308"/>
        </w:trPr>
        <w:tc>
          <w:tcPr>
            <w:tcW w:w="4536" w:type="dxa"/>
            <w:vAlign w:val="center"/>
          </w:tcPr>
          <w:p w14:paraId="763D004F" w14:textId="77777777" w:rsidR="00C363B9" w:rsidRPr="00804A37" w:rsidRDefault="00C363B9" w:rsidP="00C363B9">
            <w:pPr>
              <w:spacing w:after="0"/>
            </w:pPr>
            <w:r w:rsidRPr="00804A37">
              <w:t>Sales Workers</w:t>
            </w:r>
          </w:p>
        </w:tc>
        <w:tc>
          <w:tcPr>
            <w:tcW w:w="2268" w:type="dxa"/>
          </w:tcPr>
          <w:p w14:paraId="1D41D568" w14:textId="25F2C321" w:rsidR="00C363B9" w:rsidRPr="00C363B9" w:rsidRDefault="00C363B9" w:rsidP="00ED698F">
            <w:pPr>
              <w:spacing w:after="0"/>
              <w:jc w:val="center"/>
            </w:pPr>
            <w:r w:rsidRPr="00C54285">
              <w:t>25.6</w:t>
            </w:r>
          </w:p>
        </w:tc>
        <w:tc>
          <w:tcPr>
            <w:tcW w:w="2268" w:type="dxa"/>
          </w:tcPr>
          <w:p w14:paraId="01A4B041" w14:textId="1515AAAF" w:rsidR="00C363B9" w:rsidRPr="00C363B9" w:rsidRDefault="00C363B9" w:rsidP="00ED698F">
            <w:pPr>
              <w:spacing w:after="0"/>
              <w:jc w:val="center"/>
            </w:pPr>
            <w:r w:rsidRPr="00C54285">
              <w:t>2.3</w:t>
            </w:r>
          </w:p>
        </w:tc>
      </w:tr>
      <w:tr w:rsidR="00C363B9" w:rsidRPr="00804A37" w14:paraId="09E0E2DA" w14:textId="77777777" w:rsidTr="00B150F4">
        <w:trPr>
          <w:trHeight w:val="308"/>
        </w:trPr>
        <w:tc>
          <w:tcPr>
            <w:tcW w:w="4536" w:type="dxa"/>
            <w:vAlign w:val="center"/>
          </w:tcPr>
          <w:p w14:paraId="79100BF2" w14:textId="77777777" w:rsidR="00C363B9" w:rsidRPr="00804A37" w:rsidRDefault="00C363B9" w:rsidP="00C363B9">
            <w:pPr>
              <w:spacing w:after="0"/>
            </w:pPr>
            <w:r w:rsidRPr="00804A37">
              <w:t>Machinery Operators and Drivers</w:t>
            </w:r>
          </w:p>
        </w:tc>
        <w:tc>
          <w:tcPr>
            <w:tcW w:w="2268" w:type="dxa"/>
          </w:tcPr>
          <w:p w14:paraId="77A73A9C" w14:textId="253DF0DB" w:rsidR="00C363B9" w:rsidRPr="00C363B9" w:rsidRDefault="00C363B9" w:rsidP="00ED698F">
            <w:pPr>
              <w:spacing w:after="0"/>
              <w:jc w:val="center"/>
            </w:pPr>
            <w:r w:rsidRPr="00C54285">
              <w:t>-4.8</w:t>
            </w:r>
          </w:p>
        </w:tc>
        <w:tc>
          <w:tcPr>
            <w:tcW w:w="2268" w:type="dxa"/>
          </w:tcPr>
          <w:p w14:paraId="65806649" w14:textId="49C42B47" w:rsidR="00C363B9" w:rsidRPr="00C363B9" w:rsidRDefault="00C363B9" w:rsidP="00ED698F">
            <w:pPr>
              <w:spacing w:after="0"/>
              <w:jc w:val="center"/>
            </w:pPr>
            <w:r w:rsidRPr="00C54285">
              <w:t>-0.5</w:t>
            </w:r>
          </w:p>
        </w:tc>
      </w:tr>
      <w:tr w:rsidR="00C363B9" w:rsidRPr="00804A37" w14:paraId="2167BD78" w14:textId="77777777" w:rsidTr="00B150F4">
        <w:trPr>
          <w:cnfStyle w:val="000000010000" w:firstRow="0" w:lastRow="0" w:firstColumn="0" w:lastColumn="0" w:oddVBand="0" w:evenVBand="0" w:oddHBand="0" w:evenHBand="1" w:firstRowFirstColumn="0" w:firstRowLastColumn="0" w:lastRowFirstColumn="0" w:lastRowLastColumn="0"/>
          <w:trHeight w:val="308"/>
        </w:trPr>
        <w:tc>
          <w:tcPr>
            <w:tcW w:w="4536" w:type="dxa"/>
            <w:vAlign w:val="center"/>
          </w:tcPr>
          <w:p w14:paraId="136B80FE" w14:textId="77777777" w:rsidR="00C363B9" w:rsidRPr="00804A37" w:rsidRDefault="00C363B9" w:rsidP="00C363B9">
            <w:pPr>
              <w:spacing w:after="0"/>
            </w:pPr>
            <w:r w:rsidRPr="00804A37">
              <w:t>Labourers</w:t>
            </w:r>
          </w:p>
        </w:tc>
        <w:tc>
          <w:tcPr>
            <w:tcW w:w="2268" w:type="dxa"/>
          </w:tcPr>
          <w:p w14:paraId="1E4041CE" w14:textId="44987229" w:rsidR="00C363B9" w:rsidRPr="00C363B9" w:rsidRDefault="00C363B9" w:rsidP="00ED698F">
            <w:pPr>
              <w:spacing w:after="0"/>
              <w:jc w:val="center"/>
            </w:pPr>
            <w:r w:rsidRPr="00C54285">
              <w:t>20.4</w:t>
            </w:r>
          </w:p>
        </w:tc>
        <w:tc>
          <w:tcPr>
            <w:tcW w:w="2268" w:type="dxa"/>
          </w:tcPr>
          <w:p w14:paraId="222931C9" w14:textId="3717D78F" w:rsidR="00C363B9" w:rsidRPr="00C363B9" w:rsidRDefault="00C363B9" w:rsidP="00ED698F">
            <w:pPr>
              <w:spacing w:after="0"/>
              <w:jc w:val="center"/>
            </w:pPr>
            <w:r w:rsidRPr="00C54285">
              <w:t>1.7</w:t>
            </w:r>
          </w:p>
        </w:tc>
      </w:tr>
    </w:tbl>
    <w:p w14:paraId="7E0A364B" w14:textId="702726FA" w:rsidR="007C3F69" w:rsidRPr="00816CE5" w:rsidRDefault="00E75824" w:rsidP="00530574">
      <w:pPr>
        <w:pStyle w:val="Source"/>
      </w:pPr>
      <w:r w:rsidRPr="00804A37">
        <w:t xml:space="preserve">Source: ABS, </w:t>
      </w:r>
      <w:hyperlink r:id="rId24" w:history="1">
        <w:r w:rsidRPr="00804A37">
          <w:rPr>
            <w:rStyle w:val="Hyperlink"/>
            <w:i/>
            <w:iCs/>
          </w:rPr>
          <w:t>Labour Force, Australia, Detailed</w:t>
        </w:r>
      </w:hyperlink>
      <w:r w:rsidRPr="00804A37">
        <w:rPr>
          <w:i/>
          <w:iCs/>
        </w:rPr>
        <w:t xml:space="preserve"> </w:t>
      </w:r>
      <w:r w:rsidRPr="00804A37">
        <w:t xml:space="preserve">(Table EQ08: Employed persons by Occupation unit group of main job (ANZSCO, Sex, State and Territory), </w:t>
      </w:r>
      <w:r w:rsidR="004D1E1C">
        <w:t>February 2025</w:t>
      </w:r>
      <w:r w:rsidRPr="00816CE5">
        <w:t>, released</w:t>
      </w:r>
      <w:r w:rsidR="00585B8B">
        <w:t xml:space="preserve"> 27 March</w:t>
      </w:r>
      <w:r w:rsidR="005B59ED">
        <w:t xml:space="preserve"> 2025</w:t>
      </w:r>
      <w:r w:rsidRPr="00816CE5">
        <w:t>. Data trended by Jobs and Skills Australia.</w:t>
      </w:r>
    </w:p>
    <w:p w14:paraId="71C458EC" w14:textId="29D62467" w:rsidR="001B319D" w:rsidRDefault="001B319D" w:rsidP="001B319D">
      <w:r w:rsidRPr="00816CE5">
        <w:lastRenderedPageBreak/>
        <w:t xml:space="preserve">Additional information on occupational groups is provided </w:t>
      </w:r>
      <w:r>
        <w:t>in the following section on internet vacancy data.</w:t>
      </w:r>
    </w:p>
    <w:p w14:paraId="7E5CFC47" w14:textId="77777777" w:rsidR="004D2473" w:rsidRPr="00256FD8" w:rsidRDefault="004D2473" w:rsidP="004D2473">
      <w:pPr>
        <w:pStyle w:val="Heading2"/>
      </w:pPr>
      <w:r w:rsidRPr="00937E90">
        <w:t>Internet Vacancy data</w:t>
      </w:r>
      <w:r w:rsidRPr="00937E90">
        <w:rPr>
          <w:rStyle w:val="FootnoteReference"/>
        </w:rPr>
        <w:footnoteReference w:id="6"/>
      </w:r>
    </w:p>
    <w:p w14:paraId="2D0806FB" w14:textId="2B4840CF" w:rsidR="000954C1" w:rsidRPr="0060772E" w:rsidRDefault="000954C1" w:rsidP="000954C1">
      <w:pPr>
        <w:spacing w:after="160" w:line="259" w:lineRule="auto"/>
      </w:pPr>
      <w:r w:rsidRPr="00256FD8">
        <w:t xml:space="preserve">Jobs and Skills Australia </w:t>
      </w:r>
      <w:r w:rsidRPr="0060772E">
        <w:t>produces the monthly Vacancy Report which contains the Internet Vacancy Index (IVI). See Figure 7.</w:t>
      </w:r>
    </w:p>
    <w:p w14:paraId="2800A865" w14:textId="3958D760" w:rsidR="000954C1" w:rsidRPr="00FF6546" w:rsidRDefault="000954C1" w:rsidP="000954C1">
      <w:pPr>
        <w:spacing w:after="160" w:line="259" w:lineRule="auto"/>
      </w:pPr>
      <w:r w:rsidRPr="0060772E">
        <w:t xml:space="preserve">Over the year to </w:t>
      </w:r>
      <w:r w:rsidR="00256FD8" w:rsidRPr="0060772E">
        <w:t>February</w:t>
      </w:r>
      <w:r w:rsidR="00C209B3" w:rsidRPr="0060772E">
        <w:t xml:space="preserve"> </w:t>
      </w:r>
      <w:r w:rsidRPr="0060772E">
        <w:t>202</w:t>
      </w:r>
      <w:r w:rsidR="00256FD8" w:rsidRPr="0060772E">
        <w:t>5</w:t>
      </w:r>
      <w:r w:rsidRPr="0060772E">
        <w:t>, trend vacancies decreased for all occupation groups:</w:t>
      </w:r>
      <w:r w:rsidR="00937E90" w:rsidRPr="0060772E">
        <w:t xml:space="preserve"> Community and Personal Service Workers (down by 23.4%), </w:t>
      </w:r>
      <w:r w:rsidRPr="0060772E">
        <w:t xml:space="preserve">Professionals (down by </w:t>
      </w:r>
      <w:r w:rsidR="003D2B9C" w:rsidRPr="0060772E">
        <w:t>1</w:t>
      </w:r>
      <w:r w:rsidR="00256FD8" w:rsidRPr="0060772E">
        <w:t>7</w:t>
      </w:r>
      <w:r w:rsidR="003D2B9C" w:rsidRPr="0060772E">
        <w:t>.</w:t>
      </w:r>
      <w:r w:rsidR="00256FD8" w:rsidRPr="0060772E">
        <w:t>2</w:t>
      </w:r>
      <w:r w:rsidR="003D2B9C" w:rsidRPr="0060772E">
        <w:t>%</w:t>
      </w:r>
      <w:r w:rsidRPr="0060772E">
        <w:t xml:space="preserve">), Clerical and Administrative Workers (down by </w:t>
      </w:r>
      <w:r w:rsidR="003D2B9C" w:rsidRPr="0060772E">
        <w:t>15.</w:t>
      </w:r>
      <w:r w:rsidR="00256FD8" w:rsidRPr="0060772E">
        <w:t>8</w:t>
      </w:r>
      <w:r w:rsidR="003D2B9C" w:rsidRPr="0060772E">
        <w:t>%</w:t>
      </w:r>
      <w:r w:rsidRPr="0060772E">
        <w:t>),</w:t>
      </w:r>
      <w:r w:rsidR="00816CE5" w:rsidRPr="0060772E">
        <w:t xml:space="preserve"> Managers (down by 1</w:t>
      </w:r>
      <w:r w:rsidR="00256FD8" w:rsidRPr="0060772E">
        <w:t>3.9</w:t>
      </w:r>
      <w:r w:rsidR="00816CE5" w:rsidRPr="0060772E">
        <w:t xml:space="preserve">%), </w:t>
      </w:r>
      <w:r w:rsidR="00937E90" w:rsidRPr="0060772E">
        <w:t xml:space="preserve">Technicians and Trades Workers (down by 12.9%), </w:t>
      </w:r>
      <w:r w:rsidR="00816CE5" w:rsidRPr="0060772E">
        <w:t>Sales Workers (down by 12.</w:t>
      </w:r>
      <w:r w:rsidR="00D26C99" w:rsidRPr="0060772E">
        <w:t>3</w:t>
      </w:r>
      <w:r w:rsidR="00816CE5" w:rsidRPr="0060772E">
        <w:t xml:space="preserve">%), </w:t>
      </w:r>
      <w:r w:rsidRPr="0060772E">
        <w:t xml:space="preserve">Machinery Operators and Drivers (down by </w:t>
      </w:r>
      <w:r w:rsidR="00256FD8" w:rsidRPr="0060772E">
        <w:t>9</w:t>
      </w:r>
      <w:r w:rsidR="00D26C99" w:rsidRPr="0060772E">
        <w:t>.1</w:t>
      </w:r>
      <w:r w:rsidR="003D2B9C" w:rsidRPr="0060772E">
        <w:t>%</w:t>
      </w:r>
      <w:r w:rsidRPr="0060772E">
        <w:t xml:space="preserve">) </w:t>
      </w:r>
      <w:r w:rsidR="00816CE5" w:rsidRPr="0060772E">
        <w:t xml:space="preserve">and </w:t>
      </w:r>
      <w:r w:rsidRPr="0060772E">
        <w:t xml:space="preserve">Labourers (down by </w:t>
      </w:r>
      <w:r w:rsidR="003D2B9C" w:rsidRPr="0060772E">
        <w:t>9.</w:t>
      </w:r>
      <w:r w:rsidR="00256FD8" w:rsidRPr="0060772E">
        <w:t>2</w:t>
      </w:r>
      <w:r w:rsidR="003D2B9C" w:rsidRPr="0060772E">
        <w:t>%</w:t>
      </w:r>
      <w:r w:rsidRPr="0060772E">
        <w:t>)</w:t>
      </w:r>
      <w:r w:rsidR="00816CE5" w:rsidRPr="0060772E">
        <w:t>.</w:t>
      </w:r>
    </w:p>
    <w:p w14:paraId="01C5599E" w14:textId="79944A76" w:rsidR="00290EEA" w:rsidRPr="00FF6546" w:rsidRDefault="004F6A69">
      <w:pPr>
        <w:spacing w:after="160" w:line="259" w:lineRule="auto"/>
      </w:pPr>
      <w:r w:rsidRPr="0060772E">
        <w:t>At the more detailed occupation level, trend vacancies decreased</w:t>
      </w:r>
      <w:r w:rsidR="00445906" w:rsidRPr="0060772E">
        <w:t xml:space="preserve"> in all 48 occupation clusters over the year to </w:t>
      </w:r>
      <w:r w:rsidR="00FA2088" w:rsidRPr="0060772E">
        <w:t>February 2025</w:t>
      </w:r>
      <w:r w:rsidR="00445906" w:rsidRPr="0060772E">
        <w:t xml:space="preserve">. The largest decreases were for </w:t>
      </w:r>
      <w:r w:rsidR="003D2B9C" w:rsidRPr="0060772E">
        <w:t>Hospitality Workers</w:t>
      </w:r>
      <w:r w:rsidR="00290EEA" w:rsidRPr="0060772E">
        <w:t xml:space="preserve"> (down by </w:t>
      </w:r>
      <w:r w:rsidR="00456AEB" w:rsidRPr="0060772E">
        <w:t>44</w:t>
      </w:r>
      <w:r w:rsidR="003D2B9C" w:rsidRPr="0060772E">
        <w:t>.</w:t>
      </w:r>
      <w:r w:rsidR="00456AEB" w:rsidRPr="0060772E">
        <w:t>8</w:t>
      </w:r>
      <w:r w:rsidR="003D2B9C" w:rsidRPr="0060772E">
        <w:t>%</w:t>
      </w:r>
      <w:r w:rsidR="00290EEA" w:rsidRPr="0060772E">
        <w:t xml:space="preserve">), </w:t>
      </w:r>
      <w:r w:rsidR="00456AEB" w:rsidRPr="0060772E">
        <w:t xml:space="preserve">Education Professionals </w:t>
      </w:r>
      <w:r w:rsidR="00290EEA" w:rsidRPr="0060772E">
        <w:t xml:space="preserve">(down by </w:t>
      </w:r>
      <w:r w:rsidR="003D2B9C" w:rsidRPr="0060772E">
        <w:t>2</w:t>
      </w:r>
      <w:r w:rsidR="00456AEB" w:rsidRPr="0060772E">
        <w:t>6.</w:t>
      </w:r>
      <w:r w:rsidR="00D26C99" w:rsidRPr="0060772E">
        <w:t>4</w:t>
      </w:r>
      <w:r w:rsidR="003D2B9C" w:rsidRPr="0060772E">
        <w:t>%</w:t>
      </w:r>
      <w:r w:rsidR="00290EEA" w:rsidRPr="0060772E">
        <w:t xml:space="preserve">) and </w:t>
      </w:r>
      <w:r w:rsidR="00456AEB" w:rsidRPr="0060772E">
        <w:t xml:space="preserve">Food Preparation Assistants </w:t>
      </w:r>
      <w:r w:rsidR="00290EEA" w:rsidRPr="0060772E">
        <w:t xml:space="preserve">(down by </w:t>
      </w:r>
      <w:r w:rsidR="003D2B9C" w:rsidRPr="0060772E">
        <w:t>2</w:t>
      </w:r>
      <w:r w:rsidR="00456AEB" w:rsidRPr="0060772E">
        <w:t>6</w:t>
      </w:r>
      <w:r w:rsidR="003D2B9C" w:rsidRPr="0060772E">
        <w:t>.1%</w:t>
      </w:r>
      <w:r w:rsidR="00290EEA" w:rsidRPr="0060772E">
        <w:t>).</w:t>
      </w:r>
    </w:p>
    <w:p w14:paraId="639F2B5A" w14:textId="63F225DC" w:rsidR="00290EEA" w:rsidRPr="00FF6546" w:rsidRDefault="00290EEA">
      <w:pPr>
        <w:spacing w:after="160" w:line="259" w:lineRule="auto"/>
      </w:pPr>
      <w:r w:rsidRPr="0060772E">
        <w:t xml:space="preserve">Over the year to </w:t>
      </w:r>
      <w:r w:rsidR="00456AEB" w:rsidRPr="0060772E">
        <w:t>February</w:t>
      </w:r>
      <w:r w:rsidR="00C209B3" w:rsidRPr="0060772E">
        <w:t xml:space="preserve"> </w:t>
      </w:r>
      <w:r w:rsidRPr="0060772E">
        <w:t>202</w:t>
      </w:r>
      <w:r w:rsidR="00456AEB" w:rsidRPr="0060772E">
        <w:t>5</w:t>
      </w:r>
      <w:r w:rsidRPr="0060772E">
        <w:t xml:space="preserve">, trend vacancies fell in all states and territories, decreasing in </w:t>
      </w:r>
      <w:r w:rsidR="00937E90" w:rsidRPr="0060772E">
        <w:t xml:space="preserve">Tasmania (down by 21.2%), </w:t>
      </w:r>
      <w:r w:rsidRPr="0060772E">
        <w:t xml:space="preserve">Victoria (down by </w:t>
      </w:r>
      <w:r w:rsidR="003D2B9C" w:rsidRPr="0060772E">
        <w:t>21.</w:t>
      </w:r>
      <w:r w:rsidR="00456AEB" w:rsidRPr="0060772E">
        <w:t>1</w:t>
      </w:r>
      <w:r w:rsidR="003D2B9C" w:rsidRPr="0060772E">
        <w:t>%</w:t>
      </w:r>
      <w:r w:rsidRPr="0060772E">
        <w:t xml:space="preserve">), </w:t>
      </w:r>
      <w:r w:rsidR="00CB203F" w:rsidRPr="0060772E">
        <w:t xml:space="preserve">the </w:t>
      </w:r>
      <w:r w:rsidR="003D2B9C" w:rsidRPr="0060772E">
        <w:t>ACT</w:t>
      </w:r>
      <w:r w:rsidRPr="0060772E">
        <w:t xml:space="preserve"> (down by </w:t>
      </w:r>
      <w:r w:rsidR="001315F5" w:rsidRPr="0060772E">
        <w:t>20.7</w:t>
      </w:r>
      <w:r w:rsidR="003D2B9C" w:rsidRPr="0060772E">
        <w:t>%</w:t>
      </w:r>
      <w:r w:rsidRPr="0060772E">
        <w:t>),</w:t>
      </w:r>
      <w:r w:rsidR="00937E90" w:rsidRPr="0060772E">
        <w:t xml:space="preserve"> WA (down by 16.2%),</w:t>
      </w:r>
      <w:r w:rsidRPr="0060772E">
        <w:t xml:space="preserve"> </w:t>
      </w:r>
      <w:r w:rsidR="003D2B9C" w:rsidRPr="0060772E">
        <w:t>NSW</w:t>
      </w:r>
      <w:r w:rsidRPr="0060772E">
        <w:t xml:space="preserve"> (down by </w:t>
      </w:r>
      <w:r w:rsidR="003D2B9C" w:rsidRPr="0060772E">
        <w:t>1</w:t>
      </w:r>
      <w:r w:rsidR="001315F5" w:rsidRPr="0060772E">
        <w:t>5.3</w:t>
      </w:r>
      <w:r w:rsidR="003D2B9C" w:rsidRPr="0060772E">
        <w:t>%</w:t>
      </w:r>
      <w:r w:rsidRPr="0060772E">
        <w:t xml:space="preserve">), </w:t>
      </w:r>
      <w:r w:rsidR="00937E90" w:rsidRPr="0060772E">
        <w:t xml:space="preserve">SA (down by 9.7%), </w:t>
      </w:r>
      <w:r w:rsidRPr="0060772E">
        <w:t xml:space="preserve">Queensland (down by </w:t>
      </w:r>
      <w:r w:rsidR="001315F5" w:rsidRPr="0060772E">
        <w:t>8.4</w:t>
      </w:r>
      <w:r w:rsidR="003D2B9C" w:rsidRPr="0060772E">
        <w:t>%</w:t>
      </w:r>
      <w:r w:rsidRPr="0060772E">
        <w:t xml:space="preserve">), and </w:t>
      </w:r>
      <w:r w:rsidR="00CB203F" w:rsidRPr="0060772E">
        <w:t xml:space="preserve">the </w:t>
      </w:r>
      <w:r w:rsidRPr="0060772E">
        <w:t xml:space="preserve">NT (down by </w:t>
      </w:r>
      <w:r w:rsidR="001315F5" w:rsidRPr="0060772E">
        <w:t>7.4</w:t>
      </w:r>
      <w:r w:rsidR="003D2B9C" w:rsidRPr="0060772E">
        <w:t>%</w:t>
      </w:r>
      <w:r w:rsidRPr="0060772E">
        <w:t xml:space="preserve">). For a full list of occupations and their recent growth in vacancies, see the </w:t>
      </w:r>
      <w:hyperlink r:id="rId25" w:history="1">
        <w:r w:rsidRPr="0060772E">
          <w:rPr>
            <w:rStyle w:val="Hyperlink"/>
            <w:color w:val="auto"/>
          </w:rPr>
          <w:t>Vacancy Report</w:t>
        </w:r>
      </w:hyperlink>
      <w:r w:rsidRPr="0060772E">
        <w:t xml:space="preserve"> and supporting datafiles</w:t>
      </w:r>
      <w:r w:rsidRPr="00FF6546">
        <w:t>.</w:t>
      </w:r>
    </w:p>
    <w:p w14:paraId="2C4027D5" w14:textId="09456591" w:rsidR="00832746" w:rsidRPr="00564920" w:rsidRDefault="00832746" w:rsidP="00832746">
      <w:pPr>
        <w:pStyle w:val="Caption"/>
        <w:rPr>
          <w:sz w:val="20"/>
          <w:szCs w:val="20"/>
        </w:rPr>
      </w:pPr>
      <w:r w:rsidRPr="00564920">
        <w:rPr>
          <w:sz w:val="20"/>
          <w:szCs w:val="20"/>
        </w:rPr>
        <w:t>Figure 7: Internet Vacancy Index</w:t>
      </w:r>
      <w:r w:rsidR="00AF1416" w:rsidRPr="00564920">
        <w:rPr>
          <w:sz w:val="20"/>
          <w:szCs w:val="20"/>
        </w:rPr>
        <w:t xml:space="preserve"> </w:t>
      </w:r>
      <w:r w:rsidR="00C96757">
        <w:rPr>
          <w:sz w:val="20"/>
          <w:szCs w:val="20"/>
        </w:rPr>
        <w:t>–</w:t>
      </w:r>
      <w:r w:rsidRPr="00564920">
        <w:rPr>
          <w:sz w:val="20"/>
          <w:szCs w:val="20"/>
        </w:rPr>
        <w:t xml:space="preserve"> January 2006 to </w:t>
      </w:r>
      <w:r w:rsidR="00AA09BB" w:rsidRPr="00564920">
        <w:rPr>
          <w:sz w:val="20"/>
          <w:szCs w:val="20"/>
        </w:rPr>
        <w:t>February 2025</w:t>
      </w:r>
    </w:p>
    <w:p w14:paraId="3A32716D" w14:textId="178A25CB" w:rsidR="00832746" w:rsidRDefault="00AA09BB">
      <w:pPr>
        <w:spacing w:after="160" w:line="259" w:lineRule="auto"/>
      </w:pPr>
      <w:r>
        <w:rPr>
          <w:noProof/>
        </w:rPr>
        <w:drawing>
          <wp:inline distT="0" distB="0" distL="0" distR="0" wp14:anchorId="37F11012" wp14:editId="0998F330">
            <wp:extent cx="5731510" cy="3518453"/>
            <wp:effectExtent l="0" t="0" r="2540" b="6350"/>
            <wp:docPr id="1756721749" name="Chart 1" descr="Figure 7: Internet Vacancy Index, January 2006 to February 2025&#10;The IVI graph details the monthly Trend Index for Professionals, Technicians and Trades Workers and the Australian Total from January 2006 to February 2025.">
              <a:extLst xmlns:a="http://schemas.openxmlformats.org/drawingml/2006/main">
                <a:ext uri="{FF2B5EF4-FFF2-40B4-BE49-F238E27FC236}">
                  <a16:creationId xmlns:a16="http://schemas.microsoft.com/office/drawing/2014/main" id="{6C8B1EF5-42A0-4074-BCF8-1D656B7D8A0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14:paraId="08601EDD" w14:textId="03B5F0B3" w:rsidR="00FC63D7" w:rsidRDefault="00832746" w:rsidP="00832746">
      <w:pPr>
        <w:pStyle w:val="Source"/>
      </w:pPr>
      <w:r w:rsidRPr="00804A37">
        <w:t xml:space="preserve">Source: Jobs and Skills Australia, </w:t>
      </w:r>
      <w:hyperlink r:id="rId27" w:history="1">
        <w:r w:rsidRPr="00804A37">
          <w:rPr>
            <w:rStyle w:val="Hyperlink"/>
            <w:i/>
            <w:iCs/>
          </w:rPr>
          <w:t>Internet Vacancy Index</w:t>
        </w:r>
      </w:hyperlink>
      <w:r w:rsidRPr="00804A37">
        <w:t>, (ANZSCO2 Occupations, States and Territories, Trend</w:t>
      </w:r>
      <w:r w:rsidRPr="00816CE5">
        <w:t xml:space="preserve">), </w:t>
      </w:r>
      <w:r w:rsidR="00AA09BB">
        <w:t>February</w:t>
      </w:r>
      <w:r w:rsidRPr="00816CE5">
        <w:t> 202</w:t>
      </w:r>
      <w:r w:rsidR="00AA09BB">
        <w:t>5</w:t>
      </w:r>
      <w:r w:rsidRPr="00804A37">
        <w:t>, released</w:t>
      </w:r>
      <w:r w:rsidR="00513C4C">
        <w:t xml:space="preserve"> </w:t>
      </w:r>
      <w:r w:rsidR="00AA09BB">
        <w:t>19 March 2025</w:t>
      </w:r>
      <w:r w:rsidRPr="00804A37">
        <w:t>.</w:t>
      </w:r>
    </w:p>
    <w:p w14:paraId="1FD05982" w14:textId="5A097CAA" w:rsidR="00A10533" w:rsidRPr="00D40B54" w:rsidRDefault="00A10533" w:rsidP="00D40B54">
      <w:pPr>
        <w:pStyle w:val="Heading2"/>
      </w:pPr>
      <w:r w:rsidRPr="00D40B54">
        <w:lastRenderedPageBreak/>
        <w:t>Appendix A: Australia – States and Territories</w:t>
      </w:r>
    </w:p>
    <w:p w14:paraId="1ACF113D" w14:textId="77777777" w:rsidR="00A10533" w:rsidRPr="0034241C" w:rsidRDefault="00A10533" w:rsidP="0034241C"/>
    <w:p w14:paraId="222DD1A2" w14:textId="52FE2416" w:rsidR="00A10533" w:rsidRPr="006A4F70" w:rsidRDefault="00A10533" w:rsidP="00A10533">
      <w:pPr>
        <w:spacing w:line="240" w:lineRule="auto"/>
      </w:pPr>
      <w:bookmarkStart w:id="8" w:name="_Toc173835347"/>
      <w:r w:rsidRPr="006A4F70">
        <w:t xml:space="preserve">This </w:t>
      </w:r>
      <w:r>
        <w:t>appendix</w:t>
      </w:r>
      <w:r w:rsidRPr="006A4F70">
        <w:t xml:space="preserve"> provides an overview of the Australian population; its regional, state and territory distribution; and labour market. Unless otherwise stated, data are from the ABS Labour Force Survey, February 202</w:t>
      </w:r>
      <w:r>
        <w:t>5</w:t>
      </w:r>
      <w:r w:rsidRPr="006A4F70">
        <w:t>.</w:t>
      </w:r>
    </w:p>
    <w:p w14:paraId="52CFF02B" w14:textId="77777777" w:rsidR="00A10533" w:rsidRPr="006A4F70" w:rsidRDefault="00A10533" w:rsidP="00A10533">
      <w:pPr>
        <w:spacing w:line="240" w:lineRule="auto"/>
      </w:pPr>
      <w:r w:rsidRPr="005A5AB3">
        <w:t>In December 2024, the Australian Government released its fifth Population Statement</w:t>
      </w:r>
      <w:r w:rsidRPr="005A5AB3">
        <w:rPr>
          <w:rStyle w:val="FootnoteReference"/>
        </w:rPr>
        <w:footnoteReference w:id="7"/>
      </w:r>
      <w:r w:rsidRPr="005A5AB3">
        <w:t xml:space="preserve"> which explores the continued recovery of Australia’s population following the COVID-19 pandemic. The Statement notes that population growth is forecast to decrease from 2.</w:t>
      </w:r>
      <w:r>
        <w:t>1</w:t>
      </w:r>
      <w:r w:rsidRPr="005A5AB3">
        <w:t>% in 202</w:t>
      </w:r>
      <w:r>
        <w:t>3</w:t>
      </w:r>
      <w:r w:rsidRPr="005A5AB3">
        <w:t>-2</w:t>
      </w:r>
      <w:r>
        <w:t>4</w:t>
      </w:r>
      <w:r w:rsidRPr="005A5AB3">
        <w:t xml:space="preserve"> </w:t>
      </w:r>
      <w:r>
        <w:t>and gradually fall to 1.2% from 2026–27 to 2034–35.</w:t>
      </w:r>
    </w:p>
    <w:p w14:paraId="0E3D83EE" w14:textId="77777777" w:rsidR="00A10533" w:rsidRPr="004E0147" w:rsidRDefault="00A10533" w:rsidP="00A10533">
      <w:pPr>
        <w:pStyle w:val="Heading2"/>
      </w:pPr>
      <w:r w:rsidRPr="004E0147">
        <w:t>The Australian population</w:t>
      </w:r>
    </w:p>
    <w:p w14:paraId="68FB00EC" w14:textId="77777777" w:rsidR="00A10533" w:rsidRPr="000E03FE" w:rsidRDefault="00A10533" w:rsidP="00A10533">
      <w:pPr>
        <w:spacing w:line="240" w:lineRule="auto"/>
      </w:pPr>
      <w:r w:rsidRPr="000E03FE">
        <w:t xml:space="preserve">Australia’s population is concentrated in NSW and Victoria (with 31.2% and 25.7% of the total population respectively). As of June 2024, just over two-thirds of Australians live in capital cities. Tasmania and Queensland had the highest share of their populations living outside their capital cities (55.7% and </w:t>
      </w:r>
      <w:r>
        <w:t>4</w:t>
      </w:r>
      <w:r w:rsidRPr="000E03FE">
        <w:t>0.2%, respectively).</w:t>
      </w:r>
    </w:p>
    <w:p w14:paraId="005F582C" w14:textId="77777777" w:rsidR="00A10533" w:rsidRPr="000E03FE" w:rsidRDefault="00A10533" w:rsidP="00A10533">
      <w:pPr>
        <w:spacing w:line="240" w:lineRule="auto"/>
      </w:pPr>
      <w:r w:rsidRPr="000E03FE">
        <w:t xml:space="preserve">Net Overseas Migration (NOM) was 435,198 in the 2023-24 financial year. NOM was highest in NSW and Victoria (receiving 137,430 and 130,226 persons, respectively) and the lowest in Tasmania (3,950 persons) and the NT </w:t>
      </w:r>
      <w:r>
        <w:t>(</w:t>
      </w:r>
      <w:r w:rsidRPr="000E03FE">
        <w:t>3,612 persons).</w:t>
      </w:r>
    </w:p>
    <w:p w14:paraId="64C63BD1" w14:textId="77777777" w:rsidR="00A10533" w:rsidRPr="00564920" w:rsidRDefault="00A10533" w:rsidP="00A10533">
      <w:pPr>
        <w:keepNext/>
        <w:spacing w:before="320" w:after="200" w:line="276" w:lineRule="auto"/>
        <w:rPr>
          <w:rFonts w:eastAsia="Arial Nova" w:cs="Times New Roman"/>
          <w:b/>
          <w:bCs/>
          <w:sz w:val="20"/>
          <w:szCs w:val="20"/>
        </w:rPr>
      </w:pPr>
      <w:r w:rsidRPr="00564920">
        <w:rPr>
          <w:rFonts w:eastAsia="Arial Nova" w:cs="Times New Roman"/>
          <w:b/>
          <w:bCs/>
          <w:sz w:val="20"/>
          <w:szCs w:val="20"/>
        </w:rPr>
        <w:t>Table A: Distribution of the Australian resident population as at June 2024*</w:t>
      </w:r>
    </w:p>
    <w:tbl>
      <w:tblPr>
        <w:tblStyle w:val="JSATable1"/>
        <w:tblW w:w="9699" w:type="dxa"/>
        <w:tblInd w:w="-142" w:type="dxa"/>
        <w:tblLook w:val="0020" w:firstRow="1" w:lastRow="0" w:firstColumn="0" w:lastColumn="0" w:noHBand="0" w:noVBand="0"/>
      </w:tblPr>
      <w:tblGrid>
        <w:gridCol w:w="1274"/>
        <w:gridCol w:w="973"/>
        <w:gridCol w:w="973"/>
        <w:gridCol w:w="973"/>
        <w:gridCol w:w="973"/>
        <w:gridCol w:w="973"/>
        <w:gridCol w:w="831"/>
        <w:gridCol w:w="831"/>
        <w:gridCol w:w="831"/>
        <w:gridCol w:w="1067"/>
      </w:tblGrid>
      <w:tr w:rsidR="00A10533" w:rsidRPr="000E03FE" w14:paraId="338A6A53" w14:textId="77777777" w:rsidTr="003B6D25">
        <w:trPr>
          <w:cnfStyle w:val="100000000000" w:firstRow="1" w:lastRow="0" w:firstColumn="0" w:lastColumn="0" w:oddVBand="0" w:evenVBand="0" w:oddHBand="0" w:evenHBand="0" w:firstRowFirstColumn="0" w:firstRowLastColumn="0" w:lastRowFirstColumn="0" w:lastRowLastColumn="0"/>
          <w:trHeight w:val="379"/>
        </w:trPr>
        <w:tc>
          <w:tcPr>
            <w:tcW w:w="1274" w:type="dxa"/>
            <w:vAlign w:val="center"/>
          </w:tcPr>
          <w:p w14:paraId="23F1A4BC" w14:textId="77777777" w:rsidR="00A10533" w:rsidRPr="000E03FE" w:rsidRDefault="00A10533" w:rsidP="003B6D25">
            <w:pPr>
              <w:spacing w:line="276" w:lineRule="auto"/>
              <w:jc w:val="center"/>
              <w:rPr>
                <w:rFonts w:eastAsia="Arial Nova" w:cs="Arial"/>
                <w:color w:val="FFFFFF" w:themeColor="background1"/>
                <w:sz w:val="17"/>
                <w:szCs w:val="17"/>
              </w:rPr>
            </w:pPr>
          </w:p>
        </w:tc>
        <w:tc>
          <w:tcPr>
            <w:tcW w:w="0" w:type="auto"/>
            <w:vAlign w:val="bottom"/>
          </w:tcPr>
          <w:p w14:paraId="08498011" w14:textId="77777777" w:rsidR="00A10533" w:rsidRPr="000E03FE" w:rsidRDefault="00A10533" w:rsidP="003B6D25">
            <w:pPr>
              <w:spacing w:line="276" w:lineRule="auto"/>
              <w:jc w:val="center"/>
              <w:rPr>
                <w:rFonts w:eastAsia="Arial Nova" w:cs="Arial"/>
                <w:color w:val="FFFFFF" w:themeColor="background1"/>
                <w:sz w:val="17"/>
                <w:szCs w:val="17"/>
              </w:rPr>
            </w:pPr>
            <w:r w:rsidRPr="000E03FE">
              <w:rPr>
                <w:rFonts w:cs="Arial"/>
                <w:color w:val="FFFFFF" w:themeColor="background1"/>
                <w:sz w:val="17"/>
                <w:szCs w:val="17"/>
              </w:rPr>
              <w:t>NSW</w:t>
            </w:r>
          </w:p>
        </w:tc>
        <w:tc>
          <w:tcPr>
            <w:tcW w:w="0" w:type="auto"/>
            <w:vAlign w:val="bottom"/>
          </w:tcPr>
          <w:p w14:paraId="06C2AF65" w14:textId="77777777" w:rsidR="00A10533" w:rsidRPr="000E03FE" w:rsidRDefault="00A10533" w:rsidP="003B6D25">
            <w:pPr>
              <w:spacing w:line="276" w:lineRule="auto"/>
              <w:jc w:val="center"/>
              <w:rPr>
                <w:rFonts w:eastAsia="Arial Nova" w:cs="Arial"/>
                <w:color w:val="FFFFFF" w:themeColor="background1"/>
                <w:sz w:val="17"/>
                <w:szCs w:val="17"/>
              </w:rPr>
            </w:pPr>
            <w:r w:rsidRPr="000E03FE">
              <w:rPr>
                <w:rFonts w:cs="Arial"/>
                <w:color w:val="FFFFFF" w:themeColor="background1"/>
                <w:sz w:val="17"/>
                <w:szCs w:val="17"/>
              </w:rPr>
              <w:t>VIC</w:t>
            </w:r>
          </w:p>
        </w:tc>
        <w:tc>
          <w:tcPr>
            <w:tcW w:w="0" w:type="auto"/>
            <w:vAlign w:val="bottom"/>
          </w:tcPr>
          <w:p w14:paraId="75CF7767" w14:textId="77777777" w:rsidR="00A10533" w:rsidRPr="000E03FE" w:rsidRDefault="00A10533" w:rsidP="003B6D25">
            <w:pPr>
              <w:spacing w:line="276" w:lineRule="auto"/>
              <w:jc w:val="center"/>
              <w:rPr>
                <w:rFonts w:eastAsia="Arial Nova" w:cs="Arial"/>
                <w:color w:val="FFFFFF" w:themeColor="background1"/>
                <w:sz w:val="17"/>
                <w:szCs w:val="17"/>
              </w:rPr>
            </w:pPr>
            <w:r w:rsidRPr="000E03FE">
              <w:rPr>
                <w:rFonts w:cs="Arial"/>
                <w:color w:val="FFFFFF" w:themeColor="background1"/>
                <w:sz w:val="17"/>
                <w:szCs w:val="17"/>
              </w:rPr>
              <w:t>QLD</w:t>
            </w:r>
          </w:p>
        </w:tc>
        <w:tc>
          <w:tcPr>
            <w:tcW w:w="0" w:type="auto"/>
            <w:vAlign w:val="bottom"/>
          </w:tcPr>
          <w:p w14:paraId="33248FB9" w14:textId="77777777" w:rsidR="00A10533" w:rsidRPr="000E03FE" w:rsidRDefault="00A10533" w:rsidP="003B6D25">
            <w:pPr>
              <w:spacing w:line="276" w:lineRule="auto"/>
              <w:jc w:val="center"/>
              <w:rPr>
                <w:rFonts w:eastAsia="Arial Nova" w:cs="Arial"/>
                <w:color w:val="FFFFFF" w:themeColor="background1"/>
                <w:sz w:val="17"/>
                <w:szCs w:val="17"/>
              </w:rPr>
            </w:pPr>
            <w:r w:rsidRPr="000E03FE">
              <w:rPr>
                <w:rFonts w:cs="Arial"/>
                <w:color w:val="FFFFFF" w:themeColor="background1"/>
                <w:sz w:val="17"/>
                <w:szCs w:val="17"/>
              </w:rPr>
              <w:t>SA</w:t>
            </w:r>
          </w:p>
        </w:tc>
        <w:tc>
          <w:tcPr>
            <w:tcW w:w="0" w:type="auto"/>
            <w:vAlign w:val="bottom"/>
          </w:tcPr>
          <w:p w14:paraId="1CAA75DD" w14:textId="77777777" w:rsidR="00A10533" w:rsidRPr="000E03FE" w:rsidRDefault="00A10533" w:rsidP="003B6D25">
            <w:pPr>
              <w:spacing w:line="276" w:lineRule="auto"/>
              <w:jc w:val="center"/>
              <w:rPr>
                <w:rFonts w:eastAsia="Arial Nova" w:cs="Arial"/>
                <w:color w:val="FFFFFF" w:themeColor="background1"/>
                <w:sz w:val="17"/>
                <w:szCs w:val="17"/>
              </w:rPr>
            </w:pPr>
            <w:r w:rsidRPr="000E03FE">
              <w:rPr>
                <w:rFonts w:cs="Arial"/>
                <w:color w:val="FFFFFF" w:themeColor="background1"/>
                <w:sz w:val="17"/>
                <w:szCs w:val="17"/>
              </w:rPr>
              <w:t>WA</w:t>
            </w:r>
          </w:p>
        </w:tc>
        <w:tc>
          <w:tcPr>
            <w:tcW w:w="0" w:type="auto"/>
            <w:vAlign w:val="bottom"/>
          </w:tcPr>
          <w:p w14:paraId="527867F7" w14:textId="77777777" w:rsidR="00A10533" w:rsidRPr="000E03FE" w:rsidRDefault="00A10533" w:rsidP="003B6D25">
            <w:pPr>
              <w:spacing w:line="276" w:lineRule="auto"/>
              <w:jc w:val="center"/>
              <w:rPr>
                <w:rFonts w:eastAsia="Arial Nova" w:cs="Arial"/>
                <w:color w:val="FFFFFF" w:themeColor="background1"/>
                <w:sz w:val="17"/>
                <w:szCs w:val="17"/>
              </w:rPr>
            </w:pPr>
            <w:r w:rsidRPr="000E03FE">
              <w:rPr>
                <w:rFonts w:cs="Arial"/>
                <w:color w:val="FFFFFF" w:themeColor="background1"/>
                <w:sz w:val="17"/>
                <w:szCs w:val="17"/>
              </w:rPr>
              <w:t>TAS</w:t>
            </w:r>
          </w:p>
        </w:tc>
        <w:tc>
          <w:tcPr>
            <w:tcW w:w="0" w:type="auto"/>
            <w:vAlign w:val="bottom"/>
          </w:tcPr>
          <w:p w14:paraId="70394FE9" w14:textId="77777777" w:rsidR="00A10533" w:rsidRPr="000E03FE" w:rsidRDefault="00A10533" w:rsidP="003B6D25">
            <w:pPr>
              <w:spacing w:line="276" w:lineRule="auto"/>
              <w:jc w:val="center"/>
              <w:rPr>
                <w:rFonts w:eastAsia="Arial Nova" w:cs="Arial"/>
                <w:color w:val="FFFFFF" w:themeColor="background1"/>
                <w:sz w:val="17"/>
                <w:szCs w:val="17"/>
              </w:rPr>
            </w:pPr>
            <w:r w:rsidRPr="000E03FE">
              <w:rPr>
                <w:rFonts w:cs="Arial"/>
                <w:color w:val="FFFFFF" w:themeColor="background1"/>
                <w:sz w:val="17"/>
                <w:szCs w:val="17"/>
              </w:rPr>
              <w:t>NT</w:t>
            </w:r>
          </w:p>
        </w:tc>
        <w:tc>
          <w:tcPr>
            <w:tcW w:w="0" w:type="auto"/>
            <w:vAlign w:val="bottom"/>
          </w:tcPr>
          <w:p w14:paraId="61BB8E09" w14:textId="77777777" w:rsidR="00A10533" w:rsidRPr="000E03FE" w:rsidRDefault="00A10533" w:rsidP="003B6D25">
            <w:pPr>
              <w:spacing w:line="276" w:lineRule="auto"/>
              <w:jc w:val="center"/>
              <w:rPr>
                <w:rFonts w:eastAsia="Arial Nova" w:cs="Arial"/>
                <w:color w:val="FFFFFF" w:themeColor="background1"/>
                <w:sz w:val="17"/>
                <w:szCs w:val="17"/>
              </w:rPr>
            </w:pPr>
            <w:r w:rsidRPr="000E03FE">
              <w:rPr>
                <w:rFonts w:cs="Arial"/>
                <w:color w:val="FFFFFF" w:themeColor="background1"/>
                <w:sz w:val="17"/>
                <w:szCs w:val="17"/>
              </w:rPr>
              <w:t>ACT</w:t>
            </w:r>
          </w:p>
        </w:tc>
        <w:tc>
          <w:tcPr>
            <w:tcW w:w="0" w:type="auto"/>
            <w:vAlign w:val="bottom"/>
          </w:tcPr>
          <w:p w14:paraId="7344DACA" w14:textId="77777777" w:rsidR="00A10533" w:rsidRPr="000E03FE" w:rsidRDefault="00A10533" w:rsidP="003B6D25">
            <w:pPr>
              <w:spacing w:line="276" w:lineRule="auto"/>
              <w:jc w:val="center"/>
              <w:rPr>
                <w:rFonts w:eastAsia="Arial Nova" w:cs="Arial"/>
                <w:color w:val="FFFFFF" w:themeColor="background1"/>
                <w:sz w:val="17"/>
                <w:szCs w:val="17"/>
              </w:rPr>
            </w:pPr>
            <w:r w:rsidRPr="000E03FE">
              <w:rPr>
                <w:rFonts w:cs="Arial"/>
                <w:color w:val="FFFFFF" w:themeColor="background1"/>
                <w:sz w:val="17"/>
                <w:szCs w:val="17"/>
              </w:rPr>
              <w:t>AUST</w:t>
            </w:r>
          </w:p>
        </w:tc>
      </w:tr>
      <w:tr w:rsidR="00A10533" w:rsidRPr="000E03FE" w14:paraId="6075C3E2" w14:textId="77777777" w:rsidTr="003B6D25">
        <w:trPr>
          <w:trHeight w:val="587"/>
        </w:trPr>
        <w:tc>
          <w:tcPr>
            <w:tcW w:w="1274" w:type="dxa"/>
            <w:shd w:val="clear" w:color="auto" w:fill="auto"/>
            <w:vAlign w:val="center"/>
          </w:tcPr>
          <w:p w14:paraId="601DBE34" w14:textId="77777777" w:rsidR="00A10533" w:rsidRPr="000E03FE" w:rsidRDefault="00A10533" w:rsidP="0030335E">
            <w:pPr>
              <w:spacing w:line="276" w:lineRule="auto"/>
              <w:rPr>
                <w:rFonts w:eastAsia="Arial Nova" w:cs="Arial"/>
                <w:sz w:val="17"/>
                <w:szCs w:val="17"/>
              </w:rPr>
            </w:pPr>
            <w:r w:rsidRPr="000E03FE">
              <w:rPr>
                <w:rFonts w:cs="Arial"/>
                <w:sz w:val="17"/>
                <w:szCs w:val="17"/>
              </w:rPr>
              <w:t>Population</w:t>
            </w:r>
          </w:p>
        </w:tc>
        <w:tc>
          <w:tcPr>
            <w:tcW w:w="0" w:type="auto"/>
            <w:tcBorders>
              <w:top w:val="nil"/>
              <w:left w:val="nil"/>
              <w:bottom w:val="nil"/>
              <w:right w:val="nil"/>
            </w:tcBorders>
            <w:shd w:val="clear" w:color="auto" w:fill="auto"/>
            <w:vAlign w:val="center"/>
          </w:tcPr>
          <w:p w14:paraId="7016B8BD" w14:textId="77777777" w:rsidR="00A10533" w:rsidRPr="000E03FE" w:rsidRDefault="00A10533" w:rsidP="003B6D25">
            <w:pPr>
              <w:spacing w:line="276" w:lineRule="auto"/>
              <w:jc w:val="center"/>
              <w:rPr>
                <w:rFonts w:cs="Arial"/>
                <w:sz w:val="17"/>
                <w:szCs w:val="17"/>
              </w:rPr>
            </w:pPr>
            <w:r w:rsidRPr="00EB2E62">
              <w:rPr>
                <w:rFonts w:cs="Arial"/>
                <w:sz w:val="17"/>
                <w:szCs w:val="17"/>
              </w:rPr>
              <w:t>8</w:t>
            </w:r>
            <w:r>
              <w:rPr>
                <w:rFonts w:cs="Arial"/>
                <w:sz w:val="17"/>
                <w:szCs w:val="17"/>
              </w:rPr>
              <w:t>,</w:t>
            </w:r>
            <w:r w:rsidRPr="00EB2E62">
              <w:rPr>
                <w:rFonts w:cs="Arial"/>
                <w:sz w:val="17"/>
                <w:szCs w:val="17"/>
              </w:rPr>
              <w:t>479</w:t>
            </w:r>
            <w:r>
              <w:rPr>
                <w:rFonts w:cs="Arial"/>
                <w:sz w:val="17"/>
                <w:szCs w:val="17"/>
              </w:rPr>
              <w:t>,</w:t>
            </w:r>
            <w:r w:rsidRPr="00EB2E62">
              <w:rPr>
                <w:rFonts w:cs="Arial"/>
                <w:sz w:val="17"/>
                <w:szCs w:val="17"/>
              </w:rPr>
              <w:t>314</w:t>
            </w:r>
          </w:p>
        </w:tc>
        <w:tc>
          <w:tcPr>
            <w:tcW w:w="0" w:type="auto"/>
            <w:tcBorders>
              <w:top w:val="nil"/>
              <w:left w:val="nil"/>
              <w:bottom w:val="nil"/>
              <w:right w:val="nil"/>
            </w:tcBorders>
            <w:shd w:val="clear" w:color="auto" w:fill="auto"/>
            <w:vAlign w:val="center"/>
          </w:tcPr>
          <w:p w14:paraId="32BA216C" w14:textId="77777777" w:rsidR="00A10533" w:rsidRPr="000E03FE" w:rsidRDefault="00A10533" w:rsidP="003B6D25">
            <w:pPr>
              <w:spacing w:line="276" w:lineRule="auto"/>
              <w:jc w:val="center"/>
              <w:rPr>
                <w:rFonts w:cs="Arial"/>
                <w:sz w:val="17"/>
                <w:szCs w:val="17"/>
              </w:rPr>
            </w:pPr>
            <w:r w:rsidRPr="00EB2E62">
              <w:rPr>
                <w:rFonts w:cs="Arial"/>
                <w:sz w:val="17"/>
                <w:szCs w:val="17"/>
              </w:rPr>
              <w:t>6</w:t>
            </w:r>
            <w:r>
              <w:rPr>
                <w:rFonts w:cs="Arial"/>
                <w:sz w:val="17"/>
                <w:szCs w:val="17"/>
              </w:rPr>
              <w:t>,</w:t>
            </w:r>
            <w:r w:rsidRPr="00EB2E62">
              <w:rPr>
                <w:rFonts w:cs="Arial"/>
                <w:sz w:val="17"/>
                <w:szCs w:val="17"/>
              </w:rPr>
              <w:t>978</w:t>
            </w:r>
            <w:r>
              <w:rPr>
                <w:rFonts w:cs="Arial"/>
                <w:sz w:val="17"/>
                <w:szCs w:val="17"/>
              </w:rPr>
              <w:t>,</w:t>
            </w:r>
            <w:r w:rsidRPr="00EB2E62">
              <w:rPr>
                <w:rFonts w:cs="Arial"/>
                <w:sz w:val="17"/>
                <w:szCs w:val="17"/>
              </w:rPr>
              <w:t>719</w:t>
            </w:r>
          </w:p>
        </w:tc>
        <w:tc>
          <w:tcPr>
            <w:tcW w:w="0" w:type="auto"/>
            <w:tcBorders>
              <w:top w:val="nil"/>
              <w:left w:val="nil"/>
              <w:bottom w:val="nil"/>
              <w:right w:val="nil"/>
            </w:tcBorders>
            <w:shd w:val="clear" w:color="auto" w:fill="auto"/>
            <w:vAlign w:val="center"/>
          </w:tcPr>
          <w:p w14:paraId="29A10254" w14:textId="77777777" w:rsidR="00A10533" w:rsidRPr="000E03FE" w:rsidRDefault="00A10533" w:rsidP="003B6D25">
            <w:pPr>
              <w:spacing w:line="276" w:lineRule="auto"/>
              <w:jc w:val="center"/>
              <w:rPr>
                <w:rFonts w:cs="Arial"/>
                <w:sz w:val="17"/>
                <w:szCs w:val="17"/>
              </w:rPr>
            </w:pPr>
            <w:r w:rsidRPr="00EB2E62">
              <w:rPr>
                <w:rFonts w:cs="Arial"/>
                <w:sz w:val="17"/>
                <w:szCs w:val="17"/>
              </w:rPr>
              <w:t>5</w:t>
            </w:r>
            <w:r>
              <w:rPr>
                <w:rFonts w:cs="Arial"/>
                <w:sz w:val="17"/>
                <w:szCs w:val="17"/>
              </w:rPr>
              <w:t>,</w:t>
            </w:r>
            <w:r w:rsidRPr="00EB2E62">
              <w:rPr>
                <w:rFonts w:cs="Arial"/>
                <w:sz w:val="17"/>
                <w:szCs w:val="17"/>
              </w:rPr>
              <w:t>583</w:t>
            </w:r>
            <w:r>
              <w:rPr>
                <w:rFonts w:cs="Arial"/>
                <w:sz w:val="17"/>
                <w:szCs w:val="17"/>
              </w:rPr>
              <w:t>,</w:t>
            </w:r>
            <w:r w:rsidRPr="00EB2E62">
              <w:rPr>
                <w:rFonts w:cs="Arial"/>
                <w:sz w:val="17"/>
                <w:szCs w:val="17"/>
              </w:rPr>
              <w:t>833</w:t>
            </w:r>
          </w:p>
        </w:tc>
        <w:tc>
          <w:tcPr>
            <w:tcW w:w="0" w:type="auto"/>
            <w:tcBorders>
              <w:top w:val="nil"/>
              <w:left w:val="nil"/>
              <w:bottom w:val="nil"/>
              <w:right w:val="nil"/>
            </w:tcBorders>
            <w:shd w:val="clear" w:color="auto" w:fill="auto"/>
            <w:vAlign w:val="center"/>
          </w:tcPr>
          <w:p w14:paraId="20E31F0B" w14:textId="77777777" w:rsidR="00A10533" w:rsidRPr="000E03FE" w:rsidRDefault="00A10533" w:rsidP="003B6D25">
            <w:pPr>
              <w:spacing w:line="276" w:lineRule="auto"/>
              <w:jc w:val="center"/>
              <w:rPr>
                <w:rFonts w:cs="Arial"/>
                <w:sz w:val="17"/>
                <w:szCs w:val="17"/>
              </w:rPr>
            </w:pPr>
            <w:r w:rsidRPr="00EB2E62">
              <w:rPr>
                <w:rFonts w:cs="Arial"/>
                <w:sz w:val="17"/>
                <w:szCs w:val="17"/>
              </w:rPr>
              <w:t>1</w:t>
            </w:r>
            <w:r>
              <w:rPr>
                <w:rFonts w:cs="Arial"/>
                <w:sz w:val="17"/>
                <w:szCs w:val="17"/>
              </w:rPr>
              <w:t>,</w:t>
            </w:r>
            <w:r w:rsidRPr="00EB2E62">
              <w:rPr>
                <w:rFonts w:cs="Arial"/>
                <w:sz w:val="17"/>
                <w:szCs w:val="17"/>
              </w:rPr>
              <w:t>878</w:t>
            </w:r>
            <w:r>
              <w:rPr>
                <w:rFonts w:cs="Arial"/>
                <w:sz w:val="17"/>
                <w:szCs w:val="17"/>
              </w:rPr>
              <w:t>,</w:t>
            </w:r>
            <w:r w:rsidRPr="00EB2E62">
              <w:rPr>
                <w:rFonts w:cs="Arial"/>
                <w:sz w:val="17"/>
                <w:szCs w:val="17"/>
              </w:rPr>
              <w:t>011</w:t>
            </w:r>
          </w:p>
        </w:tc>
        <w:tc>
          <w:tcPr>
            <w:tcW w:w="0" w:type="auto"/>
            <w:tcBorders>
              <w:top w:val="nil"/>
              <w:left w:val="nil"/>
              <w:bottom w:val="nil"/>
              <w:right w:val="nil"/>
            </w:tcBorders>
            <w:shd w:val="clear" w:color="auto" w:fill="auto"/>
            <w:vAlign w:val="center"/>
          </w:tcPr>
          <w:p w14:paraId="442AAA42" w14:textId="77777777" w:rsidR="00A10533" w:rsidRPr="000E03FE" w:rsidRDefault="00A10533" w:rsidP="003B6D25">
            <w:pPr>
              <w:spacing w:line="276" w:lineRule="auto"/>
              <w:jc w:val="center"/>
              <w:rPr>
                <w:rFonts w:cs="Arial"/>
                <w:sz w:val="17"/>
                <w:szCs w:val="17"/>
              </w:rPr>
            </w:pPr>
            <w:r w:rsidRPr="00EB2E62">
              <w:rPr>
                <w:rFonts w:cs="Arial"/>
                <w:sz w:val="17"/>
                <w:szCs w:val="17"/>
              </w:rPr>
              <w:t>2</w:t>
            </w:r>
            <w:r>
              <w:rPr>
                <w:rFonts w:cs="Arial"/>
                <w:sz w:val="17"/>
                <w:szCs w:val="17"/>
              </w:rPr>
              <w:t>,</w:t>
            </w:r>
            <w:r w:rsidRPr="00EB2E62">
              <w:rPr>
                <w:rFonts w:cs="Arial"/>
                <w:sz w:val="17"/>
                <w:szCs w:val="17"/>
              </w:rPr>
              <w:t>965</w:t>
            </w:r>
            <w:r>
              <w:rPr>
                <w:rFonts w:cs="Arial"/>
                <w:sz w:val="17"/>
                <w:szCs w:val="17"/>
              </w:rPr>
              <w:t>,</w:t>
            </w:r>
            <w:r w:rsidRPr="00EB2E62">
              <w:rPr>
                <w:rFonts w:cs="Arial"/>
                <w:sz w:val="17"/>
                <w:szCs w:val="17"/>
              </w:rPr>
              <w:t>078</w:t>
            </w:r>
          </w:p>
        </w:tc>
        <w:tc>
          <w:tcPr>
            <w:tcW w:w="0" w:type="auto"/>
            <w:tcBorders>
              <w:top w:val="nil"/>
              <w:left w:val="nil"/>
              <w:bottom w:val="nil"/>
              <w:right w:val="nil"/>
            </w:tcBorders>
            <w:shd w:val="clear" w:color="auto" w:fill="auto"/>
            <w:vAlign w:val="center"/>
          </w:tcPr>
          <w:p w14:paraId="33D287D5" w14:textId="77777777" w:rsidR="00A10533" w:rsidRPr="000E03FE" w:rsidRDefault="00A10533" w:rsidP="003B6D25">
            <w:pPr>
              <w:spacing w:line="276" w:lineRule="auto"/>
              <w:jc w:val="center"/>
              <w:rPr>
                <w:rFonts w:cs="Arial"/>
                <w:sz w:val="17"/>
                <w:szCs w:val="17"/>
              </w:rPr>
            </w:pPr>
            <w:r w:rsidRPr="00EB2E62">
              <w:rPr>
                <w:rFonts w:cs="Arial"/>
                <w:sz w:val="17"/>
                <w:szCs w:val="17"/>
              </w:rPr>
              <w:t>575</w:t>
            </w:r>
            <w:r>
              <w:rPr>
                <w:rFonts w:cs="Arial"/>
                <w:sz w:val="17"/>
                <w:szCs w:val="17"/>
              </w:rPr>
              <w:t>,</w:t>
            </w:r>
            <w:r w:rsidRPr="00EB2E62">
              <w:rPr>
                <w:rFonts w:cs="Arial"/>
                <w:sz w:val="17"/>
                <w:szCs w:val="17"/>
              </w:rPr>
              <w:t>496</w:t>
            </w:r>
          </w:p>
        </w:tc>
        <w:tc>
          <w:tcPr>
            <w:tcW w:w="0" w:type="auto"/>
            <w:tcBorders>
              <w:top w:val="nil"/>
              <w:left w:val="nil"/>
              <w:bottom w:val="nil"/>
              <w:right w:val="nil"/>
            </w:tcBorders>
            <w:shd w:val="clear" w:color="auto" w:fill="auto"/>
            <w:vAlign w:val="center"/>
          </w:tcPr>
          <w:p w14:paraId="2EB1D8C3" w14:textId="77777777" w:rsidR="00A10533" w:rsidRPr="000E03FE" w:rsidRDefault="00A10533" w:rsidP="003B6D25">
            <w:pPr>
              <w:spacing w:line="276" w:lineRule="auto"/>
              <w:jc w:val="center"/>
              <w:rPr>
                <w:rFonts w:cs="Arial"/>
                <w:sz w:val="17"/>
                <w:szCs w:val="17"/>
              </w:rPr>
            </w:pPr>
            <w:r w:rsidRPr="00EB2E62">
              <w:rPr>
                <w:rFonts w:cs="Arial"/>
                <w:sz w:val="17"/>
                <w:szCs w:val="17"/>
              </w:rPr>
              <w:t>255</w:t>
            </w:r>
            <w:r>
              <w:rPr>
                <w:rFonts w:cs="Arial"/>
                <w:sz w:val="17"/>
                <w:szCs w:val="17"/>
              </w:rPr>
              <w:t>,</w:t>
            </w:r>
            <w:r w:rsidRPr="00EB2E62">
              <w:rPr>
                <w:rFonts w:cs="Arial"/>
                <w:sz w:val="17"/>
                <w:szCs w:val="17"/>
              </w:rPr>
              <w:t>069</w:t>
            </w:r>
          </w:p>
        </w:tc>
        <w:tc>
          <w:tcPr>
            <w:tcW w:w="0" w:type="auto"/>
            <w:tcBorders>
              <w:top w:val="nil"/>
              <w:left w:val="nil"/>
              <w:bottom w:val="nil"/>
              <w:right w:val="nil"/>
            </w:tcBorders>
            <w:shd w:val="clear" w:color="auto" w:fill="auto"/>
            <w:vAlign w:val="center"/>
          </w:tcPr>
          <w:p w14:paraId="77D57745" w14:textId="77777777" w:rsidR="00A10533" w:rsidRPr="000E03FE" w:rsidRDefault="00A10533" w:rsidP="003B6D25">
            <w:pPr>
              <w:spacing w:line="276" w:lineRule="auto"/>
              <w:jc w:val="center"/>
              <w:rPr>
                <w:rFonts w:cs="Arial"/>
                <w:sz w:val="17"/>
                <w:szCs w:val="17"/>
              </w:rPr>
            </w:pPr>
            <w:r w:rsidRPr="00EB2E62">
              <w:rPr>
                <w:rFonts w:cs="Arial"/>
                <w:sz w:val="17"/>
                <w:szCs w:val="17"/>
              </w:rPr>
              <w:t>473</w:t>
            </w:r>
            <w:r>
              <w:rPr>
                <w:rFonts w:cs="Arial"/>
                <w:sz w:val="17"/>
                <w:szCs w:val="17"/>
              </w:rPr>
              <w:t>,</w:t>
            </w:r>
            <w:r w:rsidRPr="00EB2E62">
              <w:rPr>
                <w:rFonts w:cs="Arial"/>
                <w:sz w:val="17"/>
                <w:szCs w:val="17"/>
              </w:rPr>
              <w:t>855</w:t>
            </w:r>
          </w:p>
        </w:tc>
        <w:tc>
          <w:tcPr>
            <w:tcW w:w="0" w:type="auto"/>
            <w:tcBorders>
              <w:top w:val="nil"/>
              <w:left w:val="nil"/>
              <w:bottom w:val="nil"/>
              <w:right w:val="nil"/>
            </w:tcBorders>
            <w:shd w:val="clear" w:color="auto" w:fill="auto"/>
            <w:vAlign w:val="center"/>
          </w:tcPr>
          <w:p w14:paraId="534D8861" w14:textId="77777777" w:rsidR="00A10533" w:rsidRPr="000E03FE" w:rsidRDefault="00A10533" w:rsidP="003B6D25">
            <w:pPr>
              <w:spacing w:line="276" w:lineRule="auto"/>
              <w:jc w:val="center"/>
              <w:rPr>
                <w:rFonts w:cs="Arial"/>
                <w:sz w:val="17"/>
                <w:szCs w:val="17"/>
              </w:rPr>
            </w:pPr>
            <w:r w:rsidRPr="00EB2E62">
              <w:rPr>
                <w:rFonts w:cs="Arial"/>
                <w:sz w:val="17"/>
                <w:szCs w:val="17"/>
              </w:rPr>
              <w:t>27</w:t>
            </w:r>
            <w:r>
              <w:rPr>
                <w:rFonts w:cs="Arial"/>
                <w:sz w:val="17"/>
                <w:szCs w:val="17"/>
              </w:rPr>
              <w:t>,</w:t>
            </w:r>
            <w:r w:rsidRPr="00EB2E62">
              <w:rPr>
                <w:rFonts w:cs="Arial"/>
                <w:sz w:val="17"/>
                <w:szCs w:val="17"/>
              </w:rPr>
              <w:t>194</w:t>
            </w:r>
            <w:r>
              <w:rPr>
                <w:rFonts w:cs="Arial"/>
                <w:sz w:val="17"/>
                <w:szCs w:val="17"/>
              </w:rPr>
              <w:t>,</w:t>
            </w:r>
            <w:r w:rsidRPr="00EB2E62">
              <w:rPr>
                <w:rFonts w:cs="Arial"/>
                <w:sz w:val="17"/>
                <w:szCs w:val="17"/>
              </w:rPr>
              <w:t>369</w:t>
            </w:r>
          </w:p>
        </w:tc>
      </w:tr>
      <w:tr w:rsidR="00A10533" w:rsidRPr="000E03FE" w14:paraId="2AB3EAC9" w14:textId="77777777" w:rsidTr="003B6D25">
        <w:trPr>
          <w:cnfStyle w:val="000000010000" w:firstRow="0" w:lastRow="0" w:firstColumn="0" w:lastColumn="0" w:oddVBand="0" w:evenVBand="0" w:oddHBand="0" w:evenHBand="1" w:firstRowFirstColumn="0" w:firstRowLastColumn="0" w:lastRowFirstColumn="0" w:lastRowLastColumn="0"/>
          <w:trHeight w:val="425"/>
        </w:trPr>
        <w:tc>
          <w:tcPr>
            <w:tcW w:w="1274" w:type="dxa"/>
            <w:vAlign w:val="center"/>
          </w:tcPr>
          <w:p w14:paraId="20E89C5B" w14:textId="77777777" w:rsidR="00A10533" w:rsidRPr="000E03FE" w:rsidRDefault="00A10533" w:rsidP="0030335E">
            <w:pPr>
              <w:spacing w:line="276" w:lineRule="auto"/>
              <w:rPr>
                <w:rFonts w:eastAsia="Arial Nova" w:cs="Arial"/>
                <w:sz w:val="17"/>
                <w:szCs w:val="17"/>
              </w:rPr>
            </w:pPr>
            <w:r w:rsidRPr="000E03FE">
              <w:rPr>
                <w:rFonts w:cs="Arial"/>
                <w:sz w:val="17"/>
                <w:szCs w:val="17"/>
              </w:rPr>
              <w:t>Share of Australian Population (%)</w:t>
            </w:r>
          </w:p>
        </w:tc>
        <w:tc>
          <w:tcPr>
            <w:tcW w:w="0" w:type="auto"/>
            <w:vAlign w:val="center"/>
          </w:tcPr>
          <w:p w14:paraId="16C30E13" w14:textId="77777777" w:rsidR="00A10533" w:rsidRPr="000E03FE" w:rsidRDefault="00A10533" w:rsidP="003B6D25">
            <w:pPr>
              <w:spacing w:line="276" w:lineRule="auto"/>
              <w:jc w:val="center"/>
              <w:rPr>
                <w:rFonts w:cs="Arial"/>
                <w:sz w:val="17"/>
                <w:szCs w:val="17"/>
              </w:rPr>
            </w:pPr>
            <w:r w:rsidRPr="00EB2E62">
              <w:rPr>
                <w:rFonts w:cs="Arial"/>
                <w:sz w:val="17"/>
                <w:szCs w:val="17"/>
              </w:rPr>
              <w:t>31.2</w:t>
            </w:r>
          </w:p>
        </w:tc>
        <w:tc>
          <w:tcPr>
            <w:tcW w:w="0" w:type="auto"/>
            <w:vAlign w:val="center"/>
          </w:tcPr>
          <w:p w14:paraId="53FFBF86" w14:textId="77777777" w:rsidR="00A10533" w:rsidRPr="000E03FE" w:rsidRDefault="00A10533" w:rsidP="003B6D25">
            <w:pPr>
              <w:spacing w:line="276" w:lineRule="auto"/>
              <w:jc w:val="center"/>
              <w:rPr>
                <w:rFonts w:cs="Arial"/>
                <w:sz w:val="17"/>
                <w:szCs w:val="17"/>
              </w:rPr>
            </w:pPr>
            <w:r w:rsidRPr="00EB2E62">
              <w:rPr>
                <w:rFonts w:cs="Arial"/>
                <w:sz w:val="17"/>
                <w:szCs w:val="17"/>
              </w:rPr>
              <w:t>25.7</w:t>
            </w:r>
          </w:p>
        </w:tc>
        <w:tc>
          <w:tcPr>
            <w:tcW w:w="0" w:type="auto"/>
            <w:vAlign w:val="center"/>
          </w:tcPr>
          <w:p w14:paraId="1563629B" w14:textId="77777777" w:rsidR="00A10533" w:rsidRPr="000E03FE" w:rsidRDefault="00A10533" w:rsidP="003B6D25">
            <w:pPr>
              <w:spacing w:line="276" w:lineRule="auto"/>
              <w:jc w:val="center"/>
              <w:rPr>
                <w:rFonts w:cs="Arial"/>
                <w:sz w:val="17"/>
                <w:szCs w:val="17"/>
              </w:rPr>
            </w:pPr>
            <w:r w:rsidRPr="00EB2E62">
              <w:rPr>
                <w:rFonts w:cs="Arial"/>
                <w:sz w:val="17"/>
                <w:szCs w:val="17"/>
              </w:rPr>
              <w:t>20.5</w:t>
            </w:r>
          </w:p>
        </w:tc>
        <w:tc>
          <w:tcPr>
            <w:tcW w:w="0" w:type="auto"/>
            <w:vAlign w:val="center"/>
          </w:tcPr>
          <w:p w14:paraId="20CA8F81" w14:textId="77777777" w:rsidR="00A10533" w:rsidRPr="000E03FE" w:rsidRDefault="00A10533" w:rsidP="003B6D25">
            <w:pPr>
              <w:spacing w:line="276" w:lineRule="auto"/>
              <w:jc w:val="center"/>
              <w:rPr>
                <w:rFonts w:cs="Arial"/>
                <w:sz w:val="17"/>
                <w:szCs w:val="17"/>
              </w:rPr>
            </w:pPr>
            <w:r w:rsidRPr="00EB2E62">
              <w:rPr>
                <w:rFonts w:cs="Arial"/>
                <w:sz w:val="17"/>
                <w:szCs w:val="17"/>
              </w:rPr>
              <w:t>6.9</w:t>
            </w:r>
          </w:p>
        </w:tc>
        <w:tc>
          <w:tcPr>
            <w:tcW w:w="0" w:type="auto"/>
            <w:vAlign w:val="center"/>
          </w:tcPr>
          <w:p w14:paraId="15F00E60" w14:textId="77777777" w:rsidR="00A10533" w:rsidRPr="000E03FE" w:rsidRDefault="00A10533" w:rsidP="003B6D25">
            <w:pPr>
              <w:spacing w:line="276" w:lineRule="auto"/>
              <w:jc w:val="center"/>
              <w:rPr>
                <w:rFonts w:cs="Arial"/>
                <w:sz w:val="17"/>
                <w:szCs w:val="17"/>
              </w:rPr>
            </w:pPr>
            <w:r w:rsidRPr="00EB2E62">
              <w:rPr>
                <w:rFonts w:cs="Arial"/>
                <w:sz w:val="17"/>
                <w:szCs w:val="17"/>
              </w:rPr>
              <w:t>10.9</w:t>
            </w:r>
          </w:p>
        </w:tc>
        <w:tc>
          <w:tcPr>
            <w:tcW w:w="0" w:type="auto"/>
            <w:vAlign w:val="center"/>
          </w:tcPr>
          <w:p w14:paraId="3564296E" w14:textId="77777777" w:rsidR="00A10533" w:rsidRPr="000E03FE" w:rsidRDefault="00A10533" w:rsidP="003B6D25">
            <w:pPr>
              <w:spacing w:line="276" w:lineRule="auto"/>
              <w:jc w:val="center"/>
              <w:rPr>
                <w:rFonts w:cs="Arial"/>
                <w:sz w:val="17"/>
                <w:szCs w:val="17"/>
              </w:rPr>
            </w:pPr>
            <w:r w:rsidRPr="00EB2E62">
              <w:rPr>
                <w:rFonts w:cs="Arial"/>
                <w:sz w:val="17"/>
                <w:szCs w:val="17"/>
              </w:rPr>
              <w:t>2.1</w:t>
            </w:r>
          </w:p>
        </w:tc>
        <w:tc>
          <w:tcPr>
            <w:tcW w:w="0" w:type="auto"/>
            <w:vAlign w:val="center"/>
          </w:tcPr>
          <w:p w14:paraId="5E962F69" w14:textId="77777777" w:rsidR="00A10533" w:rsidRPr="000E03FE" w:rsidRDefault="00A10533" w:rsidP="003B6D25">
            <w:pPr>
              <w:spacing w:line="276" w:lineRule="auto"/>
              <w:jc w:val="center"/>
              <w:rPr>
                <w:rFonts w:cs="Arial"/>
                <w:sz w:val="17"/>
                <w:szCs w:val="17"/>
              </w:rPr>
            </w:pPr>
            <w:r w:rsidRPr="00EB2E62">
              <w:rPr>
                <w:rFonts w:cs="Arial"/>
                <w:sz w:val="17"/>
                <w:szCs w:val="17"/>
              </w:rPr>
              <w:t>0.9</w:t>
            </w:r>
          </w:p>
        </w:tc>
        <w:tc>
          <w:tcPr>
            <w:tcW w:w="0" w:type="auto"/>
            <w:vAlign w:val="center"/>
          </w:tcPr>
          <w:p w14:paraId="42A5AFCD" w14:textId="77777777" w:rsidR="00A10533" w:rsidRPr="000E03FE" w:rsidRDefault="00A10533" w:rsidP="003B6D25">
            <w:pPr>
              <w:spacing w:line="276" w:lineRule="auto"/>
              <w:jc w:val="center"/>
              <w:rPr>
                <w:rFonts w:cs="Arial"/>
                <w:sz w:val="17"/>
                <w:szCs w:val="17"/>
              </w:rPr>
            </w:pPr>
            <w:r w:rsidRPr="00EB2E62">
              <w:rPr>
                <w:rFonts w:cs="Arial"/>
                <w:sz w:val="17"/>
                <w:szCs w:val="17"/>
              </w:rPr>
              <w:t>1.7</w:t>
            </w:r>
          </w:p>
        </w:tc>
        <w:tc>
          <w:tcPr>
            <w:tcW w:w="0" w:type="auto"/>
            <w:vAlign w:val="center"/>
          </w:tcPr>
          <w:p w14:paraId="69563173" w14:textId="77777777" w:rsidR="00A10533" w:rsidRPr="000E03FE" w:rsidRDefault="00A10533" w:rsidP="003B6D25">
            <w:pPr>
              <w:spacing w:line="276" w:lineRule="auto"/>
              <w:jc w:val="center"/>
              <w:rPr>
                <w:rFonts w:cs="Arial"/>
                <w:sz w:val="17"/>
                <w:szCs w:val="17"/>
              </w:rPr>
            </w:pPr>
            <w:r w:rsidRPr="00EB2E62">
              <w:rPr>
                <w:rFonts w:cs="Arial"/>
                <w:sz w:val="17"/>
                <w:szCs w:val="17"/>
              </w:rPr>
              <w:t>100.0</w:t>
            </w:r>
          </w:p>
        </w:tc>
      </w:tr>
      <w:tr w:rsidR="00A10533" w:rsidRPr="000E03FE" w14:paraId="4123D04A" w14:textId="77777777" w:rsidTr="003B6D25">
        <w:trPr>
          <w:trHeight w:val="547"/>
        </w:trPr>
        <w:tc>
          <w:tcPr>
            <w:tcW w:w="1274" w:type="dxa"/>
            <w:vAlign w:val="center"/>
          </w:tcPr>
          <w:p w14:paraId="5342EAF9" w14:textId="77777777" w:rsidR="00A10533" w:rsidRPr="000E03FE" w:rsidRDefault="00A10533" w:rsidP="0030335E">
            <w:pPr>
              <w:spacing w:line="276" w:lineRule="auto"/>
              <w:rPr>
                <w:rFonts w:eastAsia="Arial Nova" w:cs="Arial"/>
                <w:sz w:val="17"/>
                <w:szCs w:val="17"/>
              </w:rPr>
            </w:pPr>
            <w:r w:rsidRPr="000E03FE">
              <w:rPr>
                <w:rFonts w:cs="Arial"/>
                <w:sz w:val="17"/>
                <w:szCs w:val="17"/>
              </w:rPr>
              <w:t>Capital City (%)</w:t>
            </w:r>
          </w:p>
        </w:tc>
        <w:tc>
          <w:tcPr>
            <w:tcW w:w="0" w:type="auto"/>
            <w:vAlign w:val="center"/>
          </w:tcPr>
          <w:p w14:paraId="493D3703" w14:textId="77777777" w:rsidR="00A10533" w:rsidRPr="000E03FE" w:rsidRDefault="00A10533" w:rsidP="003B6D25">
            <w:pPr>
              <w:spacing w:line="276" w:lineRule="auto"/>
              <w:jc w:val="center"/>
              <w:rPr>
                <w:rFonts w:cs="Arial"/>
                <w:sz w:val="17"/>
                <w:szCs w:val="17"/>
              </w:rPr>
            </w:pPr>
            <w:r w:rsidRPr="00EB2E62">
              <w:rPr>
                <w:rFonts w:cs="Arial"/>
                <w:sz w:val="17"/>
                <w:szCs w:val="17"/>
              </w:rPr>
              <w:t>65.5</w:t>
            </w:r>
          </w:p>
        </w:tc>
        <w:tc>
          <w:tcPr>
            <w:tcW w:w="0" w:type="auto"/>
            <w:vAlign w:val="center"/>
          </w:tcPr>
          <w:p w14:paraId="4C743ECA" w14:textId="77777777" w:rsidR="00A10533" w:rsidRPr="000E03FE" w:rsidRDefault="00A10533" w:rsidP="003B6D25">
            <w:pPr>
              <w:spacing w:line="276" w:lineRule="auto"/>
              <w:jc w:val="center"/>
              <w:rPr>
                <w:rFonts w:cs="Arial"/>
                <w:sz w:val="17"/>
                <w:szCs w:val="17"/>
              </w:rPr>
            </w:pPr>
            <w:r w:rsidRPr="00EB2E62">
              <w:rPr>
                <w:rFonts w:cs="Arial"/>
                <w:sz w:val="17"/>
                <w:szCs w:val="17"/>
              </w:rPr>
              <w:t>76.7</w:t>
            </w:r>
          </w:p>
        </w:tc>
        <w:tc>
          <w:tcPr>
            <w:tcW w:w="0" w:type="auto"/>
            <w:vAlign w:val="center"/>
          </w:tcPr>
          <w:p w14:paraId="229996EA" w14:textId="77777777" w:rsidR="00A10533" w:rsidRPr="000E03FE" w:rsidRDefault="00A10533" w:rsidP="003B6D25">
            <w:pPr>
              <w:spacing w:line="276" w:lineRule="auto"/>
              <w:jc w:val="center"/>
              <w:rPr>
                <w:rFonts w:cs="Arial"/>
                <w:sz w:val="17"/>
                <w:szCs w:val="17"/>
              </w:rPr>
            </w:pPr>
            <w:r w:rsidRPr="00EB2E62">
              <w:rPr>
                <w:rFonts w:cs="Arial"/>
                <w:sz w:val="17"/>
                <w:szCs w:val="17"/>
              </w:rPr>
              <w:t>49.8</w:t>
            </w:r>
          </w:p>
        </w:tc>
        <w:tc>
          <w:tcPr>
            <w:tcW w:w="0" w:type="auto"/>
            <w:vAlign w:val="center"/>
          </w:tcPr>
          <w:p w14:paraId="793F4614" w14:textId="77777777" w:rsidR="00A10533" w:rsidRPr="000E03FE" w:rsidRDefault="00A10533" w:rsidP="003B6D25">
            <w:pPr>
              <w:spacing w:line="276" w:lineRule="auto"/>
              <w:jc w:val="center"/>
              <w:rPr>
                <w:rFonts w:cs="Arial"/>
                <w:sz w:val="17"/>
                <w:szCs w:val="17"/>
              </w:rPr>
            </w:pPr>
            <w:r w:rsidRPr="00EB2E62">
              <w:rPr>
                <w:rFonts w:cs="Arial"/>
                <w:sz w:val="17"/>
                <w:szCs w:val="17"/>
              </w:rPr>
              <w:t>78.2</w:t>
            </w:r>
          </w:p>
        </w:tc>
        <w:tc>
          <w:tcPr>
            <w:tcW w:w="0" w:type="auto"/>
            <w:vAlign w:val="center"/>
          </w:tcPr>
          <w:p w14:paraId="0B705A84" w14:textId="77777777" w:rsidR="00A10533" w:rsidRPr="000E03FE" w:rsidRDefault="00A10533" w:rsidP="003B6D25">
            <w:pPr>
              <w:spacing w:line="276" w:lineRule="auto"/>
              <w:jc w:val="center"/>
              <w:rPr>
                <w:rFonts w:cs="Arial"/>
                <w:sz w:val="17"/>
                <w:szCs w:val="17"/>
              </w:rPr>
            </w:pPr>
            <w:r w:rsidRPr="00EB2E62">
              <w:rPr>
                <w:rFonts w:cs="Arial"/>
                <w:sz w:val="17"/>
                <w:szCs w:val="17"/>
              </w:rPr>
              <w:t>80.4</w:t>
            </w:r>
          </w:p>
        </w:tc>
        <w:tc>
          <w:tcPr>
            <w:tcW w:w="0" w:type="auto"/>
            <w:vAlign w:val="center"/>
          </w:tcPr>
          <w:p w14:paraId="704D2722" w14:textId="77777777" w:rsidR="00A10533" w:rsidRPr="000E03FE" w:rsidRDefault="00A10533" w:rsidP="003B6D25">
            <w:pPr>
              <w:spacing w:line="276" w:lineRule="auto"/>
              <w:jc w:val="center"/>
              <w:rPr>
                <w:rFonts w:cs="Arial"/>
                <w:sz w:val="17"/>
                <w:szCs w:val="17"/>
              </w:rPr>
            </w:pPr>
            <w:r w:rsidRPr="00EB2E62">
              <w:rPr>
                <w:rFonts w:cs="Arial"/>
                <w:sz w:val="17"/>
                <w:szCs w:val="17"/>
              </w:rPr>
              <w:t>44.3</w:t>
            </w:r>
          </w:p>
        </w:tc>
        <w:tc>
          <w:tcPr>
            <w:tcW w:w="0" w:type="auto"/>
            <w:vAlign w:val="center"/>
          </w:tcPr>
          <w:p w14:paraId="5AE3317F" w14:textId="77777777" w:rsidR="00A10533" w:rsidRPr="000E03FE" w:rsidRDefault="00A10533" w:rsidP="003B6D25">
            <w:pPr>
              <w:spacing w:line="276" w:lineRule="auto"/>
              <w:jc w:val="center"/>
              <w:rPr>
                <w:rFonts w:cs="Arial"/>
                <w:sz w:val="17"/>
                <w:szCs w:val="17"/>
              </w:rPr>
            </w:pPr>
            <w:r w:rsidRPr="00EB2E62">
              <w:rPr>
                <w:rFonts w:cs="Arial"/>
                <w:sz w:val="17"/>
                <w:szCs w:val="17"/>
              </w:rPr>
              <w:t>59.8</w:t>
            </w:r>
          </w:p>
        </w:tc>
        <w:tc>
          <w:tcPr>
            <w:tcW w:w="0" w:type="auto"/>
            <w:vAlign w:val="center"/>
          </w:tcPr>
          <w:p w14:paraId="58EEAF93" w14:textId="77777777" w:rsidR="00A10533" w:rsidRPr="000E03FE" w:rsidRDefault="00A10533" w:rsidP="003B6D25">
            <w:pPr>
              <w:spacing w:line="276" w:lineRule="auto"/>
              <w:jc w:val="center"/>
              <w:rPr>
                <w:rFonts w:cs="Arial"/>
                <w:sz w:val="17"/>
                <w:szCs w:val="17"/>
              </w:rPr>
            </w:pPr>
            <w:r w:rsidRPr="00EB2E62">
              <w:rPr>
                <w:rFonts w:cs="Arial"/>
                <w:sz w:val="17"/>
                <w:szCs w:val="17"/>
              </w:rPr>
              <w:t>100.0</w:t>
            </w:r>
          </w:p>
        </w:tc>
        <w:tc>
          <w:tcPr>
            <w:tcW w:w="0" w:type="auto"/>
            <w:vAlign w:val="center"/>
          </w:tcPr>
          <w:p w14:paraId="57D27D75" w14:textId="77777777" w:rsidR="00A10533" w:rsidRPr="000E03FE" w:rsidRDefault="00A10533" w:rsidP="003B6D25">
            <w:pPr>
              <w:spacing w:line="276" w:lineRule="auto"/>
              <w:jc w:val="center"/>
              <w:rPr>
                <w:rFonts w:cs="Arial"/>
                <w:sz w:val="17"/>
                <w:szCs w:val="17"/>
              </w:rPr>
            </w:pPr>
            <w:r w:rsidRPr="00EB2E62">
              <w:rPr>
                <w:rFonts w:cs="Arial"/>
                <w:sz w:val="17"/>
                <w:szCs w:val="17"/>
              </w:rPr>
              <w:t>67.7</w:t>
            </w:r>
          </w:p>
        </w:tc>
      </w:tr>
      <w:tr w:rsidR="00A10533" w:rsidRPr="000E03FE" w14:paraId="3958B603" w14:textId="77777777" w:rsidTr="003B6D25">
        <w:trPr>
          <w:cnfStyle w:val="000000010000" w:firstRow="0" w:lastRow="0" w:firstColumn="0" w:lastColumn="0" w:oddVBand="0" w:evenVBand="0" w:oddHBand="0" w:evenHBand="1" w:firstRowFirstColumn="0" w:firstRowLastColumn="0" w:lastRowFirstColumn="0" w:lastRowLastColumn="0"/>
          <w:trHeight w:val="557"/>
        </w:trPr>
        <w:tc>
          <w:tcPr>
            <w:tcW w:w="1274" w:type="dxa"/>
            <w:vAlign w:val="center"/>
          </w:tcPr>
          <w:p w14:paraId="15FA781C" w14:textId="77777777" w:rsidR="00A10533" w:rsidRPr="000E03FE" w:rsidRDefault="00A10533" w:rsidP="0030335E">
            <w:pPr>
              <w:spacing w:line="276" w:lineRule="auto"/>
              <w:rPr>
                <w:rFonts w:eastAsia="Arial Nova" w:cs="Arial"/>
                <w:sz w:val="17"/>
                <w:szCs w:val="17"/>
              </w:rPr>
            </w:pPr>
            <w:r w:rsidRPr="000E03FE">
              <w:rPr>
                <w:rFonts w:cs="Arial"/>
                <w:sz w:val="17"/>
                <w:szCs w:val="17"/>
              </w:rPr>
              <w:t>Balance of State (%)</w:t>
            </w:r>
          </w:p>
        </w:tc>
        <w:tc>
          <w:tcPr>
            <w:tcW w:w="0" w:type="auto"/>
            <w:vAlign w:val="center"/>
          </w:tcPr>
          <w:p w14:paraId="44DE79C0" w14:textId="77777777" w:rsidR="00A10533" w:rsidRPr="000E03FE" w:rsidRDefault="00A10533" w:rsidP="003B6D25">
            <w:pPr>
              <w:spacing w:line="276" w:lineRule="auto"/>
              <w:jc w:val="center"/>
              <w:rPr>
                <w:rFonts w:cs="Arial"/>
                <w:sz w:val="17"/>
                <w:szCs w:val="17"/>
              </w:rPr>
            </w:pPr>
            <w:r w:rsidRPr="00EB2E62">
              <w:rPr>
                <w:rFonts w:cs="Arial"/>
                <w:sz w:val="17"/>
                <w:szCs w:val="17"/>
              </w:rPr>
              <w:t>34.5</w:t>
            </w:r>
          </w:p>
        </w:tc>
        <w:tc>
          <w:tcPr>
            <w:tcW w:w="0" w:type="auto"/>
            <w:vAlign w:val="center"/>
          </w:tcPr>
          <w:p w14:paraId="25F1A1B4" w14:textId="77777777" w:rsidR="00A10533" w:rsidRPr="000E03FE" w:rsidRDefault="00A10533" w:rsidP="003B6D25">
            <w:pPr>
              <w:spacing w:line="276" w:lineRule="auto"/>
              <w:jc w:val="center"/>
              <w:rPr>
                <w:rFonts w:cs="Arial"/>
                <w:sz w:val="17"/>
                <w:szCs w:val="17"/>
              </w:rPr>
            </w:pPr>
            <w:r w:rsidRPr="00EB2E62">
              <w:rPr>
                <w:rFonts w:cs="Arial"/>
                <w:sz w:val="17"/>
                <w:szCs w:val="17"/>
              </w:rPr>
              <w:t>23.3</w:t>
            </w:r>
          </w:p>
        </w:tc>
        <w:tc>
          <w:tcPr>
            <w:tcW w:w="0" w:type="auto"/>
            <w:vAlign w:val="center"/>
          </w:tcPr>
          <w:p w14:paraId="41D53FE5" w14:textId="77777777" w:rsidR="00A10533" w:rsidRPr="000E03FE" w:rsidRDefault="00A10533" w:rsidP="003B6D25">
            <w:pPr>
              <w:spacing w:line="276" w:lineRule="auto"/>
              <w:jc w:val="center"/>
              <w:rPr>
                <w:rFonts w:cs="Arial"/>
                <w:sz w:val="17"/>
                <w:szCs w:val="17"/>
              </w:rPr>
            </w:pPr>
            <w:r w:rsidRPr="00EB2E62">
              <w:rPr>
                <w:rFonts w:cs="Arial"/>
                <w:sz w:val="17"/>
                <w:szCs w:val="17"/>
              </w:rPr>
              <w:t>50.2</w:t>
            </w:r>
          </w:p>
        </w:tc>
        <w:tc>
          <w:tcPr>
            <w:tcW w:w="0" w:type="auto"/>
            <w:vAlign w:val="center"/>
          </w:tcPr>
          <w:p w14:paraId="2D01154D" w14:textId="77777777" w:rsidR="00A10533" w:rsidRPr="000E03FE" w:rsidRDefault="00A10533" w:rsidP="003B6D25">
            <w:pPr>
              <w:spacing w:line="276" w:lineRule="auto"/>
              <w:jc w:val="center"/>
              <w:rPr>
                <w:rFonts w:cs="Arial"/>
                <w:sz w:val="17"/>
                <w:szCs w:val="17"/>
              </w:rPr>
            </w:pPr>
            <w:r w:rsidRPr="00EB2E62">
              <w:rPr>
                <w:rFonts w:cs="Arial"/>
                <w:sz w:val="17"/>
                <w:szCs w:val="17"/>
              </w:rPr>
              <w:t>21.8</w:t>
            </w:r>
          </w:p>
        </w:tc>
        <w:tc>
          <w:tcPr>
            <w:tcW w:w="0" w:type="auto"/>
            <w:vAlign w:val="center"/>
          </w:tcPr>
          <w:p w14:paraId="1D9AEE09" w14:textId="77777777" w:rsidR="00A10533" w:rsidRPr="000E03FE" w:rsidRDefault="00A10533" w:rsidP="003B6D25">
            <w:pPr>
              <w:spacing w:line="276" w:lineRule="auto"/>
              <w:jc w:val="center"/>
              <w:rPr>
                <w:rFonts w:cs="Arial"/>
                <w:sz w:val="17"/>
                <w:szCs w:val="17"/>
              </w:rPr>
            </w:pPr>
            <w:r w:rsidRPr="00EB2E62">
              <w:rPr>
                <w:rFonts w:cs="Arial"/>
                <w:sz w:val="17"/>
                <w:szCs w:val="17"/>
              </w:rPr>
              <w:t>19.6</w:t>
            </w:r>
          </w:p>
        </w:tc>
        <w:tc>
          <w:tcPr>
            <w:tcW w:w="0" w:type="auto"/>
            <w:vAlign w:val="center"/>
          </w:tcPr>
          <w:p w14:paraId="5BAA988C" w14:textId="77777777" w:rsidR="00A10533" w:rsidRPr="000E03FE" w:rsidRDefault="00A10533" w:rsidP="003B6D25">
            <w:pPr>
              <w:spacing w:line="276" w:lineRule="auto"/>
              <w:jc w:val="center"/>
              <w:rPr>
                <w:rFonts w:cs="Arial"/>
                <w:sz w:val="17"/>
                <w:szCs w:val="17"/>
              </w:rPr>
            </w:pPr>
            <w:r w:rsidRPr="00EB2E62">
              <w:rPr>
                <w:rFonts w:cs="Arial"/>
                <w:sz w:val="17"/>
                <w:szCs w:val="17"/>
              </w:rPr>
              <w:t>55.7</w:t>
            </w:r>
          </w:p>
        </w:tc>
        <w:tc>
          <w:tcPr>
            <w:tcW w:w="0" w:type="auto"/>
            <w:vAlign w:val="center"/>
          </w:tcPr>
          <w:p w14:paraId="3AAB256D" w14:textId="77777777" w:rsidR="00A10533" w:rsidRPr="000E03FE" w:rsidRDefault="00A10533" w:rsidP="003B6D25">
            <w:pPr>
              <w:spacing w:line="276" w:lineRule="auto"/>
              <w:jc w:val="center"/>
              <w:rPr>
                <w:rFonts w:cs="Arial"/>
                <w:sz w:val="17"/>
                <w:szCs w:val="17"/>
              </w:rPr>
            </w:pPr>
            <w:r w:rsidRPr="00EB2E62">
              <w:rPr>
                <w:rFonts w:cs="Arial"/>
                <w:sz w:val="17"/>
                <w:szCs w:val="17"/>
              </w:rPr>
              <w:t>40.2</w:t>
            </w:r>
          </w:p>
        </w:tc>
        <w:tc>
          <w:tcPr>
            <w:tcW w:w="0" w:type="auto"/>
            <w:vAlign w:val="center"/>
          </w:tcPr>
          <w:p w14:paraId="52C79605" w14:textId="77777777" w:rsidR="00A10533" w:rsidRPr="000E03FE" w:rsidRDefault="00A10533" w:rsidP="003B6D25">
            <w:pPr>
              <w:spacing w:line="276" w:lineRule="auto"/>
              <w:jc w:val="center"/>
              <w:rPr>
                <w:rFonts w:cs="Arial"/>
                <w:sz w:val="17"/>
                <w:szCs w:val="17"/>
              </w:rPr>
            </w:pPr>
            <w:r w:rsidRPr="00EB2E62">
              <w:rPr>
                <w:rFonts w:cs="Arial"/>
                <w:sz w:val="17"/>
                <w:szCs w:val="17"/>
              </w:rPr>
              <w:t>1.1</w:t>
            </w:r>
          </w:p>
        </w:tc>
        <w:tc>
          <w:tcPr>
            <w:tcW w:w="0" w:type="auto"/>
            <w:vAlign w:val="center"/>
          </w:tcPr>
          <w:p w14:paraId="4DD32C56" w14:textId="77777777" w:rsidR="00A10533" w:rsidRPr="000E03FE" w:rsidRDefault="00A10533" w:rsidP="003B6D25">
            <w:pPr>
              <w:spacing w:line="276" w:lineRule="auto"/>
              <w:jc w:val="center"/>
              <w:rPr>
                <w:rFonts w:cs="Arial"/>
                <w:sz w:val="17"/>
                <w:szCs w:val="17"/>
              </w:rPr>
            </w:pPr>
            <w:r w:rsidRPr="00EB2E62">
              <w:rPr>
                <w:rFonts w:cs="Arial"/>
                <w:sz w:val="17"/>
                <w:szCs w:val="17"/>
              </w:rPr>
              <w:t>32.3</w:t>
            </w:r>
          </w:p>
        </w:tc>
      </w:tr>
      <w:tr w:rsidR="00A10533" w:rsidRPr="000E03FE" w14:paraId="02968C62" w14:textId="77777777" w:rsidTr="003B6D25">
        <w:trPr>
          <w:trHeight w:val="566"/>
        </w:trPr>
        <w:tc>
          <w:tcPr>
            <w:tcW w:w="1274" w:type="dxa"/>
            <w:vAlign w:val="center"/>
          </w:tcPr>
          <w:p w14:paraId="1B4B519B" w14:textId="77777777" w:rsidR="00A10533" w:rsidRPr="000E03FE" w:rsidRDefault="00A10533" w:rsidP="0030335E">
            <w:pPr>
              <w:spacing w:line="276" w:lineRule="auto"/>
              <w:rPr>
                <w:rFonts w:eastAsia="Arial Nova" w:cs="Arial"/>
                <w:sz w:val="17"/>
                <w:szCs w:val="17"/>
              </w:rPr>
            </w:pPr>
            <w:r w:rsidRPr="000E03FE">
              <w:rPr>
                <w:rFonts w:cs="Arial"/>
                <w:sz w:val="17"/>
                <w:szCs w:val="17"/>
              </w:rPr>
              <w:t>Net Overseas Migration**</w:t>
            </w:r>
          </w:p>
        </w:tc>
        <w:tc>
          <w:tcPr>
            <w:tcW w:w="0" w:type="auto"/>
            <w:vAlign w:val="center"/>
          </w:tcPr>
          <w:p w14:paraId="338669D9" w14:textId="77777777" w:rsidR="00A10533" w:rsidRPr="000E03FE" w:rsidRDefault="00A10533" w:rsidP="003B6D25">
            <w:pPr>
              <w:spacing w:line="276" w:lineRule="auto"/>
              <w:jc w:val="center"/>
              <w:rPr>
                <w:rFonts w:cs="Arial"/>
                <w:sz w:val="17"/>
                <w:szCs w:val="17"/>
              </w:rPr>
            </w:pPr>
            <w:r w:rsidRPr="00EB2E62">
              <w:rPr>
                <w:rFonts w:cs="Arial"/>
                <w:sz w:val="17"/>
                <w:szCs w:val="17"/>
              </w:rPr>
              <w:t>137</w:t>
            </w:r>
            <w:r>
              <w:rPr>
                <w:rFonts w:cs="Arial"/>
                <w:sz w:val="17"/>
                <w:szCs w:val="17"/>
              </w:rPr>
              <w:t>,</w:t>
            </w:r>
            <w:r w:rsidRPr="00EB2E62">
              <w:rPr>
                <w:rFonts w:cs="Arial"/>
                <w:sz w:val="17"/>
                <w:szCs w:val="17"/>
              </w:rPr>
              <w:t>430</w:t>
            </w:r>
          </w:p>
        </w:tc>
        <w:tc>
          <w:tcPr>
            <w:tcW w:w="0" w:type="auto"/>
            <w:vAlign w:val="center"/>
          </w:tcPr>
          <w:p w14:paraId="469768B2" w14:textId="77777777" w:rsidR="00A10533" w:rsidRPr="000E03FE" w:rsidRDefault="00A10533" w:rsidP="003B6D25">
            <w:pPr>
              <w:spacing w:line="276" w:lineRule="auto"/>
              <w:jc w:val="center"/>
              <w:rPr>
                <w:rFonts w:cs="Arial"/>
                <w:sz w:val="17"/>
                <w:szCs w:val="17"/>
              </w:rPr>
            </w:pPr>
            <w:r w:rsidRPr="00EB2E62">
              <w:rPr>
                <w:rFonts w:cs="Arial"/>
                <w:sz w:val="17"/>
                <w:szCs w:val="17"/>
              </w:rPr>
              <w:t>130</w:t>
            </w:r>
            <w:r>
              <w:rPr>
                <w:rFonts w:cs="Arial"/>
                <w:sz w:val="17"/>
                <w:szCs w:val="17"/>
              </w:rPr>
              <w:t>,</w:t>
            </w:r>
            <w:r w:rsidRPr="00EB2E62">
              <w:rPr>
                <w:rFonts w:cs="Arial"/>
                <w:sz w:val="17"/>
                <w:szCs w:val="17"/>
              </w:rPr>
              <w:t>226</w:t>
            </w:r>
          </w:p>
        </w:tc>
        <w:tc>
          <w:tcPr>
            <w:tcW w:w="0" w:type="auto"/>
            <w:vAlign w:val="center"/>
          </w:tcPr>
          <w:p w14:paraId="39985DB7" w14:textId="77777777" w:rsidR="00A10533" w:rsidRPr="000E03FE" w:rsidRDefault="00A10533" w:rsidP="003B6D25">
            <w:pPr>
              <w:spacing w:line="276" w:lineRule="auto"/>
              <w:jc w:val="center"/>
              <w:rPr>
                <w:rFonts w:cs="Arial"/>
                <w:sz w:val="17"/>
                <w:szCs w:val="17"/>
              </w:rPr>
            </w:pPr>
            <w:r w:rsidRPr="00EB2E62">
              <w:rPr>
                <w:rFonts w:cs="Arial"/>
                <w:sz w:val="17"/>
                <w:szCs w:val="17"/>
              </w:rPr>
              <w:t>72</w:t>
            </w:r>
            <w:r>
              <w:rPr>
                <w:rFonts w:cs="Arial"/>
                <w:sz w:val="17"/>
                <w:szCs w:val="17"/>
              </w:rPr>
              <w:t>,</w:t>
            </w:r>
            <w:r w:rsidRPr="00EB2E62">
              <w:rPr>
                <w:rFonts w:cs="Arial"/>
                <w:sz w:val="17"/>
                <w:szCs w:val="17"/>
              </w:rPr>
              <w:t>443</w:t>
            </w:r>
          </w:p>
        </w:tc>
        <w:tc>
          <w:tcPr>
            <w:tcW w:w="0" w:type="auto"/>
            <w:vAlign w:val="center"/>
          </w:tcPr>
          <w:p w14:paraId="25500249" w14:textId="77777777" w:rsidR="00A10533" w:rsidRPr="000E03FE" w:rsidRDefault="00A10533" w:rsidP="003B6D25">
            <w:pPr>
              <w:spacing w:line="276" w:lineRule="auto"/>
              <w:jc w:val="center"/>
              <w:rPr>
                <w:rFonts w:cs="Arial"/>
                <w:sz w:val="17"/>
                <w:szCs w:val="17"/>
              </w:rPr>
            </w:pPr>
            <w:r w:rsidRPr="00EB2E62">
              <w:rPr>
                <w:rFonts w:cs="Arial"/>
                <w:sz w:val="17"/>
                <w:szCs w:val="17"/>
              </w:rPr>
              <w:t>23</w:t>
            </w:r>
            <w:r>
              <w:rPr>
                <w:rFonts w:cs="Arial"/>
                <w:sz w:val="17"/>
                <w:szCs w:val="17"/>
              </w:rPr>
              <w:t>,</w:t>
            </w:r>
            <w:r w:rsidRPr="00EB2E62">
              <w:rPr>
                <w:rFonts w:cs="Arial"/>
                <w:sz w:val="17"/>
                <w:szCs w:val="17"/>
              </w:rPr>
              <w:t>255</w:t>
            </w:r>
          </w:p>
        </w:tc>
        <w:tc>
          <w:tcPr>
            <w:tcW w:w="0" w:type="auto"/>
            <w:vAlign w:val="center"/>
          </w:tcPr>
          <w:p w14:paraId="097464F8" w14:textId="77777777" w:rsidR="00A10533" w:rsidRPr="000E03FE" w:rsidRDefault="00A10533" w:rsidP="003B6D25">
            <w:pPr>
              <w:spacing w:line="276" w:lineRule="auto"/>
              <w:jc w:val="center"/>
              <w:rPr>
                <w:rFonts w:cs="Arial"/>
                <w:sz w:val="17"/>
                <w:szCs w:val="17"/>
              </w:rPr>
            </w:pPr>
            <w:r w:rsidRPr="00EB2E62">
              <w:rPr>
                <w:rFonts w:cs="Arial"/>
                <w:sz w:val="17"/>
                <w:szCs w:val="17"/>
              </w:rPr>
              <w:t>58</w:t>
            </w:r>
            <w:r>
              <w:rPr>
                <w:rFonts w:cs="Arial"/>
                <w:sz w:val="17"/>
                <w:szCs w:val="17"/>
              </w:rPr>
              <w:t>,</w:t>
            </w:r>
            <w:r w:rsidRPr="00EB2E62">
              <w:rPr>
                <w:rFonts w:cs="Arial"/>
                <w:sz w:val="17"/>
                <w:szCs w:val="17"/>
              </w:rPr>
              <w:t>001</w:t>
            </w:r>
          </w:p>
        </w:tc>
        <w:tc>
          <w:tcPr>
            <w:tcW w:w="0" w:type="auto"/>
            <w:vAlign w:val="center"/>
          </w:tcPr>
          <w:p w14:paraId="51522548" w14:textId="77777777" w:rsidR="00A10533" w:rsidRPr="000E03FE" w:rsidRDefault="00A10533" w:rsidP="003B6D25">
            <w:pPr>
              <w:spacing w:line="276" w:lineRule="auto"/>
              <w:jc w:val="center"/>
              <w:rPr>
                <w:rFonts w:cs="Arial"/>
                <w:sz w:val="17"/>
                <w:szCs w:val="17"/>
              </w:rPr>
            </w:pPr>
            <w:r w:rsidRPr="00EB2E62">
              <w:rPr>
                <w:rFonts w:cs="Arial"/>
                <w:sz w:val="17"/>
                <w:szCs w:val="17"/>
              </w:rPr>
              <w:t>3</w:t>
            </w:r>
            <w:r>
              <w:rPr>
                <w:rFonts w:cs="Arial"/>
                <w:sz w:val="17"/>
                <w:szCs w:val="17"/>
              </w:rPr>
              <w:t>,</w:t>
            </w:r>
            <w:r w:rsidRPr="00EB2E62">
              <w:rPr>
                <w:rFonts w:cs="Arial"/>
                <w:sz w:val="17"/>
                <w:szCs w:val="17"/>
              </w:rPr>
              <w:t>950</w:t>
            </w:r>
          </w:p>
        </w:tc>
        <w:tc>
          <w:tcPr>
            <w:tcW w:w="0" w:type="auto"/>
            <w:vAlign w:val="center"/>
          </w:tcPr>
          <w:p w14:paraId="576D14EB" w14:textId="77777777" w:rsidR="00A10533" w:rsidRPr="000E03FE" w:rsidRDefault="00A10533" w:rsidP="003B6D25">
            <w:pPr>
              <w:spacing w:line="276" w:lineRule="auto"/>
              <w:jc w:val="center"/>
              <w:rPr>
                <w:rFonts w:cs="Arial"/>
                <w:sz w:val="17"/>
                <w:szCs w:val="17"/>
              </w:rPr>
            </w:pPr>
            <w:r w:rsidRPr="00EB2E62">
              <w:rPr>
                <w:rFonts w:cs="Arial"/>
                <w:sz w:val="17"/>
                <w:szCs w:val="17"/>
              </w:rPr>
              <w:t>3</w:t>
            </w:r>
            <w:r>
              <w:rPr>
                <w:rFonts w:cs="Arial"/>
                <w:sz w:val="17"/>
                <w:szCs w:val="17"/>
              </w:rPr>
              <w:t>,</w:t>
            </w:r>
            <w:r w:rsidRPr="00EB2E62">
              <w:rPr>
                <w:rFonts w:cs="Arial"/>
                <w:sz w:val="17"/>
                <w:szCs w:val="17"/>
              </w:rPr>
              <w:t>612</w:t>
            </w:r>
          </w:p>
        </w:tc>
        <w:tc>
          <w:tcPr>
            <w:tcW w:w="0" w:type="auto"/>
            <w:vAlign w:val="center"/>
          </w:tcPr>
          <w:p w14:paraId="0EC86C71" w14:textId="77777777" w:rsidR="00A10533" w:rsidRPr="000E03FE" w:rsidRDefault="00A10533" w:rsidP="003B6D25">
            <w:pPr>
              <w:spacing w:line="276" w:lineRule="auto"/>
              <w:jc w:val="center"/>
              <w:rPr>
                <w:rFonts w:cs="Arial"/>
                <w:sz w:val="17"/>
                <w:szCs w:val="17"/>
              </w:rPr>
            </w:pPr>
            <w:r w:rsidRPr="00EB2E62">
              <w:rPr>
                <w:rFonts w:cs="Arial"/>
                <w:sz w:val="17"/>
                <w:szCs w:val="17"/>
              </w:rPr>
              <w:t>6</w:t>
            </w:r>
            <w:r>
              <w:rPr>
                <w:rFonts w:cs="Arial"/>
                <w:sz w:val="17"/>
                <w:szCs w:val="17"/>
              </w:rPr>
              <w:t>,</w:t>
            </w:r>
            <w:r w:rsidRPr="00EB2E62">
              <w:rPr>
                <w:rFonts w:cs="Arial"/>
                <w:sz w:val="17"/>
                <w:szCs w:val="17"/>
              </w:rPr>
              <w:t>246</w:t>
            </w:r>
          </w:p>
        </w:tc>
        <w:tc>
          <w:tcPr>
            <w:tcW w:w="0" w:type="auto"/>
            <w:vAlign w:val="center"/>
          </w:tcPr>
          <w:p w14:paraId="39F4E233" w14:textId="77777777" w:rsidR="00A10533" w:rsidRPr="000E03FE" w:rsidRDefault="00A10533" w:rsidP="003B6D25">
            <w:pPr>
              <w:spacing w:line="276" w:lineRule="auto"/>
              <w:jc w:val="center"/>
              <w:rPr>
                <w:rFonts w:cs="Arial"/>
                <w:sz w:val="17"/>
                <w:szCs w:val="17"/>
              </w:rPr>
            </w:pPr>
            <w:r w:rsidRPr="00EB2E62">
              <w:rPr>
                <w:rFonts w:cs="Arial"/>
                <w:sz w:val="17"/>
                <w:szCs w:val="17"/>
              </w:rPr>
              <w:t>435</w:t>
            </w:r>
            <w:r>
              <w:rPr>
                <w:rFonts w:cs="Arial"/>
                <w:sz w:val="17"/>
                <w:szCs w:val="17"/>
              </w:rPr>
              <w:t>,</w:t>
            </w:r>
            <w:r w:rsidRPr="00EB2E62">
              <w:rPr>
                <w:rFonts w:cs="Arial"/>
                <w:sz w:val="17"/>
                <w:szCs w:val="17"/>
              </w:rPr>
              <w:t>198</w:t>
            </w:r>
          </w:p>
        </w:tc>
      </w:tr>
    </w:tbl>
    <w:p w14:paraId="64943483" w14:textId="77777777" w:rsidR="00A10533" w:rsidRPr="00780C6B" w:rsidRDefault="00A10533" w:rsidP="00A10533">
      <w:pPr>
        <w:tabs>
          <w:tab w:val="left" w:pos="284"/>
        </w:tabs>
        <w:spacing w:before="240" w:after="0" w:line="276" w:lineRule="auto"/>
        <w:rPr>
          <w:rFonts w:cs="Arial"/>
          <w:bCs/>
          <w:iCs/>
          <w:sz w:val="18"/>
          <w:szCs w:val="18"/>
        </w:rPr>
      </w:pPr>
      <w:r w:rsidRPr="00780C6B">
        <w:rPr>
          <w:rFonts w:cs="Arial"/>
          <w:bCs/>
          <w:iCs/>
          <w:sz w:val="18"/>
          <w:szCs w:val="18"/>
        </w:rPr>
        <w:t>*</w:t>
      </w:r>
      <w:r>
        <w:rPr>
          <w:rFonts w:cs="Arial"/>
          <w:bCs/>
          <w:iCs/>
          <w:sz w:val="18"/>
          <w:szCs w:val="18"/>
        </w:rPr>
        <w:t xml:space="preserve"> </w:t>
      </w:r>
      <w:r w:rsidRPr="00780C6B">
        <w:rPr>
          <w:rFonts w:cs="Arial"/>
          <w:bCs/>
          <w:iCs/>
          <w:sz w:val="18"/>
          <w:szCs w:val="18"/>
        </w:rPr>
        <w:t xml:space="preserve">Source: </w:t>
      </w:r>
      <w:r w:rsidRPr="001F3D89">
        <w:rPr>
          <w:rFonts w:cs="Arial"/>
          <w:bCs/>
          <w:iCs/>
          <w:sz w:val="18"/>
          <w:szCs w:val="18"/>
        </w:rPr>
        <w:t xml:space="preserve">ABS </w:t>
      </w:r>
      <w:hyperlink r:id="rId28" w:anchor="data-downloads" w:history="1">
        <w:r w:rsidRPr="001F3D89">
          <w:rPr>
            <w:rStyle w:val="Hyperlink"/>
            <w:rFonts w:cs="Arial"/>
            <w:bCs/>
            <w:i/>
            <w:sz w:val="18"/>
            <w:szCs w:val="18"/>
          </w:rPr>
          <w:t>National, State and Territory Population</w:t>
        </w:r>
      </w:hyperlink>
      <w:r>
        <w:rPr>
          <w:rFonts w:cs="Arial"/>
          <w:bCs/>
          <w:i/>
          <w:sz w:val="18"/>
          <w:szCs w:val="18"/>
        </w:rPr>
        <w:t xml:space="preserve">, </w:t>
      </w:r>
      <w:r w:rsidRPr="001F3D89">
        <w:rPr>
          <w:rFonts w:cs="Arial"/>
          <w:bCs/>
          <w:iCs/>
          <w:sz w:val="18"/>
          <w:szCs w:val="18"/>
        </w:rPr>
        <w:t xml:space="preserve">September 2024 </w:t>
      </w:r>
      <w:r>
        <w:rPr>
          <w:rFonts w:cs="Arial"/>
          <w:bCs/>
          <w:iCs/>
          <w:sz w:val="18"/>
          <w:szCs w:val="18"/>
        </w:rPr>
        <w:t>(</w:t>
      </w:r>
      <w:r w:rsidRPr="001F3D89">
        <w:rPr>
          <w:rFonts w:cs="Arial"/>
          <w:bCs/>
          <w:iCs/>
          <w:sz w:val="18"/>
          <w:szCs w:val="18"/>
        </w:rPr>
        <w:t>States and Territories, from June 1981 onwards.</w:t>
      </w:r>
      <w:r>
        <w:rPr>
          <w:rFonts w:cs="Arial"/>
          <w:bCs/>
          <w:iCs/>
          <w:sz w:val="18"/>
          <w:szCs w:val="18"/>
        </w:rPr>
        <w:t xml:space="preserve">) </w:t>
      </w:r>
      <w:r w:rsidRPr="00780C6B">
        <w:rPr>
          <w:rFonts w:cs="Arial"/>
          <w:bCs/>
          <w:iCs/>
          <w:sz w:val="18"/>
          <w:szCs w:val="18"/>
        </w:rPr>
        <w:t xml:space="preserve">Year to 30 June 2024. </w:t>
      </w:r>
      <w:r>
        <w:rPr>
          <w:rFonts w:cs="Arial"/>
          <w:bCs/>
          <w:iCs/>
          <w:sz w:val="18"/>
          <w:szCs w:val="18"/>
        </w:rPr>
        <w:t>Released 20 March 2025</w:t>
      </w:r>
    </w:p>
    <w:p w14:paraId="24AF662D" w14:textId="77777777" w:rsidR="00A10533" w:rsidRPr="00780C6B" w:rsidRDefault="00A10533" w:rsidP="00A10533">
      <w:pPr>
        <w:tabs>
          <w:tab w:val="left" w:pos="284"/>
        </w:tabs>
        <w:spacing w:after="0" w:line="276" w:lineRule="auto"/>
        <w:rPr>
          <w:rFonts w:cs="Arial"/>
          <w:bCs/>
          <w:iCs/>
          <w:sz w:val="18"/>
          <w:szCs w:val="18"/>
        </w:rPr>
      </w:pPr>
      <w:r w:rsidRPr="00780C6B">
        <w:rPr>
          <w:rFonts w:cs="Arial"/>
          <w:bCs/>
          <w:iCs/>
          <w:sz w:val="18"/>
          <w:szCs w:val="18"/>
        </w:rPr>
        <w:t xml:space="preserve">** Source: </w:t>
      </w:r>
      <w:r>
        <w:rPr>
          <w:rFonts w:cs="Arial"/>
          <w:bCs/>
          <w:iCs/>
          <w:sz w:val="18"/>
          <w:szCs w:val="18"/>
        </w:rPr>
        <w:t xml:space="preserve">ABS </w:t>
      </w:r>
      <w:hyperlink r:id="rId29" w:anchor="data-downloads" w:history="1">
        <w:r w:rsidRPr="001F3D89">
          <w:rPr>
            <w:rStyle w:val="Hyperlink"/>
            <w:rFonts w:cs="Arial"/>
            <w:bCs/>
            <w:i/>
            <w:sz w:val="18"/>
            <w:szCs w:val="18"/>
          </w:rPr>
          <w:t>Regional population</w:t>
        </w:r>
      </w:hyperlink>
      <w:r>
        <w:rPr>
          <w:rFonts w:cs="Arial"/>
          <w:bCs/>
          <w:iCs/>
          <w:sz w:val="18"/>
          <w:szCs w:val="18"/>
        </w:rPr>
        <w:t>, 2023-24 financial year</w:t>
      </w:r>
      <w:r w:rsidRPr="001F3D89">
        <w:rPr>
          <w:rFonts w:cs="Arial"/>
          <w:bCs/>
          <w:iCs/>
          <w:sz w:val="18"/>
          <w:szCs w:val="18"/>
        </w:rPr>
        <w:t xml:space="preserve"> </w:t>
      </w:r>
      <w:r>
        <w:rPr>
          <w:rFonts w:cs="Arial"/>
          <w:bCs/>
          <w:iCs/>
          <w:sz w:val="18"/>
          <w:szCs w:val="18"/>
        </w:rPr>
        <w:t>(</w:t>
      </w:r>
      <w:r w:rsidRPr="001F3D89">
        <w:rPr>
          <w:rFonts w:cs="Arial"/>
          <w:bCs/>
          <w:iCs/>
          <w:sz w:val="18"/>
          <w:szCs w:val="18"/>
        </w:rPr>
        <w:t>Population estimates by SA2 and above, 2001 to 2024</w:t>
      </w:r>
      <w:r>
        <w:rPr>
          <w:rFonts w:cs="Arial"/>
          <w:bCs/>
          <w:iCs/>
          <w:sz w:val="18"/>
          <w:szCs w:val="18"/>
        </w:rPr>
        <w:t>)</w:t>
      </w:r>
      <w:r w:rsidRPr="00780C6B">
        <w:rPr>
          <w:rFonts w:cs="Arial"/>
          <w:bCs/>
          <w:iCs/>
          <w:sz w:val="18"/>
          <w:szCs w:val="18"/>
        </w:rPr>
        <w:t xml:space="preserve">. </w:t>
      </w:r>
      <w:r>
        <w:rPr>
          <w:rFonts w:cs="Arial"/>
          <w:bCs/>
          <w:iCs/>
          <w:sz w:val="18"/>
          <w:szCs w:val="18"/>
        </w:rPr>
        <w:t>Released 27 March 2025.</w:t>
      </w:r>
    </w:p>
    <w:p w14:paraId="77EF9BFE" w14:textId="77777777" w:rsidR="00A10533" w:rsidRDefault="00A10533" w:rsidP="00A10533">
      <w:pPr>
        <w:spacing w:line="276" w:lineRule="auto"/>
      </w:pPr>
    </w:p>
    <w:p w14:paraId="3E4062B3" w14:textId="77777777" w:rsidR="00A10533" w:rsidRPr="000E03FE" w:rsidRDefault="00A10533" w:rsidP="00A10533">
      <w:pPr>
        <w:spacing w:line="276" w:lineRule="auto"/>
        <w:rPr>
          <w:rFonts w:eastAsiaTheme="majorEastAsia" w:cstheme="majorBidi"/>
          <w:b/>
          <w:sz w:val="32"/>
          <w:szCs w:val="32"/>
        </w:rPr>
      </w:pPr>
      <w:r w:rsidRPr="000E03FE">
        <w:rPr>
          <w:rFonts w:eastAsiaTheme="majorEastAsia" w:cstheme="majorBidi"/>
          <w:b/>
          <w:sz w:val="32"/>
          <w:szCs w:val="32"/>
        </w:rPr>
        <w:t>State and territory labour force</w:t>
      </w:r>
    </w:p>
    <w:p w14:paraId="47173795" w14:textId="77777777" w:rsidR="00A10533" w:rsidRPr="000E03FE" w:rsidRDefault="00A10533" w:rsidP="00A10533">
      <w:pPr>
        <w:spacing w:line="240" w:lineRule="auto"/>
      </w:pPr>
      <w:r w:rsidRPr="000E03FE">
        <w:t>The labour force participation rate is calculated by expressing the labour force as a percentage of the civilian population aged 15 and over. The labour force is based on employed persons plus unemployed persons.</w:t>
      </w:r>
    </w:p>
    <w:p w14:paraId="60BC1EB3" w14:textId="77777777" w:rsidR="00A10533" w:rsidRPr="000E03FE" w:rsidRDefault="00A10533" w:rsidP="00A10533">
      <w:pPr>
        <w:spacing w:line="240" w:lineRule="auto"/>
      </w:pPr>
      <w:r w:rsidRPr="000E03FE">
        <w:t>Over the 12 months to February 2025, the labour force participation rate for Australia (trend data) increased by 0.</w:t>
      </w:r>
      <w:r>
        <w:t>3</w:t>
      </w:r>
      <w:r w:rsidRPr="000E03FE">
        <w:t>pp to 67</w:t>
      </w:r>
      <w:r>
        <w:t>.0</w:t>
      </w:r>
      <w:r w:rsidRPr="000E03FE">
        <w:t>% (see Figure A). Victoria and NSW recorded the largest increases in the participation rate (0.</w:t>
      </w:r>
      <w:r>
        <w:t>5</w:t>
      </w:r>
      <w:r w:rsidRPr="000E03FE">
        <w:t>pp and 0.4pp respectively), with Tasmania and NT recording decreases (down by 0.9pp and 0.4pp, respectively).</w:t>
      </w:r>
    </w:p>
    <w:p w14:paraId="2BF2B57C" w14:textId="77777777" w:rsidR="00A10533" w:rsidRPr="000E03FE" w:rsidRDefault="00A10533" w:rsidP="00A10533">
      <w:pPr>
        <w:spacing w:before="240" w:line="276" w:lineRule="auto"/>
        <w:rPr>
          <w:rFonts w:eastAsia="Arial Nova" w:cs="Times New Roman"/>
          <w:b/>
          <w:bCs/>
          <w:sz w:val="18"/>
          <w:szCs w:val="18"/>
        </w:rPr>
      </w:pPr>
      <w:r w:rsidRPr="00564920">
        <w:rPr>
          <w:rFonts w:eastAsia="Arial Nova" w:cs="Times New Roman"/>
          <w:b/>
          <w:bCs/>
          <w:sz w:val="20"/>
          <w:szCs w:val="20"/>
        </w:rPr>
        <w:lastRenderedPageBreak/>
        <w:t>Figure A: Labour force participation rates (trend) by state (%) as at February 2025</w:t>
      </w:r>
    </w:p>
    <w:p w14:paraId="19292493" w14:textId="77777777" w:rsidR="00A10533" w:rsidRDefault="00A10533" w:rsidP="00A10533">
      <w:pPr>
        <w:spacing w:line="276" w:lineRule="auto"/>
        <w:jc w:val="both"/>
        <w:rPr>
          <w:rFonts w:cs="Arial"/>
          <w:bCs/>
          <w:sz w:val="18"/>
          <w:szCs w:val="18"/>
        </w:rPr>
      </w:pPr>
      <w:r w:rsidRPr="000E03FE">
        <w:rPr>
          <w:noProof/>
        </w:rPr>
        <w:drawing>
          <wp:inline distT="0" distB="0" distL="0" distR="0" wp14:anchorId="40D9534A" wp14:editId="6C5D1B2B">
            <wp:extent cx="5542671" cy="3045460"/>
            <wp:effectExtent l="0" t="0" r="1270" b="2540"/>
            <wp:docPr id="1917410218" name="Chart 1" descr="Figure A: Trend labour force participation rates by State/Territory at February 2024 and February 2025. State/territory/Country. Trend Labour Force Participation Rate. &#10;New South Wales: February 2024 65.9%, February 2025 66.3%. &#10;Victoria: February 2024 67.2%, February 2025 67.8%. &#10;Queensland: February 2024 66.9%, February 2025 67%. &#10;South Australia: February 2024 63%, February 2025 63.3%. &#10;Western Australia: February 2024 68.8%, February 2025 69.1%. &#10;Tasmania: February 2024 61.1%, February 2025 60.2%. &#10;Northern Territory: February 2024 73.3%, February 2025 72.9%. &#10;Australian Capital Territory: February 2024 72%, February 2025 72.1%. &#10;Australia: February 2024 66.6%, February 2025 67%. ">
              <a:extLst xmlns:a="http://schemas.openxmlformats.org/drawingml/2006/main">
                <a:ext uri="{FF2B5EF4-FFF2-40B4-BE49-F238E27FC236}">
                  <a16:creationId xmlns:a16="http://schemas.microsoft.com/office/drawing/2014/main" id="{1DC508D5-F37F-E62C-ED81-2AF0371AFD2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p w14:paraId="5A6CDCAA" w14:textId="77777777" w:rsidR="00A10533" w:rsidRPr="00816CE5" w:rsidRDefault="00A10533" w:rsidP="00A10533">
      <w:pPr>
        <w:spacing w:after="160" w:line="259" w:lineRule="auto"/>
        <w:rPr>
          <w:sz w:val="18"/>
          <w:szCs w:val="18"/>
        </w:rPr>
      </w:pPr>
      <w:r w:rsidRPr="00BC1B39">
        <w:rPr>
          <w:sz w:val="18"/>
          <w:szCs w:val="18"/>
        </w:rPr>
        <w:t xml:space="preserve">Source: ABS </w:t>
      </w:r>
      <w:hyperlink r:id="rId31" w:anchor="unemployment" w:history="1">
        <w:r w:rsidRPr="00BC1B39">
          <w:rPr>
            <w:rStyle w:val="Hyperlink"/>
            <w:i/>
            <w:iCs/>
            <w:sz w:val="18"/>
            <w:szCs w:val="18"/>
          </w:rPr>
          <w:t>Labour Force, Australia</w:t>
        </w:r>
      </w:hyperlink>
      <w:r w:rsidRPr="00BC1B39">
        <w:rPr>
          <w:sz w:val="18"/>
          <w:szCs w:val="18"/>
        </w:rPr>
        <w:t xml:space="preserve">, </w:t>
      </w:r>
      <w:r>
        <w:rPr>
          <w:sz w:val="18"/>
          <w:szCs w:val="18"/>
        </w:rPr>
        <w:t>February</w:t>
      </w:r>
      <w:r w:rsidRPr="00816CE5">
        <w:rPr>
          <w:sz w:val="18"/>
          <w:szCs w:val="18"/>
        </w:rPr>
        <w:t xml:space="preserve"> 202</w:t>
      </w:r>
      <w:r>
        <w:rPr>
          <w:sz w:val="18"/>
          <w:szCs w:val="18"/>
        </w:rPr>
        <w:t>5</w:t>
      </w:r>
      <w:r w:rsidRPr="00816CE5">
        <w:rPr>
          <w:sz w:val="18"/>
          <w:szCs w:val="18"/>
        </w:rPr>
        <w:t xml:space="preserve"> (Table 12: </w:t>
      </w:r>
      <w:r w:rsidRPr="00AF1416">
        <w:rPr>
          <w:sz w:val="18"/>
          <w:szCs w:val="18"/>
        </w:rPr>
        <w:t>Labour force status by Sex, State and Territory - Trend, Seasonally adjusted and Original</w:t>
      </w:r>
      <w:r w:rsidRPr="00816CE5">
        <w:rPr>
          <w:sz w:val="18"/>
          <w:szCs w:val="18"/>
        </w:rPr>
        <w:t xml:space="preserve">), released </w:t>
      </w:r>
      <w:r>
        <w:rPr>
          <w:sz w:val="18"/>
          <w:szCs w:val="18"/>
        </w:rPr>
        <w:t xml:space="preserve">20 March </w:t>
      </w:r>
      <w:r w:rsidRPr="00816CE5">
        <w:rPr>
          <w:sz w:val="18"/>
          <w:szCs w:val="18"/>
        </w:rPr>
        <w:t>202</w:t>
      </w:r>
      <w:r>
        <w:rPr>
          <w:sz w:val="18"/>
          <w:szCs w:val="18"/>
        </w:rPr>
        <w:t>5</w:t>
      </w:r>
      <w:r w:rsidRPr="00816CE5">
        <w:rPr>
          <w:sz w:val="18"/>
          <w:szCs w:val="18"/>
        </w:rPr>
        <w:t>.</w:t>
      </w:r>
    </w:p>
    <w:p w14:paraId="1D5A479E" w14:textId="77777777" w:rsidR="00A10533" w:rsidRPr="000E03FE" w:rsidRDefault="00A10533" w:rsidP="00A10533">
      <w:pPr>
        <w:spacing w:before="240" w:line="276" w:lineRule="auto"/>
      </w:pPr>
      <w:r w:rsidRPr="000E03FE">
        <w:rPr>
          <w:rFonts w:eastAsiaTheme="majorEastAsia" w:cstheme="majorBidi"/>
          <w:b/>
          <w:sz w:val="32"/>
          <w:szCs w:val="32"/>
        </w:rPr>
        <w:t>Unemployment and gender</w:t>
      </w:r>
    </w:p>
    <w:p w14:paraId="2B7A346B" w14:textId="0E61D8C7" w:rsidR="00A10533" w:rsidRPr="000E03FE" w:rsidRDefault="00A10533" w:rsidP="00A10533">
      <w:pPr>
        <w:spacing w:line="240" w:lineRule="auto"/>
      </w:pPr>
      <w:r w:rsidRPr="000E03FE">
        <w:t xml:space="preserve">Figure B shows unemployment rates for migrants who have arrived in Australia less than </w:t>
      </w:r>
      <w:r>
        <w:t>10</w:t>
      </w:r>
      <w:r w:rsidRPr="000E03FE">
        <w:t xml:space="preserve"> years ago (recent migrants) and more than </w:t>
      </w:r>
      <w:r>
        <w:t>10</w:t>
      </w:r>
      <w:r w:rsidRPr="000E03FE">
        <w:t xml:space="preserve"> years ago (established migrants) by gender. </w:t>
      </w:r>
      <w:r w:rsidR="00BF4483">
        <w:t>F</w:t>
      </w:r>
      <w:r w:rsidRPr="000E03FE">
        <w:t xml:space="preserve">emale migrants had higher unemployment rates than male migrants for most states and territories, except for Victoria, Queensland and the </w:t>
      </w:r>
      <w:r>
        <w:t>NT</w:t>
      </w:r>
      <w:r w:rsidRPr="000E03FE">
        <w:t>. Female unemployment rates were lower for established migrants than for recent migrants, except for</w:t>
      </w:r>
      <w:r>
        <w:t xml:space="preserve"> NT</w:t>
      </w:r>
      <w:r w:rsidRPr="000E03FE">
        <w:t xml:space="preserve"> and Tasmania.</w:t>
      </w:r>
    </w:p>
    <w:p w14:paraId="0A39B34F" w14:textId="4EC08B22" w:rsidR="00A10533" w:rsidRPr="000E03FE" w:rsidRDefault="00A10533" w:rsidP="00A10533">
      <w:pPr>
        <w:spacing w:line="240" w:lineRule="auto"/>
      </w:pPr>
      <w:r w:rsidRPr="000E03FE">
        <w:t xml:space="preserve">In February 2025, recent female migrants had the highest unemployment rate in </w:t>
      </w:r>
      <w:r w:rsidR="00BF4483">
        <w:t>six</w:t>
      </w:r>
      <w:r w:rsidR="00BF4483" w:rsidRPr="000E03FE">
        <w:t xml:space="preserve"> </w:t>
      </w:r>
      <w:r w:rsidRPr="000E03FE">
        <w:t xml:space="preserve">states and territories. The highest female recent migrant unemployment rate was in </w:t>
      </w:r>
      <w:r>
        <w:t>Queensland</w:t>
      </w:r>
      <w:r w:rsidRPr="000E03FE">
        <w:t xml:space="preserve"> at </w:t>
      </w:r>
      <w:r>
        <w:t>7.9</w:t>
      </w:r>
      <w:r w:rsidRPr="000E03FE">
        <w:t xml:space="preserve">%. The </w:t>
      </w:r>
      <w:r w:rsidR="00BF4483">
        <w:t>NT</w:t>
      </w:r>
      <w:r w:rsidRPr="000E03FE">
        <w:t xml:space="preserve"> had the overall lowest unemployment rates for all groups, with female unemployment at 0.2% for recent migrants and 1.9% for established migrants.</w:t>
      </w:r>
    </w:p>
    <w:p w14:paraId="62A08748" w14:textId="77777777" w:rsidR="00A10533" w:rsidRPr="000E03FE" w:rsidRDefault="00A10533" w:rsidP="00A10533">
      <w:pPr>
        <w:spacing w:line="240" w:lineRule="auto"/>
      </w:pPr>
      <w:r w:rsidRPr="000E03FE">
        <w:t>Queensland had the highest male unemployment rate, higher than female unemployment rates, at 8.9% for recent migrants and 3.6% for established migrants.</w:t>
      </w:r>
    </w:p>
    <w:p w14:paraId="4372CE17" w14:textId="77777777" w:rsidR="00A10533" w:rsidRPr="000E03FE" w:rsidRDefault="00A10533" w:rsidP="00A10533">
      <w:r w:rsidRPr="000E03FE">
        <w:br w:type="page"/>
      </w:r>
    </w:p>
    <w:p w14:paraId="265928A4" w14:textId="5E050BE7" w:rsidR="00A10533" w:rsidRPr="00564920" w:rsidRDefault="00A10533" w:rsidP="00A10533">
      <w:pPr>
        <w:rPr>
          <w:rFonts w:eastAsia="Arial Nova" w:cs="Times New Roman"/>
          <w:b/>
          <w:bCs/>
          <w:sz w:val="20"/>
          <w:szCs w:val="20"/>
        </w:rPr>
      </w:pPr>
      <w:r w:rsidRPr="00564920">
        <w:rPr>
          <w:rFonts w:eastAsia="Arial Nova" w:cs="Times New Roman"/>
          <w:b/>
          <w:bCs/>
          <w:sz w:val="20"/>
          <w:szCs w:val="20"/>
        </w:rPr>
        <w:lastRenderedPageBreak/>
        <w:t xml:space="preserve">Figure B: Unemployment rates (%), recent and established migrants by state and gender </w:t>
      </w:r>
      <w:r w:rsidR="00D40B54">
        <w:rPr>
          <w:rFonts w:eastAsia="Arial Nova" w:cs="Times New Roman"/>
          <w:b/>
          <w:bCs/>
          <w:sz w:val="20"/>
          <w:szCs w:val="20"/>
        </w:rPr>
        <w:t>–</w:t>
      </w:r>
      <w:r w:rsidRPr="00564920">
        <w:rPr>
          <w:rFonts w:eastAsia="Arial Nova" w:cs="Times New Roman"/>
          <w:b/>
          <w:bCs/>
          <w:sz w:val="20"/>
          <w:szCs w:val="20"/>
        </w:rPr>
        <w:t xml:space="preserve"> February 2025</w:t>
      </w:r>
    </w:p>
    <w:p w14:paraId="4578DEB7" w14:textId="77777777" w:rsidR="00A10533" w:rsidRPr="000E03FE" w:rsidRDefault="00A10533" w:rsidP="00A10533">
      <w:pPr>
        <w:spacing w:line="276" w:lineRule="auto"/>
      </w:pPr>
      <w:r w:rsidRPr="000E03FE">
        <w:rPr>
          <w:noProof/>
        </w:rPr>
        <w:drawing>
          <wp:inline distT="0" distB="0" distL="0" distR="0" wp14:anchorId="4AE836EF" wp14:editId="49904178">
            <wp:extent cx="5731510" cy="3042878"/>
            <wp:effectExtent l="0" t="0" r="2540" b="5715"/>
            <wp:docPr id="390786708" name="Chart 1" descr="Figure A: Trend labour force participation rates by State/Territory at February 2024 and February 2025. State/territory/Country. Trend Labour Force Participation Rate. &#10;New South Wales: Male - Recent Migrants 3.1%, Female - Recent Migrants 6.1%,Male - Established Migrants 4.1%, Female - Established Migrants 4.5%. &#10;Victoria: Male - Recent Migrants 7.8%, Female - Recent Migrants 6.8%,Male - Established Migrants 4.3%, Female - Established Migrants 4.6%. &#10;Queensland: Male - Recent Migrants 8.9%, Female - Recent Migrants 7.9%,Male - Established Migrants 3.6%, Female - Established Migrants 3.3%. &#10;South Australia: Male - Recent Migrants 3.5%, Female - Recent Migrants 5.3%,Male - Established Migrants 1.8%, Female - Established Migrants 4.1%. &#10;Western Australia: Male - Recent Migrants 2.7%, Female - Recent Migrants 4.4%,Male - Established Migrants 2.5%, Female - Established Migrants 2.4%. &#10;Tasmania: Male - Recent Migrants 1.5%, Female - Recent Migrants 2.1%,Male - Established Migrants 2.9%, Female - Established Migrants 3.3%. &#10;Northern Territory: Male - Recent Migrants 2.3%, Female - Recent Migrants 0.2%,Male - Established Migrants 2.3%, Female - Established Migrants 1.9%. &#10;Australian Capital Territory: Male - Recent Migrants 4%, Female - Recent Migrants 4.9%,Male - Established Migrants 1.4%, Female - Established Migrants 2%. &#10;Australia: Male - Recent Migrants 5.4%, Female - Recent Migrants 6.3%,Male - Established Migrants 3.7%, Female - Established Migrants 4%. &#10;">
              <a:extLst xmlns:a="http://schemas.openxmlformats.org/drawingml/2006/main">
                <a:ext uri="{FF2B5EF4-FFF2-40B4-BE49-F238E27FC236}">
                  <a16:creationId xmlns:a16="http://schemas.microsoft.com/office/drawing/2014/main" id="{D65A043B-0986-38F5-3E5A-6504E9BD82B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p>
    <w:p w14:paraId="4904E2BA" w14:textId="77777777" w:rsidR="00A10533" w:rsidRPr="0052111A" w:rsidRDefault="00A10533" w:rsidP="00A10533">
      <w:pPr>
        <w:spacing w:after="160" w:line="259" w:lineRule="auto"/>
        <w:rPr>
          <w:sz w:val="18"/>
          <w:szCs w:val="18"/>
        </w:rPr>
      </w:pPr>
      <w:r w:rsidRPr="00BC1B39">
        <w:rPr>
          <w:rFonts w:cs="Arial"/>
          <w:bCs/>
          <w:sz w:val="18"/>
          <w:szCs w:val="18"/>
        </w:rPr>
        <w:t xml:space="preserve">Source: ABS, </w:t>
      </w:r>
      <w:hyperlink r:id="rId33" w:history="1">
        <w:r w:rsidRPr="00BC1B39">
          <w:rPr>
            <w:rStyle w:val="Hyperlink"/>
            <w:rFonts w:cs="Arial"/>
            <w:bCs/>
            <w:i/>
            <w:iCs/>
            <w:sz w:val="18"/>
            <w:szCs w:val="18"/>
          </w:rPr>
          <w:t>Labour Force, Australia, Detailed</w:t>
        </w:r>
      </w:hyperlink>
      <w:r w:rsidRPr="00BC1B39">
        <w:rPr>
          <w:rFonts w:cs="Arial"/>
          <w:bCs/>
          <w:sz w:val="18"/>
          <w:szCs w:val="18"/>
        </w:rPr>
        <w:t xml:space="preserve">, </w:t>
      </w:r>
      <w:r>
        <w:rPr>
          <w:rFonts w:cs="Arial"/>
          <w:bCs/>
          <w:sz w:val="18"/>
          <w:szCs w:val="18"/>
        </w:rPr>
        <w:t>February 2025</w:t>
      </w:r>
      <w:r w:rsidRPr="00816CE5">
        <w:rPr>
          <w:rFonts w:cs="Arial"/>
          <w:bCs/>
          <w:sz w:val="18"/>
          <w:szCs w:val="18"/>
        </w:rPr>
        <w:t xml:space="preserve">, (Table LM7: Labour force status by elapsed years since arrival, main English-speaking countries, sex, state and territory), released </w:t>
      </w:r>
      <w:r>
        <w:rPr>
          <w:sz w:val="18"/>
          <w:szCs w:val="18"/>
        </w:rPr>
        <w:t>27 March 2025</w:t>
      </w:r>
      <w:r w:rsidRPr="00816CE5">
        <w:rPr>
          <w:rFonts w:cs="Arial"/>
          <w:bCs/>
          <w:sz w:val="18"/>
          <w:szCs w:val="18"/>
        </w:rPr>
        <w:t>.</w:t>
      </w:r>
    </w:p>
    <w:p w14:paraId="5B7AE803" w14:textId="77777777" w:rsidR="00A10533" w:rsidRPr="000E03FE" w:rsidRDefault="00A10533" w:rsidP="00A10533">
      <w:pPr>
        <w:spacing w:before="160" w:line="240" w:lineRule="auto"/>
        <w:jc w:val="both"/>
        <w:rPr>
          <w:rFonts w:eastAsiaTheme="majorEastAsia" w:cstheme="majorBidi"/>
          <w:b/>
          <w:sz w:val="32"/>
          <w:szCs w:val="32"/>
        </w:rPr>
      </w:pPr>
      <w:r w:rsidRPr="000E03FE">
        <w:rPr>
          <w:rFonts w:eastAsiaTheme="majorEastAsia" w:cstheme="majorBidi"/>
          <w:b/>
          <w:sz w:val="32"/>
          <w:szCs w:val="32"/>
        </w:rPr>
        <w:t>Industry by state and territory</w:t>
      </w:r>
    </w:p>
    <w:p w14:paraId="36584E98" w14:textId="6434E81E" w:rsidR="00A65051" w:rsidRDefault="00A65051" w:rsidP="0062632C">
      <w:pPr>
        <w:spacing w:after="0"/>
        <w:rPr>
          <w:rFonts w:ascii="Aptos" w:hAnsi="Aptos"/>
          <w:b/>
          <w:bCs/>
          <w:color w:val="000000" w:themeColor="text1"/>
        </w:rPr>
      </w:pPr>
      <w:r>
        <w:rPr>
          <w:color w:val="000000" w:themeColor="text1"/>
        </w:rPr>
        <w:t xml:space="preserve">Table B shows industry share of total employment for each state and territory (trend data). The industries that employ the largest number of persons in Australia are Health Care and Social Assistance (15.8%) followed by Construction (9.5%) </w:t>
      </w:r>
      <w:r w:rsidRPr="0062632C">
        <w:rPr>
          <w:color w:val="000000" w:themeColor="text1"/>
        </w:rPr>
        <w:t>and Retail Trade (9.2%). These industries feature in the top 6 employing industries in each state and territory. It also shows WA has a considerable proportion of employed persons in Mining (10.0%), and the ACT (28.0%) and N</w:t>
      </w:r>
      <w:r w:rsidR="0062632C" w:rsidRPr="0062632C">
        <w:rPr>
          <w:color w:val="000000" w:themeColor="text1"/>
        </w:rPr>
        <w:t>T</w:t>
      </w:r>
      <w:r w:rsidRPr="0062632C">
        <w:rPr>
          <w:color w:val="000000" w:themeColor="text1"/>
        </w:rPr>
        <w:t xml:space="preserve"> (15.7%) have considerable proportions of employed persons in Public</w:t>
      </w:r>
      <w:r>
        <w:rPr>
          <w:color w:val="000000" w:themeColor="text1"/>
        </w:rPr>
        <w:t xml:space="preserve"> Administration and Safety.</w:t>
      </w:r>
    </w:p>
    <w:p w14:paraId="1553CF40" w14:textId="77777777" w:rsidR="00A10533" w:rsidRPr="00564920" w:rsidRDefault="00A10533" w:rsidP="00A10533">
      <w:pPr>
        <w:pStyle w:val="Caption"/>
        <w:spacing w:after="0" w:line="276" w:lineRule="auto"/>
        <w:rPr>
          <w:rFonts w:cs="Arial"/>
          <w:sz w:val="20"/>
          <w:szCs w:val="20"/>
        </w:rPr>
      </w:pPr>
      <w:r w:rsidRPr="00564920">
        <w:rPr>
          <w:rFonts w:cs="Arial"/>
          <w:sz w:val="20"/>
          <w:szCs w:val="20"/>
        </w:rPr>
        <w:t xml:space="preserve">Table B: Employment Distribution by Industry and state/territory (% of persons) at February 2025 </w:t>
      </w:r>
    </w:p>
    <w:tbl>
      <w:tblPr>
        <w:tblStyle w:val="JSATable1"/>
        <w:tblpPr w:leftFromText="180" w:rightFromText="180" w:vertAnchor="text" w:horzAnchor="margin" w:tblpXSpec="center" w:tblpY="144"/>
        <w:tblW w:w="9222" w:type="dxa"/>
        <w:tblLayout w:type="fixed"/>
        <w:tblLook w:val="0020" w:firstRow="1" w:lastRow="0" w:firstColumn="0" w:lastColumn="0" w:noHBand="0" w:noVBand="0"/>
      </w:tblPr>
      <w:tblGrid>
        <w:gridCol w:w="1572"/>
        <w:gridCol w:w="850"/>
        <w:gridCol w:w="850"/>
        <w:gridCol w:w="850"/>
        <w:gridCol w:w="850"/>
        <w:gridCol w:w="850"/>
        <w:gridCol w:w="850"/>
        <w:gridCol w:w="850"/>
        <w:gridCol w:w="850"/>
        <w:gridCol w:w="850"/>
      </w:tblGrid>
      <w:tr w:rsidR="00A10533" w:rsidRPr="00CB1125" w14:paraId="7B4CDF87" w14:textId="77777777" w:rsidTr="003B6D25">
        <w:trPr>
          <w:cnfStyle w:val="100000000000" w:firstRow="1" w:lastRow="0" w:firstColumn="0" w:lastColumn="0" w:oddVBand="0" w:evenVBand="0" w:oddHBand="0" w:evenHBand="0" w:firstRowFirstColumn="0" w:firstRowLastColumn="0" w:lastRowFirstColumn="0" w:lastRowLastColumn="0"/>
        </w:trPr>
        <w:tc>
          <w:tcPr>
            <w:tcW w:w="1572" w:type="dxa"/>
            <w:vAlign w:val="center"/>
          </w:tcPr>
          <w:p w14:paraId="4B428C69" w14:textId="77777777" w:rsidR="00A10533" w:rsidRPr="00CB1125" w:rsidRDefault="00A10533" w:rsidP="003B6D25">
            <w:pPr>
              <w:spacing w:line="276" w:lineRule="auto"/>
              <w:jc w:val="center"/>
              <w:rPr>
                <w:rFonts w:eastAsia="Arial Nova" w:cs="Times New Roman"/>
                <w:color w:val="FFFFFF" w:themeColor="background1"/>
                <w:sz w:val="18"/>
                <w:szCs w:val="18"/>
              </w:rPr>
            </w:pPr>
          </w:p>
        </w:tc>
        <w:tc>
          <w:tcPr>
            <w:tcW w:w="850" w:type="dxa"/>
            <w:vAlign w:val="center"/>
          </w:tcPr>
          <w:p w14:paraId="531180E5" w14:textId="77777777" w:rsidR="00A10533" w:rsidRPr="00CB1125" w:rsidRDefault="00A10533" w:rsidP="003B6D25">
            <w:pPr>
              <w:spacing w:line="276" w:lineRule="auto"/>
              <w:jc w:val="center"/>
              <w:rPr>
                <w:rFonts w:eastAsia="Arial Nova" w:cs="Times New Roman"/>
                <w:color w:val="FFFFFF" w:themeColor="background1"/>
                <w:sz w:val="18"/>
                <w:szCs w:val="18"/>
              </w:rPr>
            </w:pPr>
            <w:r w:rsidRPr="00CB1125">
              <w:rPr>
                <w:rFonts w:cs="Arial"/>
                <w:color w:val="FFFFFF" w:themeColor="background1"/>
                <w:sz w:val="18"/>
                <w:szCs w:val="18"/>
              </w:rPr>
              <w:t>NSW</w:t>
            </w:r>
          </w:p>
        </w:tc>
        <w:tc>
          <w:tcPr>
            <w:tcW w:w="850" w:type="dxa"/>
            <w:vAlign w:val="center"/>
          </w:tcPr>
          <w:p w14:paraId="618AA87B" w14:textId="77777777" w:rsidR="00A10533" w:rsidRPr="00CB1125" w:rsidRDefault="00A10533" w:rsidP="003B6D25">
            <w:pPr>
              <w:spacing w:line="276" w:lineRule="auto"/>
              <w:jc w:val="center"/>
              <w:rPr>
                <w:rFonts w:eastAsia="Arial Nova" w:cs="Times New Roman"/>
                <w:color w:val="FFFFFF" w:themeColor="background1"/>
                <w:sz w:val="18"/>
                <w:szCs w:val="18"/>
              </w:rPr>
            </w:pPr>
            <w:r w:rsidRPr="00CB1125">
              <w:rPr>
                <w:rFonts w:cs="Arial"/>
                <w:color w:val="FFFFFF" w:themeColor="background1"/>
                <w:sz w:val="18"/>
                <w:szCs w:val="18"/>
              </w:rPr>
              <w:t>VIC</w:t>
            </w:r>
          </w:p>
        </w:tc>
        <w:tc>
          <w:tcPr>
            <w:tcW w:w="850" w:type="dxa"/>
            <w:vAlign w:val="center"/>
          </w:tcPr>
          <w:p w14:paraId="1F6E67FA" w14:textId="77777777" w:rsidR="00A10533" w:rsidRPr="00CB1125" w:rsidRDefault="00A10533" w:rsidP="003B6D25">
            <w:pPr>
              <w:spacing w:line="276" w:lineRule="auto"/>
              <w:jc w:val="center"/>
              <w:rPr>
                <w:rFonts w:eastAsia="Arial Nova" w:cs="Times New Roman"/>
                <w:color w:val="FFFFFF" w:themeColor="background1"/>
                <w:sz w:val="18"/>
                <w:szCs w:val="18"/>
              </w:rPr>
            </w:pPr>
            <w:r w:rsidRPr="00CB1125">
              <w:rPr>
                <w:rFonts w:cs="Arial"/>
                <w:color w:val="FFFFFF" w:themeColor="background1"/>
                <w:sz w:val="18"/>
                <w:szCs w:val="18"/>
              </w:rPr>
              <w:t>QLD</w:t>
            </w:r>
          </w:p>
        </w:tc>
        <w:tc>
          <w:tcPr>
            <w:tcW w:w="850" w:type="dxa"/>
            <w:vAlign w:val="center"/>
          </w:tcPr>
          <w:p w14:paraId="6997ADDF" w14:textId="77777777" w:rsidR="00A10533" w:rsidRPr="00CB1125" w:rsidRDefault="00A10533" w:rsidP="003B6D25">
            <w:pPr>
              <w:spacing w:line="276" w:lineRule="auto"/>
              <w:jc w:val="center"/>
              <w:rPr>
                <w:rFonts w:eastAsia="Arial Nova" w:cs="Times New Roman"/>
                <w:color w:val="FFFFFF" w:themeColor="background1"/>
                <w:sz w:val="18"/>
                <w:szCs w:val="18"/>
              </w:rPr>
            </w:pPr>
            <w:r w:rsidRPr="00CB1125">
              <w:rPr>
                <w:rFonts w:cs="Arial"/>
                <w:color w:val="FFFFFF" w:themeColor="background1"/>
                <w:sz w:val="18"/>
                <w:szCs w:val="18"/>
              </w:rPr>
              <w:t>SA</w:t>
            </w:r>
          </w:p>
        </w:tc>
        <w:tc>
          <w:tcPr>
            <w:tcW w:w="850" w:type="dxa"/>
            <w:vAlign w:val="center"/>
          </w:tcPr>
          <w:p w14:paraId="7AF62BDC" w14:textId="77777777" w:rsidR="00A10533" w:rsidRPr="00CB1125" w:rsidRDefault="00A10533" w:rsidP="003B6D25">
            <w:pPr>
              <w:spacing w:line="276" w:lineRule="auto"/>
              <w:jc w:val="center"/>
              <w:rPr>
                <w:rFonts w:eastAsia="Arial Nova" w:cs="Times New Roman"/>
                <w:color w:val="FFFFFF" w:themeColor="background1"/>
                <w:sz w:val="18"/>
                <w:szCs w:val="18"/>
              </w:rPr>
            </w:pPr>
            <w:r w:rsidRPr="00CB1125">
              <w:rPr>
                <w:rFonts w:cs="Arial"/>
                <w:color w:val="FFFFFF" w:themeColor="background1"/>
                <w:sz w:val="18"/>
                <w:szCs w:val="18"/>
              </w:rPr>
              <w:t>WA</w:t>
            </w:r>
          </w:p>
        </w:tc>
        <w:tc>
          <w:tcPr>
            <w:tcW w:w="850" w:type="dxa"/>
            <w:vAlign w:val="center"/>
          </w:tcPr>
          <w:p w14:paraId="50FD8DAF" w14:textId="77777777" w:rsidR="00A10533" w:rsidRPr="00CB1125" w:rsidRDefault="00A10533" w:rsidP="003B6D25">
            <w:pPr>
              <w:spacing w:line="276" w:lineRule="auto"/>
              <w:jc w:val="center"/>
              <w:rPr>
                <w:rFonts w:eastAsia="Arial Nova" w:cs="Times New Roman"/>
                <w:color w:val="FFFFFF" w:themeColor="background1"/>
                <w:sz w:val="18"/>
                <w:szCs w:val="18"/>
              </w:rPr>
            </w:pPr>
            <w:r w:rsidRPr="00CB1125">
              <w:rPr>
                <w:rFonts w:cs="Arial"/>
                <w:color w:val="FFFFFF" w:themeColor="background1"/>
                <w:sz w:val="18"/>
                <w:szCs w:val="18"/>
              </w:rPr>
              <w:t>TAS</w:t>
            </w:r>
          </w:p>
        </w:tc>
        <w:tc>
          <w:tcPr>
            <w:tcW w:w="850" w:type="dxa"/>
            <w:vAlign w:val="center"/>
          </w:tcPr>
          <w:p w14:paraId="2A3148AB" w14:textId="77777777" w:rsidR="00A10533" w:rsidRPr="00CB1125" w:rsidRDefault="00A10533" w:rsidP="003B6D25">
            <w:pPr>
              <w:spacing w:line="276" w:lineRule="auto"/>
              <w:jc w:val="center"/>
              <w:rPr>
                <w:rFonts w:eastAsia="Arial Nova" w:cs="Times New Roman"/>
                <w:color w:val="FFFFFF" w:themeColor="background1"/>
                <w:sz w:val="18"/>
                <w:szCs w:val="18"/>
              </w:rPr>
            </w:pPr>
            <w:r w:rsidRPr="00CB1125">
              <w:rPr>
                <w:rFonts w:cs="Arial"/>
                <w:color w:val="FFFFFF" w:themeColor="background1"/>
                <w:sz w:val="18"/>
                <w:szCs w:val="18"/>
              </w:rPr>
              <w:t>NT</w:t>
            </w:r>
          </w:p>
        </w:tc>
        <w:tc>
          <w:tcPr>
            <w:tcW w:w="850" w:type="dxa"/>
            <w:vAlign w:val="center"/>
          </w:tcPr>
          <w:p w14:paraId="3FBD96A5" w14:textId="77777777" w:rsidR="00A10533" w:rsidRPr="00CB1125" w:rsidRDefault="00A10533" w:rsidP="003B6D25">
            <w:pPr>
              <w:spacing w:line="276" w:lineRule="auto"/>
              <w:jc w:val="center"/>
              <w:rPr>
                <w:rFonts w:eastAsia="Arial Nova" w:cs="Times New Roman"/>
                <w:color w:val="FFFFFF" w:themeColor="background1"/>
                <w:sz w:val="18"/>
                <w:szCs w:val="18"/>
              </w:rPr>
            </w:pPr>
            <w:r w:rsidRPr="00CB1125">
              <w:rPr>
                <w:rFonts w:cs="Arial"/>
                <w:color w:val="FFFFFF" w:themeColor="background1"/>
                <w:sz w:val="18"/>
                <w:szCs w:val="18"/>
              </w:rPr>
              <w:t>ACT</w:t>
            </w:r>
          </w:p>
        </w:tc>
        <w:tc>
          <w:tcPr>
            <w:tcW w:w="850" w:type="dxa"/>
            <w:vAlign w:val="center"/>
          </w:tcPr>
          <w:p w14:paraId="67491F91" w14:textId="77777777" w:rsidR="00A10533" w:rsidRPr="00CB1125" w:rsidRDefault="00A10533" w:rsidP="003B6D25">
            <w:pPr>
              <w:spacing w:line="276" w:lineRule="auto"/>
              <w:jc w:val="center"/>
              <w:rPr>
                <w:rFonts w:eastAsia="Arial Nova" w:cs="Times New Roman"/>
                <w:color w:val="FFFFFF" w:themeColor="background1"/>
                <w:sz w:val="18"/>
                <w:szCs w:val="18"/>
              </w:rPr>
            </w:pPr>
            <w:r w:rsidRPr="00CB1125">
              <w:rPr>
                <w:rFonts w:cs="Arial"/>
                <w:color w:val="FFFFFF" w:themeColor="background1"/>
                <w:sz w:val="18"/>
                <w:szCs w:val="18"/>
              </w:rPr>
              <w:t>AUS</w:t>
            </w:r>
          </w:p>
        </w:tc>
      </w:tr>
      <w:tr w:rsidR="00A10533" w:rsidRPr="00CB1125" w14:paraId="61D711E9" w14:textId="77777777" w:rsidTr="003B6D25">
        <w:tc>
          <w:tcPr>
            <w:tcW w:w="1572" w:type="dxa"/>
            <w:vAlign w:val="center"/>
          </w:tcPr>
          <w:p w14:paraId="4F2846C9" w14:textId="77777777" w:rsidR="00A10533" w:rsidRPr="00CB1125" w:rsidRDefault="00A10533" w:rsidP="0030335E">
            <w:pPr>
              <w:spacing w:line="276" w:lineRule="auto"/>
              <w:rPr>
                <w:rFonts w:eastAsia="Arial Nova" w:cs="Times New Roman"/>
                <w:sz w:val="18"/>
                <w:szCs w:val="18"/>
              </w:rPr>
            </w:pPr>
            <w:r w:rsidRPr="00CB1125">
              <w:rPr>
                <w:rFonts w:cs="Arial"/>
                <w:sz w:val="18"/>
                <w:szCs w:val="18"/>
              </w:rPr>
              <w:t>Agriculture, Forestry and Fishing</w:t>
            </w:r>
          </w:p>
        </w:tc>
        <w:tc>
          <w:tcPr>
            <w:tcW w:w="850" w:type="dxa"/>
            <w:vAlign w:val="center"/>
          </w:tcPr>
          <w:p w14:paraId="573079E4" w14:textId="77777777" w:rsidR="00A10533" w:rsidRPr="00CB1125" w:rsidRDefault="00A10533" w:rsidP="003B6D25">
            <w:pPr>
              <w:spacing w:line="276" w:lineRule="auto"/>
              <w:jc w:val="center"/>
              <w:rPr>
                <w:rFonts w:cs="Arial"/>
                <w:sz w:val="18"/>
                <w:szCs w:val="18"/>
              </w:rPr>
            </w:pPr>
            <w:r w:rsidRPr="00CB1125">
              <w:rPr>
                <w:rFonts w:cs="Arial"/>
                <w:sz w:val="18"/>
                <w:szCs w:val="18"/>
              </w:rPr>
              <w:t>1.7</w:t>
            </w:r>
          </w:p>
        </w:tc>
        <w:tc>
          <w:tcPr>
            <w:tcW w:w="850" w:type="dxa"/>
            <w:vAlign w:val="center"/>
          </w:tcPr>
          <w:p w14:paraId="79C0F6BE" w14:textId="77777777" w:rsidR="00A10533" w:rsidRPr="00CB1125" w:rsidRDefault="00A10533" w:rsidP="003B6D25">
            <w:pPr>
              <w:spacing w:line="276" w:lineRule="auto"/>
              <w:jc w:val="center"/>
              <w:rPr>
                <w:rFonts w:cs="Arial"/>
                <w:sz w:val="18"/>
                <w:szCs w:val="18"/>
              </w:rPr>
            </w:pPr>
            <w:r w:rsidRPr="00CB1125">
              <w:rPr>
                <w:rFonts w:cs="Arial"/>
                <w:sz w:val="18"/>
                <w:szCs w:val="18"/>
              </w:rPr>
              <w:t>1.9</w:t>
            </w:r>
          </w:p>
        </w:tc>
        <w:tc>
          <w:tcPr>
            <w:tcW w:w="850" w:type="dxa"/>
            <w:vAlign w:val="center"/>
          </w:tcPr>
          <w:p w14:paraId="7AC6CBD5" w14:textId="77777777" w:rsidR="00A10533" w:rsidRPr="00CB1125" w:rsidRDefault="00A10533" w:rsidP="003B6D25">
            <w:pPr>
              <w:spacing w:line="276" w:lineRule="auto"/>
              <w:jc w:val="center"/>
              <w:rPr>
                <w:rFonts w:cs="Arial"/>
                <w:sz w:val="18"/>
                <w:szCs w:val="18"/>
              </w:rPr>
            </w:pPr>
            <w:r w:rsidRPr="00CB1125">
              <w:rPr>
                <w:rFonts w:cs="Arial"/>
                <w:sz w:val="18"/>
                <w:szCs w:val="18"/>
              </w:rPr>
              <w:t>2.2</w:t>
            </w:r>
          </w:p>
        </w:tc>
        <w:tc>
          <w:tcPr>
            <w:tcW w:w="850" w:type="dxa"/>
            <w:vAlign w:val="center"/>
          </w:tcPr>
          <w:p w14:paraId="3786B17A" w14:textId="77777777" w:rsidR="00A10533" w:rsidRPr="00CB1125" w:rsidRDefault="00A10533" w:rsidP="003B6D25">
            <w:pPr>
              <w:spacing w:line="276" w:lineRule="auto"/>
              <w:jc w:val="center"/>
              <w:rPr>
                <w:rFonts w:cs="Arial"/>
                <w:sz w:val="18"/>
                <w:szCs w:val="18"/>
              </w:rPr>
            </w:pPr>
            <w:r w:rsidRPr="00CB1125">
              <w:rPr>
                <w:rFonts w:cs="Arial"/>
                <w:sz w:val="18"/>
                <w:szCs w:val="18"/>
              </w:rPr>
              <w:t>3.8</w:t>
            </w:r>
          </w:p>
        </w:tc>
        <w:tc>
          <w:tcPr>
            <w:tcW w:w="850" w:type="dxa"/>
            <w:vAlign w:val="center"/>
          </w:tcPr>
          <w:p w14:paraId="45535BFA" w14:textId="77777777" w:rsidR="00A10533" w:rsidRPr="00CB1125" w:rsidRDefault="00A10533" w:rsidP="003B6D25">
            <w:pPr>
              <w:spacing w:line="276" w:lineRule="auto"/>
              <w:jc w:val="center"/>
              <w:rPr>
                <w:rFonts w:cs="Arial"/>
                <w:sz w:val="18"/>
                <w:szCs w:val="18"/>
              </w:rPr>
            </w:pPr>
            <w:r w:rsidRPr="00CB1125">
              <w:rPr>
                <w:rFonts w:cs="Arial"/>
                <w:sz w:val="18"/>
                <w:szCs w:val="18"/>
              </w:rPr>
              <w:t>2.1</w:t>
            </w:r>
          </w:p>
        </w:tc>
        <w:tc>
          <w:tcPr>
            <w:tcW w:w="850" w:type="dxa"/>
            <w:vAlign w:val="center"/>
          </w:tcPr>
          <w:p w14:paraId="29FC6AAD" w14:textId="77777777" w:rsidR="00A10533" w:rsidRPr="00CB1125" w:rsidRDefault="00A10533" w:rsidP="003B6D25">
            <w:pPr>
              <w:spacing w:line="276" w:lineRule="auto"/>
              <w:jc w:val="center"/>
              <w:rPr>
                <w:rFonts w:cs="Arial"/>
                <w:sz w:val="18"/>
                <w:szCs w:val="18"/>
              </w:rPr>
            </w:pPr>
            <w:r w:rsidRPr="00CB1125">
              <w:rPr>
                <w:rFonts w:cs="Arial"/>
                <w:sz w:val="18"/>
                <w:szCs w:val="18"/>
              </w:rPr>
              <w:t>5.1</w:t>
            </w:r>
          </w:p>
        </w:tc>
        <w:tc>
          <w:tcPr>
            <w:tcW w:w="850" w:type="dxa"/>
            <w:vAlign w:val="center"/>
          </w:tcPr>
          <w:p w14:paraId="5395350E" w14:textId="77777777" w:rsidR="00A10533" w:rsidRPr="00CB1125" w:rsidRDefault="00A10533" w:rsidP="003B6D25">
            <w:pPr>
              <w:spacing w:line="276" w:lineRule="auto"/>
              <w:jc w:val="center"/>
              <w:rPr>
                <w:rFonts w:cs="Arial"/>
                <w:sz w:val="18"/>
                <w:szCs w:val="18"/>
              </w:rPr>
            </w:pPr>
            <w:r w:rsidRPr="00CB1125">
              <w:rPr>
                <w:rFonts w:cs="Arial"/>
                <w:sz w:val="18"/>
                <w:szCs w:val="18"/>
              </w:rPr>
              <w:t>2.4</w:t>
            </w:r>
          </w:p>
        </w:tc>
        <w:tc>
          <w:tcPr>
            <w:tcW w:w="850" w:type="dxa"/>
            <w:vAlign w:val="center"/>
          </w:tcPr>
          <w:p w14:paraId="1E213B7F" w14:textId="77777777" w:rsidR="00A10533" w:rsidRPr="00CB1125" w:rsidRDefault="00A10533" w:rsidP="003B6D25">
            <w:pPr>
              <w:spacing w:line="276" w:lineRule="auto"/>
              <w:jc w:val="center"/>
              <w:rPr>
                <w:rFonts w:cs="Arial"/>
                <w:sz w:val="18"/>
                <w:szCs w:val="18"/>
              </w:rPr>
            </w:pPr>
            <w:r w:rsidRPr="00CB1125">
              <w:rPr>
                <w:rFonts w:cs="Arial"/>
                <w:sz w:val="18"/>
                <w:szCs w:val="18"/>
              </w:rPr>
              <w:t>0.2*</w:t>
            </w:r>
          </w:p>
        </w:tc>
        <w:tc>
          <w:tcPr>
            <w:tcW w:w="850" w:type="dxa"/>
            <w:vAlign w:val="center"/>
          </w:tcPr>
          <w:p w14:paraId="7BF42FB4" w14:textId="77777777" w:rsidR="00A10533" w:rsidRPr="00CB1125" w:rsidRDefault="00A10533" w:rsidP="003B6D25">
            <w:pPr>
              <w:spacing w:line="276" w:lineRule="auto"/>
              <w:jc w:val="center"/>
              <w:rPr>
                <w:rFonts w:cs="Arial"/>
                <w:sz w:val="18"/>
                <w:szCs w:val="18"/>
              </w:rPr>
            </w:pPr>
            <w:r w:rsidRPr="00CB1125">
              <w:rPr>
                <w:rFonts w:cs="Arial"/>
                <w:sz w:val="18"/>
                <w:szCs w:val="18"/>
              </w:rPr>
              <w:t>2.1</w:t>
            </w:r>
          </w:p>
        </w:tc>
      </w:tr>
      <w:tr w:rsidR="00A10533" w:rsidRPr="00CB1125" w14:paraId="7D21B323" w14:textId="77777777" w:rsidTr="003B6D25">
        <w:trPr>
          <w:cnfStyle w:val="000000010000" w:firstRow="0" w:lastRow="0" w:firstColumn="0" w:lastColumn="0" w:oddVBand="0" w:evenVBand="0" w:oddHBand="0" w:evenHBand="1" w:firstRowFirstColumn="0" w:firstRowLastColumn="0" w:lastRowFirstColumn="0" w:lastRowLastColumn="0"/>
        </w:trPr>
        <w:tc>
          <w:tcPr>
            <w:tcW w:w="1572" w:type="dxa"/>
            <w:vAlign w:val="center"/>
          </w:tcPr>
          <w:p w14:paraId="12D70BDD" w14:textId="77777777" w:rsidR="00A10533" w:rsidRPr="00CB1125" w:rsidRDefault="00A10533" w:rsidP="0030335E">
            <w:pPr>
              <w:spacing w:line="276" w:lineRule="auto"/>
              <w:rPr>
                <w:rFonts w:eastAsia="Arial Nova" w:cs="Times New Roman"/>
                <w:sz w:val="18"/>
                <w:szCs w:val="18"/>
              </w:rPr>
            </w:pPr>
            <w:r w:rsidRPr="00CB1125">
              <w:rPr>
                <w:rFonts w:cs="Arial"/>
                <w:sz w:val="18"/>
                <w:szCs w:val="18"/>
              </w:rPr>
              <w:t>Mining</w:t>
            </w:r>
          </w:p>
        </w:tc>
        <w:tc>
          <w:tcPr>
            <w:tcW w:w="850" w:type="dxa"/>
            <w:vAlign w:val="center"/>
          </w:tcPr>
          <w:p w14:paraId="5EEEC632" w14:textId="77777777" w:rsidR="00A10533" w:rsidRPr="00CB1125" w:rsidRDefault="00A10533" w:rsidP="003B6D25">
            <w:pPr>
              <w:spacing w:line="276" w:lineRule="auto"/>
              <w:jc w:val="center"/>
              <w:rPr>
                <w:rFonts w:cs="Arial"/>
                <w:sz w:val="18"/>
                <w:szCs w:val="18"/>
              </w:rPr>
            </w:pPr>
            <w:r w:rsidRPr="00CB1125">
              <w:rPr>
                <w:rFonts w:cs="Arial"/>
                <w:sz w:val="18"/>
                <w:szCs w:val="18"/>
              </w:rPr>
              <w:t>0.8</w:t>
            </w:r>
          </w:p>
        </w:tc>
        <w:tc>
          <w:tcPr>
            <w:tcW w:w="850" w:type="dxa"/>
            <w:vAlign w:val="center"/>
          </w:tcPr>
          <w:p w14:paraId="09364CC0" w14:textId="77777777" w:rsidR="00A10533" w:rsidRPr="00CB1125" w:rsidRDefault="00A10533" w:rsidP="003B6D25">
            <w:pPr>
              <w:spacing w:line="276" w:lineRule="auto"/>
              <w:jc w:val="center"/>
              <w:rPr>
                <w:rFonts w:cs="Arial"/>
                <w:sz w:val="18"/>
                <w:szCs w:val="18"/>
              </w:rPr>
            </w:pPr>
            <w:r w:rsidRPr="00CB1125">
              <w:rPr>
                <w:rFonts w:cs="Arial"/>
                <w:sz w:val="18"/>
                <w:szCs w:val="18"/>
              </w:rPr>
              <w:t>0.3</w:t>
            </w:r>
          </w:p>
        </w:tc>
        <w:tc>
          <w:tcPr>
            <w:tcW w:w="850" w:type="dxa"/>
            <w:vAlign w:val="center"/>
          </w:tcPr>
          <w:p w14:paraId="032B1A66" w14:textId="77777777" w:rsidR="00A10533" w:rsidRPr="00CB1125" w:rsidRDefault="00A10533" w:rsidP="003B6D25">
            <w:pPr>
              <w:spacing w:line="276" w:lineRule="auto"/>
              <w:jc w:val="center"/>
              <w:rPr>
                <w:rFonts w:cs="Arial"/>
                <w:sz w:val="18"/>
                <w:szCs w:val="18"/>
              </w:rPr>
            </w:pPr>
            <w:r w:rsidRPr="00CB1125">
              <w:rPr>
                <w:rFonts w:cs="Arial"/>
                <w:sz w:val="18"/>
                <w:szCs w:val="18"/>
              </w:rPr>
              <w:t>2.8</w:t>
            </w:r>
          </w:p>
        </w:tc>
        <w:tc>
          <w:tcPr>
            <w:tcW w:w="850" w:type="dxa"/>
            <w:vAlign w:val="center"/>
          </w:tcPr>
          <w:p w14:paraId="27A07AD2" w14:textId="77777777" w:rsidR="00A10533" w:rsidRPr="00CB1125" w:rsidRDefault="00A10533" w:rsidP="003B6D25">
            <w:pPr>
              <w:spacing w:line="276" w:lineRule="auto"/>
              <w:jc w:val="center"/>
              <w:rPr>
                <w:rFonts w:cs="Arial"/>
                <w:sz w:val="18"/>
                <w:szCs w:val="18"/>
              </w:rPr>
            </w:pPr>
            <w:r w:rsidRPr="00CB1125">
              <w:rPr>
                <w:rFonts w:cs="Arial"/>
                <w:sz w:val="18"/>
                <w:szCs w:val="18"/>
              </w:rPr>
              <w:t>1.7</w:t>
            </w:r>
          </w:p>
        </w:tc>
        <w:tc>
          <w:tcPr>
            <w:tcW w:w="850" w:type="dxa"/>
            <w:vAlign w:val="center"/>
          </w:tcPr>
          <w:p w14:paraId="529493DF" w14:textId="77777777" w:rsidR="00A10533" w:rsidRPr="00CB1125" w:rsidRDefault="00A10533" w:rsidP="003B6D25">
            <w:pPr>
              <w:spacing w:line="276" w:lineRule="auto"/>
              <w:jc w:val="center"/>
              <w:rPr>
                <w:rFonts w:cs="Arial"/>
                <w:sz w:val="18"/>
                <w:szCs w:val="18"/>
              </w:rPr>
            </w:pPr>
            <w:r w:rsidRPr="00CB1125">
              <w:rPr>
                <w:rFonts w:cs="Arial"/>
                <w:sz w:val="18"/>
                <w:szCs w:val="18"/>
              </w:rPr>
              <w:t>10.0</w:t>
            </w:r>
          </w:p>
        </w:tc>
        <w:tc>
          <w:tcPr>
            <w:tcW w:w="850" w:type="dxa"/>
            <w:vAlign w:val="center"/>
          </w:tcPr>
          <w:p w14:paraId="28F9AABB" w14:textId="77777777" w:rsidR="00A10533" w:rsidRPr="00CB1125" w:rsidRDefault="00A10533" w:rsidP="003B6D25">
            <w:pPr>
              <w:spacing w:line="276" w:lineRule="auto"/>
              <w:jc w:val="center"/>
              <w:rPr>
                <w:rFonts w:cs="Arial"/>
                <w:sz w:val="18"/>
                <w:szCs w:val="18"/>
              </w:rPr>
            </w:pPr>
            <w:r w:rsidRPr="00CB1125">
              <w:rPr>
                <w:rFonts w:cs="Arial"/>
                <w:sz w:val="18"/>
                <w:szCs w:val="18"/>
              </w:rPr>
              <w:t>1.1</w:t>
            </w:r>
          </w:p>
        </w:tc>
        <w:tc>
          <w:tcPr>
            <w:tcW w:w="850" w:type="dxa"/>
            <w:vAlign w:val="center"/>
          </w:tcPr>
          <w:p w14:paraId="0D177DCF" w14:textId="77777777" w:rsidR="00A10533" w:rsidRPr="00CB1125" w:rsidRDefault="00A10533" w:rsidP="003B6D25">
            <w:pPr>
              <w:spacing w:line="276" w:lineRule="auto"/>
              <w:jc w:val="center"/>
              <w:rPr>
                <w:rFonts w:cs="Arial"/>
                <w:sz w:val="18"/>
                <w:szCs w:val="18"/>
              </w:rPr>
            </w:pPr>
            <w:r w:rsidRPr="00CB1125">
              <w:rPr>
                <w:rFonts w:cs="Arial"/>
                <w:sz w:val="18"/>
                <w:szCs w:val="18"/>
              </w:rPr>
              <w:t>2.5</w:t>
            </w:r>
          </w:p>
        </w:tc>
        <w:tc>
          <w:tcPr>
            <w:tcW w:w="850" w:type="dxa"/>
            <w:vAlign w:val="center"/>
          </w:tcPr>
          <w:p w14:paraId="594238AD" w14:textId="77777777" w:rsidR="00A10533" w:rsidRPr="00CB1125" w:rsidRDefault="00A10533" w:rsidP="003B6D25">
            <w:pPr>
              <w:spacing w:line="276" w:lineRule="auto"/>
              <w:jc w:val="center"/>
              <w:rPr>
                <w:rFonts w:cs="Arial"/>
                <w:sz w:val="18"/>
                <w:szCs w:val="18"/>
              </w:rPr>
            </w:pPr>
            <w:r w:rsidRPr="00CB1125">
              <w:rPr>
                <w:rFonts w:cs="Arial"/>
                <w:sz w:val="18"/>
                <w:szCs w:val="18"/>
              </w:rPr>
              <w:t>0.1*</w:t>
            </w:r>
          </w:p>
        </w:tc>
        <w:tc>
          <w:tcPr>
            <w:tcW w:w="850" w:type="dxa"/>
            <w:vAlign w:val="center"/>
          </w:tcPr>
          <w:p w14:paraId="5C8533D1" w14:textId="77777777" w:rsidR="00A10533" w:rsidRPr="00CB1125" w:rsidRDefault="00A10533" w:rsidP="003B6D25">
            <w:pPr>
              <w:spacing w:line="276" w:lineRule="auto"/>
              <w:jc w:val="center"/>
              <w:rPr>
                <w:rFonts w:cs="Arial"/>
                <w:sz w:val="18"/>
                <w:szCs w:val="18"/>
              </w:rPr>
            </w:pPr>
            <w:r w:rsidRPr="00CB1125">
              <w:rPr>
                <w:rFonts w:cs="Arial"/>
                <w:sz w:val="18"/>
                <w:szCs w:val="18"/>
              </w:rPr>
              <w:t>2.2</w:t>
            </w:r>
          </w:p>
        </w:tc>
      </w:tr>
      <w:tr w:rsidR="00A10533" w:rsidRPr="00CB1125" w14:paraId="45CBDF2C" w14:textId="77777777" w:rsidTr="003B6D25">
        <w:tc>
          <w:tcPr>
            <w:tcW w:w="1572" w:type="dxa"/>
            <w:vAlign w:val="center"/>
          </w:tcPr>
          <w:p w14:paraId="10E23A3B" w14:textId="77777777" w:rsidR="00A10533" w:rsidRPr="00CB1125" w:rsidRDefault="00A10533" w:rsidP="0030335E">
            <w:pPr>
              <w:spacing w:line="276" w:lineRule="auto"/>
              <w:rPr>
                <w:rFonts w:eastAsia="Arial Nova" w:cs="Times New Roman"/>
                <w:sz w:val="18"/>
                <w:szCs w:val="18"/>
              </w:rPr>
            </w:pPr>
            <w:r w:rsidRPr="00CB1125">
              <w:rPr>
                <w:rFonts w:cs="Arial"/>
                <w:sz w:val="18"/>
                <w:szCs w:val="18"/>
              </w:rPr>
              <w:t>Manufacturing</w:t>
            </w:r>
          </w:p>
        </w:tc>
        <w:tc>
          <w:tcPr>
            <w:tcW w:w="850" w:type="dxa"/>
            <w:vAlign w:val="center"/>
          </w:tcPr>
          <w:p w14:paraId="51E0AE4B" w14:textId="77777777" w:rsidR="00A10533" w:rsidRPr="00CB1125" w:rsidRDefault="00A10533" w:rsidP="003B6D25">
            <w:pPr>
              <w:spacing w:line="276" w:lineRule="auto"/>
              <w:jc w:val="center"/>
              <w:rPr>
                <w:rFonts w:cs="Arial"/>
                <w:sz w:val="18"/>
                <w:szCs w:val="18"/>
              </w:rPr>
            </w:pPr>
            <w:r w:rsidRPr="00CB1125">
              <w:rPr>
                <w:rFonts w:cs="Arial"/>
                <w:sz w:val="18"/>
                <w:szCs w:val="18"/>
              </w:rPr>
              <w:t>6.1</w:t>
            </w:r>
          </w:p>
        </w:tc>
        <w:tc>
          <w:tcPr>
            <w:tcW w:w="850" w:type="dxa"/>
            <w:vAlign w:val="center"/>
          </w:tcPr>
          <w:p w14:paraId="338B4A50" w14:textId="77777777" w:rsidR="00A10533" w:rsidRPr="00CB1125" w:rsidRDefault="00A10533" w:rsidP="003B6D25">
            <w:pPr>
              <w:spacing w:line="276" w:lineRule="auto"/>
              <w:jc w:val="center"/>
              <w:rPr>
                <w:rFonts w:cs="Arial"/>
                <w:sz w:val="18"/>
                <w:szCs w:val="18"/>
              </w:rPr>
            </w:pPr>
            <w:r w:rsidRPr="00CB1125">
              <w:rPr>
                <w:rFonts w:cs="Arial"/>
                <w:sz w:val="18"/>
                <w:szCs w:val="18"/>
              </w:rPr>
              <w:t>7.5</w:t>
            </w:r>
          </w:p>
        </w:tc>
        <w:tc>
          <w:tcPr>
            <w:tcW w:w="850" w:type="dxa"/>
            <w:vAlign w:val="center"/>
          </w:tcPr>
          <w:p w14:paraId="01AEBB74" w14:textId="77777777" w:rsidR="00A10533" w:rsidRPr="00CB1125" w:rsidRDefault="00A10533" w:rsidP="003B6D25">
            <w:pPr>
              <w:spacing w:line="276" w:lineRule="auto"/>
              <w:jc w:val="center"/>
              <w:rPr>
                <w:rFonts w:cs="Arial"/>
                <w:sz w:val="18"/>
                <w:szCs w:val="18"/>
              </w:rPr>
            </w:pPr>
            <w:r w:rsidRPr="00CB1125">
              <w:rPr>
                <w:rFonts w:cs="Arial"/>
                <w:sz w:val="18"/>
                <w:szCs w:val="18"/>
              </w:rPr>
              <w:t>6.0</w:t>
            </w:r>
          </w:p>
        </w:tc>
        <w:tc>
          <w:tcPr>
            <w:tcW w:w="850" w:type="dxa"/>
            <w:vAlign w:val="center"/>
          </w:tcPr>
          <w:p w14:paraId="275A0332" w14:textId="77777777" w:rsidR="00A10533" w:rsidRPr="00CB1125" w:rsidRDefault="00A10533" w:rsidP="003B6D25">
            <w:pPr>
              <w:spacing w:line="276" w:lineRule="auto"/>
              <w:jc w:val="center"/>
              <w:rPr>
                <w:rFonts w:cs="Arial"/>
                <w:sz w:val="18"/>
                <w:szCs w:val="18"/>
              </w:rPr>
            </w:pPr>
            <w:r w:rsidRPr="00CB1125">
              <w:rPr>
                <w:rFonts w:cs="Arial"/>
                <w:sz w:val="18"/>
                <w:szCs w:val="18"/>
              </w:rPr>
              <w:t>7.4</w:t>
            </w:r>
          </w:p>
        </w:tc>
        <w:tc>
          <w:tcPr>
            <w:tcW w:w="850" w:type="dxa"/>
            <w:vAlign w:val="center"/>
          </w:tcPr>
          <w:p w14:paraId="43395588" w14:textId="77777777" w:rsidR="00A10533" w:rsidRPr="00CB1125" w:rsidRDefault="00A10533" w:rsidP="003B6D25">
            <w:pPr>
              <w:spacing w:line="276" w:lineRule="auto"/>
              <w:jc w:val="center"/>
              <w:rPr>
                <w:rFonts w:cs="Arial"/>
                <w:sz w:val="18"/>
                <w:szCs w:val="18"/>
              </w:rPr>
            </w:pPr>
            <w:r w:rsidRPr="00CB1125">
              <w:rPr>
                <w:rFonts w:cs="Arial"/>
                <w:sz w:val="18"/>
                <w:szCs w:val="18"/>
              </w:rPr>
              <w:t>4.9</w:t>
            </w:r>
          </w:p>
        </w:tc>
        <w:tc>
          <w:tcPr>
            <w:tcW w:w="850" w:type="dxa"/>
            <w:vAlign w:val="center"/>
          </w:tcPr>
          <w:p w14:paraId="09930E03" w14:textId="77777777" w:rsidR="00A10533" w:rsidRPr="00CB1125" w:rsidRDefault="00A10533" w:rsidP="003B6D25">
            <w:pPr>
              <w:spacing w:line="276" w:lineRule="auto"/>
              <w:jc w:val="center"/>
              <w:rPr>
                <w:rFonts w:cs="Arial"/>
                <w:sz w:val="18"/>
                <w:szCs w:val="18"/>
              </w:rPr>
            </w:pPr>
            <w:r w:rsidRPr="00CB1125">
              <w:rPr>
                <w:rFonts w:cs="Arial"/>
                <w:sz w:val="18"/>
                <w:szCs w:val="18"/>
              </w:rPr>
              <w:t>6.9</w:t>
            </w:r>
          </w:p>
        </w:tc>
        <w:tc>
          <w:tcPr>
            <w:tcW w:w="850" w:type="dxa"/>
            <w:vAlign w:val="center"/>
          </w:tcPr>
          <w:p w14:paraId="698D4721" w14:textId="77777777" w:rsidR="00A10533" w:rsidRPr="00CB1125" w:rsidRDefault="00A10533" w:rsidP="003B6D25">
            <w:pPr>
              <w:spacing w:line="276" w:lineRule="auto"/>
              <w:jc w:val="center"/>
              <w:rPr>
                <w:rFonts w:cs="Arial"/>
                <w:sz w:val="18"/>
                <w:szCs w:val="18"/>
              </w:rPr>
            </w:pPr>
            <w:r w:rsidRPr="00CB1125">
              <w:rPr>
                <w:rFonts w:cs="Arial"/>
                <w:sz w:val="18"/>
                <w:szCs w:val="18"/>
              </w:rPr>
              <w:t>2.4</w:t>
            </w:r>
          </w:p>
        </w:tc>
        <w:tc>
          <w:tcPr>
            <w:tcW w:w="850" w:type="dxa"/>
            <w:vAlign w:val="center"/>
          </w:tcPr>
          <w:p w14:paraId="6BEEA61C" w14:textId="77777777" w:rsidR="00A10533" w:rsidRPr="00CB1125" w:rsidRDefault="00A10533" w:rsidP="003B6D25">
            <w:pPr>
              <w:spacing w:line="276" w:lineRule="auto"/>
              <w:jc w:val="center"/>
              <w:rPr>
                <w:rFonts w:cs="Arial"/>
                <w:sz w:val="18"/>
                <w:szCs w:val="18"/>
              </w:rPr>
            </w:pPr>
            <w:r w:rsidRPr="00CB1125">
              <w:rPr>
                <w:rFonts w:cs="Arial"/>
                <w:sz w:val="18"/>
                <w:szCs w:val="18"/>
              </w:rPr>
              <w:t>1.8</w:t>
            </w:r>
          </w:p>
        </w:tc>
        <w:tc>
          <w:tcPr>
            <w:tcW w:w="850" w:type="dxa"/>
            <w:vAlign w:val="center"/>
          </w:tcPr>
          <w:p w14:paraId="3D677A4E" w14:textId="77777777" w:rsidR="00A10533" w:rsidRPr="00CB1125" w:rsidRDefault="00A10533" w:rsidP="003B6D25">
            <w:pPr>
              <w:spacing w:line="276" w:lineRule="auto"/>
              <w:jc w:val="center"/>
              <w:rPr>
                <w:rFonts w:cs="Arial"/>
                <w:sz w:val="18"/>
                <w:szCs w:val="18"/>
              </w:rPr>
            </w:pPr>
            <w:r w:rsidRPr="00CB1125">
              <w:rPr>
                <w:rFonts w:cs="Arial"/>
                <w:sz w:val="18"/>
                <w:szCs w:val="18"/>
              </w:rPr>
              <w:t>6.1</w:t>
            </w:r>
          </w:p>
        </w:tc>
      </w:tr>
      <w:tr w:rsidR="00A10533" w:rsidRPr="00CB1125" w14:paraId="15B0BF87" w14:textId="77777777" w:rsidTr="003B6D25">
        <w:trPr>
          <w:cnfStyle w:val="000000010000" w:firstRow="0" w:lastRow="0" w:firstColumn="0" w:lastColumn="0" w:oddVBand="0" w:evenVBand="0" w:oddHBand="0" w:evenHBand="1" w:firstRowFirstColumn="0" w:firstRowLastColumn="0" w:lastRowFirstColumn="0" w:lastRowLastColumn="0"/>
        </w:trPr>
        <w:tc>
          <w:tcPr>
            <w:tcW w:w="1572" w:type="dxa"/>
            <w:vAlign w:val="center"/>
          </w:tcPr>
          <w:p w14:paraId="393D76D9" w14:textId="77777777" w:rsidR="00A10533" w:rsidRPr="00CB1125" w:rsidRDefault="00A10533" w:rsidP="0030335E">
            <w:pPr>
              <w:spacing w:line="276" w:lineRule="auto"/>
              <w:rPr>
                <w:rFonts w:eastAsia="Arial Nova" w:cs="Times New Roman"/>
                <w:sz w:val="18"/>
                <w:szCs w:val="18"/>
              </w:rPr>
            </w:pPr>
            <w:r w:rsidRPr="00CB1125">
              <w:rPr>
                <w:rFonts w:cs="Arial"/>
                <w:sz w:val="18"/>
                <w:szCs w:val="18"/>
              </w:rPr>
              <w:t>Electricity, Gas, Water and Waste Services</w:t>
            </w:r>
          </w:p>
        </w:tc>
        <w:tc>
          <w:tcPr>
            <w:tcW w:w="850" w:type="dxa"/>
            <w:vAlign w:val="center"/>
          </w:tcPr>
          <w:p w14:paraId="060530D6" w14:textId="77777777" w:rsidR="00A10533" w:rsidRPr="00CB1125" w:rsidRDefault="00A10533" w:rsidP="003B6D25">
            <w:pPr>
              <w:spacing w:line="276" w:lineRule="auto"/>
              <w:jc w:val="center"/>
              <w:rPr>
                <w:rFonts w:cs="Arial"/>
                <w:sz w:val="18"/>
                <w:szCs w:val="18"/>
              </w:rPr>
            </w:pPr>
            <w:r w:rsidRPr="00CB1125">
              <w:rPr>
                <w:rFonts w:cs="Arial"/>
                <w:sz w:val="18"/>
                <w:szCs w:val="18"/>
              </w:rPr>
              <w:t>1.0</w:t>
            </w:r>
          </w:p>
        </w:tc>
        <w:tc>
          <w:tcPr>
            <w:tcW w:w="850" w:type="dxa"/>
            <w:vAlign w:val="center"/>
          </w:tcPr>
          <w:p w14:paraId="102F3898" w14:textId="77777777" w:rsidR="00A10533" w:rsidRPr="00CB1125" w:rsidRDefault="00A10533" w:rsidP="003B6D25">
            <w:pPr>
              <w:spacing w:line="276" w:lineRule="auto"/>
              <w:jc w:val="center"/>
              <w:rPr>
                <w:rFonts w:cs="Arial"/>
                <w:sz w:val="18"/>
                <w:szCs w:val="18"/>
              </w:rPr>
            </w:pPr>
            <w:r w:rsidRPr="00CB1125">
              <w:rPr>
                <w:rFonts w:cs="Arial"/>
                <w:sz w:val="18"/>
                <w:szCs w:val="18"/>
              </w:rPr>
              <w:t>1.3</w:t>
            </w:r>
          </w:p>
        </w:tc>
        <w:tc>
          <w:tcPr>
            <w:tcW w:w="850" w:type="dxa"/>
            <w:vAlign w:val="center"/>
          </w:tcPr>
          <w:p w14:paraId="7E9AD131" w14:textId="77777777" w:rsidR="00A10533" w:rsidRPr="00CB1125" w:rsidRDefault="00A10533" w:rsidP="003B6D25">
            <w:pPr>
              <w:spacing w:line="276" w:lineRule="auto"/>
              <w:jc w:val="center"/>
              <w:rPr>
                <w:rFonts w:cs="Arial"/>
                <w:sz w:val="18"/>
                <w:szCs w:val="18"/>
              </w:rPr>
            </w:pPr>
            <w:r w:rsidRPr="00CB1125">
              <w:rPr>
                <w:rFonts w:cs="Arial"/>
                <w:sz w:val="18"/>
                <w:szCs w:val="18"/>
              </w:rPr>
              <w:t>1.5</w:t>
            </w:r>
          </w:p>
        </w:tc>
        <w:tc>
          <w:tcPr>
            <w:tcW w:w="850" w:type="dxa"/>
            <w:vAlign w:val="center"/>
          </w:tcPr>
          <w:p w14:paraId="14584AED" w14:textId="77777777" w:rsidR="00A10533" w:rsidRPr="00CB1125" w:rsidRDefault="00A10533" w:rsidP="003B6D25">
            <w:pPr>
              <w:spacing w:line="276" w:lineRule="auto"/>
              <w:jc w:val="center"/>
              <w:rPr>
                <w:rFonts w:cs="Arial"/>
                <w:sz w:val="18"/>
                <w:szCs w:val="18"/>
              </w:rPr>
            </w:pPr>
            <w:r w:rsidRPr="00CB1125">
              <w:rPr>
                <w:rFonts w:cs="Arial"/>
                <w:sz w:val="18"/>
                <w:szCs w:val="18"/>
              </w:rPr>
              <w:t>1.6</w:t>
            </w:r>
          </w:p>
        </w:tc>
        <w:tc>
          <w:tcPr>
            <w:tcW w:w="850" w:type="dxa"/>
            <w:vAlign w:val="center"/>
          </w:tcPr>
          <w:p w14:paraId="1A3F1EF9" w14:textId="77777777" w:rsidR="00A10533" w:rsidRPr="00CB1125" w:rsidRDefault="00A10533" w:rsidP="003B6D25">
            <w:pPr>
              <w:spacing w:line="276" w:lineRule="auto"/>
              <w:jc w:val="center"/>
              <w:rPr>
                <w:rFonts w:cs="Arial"/>
                <w:sz w:val="18"/>
                <w:szCs w:val="18"/>
              </w:rPr>
            </w:pPr>
            <w:r w:rsidRPr="00CB1125">
              <w:rPr>
                <w:rFonts w:cs="Arial"/>
                <w:sz w:val="18"/>
                <w:szCs w:val="18"/>
              </w:rPr>
              <w:t>1.5</w:t>
            </w:r>
          </w:p>
        </w:tc>
        <w:tc>
          <w:tcPr>
            <w:tcW w:w="850" w:type="dxa"/>
            <w:vAlign w:val="center"/>
          </w:tcPr>
          <w:p w14:paraId="0293E4C4" w14:textId="77777777" w:rsidR="00A10533" w:rsidRPr="00CB1125" w:rsidRDefault="00A10533" w:rsidP="003B6D25">
            <w:pPr>
              <w:spacing w:line="276" w:lineRule="auto"/>
              <w:jc w:val="center"/>
              <w:rPr>
                <w:rFonts w:cs="Arial"/>
                <w:sz w:val="18"/>
                <w:szCs w:val="18"/>
              </w:rPr>
            </w:pPr>
            <w:r w:rsidRPr="00CB1125">
              <w:rPr>
                <w:rFonts w:cs="Arial"/>
                <w:sz w:val="18"/>
                <w:szCs w:val="18"/>
              </w:rPr>
              <w:t>1.9</w:t>
            </w:r>
          </w:p>
        </w:tc>
        <w:tc>
          <w:tcPr>
            <w:tcW w:w="850" w:type="dxa"/>
            <w:vAlign w:val="center"/>
          </w:tcPr>
          <w:p w14:paraId="7EBBF06B" w14:textId="77777777" w:rsidR="00A10533" w:rsidRPr="00CB1125" w:rsidRDefault="00A10533" w:rsidP="003B6D25">
            <w:pPr>
              <w:spacing w:line="276" w:lineRule="auto"/>
              <w:jc w:val="center"/>
              <w:rPr>
                <w:rFonts w:cs="Arial"/>
                <w:sz w:val="18"/>
                <w:szCs w:val="18"/>
              </w:rPr>
            </w:pPr>
            <w:r w:rsidRPr="00CB1125">
              <w:rPr>
                <w:rFonts w:cs="Arial"/>
                <w:sz w:val="18"/>
                <w:szCs w:val="18"/>
              </w:rPr>
              <w:t>1.8</w:t>
            </w:r>
          </w:p>
        </w:tc>
        <w:tc>
          <w:tcPr>
            <w:tcW w:w="850" w:type="dxa"/>
            <w:vAlign w:val="center"/>
          </w:tcPr>
          <w:p w14:paraId="0B032214" w14:textId="77777777" w:rsidR="00A10533" w:rsidRPr="00CB1125" w:rsidRDefault="00A10533" w:rsidP="003B6D25">
            <w:pPr>
              <w:spacing w:line="276" w:lineRule="auto"/>
              <w:jc w:val="center"/>
              <w:rPr>
                <w:rFonts w:cs="Arial"/>
                <w:sz w:val="18"/>
                <w:szCs w:val="18"/>
              </w:rPr>
            </w:pPr>
            <w:r w:rsidRPr="00CB1125">
              <w:rPr>
                <w:rFonts w:cs="Arial"/>
                <w:sz w:val="18"/>
                <w:szCs w:val="18"/>
              </w:rPr>
              <w:t>0.8</w:t>
            </w:r>
          </w:p>
        </w:tc>
        <w:tc>
          <w:tcPr>
            <w:tcW w:w="850" w:type="dxa"/>
            <w:vAlign w:val="center"/>
          </w:tcPr>
          <w:p w14:paraId="123EFE5C" w14:textId="77777777" w:rsidR="00A10533" w:rsidRPr="00CB1125" w:rsidRDefault="00A10533" w:rsidP="003B6D25">
            <w:pPr>
              <w:spacing w:line="276" w:lineRule="auto"/>
              <w:jc w:val="center"/>
              <w:rPr>
                <w:rFonts w:cs="Arial"/>
                <w:sz w:val="18"/>
                <w:szCs w:val="18"/>
              </w:rPr>
            </w:pPr>
            <w:r w:rsidRPr="00CB1125">
              <w:rPr>
                <w:rFonts w:cs="Arial"/>
                <w:sz w:val="18"/>
                <w:szCs w:val="18"/>
              </w:rPr>
              <w:t>1.3</w:t>
            </w:r>
          </w:p>
        </w:tc>
      </w:tr>
      <w:tr w:rsidR="00A10533" w:rsidRPr="00CB1125" w14:paraId="09492552" w14:textId="77777777" w:rsidTr="003B6D25">
        <w:tc>
          <w:tcPr>
            <w:tcW w:w="1572" w:type="dxa"/>
            <w:vAlign w:val="center"/>
          </w:tcPr>
          <w:p w14:paraId="38B0690C" w14:textId="77777777" w:rsidR="00A10533" w:rsidRPr="00CB1125" w:rsidRDefault="00A10533" w:rsidP="0030335E">
            <w:pPr>
              <w:spacing w:line="276" w:lineRule="auto"/>
              <w:rPr>
                <w:rFonts w:cs="Arial"/>
                <w:sz w:val="18"/>
                <w:szCs w:val="18"/>
              </w:rPr>
            </w:pPr>
            <w:r w:rsidRPr="00CB1125">
              <w:rPr>
                <w:rFonts w:cs="Arial"/>
                <w:sz w:val="18"/>
                <w:szCs w:val="18"/>
              </w:rPr>
              <w:t>Construction</w:t>
            </w:r>
          </w:p>
        </w:tc>
        <w:tc>
          <w:tcPr>
            <w:tcW w:w="850" w:type="dxa"/>
            <w:vAlign w:val="center"/>
          </w:tcPr>
          <w:p w14:paraId="62BAC461" w14:textId="77777777" w:rsidR="00A10533" w:rsidRPr="00CB1125" w:rsidRDefault="00A10533" w:rsidP="003B6D25">
            <w:pPr>
              <w:spacing w:line="276" w:lineRule="auto"/>
              <w:jc w:val="center"/>
              <w:rPr>
                <w:rFonts w:cs="Arial"/>
                <w:sz w:val="18"/>
                <w:szCs w:val="18"/>
              </w:rPr>
            </w:pPr>
            <w:r w:rsidRPr="00CB1125">
              <w:rPr>
                <w:rFonts w:cs="Arial"/>
                <w:sz w:val="18"/>
                <w:szCs w:val="18"/>
              </w:rPr>
              <w:t>9.6</w:t>
            </w:r>
          </w:p>
        </w:tc>
        <w:tc>
          <w:tcPr>
            <w:tcW w:w="850" w:type="dxa"/>
            <w:vAlign w:val="center"/>
          </w:tcPr>
          <w:p w14:paraId="320CA0F8" w14:textId="77777777" w:rsidR="00A10533" w:rsidRPr="00CB1125" w:rsidRDefault="00A10533" w:rsidP="003B6D25">
            <w:pPr>
              <w:spacing w:line="276" w:lineRule="auto"/>
              <w:jc w:val="center"/>
              <w:rPr>
                <w:rFonts w:cs="Arial"/>
                <w:sz w:val="18"/>
                <w:szCs w:val="18"/>
              </w:rPr>
            </w:pPr>
            <w:r w:rsidRPr="00CB1125">
              <w:rPr>
                <w:rFonts w:cs="Arial"/>
                <w:sz w:val="18"/>
                <w:szCs w:val="18"/>
              </w:rPr>
              <w:t>9.6</w:t>
            </w:r>
          </w:p>
        </w:tc>
        <w:tc>
          <w:tcPr>
            <w:tcW w:w="850" w:type="dxa"/>
            <w:vAlign w:val="center"/>
          </w:tcPr>
          <w:p w14:paraId="29881ADE" w14:textId="77777777" w:rsidR="00A10533" w:rsidRPr="00CB1125" w:rsidRDefault="00A10533" w:rsidP="003B6D25">
            <w:pPr>
              <w:spacing w:line="276" w:lineRule="auto"/>
              <w:jc w:val="center"/>
              <w:rPr>
                <w:rFonts w:cs="Arial"/>
                <w:sz w:val="18"/>
                <w:szCs w:val="18"/>
              </w:rPr>
            </w:pPr>
            <w:r w:rsidRPr="00CB1125">
              <w:rPr>
                <w:rFonts w:cs="Arial"/>
                <w:sz w:val="18"/>
                <w:szCs w:val="18"/>
              </w:rPr>
              <w:t>9.8</w:t>
            </w:r>
          </w:p>
        </w:tc>
        <w:tc>
          <w:tcPr>
            <w:tcW w:w="850" w:type="dxa"/>
            <w:vAlign w:val="center"/>
          </w:tcPr>
          <w:p w14:paraId="657B8924" w14:textId="77777777" w:rsidR="00A10533" w:rsidRPr="00CB1125" w:rsidRDefault="00A10533" w:rsidP="003B6D25">
            <w:pPr>
              <w:spacing w:line="276" w:lineRule="auto"/>
              <w:jc w:val="center"/>
              <w:rPr>
                <w:rFonts w:cs="Arial"/>
                <w:sz w:val="18"/>
                <w:szCs w:val="18"/>
              </w:rPr>
            </w:pPr>
            <w:r w:rsidRPr="00CB1125">
              <w:rPr>
                <w:rFonts w:cs="Arial"/>
                <w:sz w:val="18"/>
                <w:szCs w:val="18"/>
              </w:rPr>
              <w:t>8.8</w:t>
            </w:r>
          </w:p>
        </w:tc>
        <w:tc>
          <w:tcPr>
            <w:tcW w:w="850" w:type="dxa"/>
            <w:vAlign w:val="center"/>
          </w:tcPr>
          <w:p w14:paraId="4F4929C1" w14:textId="77777777" w:rsidR="00A10533" w:rsidRPr="00CB1125" w:rsidRDefault="00A10533" w:rsidP="003B6D25">
            <w:pPr>
              <w:spacing w:line="276" w:lineRule="auto"/>
              <w:jc w:val="center"/>
              <w:rPr>
                <w:rFonts w:cs="Arial"/>
                <w:sz w:val="18"/>
                <w:szCs w:val="18"/>
              </w:rPr>
            </w:pPr>
            <w:r w:rsidRPr="00CB1125">
              <w:rPr>
                <w:rFonts w:cs="Arial"/>
                <w:sz w:val="18"/>
                <w:szCs w:val="18"/>
              </w:rPr>
              <w:t>9.4</w:t>
            </w:r>
          </w:p>
        </w:tc>
        <w:tc>
          <w:tcPr>
            <w:tcW w:w="850" w:type="dxa"/>
            <w:vAlign w:val="center"/>
          </w:tcPr>
          <w:p w14:paraId="44D3BEBC" w14:textId="77777777" w:rsidR="00A10533" w:rsidRPr="00CB1125" w:rsidRDefault="00A10533" w:rsidP="003B6D25">
            <w:pPr>
              <w:spacing w:line="276" w:lineRule="auto"/>
              <w:jc w:val="center"/>
              <w:rPr>
                <w:rFonts w:cs="Arial"/>
                <w:sz w:val="18"/>
                <w:szCs w:val="18"/>
              </w:rPr>
            </w:pPr>
            <w:r w:rsidRPr="00CB1125">
              <w:rPr>
                <w:rFonts w:cs="Arial"/>
                <w:sz w:val="18"/>
                <w:szCs w:val="18"/>
              </w:rPr>
              <w:t>8.5</w:t>
            </w:r>
          </w:p>
        </w:tc>
        <w:tc>
          <w:tcPr>
            <w:tcW w:w="850" w:type="dxa"/>
            <w:vAlign w:val="center"/>
          </w:tcPr>
          <w:p w14:paraId="0A49022D" w14:textId="77777777" w:rsidR="00A10533" w:rsidRPr="00CB1125" w:rsidRDefault="00A10533" w:rsidP="003B6D25">
            <w:pPr>
              <w:spacing w:line="276" w:lineRule="auto"/>
              <w:jc w:val="center"/>
              <w:rPr>
                <w:rFonts w:cs="Arial"/>
                <w:sz w:val="18"/>
                <w:szCs w:val="18"/>
              </w:rPr>
            </w:pPr>
            <w:r w:rsidRPr="00CB1125">
              <w:rPr>
                <w:rFonts w:cs="Arial"/>
                <w:sz w:val="18"/>
                <w:szCs w:val="18"/>
              </w:rPr>
              <w:t>7.8</w:t>
            </w:r>
          </w:p>
        </w:tc>
        <w:tc>
          <w:tcPr>
            <w:tcW w:w="850" w:type="dxa"/>
            <w:vAlign w:val="center"/>
          </w:tcPr>
          <w:p w14:paraId="2DE51D97" w14:textId="77777777" w:rsidR="00A10533" w:rsidRPr="00CB1125" w:rsidRDefault="00A10533" w:rsidP="003B6D25">
            <w:pPr>
              <w:spacing w:line="276" w:lineRule="auto"/>
              <w:jc w:val="center"/>
              <w:rPr>
                <w:rFonts w:cs="Arial"/>
                <w:sz w:val="18"/>
                <w:szCs w:val="18"/>
              </w:rPr>
            </w:pPr>
            <w:r w:rsidRPr="00CB1125">
              <w:rPr>
                <w:rFonts w:cs="Arial"/>
                <w:sz w:val="18"/>
                <w:szCs w:val="18"/>
              </w:rPr>
              <w:t>6.5</w:t>
            </w:r>
          </w:p>
        </w:tc>
        <w:tc>
          <w:tcPr>
            <w:tcW w:w="850" w:type="dxa"/>
            <w:vAlign w:val="center"/>
          </w:tcPr>
          <w:p w14:paraId="49ACE7E5" w14:textId="77777777" w:rsidR="00A10533" w:rsidRPr="00CB1125" w:rsidRDefault="00A10533" w:rsidP="003B6D25">
            <w:pPr>
              <w:spacing w:line="276" w:lineRule="auto"/>
              <w:jc w:val="center"/>
              <w:rPr>
                <w:rFonts w:cs="Arial"/>
                <w:sz w:val="18"/>
                <w:szCs w:val="18"/>
              </w:rPr>
            </w:pPr>
            <w:r w:rsidRPr="00CB1125">
              <w:rPr>
                <w:rFonts w:cs="Arial"/>
                <w:sz w:val="18"/>
                <w:szCs w:val="18"/>
              </w:rPr>
              <w:t>9.5</w:t>
            </w:r>
          </w:p>
        </w:tc>
      </w:tr>
      <w:tr w:rsidR="00A10533" w:rsidRPr="00CB1125" w14:paraId="3472A70C" w14:textId="77777777" w:rsidTr="003B6D25">
        <w:trPr>
          <w:cnfStyle w:val="000000010000" w:firstRow="0" w:lastRow="0" w:firstColumn="0" w:lastColumn="0" w:oddVBand="0" w:evenVBand="0" w:oddHBand="0" w:evenHBand="1" w:firstRowFirstColumn="0" w:firstRowLastColumn="0" w:lastRowFirstColumn="0" w:lastRowLastColumn="0"/>
        </w:trPr>
        <w:tc>
          <w:tcPr>
            <w:tcW w:w="1572" w:type="dxa"/>
            <w:vAlign w:val="center"/>
          </w:tcPr>
          <w:p w14:paraId="56296832" w14:textId="77777777" w:rsidR="00A10533" w:rsidRPr="00CB1125" w:rsidRDefault="00A10533" w:rsidP="0030335E">
            <w:pPr>
              <w:spacing w:line="276" w:lineRule="auto"/>
              <w:rPr>
                <w:rFonts w:cs="Arial"/>
                <w:sz w:val="18"/>
                <w:szCs w:val="18"/>
              </w:rPr>
            </w:pPr>
            <w:r w:rsidRPr="00CB1125">
              <w:rPr>
                <w:rFonts w:cs="Arial"/>
                <w:sz w:val="18"/>
                <w:szCs w:val="18"/>
              </w:rPr>
              <w:t>Wholesale Trade</w:t>
            </w:r>
          </w:p>
        </w:tc>
        <w:tc>
          <w:tcPr>
            <w:tcW w:w="850" w:type="dxa"/>
            <w:vAlign w:val="center"/>
          </w:tcPr>
          <w:p w14:paraId="0D8F22DB" w14:textId="77777777" w:rsidR="00A10533" w:rsidRPr="00CB1125" w:rsidRDefault="00A10533" w:rsidP="003B6D25">
            <w:pPr>
              <w:spacing w:line="276" w:lineRule="auto"/>
              <w:jc w:val="center"/>
              <w:rPr>
                <w:rFonts w:cs="Arial"/>
                <w:sz w:val="18"/>
                <w:szCs w:val="18"/>
              </w:rPr>
            </w:pPr>
            <w:r w:rsidRPr="00CB1125">
              <w:rPr>
                <w:rFonts w:cs="Arial"/>
                <w:sz w:val="18"/>
                <w:szCs w:val="18"/>
              </w:rPr>
              <w:t>2.6</w:t>
            </w:r>
          </w:p>
        </w:tc>
        <w:tc>
          <w:tcPr>
            <w:tcW w:w="850" w:type="dxa"/>
            <w:vAlign w:val="center"/>
          </w:tcPr>
          <w:p w14:paraId="4738D31F" w14:textId="77777777" w:rsidR="00A10533" w:rsidRPr="00CB1125" w:rsidRDefault="00A10533" w:rsidP="003B6D25">
            <w:pPr>
              <w:spacing w:line="276" w:lineRule="auto"/>
              <w:jc w:val="center"/>
              <w:rPr>
                <w:rFonts w:cs="Arial"/>
                <w:sz w:val="18"/>
                <w:szCs w:val="18"/>
              </w:rPr>
            </w:pPr>
            <w:r w:rsidRPr="00CB1125">
              <w:rPr>
                <w:rFonts w:cs="Arial"/>
                <w:sz w:val="18"/>
                <w:szCs w:val="18"/>
              </w:rPr>
              <w:t>2.8</w:t>
            </w:r>
          </w:p>
        </w:tc>
        <w:tc>
          <w:tcPr>
            <w:tcW w:w="850" w:type="dxa"/>
            <w:vAlign w:val="center"/>
          </w:tcPr>
          <w:p w14:paraId="6A082280" w14:textId="77777777" w:rsidR="00A10533" w:rsidRPr="00CB1125" w:rsidRDefault="00A10533" w:rsidP="003B6D25">
            <w:pPr>
              <w:spacing w:line="276" w:lineRule="auto"/>
              <w:jc w:val="center"/>
              <w:rPr>
                <w:rFonts w:cs="Arial"/>
                <w:sz w:val="18"/>
                <w:szCs w:val="18"/>
              </w:rPr>
            </w:pPr>
            <w:r w:rsidRPr="00CB1125">
              <w:rPr>
                <w:rFonts w:cs="Arial"/>
                <w:sz w:val="18"/>
                <w:szCs w:val="18"/>
              </w:rPr>
              <w:t>2.4</w:t>
            </w:r>
          </w:p>
        </w:tc>
        <w:tc>
          <w:tcPr>
            <w:tcW w:w="850" w:type="dxa"/>
            <w:vAlign w:val="center"/>
          </w:tcPr>
          <w:p w14:paraId="55208B53" w14:textId="77777777" w:rsidR="00A10533" w:rsidRPr="00CB1125" w:rsidRDefault="00A10533" w:rsidP="003B6D25">
            <w:pPr>
              <w:spacing w:line="276" w:lineRule="auto"/>
              <w:jc w:val="center"/>
              <w:rPr>
                <w:rFonts w:cs="Arial"/>
                <w:sz w:val="18"/>
                <w:szCs w:val="18"/>
              </w:rPr>
            </w:pPr>
            <w:r w:rsidRPr="00CB1125">
              <w:rPr>
                <w:rFonts w:cs="Arial"/>
                <w:sz w:val="18"/>
                <w:szCs w:val="18"/>
              </w:rPr>
              <w:t>2.6</w:t>
            </w:r>
          </w:p>
        </w:tc>
        <w:tc>
          <w:tcPr>
            <w:tcW w:w="850" w:type="dxa"/>
            <w:vAlign w:val="center"/>
          </w:tcPr>
          <w:p w14:paraId="5C8DCE89" w14:textId="77777777" w:rsidR="00A10533" w:rsidRPr="00CB1125" w:rsidRDefault="00A10533" w:rsidP="003B6D25">
            <w:pPr>
              <w:spacing w:line="276" w:lineRule="auto"/>
              <w:jc w:val="center"/>
              <w:rPr>
                <w:rFonts w:cs="Arial"/>
                <w:sz w:val="18"/>
                <w:szCs w:val="18"/>
              </w:rPr>
            </w:pPr>
            <w:r w:rsidRPr="00CB1125">
              <w:rPr>
                <w:rFonts w:cs="Arial"/>
                <w:sz w:val="18"/>
                <w:szCs w:val="18"/>
              </w:rPr>
              <w:t>2.4</w:t>
            </w:r>
          </w:p>
        </w:tc>
        <w:tc>
          <w:tcPr>
            <w:tcW w:w="850" w:type="dxa"/>
            <w:vAlign w:val="center"/>
          </w:tcPr>
          <w:p w14:paraId="47394060" w14:textId="77777777" w:rsidR="00A10533" w:rsidRPr="00CB1125" w:rsidRDefault="00A10533" w:rsidP="003B6D25">
            <w:pPr>
              <w:spacing w:line="276" w:lineRule="auto"/>
              <w:jc w:val="center"/>
              <w:rPr>
                <w:rFonts w:cs="Arial"/>
                <w:sz w:val="18"/>
                <w:szCs w:val="18"/>
              </w:rPr>
            </w:pPr>
            <w:r w:rsidRPr="00CB1125">
              <w:rPr>
                <w:rFonts w:cs="Arial"/>
                <w:sz w:val="18"/>
                <w:szCs w:val="18"/>
              </w:rPr>
              <w:t>1.8</w:t>
            </w:r>
          </w:p>
        </w:tc>
        <w:tc>
          <w:tcPr>
            <w:tcW w:w="850" w:type="dxa"/>
            <w:vAlign w:val="center"/>
          </w:tcPr>
          <w:p w14:paraId="7A677E36" w14:textId="77777777" w:rsidR="00A10533" w:rsidRPr="00CB1125" w:rsidRDefault="00A10533" w:rsidP="003B6D25">
            <w:pPr>
              <w:spacing w:line="276" w:lineRule="auto"/>
              <w:jc w:val="center"/>
              <w:rPr>
                <w:rFonts w:cs="Arial"/>
                <w:sz w:val="18"/>
                <w:szCs w:val="18"/>
              </w:rPr>
            </w:pPr>
            <w:r w:rsidRPr="00CB1125">
              <w:rPr>
                <w:rFonts w:cs="Arial"/>
                <w:sz w:val="18"/>
                <w:szCs w:val="18"/>
              </w:rPr>
              <w:t>1.4</w:t>
            </w:r>
          </w:p>
        </w:tc>
        <w:tc>
          <w:tcPr>
            <w:tcW w:w="850" w:type="dxa"/>
            <w:vAlign w:val="center"/>
          </w:tcPr>
          <w:p w14:paraId="6F61C790" w14:textId="77777777" w:rsidR="00A10533" w:rsidRPr="00CB1125" w:rsidRDefault="00A10533" w:rsidP="003B6D25">
            <w:pPr>
              <w:spacing w:line="276" w:lineRule="auto"/>
              <w:jc w:val="center"/>
              <w:rPr>
                <w:rFonts w:cs="Arial"/>
                <w:sz w:val="18"/>
                <w:szCs w:val="18"/>
              </w:rPr>
            </w:pPr>
            <w:r w:rsidRPr="00CB1125">
              <w:rPr>
                <w:rFonts w:cs="Arial"/>
                <w:sz w:val="18"/>
                <w:szCs w:val="18"/>
              </w:rPr>
              <w:t>1.1</w:t>
            </w:r>
          </w:p>
        </w:tc>
        <w:tc>
          <w:tcPr>
            <w:tcW w:w="850" w:type="dxa"/>
            <w:vAlign w:val="center"/>
          </w:tcPr>
          <w:p w14:paraId="1531D986" w14:textId="77777777" w:rsidR="00A10533" w:rsidRPr="00CB1125" w:rsidRDefault="00A10533" w:rsidP="003B6D25">
            <w:pPr>
              <w:spacing w:line="276" w:lineRule="auto"/>
              <w:jc w:val="center"/>
              <w:rPr>
                <w:rFonts w:cs="Arial"/>
                <w:sz w:val="18"/>
                <w:szCs w:val="18"/>
              </w:rPr>
            </w:pPr>
            <w:r w:rsidRPr="00CB1125">
              <w:rPr>
                <w:rFonts w:cs="Arial"/>
                <w:sz w:val="18"/>
                <w:szCs w:val="18"/>
              </w:rPr>
              <w:t>2.5</w:t>
            </w:r>
          </w:p>
        </w:tc>
      </w:tr>
      <w:tr w:rsidR="00A10533" w:rsidRPr="00CB1125" w14:paraId="1EFA6F33" w14:textId="77777777" w:rsidTr="003B6D25">
        <w:tc>
          <w:tcPr>
            <w:tcW w:w="1572" w:type="dxa"/>
            <w:vAlign w:val="center"/>
          </w:tcPr>
          <w:p w14:paraId="2D7F4822" w14:textId="77777777" w:rsidR="00A10533" w:rsidRPr="00CB1125" w:rsidRDefault="00A10533" w:rsidP="0030335E">
            <w:pPr>
              <w:spacing w:line="276" w:lineRule="auto"/>
              <w:rPr>
                <w:rFonts w:cs="Arial"/>
                <w:sz w:val="18"/>
                <w:szCs w:val="18"/>
              </w:rPr>
            </w:pPr>
            <w:r w:rsidRPr="00CB1125">
              <w:rPr>
                <w:rFonts w:cs="Arial"/>
                <w:sz w:val="18"/>
                <w:szCs w:val="18"/>
              </w:rPr>
              <w:t>Retail Trade</w:t>
            </w:r>
          </w:p>
        </w:tc>
        <w:tc>
          <w:tcPr>
            <w:tcW w:w="850" w:type="dxa"/>
            <w:vAlign w:val="center"/>
          </w:tcPr>
          <w:p w14:paraId="06FF12DA" w14:textId="77777777" w:rsidR="00A10533" w:rsidRPr="00CB1125" w:rsidRDefault="00A10533" w:rsidP="003B6D25">
            <w:pPr>
              <w:spacing w:line="276" w:lineRule="auto"/>
              <w:jc w:val="center"/>
              <w:rPr>
                <w:rFonts w:cs="Arial"/>
                <w:sz w:val="18"/>
                <w:szCs w:val="18"/>
              </w:rPr>
            </w:pPr>
            <w:r w:rsidRPr="00CB1125">
              <w:rPr>
                <w:rFonts w:cs="Arial"/>
                <w:sz w:val="18"/>
                <w:szCs w:val="18"/>
              </w:rPr>
              <w:t>9.1</w:t>
            </w:r>
          </w:p>
        </w:tc>
        <w:tc>
          <w:tcPr>
            <w:tcW w:w="850" w:type="dxa"/>
            <w:vAlign w:val="center"/>
          </w:tcPr>
          <w:p w14:paraId="0282E827" w14:textId="77777777" w:rsidR="00A10533" w:rsidRPr="00CB1125" w:rsidRDefault="00A10533" w:rsidP="003B6D25">
            <w:pPr>
              <w:spacing w:line="276" w:lineRule="auto"/>
              <w:jc w:val="center"/>
              <w:rPr>
                <w:rFonts w:cs="Arial"/>
                <w:sz w:val="18"/>
                <w:szCs w:val="18"/>
              </w:rPr>
            </w:pPr>
            <w:r w:rsidRPr="00CB1125">
              <w:rPr>
                <w:rFonts w:cs="Arial"/>
                <w:sz w:val="18"/>
                <w:szCs w:val="18"/>
              </w:rPr>
              <w:t>9.4</w:t>
            </w:r>
          </w:p>
        </w:tc>
        <w:tc>
          <w:tcPr>
            <w:tcW w:w="850" w:type="dxa"/>
            <w:vAlign w:val="center"/>
          </w:tcPr>
          <w:p w14:paraId="7310C10F" w14:textId="77777777" w:rsidR="00A10533" w:rsidRPr="00CB1125" w:rsidRDefault="00A10533" w:rsidP="003B6D25">
            <w:pPr>
              <w:spacing w:line="276" w:lineRule="auto"/>
              <w:jc w:val="center"/>
              <w:rPr>
                <w:rFonts w:cs="Arial"/>
                <w:sz w:val="18"/>
                <w:szCs w:val="18"/>
              </w:rPr>
            </w:pPr>
            <w:r w:rsidRPr="00CB1125">
              <w:rPr>
                <w:rFonts w:cs="Arial"/>
                <w:sz w:val="18"/>
                <w:szCs w:val="18"/>
              </w:rPr>
              <w:t>9.9</w:t>
            </w:r>
          </w:p>
        </w:tc>
        <w:tc>
          <w:tcPr>
            <w:tcW w:w="850" w:type="dxa"/>
            <w:vAlign w:val="center"/>
          </w:tcPr>
          <w:p w14:paraId="64CB52B0" w14:textId="77777777" w:rsidR="00A10533" w:rsidRPr="00CB1125" w:rsidRDefault="00A10533" w:rsidP="003B6D25">
            <w:pPr>
              <w:spacing w:line="276" w:lineRule="auto"/>
              <w:jc w:val="center"/>
              <w:rPr>
                <w:rFonts w:cs="Arial"/>
                <w:sz w:val="18"/>
                <w:szCs w:val="18"/>
              </w:rPr>
            </w:pPr>
            <w:r w:rsidRPr="00CB1125">
              <w:rPr>
                <w:rFonts w:cs="Arial"/>
                <w:sz w:val="18"/>
                <w:szCs w:val="18"/>
              </w:rPr>
              <w:t>9.6</w:t>
            </w:r>
          </w:p>
        </w:tc>
        <w:tc>
          <w:tcPr>
            <w:tcW w:w="850" w:type="dxa"/>
            <w:vAlign w:val="center"/>
          </w:tcPr>
          <w:p w14:paraId="67300C9E" w14:textId="77777777" w:rsidR="00A10533" w:rsidRPr="00CB1125" w:rsidRDefault="00A10533" w:rsidP="003B6D25">
            <w:pPr>
              <w:spacing w:line="276" w:lineRule="auto"/>
              <w:jc w:val="center"/>
              <w:rPr>
                <w:rFonts w:cs="Arial"/>
                <w:sz w:val="18"/>
                <w:szCs w:val="18"/>
              </w:rPr>
            </w:pPr>
            <w:r w:rsidRPr="00CB1125">
              <w:rPr>
                <w:rFonts w:cs="Arial"/>
                <w:sz w:val="18"/>
                <w:szCs w:val="18"/>
              </w:rPr>
              <w:t>8.5</w:t>
            </w:r>
          </w:p>
        </w:tc>
        <w:tc>
          <w:tcPr>
            <w:tcW w:w="850" w:type="dxa"/>
            <w:vAlign w:val="center"/>
          </w:tcPr>
          <w:p w14:paraId="3960EBB5" w14:textId="77777777" w:rsidR="00A10533" w:rsidRPr="00CB1125" w:rsidRDefault="00A10533" w:rsidP="003B6D25">
            <w:pPr>
              <w:spacing w:line="276" w:lineRule="auto"/>
              <w:jc w:val="center"/>
              <w:rPr>
                <w:rFonts w:cs="Arial"/>
                <w:sz w:val="18"/>
                <w:szCs w:val="18"/>
              </w:rPr>
            </w:pPr>
            <w:r w:rsidRPr="00CB1125">
              <w:rPr>
                <w:rFonts w:cs="Arial"/>
                <w:sz w:val="18"/>
                <w:szCs w:val="18"/>
              </w:rPr>
              <w:t>10.1</w:t>
            </w:r>
          </w:p>
        </w:tc>
        <w:tc>
          <w:tcPr>
            <w:tcW w:w="850" w:type="dxa"/>
            <w:vAlign w:val="center"/>
          </w:tcPr>
          <w:p w14:paraId="563F3E38" w14:textId="77777777" w:rsidR="00A10533" w:rsidRPr="00CB1125" w:rsidRDefault="00A10533" w:rsidP="003B6D25">
            <w:pPr>
              <w:spacing w:line="276" w:lineRule="auto"/>
              <w:jc w:val="center"/>
              <w:rPr>
                <w:rFonts w:cs="Arial"/>
                <w:sz w:val="18"/>
                <w:szCs w:val="18"/>
              </w:rPr>
            </w:pPr>
            <w:r w:rsidRPr="00CB1125">
              <w:rPr>
                <w:rFonts w:cs="Arial"/>
                <w:sz w:val="18"/>
                <w:szCs w:val="18"/>
              </w:rPr>
              <w:t>7.3</w:t>
            </w:r>
          </w:p>
        </w:tc>
        <w:tc>
          <w:tcPr>
            <w:tcW w:w="850" w:type="dxa"/>
            <w:vAlign w:val="center"/>
          </w:tcPr>
          <w:p w14:paraId="5342BE6A" w14:textId="77777777" w:rsidR="00A10533" w:rsidRPr="00CB1125" w:rsidRDefault="00A10533" w:rsidP="003B6D25">
            <w:pPr>
              <w:spacing w:line="276" w:lineRule="auto"/>
              <w:jc w:val="center"/>
              <w:rPr>
                <w:rFonts w:cs="Arial"/>
                <w:sz w:val="18"/>
                <w:szCs w:val="18"/>
              </w:rPr>
            </w:pPr>
            <w:r w:rsidRPr="00CB1125">
              <w:rPr>
                <w:rFonts w:cs="Arial"/>
                <w:sz w:val="18"/>
                <w:szCs w:val="18"/>
              </w:rPr>
              <w:t>6.1</w:t>
            </w:r>
          </w:p>
        </w:tc>
        <w:tc>
          <w:tcPr>
            <w:tcW w:w="850" w:type="dxa"/>
            <w:vAlign w:val="center"/>
          </w:tcPr>
          <w:p w14:paraId="428FBAB4" w14:textId="77777777" w:rsidR="00A10533" w:rsidRPr="00CB1125" w:rsidRDefault="00A10533" w:rsidP="003B6D25">
            <w:pPr>
              <w:spacing w:line="276" w:lineRule="auto"/>
              <w:jc w:val="center"/>
              <w:rPr>
                <w:rFonts w:cs="Arial"/>
                <w:sz w:val="18"/>
                <w:szCs w:val="18"/>
              </w:rPr>
            </w:pPr>
            <w:r w:rsidRPr="00CB1125">
              <w:rPr>
                <w:rFonts w:cs="Arial"/>
                <w:sz w:val="18"/>
                <w:szCs w:val="18"/>
              </w:rPr>
              <w:t>9.2</w:t>
            </w:r>
          </w:p>
        </w:tc>
      </w:tr>
      <w:tr w:rsidR="00A10533" w:rsidRPr="00CB1125" w14:paraId="53221227" w14:textId="77777777" w:rsidTr="003B6D25">
        <w:trPr>
          <w:cnfStyle w:val="000000010000" w:firstRow="0" w:lastRow="0" w:firstColumn="0" w:lastColumn="0" w:oddVBand="0" w:evenVBand="0" w:oddHBand="0" w:evenHBand="1" w:firstRowFirstColumn="0" w:firstRowLastColumn="0" w:lastRowFirstColumn="0" w:lastRowLastColumn="0"/>
        </w:trPr>
        <w:tc>
          <w:tcPr>
            <w:tcW w:w="1572" w:type="dxa"/>
            <w:vAlign w:val="center"/>
          </w:tcPr>
          <w:p w14:paraId="0888A8E9" w14:textId="77777777" w:rsidR="00A10533" w:rsidRPr="00CB1125" w:rsidRDefault="00A10533" w:rsidP="0030335E">
            <w:pPr>
              <w:spacing w:line="276" w:lineRule="auto"/>
              <w:rPr>
                <w:rFonts w:cs="Arial"/>
                <w:sz w:val="18"/>
                <w:szCs w:val="18"/>
              </w:rPr>
            </w:pPr>
            <w:r w:rsidRPr="00CB1125">
              <w:rPr>
                <w:rFonts w:cs="Arial"/>
                <w:sz w:val="18"/>
                <w:szCs w:val="18"/>
              </w:rPr>
              <w:t>Accommodation and Food Services</w:t>
            </w:r>
          </w:p>
        </w:tc>
        <w:tc>
          <w:tcPr>
            <w:tcW w:w="850" w:type="dxa"/>
            <w:vAlign w:val="center"/>
          </w:tcPr>
          <w:p w14:paraId="7DC49AA7" w14:textId="77777777" w:rsidR="00A10533" w:rsidRPr="00CB1125" w:rsidRDefault="00A10533" w:rsidP="003B6D25">
            <w:pPr>
              <w:spacing w:line="276" w:lineRule="auto"/>
              <w:jc w:val="center"/>
              <w:rPr>
                <w:rFonts w:cs="Arial"/>
                <w:sz w:val="18"/>
                <w:szCs w:val="18"/>
              </w:rPr>
            </w:pPr>
            <w:r w:rsidRPr="00CB1125">
              <w:rPr>
                <w:rFonts w:cs="Arial"/>
                <w:sz w:val="18"/>
                <w:szCs w:val="18"/>
              </w:rPr>
              <w:t>6.8</w:t>
            </w:r>
          </w:p>
        </w:tc>
        <w:tc>
          <w:tcPr>
            <w:tcW w:w="850" w:type="dxa"/>
            <w:vAlign w:val="center"/>
          </w:tcPr>
          <w:p w14:paraId="7A6DF8B8" w14:textId="77777777" w:rsidR="00A10533" w:rsidRPr="00CB1125" w:rsidRDefault="00A10533" w:rsidP="003B6D25">
            <w:pPr>
              <w:spacing w:line="276" w:lineRule="auto"/>
              <w:jc w:val="center"/>
              <w:rPr>
                <w:rFonts w:cs="Arial"/>
                <w:sz w:val="18"/>
                <w:szCs w:val="18"/>
              </w:rPr>
            </w:pPr>
            <w:r w:rsidRPr="00CB1125">
              <w:rPr>
                <w:rFonts w:cs="Arial"/>
                <w:sz w:val="18"/>
                <w:szCs w:val="18"/>
              </w:rPr>
              <w:t>6.0</w:t>
            </w:r>
          </w:p>
        </w:tc>
        <w:tc>
          <w:tcPr>
            <w:tcW w:w="850" w:type="dxa"/>
            <w:vAlign w:val="center"/>
          </w:tcPr>
          <w:p w14:paraId="67EB9504" w14:textId="77777777" w:rsidR="00A10533" w:rsidRPr="00CB1125" w:rsidRDefault="00A10533" w:rsidP="003B6D25">
            <w:pPr>
              <w:spacing w:line="276" w:lineRule="auto"/>
              <w:jc w:val="center"/>
              <w:rPr>
                <w:rFonts w:cs="Arial"/>
                <w:sz w:val="18"/>
                <w:szCs w:val="18"/>
              </w:rPr>
            </w:pPr>
            <w:r w:rsidRPr="00CB1125">
              <w:rPr>
                <w:rFonts w:cs="Arial"/>
                <w:sz w:val="18"/>
                <w:szCs w:val="18"/>
              </w:rPr>
              <w:t>7.1</w:t>
            </w:r>
          </w:p>
        </w:tc>
        <w:tc>
          <w:tcPr>
            <w:tcW w:w="850" w:type="dxa"/>
            <w:vAlign w:val="center"/>
          </w:tcPr>
          <w:p w14:paraId="53C0A321" w14:textId="77777777" w:rsidR="00A10533" w:rsidRPr="00CB1125" w:rsidRDefault="00A10533" w:rsidP="003B6D25">
            <w:pPr>
              <w:spacing w:line="276" w:lineRule="auto"/>
              <w:jc w:val="center"/>
              <w:rPr>
                <w:rFonts w:cs="Arial"/>
                <w:sz w:val="18"/>
                <w:szCs w:val="18"/>
              </w:rPr>
            </w:pPr>
            <w:r w:rsidRPr="00CB1125">
              <w:rPr>
                <w:rFonts w:cs="Arial"/>
                <w:sz w:val="18"/>
                <w:szCs w:val="18"/>
              </w:rPr>
              <w:t>6.0</w:t>
            </w:r>
          </w:p>
        </w:tc>
        <w:tc>
          <w:tcPr>
            <w:tcW w:w="850" w:type="dxa"/>
            <w:vAlign w:val="center"/>
          </w:tcPr>
          <w:p w14:paraId="203EF950" w14:textId="77777777" w:rsidR="00A10533" w:rsidRPr="00CB1125" w:rsidRDefault="00A10533" w:rsidP="003B6D25">
            <w:pPr>
              <w:spacing w:line="276" w:lineRule="auto"/>
              <w:jc w:val="center"/>
              <w:rPr>
                <w:rFonts w:cs="Arial"/>
                <w:sz w:val="18"/>
                <w:szCs w:val="18"/>
              </w:rPr>
            </w:pPr>
            <w:r w:rsidRPr="00CB1125">
              <w:rPr>
                <w:rFonts w:cs="Arial"/>
                <w:sz w:val="18"/>
                <w:szCs w:val="18"/>
              </w:rPr>
              <w:t>6.2</w:t>
            </w:r>
          </w:p>
        </w:tc>
        <w:tc>
          <w:tcPr>
            <w:tcW w:w="850" w:type="dxa"/>
            <w:vAlign w:val="center"/>
          </w:tcPr>
          <w:p w14:paraId="2AEF411D" w14:textId="77777777" w:rsidR="00A10533" w:rsidRPr="00CB1125" w:rsidRDefault="00A10533" w:rsidP="003B6D25">
            <w:pPr>
              <w:spacing w:line="276" w:lineRule="auto"/>
              <w:jc w:val="center"/>
              <w:rPr>
                <w:rFonts w:cs="Arial"/>
                <w:sz w:val="18"/>
                <w:szCs w:val="18"/>
              </w:rPr>
            </w:pPr>
            <w:r w:rsidRPr="00CB1125">
              <w:rPr>
                <w:rFonts w:cs="Arial"/>
                <w:sz w:val="18"/>
                <w:szCs w:val="18"/>
              </w:rPr>
              <w:t>7.7</w:t>
            </w:r>
          </w:p>
        </w:tc>
        <w:tc>
          <w:tcPr>
            <w:tcW w:w="850" w:type="dxa"/>
            <w:vAlign w:val="center"/>
          </w:tcPr>
          <w:p w14:paraId="37A1C137" w14:textId="77777777" w:rsidR="00A10533" w:rsidRPr="00CB1125" w:rsidRDefault="00A10533" w:rsidP="003B6D25">
            <w:pPr>
              <w:spacing w:line="276" w:lineRule="auto"/>
              <w:jc w:val="center"/>
              <w:rPr>
                <w:rFonts w:cs="Arial"/>
                <w:sz w:val="18"/>
                <w:szCs w:val="18"/>
              </w:rPr>
            </w:pPr>
            <w:r w:rsidRPr="00CB1125">
              <w:rPr>
                <w:rFonts w:cs="Arial"/>
                <w:sz w:val="18"/>
                <w:szCs w:val="18"/>
              </w:rPr>
              <w:t>7.2</w:t>
            </w:r>
          </w:p>
        </w:tc>
        <w:tc>
          <w:tcPr>
            <w:tcW w:w="850" w:type="dxa"/>
            <w:vAlign w:val="center"/>
          </w:tcPr>
          <w:p w14:paraId="537E1FFD" w14:textId="77777777" w:rsidR="00A10533" w:rsidRPr="00CB1125" w:rsidRDefault="00A10533" w:rsidP="003B6D25">
            <w:pPr>
              <w:spacing w:line="276" w:lineRule="auto"/>
              <w:jc w:val="center"/>
              <w:rPr>
                <w:rFonts w:cs="Arial"/>
                <w:sz w:val="18"/>
                <w:szCs w:val="18"/>
              </w:rPr>
            </w:pPr>
            <w:r w:rsidRPr="00CB1125">
              <w:rPr>
                <w:rFonts w:cs="Arial"/>
                <w:sz w:val="18"/>
                <w:szCs w:val="18"/>
              </w:rPr>
              <w:t>5.5</w:t>
            </w:r>
          </w:p>
        </w:tc>
        <w:tc>
          <w:tcPr>
            <w:tcW w:w="850" w:type="dxa"/>
            <w:vAlign w:val="center"/>
          </w:tcPr>
          <w:p w14:paraId="289E11EA" w14:textId="77777777" w:rsidR="00A10533" w:rsidRPr="00CB1125" w:rsidRDefault="00A10533" w:rsidP="003B6D25">
            <w:pPr>
              <w:spacing w:line="276" w:lineRule="auto"/>
              <w:jc w:val="center"/>
              <w:rPr>
                <w:rFonts w:cs="Arial"/>
                <w:sz w:val="18"/>
                <w:szCs w:val="18"/>
              </w:rPr>
            </w:pPr>
            <w:r w:rsidRPr="00CB1125">
              <w:rPr>
                <w:rFonts w:cs="Arial"/>
                <w:sz w:val="18"/>
                <w:szCs w:val="18"/>
              </w:rPr>
              <w:t>6.6</w:t>
            </w:r>
          </w:p>
        </w:tc>
      </w:tr>
      <w:tr w:rsidR="00A10533" w:rsidRPr="00CB1125" w14:paraId="2645AFAA" w14:textId="77777777" w:rsidTr="003B6D25">
        <w:tc>
          <w:tcPr>
            <w:tcW w:w="1572" w:type="dxa"/>
            <w:vAlign w:val="center"/>
          </w:tcPr>
          <w:p w14:paraId="5D1F3B55" w14:textId="77777777" w:rsidR="00A10533" w:rsidRPr="00CB1125" w:rsidRDefault="00A10533" w:rsidP="0030335E">
            <w:pPr>
              <w:spacing w:line="276" w:lineRule="auto"/>
              <w:rPr>
                <w:rFonts w:cs="Arial"/>
                <w:sz w:val="18"/>
                <w:szCs w:val="18"/>
              </w:rPr>
            </w:pPr>
            <w:r w:rsidRPr="00CB1125">
              <w:rPr>
                <w:rFonts w:cs="Arial"/>
                <w:sz w:val="18"/>
                <w:szCs w:val="18"/>
              </w:rPr>
              <w:lastRenderedPageBreak/>
              <w:t>Transport, Postal and Warehousing</w:t>
            </w:r>
          </w:p>
        </w:tc>
        <w:tc>
          <w:tcPr>
            <w:tcW w:w="850" w:type="dxa"/>
            <w:vAlign w:val="center"/>
          </w:tcPr>
          <w:p w14:paraId="12340B91" w14:textId="77777777" w:rsidR="00A10533" w:rsidRPr="00CB1125" w:rsidRDefault="00A10533" w:rsidP="003B6D25">
            <w:pPr>
              <w:spacing w:line="276" w:lineRule="auto"/>
              <w:jc w:val="center"/>
              <w:rPr>
                <w:rFonts w:cs="Arial"/>
                <w:sz w:val="18"/>
                <w:szCs w:val="18"/>
              </w:rPr>
            </w:pPr>
            <w:r w:rsidRPr="00CB1125">
              <w:rPr>
                <w:rFonts w:cs="Arial"/>
                <w:sz w:val="18"/>
                <w:szCs w:val="18"/>
              </w:rPr>
              <w:t>5.2</w:t>
            </w:r>
          </w:p>
        </w:tc>
        <w:tc>
          <w:tcPr>
            <w:tcW w:w="850" w:type="dxa"/>
            <w:vAlign w:val="center"/>
          </w:tcPr>
          <w:p w14:paraId="71AC6B6D" w14:textId="77777777" w:rsidR="00A10533" w:rsidRPr="00CB1125" w:rsidRDefault="00A10533" w:rsidP="003B6D25">
            <w:pPr>
              <w:spacing w:line="276" w:lineRule="auto"/>
              <w:jc w:val="center"/>
              <w:rPr>
                <w:rFonts w:cs="Arial"/>
                <w:sz w:val="18"/>
                <w:szCs w:val="18"/>
              </w:rPr>
            </w:pPr>
            <w:r w:rsidRPr="00CB1125">
              <w:rPr>
                <w:rFonts w:cs="Arial"/>
                <w:sz w:val="18"/>
                <w:szCs w:val="18"/>
              </w:rPr>
              <w:t>5.1</w:t>
            </w:r>
          </w:p>
        </w:tc>
        <w:tc>
          <w:tcPr>
            <w:tcW w:w="850" w:type="dxa"/>
            <w:vAlign w:val="center"/>
          </w:tcPr>
          <w:p w14:paraId="7EA225D0" w14:textId="77777777" w:rsidR="00A10533" w:rsidRPr="00CB1125" w:rsidRDefault="00A10533" w:rsidP="003B6D25">
            <w:pPr>
              <w:spacing w:line="276" w:lineRule="auto"/>
              <w:jc w:val="center"/>
              <w:rPr>
                <w:rFonts w:cs="Arial"/>
                <w:sz w:val="18"/>
                <w:szCs w:val="18"/>
              </w:rPr>
            </w:pPr>
            <w:r w:rsidRPr="00CB1125">
              <w:rPr>
                <w:rFonts w:cs="Arial"/>
                <w:sz w:val="18"/>
                <w:szCs w:val="18"/>
              </w:rPr>
              <w:t>5.4</w:t>
            </w:r>
          </w:p>
        </w:tc>
        <w:tc>
          <w:tcPr>
            <w:tcW w:w="850" w:type="dxa"/>
            <w:vAlign w:val="center"/>
          </w:tcPr>
          <w:p w14:paraId="2D918816" w14:textId="77777777" w:rsidR="00A10533" w:rsidRPr="00CB1125" w:rsidRDefault="00A10533" w:rsidP="003B6D25">
            <w:pPr>
              <w:spacing w:line="276" w:lineRule="auto"/>
              <w:jc w:val="center"/>
              <w:rPr>
                <w:rFonts w:cs="Arial"/>
                <w:sz w:val="18"/>
                <w:szCs w:val="18"/>
              </w:rPr>
            </w:pPr>
            <w:r w:rsidRPr="00CB1125">
              <w:rPr>
                <w:rFonts w:cs="Arial"/>
                <w:sz w:val="18"/>
                <w:szCs w:val="18"/>
              </w:rPr>
              <w:t>4.3</w:t>
            </w:r>
          </w:p>
        </w:tc>
        <w:tc>
          <w:tcPr>
            <w:tcW w:w="850" w:type="dxa"/>
            <w:vAlign w:val="center"/>
          </w:tcPr>
          <w:p w14:paraId="431E80A5" w14:textId="77777777" w:rsidR="00A10533" w:rsidRPr="00CB1125" w:rsidRDefault="00A10533" w:rsidP="003B6D25">
            <w:pPr>
              <w:spacing w:line="276" w:lineRule="auto"/>
              <w:jc w:val="center"/>
              <w:rPr>
                <w:rFonts w:cs="Arial"/>
                <w:sz w:val="18"/>
                <w:szCs w:val="18"/>
              </w:rPr>
            </w:pPr>
            <w:r w:rsidRPr="00CB1125">
              <w:rPr>
                <w:rFonts w:cs="Arial"/>
                <w:sz w:val="18"/>
                <w:szCs w:val="18"/>
              </w:rPr>
              <w:t>5.1</w:t>
            </w:r>
          </w:p>
        </w:tc>
        <w:tc>
          <w:tcPr>
            <w:tcW w:w="850" w:type="dxa"/>
            <w:vAlign w:val="center"/>
          </w:tcPr>
          <w:p w14:paraId="043A0CD1" w14:textId="77777777" w:rsidR="00A10533" w:rsidRPr="00CB1125" w:rsidRDefault="00A10533" w:rsidP="003B6D25">
            <w:pPr>
              <w:spacing w:line="276" w:lineRule="auto"/>
              <w:jc w:val="center"/>
              <w:rPr>
                <w:rFonts w:cs="Arial"/>
                <w:sz w:val="18"/>
                <w:szCs w:val="18"/>
              </w:rPr>
            </w:pPr>
            <w:r w:rsidRPr="00CB1125">
              <w:rPr>
                <w:rFonts w:cs="Arial"/>
                <w:sz w:val="18"/>
                <w:szCs w:val="18"/>
              </w:rPr>
              <w:t>3.6</w:t>
            </w:r>
          </w:p>
        </w:tc>
        <w:tc>
          <w:tcPr>
            <w:tcW w:w="850" w:type="dxa"/>
            <w:vAlign w:val="center"/>
          </w:tcPr>
          <w:p w14:paraId="420A5D5B" w14:textId="77777777" w:rsidR="00A10533" w:rsidRPr="00CB1125" w:rsidRDefault="00A10533" w:rsidP="003B6D25">
            <w:pPr>
              <w:spacing w:line="276" w:lineRule="auto"/>
              <w:jc w:val="center"/>
              <w:rPr>
                <w:rFonts w:cs="Arial"/>
                <w:sz w:val="18"/>
                <w:szCs w:val="18"/>
              </w:rPr>
            </w:pPr>
            <w:r w:rsidRPr="00CB1125">
              <w:rPr>
                <w:rFonts w:cs="Arial"/>
                <w:sz w:val="18"/>
                <w:szCs w:val="18"/>
              </w:rPr>
              <w:t>4.5</w:t>
            </w:r>
          </w:p>
        </w:tc>
        <w:tc>
          <w:tcPr>
            <w:tcW w:w="850" w:type="dxa"/>
            <w:vAlign w:val="center"/>
          </w:tcPr>
          <w:p w14:paraId="22AC4513" w14:textId="77777777" w:rsidR="00A10533" w:rsidRPr="00CB1125" w:rsidRDefault="00A10533" w:rsidP="003B6D25">
            <w:pPr>
              <w:spacing w:line="276" w:lineRule="auto"/>
              <w:jc w:val="center"/>
              <w:rPr>
                <w:rFonts w:cs="Arial"/>
                <w:sz w:val="18"/>
                <w:szCs w:val="18"/>
              </w:rPr>
            </w:pPr>
            <w:r w:rsidRPr="00CB1125">
              <w:rPr>
                <w:rFonts w:cs="Arial"/>
                <w:sz w:val="18"/>
                <w:szCs w:val="18"/>
              </w:rPr>
              <w:t>1.9</w:t>
            </w:r>
          </w:p>
        </w:tc>
        <w:tc>
          <w:tcPr>
            <w:tcW w:w="850" w:type="dxa"/>
            <w:vAlign w:val="center"/>
          </w:tcPr>
          <w:p w14:paraId="45E2BBA6" w14:textId="77777777" w:rsidR="00A10533" w:rsidRPr="00CB1125" w:rsidRDefault="00A10533" w:rsidP="003B6D25">
            <w:pPr>
              <w:spacing w:line="276" w:lineRule="auto"/>
              <w:jc w:val="center"/>
              <w:rPr>
                <w:rFonts w:cs="Arial"/>
                <w:sz w:val="18"/>
                <w:szCs w:val="18"/>
              </w:rPr>
            </w:pPr>
            <w:r w:rsidRPr="00CB1125">
              <w:rPr>
                <w:rFonts w:cs="Arial"/>
                <w:sz w:val="18"/>
                <w:szCs w:val="18"/>
              </w:rPr>
              <w:t>5.1</w:t>
            </w:r>
          </w:p>
        </w:tc>
      </w:tr>
      <w:tr w:rsidR="00A10533" w:rsidRPr="00CB1125" w14:paraId="1E1AEB16" w14:textId="77777777" w:rsidTr="003B6D25">
        <w:trPr>
          <w:cnfStyle w:val="000000010000" w:firstRow="0" w:lastRow="0" w:firstColumn="0" w:lastColumn="0" w:oddVBand="0" w:evenVBand="0" w:oddHBand="0" w:evenHBand="1" w:firstRowFirstColumn="0" w:firstRowLastColumn="0" w:lastRowFirstColumn="0" w:lastRowLastColumn="0"/>
        </w:trPr>
        <w:tc>
          <w:tcPr>
            <w:tcW w:w="1572" w:type="dxa"/>
            <w:vAlign w:val="center"/>
          </w:tcPr>
          <w:p w14:paraId="5A70D6DC" w14:textId="77777777" w:rsidR="00A10533" w:rsidRPr="00CB1125" w:rsidRDefault="00A10533" w:rsidP="0030335E">
            <w:pPr>
              <w:spacing w:line="276" w:lineRule="auto"/>
              <w:rPr>
                <w:rFonts w:cs="Arial"/>
                <w:sz w:val="18"/>
                <w:szCs w:val="18"/>
              </w:rPr>
            </w:pPr>
            <w:r w:rsidRPr="00CB1125">
              <w:rPr>
                <w:rFonts w:cs="Arial"/>
                <w:sz w:val="18"/>
                <w:szCs w:val="18"/>
              </w:rPr>
              <w:t>Information Media and Telecommunications</w:t>
            </w:r>
          </w:p>
        </w:tc>
        <w:tc>
          <w:tcPr>
            <w:tcW w:w="850" w:type="dxa"/>
            <w:vAlign w:val="center"/>
          </w:tcPr>
          <w:p w14:paraId="35EFA86A" w14:textId="77777777" w:rsidR="00A10533" w:rsidRPr="00CB1125" w:rsidRDefault="00A10533" w:rsidP="003B6D25">
            <w:pPr>
              <w:spacing w:line="276" w:lineRule="auto"/>
              <w:jc w:val="center"/>
              <w:rPr>
                <w:rFonts w:cs="Arial"/>
                <w:sz w:val="18"/>
                <w:szCs w:val="18"/>
              </w:rPr>
            </w:pPr>
            <w:r w:rsidRPr="00CB1125">
              <w:rPr>
                <w:rFonts w:cs="Arial"/>
                <w:sz w:val="18"/>
                <w:szCs w:val="18"/>
              </w:rPr>
              <w:t>1.6</w:t>
            </w:r>
          </w:p>
        </w:tc>
        <w:tc>
          <w:tcPr>
            <w:tcW w:w="850" w:type="dxa"/>
            <w:vAlign w:val="center"/>
          </w:tcPr>
          <w:p w14:paraId="461CB2F7" w14:textId="77777777" w:rsidR="00A10533" w:rsidRPr="00CB1125" w:rsidRDefault="00A10533" w:rsidP="003B6D25">
            <w:pPr>
              <w:spacing w:line="276" w:lineRule="auto"/>
              <w:jc w:val="center"/>
              <w:rPr>
                <w:rFonts w:cs="Arial"/>
                <w:sz w:val="18"/>
                <w:szCs w:val="18"/>
              </w:rPr>
            </w:pPr>
            <w:r w:rsidRPr="00CB1125">
              <w:rPr>
                <w:rFonts w:cs="Arial"/>
                <w:sz w:val="18"/>
                <w:szCs w:val="18"/>
              </w:rPr>
              <w:t>1.5</w:t>
            </w:r>
          </w:p>
        </w:tc>
        <w:tc>
          <w:tcPr>
            <w:tcW w:w="850" w:type="dxa"/>
            <w:vAlign w:val="center"/>
          </w:tcPr>
          <w:p w14:paraId="560A7A02" w14:textId="77777777" w:rsidR="00A10533" w:rsidRPr="00CB1125" w:rsidRDefault="00A10533" w:rsidP="003B6D25">
            <w:pPr>
              <w:spacing w:line="276" w:lineRule="auto"/>
              <w:jc w:val="center"/>
              <w:rPr>
                <w:rFonts w:cs="Arial"/>
                <w:sz w:val="18"/>
                <w:szCs w:val="18"/>
              </w:rPr>
            </w:pPr>
            <w:r w:rsidRPr="00CB1125">
              <w:rPr>
                <w:rFonts w:cs="Arial"/>
                <w:sz w:val="18"/>
                <w:szCs w:val="18"/>
              </w:rPr>
              <w:t>0.9</w:t>
            </w:r>
          </w:p>
        </w:tc>
        <w:tc>
          <w:tcPr>
            <w:tcW w:w="850" w:type="dxa"/>
            <w:vAlign w:val="center"/>
          </w:tcPr>
          <w:p w14:paraId="6AF7751E" w14:textId="77777777" w:rsidR="00A10533" w:rsidRPr="00CB1125" w:rsidRDefault="00A10533" w:rsidP="003B6D25">
            <w:pPr>
              <w:spacing w:line="276" w:lineRule="auto"/>
              <w:jc w:val="center"/>
              <w:rPr>
                <w:rFonts w:cs="Arial"/>
                <w:sz w:val="18"/>
                <w:szCs w:val="18"/>
              </w:rPr>
            </w:pPr>
            <w:r w:rsidRPr="00CB1125">
              <w:rPr>
                <w:rFonts w:cs="Arial"/>
                <w:sz w:val="18"/>
                <w:szCs w:val="18"/>
              </w:rPr>
              <w:t>1.0</w:t>
            </w:r>
          </w:p>
        </w:tc>
        <w:tc>
          <w:tcPr>
            <w:tcW w:w="850" w:type="dxa"/>
            <w:vAlign w:val="center"/>
          </w:tcPr>
          <w:p w14:paraId="3254EA4C" w14:textId="77777777" w:rsidR="00A10533" w:rsidRPr="00CB1125" w:rsidRDefault="00A10533" w:rsidP="003B6D25">
            <w:pPr>
              <w:spacing w:line="276" w:lineRule="auto"/>
              <w:jc w:val="center"/>
              <w:rPr>
                <w:rFonts w:cs="Arial"/>
                <w:sz w:val="18"/>
                <w:szCs w:val="18"/>
              </w:rPr>
            </w:pPr>
            <w:r w:rsidRPr="00CB1125">
              <w:rPr>
                <w:rFonts w:cs="Arial"/>
                <w:sz w:val="18"/>
                <w:szCs w:val="18"/>
              </w:rPr>
              <w:t>0.9</w:t>
            </w:r>
          </w:p>
        </w:tc>
        <w:tc>
          <w:tcPr>
            <w:tcW w:w="850" w:type="dxa"/>
            <w:vAlign w:val="center"/>
          </w:tcPr>
          <w:p w14:paraId="7EAD3CBF" w14:textId="77777777" w:rsidR="00A10533" w:rsidRPr="00CB1125" w:rsidRDefault="00A10533" w:rsidP="003B6D25">
            <w:pPr>
              <w:spacing w:line="276" w:lineRule="auto"/>
              <w:jc w:val="center"/>
              <w:rPr>
                <w:rFonts w:cs="Arial"/>
                <w:sz w:val="18"/>
                <w:szCs w:val="18"/>
              </w:rPr>
            </w:pPr>
            <w:r w:rsidRPr="00CB1125">
              <w:rPr>
                <w:rFonts w:cs="Arial"/>
                <w:sz w:val="18"/>
                <w:szCs w:val="18"/>
              </w:rPr>
              <w:t>1.2</w:t>
            </w:r>
          </w:p>
        </w:tc>
        <w:tc>
          <w:tcPr>
            <w:tcW w:w="850" w:type="dxa"/>
            <w:vAlign w:val="center"/>
          </w:tcPr>
          <w:p w14:paraId="5700751B" w14:textId="77777777" w:rsidR="00A10533" w:rsidRPr="00CB1125" w:rsidRDefault="00A10533" w:rsidP="003B6D25">
            <w:pPr>
              <w:spacing w:line="276" w:lineRule="auto"/>
              <w:jc w:val="center"/>
              <w:rPr>
                <w:rFonts w:cs="Arial"/>
                <w:sz w:val="18"/>
                <w:szCs w:val="18"/>
              </w:rPr>
            </w:pPr>
            <w:r w:rsidRPr="00CB1125">
              <w:rPr>
                <w:rFonts w:cs="Arial"/>
                <w:sz w:val="18"/>
                <w:szCs w:val="18"/>
              </w:rPr>
              <w:t>0.8</w:t>
            </w:r>
          </w:p>
        </w:tc>
        <w:tc>
          <w:tcPr>
            <w:tcW w:w="850" w:type="dxa"/>
            <w:vAlign w:val="center"/>
          </w:tcPr>
          <w:p w14:paraId="47996141" w14:textId="77777777" w:rsidR="00A10533" w:rsidRPr="00CB1125" w:rsidRDefault="00A10533" w:rsidP="003B6D25">
            <w:pPr>
              <w:spacing w:line="276" w:lineRule="auto"/>
              <w:jc w:val="center"/>
              <w:rPr>
                <w:rFonts w:cs="Arial"/>
                <w:sz w:val="18"/>
                <w:szCs w:val="18"/>
              </w:rPr>
            </w:pPr>
            <w:r w:rsidRPr="00CB1125">
              <w:rPr>
                <w:rFonts w:cs="Arial"/>
                <w:sz w:val="18"/>
                <w:szCs w:val="18"/>
              </w:rPr>
              <w:t>1.3</w:t>
            </w:r>
          </w:p>
        </w:tc>
        <w:tc>
          <w:tcPr>
            <w:tcW w:w="850" w:type="dxa"/>
            <w:vAlign w:val="center"/>
          </w:tcPr>
          <w:p w14:paraId="6234C949" w14:textId="77777777" w:rsidR="00A10533" w:rsidRPr="00CB1125" w:rsidRDefault="00A10533" w:rsidP="003B6D25">
            <w:pPr>
              <w:spacing w:line="276" w:lineRule="auto"/>
              <w:jc w:val="center"/>
              <w:rPr>
                <w:rFonts w:cs="Arial"/>
                <w:sz w:val="18"/>
                <w:szCs w:val="18"/>
              </w:rPr>
            </w:pPr>
            <w:r w:rsidRPr="00CB1125">
              <w:rPr>
                <w:rFonts w:cs="Arial"/>
                <w:sz w:val="18"/>
                <w:szCs w:val="18"/>
              </w:rPr>
              <w:t>1.3</w:t>
            </w:r>
          </w:p>
        </w:tc>
      </w:tr>
      <w:tr w:rsidR="00A10533" w:rsidRPr="00CB1125" w14:paraId="264630CD" w14:textId="77777777" w:rsidTr="003B6D25">
        <w:tc>
          <w:tcPr>
            <w:tcW w:w="1572" w:type="dxa"/>
            <w:vAlign w:val="center"/>
          </w:tcPr>
          <w:p w14:paraId="09B95E3F" w14:textId="77777777" w:rsidR="00A10533" w:rsidRPr="00CB1125" w:rsidRDefault="00A10533" w:rsidP="0030335E">
            <w:pPr>
              <w:spacing w:line="276" w:lineRule="auto"/>
              <w:rPr>
                <w:rFonts w:cs="Arial"/>
                <w:sz w:val="18"/>
                <w:szCs w:val="18"/>
              </w:rPr>
            </w:pPr>
            <w:r w:rsidRPr="00CB1125">
              <w:rPr>
                <w:rFonts w:cs="Arial"/>
                <w:sz w:val="18"/>
                <w:szCs w:val="18"/>
              </w:rPr>
              <w:t>Financial and Insurance Services</w:t>
            </w:r>
          </w:p>
        </w:tc>
        <w:tc>
          <w:tcPr>
            <w:tcW w:w="850" w:type="dxa"/>
            <w:vAlign w:val="center"/>
          </w:tcPr>
          <w:p w14:paraId="276153A8" w14:textId="77777777" w:rsidR="00A10533" w:rsidRPr="00CB1125" w:rsidRDefault="00A10533" w:rsidP="003B6D25">
            <w:pPr>
              <w:spacing w:line="276" w:lineRule="auto"/>
              <w:jc w:val="center"/>
              <w:rPr>
                <w:rFonts w:cs="Arial"/>
                <w:sz w:val="18"/>
                <w:szCs w:val="18"/>
              </w:rPr>
            </w:pPr>
            <w:r w:rsidRPr="00CB1125">
              <w:rPr>
                <w:rFonts w:cs="Arial"/>
                <w:sz w:val="18"/>
                <w:szCs w:val="18"/>
              </w:rPr>
              <w:t>5.4</w:t>
            </w:r>
          </w:p>
        </w:tc>
        <w:tc>
          <w:tcPr>
            <w:tcW w:w="850" w:type="dxa"/>
            <w:vAlign w:val="center"/>
          </w:tcPr>
          <w:p w14:paraId="5BD3136B" w14:textId="77777777" w:rsidR="00A10533" w:rsidRPr="00CB1125" w:rsidRDefault="00A10533" w:rsidP="003B6D25">
            <w:pPr>
              <w:spacing w:line="276" w:lineRule="auto"/>
              <w:jc w:val="center"/>
              <w:rPr>
                <w:rFonts w:cs="Arial"/>
                <w:sz w:val="18"/>
                <w:szCs w:val="18"/>
              </w:rPr>
            </w:pPr>
            <w:r w:rsidRPr="00CB1125">
              <w:rPr>
                <w:rFonts w:cs="Arial"/>
                <w:sz w:val="18"/>
                <w:szCs w:val="18"/>
              </w:rPr>
              <w:t>4.4</w:t>
            </w:r>
          </w:p>
        </w:tc>
        <w:tc>
          <w:tcPr>
            <w:tcW w:w="850" w:type="dxa"/>
            <w:vAlign w:val="center"/>
          </w:tcPr>
          <w:p w14:paraId="4B9CE356" w14:textId="77777777" w:rsidR="00A10533" w:rsidRPr="00CB1125" w:rsidRDefault="00A10533" w:rsidP="003B6D25">
            <w:pPr>
              <w:spacing w:line="276" w:lineRule="auto"/>
              <w:jc w:val="center"/>
              <w:rPr>
                <w:rFonts w:cs="Arial"/>
                <w:sz w:val="18"/>
                <w:szCs w:val="18"/>
              </w:rPr>
            </w:pPr>
            <w:r w:rsidRPr="00CB1125">
              <w:rPr>
                <w:rFonts w:cs="Arial"/>
                <w:sz w:val="18"/>
                <w:szCs w:val="18"/>
              </w:rPr>
              <w:t>2.7</w:t>
            </w:r>
          </w:p>
        </w:tc>
        <w:tc>
          <w:tcPr>
            <w:tcW w:w="850" w:type="dxa"/>
            <w:vAlign w:val="center"/>
          </w:tcPr>
          <w:p w14:paraId="5CCA308F" w14:textId="77777777" w:rsidR="00A10533" w:rsidRPr="00CB1125" w:rsidRDefault="00A10533" w:rsidP="003B6D25">
            <w:pPr>
              <w:spacing w:line="276" w:lineRule="auto"/>
              <w:jc w:val="center"/>
              <w:rPr>
                <w:rFonts w:cs="Arial"/>
                <w:sz w:val="18"/>
                <w:szCs w:val="18"/>
              </w:rPr>
            </w:pPr>
            <w:r w:rsidRPr="00CB1125">
              <w:rPr>
                <w:rFonts w:cs="Arial"/>
                <w:sz w:val="18"/>
                <w:szCs w:val="18"/>
              </w:rPr>
              <w:t>2.7</w:t>
            </w:r>
          </w:p>
        </w:tc>
        <w:tc>
          <w:tcPr>
            <w:tcW w:w="850" w:type="dxa"/>
            <w:vAlign w:val="center"/>
          </w:tcPr>
          <w:p w14:paraId="53B5C161" w14:textId="77777777" w:rsidR="00A10533" w:rsidRPr="00CB1125" w:rsidRDefault="00A10533" w:rsidP="003B6D25">
            <w:pPr>
              <w:spacing w:line="276" w:lineRule="auto"/>
              <w:jc w:val="center"/>
              <w:rPr>
                <w:rFonts w:cs="Arial"/>
                <w:sz w:val="18"/>
                <w:szCs w:val="18"/>
              </w:rPr>
            </w:pPr>
            <w:r w:rsidRPr="00CB1125">
              <w:rPr>
                <w:rFonts w:cs="Arial"/>
                <w:sz w:val="18"/>
                <w:szCs w:val="18"/>
              </w:rPr>
              <w:t>1.9</w:t>
            </w:r>
          </w:p>
        </w:tc>
        <w:tc>
          <w:tcPr>
            <w:tcW w:w="850" w:type="dxa"/>
            <w:vAlign w:val="center"/>
          </w:tcPr>
          <w:p w14:paraId="7EC8817F" w14:textId="77777777" w:rsidR="00A10533" w:rsidRPr="00CB1125" w:rsidRDefault="00A10533" w:rsidP="003B6D25">
            <w:pPr>
              <w:spacing w:line="276" w:lineRule="auto"/>
              <w:jc w:val="center"/>
              <w:rPr>
                <w:rFonts w:cs="Arial"/>
                <w:sz w:val="18"/>
                <w:szCs w:val="18"/>
              </w:rPr>
            </w:pPr>
            <w:r w:rsidRPr="00CB1125">
              <w:rPr>
                <w:rFonts w:cs="Arial"/>
                <w:sz w:val="18"/>
                <w:szCs w:val="18"/>
              </w:rPr>
              <w:t>1.8</w:t>
            </w:r>
          </w:p>
        </w:tc>
        <w:tc>
          <w:tcPr>
            <w:tcW w:w="850" w:type="dxa"/>
            <w:vAlign w:val="center"/>
          </w:tcPr>
          <w:p w14:paraId="6D1CEE7A" w14:textId="77777777" w:rsidR="00A10533" w:rsidRPr="00CB1125" w:rsidRDefault="00A10533" w:rsidP="003B6D25">
            <w:pPr>
              <w:spacing w:line="276" w:lineRule="auto"/>
              <w:jc w:val="center"/>
              <w:rPr>
                <w:rFonts w:cs="Arial"/>
                <w:sz w:val="18"/>
                <w:szCs w:val="18"/>
              </w:rPr>
            </w:pPr>
            <w:r w:rsidRPr="00CB1125">
              <w:rPr>
                <w:rFonts w:cs="Arial"/>
                <w:sz w:val="18"/>
                <w:szCs w:val="18"/>
              </w:rPr>
              <w:t>0.7</w:t>
            </w:r>
          </w:p>
        </w:tc>
        <w:tc>
          <w:tcPr>
            <w:tcW w:w="850" w:type="dxa"/>
            <w:vAlign w:val="center"/>
          </w:tcPr>
          <w:p w14:paraId="09F5BC94" w14:textId="77777777" w:rsidR="00A10533" w:rsidRPr="00CB1125" w:rsidRDefault="00A10533" w:rsidP="003B6D25">
            <w:pPr>
              <w:spacing w:line="276" w:lineRule="auto"/>
              <w:jc w:val="center"/>
              <w:rPr>
                <w:rFonts w:cs="Arial"/>
                <w:sz w:val="18"/>
                <w:szCs w:val="18"/>
              </w:rPr>
            </w:pPr>
            <w:r w:rsidRPr="00CB1125">
              <w:rPr>
                <w:rFonts w:cs="Arial"/>
                <w:sz w:val="18"/>
                <w:szCs w:val="18"/>
              </w:rPr>
              <w:t>2.0</w:t>
            </w:r>
          </w:p>
        </w:tc>
        <w:tc>
          <w:tcPr>
            <w:tcW w:w="850" w:type="dxa"/>
            <w:vAlign w:val="center"/>
          </w:tcPr>
          <w:p w14:paraId="33502FCA" w14:textId="77777777" w:rsidR="00A10533" w:rsidRPr="00CB1125" w:rsidRDefault="00A10533" w:rsidP="003B6D25">
            <w:pPr>
              <w:spacing w:line="276" w:lineRule="auto"/>
              <w:jc w:val="center"/>
              <w:rPr>
                <w:rFonts w:cs="Arial"/>
                <w:sz w:val="18"/>
                <w:szCs w:val="18"/>
              </w:rPr>
            </w:pPr>
            <w:r w:rsidRPr="00CB1125">
              <w:rPr>
                <w:rFonts w:cs="Arial"/>
                <w:sz w:val="18"/>
                <w:szCs w:val="18"/>
              </w:rPr>
              <w:t>3.8</w:t>
            </w:r>
          </w:p>
        </w:tc>
      </w:tr>
      <w:tr w:rsidR="00A10533" w:rsidRPr="00CB1125" w14:paraId="4820C328" w14:textId="77777777" w:rsidTr="003B6D25">
        <w:trPr>
          <w:cnfStyle w:val="000000010000" w:firstRow="0" w:lastRow="0" w:firstColumn="0" w:lastColumn="0" w:oddVBand="0" w:evenVBand="0" w:oddHBand="0" w:evenHBand="1" w:firstRowFirstColumn="0" w:firstRowLastColumn="0" w:lastRowFirstColumn="0" w:lastRowLastColumn="0"/>
        </w:trPr>
        <w:tc>
          <w:tcPr>
            <w:tcW w:w="1572" w:type="dxa"/>
            <w:vAlign w:val="center"/>
          </w:tcPr>
          <w:p w14:paraId="6DCAE8D5" w14:textId="77777777" w:rsidR="00A10533" w:rsidRPr="00CB1125" w:rsidRDefault="00A10533" w:rsidP="0030335E">
            <w:pPr>
              <w:spacing w:line="276" w:lineRule="auto"/>
              <w:rPr>
                <w:rFonts w:cs="Arial"/>
                <w:sz w:val="18"/>
                <w:szCs w:val="18"/>
              </w:rPr>
            </w:pPr>
            <w:r w:rsidRPr="00CB1125">
              <w:rPr>
                <w:rFonts w:cs="Arial"/>
                <w:sz w:val="18"/>
                <w:szCs w:val="18"/>
              </w:rPr>
              <w:t>Rental, Hiring and Real Estate Services</w:t>
            </w:r>
          </w:p>
        </w:tc>
        <w:tc>
          <w:tcPr>
            <w:tcW w:w="850" w:type="dxa"/>
            <w:vAlign w:val="center"/>
          </w:tcPr>
          <w:p w14:paraId="1C5334B5" w14:textId="77777777" w:rsidR="00A10533" w:rsidRPr="00CB1125" w:rsidRDefault="00A10533" w:rsidP="003B6D25">
            <w:pPr>
              <w:spacing w:line="276" w:lineRule="auto"/>
              <w:jc w:val="center"/>
              <w:rPr>
                <w:rFonts w:cs="Arial"/>
                <w:sz w:val="18"/>
                <w:szCs w:val="18"/>
              </w:rPr>
            </w:pPr>
            <w:r w:rsidRPr="00CB1125">
              <w:rPr>
                <w:rFonts w:cs="Arial"/>
                <w:sz w:val="18"/>
                <w:szCs w:val="18"/>
              </w:rPr>
              <w:t>1.9</w:t>
            </w:r>
          </w:p>
        </w:tc>
        <w:tc>
          <w:tcPr>
            <w:tcW w:w="850" w:type="dxa"/>
            <w:vAlign w:val="center"/>
          </w:tcPr>
          <w:p w14:paraId="3F19CB03" w14:textId="77777777" w:rsidR="00A10533" w:rsidRPr="00CB1125" w:rsidRDefault="00A10533" w:rsidP="003B6D25">
            <w:pPr>
              <w:spacing w:line="276" w:lineRule="auto"/>
              <w:jc w:val="center"/>
              <w:rPr>
                <w:rFonts w:cs="Arial"/>
                <w:sz w:val="18"/>
                <w:szCs w:val="18"/>
              </w:rPr>
            </w:pPr>
            <w:r w:rsidRPr="00CB1125">
              <w:rPr>
                <w:rFonts w:cs="Arial"/>
                <w:sz w:val="18"/>
                <w:szCs w:val="18"/>
              </w:rPr>
              <w:t>1.5</w:t>
            </w:r>
          </w:p>
        </w:tc>
        <w:tc>
          <w:tcPr>
            <w:tcW w:w="850" w:type="dxa"/>
            <w:vAlign w:val="center"/>
          </w:tcPr>
          <w:p w14:paraId="5B8E01F6" w14:textId="77777777" w:rsidR="00A10533" w:rsidRPr="00CB1125" w:rsidRDefault="00A10533" w:rsidP="003B6D25">
            <w:pPr>
              <w:spacing w:line="276" w:lineRule="auto"/>
              <w:jc w:val="center"/>
              <w:rPr>
                <w:rFonts w:cs="Arial"/>
                <w:sz w:val="18"/>
                <w:szCs w:val="18"/>
              </w:rPr>
            </w:pPr>
            <w:r w:rsidRPr="00CB1125">
              <w:rPr>
                <w:rFonts w:cs="Arial"/>
                <w:sz w:val="18"/>
                <w:szCs w:val="18"/>
              </w:rPr>
              <w:t>1.8</w:t>
            </w:r>
          </w:p>
        </w:tc>
        <w:tc>
          <w:tcPr>
            <w:tcW w:w="850" w:type="dxa"/>
            <w:vAlign w:val="center"/>
          </w:tcPr>
          <w:p w14:paraId="71EE2C55" w14:textId="77777777" w:rsidR="00A10533" w:rsidRPr="00CB1125" w:rsidRDefault="00A10533" w:rsidP="003B6D25">
            <w:pPr>
              <w:spacing w:line="276" w:lineRule="auto"/>
              <w:jc w:val="center"/>
              <w:rPr>
                <w:rFonts w:cs="Arial"/>
                <w:sz w:val="18"/>
                <w:szCs w:val="18"/>
              </w:rPr>
            </w:pPr>
            <w:r w:rsidRPr="00CB1125">
              <w:rPr>
                <w:rFonts w:cs="Arial"/>
                <w:sz w:val="18"/>
                <w:szCs w:val="18"/>
              </w:rPr>
              <w:t>1.3</w:t>
            </w:r>
          </w:p>
        </w:tc>
        <w:tc>
          <w:tcPr>
            <w:tcW w:w="850" w:type="dxa"/>
            <w:vAlign w:val="center"/>
          </w:tcPr>
          <w:p w14:paraId="59279D48" w14:textId="77777777" w:rsidR="00A10533" w:rsidRPr="00CB1125" w:rsidRDefault="00A10533" w:rsidP="003B6D25">
            <w:pPr>
              <w:spacing w:line="276" w:lineRule="auto"/>
              <w:jc w:val="center"/>
              <w:rPr>
                <w:rFonts w:cs="Arial"/>
                <w:sz w:val="18"/>
                <w:szCs w:val="18"/>
              </w:rPr>
            </w:pPr>
            <w:r w:rsidRPr="00CB1125">
              <w:rPr>
                <w:rFonts w:cs="Arial"/>
                <w:sz w:val="18"/>
                <w:szCs w:val="18"/>
              </w:rPr>
              <w:t>1.4</w:t>
            </w:r>
          </w:p>
        </w:tc>
        <w:tc>
          <w:tcPr>
            <w:tcW w:w="850" w:type="dxa"/>
            <w:vAlign w:val="center"/>
          </w:tcPr>
          <w:p w14:paraId="5FC9BC47" w14:textId="77777777" w:rsidR="00A10533" w:rsidRPr="00CB1125" w:rsidRDefault="00A10533" w:rsidP="003B6D25">
            <w:pPr>
              <w:spacing w:line="276" w:lineRule="auto"/>
              <w:jc w:val="center"/>
              <w:rPr>
                <w:rFonts w:cs="Arial"/>
                <w:sz w:val="18"/>
                <w:szCs w:val="18"/>
              </w:rPr>
            </w:pPr>
            <w:r w:rsidRPr="00CB1125">
              <w:rPr>
                <w:rFonts w:cs="Arial"/>
                <w:sz w:val="18"/>
                <w:szCs w:val="18"/>
              </w:rPr>
              <w:t>1.4</w:t>
            </w:r>
          </w:p>
        </w:tc>
        <w:tc>
          <w:tcPr>
            <w:tcW w:w="850" w:type="dxa"/>
            <w:vAlign w:val="center"/>
          </w:tcPr>
          <w:p w14:paraId="5948E9ED" w14:textId="77777777" w:rsidR="00A10533" w:rsidRPr="00CB1125" w:rsidRDefault="00A10533" w:rsidP="003B6D25">
            <w:pPr>
              <w:spacing w:line="276" w:lineRule="auto"/>
              <w:jc w:val="center"/>
              <w:rPr>
                <w:rFonts w:cs="Arial"/>
                <w:sz w:val="18"/>
                <w:szCs w:val="18"/>
              </w:rPr>
            </w:pPr>
            <w:r w:rsidRPr="00CB1125">
              <w:rPr>
                <w:rFonts w:cs="Arial"/>
                <w:sz w:val="18"/>
                <w:szCs w:val="18"/>
              </w:rPr>
              <w:t>1.4</w:t>
            </w:r>
          </w:p>
        </w:tc>
        <w:tc>
          <w:tcPr>
            <w:tcW w:w="850" w:type="dxa"/>
            <w:vAlign w:val="center"/>
          </w:tcPr>
          <w:p w14:paraId="5D4305C8" w14:textId="77777777" w:rsidR="00A10533" w:rsidRPr="00CB1125" w:rsidRDefault="00A10533" w:rsidP="003B6D25">
            <w:pPr>
              <w:spacing w:line="276" w:lineRule="auto"/>
              <w:jc w:val="center"/>
              <w:rPr>
                <w:rFonts w:cs="Arial"/>
                <w:sz w:val="18"/>
                <w:szCs w:val="18"/>
              </w:rPr>
            </w:pPr>
            <w:r w:rsidRPr="00CB1125">
              <w:rPr>
                <w:rFonts w:cs="Arial"/>
                <w:sz w:val="18"/>
                <w:szCs w:val="18"/>
              </w:rPr>
              <w:t>1.5</w:t>
            </w:r>
          </w:p>
        </w:tc>
        <w:tc>
          <w:tcPr>
            <w:tcW w:w="850" w:type="dxa"/>
            <w:vAlign w:val="center"/>
          </w:tcPr>
          <w:p w14:paraId="6F41BDF1" w14:textId="77777777" w:rsidR="00A10533" w:rsidRPr="00CB1125" w:rsidRDefault="00A10533" w:rsidP="003B6D25">
            <w:pPr>
              <w:spacing w:line="276" w:lineRule="auto"/>
              <w:jc w:val="center"/>
              <w:rPr>
                <w:rFonts w:cs="Arial"/>
                <w:sz w:val="18"/>
                <w:szCs w:val="18"/>
              </w:rPr>
            </w:pPr>
            <w:r w:rsidRPr="00CB1125">
              <w:rPr>
                <w:rFonts w:cs="Arial"/>
                <w:sz w:val="18"/>
                <w:szCs w:val="18"/>
              </w:rPr>
              <w:t>1.7</w:t>
            </w:r>
          </w:p>
        </w:tc>
      </w:tr>
      <w:tr w:rsidR="00A10533" w:rsidRPr="00CB1125" w14:paraId="2465EA06" w14:textId="77777777" w:rsidTr="003B6D25">
        <w:tc>
          <w:tcPr>
            <w:tcW w:w="1572" w:type="dxa"/>
            <w:vAlign w:val="center"/>
          </w:tcPr>
          <w:p w14:paraId="2BEBB212" w14:textId="77777777" w:rsidR="00A10533" w:rsidRPr="00CB1125" w:rsidRDefault="00A10533" w:rsidP="0030335E">
            <w:pPr>
              <w:spacing w:line="276" w:lineRule="auto"/>
              <w:rPr>
                <w:rFonts w:cs="Arial"/>
                <w:sz w:val="18"/>
                <w:szCs w:val="18"/>
              </w:rPr>
            </w:pPr>
            <w:r w:rsidRPr="00CB1125">
              <w:rPr>
                <w:rFonts w:cs="Arial"/>
                <w:sz w:val="18"/>
                <w:szCs w:val="18"/>
              </w:rPr>
              <w:t>Professional, Scientific and Technical Services</w:t>
            </w:r>
          </w:p>
        </w:tc>
        <w:tc>
          <w:tcPr>
            <w:tcW w:w="850" w:type="dxa"/>
            <w:vAlign w:val="center"/>
          </w:tcPr>
          <w:p w14:paraId="0C1B1C88" w14:textId="77777777" w:rsidR="00A10533" w:rsidRPr="00CB1125" w:rsidRDefault="00A10533" w:rsidP="003B6D25">
            <w:pPr>
              <w:spacing w:line="276" w:lineRule="auto"/>
              <w:jc w:val="center"/>
              <w:rPr>
                <w:rFonts w:cs="Arial"/>
                <w:sz w:val="18"/>
                <w:szCs w:val="18"/>
              </w:rPr>
            </w:pPr>
            <w:r w:rsidRPr="00CB1125">
              <w:rPr>
                <w:rFonts w:cs="Arial"/>
                <w:sz w:val="18"/>
                <w:szCs w:val="18"/>
              </w:rPr>
              <w:t>10.1</w:t>
            </w:r>
          </w:p>
        </w:tc>
        <w:tc>
          <w:tcPr>
            <w:tcW w:w="850" w:type="dxa"/>
            <w:vAlign w:val="center"/>
          </w:tcPr>
          <w:p w14:paraId="07224588" w14:textId="77777777" w:rsidR="00A10533" w:rsidRPr="00CB1125" w:rsidRDefault="00A10533" w:rsidP="003B6D25">
            <w:pPr>
              <w:spacing w:line="276" w:lineRule="auto"/>
              <w:jc w:val="center"/>
              <w:rPr>
                <w:rFonts w:cs="Arial"/>
                <w:sz w:val="18"/>
                <w:szCs w:val="18"/>
              </w:rPr>
            </w:pPr>
            <w:r w:rsidRPr="00CB1125">
              <w:rPr>
                <w:rFonts w:cs="Arial"/>
                <w:sz w:val="18"/>
                <w:szCs w:val="18"/>
              </w:rPr>
              <w:t>9.9</w:t>
            </w:r>
          </w:p>
        </w:tc>
        <w:tc>
          <w:tcPr>
            <w:tcW w:w="850" w:type="dxa"/>
            <w:vAlign w:val="center"/>
          </w:tcPr>
          <w:p w14:paraId="48D227C1" w14:textId="77777777" w:rsidR="00A10533" w:rsidRPr="00CB1125" w:rsidRDefault="00A10533" w:rsidP="003B6D25">
            <w:pPr>
              <w:spacing w:line="276" w:lineRule="auto"/>
              <w:jc w:val="center"/>
              <w:rPr>
                <w:rFonts w:cs="Arial"/>
                <w:sz w:val="18"/>
                <w:szCs w:val="18"/>
              </w:rPr>
            </w:pPr>
            <w:r w:rsidRPr="00CB1125">
              <w:rPr>
                <w:rFonts w:cs="Arial"/>
                <w:sz w:val="18"/>
                <w:szCs w:val="18"/>
              </w:rPr>
              <w:t>7.6</w:t>
            </w:r>
          </w:p>
        </w:tc>
        <w:tc>
          <w:tcPr>
            <w:tcW w:w="850" w:type="dxa"/>
            <w:vAlign w:val="center"/>
          </w:tcPr>
          <w:p w14:paraId="414BFD8A" w14:textId="77777777" w:rsidR="00A10533" w:rsidRPr="00CB1125" w:rsidRDefault="00A10533" w:rsidP="003B6D25">
            <w:pPr>
              <w:spacing w:line="276" w:lineRule="auto"/>
              <w:jc w:val="center"/>
              <w:rPr>
                <w:rFonts w:cs="Arial"/>
                <w:sz w:val="18"/>
                <w:szCs w:val="18"/>
              </w:rPr>
            </w:pPr>
            <w:r w:rsidRPr="00CB1125">
              <w:rPr>
                <w:rFonts w:cs="Arial"/>
                <w:sz w:val="18"/>
                <w:szCs w:val="18"/>
              </w:rPr>
              <w:t>7.3</w:t>
            </w:r>
          </w:p>
        </w:tc>
        <w:tc>
          <w:tcPr>
            <w:tcW w:w="850" w:type="dxa"/>
            <w:vAlign w:val="center"/>
          </w:tcPr>
          <w:p w14:paraId="1B4A7C97" w14:textId="77777777" w:rsidR="00A10533" w:rsidRPr="00CB1125" w:rsidRDefault="00A10533" w:rsidP="003B6D25">
            <w:pPr>
              <w:spacing w:line="276" w:lineRule="auto"/>
              <w:jc w:val="center"/>
              <w:rPr>
                <w:rFonts w:cs="Arial"/>
                <w:sz w:val="18"/>
                <w:szCs w:val="18"/>
              </w:rPr>
            </w:pPr>
            <w:r w:rsidRPr="00CB1125">
              <w:rPr>
                <w:rFonts w:cs="Arial"/>
                <w:sz w:val="18"/>
                <w:szCs w:val="18"/>
              </w:rPr>
              <w:t>8.1</w:t>
            </w:r>
          </w:p>
        </w:tc>
        <w:tc>
          <w:tcPr>
            <w:tcW w:w="850" w:type="dxa"/>
            <w:vAlign w:val="center"/>
          </w:tcPr>
          <w:p w14:paraId="139A5E16" w14:textId="77777777" w:rsidR="00A10533" w:rsidRPr="00CB1125" w:rsidRDefault="00A10533" w:rsidP="003B6D25">
            <w:pPr>
              <w:spacing w:line="276" w:lineRule="auto"/>
              <w:jc w:val="center"/>
              <w:rPr>
                <w:rFonts w:cs="Arial"/>
                <w:sz w:val="18"/>
                <w:szCs w:val="18"/>
              </w:rPr>
            </w:pPr>
            <w:r w:rsidRPr="00CB1125">
              <w:rPr>
                <w:rFonts w:cs="Arial"/>
                <w:sz w:val="18"/>
                <w:szCs w:val="18"/>
              </w:rPr>
              <w:t>6.7</w:t>
            </w:r>
          </w:p>
        </w:tc>
        <w:tc>
          <w:tcPr>
            <w:tcW w:w="850" w:type="dxa"/>
            <w:vAlign w:val="center"/>
          </w:tcPr>
          <w:p w14:paraId="2418326F" w14:textId="77777777" w:rsidR="00A10533" w:rsidRPr="00CB1125" w:rsidRDefault="00A10533" w:rsidP="003B6D25">
            <w:pPr>
              <w:spacing w:line="276" w:lineRule="auto"/>
              <w:jc w:val="center"/>
              <w:rPr>
                <w:rFonts w:cs="Arial"/>
                <w:sz w:val="18"/>
                <w:szCs w:val="18"/>
              </w:rPr>
            </w:pPr>
            <w:r w:rsidRPr="00CB1125">
              <w:rPr>
                <w:rFonts w:cs="Arial"/>
                <w:sz w:val="18"/>
                <w:szCs w:val="18"/>
              </w:rPr>
              <w:t>4.7</w:t>
            </w:r>
          </w:p>
        </w:tc>
        <w:tc>
          <w:tcPr>
            <w:tcW w:w="850" w:type="dxa"/>
            <w:vAlign w:val="center"/>
          </w:tcPr>
          <w:p w14:paraId="4F5387E4" w14:textId="77777777" w:rsidR="00A10533" w:rsidRPr="00CB1125" w:rsidRDefault="00A10533" w:rsidP="003B6D25">
            <w:pPr>
              <w:spacing w:line="276" w:lineRule="auto"/>
              <w:jc w:val="center"/>
              <w:rPr>
                <w:rFonts w:cs="Arial"/>
                <w:sz w:val="18"/>
                <w:szCs w:val="18"/>
              </w:rPr>
            </w:pPr>
            <w:r w:rsidRPr="00CB1125">
              <w:rPr>
                <w:rFonts w:cs="Arial"/>
                <w:sz w:val="18"/>
                <w:szCs w:val="18"/>
              </w:rPr>
              <w:t>13.7</w:t>
            </w:r>
          </w:p>
        </w:tc>
        <w:tc>
          <w:tcPr>
            <w:tcW w:w="850" w:type="dxa"/>
            <w:vAlign w:val="center"/>
          </w:tcPr>
          <w:p w14:paraId="52911F2D" w14:textId="77777777" w:rsidR="00A10533" w:rsidRPr="00CB1125" w:rsidRDefault="00A10533" w:rsidP="003B6D25">
            <w:pPr>
              <w:spacing w:line="276" w:lineRule="auto"/>
              <w:jc w:val="center"/>
              <w:rPr>
                <w:rFonts w:cs="Arial"/>
                <w:sz w:val="18"/>
                <w:szCs w:val="18"/>
              </w:rPr>
            </w:pPr>
            <w:r w:rsidRPr="00CB1125">
              <w:rPr>
                <w:rFonts w:cs="Arial"/>
                <w:sz w:val="18"/>
                <w:szCs w:val="18"/>
              </w:rPr>
              <w:t>8.9</w:t>
            </w:r>
          </w:p>
        </w:tc>
      </w:tr>
      <w:tr w:rsidR="00A10533" w:rsidRPr="00CB1125" w14:paraId="35E7762E" w14:textId="77777777" w:rsidTr="003B6D25">
        <w:trPr>
          <w:cnfStyle w:val="000000010000" w:firstRow="0" w:lastRow="0" w:firstColumn="0" w:lastColumn="0" w:oddVBand="0" w:evenVBand="0" w:oddHBand="0" w:evenHBand="1" w:firstRowFirstColumn="0" w:firstRowLastColumn="0" w:lastRowFirstColumn="0" w:lastRowLastColumn="0"/>
        </w:trPr>
        <w:tc>
          <w:tcPr>
            <w:tcW w:w="1572" w:type="dxa"/>
            <w:vAlign w:val="center"/>
          </w:tcPr>
          <w:p w14:paraId="74CFB880" w14:textId="77777777" w:rsidR="00A10533" w:rsidRPr="00CB1125" w:rsidRDefault="00A10533" w:rsidP="0030335E">
            <w:pPr>
              <w:spacing w:line="276" w:lineRule="auto"/>
              <w:rPr>
                <w:rFonts w:cs="Arial"/>
                <w:sz w:val="18"/>
                <w:szCs w:val="18"/>
              </w:rPr>
            </w:pPr>
            <w:r w:rsidRPr="00CB1125">
              <w:rPr>
                <w:rFonts w:cs="Arial"/>
                <w:sz w:val="18"/>
                <w:szCs w:val="18"/>
              </w:rPr>
              <w:t>Administrative and Support Services</w:t>
            </w:r>
          </w:p>
        </w:tc>
        <w:tc>
          <w:tcPr>
            <w:tcW w:w="850" w:type="dxa"/>
            <w:vAlign w:val="center"/>
          </w:tcPr>
          <w:p w14:paraId="5FE5FBE9" w14:textId="77777777" w:rsidR="00A10533" w:rsidRPr="00CB1125" w:rsidRDefault="00A10533" w:rsidP="003B6D25">
            <w:pPr>
              <w:spacing w:line="276" w:lineRule="auto"/>
              <w:jc w:val="center"/>
              <w:rPr>
                <w:rFonts w:cs="Arial"/>
                <w:sz w:val="18"/>
                <w:szCs w:val="18"/>
              </w:rPr>
            </w:pPr>
            <w:r w:rsidRPr="00CB1125">
              <w:rPr>
                <w:rFonts w:cs="Arial"/>
                <w:sz w:val="18"/>
                <w:szCs w:val="18"/>
              </w:rPr>
              <w:t>2.8</w:t>
            </w:r>
          </w:p>
        </w:tc>
        <w:tc>
          <w:tcPr>
            <w:tcW w:w="850" w:type="dxa"/>
            <w:vAlign w:val="center"/>
          </w:tcPr>
          <w:p w14:paraId="14FE0BC3" w14:textId="77777777" w:rsidR="00A10533" w:rsidRPr="00CB1125" w:rsidRDefault="00A10533" w:rsidP="003B6D25">
            <w:pPr>
              <w:spacing w:line="276" w:lineRule="auto"/>
              <w:jc w:val="center"/>
              <w:rPr>
                <w:rFonts w:cs="Arial"/>
                <w:sz w:val="18"/>
                <w:szCs w:val="18"/>
              </w:rPr>
            </w:pPr>
            <w:r w:rsidRPr="00CB1125">
              <w:rPr>
                <w:rFonts w:cs="Arial"/>
                <w:sz w:val="18"/>
                <w:szCs w:val="18"/>
              </w:rPr>
              <w:t>2.9</w:t>
            </w:r>
          </w:p>
        </w:tc>
        <w:tc>
          <w:tcPr>
            <w:tcW w:w="850" w:type="dxa"/>
            <w:vAlign w:val="center"/>
          </w:tcPr>
          <w:p w14:paraId="711603D1" w14:textId="77777777" w:rsidR="00A10533" w:rsidRPr="00CB1125" w:rsidRDefault="00A10533" w:rsidP="003B6D25">
            <w:pPr>
              <w:spacing w:line="276" w:lineRule="auto"/>
              <w:jc w:val="center"/>
              <w:rPr>
                <w:rFonts w:cs="Arial"/>
                <w:sz w:val="18"/>
                <w:szCs w:val="18"/>
              </w:rPr>
            </w:pPr>
            <w:r w:rsidRPr="00CB1125">
              <w:rPr>
                <w:rFonts w:cs="Arial"/>
                <w:sz w:val="18"/>
                <w:szCs w:val="18"/>
              </w:rPr>
              <w:t>3.1</w:t>
            </w:r>
          </w:p>
        </w:tc>
        <w:tc>
          <w:tcPr>
            <w:tcW w:w="850" w:type="dxa"/>
            <w:vAlign w:val="center"/>
          </w:tcPr>
          <w:p w14:paraId="749D49CE" w14:textId="77777777" w:rsidR="00A10533" w:rsidRPr="00CB1125" w:rsidRDefault="00A10533" w:rsidP="003B6D25">
            <w:pPr>
              <w:spacing w:line="276" w:lineRule="auto"/>
              <w:jc w:val="center"/>
              <w:rPr>
                <w:rFonts w:cs="Arial"/>
                <w:sz w:val="18"/>
                <w:szCs w:val="18"/>
              </w:rPr>
            </w:pPr>
            <w:r w:rsidRPr="00CB1125">
              <w:rPr>
                <w:rFonts w:cs="Arial"/>
                <w:sz w:val="18"/>
                <w:szCs w:val="18"/>
              </w:rPr>
              <w:t>3.5</w:t>
            </w:r>
          </w:p>
        </w:tc>
        <w:tc>
          <w:tcPr>
            <w:tcW w:w="850" w:type="dxa"/>
            <w:vAlign w:val="center"/>
          </w:tcPr>
          <w:p w14:paraId="51255ECB" w14:textId="77777777" w:rsidR="00A10533" w:rsidRPr="00CB1125" w:rsidRDefault="00A10533" w:rsidP="003B6D25">
            <w:pPr>
              <w:spacing w:line="276" w:lineRule="auto"/>
              <w:jc w:val="center"/>
              <w:rPr>
                <w:rFonts w:cs="Arial"/>
                <w:sz w:val="18"/>
                <w:szCs w:val="18"/>
              </w:rPr>
            </w:pPr>
            <w:r w:rsidRPr="00CB1125">
              <w:rPr>
                <w:rFonts w:cs="Arial"/>
                <w:sz w:val="18"/>
                <w:szCs w:val="18"/>
              </w:rPr>
              <w:t>3.0</w:t>
            </w:r>
          </w:p>
        </w:tc>
        <w:tc>
          <w:tcPr>
            <w:tcW w:w="850" w:type="dxa"/>
            <w:vAlign w:val="center"/>
          </w:tcPr>
          <w:p w14:paraId="21B26E6F" w14:textId="77777777" w:rsidR="00A10533" w:rsidRPr="00CB1125" w:rsidRDefault="00A10533" w:rsidP="003B6D25">
            <w:pPr>
              <w:spacing w:line="276" w:lineRule="auto"/>
              <w:jc w:val="center"/>
              <w:rPr>
                <w:rFonts w:cs="Arial"/>
                <w:sz w:val="18"/>
                <w:szCs w:val="18"/>
              </w:rPr>
            </w:pPr>
            <w:r w:rsidRPr="00CB1125">
              <w:rPr>
                <w:rFonts w:cs="Arial"/>
                <w:sz w:val="18"/>
                <w:szCs w:val="18"/>
              </w:rPr>
              <w:t>2.9</w:t>
            </w:r>
          </w:p>
        </w:tc>
        <w:tc>
          <w:tcPr>
            <w:tcW w:w="850" w:type="dxa"/>
            <w:vAlign w:val="center"/>
          </w:tcPr>
          <w:p w14:paraId="55436640" w14:textId="77777777" w:rsidR="00A10533" w:rsidRPr="00CB1125" w:rsidRDefault="00A10533" w:rsidP="003B6D25">
            <w:pPr>
              <w:spacing w:line="276" w:lineRule="auto"/>
              <w:jc w:val="center"/>
              <w:rPr>
                <w:rFonts w:cs="Arial"/>
                <w:sz w:val="18"/>
                <w:szCs w:val="18"/>
              </w:rPr>
            </w:pPr>
            <w:r w:rsidRPr="00CB1125">
              <w:rPr>
                <w:rFonts w:cs="Arial"/>
                <w:sz w:val="18"/>
                <w:szCs w:val="18"/>
              </w:rPr>
              <w:t>3.1</w:t>
            </w:r>
          </w:p>
        </w:tc>
        <w:tc>
          <w:tcPr>
            <w:tcW w:w="850" w:type="dxa"/>
            <w:vAlign w:val="center"/>
          </w:tcPr>
          <w:p w14:paraId="15B67B7F" w14:textId="77777777" w:rsidR="00A10533" w:rsidRPr="00CB1125" w:rsidRDefault="00A10533" w:rsidP="003B6D25">
            <w:pPr>
              <w:spacing w:line="276" w:lineRule="auto"/>
              <w:jc w:val="center"/>
              <w:rPr>
                <w:rFonts w:cs="Arial"/>
                <w:sz w:val="18"/>
                <w:szCs w:val="18"/>
              </w:rPr>
            </w:pPr>
            <w:r w:rsidRPr="00CB1125">
              <w:rPr>
                <w:rFonts w:cs="Arial"/>
                <w:sz w:val="18"/>
                <w:szCs w:val="18"/>
              </w:rPr>
              <w:t>3.0</w:t>
            </w:r>
          </w:p>
        </w:tc>
        <w:tc>
          <w:tcPr>
            <w:tcW w:w="850" w:type="dxa"/>
            <w:vAlign w:val="center"/>
          </w:tcPr>
          <w:p w14:paraId="14AC6D3D" w14:textId="77777777" w:rsidR="00A10533" w:rsidRPr="00CB1125" w:rsidRDefault="00A10533" w:rsidP="003B6D25">
            <w:pPr>
              <w:spacing w:line="276" w:lineRule="auto"/>
              <w:jc w:val="center"/>
              <w:rPr>
                <w:rFonts w:cs="Arial"/>
                <w:sz w:val="18"/>
                <w:szCs w:val="18"/>
              </w:rPr>
            </w:pPr>
            <w:r w:rsidRPr="00CB1125">
              <w:rPr>
                <w:rFonts w:cs="Arial"/>
                <w:sz w:val="18"/>
                <w:szCs w:val="18"/>
              </w:rPr>
              <w:t>3.0</w:t>
            </w:r>
          </w:p>
        </w:tc>
      </w:tr>
      <w:tr w:rsidR="00A10533" w:rsidRPr="00CB1125" w14:paraId="223AA5CB" w14:textId="77777777" w:rsidTr="003B6D25">
        <w:tc>
          <w:tcPr>
            <w:tcW w:w="1572" w:type="dxa"/>
            <w:vAlign w:val="center"/>
          </w:tcPr>
          <w:p w14:paraId="0BADA552" w14:textId="77777777" w:rsidR="00A10533" w:rsidRPr="00CB1125" w:rsidRDefault="00A10533" w:rsidP="0030335E">
            <w:pPr>
              <w:spacing w:line="276" w:lineRule="auto"/>
              <w:rPr>
                <w:rFonts w:cs="Arial"/>
                <w:sz w:val="18"/>
                <w:szCs w:val="18"/>
              </w:rPr>
            </w:pPr>
            <w:r w:rsidRPr="00CB1125">
              <w:rPr>
                <w:rFonts w:cs="Arial"/>
                <w:sz w:val="18"/>
                <w:szCs w:val="18"/>
              </w:rPr>
              <w:t>Public Administration and Safety</w:t>
            </w:r>
          </w:p>
        </w:tc>
        <w:tc>
          <w:tcPr>
            <w:tcW w:w="850" w:type="dxa"/>
            <w:vAlign w:val="center"/>
          </w:tcPr>
          <w:p w14:paraId="1FABEFC4" w14:textId="77777777" w:rsidR="00A10533" w:rsidRPr="00CB1125" w:rsidRDefault="00A10533" w:rsidP="003B6D25">
            <w:pPr>
              <w:spacing w:line="276" w:lineRule="auto"/>
              <w:jc w:val="center"/>
              <w:rPr>
                <w:rFonts w:cs="Arial"/>
                <w:sz w:val="18"/>
                <w:szCs w:val="18"/>
              </w:rPr>
            </w:pPr>
            <w:r w:rsidRPr="00CB1125">
              <w:rPr>
                <w:rFonts w:cs="Arial"/>
                <w:sz w:val="18"/>
                <w:szCs w:val="18"/>
              </w:rPr>
              <w:t>6.0</w:t>
            </w:r>
          </w:p>
        </w:tc>
        <w:tc>
          <w:tcPr>
            <w:tcW w:w="850" w:type="dxa"/>
            <w:vAlign w:val="center"/>
          </w:tcPr>
          <w:p w14:paraId="2219F5CA" w14:textId="77777777" w:rsidR="00A10533" w:rsidRPr="00CB1125" w:rsidRDefault="00A10533" w:rsidP="003B6D25">
            <w:pPr>
              <w:spacing w:line="276" w:lineRule="auto"/>
              <w:jc w:val="center"/>
              <w:rPr>
                <w:rFonts w:cs="Arial"/>
                <w:sz w:val="18"/>
                <w:szCs w:val="18"/>
              </w:rPr>
            </w:pPr>
            <w:r w:rsidRPr="00CB1125">
              <w:rPr>
                <w:rFonts w:cs="Arial"/>
                <w:sz w:val="18"/>
                <w:szCs w:val="18"/>
              </w:rPr>
              <w:t>5.4</w:t>
            </w:r>
          </w:p>
        </w:tc>
        <w:tc>
          <w:tcPr>
            <w:tcW w:w="850" w:type="dxa"/>
            <w:vAlign w:val="center"/>
          </w:tcPr>
          <w:p w14:paraId="58F71A14" w14:textId="77777777" w:rsidR="00A10533" w:rsidRPr="00CB1125" w:rsidRDefault="00A10533" w:rsidP="003B6D25">
            <w:pPr>
              <w:spacing w:line="276" w:lineRule="auto"/>
              <w:jc w:val="center"/>
              <w:rPr>
                <w:rFonts w:cs="Arial"/>
                <w:sz w:val="18"/>
                <w:szCs w:val="18"/>
              </w:rPr>
            </w:pPr>
            <w:r w:rsidRPr="00CB1125">
              <w:rPr>
                <w:rFonts w:cs="Arial"/>
                <w:sz w:val="18"/>
                <w:szCs w:val="18"/>
              </w:rPr>
              <w:t>6.7</w:t>
            </w:r>
          </w:p>
        </w:tc>
        <w:tc>
          <w:tcPr>
            <w:tcW w:w="850" w:type="dxa"/>
            <w:vAlign w:val="center"/>
          </w:tcPr>
          <w:p w14:paraId="1AB046FC" w14:textId="77777777" w:rsidR="00A10533" w:rsidRPr="00CB1125" w:rsidRDefault="00A10533" w:rsidP="003B6D25">
            <w:pPr>
              <w:spacing w:line="276" w:lineRule="auto"/>
              <w:jc w:val="center"/>
              <w:rPr>
                <w:rFonts w:cs="Arial"/>
                <w:sz w:val="18"/>
                <w:szCs w:val="18"/>
              </w:rPr>
            </w:pPr>
            <w:r w:rsidRPr="00CB1125">
              <w:rPr>
                <w:rFonts w:cs="Arial"/>
                <w:sz w:val="18"/>
                <w:szCs w:val="18"/>
              </w:rPr>
              <w:t>6.9</w:t>
            </w:r>
          </w:p>
        </w:tc>
        <w:tc>
          <w:tcPr>
            <w:tcW w:w="850" w:type="dxa"/>
            <w:vAlign w:val="center"/>
          </w:tcPr>
          <w:p w14:paraId="77A00397" w14:textId="77777777" w:rsidR="00A10533" w:rsidRPr="00CB1125" w:rsidRDefault="00A10533" w:rsidP="003B6D25">
            <w:pPr>
              <w:spacing w:line="276" w:lineRule="auto"/>
              <w:jc w:val="center"/>
              <w:rPr>
                <w:rFonts w:cs="Arial"/>
                <w:sz w:val="18"/>
                <w:szCs w:val="18"/>
              </w:rPr>
            </w:pPr>
            <w:r w:rsidRPr="00CB1125">
              <w:rPr>
                <w:rFonts w:cs="Arial"/>
                <w:sz w:val="18"/>
                <w:szCs w:val="18"/>
              </w:rPr>
              <w:t>6.3</w:t>
            </w:r>
          </w:p>
        </w:tc>
        <w:tc>
          <w:tcPr>
            <w:tcW w:w="850" w:type="dxa"/>
            <w:vAlign w:val="center"/>
          </w:tcPr>
          <w:p w14:paraId="50B6B416" w14:textId="77777777" w:rsidR="00A10533" w:rsidRPr="00CB1125" w:rsidRDefault="00A10533" w:rsidP="003B6D25">
            <w:pPr>
              <w:spacing w:line="276" w:lineRule="auto"/>
              <w:jc w:val="center"/>
              <w:rPr>
                <w:rFonts w:cs="Arial"/>
                <w:sz w:val="18"/>
                <w:szCs w:val="18"/>
              </w:rPr>
            </w:pPr>
            <w:r w:rsidRPr="00CB1125">
              <w:rPr>
                <w:rFonts w:cs="Arial"/>
                <w:sz w:val="18"/>
                <w:szCs w:val="18"/>
              </w:rPr>
              <w:t>8.1</w:t>
            </w:r>
          </w:p>
        </w:tc>
        <w:tc>
          <w:tcPr>
            <w:tcW w:w="850" w:type="dxa"/>
            <w:vAlign w:val="center"/>
          </w:tcPr>
          <w:p w14:paraId="0C279021" w14:textId="77777777" w:rsidR="00A10533" w:rsidRPr="00CB1125" w:rsidRDefault="00A10533" w:rsidP="003B6D25">
            <w:pPr>
              <w:spacing w:line="276" w:lineRule="auto"/>
              <w:jc w:val="center"/>
              <w:rPr>
                <w:rFonts w:cs="Arial"/>
                <w:sz w:val="18"/>
                <w:szCs w:val="18"/>
              </w:rPr>
            </w:pPr>
            <w:r w:rsidRPr="00CB1125">
              <w:rPr>
                <w:rFonts w:cs="Arial"/>
                <w:sz w:val="18"/>
                <w:szCs w:val="18"/>
              </w:rPr>
              <w:t>15.7</w:t>
            </w:r>
          </w:p>
        </w:tc>
        <w:tc>
          <w:tcPr>
            <w:tcW w:w="850" w:type="dxa"/>
            <w:vAlign w:val="center"/>
          </w:tcPr>
          <w:p w14:paraId="64D0F72F" w14:textId="77777777" w:rsidR="00A10533" w:rsidRPr="00CB1125" w:rsidRDefault="00A10533" w:rsidP="003B6D25">
            <w:pPr>
              <w:spacing w:line="276" w:lineRule="auto"/>
              <w:jc w:val="center"/>
              <w:rPr>
                <w:rFonts w:cs="Arial"/>
                <w:sz w:val="18"/>
                <w:szCs w:val="18"/>
              </w:rPr>
            </w:pPr>
            <w:r w:rsidRPr="00CB1125">
              <w:rPr>
                <w:rFonts w:cs="Arial"/>
                <w:sz w:val="18"/>
                <w:szCs w:val="18"/>
              </w:rPr>
              <w:t>28.0</w:t>
            </w:r>
          </w:p>
        </w:tc>
        <w:tc>
          <w:tcPr>
            <w:tcW w:w="850" w:type="dxa"/>
            <w:vAlign w:val="center"/>
          </w:tcPr>
          <w:p w14:paraId="3FA7C4EE" w14:textId="77777777" w:rsidR="00A10533" w:rsidRPr="00CB1125" w:rsidRDefault="00A10533" w:rsidP="003B6D25">
            <w:pPr>
              <w:spacing w:line="276" w:lineRule="auto"/>
              <w:jc w:val="center"/>
              <w:rPr>
                <w:rFonts w:cs="Arial"/>
                <w:sz w:val="18"/>
                <w:szCs w:val="18"/>
              </w:rPr>
            </w:pPr>
            <w:r w:rsidRPr="00CB1125">
              <w:rPr>
                <w:rFonts w:cs="Arial"/>
                <w:sz w:val="18"/>
                <w:szCs w:val="18"/>
              </w:rPr>
              <w:t>6.7</w:t>
            </w:r>
          </w:p>
        </w:tc>
      </w:tr>
      <w:tr w:rsidR="00A10533" w:rsidRPr="00CB1125" w14:paraId="5BE32843" w14:textId="77777777" w:rsidTr="003B6D25">
        <w:trPr>
          <w:cnfStyle w:val="000000010000" w:firstRow="0" w:lastRow="0" w:firstColumn="0" w:lastColumn="0" w:oddVBand="0" w:evenVBand="0" w:oddHBand="0" w:evenHBand="1" w:firstRowFirstColumn="0" w:firstRowLastColumn="0" w:lastRowFirstColumn="0" w:lastRowLastColumn="0"/>
        </w:trPr>
        <w:tc>
          <w:tcPr>
            <w:tcW w:w="1572" w:type="dxa"/>
            <w:vAlign w:val="center"/>
          </w:tcPr>
          <w:p w14:paraId="3EF73397" w14:textId="77777777" w:rsidR="00A10533" w:rsidRPr="00CB1125" w:rsidRDefault="00A10533" w:rsidP="0030335E">
            <w:pPr>
              <w:spacing w:line="276" w:lineRule="auto"/>
              <w:rPr>
                <w:rFonts w:cs="Arial"/>
                <w:sz w:val="18"/>
                <w:szCs w:val="18"/>
              </w:rPr>
            </w:pPr>
            <w:r w:rsidRPr="00CB1125">
              <w:rPr>
                <w:rFonts w:cs="Arial"/>
                <w:sz w:val="18"/>
                <w:szCs w:val="18"/>
              </w:rPr>
              <w:t>Education and Training</w:t>
            </w:r>
          </w:p>
        </w:tc>
        <w:tc>
          <w:tcPr>
            <w:tcW w:w="850" w:type="dxa"/>
            <w:vAlign w:val="center"/>
          </w:tcPr>
          <w:p w14:paraId="2C82EF57" w14:textId="77777777" w:rsidR="00A10533" w:rsidRPr="00CB1125" w:rsidRDefault="00A10533" w:rsidP="003B6D25">
            <w:pPr>
              <w:spacing w:line="276" w:lineRule="auto"/>
              <w:jc w:val="center"/>
              <w:rPr>
                <w:rFonts w:cs="Arial"/>
                <w:sz w:val="18"/>
                <w:szCs w:val="18"/>
              </w:rPr>
            </w:pPr>
            <w:r w:rsidRPr="00CB1125">
              <w:rPr>
                <w:rFonts w:cs="Arial"/>
                <w:sz w:val="18"/>
                <w:szCs w:val="18"/>
              </w:rPr>
              <w:t>8.6</w:t>
            </w:r>
          </w:p>
        </w:tc>
        <w:tc>
          <w:tcPr>
            <w:tcW w:w="850" w:type="dxa"/>
            <w:vAlign w:val="center"/>
          </w:tcPr>
          <w:p w14:paraId="36249B06" w14:textId="77777777" w:rsidR="00A10533" w:rsidRPr="00CB1125" w:rsidRDefault="00A10533" w:rsidP="003B6D25">
            <w:pPr>
              <w:spacing w:line="276" w:lineRule="auto"/>
              <w:jc w:val="center"/>
              <w:rPr>
                <w:rFonts w:cs="Arial"/>
                <w:sz w:val="18"/>
                <w:szCs w:val="18"/>
              </w:rPr>
            </w:pPr>
            <w:r w:rsidRPr="00CB1125">
              <w:rPr>
                <w:rFonts w:cs="Arial"/>
                <w:sz w:val="18"/>
                <w:szCs w:val="18"/>
              </w:rPr>
              <w:t>9.0</w:t>
            </w:r>
          </w:p>
        </w:tc>
        <w:tc>
          <w:tcPr>
            <w:tcW w:w="850" w:type="dxa"/>
            <w:vAlign w:val="center"/>
          </w:tcPr>
          <w:p w14:paraId="355BF46C" w14:textId="77777777" w:rsidR="00A10533" w:rsidRPr="00CB1125" w:rsidRDefault="00A10533" w:rsidP="003B6D25">
            <w:pPr>
              <w:spacing w:line="276" w:lineRule="auto"/>
              <w:jc w:val="center"/>
              <w:rPr>
                <w:rFonts w:cs="Arial"/>
                <w:sz w:val="18"/>
                <w:szCs w:val="18"/>
              </w:rPr>
            </w:pPr>
            <w:r w:rsidRPr="00CB1125">
              <w:rPr>
                <w:rFonts w:cs="Arial"/>
                <w:sz w:val="18"/>
                <w:szCs w:val="18"/>
              </w:rPr>
              <w:t>8.4</w:t>
            </w:r>
          </w:p>
        </w:tc>
        <w:tc>
          <w:tcPr>
            <w:tcW w:w="850" w:type="dxa"/>
            <w:vAlign w:val="center"/>
          </w:tcPr>
          <w:p w14:paraId="23BC9267" w14:textId="77777777" w:rsidR="00A10533" w:rsidRPr="00CB1125" w:rsidRDefault="00A10533" w:rsidP="003B6D25">
            <w:pPr>
              <w:spacing w:line="276" w:lineRule="auto"/>
              <w:jc w:val="center"/>
              <w:rPr>
                <w:rFonts w:cs="Arial"/>
                <w:sz w:val="18"/>
                <w:szCs w:val="18"/>
              </w:rPr>
            </w:pPr>
            <w:r w:rsidRPr="00CB1125">
              <w:rPr>
                <w:rFonts w:cs="Arial"/>
                <w:sz w:val="18"/>
                <w:szCs w:val="18"/>
              </w:rPr>
              <w:t>8.3</w:t>
            </w:r>
          </w:p>
        </w:tc>
        <w:tc>
          <w:tcPr>
            <w:tcW w:w="850" w:type="dxa"/>
            <w:vAlign w:val="center"/>
          </w:tcPr>
          <w:p w14:paraId="1449319E" w14:textId="77777777" w:rsidR="00A10533" w:rsidRPr="00CB1125" w:rsidRDefault="00A10533" w:rsidP="003B6D25">
            <w:pPr>
              <w:spacing w:line="276" w:lineRule="auto"/>
              <w:jc w:val="center"/>
              <w:rPr>
                <w:rFonts w:cs="Arial"/>
                <w:sz w:val="18"/>
                <w:szCs w:val="18"/>
              </w:rPr>
            </w:pPr>
            <w:r w:rsidRPr="00CB1125">
              <w:rPr>
                <w:rFonts w:cs="Arial"/>
                <w:sz w:val="18"/>
                <w:szCs w:val="18"/>
              </w:rPr>
              <w:t>8.2</w:t>
            </w:r>
          </w:p>
        </w:tc>
        <w:tc>
          <w:tcPr>
            <w:tcW w:w="850" w:type="dxa"/>
            <w:vAlign w:val="center"/>
          </w:tcPr>
          <w:p w14:paraId="570136B7" w14:textId="77777777" w:rsidR="00A10533" w:rsidRPr="00CB1125" w:rsidRDefault="00A10533" w:rsidP="003B6D25">
            <w:pPr>
              <w:spacing w:line="276" w:lineRule="auto"/>
              <w:jc w:val="center"/>
              <w:rPr>
                <w:rFonts w:cs="Arial"/>
                <w:sz w:val="18"/>
                <w:szCs w:val="18"/>
              </w:rPr>
            </w:pPr>
            <w:r w:rsidRPr="00CB1125">
              <w:rPr>
                <w:rFonts w:cs="Arial"/>
                <w:sz w:val="18"/>
                <w:szCs w:val="18"/>
              </w:rPr>
              <w:t>8.9</w:t>
            </w:r>
          </w:p>
        </w:tc>
        <w:tc>
          <w:tcPr>
            <w:tcW w:w="850" w:type="dxa"/>
            <w:vAlign w:val="center"/>
          </w:tcPr>
          <w:p w14:paraId="649CECC9" w14:textId="77777777" w:rsidR="00A10533" w:rsidRPr="00CB1125" w:rsidRDefault="00A10533" w:rsidP="003B6D25">
            <w:pPr>
              <w:spacing w:line="276" w:lineRule="auto"/>
              <w:jc w:val="center"/>
              <w:rPr>
                <w:rFonts w:cs="Arial"/>
                <w:sz w:val="18"/>
                <w:szCs w:val="18"/>
              </w:rPr>
            </w:pPr>
            <w:r w:rsidRPr="00CB1125">
              <w:rPr>
                <w:rFonts w:cs="Arial"/>
                <w:sz w:val="18"/>
                <w:szCs w:val="18"/>
              </w:rPr>
              <w:t>9.5</w:t>
            </w:r>
          </w:p>
        </w:tc>
        <w:tc>
          <w:tcPr>
            <w:tcW w:w="850" w:type="dxa"/>
            <w:vAlign w:val="center"/>
          </w:tcPr>
          <w:p w14:paraId="7334C0D8" w14:textId="77777777" w:rsidR="00A10533" w:rsidRPr="00CB1125" w:rsidRDefault="00A10533" w:rsidP="003B6D25">
            <w:pPr>
              <w:spacing w:line="276" w:lineRule="auto"/>
              <w:jc w:val="center"/>
              <w:rPr>
                <w:rFonts w:cs="Arial"/>
                <w:sz w:val="18"/>
                <w:szCs w:val="18"/>
              </w:rPr>
            </w:pPr>
            <w:r w:rsidRPr="00CB1125">
              <w:rPr>
                <w:rFonts w:cs="Arial"/>
                <w:sz w:val="18"/>
                <w:szCs w:val="18"/>
              </w:rPr>
              <w:t>9.0</w:t>
            </w:r>
          </w:p>
        </w:tc>
        <w:tc>
          <w:tcPr>
            <w:tcW w:w="850" w:type="dxa"/>
            <w:vAlign w:val="center"/>
          </w:tcPr>
          <w:p w14:paraId="49D718E7" w14:textId="77777777" w:rsidR="00A10533" w:rsidRPr="00CB1125" w:rsidRDefault="00A10533" w:rsidP="003B6D25">
            <w:pPr>
              <w:spacing w:line="276" w:lineRule="auto"/>
              <w:jc w:val="center"/>
              <w:rPr>
                <w:rFonts w:cs="Arial"/>
                <w:sz w:val="18"/>
                <w:szCs w:val="18"/>
              </w:rPr>
            </w:pPr>
            <w:r w:rsidRPr="00CB1125">
              <w:rPr>
                <w:rFonts w:cs="Arial"/>
                <w:sz w:val="18"/>
                <w:szCs w:val="18"/>
              </w:rPr>
              <w:t>8.6</w:t>
            </w:r>
          </w:p>
        </w:tc>
      </w:tr>
      <w:tr w:rsidR="00A10533" w:rsidRPr="00CB1125" w14:paraId="3C03C27A" w14:textId="77777777" w:rsidTr="003B6D25">
        <w:tc>
          <w:tcPr>
            <w:tcW w:w="1572" w:type="dxa"/>
            <w:vAlign w:val="center"/>
          </w:tcPr>
          <w:p w14:paraId="348C8415" w14:textId="77777777" w:rsidR="00A10533" w:rsidRPr="00CB1125" w:rsidRDefault="00A10533" w:rsidP="0030335E">
            <w:pPr>
              <w:spacing w:line="276" w:lineRule="auto"/>
              <w:rPr>
                <w:rFonts w:cs="Arial"/>
                <w:sz w:val="18"/>
                <w:szCs w:val="18"/>
              </w:rPr>
            </w:pPr>
            <w:r w:rsidRPr="00CB1125">
              <w:rPr>
                <w:rFonts w:cs="Arial"/>
                <w:sz w:val="18"/>
                <w:szCs w:val="18"/>
              </w:rPr>
              <w:t>Health Care and Social Assistance</w:t>
            </w:r>
          </w:p>
        </w:tc>
        <w:tc>
          <w:tcPr>
            <w:tcW w:w="850" w:type="dxa"/>
            <w:vAlign w:val="center"/>
          </w:tcPr>
          <w:p w14:paraId="0DB3E922" w14:textId="77777777" w:rsidR="00A10533" w:rsidRPr="00CB1125" w:rsidRDefault="00A10533" w:rsidP="003B6D25">
            <w:pPr>
              <w:spacing w:line="276" w:lineRule="auto"/>
              <w:jc w:val="center"/>
              <w:rPr>
                <w:rFonts w:cs="Arial"/>
                <w:sz w:val="18"/>
                <w:szCs w:val="18"/>
              </w:rPr>
            </w:pPr>
            <w:r w:rsidRPr="00CB1125">
              <w:rPr>
                <w:rFonts w:cs="Arial"/>
                <w:sz w:val="18"/>
                <w:szCs w:val="18"/>
              </w:rPr>
              <w:t>15.4</w:t>
            </w:r>
          </w:p>
        </w:tc>
        <w:tc>
          <w:tcPr>
            <w:tcW w:w="850" w:type="dxa"/>
            <w:vAlign w:val="center"/>
          </w:tcPr>
          <w:p w14:paraId="4A03661D" w14:textId="77777777" w:rsidR="00A10533" w:rsidRPr="00CB1125" w:rsidRDefault="00A10533" w:rsidP="003B6D25">
            <w:pPr>
              <w:spacing w:line="276" w:lineRule="auto"/>
              <w:jc w:val="center"/>
              <w:rPr>
                <w:rFonts w:cs="Arial"/>
                <w:sz w:val="18"/>
                <w:szCs w:val="18"/>
              </w:rPr>
            </w:pPr>
            <w:r w:rsidRPr="00CB1125">
              <w:rPr>
                <w:rFonts w:cs="Arial"/>
                <w:sz w:val="18"/>
                <w:szCs w:val="18"/>
              </w:rPr>
              <w:t>15.9</w:t>
            </w:r>
          </w:p>
        </w:tc>
        <w:tc>
          <w:tcPr>
            <w:tcW w:w="850" w:type="dxa"/>
            <w:vAlign w:val="center"/>
          </w:tcPr>
          <w:p w14:paraId="7F71392D" w14:textId="77777777" w:rsidR="00A10533" w:rsidRPr="00CB1125" w:rsidRDefault="00A10533" w:rsidP="003B6D25">
            <w:pPr>
              <w:spacing w:line="276" w:lineRule="auto"/>
              <w:jc w:val="center"/>
              <w:rPr>
                <w:rFonts w:cs="Arial"/>
                <w:sz w:val="18"/>
                <w:szCs w:val="18"/>
              </w:rPr>
            </w:pPr>
            <w:r w:rsidRPr="00CB1125">
              <w:rPr>
                <w:rFonts w:cs="Arial"/>
                <w:sz w:val="18"/>
                <w:szCs w:val="18"/>
              </w:rPr>
              <w:t>16.2</w:t>
            </w:r>
          </w:p>
        </w:tc>
        <w:tc>
          <w:tcPr>
            <w:tcW w:w="850" w:type="dxa"/>
            <w:vAlign w:val="center"/>
          </w:tcPr>
          <w:p w14:paraId="35AB80F7" w14:textId="77777777" w:rsidR="00A10533" w:rsidRPr="00CB1125" w:rsidRDefault="00A10533" w:rsidP="003B6D25">
            <w:pPr>
              <w:spacing w:line="276" w:lineRule="auto"/>
              <w:jc w:val="center"/>
              <w:rPr>
                <w:rFonts w:cs="Arial"/>
                <w:sz w:val="18"/>
                <w:szCs w:val="18"/>
              </w:rPr>
            </w:pPr>
            <w:r w:rsidRPr="00CB1125">
              <w:rPr>
                <w:rFonts w:cs="Arial"/>
                <w:sz w:val="18"/>
                <w:szCs w:val="18"/>
              </w:rPr>
              <w:t>17.7</w:t>
            </w:r>
          </w:p>
        </w:tc>
        <w:tc>
          <w:tcPr>
            <w:tcW w:w="850" w:type="dxa"/>
            <w:vAlign w:val="center"/>
          </w:tcPr>
          <w:p w14:paraId="0F7F42E6" w14:textId="77777777" w:rsidR="00A10533" w:rsidRPr="00CB1125" w:rsidRDefault="00A10533" w:rsidP="003B6D25">
            <w:pPr>
              <w:spacing w:line="276" w:lineRule="auto"/>
              <w:jc w:val="center"/>
              <w:rPr>
                <w:rFonts w:cs="Arial"/>
                <w:sz w:val="18"/>
                <w:szCs w:val="18"/>
              </w:rPr>
            </w:pPr>
            <w:r w:rsidRPr="00CB1125">
              <w:rPr>
                <w:rFonts w:cs="Arial"/>
                <w:sz w:val="18"/>
                <w:szCs w:val="18"/>
              </w:rPr>
              <w:t>14.5</w:t>
            </w:r>
          </w:p>
        </w:tc>
        <w:tc>
          <w:tcPr>
            <w:tcW w:w="850" w:type="dxa"/>
            <w:vAlign w:val="center"/>
          </w:tcPr>
          <w:p w14:paraId="203629C1" w14:textId="77777777" w:rsidR="00A10533" w:rsidRPr="00CB1125" w:rsidRDefault="00A10533" w:rsidP="003B6D25">
            <w:pPr>
              <w:spacing w:line="276" w:lineRule="auto"/>
              <w:jc w:val="center"/>
              <w:rPr>
                <w:rFonts w:cs="Arial"/>
                <w:sz w:val="18"/>
                <w:szCs w:val="18"/>
              </w:rPr>
            </w:pPr>
            <w:r w:rsidRPr="00CB1125">
              <w:rPr>
                <w:rFonts w:cs="Arial"/>
                <w:sz w:val="18"/>
                <w:szCs w:val="18"/>
              </w:rPr>
              <w:t>16.9</w:t>
            </w:r>
          </w:p>
        </w:tc>
        <w:tc>
          <w:tcPr>
            <w:tcW w:w="850" w:type="dxa"/>
            <w:vAlign w:val="center"/>
          </w:tcPr>
          <w:p w14:paraId="58EC8D6E" w14:textId="77777777" w:rsidR="00A10533" w:rsidRPr="00CB1125" w:rsidRDefault="00A10533" w:rsidP="003B6D25">
            <w:pPr>
              <w:spacing w:line="276" w:lineRule="auto"/>
              <w:jc w:val="center"/>
              <w:rPr>
                <w:rFonts w:cs="Arial"/>
                <w:sz w:val="18"/>
                <w:szCs w:val="18"/>
              </w:rPr>
            </w:pPr>
            <w:r w:rsidRPr="00CB1125">
              <w:rPr>
                <w:rFonts w:cs="Arial"/>
                <w:sz w:val="18"/>
                <w:szCs w:val="18"/>
              </w:rPr>
              <w:t>19.1</w:t>
            </w:r>
          </w:p>
        </w:tc>
        <w:tc>
          <w:tcPr>
            <w:tcW w:w="850" w:type="dxa"/>
            <w:vAlign w:val="center"/>
          </w:tcPr>
          <w:p w14:paraId="05FA9745" w14:textId="77777777" w:rsidR="00A10533" w:rsidRPr="00CB1125" w:rsidRDefault="00A10533" w:rsidP="003B6D25">
            <w:pPr>
              <w:spacing w:line="276" w:lineRule="auto"/>
              <w:jc w:val="center"/>
              <w:rPr>
                <w:rFonts w:cs="Arial"/>
                <w:sz w:val="18"/>
                <w:szCs w:val="18"/>
              </w:rPr>
            </w:pPr>
            <w:r w:rsidRPr="00CB1125">
              <w:rPr>
                <w:rFonts w:cs="Arial"/>
                <w:sz w:val="18"/>
                <w:szCs w:val="18"/>
              </w:rPr>
              <w:t>13.0</w:t>
            </w:r>
          </w:p>
        </w:tc>
        <w:tc>
          <w:tcPr>
            <w:tcW w:w="850" w:type="dxa"/>
            <w:vAlign w:val="center"/>
          </w:tcPr>
          <w:p w14:paraId="7989F187" w14:textId="77777777" w:rsidR="00A10533" w:rsidRPr="00CB1125" w:rsidRDefault="00A10533" w:rsidP="003B6D25">
            <w:pPr>
              <w:spacing w:line="276" w:lineRule="auto"/>
              <w:jc w:val="center"/>
              <w:rPr>
                <w:rFonts w:cs="Arial"/>
                <w:sz w:val="18"/>
                <w:szCs w:val="18"/>
              </w:rPr>
            </w:pPr>
            <w:r w:rsidRPr="00CB1125">
              <w:rPr>
                <w:rFonts w:cs="Arial"/>
                <w:sz w:val="18"/>
                <w:szCs w:val="18"/>
              </w:rPr>
              <w:t>15.8</w:t>
            </w:r>
          </w:p>
        </w:tc>
      </w:tr>
      <w:tr w:rsidR="00A10533" w:rsidRPr="00CB1125" w14:paraId="1DAC2982" w14:textId="77777777" w:rsidTr="003B6D25">
        <w:trPr>
          <w:cnfStyle w:val="000000010000" w:firstRow="0" w:lastRow="0" w:firstColumn="0" w:lastColumn="0" w:oddVBand="0" w:evenVBand="0" w:oddHBand="0" w:evenHBand="1" w:firstRowFirstColumn="0" w:firstRowLastColumn="0" w:lastRowFirstColumn="0" w:lastRowLastColumn="0"/>
        </w:trPr>
        <w:tc>
          <w:tcPr>
            <w:tcW w:w="1572" w:type="dxa"/>
            <w:vAlign w:val="center"/>
          </w:tcPr>
          <w:p w14:paraId="774894AA" w14:textId="77777777" w:rsidR="00A10533" w:rsidRPr="00CB1125" w:rsidRDefault="00A10533" w:rsidP="0030335E">
            <w:pPr>
              <w:spacing w:line="276" w:lineRule="auto"/>
              <w:rPr>
                <w:rFonts w:cs="Arial"/>
                <w:sz w:val="18"/>
                <w:szCs w:val="18"/>
              </w:rPr>
            </w:pPr>
            <w:r w:rsidRPr="00CB1125">
              <w:rPr>
                <w:rFonts w:cs="Arial"/>
                <w:sz w:val="18"/>
                <w:szCs w:val="18"/>
              </w:rPr>
              <w:t>Arts and Recreation Services</w:t>
            </w:r>
          </w:p>
        </w:tc>
        <w:tc>
          <w:tcPr>
            <w:tcW w:w="850" w:type="dxa"/>
            <w:vAlign w:val="center"/>
          </w:tcPr>
          <w:p w14:paraId="367C2F80" w14:textId="77777777" w:rsidR="00A10533" w:rsidRPr="00CB1125" w:rsidRDefault="00A10533" w:rsidP="003B6D25">
            <w:pPr>
              <w:spacing w:line="276" w:lineRule="auto"/>
              <w:jc w:val="center"/>
              <w:rPr>
                <w:rFonts w:cs="Arial"/>
                <w:sz w:val="18"/>
                <w:szCs w:val="18"/>
              </w:rPr>
            </w:pPr>
            <w:r w:rsidRPr="00CB1125">
              <w:rPr>
                <w:rFonts w:cs="Arial"/>
                <w:sz w:val="18"/>
                <w:szCs w:val="18"/>
              </w:rPr>
              <w:t>1.8</w:t>
            </w:r>
          </w:p>
        </w:tc>
        <w:tc>
          <w:tcPr>
            <w:tcW w:w="850" w:type="dxa"/>
            <w:vAlign w:val="center"/>
          </w:tcPr>
          <w:p w14:paraId="55371126" w14:textId="77777777" w:rsidR="00A10533" w:rsidRPr="00CB1125" w:rsidRDefault="00A10533" w:rsidP="003B6D25">
            <w:pPr>
              <w:spacing w:line="276" w:lineRule="auto"/>
              <w:jc w:val="center"/>
              <w:rPr>
                <w:rFonts w:cs="Arial"/>
                <w:sz w:val="18"/>
                <w:szCs w:val="18"/>
              </w:rPr>
            </w:pPr>
            <w:r w:rsidRPr="00CB1125">
              <w:rPr>
                <w:rFonts w:cs="Arial"/>
                <w:sz w:val="18"/>
                <w:szCs w:val="18"/>
              </w:rPr>
              <w:t>2.1</w:t>
            </w:r>
          </w:p>
        </w:tc>
        <w:tc>
          <w:tcPr>
            <w:tcW w:w="850" w:type="dxa"/>
            <w:vAlign w:val="center"/>
          </w:tcPr>
          <w:p w14:paraId="3C99BBDE" w14:textId="77777777" w:rsidR="00A10533" w:rsidRPr="00CB1125" w:rsidRDefault="00A10533" w:rsidP="003B6D25">
            <w:pPr>
              <w:spacing w:line="276" w:lineRule="auto"/>
              <w:jc w:val="center"/>
              <w:rPr>
                <w:rFonts w:cs="Arial"/>
                <w:sz w:val="18"/>
                <w:szCs w:val="18"/>
              </w:rPr>
            </w:pPr>
            <w:r w:rsidRPr="00CB1125">
              <w:rPr>
                <w:rFonts w:cs="Arial"/>
                <w:sz w:val="18"/>
                <w:szCs w:val="18"/>
              </w:rPr>
              <w:t>1.6</w:t>
            </w:r>
          </w:p>
        </w:tc>
        <w:tc>
          <w:tcPr>
            <w:tcW w:w="850" w:type="dxa"/>
            <w:vAlign w:val="center"/>
          </w:tcPr>
          <w:p w14:paraId="70C8FE0D" w14:textId="77777777" w:rsidR="00A10533" w:rsidRPr="00CB1125" w:rsidRDefault="00A10533" w:rsidP="003B6D25">
            <w:pPr>
              <w:spacing w:line="276" w:lineRule="auto"/>
              <w:jc w:val="center"/>
              <w:rPr>
                <w:rFonts w:cs="Arial"/>
                <w:sz w:val="18"/>
                <w:szCs w:val="18"/>
              </w:rPr>
            </w:pPr>
            <w:r w:rsidRPr="00CB1125">
              <w:rPr>
                <w:rFonts w:cs="Arial"/>
                <w:sz w:val="18"/>
                <w:szCs w:val="18"/>
              </w:rPr>
              <w:t>1.5</w:t>
            </w:r>
          </w:p>
        </w:tc>
        <w:tc>
          <w:tcPr>
            <w:tcW w:w="850" w:type="dxa"/>
            <w:vAlign w:val="center"/>
          </w:tcPr>
          <w:p w14:paraId="69C720B9" w14:textId="77777777" w:rsidR="00A10533" w:rsidRPr="00CB1125" w:rsidRDefault="00A10533" w:rsidP="003B6D25">
            <w:pPr>
              <w:spacing w:line="276" w:lineRule="auto"/>
              <w:jc w:val="center"/>
              <w:rPr>
                <w:rFonts w:cs="Arial"/>
                <w:sz w:val="18"/>
                <w:szCs w:val="18"/>
              </w:rPr>
            </w:pPr>
            <w:r w:rsidRPr="00CB1125">
              <w:rPr>
                <w:rFonts w:cs="Arial"/>
                <w:sz w:val="18"/>
                <w:szCs w:val="18"/>
              </w:rPr>
              <w:t>1.9</w:t>
            </w:r>
          </w:p>
        </w:tc>
        <w:tc>
          <w:tcPr>
            <w:tcW w:w="850" w:type="dxa"/>
            <w:vAlign w:val="center"/>
          </w:tcPr>
          <w:p w14:paraId="173F378B" w14:textId="77777777" w:rsidR="00A10533" w:rsidRPr="00CB1125" w:rsidRDefault="00A10533" w:rsidP="003B6D25">
            <w:pPr>
              <w:spacing w:line="276" w:lineRule="auto"/>
              <w:jc w:val="center"/>
              <w:rPr>
                <w:rFonts w:cs="Arial"/>
                <w:sz w:val="18"/>
                <w:szCs w:val="18"/>
              </w:rPr>
            </w:pPr>
            <w:r w:rsidRPr="00CB1125">
              <w:rPr>
                <w:rFonts w:cs="Arial"/>
                <w:sz w:val="18"/>
                <w:szCs w:val="18"/>
              </w:rPr>
              <w:t>1.7</w:t>
            </w:r>
          </w:p>
        </w:tc>
        <w:tc>
          <w:tcPr>
            <w:tcW w:w="850" w:type="dxa"/>
            <w:vAlign w:val="center"/>
          </w:tcPr>
          <w:p w14:paraId="6F429D45" w14:textId="77777777" w:rsidR="00A10533" w:rsidRPr="00CB1125" w:rsidRDefault="00A10533" w:rsidP="003B6D25">
            <w:pPr>
              <w:spacing w:line="276" w:lineRule="auto"/>
              <w:jc w:val="center"/>
              <w:rPr>
                <w:rFonts w:cs="Arial"/>
                <w:sz w:val="18"/>
                <w:szCs w:val="18"/>
              </w:rPr>
            </w:pPr>
            <w:r w:rsidRPr="00CB1125">
              <w:rPr>
                <w:rFonts w:cs="Arial"/>
                <w:sz w:val="18"/>
                <w:szCs w:val="18"/>
              </w:rPr>
              <w:t>3.5</w:t>
            </w:r>
          </w:p>
        </w:tc>
        <w:tc>
          <w:tcPr>
            <w:tcW w:w="850" w:type="dxa"/>
            <w:vAlign w:val="center"/>
          </w:tcPr>
          <w:p w14:paraId="69984EBC" w14:textId="77777777" w:rsidR="00A10533" w:rsidRPr="00CB1125" w:rsidRDefault="00A10533" w:rsidP="003B6D25">
            <w:pPr>
              <w:spacing w:line="276" w:lineRule="auto"/>
              <w:jc w:val="center"/>
              <w:rPr>
                <w:rFonts w:cs="Arial"/>
                <w:sz w:val="18"/>
                <w:szCs w:val="18"/>
              </w:rPr>
            </w:pPr>
            <w:r w:rsidRPr="00CB1125">
              <w:rPr>
                <w:rFonts w:cs="Arial"/>
                <w:sz w:val="18"/>
                <w:szCs w:val="18"/>
              </w:rPr>
              <w:t>1.9</w:t>
            </w:r>
          </w:p>
        </w:tc>
        <w:tc>
          <w:tcPr>
            <w:tcW w:w="850" w:type="dxa"/>
            <w:vAlign w:val="center"/>
          </w:tcPr>
          <w:p w14:paraId="13116714" w14:textId="77777777" w:rsidR="00A10533" w:rsidRPr="00CB1125" w:rsidRDefault="00A10533" w:rsidP="003B6D25">
            <w:pPr>
              <w:spacing w:line="276" w:lineRule="auto"/>
              <w:jc w:val="center"/>
              <w:rPr>
                <w:rFonts w:cs="Arial"/>
                <w:sz w:val="18"/>
                <w:szCs w:val="18"/>
              </w:rPr>
            </w:pPr>
            <w:r w:rsidRPr="00CB1125">
              <w:rPr>
                <w:rFonts w:cs="Arial"/>
                <w:sz w:val="18"/>
                <w:szCs w:val="18"/>
              </w:rPr>
              <w:t>1.9</w:t>
            </w:r>
          </w:p>
        </w:tc>
      </w:tr>
      <w:tr w:rsidR="00A10533" w:rsidRPr="00CB1125" w14:paraId="546C4438" w14:textId="77777777" w:rsidTr="003B6D25">
        <w:trPr>
          <w:trHeight w:val="209"/>
        </w:trPr>
        <w:tc>
          <w:tcPr>
            <w:tcW w:w="1572" w:type="dxa"/>
            <w:vAlign w:val="center"/>
          </w:tcPr>
          <w:p w14:paraId="70C11F63" w14:textId="77777777" w:rsidR="00A10533" w:rsidRPr="00CB1125" w:rsidRDefault="00A10533" w:rsidP="0030335E">
            <w:pPr>
              <w:spacing w:line="276" w:lineRule="auto"/>
              <w:rPr>
                <w:rFonts w:cs="Arial"/>
                <w:sz w:val="18"/>
                <w:szCs w:val="18"/>
              </w:rPr>
            </w:pPr>
            <w:r w:rsidRPr="00CB1125">
              <w:rPr>
                <w:rFonts w:cs="Arial"/>
                <w:sz w:val="18"/>
                <w:szCs w:val="18"/>
              </w:rPr>
              <w:t>Other Services</w:t>
            </w:r>
          </w:p>
        </w:tc>
        <w:tc>
          <w:tcPr>
            <w:tcW w:w="850" w:type="dxa"/>
            <w:vAlign w:val="center"/>
          </w:tcPr>
          <w:p w14:paraId="3BDE1DE3" w14:textId="77777777" w:rsidR="00A10533" w:rsidRPr="00CB1125" w:rsidRDefault="00A10533" w:rsidP="003B6D25">
            <w:pPr>
              <w:spacing w:line="276" w:lineRule="auto"/>
              <w:jc w:val="center"/>
              <w:rPr>
                <w:rFonts w:cs="Arial"/>
                <w:sz w:val="18"/>
                <w:szCs w:val="18"/>
              </w:rPr>
            </w:pPr>
            <w:r w:rsidRPr="00CB1125">
              <w:rPr>
                <w:rFonts w:cs="Arial"/>
                <w:sz w:val="18"/>
                <w:szCs w:val="18"/>
              </w:rPr>
              <w:t>3.6</w:t>
            </w:r>
          </w:p>
        </w:tc>
        <w:tc>
          <w:tcPr>
            <w:tcW w:w="850" w:type="dxa"/>
            <w:vAlign w:val="center"/>
          </w:tcPr>
          <w:p w14:paraId="532D704B" w14:textId="77777777" w:rsidR="00A10533" w:rsidRPr="00CB1125" w:rsidRDefault="00A10533" w:rsidP="003B6D25">
            <w:pPr>
              <w:spacing w:line="276" w:lineRule="auto"/>
              <w:jc w:val="center"/>
              <w:rPr>
                <w:rFonts w:cs="Arial"/>
                <w:sz w:val="18"/>
                <w:szCs w:val="18"/>
              </w:rPr>
            </w:pPr>
            <w:r w:rsidRPr="00CB1125">
              <w:rPr>
                <w:rFonts w:cs="Arial"/>
                <w:sz w:val="18"/>
                <w:szCs w:val="18"/>
              </w:rPr>
              <w:t>3.6</w:t>
            </w:r>
          </w:p>
        </w:tc>
        <w:tc>
          <w:tcPr>
            <w:tcW w:w="850" w:type="dxa"/>
            <w:vAlign w:val="center"/>
          </w:tcPr>
          <w:p w14:paraId="1139DD7E" w14:textId="77777777" w:rsidR="00A10533" w:rsidRPr="00CB1125" w:rsidRDefault="00A10533" w:rsidP="003B6D25">
            <w:pPr>
              <w:spacing w:line="276" w:lineRule="auto"/>
              <w:jc w:val="center"/>
              <w:rPr>
                <w:rFonts w:cs="Arial"/>
                <w:sz w:val="18"/>
                <w:szCs w:val="18"/>
              </w:rPr>
            </w:pPr>
            <w:r w:rsidRPr="00CB1125">
              <w:rPr>
                <w:rFonts w:cs="Arial"/>
                <w:sz w:val="18"/>
                <w:szCs w:val="18"/>
              </w:rPr>
              <w:t>3.8</w:t>
            </w:r>
          </w:p>
        </w:tc>
        <w:tc>
          <w:tcPr>
            <w:tcW w:w="850" w:type="dxa"/>
            <w:vAlign w:val="center"/>
          </w:tcPr>
          <w:p w14:paraId="73F2E1FE" w14:textId="77777777" w:rsidR="00A10533" w:rsidRPr="00CB1125" w:rsidRDefault="00A10533" w:rsidP="003B6D25">
            <w:pPr>
              <w:spacing w:line="276" w:lineRule="auto"/>
              <w:jc w:val="center"/>
              <w:rPr>
                <w:rFonts w:cs="Arial"/>
                <w:sz w:val="18"/>
                <w:szCs w:val="18"/>
              </w:rPr>
            </w:pPr>
            <w:r w:rsidRPr="00CB1125">
              <w:rPr>
                <w:rFonts w:cs="Arial"/>
                <w:sz w:val="18"/>
                <w:szCs w:val="18"/>
              </w:rPr>
              <w:t>4.0</w:t>
            </w:r>
          </w:p>
        </w:tc>
        <w:tc>
          <w:tcPr>
            <w:tcW w:w="850" w:type="dxa"/>
            <w:vAlign w:val="center"/>
          </w:tcPr>
          <w:p w14:paraId="47D4C875" w14:textId="77777777" w:rsidR="00A10533" w:rsidRPr="00CB1125" w:rsidRDefault="00A10533" w:rsidP="003B6D25">
            <w:pPr>
              <w:spacing w:line="276" w:lineRule="auto"/>
              <w:jc w:val="center"/>
              <w:rPr>
                <w:rFonts w:cs="Arial"/>
                <w:sz w:val="18"/>
                <w:szCs w:val="18"/>
              </w:rPr>
            </w:pPr>
            <w:r w:rsidRPr="00CB1125">
              <w:rPr>
                <w:rFonts w:cs="Arial"/>
                <w:sz w:val="18"/>
                <w:szCs w:val="18"/>
              </w:rPr>
              <w:t>3.8</w:t>
            </w:r>
          </w:p>
        </w:tc>
        <w:tc>
          <w:tcPr>
            <w:tcW w:w="850" w:type="dxa"/>
            <w:vAlign w:val="center"/>
          </w:tcPr>
          <w:p w14:paraId="491AFBA8" w14:textId="77777777" w:rsidR="00A10533" w:rsidRPr="00CB1125" w:rsidRDefault="00A10533" w:rsidP="003B6D25">
            <w:pPr>
              <w:spacing w:line="276" w:lineRule="auto"/>
              <w:jc w:val="center"/>
              <w:rPr>
                <w:rFonts w:cs="Arial"/>
                <w:sz w:val="18"/>
                <w:szCs w:val="18"/>
              </w:rPr>
            </w:pPr>
            <w:r w:rsidRPr="00CB1125">
              <w:rPr>
                <w:rFonts w:cs="Arial"/>
                <w:sz w:val="18"/>
                <w:szCs w:val="18"/>
              </w:rPr>
              <w:t>3.8</w:t>
            </w:r>
          </w:p>
        </w:tc>
        <w:tc>
          <w:tcPr>
            <w:tcW w:w="850" w:type="dxa"/>
            <w:vAlign w:val="center"/>
          </w:tcPr>
          <w:p w14:paraId="2B353CFD" w14:textId="77777777" w:rsidR="00A10533" w:rsidRPr="00CB1125" w:rsidRDefault="00A10533" w:rsidP="003B6D25">
            <w:pPr>
              <w:spacing w:line="276" w:lineRule="auto"/>
              <w:jc w:val="center"/>
              <w:rPr>
                <w:rFonts w:cs="Arial"/>
                <w:sz w:val="18"/>
                <w:szCs w:val="18"/>
              </w:rPr>
            </w:pPr>
            <w:r w:rsidRPr="00CB1125">
              <w:rPr>
                <w:rFonts w:cs="Arial"/>
                <w:sz w:val="18"/>
                <w:szCs w:val="18"/>
              </w:rPr>
              <w:t>4.2</w:t>
            </w:r>
          </w:p>
        </w:tc>
        <w:tc>
          <w:tcPr>
            <w:tcW w:w="850" w:type="dxa"/>
            <w:vAlign w:val="center"/>
          </w:tcPr>
          <w:p w14:paraId="34719166" w14:textId="77777777" w:rsidR="00A10533" w:rsidRPr="00CB1125" w:rsidRDefault="00A10533" w:rsidP="003B6D25">
            <w:pPr>
              <w:spacing w:line="276" w:lineRule="auto"/>
              <w:jc w:val="center"/>
              <w:rPr>
                <w:rFonts w:cs="Arial"/>
                <w:sz w:val="18"/>
                <w:szCs w:val="18"/>
              </w:rPr>
            </w:pPr>
            <w:r w:rsidRPr="00CB1125">
              <w:rPr>
                <w:rFonts w:cs="Arial"/>
                <w:sz w:val="18"/>
                <w:szCs w:val="18"/>
              </w:rPr>
              <w:t>2.7</w:t>
            </w:r>
          </w:p>
        </w:tc>
        <w:tc>
          <w:tcPr>
            <w:tcW w:w="850" w:type="dxa"/>
            <w:vAlign w:val="center"/>
          </w:tcPr>
          <w:p w14:paraId="03E3C795" w14:textId="77777777" w:rsidR="00A10533" w:rsidRPr="00CB1125" w:rsidRDefault="00A10533" w:rsidP="003B6D25">
            <w:pPr>
              <w:spacing w:line="276" w:lineRule="auto"/>
              <w:jc w:val="center"/>
              <w:rPr>
                <w:rFonts w:cs="Arial"/>
                <w:sz w:val="18"/>
                <w:szCs w:val="18"/>
              </w:rPr>
            </w:pPr>
            <w:r w:rsidRPr="00CB1125">
              <w:rPr>
                <w:rFonts w:cs="Arial"/>
                <w:sz w:val="18"/>
                <w:szCs w:val="18"/>
              </w:rPr>
              <w:t>3.7</w:t>
            </w:r>
          </w:p>
        </w:tc>
      </w:tr>
      <w:tr w:rsidR="00A10533" w:rsidRPr="00CB1125" w14:paraId="7EC857FD" w14:textId="77777777" w:rsidTr="003B6D25">
        <w:trPr>
          <w:cnfStyle w:val="000000010000" w:firstRow="0" w:lastRow="0" w:firstColumn="0" w:lastColumn="0" w:oddVBand="0" w:evenVBand="0" w:oddHBand="0" w:evenHBand="1" w:firstRowFirstColumn="0" w:firstRowLastColumn="0" w:lastRowFirstColumn="0" w:lastRowLastColumn="0"/>
          <w:trHeight w:val="427"/>
        </w:trPr>
        <w:tc>
          <w:tcPr>
            <w:tcW w:w="1572" w:type="dxa"/>
            <w:vAlign w:val="center"/>
          </w:tcPr>
          <w:p w14:paraId="5881EECF" w14:textId="77777777" w:rsidR="00A10533" w:rsidRPr="00CB1125" w:rsidRDefault="00A10533" w:rsidP="0030335E">
            <w:pPr>
              <w:spacing w:line="276" w:lineRule="auto"/>
              <w:rPr>
                <w:rFonts w:cs="Arial"/>
                <w:sz w:val="18"/>
                <w:szCs w:val="18"/>
              </w:rPr>
            </w:pPr>
            <w:r w:rsidRPr="00CB1125">
              <w:rPr>
                <w:rFonts w:cs="Arial"/>
                <w:sz w:val="18"/>
                <w:szCs w:val="18"/>
              </w:rPr>
              <w:t>Total</w:t>
            </w:r>
          </w:p>
        </w:tc>
        <w:tc>
          <w:tcPr>
            <w:tcW w:w="850" w:type="dxa"/>
            <w:vAlign w:val="center"/>
          </w:tcPr>
          <w:p w14:paraId="0BB36C92" w14:textId="77777777" w:rsidR="00A10533" w:rsidRPr="00CB1125" w:rsidRDefault="00A10533" w:rsidP="003B6D25">
            <w:pPr>
              <w:spacing w:line="276" w:lineRule="auto"/>
              <w:jc w:val="center"/>
              <w:rPr>
                <w:rFonts w:cs="Arial"/>
                <w:sz w:val="18"/>
                <w:szCs w:val="18"/>
              </w:rPr>
            </w:pPr>
            <w:r w:rsidRPr="00CB1125">
              <w:rPr>
                <w:rFonts w:cs="Arial"/>
                <w:sz w:val="18"/>
                <w:szCs w:val="18"/>
              </w:rPr>
              <w:t>100</w:t>
            </w:r>
          </w:p>
        </w:tc>
        <w:tc>
          <w:tcPr>
            <w:tcW w:w="850" w:type="dxa"/>
            <w:vAlign w:val="center"/>
          </w:tcPr>
          <w:p w14:paraId="7D58C9B1" w14:textId="77777777" w:rsidR="00A10533" w:rsidRPr="00CB1125" w:rsidRDefault="00A10533" w:rsidP="003B6D25">
            <w:pPr>
              <w:spacing w:line="276" w:lineRule="auto"/>
              <w:jc w:val="center"/>
              <w:rPr>
                <w:rFonts w:cs="Arial"/>
                <w:sz w:val="18"/>
                <w:szCs w:val="18"/>
              </w:rPr>
            </w:pPr>
            <w:r w:rsidRPr="00CB1125">
              <w:rPr>
                <w:rFonts w:cs="Arial"/>
                <w:sz w:val="18"/>
                <w:szCs w:val="18"/>
              </w:rPr>
              <w:t>100</w:t>
            </w:r>
          </w:p>
        </w:tc>
        <w:tc>
          <w:tcPr>
            <w:tcW w:w="850" w:type="dxa"/>
            <w:vAlign w:val="center"/>
          </w:tcPr>
          <w:p w14:paraId="523E9565" w14:textId="77777777" w:rsidR="00A10533" w:rsidRPr="00CB1125" w:rsidRDefault="00A10533" w:rsidP="003B6D25">
            <w:pPr>
              <w:spacing w:line="276" w:lineRule="auto"/>
              <w:jc w:val="center"/>
              <w:rPr>
                <w:rFonts w:cs="Arial"/>
                <w:sz w:val="18"/>
                <w:szCs w:val="18"/>
              </w:rPr>
            </w:pPr>
            <w:r w:rsidRPr="00CB1125">
              <w:rPr>
                <w:rFonts w:cs="Arial"/>
                <w:sz w:val="18"/>
                <w:szCs w:val="18"/>
              </w:rPr>
              <w:t>100</w:t>
            </w:r>
          </w:p>
        </w:tc>
        <w:tc>
          <w:tcPr>
            <w:tcW w:w="850" w:type="dxa"/>
            <w:vAlign w:val="center"/>
          </w:tcPr>
          <w:p w14:paraId="45F6148A" w14:textId="77777777" w:rsidR="00A10533" w:rsidRPr="00CB1125" w:rsidRDefault="00A10533" w:rsidP="003B6D25">
            <w:pPr>
              <w:spacing w:line="276" w:lineRule="auto"/>
              <w:jc w:val="center"/>
              <w:rPr>
                <w:rFonts w:cs="Arial"/>
                <w:sz w:val="18"/>
                <w:szCs w:val="18"/>
              </w:rPr>
            </w:pPr>
            <w:r w:rsidRPr="00CB1125">
              <w:rPr>
                <w:rFonts w:cs="Arial"/>
                <w:sz w:val="18"/>
                <w:szCs w:val="18"/>
              </w:rPr>
              <w:t>100</w:t>
            </w:r>
          </w:p>
        </w:tc>
        <w:tc>
          <w:tcPr>
            <w:tcW w:w="850" w:type="dxa"/>
            <w:vAlign w:val="center"/>
          </w:tcPr>
          <w:p w14:paraId="0C7ECB9A" w14:textId="77777777" w:rsidR="00A10533" w:rsidRPr="00CB1125" w:rsidRDefault="00A10533" w:rsidP="003B6D25">
            <w:pPr>
              <w:spacing w:line="276" w:lineRule="auto"/>
              <w:jc w:val="center"/>
              <w:rPr>
                <w:rFonts w:cs="Arial"/>
                <w:sz w:val="18"/>
                <w:szCs w:val="18"/>
              </w:rPr>
            </w:pPr>
            <w:r w:rsidRPr="00CB1125">
              <w:rPr>
                <w:rFonts w:cs="Arial"/>
                <w:sz w:val="18"/>
                <w:szCs w:val="18"/>
              </w:rPr>
              <w:t>100</w:t>
            </w:r>
          </w:p>
        </w:tc>
        <w:tc>
          <w:tcPr>
            <w:tcW w:w="850" w:type="dxa"/>
            <w:vAlign w:val="center"/>
          </w:tcPr>
          <w:p w14:paraId="775581C6" w14:textId="77777777" w:rsidR="00A10533" w:rsidRPr="00CB1125" w:rsidRDefault="00A10533" w:rsidP="003B6D25">
            <w:pPr>
              <w:spacing w:line="276" w:lineRule="auto"/>
              <w:jc w:val="center"/>
              <w:rPr>
                <w:rFonts w:cs="Arial"/>
                <w:sz w:val="18"/>
                <w:szCs w:val="18"/>
              </w:rPr>
            </w:pPr>
            <w:r w:rsidRPr="00CB1125">
              <w:rPr>
                <w:rFonts w:cs="Arial"/>
                <w:sz w:val="18"/>
                <w:szCs w:val="18"/>
              </w:rPr>
              <w:t>100</w:t>
            </w:r>
          </w:p>
        </w:tc>
        <w:tc>
          <w:tcPr>
            <w:tcW w:w="850" w:type="dxa"/>
            <w:vAlign w:val="center"/>
          </w:tcPr>
          <w:p w14:paraId="266076ED" w14:textId="77777777" w:rsidR="00A10533" w:rsidRPr="00CB1125" w:rsidRDefault="00A10533" w:rsidP="003B6D25">
            <w:pPr>
              <w:spacing w:line="276" w:lineRule="auto"/>
              <w:jc w:val="center"/>
              <w:rPr>
                <w:rFonts w:cs="Arial"/>
                <w:sz w:val="18"/>
                <w:szCs w:val="18"/>
              </w:rPr>
            </w:pPr>
            <w:r w:rsidRPr="00CB1125">
              <w:rPr>
                <w:rFonts w:cs="Arial"/>
                <w:sz w:val="18"/>
                <w:szCs w:val="18"/>
              </w:rPr>
              <w:t>100</w:t>
            </w:r>
          </w:p>
        </w:tc>
        <w:tc>
          <w:tcPr>
            <w:tcW w:w="850" w:type="dxa"/>
            <w:vAlign w:val="center"/>
          </w:tcPr>
          <w:p w14:paraId="5DBF2E73" w14:textId="77777777" w:rsidR="00A10533" w:rsidRPr="00CB1125" w:rsidRDefault="00A10533" w:rsidP="003B6D25">
            <w:pPr>
              <w:spacing w:line="276" w:lineRule="auto"/>
              <w:jc w:val="center"/>
              <w:rPr>
                <w:rFonts w:cs="Arial"/>
                <w:sz w:val="18"/>
                <w:szCs w:val="18"/>
              </w:rPr>
            </w:pPr>
            <w:r w:rsidRPr="00CB1125">
              <w:rPr>
                <w:rFonts w:cs="Arial"/>
                <w:sz w:val="18"/>
                <w:szCs w:val="18"/>
              </w:rPr>
              <w:t>100.0</w:t>
            </w:r>
          </w:p>
        </w:tc>
        <w:tc>
          <w:tcPr>
            <w:tcW w:w="850" w:type="dxa"/>
            <w:vAlign w:val="center"/>
          </w:tcPr>
          <w:p w14:paraId="0A65CF24" w14:textId="77777777" w:rsidR="00A10533" w:rsidRPr="00CB1125" w:rsidRDefault="00A10533" w:rsidP="003B6D25">
            <w:pPr>
              <w:spacing w:line="276" w:lineRule="auto"/>
              <w:jc w:val="center"/>
              <w:rPr>
                <w:rFonts w:cs="Arial"/>
                <w:sz w:val="18"/>
                <w:szCs w:val="18"/>
              </w:rPr>
            </w:pPr>
            <w:r w:rsidRPr="00CB1125">
              <w:rPr>
                <w:rFonts w:cs="Arial"/>
                <w:sz w:val="18"/>
                <w:szCs w:val="18"/>
              </w:rPr>
              <w:t>100.0</w:t>
            </w:r>
          </w:p>
        </w:tc>
      </w:tr>
    </w:tbl>
    <w:p w14:paraId="66E482CA" w14:textId="77777777" w:rsidR="00A10533" w:rsidRDefault="00A10533" w:rsidP="00A10533">
      <w:pPr>
        <w:pStyle w:val="Source"/>
        <w:spacing w:before="0"/>
      </w:pPr>
    </w:p>
    <w:p w14:paraId="677A5F37" w14:textId="77777777" w:rsidR="00A10533" w:rsidRDefault="00A10533" w:rsidP="00A10533">
      <w:pPr>
        <w:pStyle w:val="Source"/>
        <w:spacing w:before="0"/>
      </w:pPr>
      <w:r w:rsidRPr="00804A37">
        <w:t xml:space="preserve">Source: ABS, </w:t>
      </w:r>
      <w:hyperlink r:id="rId34" w:history="1">
        <w:r w:rsidRPr="00804A37">
          <w:rPr>
            <w:rStyle w:val="Hyperlink"/>
            <w:i/>
            <w:iCs/>
          </w:rPr>
          <w:t>Labour Force, Australia, Detailed</w:t>
        </w:r>
      </w:hyperlink>
      <w:r>
        <w:t>,</w:t>
      </w:r>
      <w:r w:rsidRPr="001F3D89">
        <w:t xml:space="preserve"> </w:t>
      </w:r>
      <w:r>
        <w:t>February 2025</w:t>
      </w:r>
      <w:r w:rsidRPr="00804A37">
        <w:rPr>
          <w:i/>
          <w:iCs/>
        </w:rPr>
        <w:t xml:space="preserve"> </w:t>
      </w:r>
      <w:r w:rsidRPr="00804A37">
        <w:t>(Table EQ0</w:t>
      </w:r>
      <w:r>
        <w:t>6</w:t>
      </w:r>
      <w:r w:rsidRPr="00804A37">
        <w:t xml:space="preserve">: </w:t>
      </w:r>
      <w:r w:rsidRPr="001F3D89">
        <w:t>Employed persons by Industry group of main job (ANZSIC), Sex, State and Territory, November 1984 onwards</w:t>
      </w:r>
      <w:r w:rsidRPr="00816CE5">
        <w:t>)</w:t>
      </w:r>
      <w:r>
        <w:t>. R</w:t>
      </w:r>
      <w:r w:rsidRPr="00816CE5">
        <w:t xml:space="preserve">eleased </w:t>
      </w:r>
      <w:r>
        <w:t>27 March 2025</w:t>
      </w:r>
      <w:r w:rsidRPr="00816CE5">
        <w:t>. Data trended by Jobs and Skills Australia.</w:t>
      </w:r>
    </w:p>
    <w:p w14:paraId="5CA3A708" w14:textId="77777777" w:rsidR="00A10533" w:rsidRPr="0052111A" w:rsidRDefault="00A10533" w:rsidP="00CD2AD6">
      <w:pPr>
        <w:pStyle w:val="Source"/>
        <w:spacing w:after="0"/>
        <w:rPr>
          <w:rFonts w:cs="Arial"/>
        </w:rPr>
      </w:pPr>
      <w:r w:rsidRPr="0052111A">
        <w:rPr>
          <w:rFonts w:cs="Arial"/>
        </w:rPr>
        <w:t>* Note: Data for smaller industries in the ACT can be volatile and estimates should be interpreted with caution.</w:t>
      </w:r>
    </w:p>
    <w:p w14:paraId="0D4BC6E2" w14:textId="77777777" w:rsidR="00A10533" w:rsidRDefault="00A10533" w:rsidP="00A10533">
      <w:pPr>
        <w:spacing w:after="0" w:line="276" w:lineRule="auto"/>
        <w:rPr>
          <w:rFonts w:cs="Arial"/>
          <w:sz w:val="16"/>
          <w:szCs w:val="16"/>
        </w:rPr>
      </w:pPr>
    </w:p>
    <w:p w14:paraId="2F1991F0" w14:textId="77777777" w:rsidR="00A10533" w:rsidRPr="007B2D98" w:rsidRDefault="00A10533" w:rsidP="00A10533">
      <w:pPr>
        <w:keepNext/>
        <w:keepLines/>
        <w:spacing w:after="0" w:line="276" w:lineRule="auto"/>
        <w:outlineLvl w:val="0"/>
        <w:rPr>
          <w:rFonts w:eastAsiaTheme="majorEastAsia" w:cstheme="majorBidi"/>
          <w:b/>
          <w:sz w:val="32"/>
          <w:szCs w:val="32"/>
        </w:rPr>
      </w:pPr>
      <w:r w:rsidRPr="007B2D98">
        <w:rPr>
          <w:rFonts w:eastAsiaTheme="majorEastAsia" w:cstheme="majorBidi"/>
          <w:b/>
          <w:sz w:val="32"/>
          <w:szCs w:val="32"/>
        </w:rPr>
        <w:t>Further information</w:t>
      </w:r>
    </w:p>
    <w:p w14:paraId="030062C2" w14:textId="2A05EF9C" w:rsidR="00A10533" w:rsidRPr="00FC63D7" w:rsidRDefault="00A10533" w:rsidP="00A10533">
      <w:pPr>
        <w:spacing w:after="160" w:line="259" w:lineRule="auto"/>
        <w:rPr>
          <w:sz w:val="18"/>
          <w:szCs w:val="18"/>
        </w:rPr>
      </w:pPr>
      <w:r w:rsidRPr="007B2D98">
        <w:t xml:space="preserve">Queries on the Australian Labour Market for Migrants publication, including requests for </w:t>
      </w:r>
      <w:r w:rsidRPr="004E0147">
        <w:t xml:space="preserve">inclusion on the distribution list and copies of Hot Topics attached to previous editions, should be emailed to </w:t>
      </w:r>
      <w:hyperlink r:id="rId35" w:history="1">
        <w:r w:rsidRPr="004E0147">
          <w:rPr>
            <w:color w:val="013D74" w:themeColor="hyperlink"/>
            <w:u w:val="single"/>
          </w:rPr>
          <w:t>migration@jobsandskills.gov.au</w:t>
        </w:r>
      </w:hyperlink>
      <w:r w:rsidR="00BF4483">
        <w:t>.</w:t>
      </w:r>
    </w:p>
    <w:p w14:paraId="0F0A18AB" w14:textId="1BC14C8E" w:rsidR="004E0147" w:rsidRPr="00FC63D7" w:rsidRDefault="00D76DCE" w:rsidP="00CD2AD6">
      <w:pPr>
        <w:spacing w:after="160" w:line="259" w:lineRule="auto"/>
        <w:rPr>
          <w:sz w:val="18"/>
          <w:szCs w:val="18"/>
        </w:rPr>
      </w:pPr>
      <w:bookmarkStart w:id="9" w:name="_Hlk147935295"/>
      <w:bookmarkStart w:id="10" w:name="_Hlk153279123"/>
      <w:bookmarkEnd w:id="8"/>
      <w:bookmarkEnd w:id="9"/>
      <w:bookmarkEnd w:id="10"/>
      <w:r>
        <w:t>The next edition of this publication will be released on 31 July 2025.</w:t>
      </w:r>
    </w:p>
    <w:bookmarkEnd w:id="0"/>
    <w:bookmarkEnd w:id="1"/>
    <w:bookmarkEnd w:id="2"/>
    <w:sectPr w:rsidR="004E0147" w:rsidRPr="00FC63D7" w:rsidSect="00A10533">
      <w:footerReference w:type="default" r:id="rId36"/>
      <w:headerReference w:type="first" r:id="rId37"/>
      <w:footerReference w:type="first" r:id="rId38"/>
      <w:pgSz w:w="11906" w:h="16838"/>
      <w:pgMar w:top="1276" w:right="1440" w:bottom="1134" w:left="1440" w:header="0" w:footer="53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223876" w14:textId="77777777" w:rsidR="007D5E73" w:rsidRDefault="007D5E73" w:rsidP="008C0056">
      <w:r>
        <w:separator/>
      </w:r>
    </w:p>
  </w:endnote>
  <w:endnote w:type="continuationSeparator" w:id="0">
    <w:p w14:paraId="3E76D0F7" w14:textId="77777777" w:rsidR="007D5E73" w:rsidRDefault="007D5E73" w:rsidP="008C0056">
      <w:r>
        <w:continuationSeparator/>
      </w:r>
    </w:p>
  </w:endnote>
  <w:endnote w:type="continuationNotice" w:id="1">
    <w:p w14:paraId="560CAA07" w14:textId="77777777" w:rsidR="007D5E73" w:rsidRDefault="007D5E73" w:rsidP="008C005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ova">
    <w:charset w:val="00"/>
    <w:family w:val="swiss"/>
    <w:pitch w:val="variable"/>
    <w:sig w:usb0="0000028F" w:usb1="00000002"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Arial-BoldMT">
    <w:altName w:val="Arial"/>
    <w:panose1 w:val="00000000000000000000"/>
    <w:charset w:val="00"/>
    <w:family w:val="auto"/>
    <w:notTrueType/>
    <w:pitch w:val="default"/>
    <w:sig w:usb0="00000003" w:usb1="00000000" w:usb2="0000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77053515"/>
      <w:docPartObj>
        <w:docPartGallery w:val="Page Numbers (Bottom of Page)"/>
        <w:docPartUnique/>
      </w:docPartObj>
    </w:sdtPr>
    <w:sdtEndPr>
      <w:rPr>
        <w:noProof/>
      </w:rPr>
    </w:sdtEndPr>
    <w:sdtContent>
      <w:p w14:paraId="1DE9E510" w14:textId="0297DD28" w:rsidR="003708C1" w:rsidRPr="00991526" w:rsidRDefault="00051CBE" w:rsidP="00991526">
        <w:pPr>
          <w:pStyle w:val="Footer"/>
        </w:pPr>
        <w:r w:rsidRPr="00991526">
          <w:t xml:space="preserve">Jobs and Skills Australia – </w:t>
        </w:r>
        <w:sdt>
          <w:sdtPr>
            <w:alias w:val="Title"/>
            <w:tag w:val=""/>
            <w:id w:val="-1056470111"/>
            <w:placeholder>
              <w:docPart w:val="E4DB317D2DA340B1AF9BACDEE3AB05B6"/>
            </w:placeholder>
            <w:dataBinding w:prefixMappings="xmlns:ns0='http://purl.org/dc/elements/1.1/' xmlns:ns1='http://schemas.openxmlformats.org/package/2006/metadata/core-properties' " w:xpath="/ns1:coreProperties[1]/ns0:title[1]" w:storeItemID="{6C3C8BC8-F283-45AE-878A-BAB7291924A1}"/>
            <w:text/>
          </w:sdtPr>
          <w:sdtEndPr/>
          <w:sdtContent>
            <w:r w:rsidR="00FC63D7">
              <w:t>Australian Labour Market for Migrants</w:t>
            </w:r>
          </w:sdtContent>
        </w:sdt>
        <w:r w:rsidR="0085015F">
          <w:t xml:space="preserve"> </w:t>
        </w:r>
        <w:r w:rsidR="0085015F" w:rsidRPr="00816CE5">
          <w:t xml:space="preserve">– </w:t>
        </w:r>
        <w:r w:rsidR="004E0147">
          <w:t>April</w:t>
        </w:r>
        <w:r w:rsidR="001170B1" w:rsidRPr="00816CE5">
          <w:t xml:space="preserve"> 2025</w:t>
        </w:r>
        <w:r w:rsidR="00991526">
          <w:tab/>
        </w:r>
        <w:r w:rsidR="00BE2AB7" w:rsidRPr="00991526">
          <w:fldChar w:fldCharType="begin"/>
        </w:r>
        <w:r w:rsidR="00BE2AB7" w:rsidRPr="00991526">
          <w:instrText xml:space="preserve"> PAGE   \* MERGEFORMAT </w:instrText>
        </w:r>
        <w:r w:rsidR="00BE2AB7" w:rsidRPr="00991526">
          <w:fldChar w:fldCharType="separate"/>
        </w:r>
        <w:r w:rsidR="00BE2AB7" w:rsidRPr="00991526">
          <w:rPr>
            <w:noProof/>
          </w:rPr>
          <w:t>2</w:t>
        </w:r>
        <w:r w:rsidR="00BE2AB7" w:rsidRPr="00991526">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36298338"/>
      <w:docPartObj>
        <w:docPartGallery w:val="Page Numbers (Bottom of Page)"/>
        <w:docPartUnique/>
      </w:docPartObj>
    </w:sdtPr>
    <w:sdtEndPr>
      <w:rPr>
        <w:noProof/>
      </w:rPr>
    </w:sdtEndPr>
    <w:sdtContent>
      <w:p w14:paraId="1506E6C8" w14:textId="5A0DB12E" w:rsidR="00B30EAB" w:rsidRDefault="00B30EAB" w:rsidP="0085015F">
        <w:pPr>
          <w:pStyle w:val="Footer"/>
          <w:tabs>
            <w:tab w:val="left" w:pos="5097"/>
            <w:tab w:val="left" w:pos="5226"/>
            <w:tab w:val="left" w:pos="8925"/>
          </w:tabs>
        </w:pPr>
        <w:r w:rsidRPr="00991526">
          <w:t xml:space="preserve">Jobs and Skills Australia – </w:t>
        </w:r>
        <w:sdt>
          <w:sdtPr>
            <w:alias w:val="Title"/>
            <w:tag w:val=""/>
            <w:id w:val="-818111507"/>
            <w:placeholder>
              <w:docPart w:val="2D2D024BDF304EF58EB26857CD7A9952"/>
            </w:placeholder>
            <w:dataBinding w:prefixMappings="xmlns:ns0='http://purl.org/dc/elements/1.1/' xmlns:ns1='http://schemas.openxmlformats.org/package/2006/metadata/core-properties' " w:xpath="/ns1:coreProperties[1]/ns0:title[1]" w:storeItemID="{6C3C8BC8-F283-45AE-878A-BAB7291924A1}"/>
            <w:text/>
          </w:sdtPr>
          <w:sdtEndPr/>
          <w:sdtContent>
            <w:r w:rsidR="00FC63D7">
              <w:t>Australian Labour Market for Migrants</w:t>
            </w:r>
          </w:sdtContent>
        </w:sdt>
        <w:r w:rsidR="0085015F">
          <w:t xml:space="preserve"> –</w:t>
        </w:r>
        <w:r w:rsidR="00564920">
          <w:t xml:space="preserve"> April</w:t>
        </w:r>
        <w:r w:rsidR="0085015F" w:rsidRPr="00816CE5">
          <w:t xml:space="preserve"> </w:t>
        </w:r>
        <w:r w:rsidR="00A72174" w:rsidRPr="00816CE5">
          <w:t>2025</w:t>
        </w:r>
        <w:r w:rsidR="0085015F">
          <w:tab/>
        </w:r>
        <w:r>
          <w:tab/>
        </w:r>
        <w:r w:rsidRPr="00991526">
          <w:fldChar w:fldCharType="begin"/>
        </w:r>
        <w:r w:rsidRPr="00991526">
          <w:instrText xml:space="preserve"> PAGE   \* MERGEFORMAT </w:instrText>
        </w:r>
        <w:r w:rsidRPr="00991526">
          <w:fldChar w:fldCharType="separate"/>
        </w:r>
        <w:r>
          <w:t>1</w:t>
        </w:r>
        <w:r w:rsidRPr="00991526">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0708F5" w14:textId="77777777" w:rsidR="007D5E73" w:rsidRDefault="007D5E73" w:rsidP="008C0056">
      <w:r>
        <w:separator/>
      </w:r>
    </w:p>
  </w:footnote>
  <w:footnote w:type="continuationSeparator" w:id="0">
    <w:p w14:paraId="20864477" w14:textId="77777777" w:rsidR="007D5E73" w:rsidRDefault="007D5E73" w:rsidP="008C0056">
      <w:r>
        <w:continuationSeparator/>
      </w:r>
    </w:p>
  </w:footnote>
  <w:footnote w:type="continuationNotice" w:id="1">
    <w:p w14:paraId="6602BB69" w14:textId="77777777" w:rsidR="007D5E73" w:rsidRDefault="007D5E73" w:rsidP="008C0056"/>
  </w:footnote>
  <w:footnote w:id="2">
    <w:p w14:paraId="2363AB93" w14:textId="3935A855" w:rsidR="00394894" w:rsidRPr="000A0A4E" w:rsidRDefault="00394894" w:rsidP="00394894">
      <w:pPr>
        <w:pStyle w:val="FootnoteText"/>
        <w:rPr>
          <w:sz w:val="16"/>
          <w:szCs w:val="16"/>
        </w:rPr>
      </w:pPr>
      <w:r w:rsidRPr="00DB4D8F">
        <w:rPr>
          <w:rStyle w:val="FootnoteReference"/>
          <w:sz w:val="16"/>
          <w:szCs w:val="16"/>
        </w:rPr>
        <w:footnoteRef/>
      </w:r>
      <w:r w:rsidRPr="00DB4D8F">
        <w:rPr>
          <w:rStyle w:val="FootnoteReference"/>
          <w:sz w:val="16"/>
          <w:szCs w:val="16"/>
        </w:rPr>
        <w:t xml:space="preserve"> </w:t>
      </w:r>
      <w:r w:rsidRPr="000A0A4E">
        <w:rPr>
          <w:sz w:val="16"/>
          <w:szCs w:val="16"/>
        </w:rPr>
        <w:t xml:space="preserve">Statistics on employment by industry and occupation in </w:t>
      </w:r>
      <w:r w:rsidRPr="004D1E1C">
        <w:rPr>
          <w:sz w:val="16"/>
          <w:szCs w:val="16"/>
        </w:rPr>
        <w:t xml:space="preserve">this publication are based on data trended by Jobs and Skills Australia using ABS </w:t>
      </w:r>
      <w:hyperlink r:id="rId1" w:history="1">
        <w:r w:rsidRPr="004D1E1C">
          <w:rPr>
            <w:rStyle w:val="Hyperlink"/>
            <w:i/>
            <w:iCs/>
            <w:sz w:val="16"/>
            <w:szCs w:val="16"/>
          </w:rPr>
          <w:t>Labour Force, Australia, Detailed</w:t>
        </w:r>
      </w:hyperlink>
      <w:r w:rsidRPr="004D1E1C">
        <w:rPr>
          <w:sz w:val="16"/>
          <w:szCs w:val="16"/>
        </w:rPr>
        <w:t xml:space="preserve"> data </w:t>
      </w:r>
      <w:r w:rsidRPr="004D1E1C">
        <w:rPr>
          <w:color w:val="auto"/>
          <w:sz w:val="16"/>
          <w:szCs w:val="16"/>
        </w:rPr>
        <w:t xml:space="preserve">for </w:t>
      </w:r>
      <w:r w:rsidR="00091995" w:rsidRPr="004D1E1C">
        <w:rPr>
          <w:color w:val="auto"/>
          <w:sz w:val="16"/>
          <w:szCs w:val="16"/>
        </w:rPr>
        <w:t>February 2025</w:t>
      </w:r>
      <w:r w:rsidRPr="004D1E1C">
        <w:rPr>
          <w:color w:val="auto"/>
          <w:sz w:val="16"/>
          <w:szCs w:val="16"/>
        </w:rPr>
        <w:t>, released</w:t>
      </w:r>
      <w:r w:rsidRPr="00816CE5">
        <w:rPr>
          <w:color w:val="auto"/>
          <w:sz w:val="16"/>
          <w:szCs w:val="16"/>
        </w:rPr>
        <w:t xml:space="preserve"> </w:t>
      </w:r>
      <w:r w:rsidR="004D1E1C">
        <w:rPr>
          <w:color w:val="auto"/>
          <w:sz w:val="16"/>
          <w:szCs w:val="16"/>
        </w:rPr>
        <w:t>3 April 2025</w:t>
      </w:r>
      <w:r w:rsidRPr="00816CE5">
        <w:rPr>
          <w:color w:val="auto"/>
          <w:sz w:val="16"/>
          <w:szCs w:val="16"/>
        </w:rPr>
        <w:t>.</w:t>
      </w:r>
    </w:p>
  </w:footnote>
  <w:footnote w:id="3">
    <w:p w14:paraId="466F269F" w14:textId="5E40771A" w:rsidR="00621048" w:rsidRPr="00621048" w:rsidRDefault="00621048">
      <w:pPr>
        <w:pStyle w:val="FootnoteText"/>
        <w:rPr>
          <w:sz w:val="16"/>
          <w:szCs w:val="16"/>
        </w:rPr>
      </w:pPr>
      <w:r>
        <w:rPr>
          <w:rStyle w:val="FootnoteReference"/>
        </w:rPr>
        <w:footnoteRef/>
      </w:r>
      <w:r>
        <w:t xml:space="preserve"> </w:t>
      </w:r>
      <w:r w:rsidRPr="00621048">
        <w:rPr>
          <w:sz w:val="16"/>
          <w:szCs w:val="16"/>
        </w:rPr>
        <w:t xml:space="preserve">The </w:t>
      </w:r>
      <w:r>
        <w:rPr>
          <w:sz w:val="16"/>
          <w:szCs w:val="16"/>
        </w:rPr>
        <w:t xml:space="preserve">analysis in this publication uses the 2022 edition of </w:t>
      </w:r>
      <w:hyperlink r:id="rId2" w:history="1">
        <w:r>
          <w:rPr>
            <w:rStyle w:val="Hyperlink"/>
            <w:sz w:val="16"/>
            <w:szCs w:val="16"/>
          </w:rPr>
          <w:t>Australian and New Zealand Standard Classification of Occupations (ANZSCO)</w:t>
        </w:r>
      </w:hyperlink>
      <w:r>
        <w:rPr>
          <w:sz w:val="16"/>
          <w:szCs w:val="16"/>
        </w:rPr>
        <w:t xml:space="preserve">, The timeframe for use of the </w:t>
      </w:r>
      <w:hyperlink r:id="rId3" w:history="1">
        <w:r>
          <w:rPr>
            <w:rStyle w:val="Hyperlink"/>
            <w:sz w:val="16"/>
            <w:szCs w:val="16"/>
          </w:rPr>
          <w:t>Occupation Standard Classification for Australia (OSCA)</w:t>
        </w:r>
      </w:hyperlink>
      <w:r>
        <w:rPr>
          <w:sz w:val="16"/>
          <w:szCs w:val="16"/>
        </w:rPr>
        <w:t xml:space="preserve"> </w:t>
      </w:r>
      <w:r w:rsidR="00B91589">
        <w:rPr>
          <w:sz w:val="16"/>
          <w:szCs w:val="16"/>
        </w:rPr>
        <w:t xml:space="preserve">for this publication </w:t>
      </w:r>
      <w:r>
        <w:rPr>
          <w:sz w:val="16"/>
          <w:szCs w:val="16"/>
        </w:rPr>
        <w:t>will be determined by the release of official statistics using this new classification.</w:t>
      </w:r>
    </w:p>
  </w:footnote>
  <w:footnote w:id="4">
    <w:p w14:paraId="792FF454" w14:textId="77777777" w:rsidR="000D380C" w:rsidRPr="00EA447A" w:rsidRDefault="000D380C" w:rsidP="000D380C">
      <w:pPr>
        <w:pStyle w:val="FootnoteText"/>
        <w:jc w:val="both"/>
        <w:rPr>
          <w:rFonts w:cs="Arial"/>
          <w:sz w:val="16"/>
          <w:szCs w:val="16"/>
        </w:rPr>
      </w:pPr>
      <w:r w:rsidRPr="00CF173A">
        <w:rPr>
          <w:rStyle w:val="FootnoteReference"/>
          <w:sz w:val="16"/>
          <w:szCs w:val="16"/>
        </w:rPr>
        <w:footnoteRef/>
      </w:r>
      <w:r w:rsidRPr="00CF173A">
        <w:rPr>
          <w:rStyle w:val="FootnoteReference"/>
          <w:sz w:val="16"/>
          <w:szCs w:val="16"/>
        </w:rPr>
        <w:t xml:space="preserve"> </w:t>
      </w:r>
      <w:r w:rsidRPr="00EA447A">
        <w:rPr>
          <w:rFonts w:cs="Arial"/>
          <w:sz w:val="16"/>
          <w:szCs w:val="16"/>
        </w:rPr>
        <w:t>“pp” means percentage points.</w:t>
      </w:r>
    </w:p>
  </w:footnote>
  <w:footnote w:id="5">
    <w:p w14:paraId="108D7A97" w14:textId="77777777" w:rsidR="00EA516C" w:rsidRPr="00EA447A" w:rsidRDefault="00EA516C" w:rsidP="00EA516C">
      <w:pPr>
        <w:pStyle w:val="FootnoteText"/>
        <w:rPr>
          <w:rStyle w:val="FootnoteChar"/>
          <w:sz w:val="16"/>
          <w:szCs w:val="16"/>
        </w:rPr>
      </w:pPr>
      <w:r w:rsidRPr="00CF173A">
        <w:rPr>
          <w:rStyle w:val="FootnoteReference"/>
          <w:sz w:val="16"/>
          <w:szCs w:val="16"/>
        </w:rPr>
        <w:footnoteRef/>
      </w:r>
      <w:r w:rsidRPr="00EA447A">
        <w:rPr>
          <w:sz w:val="16"/>
          <w:szCs w:val="16"/>
        </w:rPr>
        <w:t xml:space="preserve"> </w:t>
      </w:r>
      <w:r w:rsidRPr="00EA447A">
        <w:rPr>
          <w:rStyle w:val="FootnoteChar"/>
          <w:sz w:val="16"/>
          <w:szCs w:val="16"/>
        </w:rPr>
        <w:t>Main English-speaking countries (MESC) are the United Kingdom, the Republic of Ireland, South Africa, Canada, the United States of America and New Zealand.</w:t>
      </w:r>
    </w:p>
  </w:footnote>
  <w:footnote w:id="6">
    <w:p w14:paraId="50472F78" w14:textId="2F3B4AD4" w:rsidR="004D2473" w:rsidRPr="00BC1B39" w:rsidRDefault="004D2473" w:rsidP="004D2473">
      <w:pPr>
        <w:pStyle w:val="FootnoteText"/>
        <w:rPr>
          <w:sz w:val="16"/>
          <w:szCs w:val="16"/>
        </w:rPr>
      </w:pPr>
      <w:r w:rsidRPr="00CF173A">
        <w:rPr>
          <w:rStyle w:val="FootnoteReference"/>
          <w:color w:val="auto"/>
          <w:sz w:val="16"/>
          <w:szCs w:val="16"/>
        </w:rPr>
        <w:footnoteRef/>
      </w:r>
      <w:r w:rsidRPr="00CF173A">
        <w:rPr>
          <w:color w:val="auto"/>
          <w:sz w:val="16"/>
          <w:szCs w:val="16"/>
          <w:vertAlign w:val="superscript"/>
        </w:rPr>
        <w:t xml:space="preserve"> </w:t>
      </w:r>
      <w:r w:rsidRPr="00AA09BB">
        <w:rPr>
          <w:rFonts w:cs="Arial"/>
          <w:color w:val="auto"/>
          <w:sz w:val="16"/>
          <w:szCs w:val="16"/>
        </w:rPr>
        <w:t xml:space="preserve">See Jobs and Skills Australia, </w:t>
      </w:r>
      <w:hyperlink r:id="rId4" w:history="1">
        <w:r w:rsidRPr="00AA09BB">
          <w:rPr>
            <w:rStyle w:val="Hyperlink"/>
            <w:rFonts w:cs="Arial"/>
            <w:i/>
            <w:iCs/>
            <w:color w:val="auto"/>
            <w:sz w:val="16"/>
            <w:szCs w:val="16"/>
          </w:rPr>
          <w:t>Internet Vacancy Index</w:t>
        </w:r>
      </w:hyperlink>
      <w:r w:rsidRPr="00AA09BB">
        <w:rPr>
          <w:rFonts w:cs="Arial"/>
          <w:i/>
          <w:iCs/>
          <w:color w:val="auto"/>
          <w:sz w:val="16"/>
          <w:szCs w:val="16"/>
        </w:rPr>
        <w:t xml:space="preserve"> </w:t>
      </w:r>
      <w:r w:rsidRPr="00AA09BB">
        <w:rPr>
          <w:rFonts w:cs="Arial"/>
          <w:color w:val="auto"/>
          <w:sz w:val="16"/>
          <w:szCs w:val="16"/>
        </w:rPr>
        <w:t>(</w:t>
      </w:r>
      <w:r w:rsidR="00AA09BB" w:rsidRPr="00AA09BB">
        <w:rPr>
          <w:rFonts w:cs="Arial"/>
          <w:color w:val="auto"/>
          <w:sz w:val="16"/>
          <w:szCs w:val="16"/>
        </w:rPr>
        <w:t>February</w:t>
      </w:r>
      <w:r w:rsidR="004E7723" w:rsidRPr="00AA09BB">
        <w:rPr>
          <w:rFonts w:cs="Arial"/>
          <w:color w:val="auto"/>
          <w:sz w:val="16"/>
          <w:szCs w:val="16"/>
        </w:rPr>
        <w:t xml:space="preserve"> </w:t>
      </w:r>
      <w:r w:rsidRPr="00AA09BB">
        <w:rPr>
          <w:rFonts w:cs="Arial"/>
          <w:color w:val="auto"/>
          <w:sz w:val="16"/>
          <w:szCs w:val="16"/>
        </w:rPr>
        <w:t>202</w:t>
      </w:r>
      <w:r w:rsidR="00AA09BB" w:rsidRPr="00AA09BB">
        <w:rPr>
          <w:rFonts w:cs="Arial"/>
          <w:color w:val="auto"/>
          <w:sz w:val="16"/>
          <w:szCs w:val="16"/>
        </w:rPr>
        <w:t>5</w:t>
      </w:r>
      <w:r w:rsidRPr="00AA09BB">
        <w:rPr>
          <w:rFonts w:cs="Arial"/>
          <w:color w:val="auto"/>
          <w:sz w:val="16"/>
          <w:szCs w:val="16"/>
        </w:rPr>
        <w:t>, released 1</w:t>
      </w:r>
      <w:r w:rsidR="00AA09BB" w:rsidRPr="00AA09BB">
        <w:rPr>
          <w:rFonts w:cs="Arial"/>
          <w:color w:val="auto"/>
          <w:sz w:val="16"/>
          <w:szCs w:val="16"/>
        </w:rPr>
        <w:t>9</w:t>
      </w:r>
      <w:r w:rsidR="004E7723" w:rsidRPr="00AA09BB">
        <w:rPr>
          <w:rFonts w:cs="Arial"/>
          <w:color w:val="auto"/>
          <w:sz w:val="16"/>
          <w:szCs w:val="16"/>
        </w:rPr>
        <w:t xml:space="preserve"> </w:t>
      </w:r>
      <w:r w:rsidR="00AA09BB" w:rsidRPr="00AA09BB">
        <w:rPr>
          <w:rFonts w:cs="Arial"/>
          <w:color w:val="auto"/>
          <w:sz w:val="16"/>
          <w:szCs w:val="16"/>
        </w:rPr>
        <w:t>March 2025</w:t>
      </w:r>
      <w:r w:rsidRPr="00AA09BB">
        <w:rPr>
          <w:rFonts w:cs="Arial"/>
          <w:color w:val="auto"/>
          <w:sz w:val="16"/>
          <w:szCs w:val="16"/>
        </w:rPr>
        <w:t>). The IVI is based on a count of online job advertisements newly lodged on SEEK, CareerOne and Workforce Australia during the month. Duplicate advertisements are removed before IVI vacancies are coded by Jobs and Skills Australia to occupations based on ANZSCO. The data are seasonally adjusted and trended, then indexed (January 2006=100).</w:t>
      </w:r>
    </w:p>
  </w:footnote>
  <w:footnote w:id="7">
    <w:p w14:paraId="3E2C7FD8" w14:textId="77777777" w:rsidR="00A10533" w:rsidRPr="00915659" w:rsidRDefault="00A10533" w:rsidP="00A10533">
      <w:pPr>
        <w:pStyle w:val="FootnoteText"/>
        <w:rPr>
          <w:sz w:val="16"/>
          <w:szCs w:val="16"/>
        </w:rPr>
      </w:pPr>
      <w:r w:rsidRPr="00915659">
        <w:rPr>
          <w:rStyle w:val="FootnoteReference"/>
          <w:sz w:val="16"/>
          <w:szCs w:val="16"/>
        </w:rPr>
        <w:footnoteRef/>
      </w:r>
      <w:r w:rsidRPr="00915659">
        <w:rPr>
          <w:sz w:val="16"/>
          <w:szCs w:val="16"/>
        </w:rPr>
        <w:t xml:space="preserve"> </w:t>
      </w:r>
      <w:hyperlink r:id="rId5" w:history="1">
        <w:r>
          <w:rPr>
            <w:rStyle w:val="Hyperlink"/>
            <w:sz w:val="16"/>
            <w:szCs w:val="16"/>
          </w:rPr>
          <w:t>2024 Population Statement - Centre for Population</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98999C" w14:textId="5F1B0228" w:rsidR="00A8077F" w:rsidRDefault="00A8077F">
    <w:pPr>
      <w:pStyle w:val="Header"/>
    </w:pPr>
    <w:r>
      <w:t>Australian Government Jobs and Skills Australia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A0ABCA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246EAD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4E4592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652D80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C2A156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8"/>
    <w:multiLevelType w:val="singleLevel"/>
    <w:tmpl w:val="3DF2DE40"/>
    <w:lvl w:ilvl="0">
      <w:start w:val="1"/>
      <w:numFmt w:val="decimal"/>
      <w:lvlText w:val="%1."/>
      <w:lvlJc w:val="left"/>
      <w:pPr>
        <w:tabs>
          <w:tab w:val="num" w:pos="360"/>
        </w:tabs>
        <w:ind w:left="360" w:hanging="360"/>
      </w:pPr>
    </w:lvl>
  </w:abstractNum>
  <w:abstractNum w:abstractNumId="6" w15:restartNumberingAfterBreak="0">
    <w:nsid w:val="097C163D"/>
    <w:multiLevelType w:val="hybridMultilevel"/>
    <w:tmpl w:val="594C2E34"/>
    <w:lvl w:ilvl="0" w:tplc="0C090001">
      <w:start w:val="1"/>
      <w:numFmt w:val="bullet"/>
      <w:lvlText w:val=""/>
      <w:lvlJc w:val="left"/>
      <w:pPr>
        <w:ind w:left="720" w:hanging="360"/>
      </w:pPr>
      <w:rPr>
        <w:rFonts w:ascii="Symbol" w:hAnsi="Symbol" w:hint="default"/>
      </w:rPr>
    </w:lvl>
    <w:lvl w:ilvl="1" w:tplc="70D2A66E">
      <w:start w:val="1"/>
      <w:numFmt w:val="bullet"/>
      <w:lvlText w:val="-"/>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BA96197"/>
    <w:multiLevelType w:val="hybridMultilevel"/>
    <w:tmpl w:val="3096726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1D585F53"/>
    <w:multiLevelType w:val="multilevel"/>
    <w:tmpl w:val="A3E88540"/>
    <w:name w:val="ListBullets"/>
    <w:lvl w:ilvl="0">
      <w:start w:val="1"/>
      <w:numFmt w:val="bullet"/>
      <w:pStyle w:val="ListBullet"/>
      <w:lvlText w:val="•"/>
      <w:lvlJc w:val="left"/>
      <w:pPr>
        <w:ind w:left="340" w:hanging="340"/>
      </w:pPr>
      <w:rPr>
        <w:rFonts w:ascii="Calibri" w:hAnsi="Calibri" w:hint="default"/>
        <w:color w:val="auto"/>
      </w:rPr>
    </w:lvl>
    <w:lvl w:ilvl="1">
      <w:start w:val="1"/>
      <w:numFmt w:val="bullet"/>
      <w:pStyle w:val="ListBullet2"/>
      <w:lvlText w:val="–"/>
      <w:lvlJc w:val="left"/>
      <w:pPr>
        <w:ind w:left="680" w:hanging="340"/>
      </w:pPr>
      <w:rPr>
        <w:rFonts w:ascii="Arial" w:hAnsi="Arial" w:hint="default"/>
        <w:color w:val="auto"/>
      </w:rPr>
    </w:lvl>
    <w:lvl w:ilvl="2">
      <w:start w:val="1"/>
      <w:numFmt w:val="bullet"/>
      <w:pStyle w:val="ListBullet3"/>
      <w:lvlText w:val="○"/>
      <w:lvlJc w:val="left"/>
      <w:pPr>
        <w:ind w:left="1020" w:hanging="340"/>
      </w:pPr>
      <w:rPr>
        <w:rFonts w:ascii="Times New Roman" w:hAnsi="Times New Roman" w:cs="Times New Roman" w:hint="default"/>
        <w:color w:val="auto"/>
      </w:rPr>
    </w:lvl>
    <w:lvl w:ilvl="3">
      <w:start w:val="1"/>
      <w:numFmt w:val="bullet"/>
      <w:pStyle w:val="ListBullet4"/>
      <w:lvlText w:val="•"/>
      <w:lvlJc w:val="left"/>
      <w:pPr>
        <w:ind w:left="1360" w:hanging="340"/>
      </w:pPr>
      <w:rPr>
        <w:rFonts w:ascii="Arial" w:hAnsi="Arial" w:hint="default"/>
        <w:color w:val="auto"/>
      </w:rPr>
    </w:lvl>
    <w:lvl w:ilvl="4">
      <w:start w:val="1"/>
      <w:numFmt w:val="none"/>
      <w:lvlText w:val=""/>
      <w:lvlJc w:val="left"/>
      <w:pPr>
        <w:tabs>
          <w:tab w:val="num" w:pos="1712"/>
        </w:tabs>
        <w:ind w:left="1700" w:hanging="340"/>
      </w:pPr>
      <w:rPr>
        <w:rFonts w:hint="default"/>
      </w:rPr>
    </w:lvl>
    <w:lvl w:ilvl="5">
      <w:start w:val="1"/>
      <w:numFmt w:val="none"/>
      <w:lvlText w:val=""/>
      <w:lvlJc w:val="left"/>
      <w:pPr>
        <w:tabs>
          <w:tab w:val="num" w:pos="2069"/>
        </w:tabs>
        <w:ind w:left="2040" w:hanging="340"/>
      </w:pPr>
      <w:rPr>
        <w:rFonts w:hint="default"/>
      </w:rPr>
    </w:lvl>
    <w:lvl w:ilvl="6">
      <w:start w:val="1"/>
      <w:numFmt w:val="none"/>
      <w:lvlText w:val=""/>
      <w:lvlJc w:val="left"/>
      <w:pPr>
        <w:tabs>
          <w:tab w:val="num" w:pos="2426"/>
        </w:tabs>
        <w:ind w:left="2380" w:hanging="340"/>
      </w:pPr>
      <w:rPr>
        <w:rFonts w:hint="default"/>
      </w:rPr>
    </w:lvl>
    <w:lvl w:ilvl="7">
      <w:start w:val="1"/>
      <w:numFmt w:val="none"/>
      <w:lvlText w:val=""/>
      <w:lvlJc w:val="left"/>
      <w:pPr>
        <w:tabs>
          <w:tab w:val="num" w:pos="2783"/>
        </w:tabs>
        <w:ind w:left="2720" w:hanging="340"/>
      </w:pPr>
      <w:rPr>
        <w:rFonts w:hint="default"/>
      </w:rPr>
    </w:lvl>
    <w:lvl w:ilvl="8">
      <w:start w:val="1"/>
      <w:numFmt w:val="none"/>
      <w:lvlText w:val=""/>
      <w:lvlJc w:val="left"/>
      <w:pPr>
        <w:tabs>
          <w:tab w:val="num" w:pos="3140"/>
        </w:tabs>
        <w:ind w:left="3060" w:hanging="340"/>
      </w:pPr>
      <w:rPr>
        <w:rFonts w:hint="default"/>
      </w:rPr>
    </w:lvl>
  </w:abstractNum>
  <w:abstractNum w:abstractNumId="9" w15:restartNumberingAfterBreak="0">
    <w:nsid w:val="27D85117"/>
    <w:multiLevelType w:val="hybridMultilevel"/>
    <w:tmpl w:val="3D4AC2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34667452"/>
    <w:multiLevelType w:val="multilevel"/>
    <w:tmpl w:val="873ED2C0"/>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1" w15:restartNumberingAfterBreak="0">
    <w:nsid w:val="376F56A1"/>
    <w:multiLevelType w:val="multilevel"/>
    <w:tmpl w:val="285CDA6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6FEB691B"/>
    <w:multiLevelType w:val="multilevel"/>
    <w:tmpl w:val="2362D83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71A80D02"/>
    <w:multiLevelType w:val="hybridMultilevel"/>
    <w:tmpl w:val="158ABB4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7B2B0659"/>
    <w:multiLevelType w:val="multilevel"/>
    <w:tmpl w:val="5CDE437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1337269666">
    <w:abstractNumId w:val="14"/>
  </w:num>
  <w:num w:numId="2" w16cid:durableId="1668050683">
    <w:abstractNumId w:val="11"/>
  </w:num>
  <w:num w:numId="3" w16cid:durableId="1683042470">
    <w:abstractNumId w:val="6"/>
  </w:num>
  <w:num w:numId="4" w16cid:durableId="133523604">
    <w:abstractNumId w:val="12"/>
  </w:num>
  <w:num w:numId="5" w16cid:durableId="1994024302">
    <w:abstractNumId w:val="13"/>
  </w:num>
  <w:num w:numId="6" w16cid:durableId="1358852113">
    <w:abstractNumId w:val="10"/>
  </w:num>
  <w:num w:numId="7" w16cid:durableId="2047246184">
    <w:abstractNumId w:val="8"/>
  </w:num>
  <w:num w:numId="8" w16cid:durableId="1985233239">
    <w:abstractNumId w:val="4"/>
  </w:num>
  <w:num w:numId="9" w16cid:durableId="2105372984">
    <w:abstractNumId w:val="5"/>
  </w:num>
  <w:num w:numId="10" w16cid:durableId="935869809">
    <w:abstractNumId w:val="3"/>
  </w:num>
  <w:num w:numId="11" w16cid:durableId="1109662273">
    <w:abstractNumId w:val="2"/>
  </w:num>
  <w:num w:numId="12" w16cid:durableId="2049716342">
    <w:abstractNumId w:val="1"/>
  </w:num>
  <w:num w:numId="13" w16cid:durableId="1578317811">
    <w:abstractNumId w:val="0"/>
  </w:num>
  <w:num w:numId="14" w16cid:durableId="1127550344">
    <w:abstractNumId w:val="9"/>
  </w:num>
  <w:num w:numId="15" w16cid:durableId="40673008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stylePaneFormatFilter w:val="1728" w:allStyles="0" w:customStyles="0" w:latentStyles="0" w:stylesInUse="1" w:headingStyles="1" w:numberingStyles="0" w:tableStyles="0" w:directFormattingOnRuns="1" w:directFormattingOnParagraphs="1" w:directFormattingOnNumbering="1"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1218"/>
    <w:rsid w:val="00003E8E"/>
    <w:rsid w:val="00007A7E"/>
    <w:rsid w:val="00010055"/>
    <w:rsid w:val="000115FE"/>
    <w:rsid w:val="00016424"/>
    <w:rsid w:val="00025BD0"/>
    <w:rsid w:val="000261A3"/>
    <w:rsid w:val="0003316F"/>
    <w:rsid w:val="00037EB9"/>
    <w:rsid w:val="000404CE"/>
    <w:rsid w:val="0004100D"/>
    <w:rsid w:val="00041073"/>
    <w:rsid w:val="00042611"/>
    <w:rsid w:val="00044AC3"/>
    <w:rsid w:val="00051CBE"/>
    <w:rsid w:val="0005518A"/>
    <w:rsid w:val="0005530D"/>
    <w:rsid w:val="000572BD"/>
    <w:rsid w:val="0008154B"/>
    <w:rsid w:val="00081C73"/>
    <w:rsid w:val="00082CD7"/>
    <w:rsid w:val="00091995"/>
    <w:rsid w:val="00093F7D"/>
    <w:rsid w:val="000954C1"/>
    <w:rsid w:val="00095E11"/>
    <w:rsid w:val="000A0A4E"/>
    <w:rsid w:val="000A145A"/>
    <w:rsid w:val="000A7F1E"/>
    <w:rsid w:val="000B4034"/>
    <w:rsid w:val="000B6324"/>
    <w:rsid w:val="000B7EC2"/>
    <w:rsid w:val="000C0BA2"/>
    <w:rsid w:val="000C26E2"/>
    <w:rsid w:val="000C5DA0"/>
    <w:rsid w:val="000D14DD"/>
    <w:rsid w:val="000D380C"/>
    <w:rsid w:val="000D47CA"/>
    <w:rsid w:val="000D5FCE"/>
    <w:rsid w:val="000D6745"/>
    <w:rsid w:val="000E38BA"/>
    <w:rsid w:val="000E7042"/>
    <w:rsid w:val="00100DFA"/>
    <w:rsid w:val="00101FBF"/>
    <w:rsid w:val="001023C9"/>
    <w:rsid w:val="00112FF5"/>
    <w:rsid w:val="001134ED"/>
    <w:rsid w:val="0011554F"/>
    <w:rsid w:val="001170B1"/>
    <w:rsid w:val="00120F91"/>
    <w:rsid w:val="00123DFA"/>
    <w:rsid w:val="00124D9E"/>
    <w:rsid w:val="00125C36"/>
    <w:rsid w:val="00126BF8"/>
    <w:rsid w:val="001306D6"/>
    <w:rsid w:val="001315F5"/>
    <w:rsid w:val="00131E99"/>
    <w:rsid w:val="00140C2A"/>
    <w:rsid w:val="00143208"/>
    <w:rsid w:val="00143976"/>
    <w:rsid w:val="00144265"/>
    <w:rsid w:val="00146E8E"/>
    <w:rsid w:val="001516BF"/>
    <w:rsid w:val="001534EA"/>
    <w:rsid w:val="001567B1"/>
    <w:rsid w:val="001609F2"/>
    <w:rsid w:val="00164614"/>
    <w:rsid w:val="001677D2"/>
    <w:rsid w:val="00171902"/>
    <w:rsid w:val="0017535B"/>
    <w:rsid w:val="0017574A"/>
    <w:rsid w:val="00186DC1"/>
    <w:rsid w:val="00192BED"/>
    <w:rsid w:val="001A22A8"/>
    <w:rsid w:val="001A22E7"/>
    <w:rsid w:val="001B319D"/>
    <w:rsid w:val="001B7035"/>
    <w:rsid w:val="001B7F1C"/>
    <w:rsid w:val="001C0CB2"/>
    <w:rsid w:val="001C0D18"/>
    <w:rsid w:val="001C2355"/>
    <w:rsid w:val="001C37DC"/>
    <w:rsid w:val="001C381D"/>
    <w:rsid w:val="001C6BA8"/>
    <w:rsid w:val="001D7315"/>
    <w:rsid w:val="001E4423"/>
    <w:rsid w:val="001E58C4"/>
    <w:rsid w:val="001F108B"/>
    <w:rsid w:val="001F36D6"/>
    <w:rsid w:val="001F3D89"/>
    <w:rsid w:val="001F59D3"/>
    <w:rsid w:val="00200A78"/>
    <w:rsid w:val="00201984"/>
    <w:rsid w:val="00204C08"/>
    <w:rsid w:val="00206249"/>
    <w:rsid w:val="00210680"/>
    <w:rsid w:val="00216CA2"/>
    <w:rsid w:val="00233A75"/>
    <w:rsid w:val="00241CDB"/>
    <w:rsid w:val="0024392D"/>
    <w:rsid w:val="00244550"/>
    <w:rsid w:val="00256FD8"/>
    <w:rsid w:val="002618DF"/>
    <w:rsid w:val="00261D00"/>
    <w:rsid w:val="002633D9"/>
    <w:rsid w:val="00280AC6"/>
    <w:rsid w:val="002822F7"/>
    <w:rsid w:val="002824C3"/>
    <w:rsid w:val="00283B03"/>
    <w:rsid w:val="00290EEA"/>
    <w:rsid w:val="002927DB"/>
    <w:rsid w:val="002950ED"/>
    <w:rsid w:val="00296166"/>
    <w:rsid w:val="002A2B19"/>
    <w:rsid w:val="002A3617"/>
    <w:rsid w:val="002A4B17"/>
    <w:rsid w:val="002B1C3D"/>
    <w:rsid w:val="002B61D7"/>
    <w:rsid w:val="002C30E8"/>
    <w:rsid w:val="002C73BE"/>
    <w:rsid w:val="002D168E"/>
    <w:rsid w:val="002D68E2"/>
    <w:rsid w:val="002E0E18"/>
    <w:rsid w:val="002E4D89"/>
    <w:rsid w:val="002E5983"/>
    <w:rsid w:val="002E5B03"/>
    <w:rsid w:val="002E6E2F"/>
    <w:rsid w:val="002F3EB5"/>
    <w:rsid w:val="002F5690"/>
    <w:rsid w:val="002F6A87"/>
    <w:rsid w:val="0030027F"/>
    <w:rsid w:val="0030335E"/>
    <w:rsid w:val="003060CC"/>
    <w:rsid w:val="00306575"/>
    <w:rsid w:val="00306C0E"/>
    <w:rsid w:val="00310CA1"/>
    <w:rsid w:val="003122CC"/>
    <w:rsid w:val="00313B29"/>
    <w:rsid w:val="00314E27"/>
    <w:rsid w:val="00315A45"/>
    <w:rsid w:val="003203A9"/>
    <w:rsid w:val="00321F43"/>
    <w:rsid w:val="00323B9A"/>
    <w:rsid w:val="00327AB4"/>
    <w:rsid w:val="003316B5"/>
    <w:rsid w:val="00334BBE"/>
    <w:rsid w:val="0033752C"/>
    <w:rsid w:val="0034241C"/>
    <w:rsid w:val="003453FE"/>
    <w:rsid w:val="0035131B"/>
    <w:rsid w:val="00363739"/>
    <w:rsid w:val="00366923"/>
    <w:rsid w:val="00367AFE"/>
    <w:rsid w:val="00367F62"/>
    <w:rsid w:val="003706B1"/>
    <w:rsid w:val="003708C1"/>
    <w:rsid w:val="00374E1D"/>
    <w:rsid w:val="00384DFA"/>
    <w:rsid w:val="00385788"/>
    <w:rsid w:val="00385ABF"/>
    <w:rsid w:val="0039115D"/>
    <w:rsid w:val="003926FD"/>
    <w:rsid w:val="00394894"/>
    <w:rsid w:val="003A2337"/>
    <w:rsid w:val="003B10FD"/>
    <w:rsid w:val="003B2237"/>
    <w:rsid w:val="003B474F"/>
    <w:rsid w:val="003C544B"/>
    <w:rsid w:val="003D2B9C"/>
    <w:rsid w:val="003D342A"/>
    <w:rsid w:val="003D48E5"/>
    <w:rsid w:val="003E0796"/>
    <w:rsid w:val="003E0B70"/>
    <w:rsid w:val="003E3395"/>
    <w:rsid w:val="003F1578"/>
    <w:rsid w:val="00403976"/>
    <w:rsid w:val="00406B2E"/>
    <w:rsid w:val="00410911"/>
    <w:rsid w:val="0041316B"/>
    <w:rsid w:val="00414490"/>
    <w:rsid w:val="00414A4A"/>
    <w:rsid w:val="00422AD4"/>
    <w:rsid w:val="0043071F"/>
    <w:rsid w:val="00430B2D"/>
    <w:rsid w:val="00431BE4"/>
    <w:rsid w:val="00431BFC"/>
    <w:rsid w:val="0043502E"/>
    <w:rsid w:val="00440C82"/>
    <w:rsid w:val="004423E3"/>
    <w:rsid w:val="004440ED"/>
    <w:rsid w:val="00445906"/>
    <w:rsid w:val="00456AEB"/>
    <w:rsid w:val="00463955"/>
    <w:rsid w:val="00465736"/>
    <w:rsid w:val="004773D3"/>
    <w:rsid w:val="00482ED3"/>
    <w:rsid w:val="00493287"/>
    <w:rsid w:val="0049368D"/>
    <w:rsid w:val="00493C06"/>
    <w:rsid w:val="004959E6"/>
    <w:rsid w:val="004A2F37"/>
    <w:rsid w:val="004B1A53"/>
    <w:rsid w:val="004B49DF"/>
    <w:rsid w:val="004C542A"/>
    <w:rsid w:val="004C705B"/>
    <w:rsid w:val="004D0F14"/>
    <w:rsid w:val="004D1E1C"/>
    <w:rsid w:val="004D22A5"/>
    <w:rsid w:val="004D2473"/>
    <w:rsid w:val="004D3224"/>
    <w:rsid w:val="004D3A08"/>
    <w:rsid w:val="004D66A8"/>
    <w:rsid w:val="004D6C43"/>
    <w:rsid w:val="004E0147"/>
    <w:rsid w:val="004E0B8B"/>
    <w:rsid w:val="004E295D"/>
    <w:rsid w:val="004E7723"/>
    <w:rsid w:val="004F2369"/>
    <w:rsid w:val="004F5082"/>
    <w:rsid w:val="004F69FA"/>
    <w:rsid w:val="004F6A69"/>
    <w:rsid w:val="00503D38"/>
    <w:rsid w:val="00506CD7"/>
    <w:rsid w:val="005109B7"/>
    <w:rsid w:val="00512E0D"/>
    <w:rsid w:val="00513C4C"/>
    <w:rsid w:val="00513C8F"/>
    <w:rsid w:val="0051507F"/>
    <w:rsid w:val="005174E3"/>
    <w:rsid w:val="0052111A"/>
    <w:rsid w:val="00525D78"/>
    <w:rsid w:val="00530574"/>
    <w:rsid w:val="00532929"/>
    <w:rsid w:val="00537C0A"/>
    <w:rsid w:val="005411A8"/>
    <w:rsid w:val="0054373F"/>
    <w:rsid w:val="00543D06"/>
    <w:rsid w:val="005446B5"/>
    <w:rsid w:val="00546CB3"/>
    <w:rsid w:val="00551F14"/>
    <w:rsid w:val="005533B5"/>
    <w:rsid w:val="00555103"/>
    <w:rsid w:val="00556DBE"/>
    <w:rsid w:val="00557186"/>
    <w:rsid w:val="005600C2"/>
    <w:rsid w:val="00564920"/>
    <w:rsid w:val="00567E50"/>
    <w:rsid w:val="00570444"/>
    <w:rsid w:val="0057143D"/>
    <w:rsid w:val="00572133"/>
    <w:rsid w:val="00572A79"/>
    <w:rsid w:val="005735AC"/>
    <w:rsid w:val="005812C4"/>
    <w:rsid w:val="00584E9E"/>
    <w:rsid w:val="00585B8B"/>
    <w:rsid w:val="00587E72"/>
    <w:rsid w:val="005907EF"/>
    <w:rsid w:val="00592584"/>
    <w:rsid w:val="005964AC"/>
    <w:rsid w:val="00597EF7"/>
    <w:rsid w:val="005A0B81"/>
    <w:rsid w:val="005A2035"/>
    <w:rsid w:val="005A2862"/>
    <w:rsid w:val="005B12DB"/>
    <w:rsid w:val="005B2318"/>
    <w:rsid w:val="005B59ED"/>
    <w:rsid w:val="005B5A7A"/>
    <w:rsid w:val="005B60AC"/>
    <w:rsid w:val="005C1000"/>
    <w:rsid w:val="005C395D"/>
    <w:rsid w:val="005C5BF0"/>
    <w:rsid w:val="005C6471"/>
    <w:rsid w:val="005D467D"/>
    <w:rsid w:val="005D4AEC"/>
    <w:rsid w:val="005D5321"/>
    <w:rsid w:val="005D6DFD"/>
    <w:rsid w:val="005E0DC1"/>
    <w:rsid w:val="005E140A"/>
    <w:rsid w:val="005E18D8"/>
    <w:rsid w:val="005E6E30"/>
    <w:rsid w:val="005F15FE"/>
    <w:rsid w:val="005F1E8D"/>
    <w:rsid w:val="005F303D"/>
    <w:rsid w:val="005F6141"/>
    <w:rsid w:val="006029D6"/>
    <w:rsid w:val="006066C4"/>
    <w:rsid w:val="0060772E"/>
    <w:rsid w:val="0062001E"/>
    <w:rsid w:val="006208A7"/>
    <w:rsid w:val="00621048"/>
    <w:rsid w:val="00625C03"/>
    <w:rsid w:val="0062632C"/>
    <w:rsid w:val="00631484"/>
    <w:rsid w:val="00631632"/>
    <w:rsid w:val="00635255"/>
    <w:rsid w:val="0064002D"/>
    <w:rsid w:val="00642A9A"/>
    <w:rsid w:val="006514E4"/>
    <w:rsid w:val="00655BCA"/>
    <w:rsid w:val="006606E0"/>
    <w:rsid w:val="006628DD"/>
    <w:rsid w:val="00665061"/>
    <w:rsid w:val="00665294"/>
    <w:rsid w:val="006670A4"/>
    <w:rsid w:val="00677034"/>
    <w:rsid w:val="00681562"/>
    <w:rsid w:val="0068565D"/>
    <w:rsid w:val="00686545"/>
    <w:rsid w:val="00687B5D"/>
    <w:rsid w:val="006911D5"/>
    <w:rsid w:val="00693BA4"/>
    <w:rsid w:val="00693E00"/>
    <w:rsid w:val="006B6C94"/>
    <w:rsid w:val="006B6F1F"/>
    <w:rsid w:val="006C06BF"/>
    <w:rsid w:val="006C282B"/>
    <w:rsid w:val="006C6D48"/>
    <w:rsid w:val="006D116C"/>
    <w:rsid w:val="006D2345"/>
    <w:rsid w:val="006D2A02"/>
    <w:rsid w:val="006D3281"/>
    <w:rsid w:val="006D4293"/>
    <w:rsid w:val="006D7DC9"/>
    <w:rsid w:val="006E1136"/>
    <w:rsid w:val="006F7520"/>
    <w:rsid w:val="00701CF0"/>
    <w:rsid w:val="00702CB5"/>
    <w:rsid w:val="00703260"/>
    <w:rsid w:val="00706431"/>
    <w:rsid w:val="00710DAA"/>
    <w:rsid w:val="007117F1"/>
    <w:rsid w:val="007119BB"/>
    <w:rsid w:val="007147FC"/>
    <w:rsid w:val="00717636"/>
    <w:rsid w:val="007177A7"/>
    <w:rsid w:val="00721FF9"/>
    <w:rsid w:val="00725907"/>
    <w:rsid w:val="0072616C"/>
    <w:rsid w:val="0073513A"/>
    <w:rsid w:val="007368B6"/>
    <w:rsid w:val="007371B3"/>
    <w:rsid w:val="007374F9"/>
    <w:rsid w:val="007421A1"/>
    <w:rsid w:val="00746A43"/>
    <w:rsid w:val="0075144F"/>
    <w:rsid w:val="00754AB9"/>
    <w:rsid w:val="00756629"/>
    <w:rsid w:val="00756E24"/>
    <w:rsid w:val="007576ED"/>
    <w:rsid w:val="00767C3A"/>
    <w:rsid w:val="0077093E"/>
    <w:rsid w:val="00770EFF"/>
    <w:rsid w:val="007745A0"/>
    <w:rsid w:val="00780C6B"/>
    <w:rsid w:val="00782490"/>
    <w:rsid w:val="00785FB9"/>
    <w:rsid w:val="007866FA"/>
    <w:rsid w:val="00790F61"/>
    <w:rsid w:val="007952F3"/>
    <w:rsid w:val="007A3F61"/>
    <w:rsid w:val="007A5668"/>
    <w:rsid w:val="007A7572"/>
    <w:rsid w:val="007B0EC1"/>
    <w:rsid w:val="007B100A"/>
    <w:rsid w:val="007B21A5"/>
    <w:rsid w:val="007B2AD6"/>
    <w:rsid w:val="007B3938"/>
    <w:rsid w:val="007C3F69"/>
    <w:rsid w:val="007C6218"/>
    <w:rsid w:val="007C6AEC"/>
    <w:rsid w:val="007D4ED8"/>
    <w:rsid w:val="007D5E73"/>
    <w:rsid w:val="007D6FA5"/>
    <w:rsid w:val="007D799D"/>
    <w:rsid w:val="007E2786"/>
    <w:rsid w:val="007E4CAF"/>
    <w:rsid w:val="007F5487"/>
    <w:rsid w:val="007F7DBD"/>
    <w:rsid w:val="00800901"/>
    <w:rsid w:val="008029EE"/>
    <w:rsid w:val="00802F0D"/>
    <w:rsid w:val="0080374F"/>
    <w:rsid w:val="00805A18"/>
    <w:rsid w:val="0081027D"/>
    <w:rsid w:val="0081136A"/>
    <w:rsid w:val="00811B37"/>
    <w:rsid w:val="008139CC"/>
    <w:rsid w:val="00814D30"/>
    <w:rsid w:val="00816CE5"/>
    <w:rsid w:val="008227FA"/>
    <w:rsid w:val="00825CBE"/>
    <w:rsid w:val="00832746"/>
    <w:rsid w:val="0083308D"/>
    <w:rsid w:val="00837EDC"/>
    <w:rsid w:val="00840DAA"/>
    <w:rsid w:val="0084197B"/>
    <w:rsid w:val="00846518"/>
    <w:rsid w:val="0084740A"/>
    <w:rsid w:val="0085015F"/>
    <w:rsid w:val="00851B5C"/>
    <w:rsid w:val="00857878"/>
    <w:rsid w:val="00857E1B"/>
    <w:rsid w:val="00861259"/>
    <w:rsid w:val="008634C2"/>
    <w:rsid w:val="00864EEA"/>
    <w:rsid w:val="00865E4F"/>
    <w:rsid w:val="00866663"/>
    <w:rsid w:val="00867021"/>
    <w:rsid w:val="008709F3"/>
    <w:rsid w:val="00873BE7"/>
    <w:rsid w:val="0087706C"/>
    <w:rsid w:val="00880B75"/>
    <w:rsid w:val="00882A36"/>
    <w:rsid w:val="00885F01"/>
    <w:rsid w:val="00886A15"/>
    <w:rsid w:val="00893798"/>
    <w:rsid w:val="008A329D"/>
    <w:rsid w:val="008A5586"/>
    <w:rsid w:val="008A6964"/>
    <w:rsid w:val="008B3E8F"/>
    <w:rsid w:val="008C0056"/>
    <w:rsid w:val="008C21E1"/>
    <w:rsid w:val="008C604D"/>
    <w:rsid w:val="008D59CB"/>
    <w:rsid w:val="008D76F6"/>
    <w:rsid w:val="008E2BA1"/>
    <w:rsid w:val="008E4471"/>
    <w:rsid w:val="008E773B"/>
    <w:rsid w:val="008F2F17"/>
    <w:rsid w:val="008F2F5C"/>
    <w:rsid w:val="008F5797"/>
    <w:rsid w:val="008F5DB5"/>
    <w:rsid w:val="009062AE"/>
    <w:rsid w:val="00912631"/>
    <w:rsid w:val="009227DB"/>
    <w:rsid w:val="00923B0D"/>
    <w:rsid w:val="0092478E"/>
    <w:rsid w:val="0092610B"/>
    <w:rsid w:val="00926D58"/>
    <w:rsid w:val="00926DC2"/>
    <w:rsid w:val="00937A11"/>
    <w:rsid w:val="00937E90"/>
    <w:rsid w:val="009417F7"/>
    <w:rsid w:val="009426F3"/>
    <w:rsid w:val="0095160C"/>
    <w:rsid w:val="0095689A"/>
    <w:rsid w:val="00963C9F"/>
    <w:rsid w:val="00963F49"/>
    <w:rsid w:val="0096517C"/>
    <w:rsid w:val="00965D4D"/>
    <w:rsid w:val="00966619"/>
    <w:rsid w:val="00966851"/>
    <w:rsid w:val="00970C62"/>
    <w:rsid w:val="00973117"/>
    <w:rsid w:val="00975704"/>
    <w:rsid w:val="0098275D"/>
    <w:rsid w:val="009834D2"/>
    <w:rsid w:val="009858C3"/>
    <w:rsid w:val="009860AB"/>
    <w:rsid w:val="00991526"/>
    <w:rsid w:val="00991DED"/>
    <w:rsid w:val="00994314"/>
    <w:rsid w:val="0099613A"/>
    <w:rsid w:val="00997F6C"/>
    <w:rsid w:val="009A0A07"/>
    <w:rsid w:val="009A0E76"/>
    <w:rsid w:val="009A5BC4"/>
    <w:rsid w:val="009B0BC5"/>
    <w:rsid w:val="009B34AC"/>
    <w:rsid w:val="009B3EFB"/>
    <w:rsid w:val="009C3CB0"/>
    <w:rsid w:val="009C4CA6"/>
    <w:rsid w:val="009C56D1"/>
    <w:rsid w:val="009D18C2"/>
    <w:rsid w:val="009D5A36"/>
    <w:rsid w:val="009E2B08"/>
    <w:rsid w:val="009E34D5"/>
    <w:rsid w:val="009E4054"/>
    <w:rsid w:val="009E4C14"/>
    <w:rsid w:val="009E718A"/>
    <w:rsid w:val="009F26B8"/>
    <w:rsid w:val="009F4D35"/>
    <w:rsid w:val="009F6021"/>
    <w:rsid w:val="009F7A5A"/>
    <w:rsid w:val="00A03C15"/>
    <w:rsid w:val="00A070B7"/>
    <w:rsid w:val="00A10533"/>
    <w:rsid w:val="00A13691"/>
    <w:rsid w:val="00A14752"/>
    <w:rsid w:val="00A149A2"/>
    <w:rsid w:val="00A2405F"/>
    <w:rsid w:val="00A3043E"/>
    <w:rsid w:val="00A33E7E"/>
    <w:rsid w:val="00A36734"/>
    <w:rsid w:val="00A369AC"/>
    <w:rsid w:val="00A414BC"/>
    <w:rsid w:val="00A43021"/>
    <w:rsid w:val="00A4461A"/>
    <w:rsid w:val="00A459DE"/>
    <w:rsid w:val="00A47CAC"/>
    <w:rsid w:val="00A50D02"/>
    <w:rsid w:val="00A5508E"/>
    <w:rsid w:val="00A564D9"/>
    <w:rsid w:val="00A56C77"/>
    <w:rsid w:val="00A57A7E"/>
    <w:rsid w:val="00A62216"/>
    <w:rsid w:val="00A65051"/>
    <w:rsid w:val="00A65913"/>
    <w:rsid w:val="00A6748E"/>
    <w:rsid w:val="00A70A4D"/>
    <w:rsid w:val="00A72174"/>
    <w:rsid w:val="00A7229C"/>
    <w:rsid w:val="00A74E0F"/>
    <w:rsid w:val="00A77C91"/>
    <w:rsid w:val="00A8077F"/>
    <w:rsid w:val="00A80E09"/>
    <w:rsid w:val="00A851E3"/>
    <w:rsid w:val="00A86B76"/>
    <w:rsid w:val="00A9012A"/>
    <w:rsid w:val="00A93A77"/>
    <w:rsid w:val="00A93DF6"/>
    <w:rsid w:val="00A94921"/>
    <w:rsid w:val="00A97B89"/>
    <w:rsid w:val="00AA09BB"/>
    <w:rsid w:val="00AA0C05"/>
    <w:rsid w:val="00AA3BB9"/>
    <w:rsid w:val="00AA5C14"/>
    <w:rsid w:val="00AB4331"/>
    <w:rsid w:val="00AB56B8"/>
    <w:rsid w:val="00AC08D2"/>
    <w:rsid w:val="00AC1BEE"/>
    <w:rsid w:val="00AC3E56"/>
    <w:rsid w:val="00AC4BDA"/>
    <w:rsid w:val="00AD0C81"/>
    <w:rsid w:val="00AD298F"/>
    <w:rsid w:val="00AE002F"/>
    <w:rsid w:val="00AE1EED"/>
    <w:rsid w:val="00AE68CA"/>
    <w:rsid w:val="00AF1416"/>
    <w:rsid w:val="00AF2783"/>
    <w:rsid w:val="00AF4E45"/>
    <w:rsid w:val="00AF57B3"/>
    <w:rsid w:val="00B0146F"/>
    <w:rsid w:val="00B04E3B"/>
    <w:rsid w:val="00B076B6"/>
    <w:rsid w:val="00B076CC"/>
    <w:rsid w:val="00B10FC9"/>
    <w:rsid w:val="00B11937"/>
    <w:rsid w:val="00B12400"/>
    <w:rsid w:val="00B12498"/>
    <w:rsid w:val="00B20231"/>
    <w:rsid w:val="00B21E09"/>
    <w:rsid w:val="00B26C3D"/>
    <w:rsid w:val="00B275AC"/>
    <w:rsid w:val="00B27734"/>
    <w:rsid w:val="00B27D99"/>
    <w:rsid w:val="00B30EAB"/>
    <w:rsid w:val="00B32201"/>
    <w:rsid w:val="00B357C2"/>
    <w:rsid w:val="00B366DB"/>
    <w:rsid w:val="00B37667"/>
    <w:rsid w:val="00B44B46"/>
    <w:rsid w:val="00B44BFF"/>
    <w:rsid w:val="00B5117D"/>
    <w:rsid w:val="00B51D5A"/>
    <w:rsid w:val="00B532DB"/>
    <w:rsid w:val="00B545CC"/>
    <w:rsid w:val="00B54794"/>
    <w:rsid w:val="00B56A4F"/>
    <w:rsid w:val="00B56ED6"/>
    <w:rsid w:val="00B57B78"/>
    <w:rsid w:val="00B63621"/>
    <w:rsid w:val="00B67C2B"/>
    <w:rsid w:val="00B67D34"/>
    <w:rsid w:val="00B710F4"/>
    <w:rsid w:val="00B72A6C"/>
    <w:rsid w:val="00B72B74"/>
    <w:rsid w:val="00B77EFB"/>
    <w:rsid w:val="00B859FA"/>
    <w:rsid w:val="00B91589"/>
    <w:rsid w:val="00B94111"/>
    <w:rsid w:val="00B94F0A"/>
    <w:rsid w:val="00B95FED"/>
    <w:rsid w:val="00BA18F6"/>
    <w:rsid w:val="00BA3A70"/>
    <w:rsid w:val="00BA4854"/>
    <w:rsid w:val="00BA4C54"/>
    <w:rsid w:val="00BA6026"/>
    <w:rsid w:val="00BB230B"/>
    <w:rsid w:val="00BB2ACB"/>
    <w:rsid w:val="00BB60BC"/>
    <w:rsid w:val="00BC1B39"/>
    <w:rsid w:val="00BC32E6"/>
    <w:rsid w:val="00BD2320"/>
    <w:rsid w:val="00BD5583"/>
    <w:rsid w:val="00BD5713"/>
    <w:rsid w:val="00BE0FFD"/>
    <w:rsid w:val="00BE13B4"/>
    <w:rsid w:val="00BE2AB7"/>
    <w:rsid w:val="00BE4587"/>
    <w:rsid w:val="00BE5400"/>
    <w:rsid w:val="00BE68F3"/>
    <w:rsid w:val="00BF3528"/>
    <w:rsid w:val="00BF4483"/>
    <w:rsid w:val="00C00421"/>
    <w:rsid w:val="00C01A7A"/>
    <w:rsid w:val="00C03955"/>
    <w:rsid w:val="00C04739"/>
    <w:rsid w:val="00C11666"/>
    <w:rsid w:val="00C132E6"/>
    <w:rsid w:val="00C209B3"/>
    <w:rsid w:val="00C21FFA"/>
    <w:rsid w:val="00C27FFB"/>
    <w:rsid w:val="00C337DD"/>
    <w:rsid w:val="00C363B9"/>
    <w:rsid w:val="00C40E20"/>
    <w:rsid w:val="00C50200"/>
    <w:rsid w:val="00C621BF"/>
    <w:rsid w:val="00C63D38"/>
    <w:rsid w:val="00C6447C"/>
    <w:rsid w:val="00C64D30"/>
    <w:rsid w:val="00C75A0D"/>
    <w:rsid w:val="00C83737"/>
    <w:rsid w:val="00C84B60"/>
    <w:rsid w:val="00C910F7"/>
    <w:rsid w:val="00C91221"/>
    <w:rsid w:val="00C91526"/>
    <w:rsid w:val="00C91F4E"/>
    <w:rsid w:val="00C96757"/>
    <w:rsid w:val="00C970B1"/>
    <w:rsid w:val="00CA5611"/>
    <w:rsid w:val="00CB1125"/>
    <w:rsid w:val="00CB203F"/>
    <w:rsid w:val="00CB3582"/>
    <w:rsid w:val="00CB399B"/>
    <w:rsid w:val="00CB41F2"/>
    <w:rsid w:val="00CB5919"/>
    <w:rsid w:val="00CC2283"/>
    <w:rsid w:val="00CD0493"/>
    <w:rsid w:val="00CD1F19"/>
    <w:rsid w:val="00CD2AD6"/>
    <w:rsid w:val="00CD4C06"/>
    <w:rsid w:val="00CD7346"/>
    <w:rsid w:val="00CE03A4"/>
    <w:rsid w:val="00CE1816"/>
    <w:rsid w:val="00CE4918"/>
    <w:rsid w:val="00CE6EEC"/>
    <w:rsid w:val="00CE71A4"/>
    <w:rsid w:val="00CF173A"/>
    <w:rsid w:val="00CF277F"/>
    <w:rsid w:val="00CF30BD"/>
    <w:rsid w:val="00CF78B0"/>
    <w:rsid w:val="00D03812"/>
    <w:rsid w:val="00D045C6"/>
    <w:rsid w:val="00D048F7"/>
    <w:rsid w:val="00D05054"/>
    <w:rsid w:val="00D10911"/>
    <w:rsid w:val="00D10C2A"/>
    <w:rsid w:val="00D116CE"/>
    <w:rsid w:val="00D125F6"/>
    <w:rsid w:val="00D12938"/>
    <w:rsid w:val="00D2134D"/>
    <w:rsid w:val="00D21F38"/>
    <w:rsid w:val="00D238E3"/>
    <w:rsid w:val="00D241DE"/>
    <w:rsid w:val="00D2513B"/>
    <w:rsid w:val="00D26A23"/>
    <w:rsid w:val="00D26C99"/>
    <w:rsid w:val="00D31218"/>
    <w:rsid w:val="00D31FDA"/>
    <w:rsid w:val="00D341D3"/>
    <w:rsid w:val="00D4055A"/>
    <w:rsid w:val="00D40B54"/>
    <w:rsid w:val="00D4302A"/>
    <w:rsid w:val="00D436E8"/>
    <w:rsid w:val="00D446E5"/>
    <w:rsid w:val="00D500BB"/>
    <w:rsid w:val="00D541ED"/>
    <w:rsid w:val="00D56072"/>
    <w:rsid w:val="00D56B38"/>
    <w:rsid w:val="00D613BF"/>
    <w:rsid w:val="00D6193C"/>
    <w:rsid w:val="00D64A57"/>
    <w:rsid w:val="00D658D0"/>
    <w:rsid w:val="00D70F5A"/>
    <w:rsid w:val="00D70F8A"/>
    <w:rsid w:val="00D71EFE"/>
    <w:rsid w:val="00D731AE"/>
    <w:rsid w:val="00D73EA4"/>
    <w:rsid w:val="00D74205"/>
    <w:rsid w:val="00D74942"/>
    <w:rsid w:val="00D74D72"/>
    <w:rsid w:val="00D761CC"/>
    <w:rsid w:val="00D76DCE"/>
    <w:rsid w:val="00D82891"/>
    <w:rsid w:val="00D8323E"/>
    <w:rsid w:val="00D8583A"/>
    <w:rsid w:val="00D87001"/>
    <w:rsid w:val="00D8735A"/>
    <w:rsid w:val="00D876A7"/>
    <w:rsid w:val="00D92118"/>
    <w:rsid w:val="00D96A1E"/>
    <w:rsid w:val="00DA2F48"/>
    <w:rsid w:val="00DB0916"/>
    <w:rsid w:val="00DB4D8F"/>
    <w:rsid w:val="00DB5D6C"/>
    <w:rsid w:val="00DC2576"/>
    <w:rsid w:val="00DC4479"/>
    <w:rsid w:val="00DC6534"/>
    <w:rsid w:val="00DC69D9"/>
    <w:rsid w:val="00DC6A05"/>
    <w:rsid w:val="00DC6BC0"/>
    <w:rsid w:val="00DD23D1"/>
    <w:rsid w:val="00DD32CF"/>
    <w:rsid w:val="00DD3D41"/>
    <w:rsid w:val="00DD4A34"/>
    <w:rsid w:val="00DD71E4"/>
    <w:rsid w:val="00DE251A"/>
    <w:rsid w:val="00DE4605"/>
    <w:rsid w:val="00DF03B3"/>
    <w:rsid w:val="00DF37AA"/>
    <w:rsid w:val="00E0157D"/>
    <w:rsid w:val="00E04762"/>
    <w:rsid w:val="00E148F7"/>
    <w:rsid w:val="00E21A5F"/>
    <w:rsid w:val="00E255B8"/>
    <w:rsid w:val="00E32512"/>
    <w:rsid w:val="00E32ABF"/>
    <w:rsid w:val="00E419B6"/>
    <w:rsid w:val="00E431E7"/>
    <w:rsid w:val="00E464AC"/>
    <w:rsid w:val="00E47E48"/>
    <w:rsid w:val="00E53016"/>
    <w:rsid w:val="00E56844"/>
    <w:rsid w:val="00E56D6D"/>
    <w:rsid w:val="00E570C0"/>
    <w:rsid w:val="00E57ACE"/>
    <w:rsid w:val="00E604E1"/>
    <w:rsid w:val="00E6056C"/>
    <w:rsid w:val="00E61856"/>
    <w:rsid w:val="00E61ADA"/>
    <w:rsid w:val="00E67B01"/>
    <w:rsid w:val="00E7135E"/>
    <w:rsid w:val="00E7418D"/>
    <w:rsid w:val="00E75824"/>
    <w:rsid w:val="00E77E72"/>
    <w:rsid w:val="00E805B1"/>
    <w:rsid w:val="00E80980"/>
    <w:rsid w:val="00E82EEB"/>
    <w:rsid w:val="00E8392F"/>
    <w:rsid w:val="00E85606"/>
    <w:rsid w:val="00E94297"/>
    <w:rsid w:val="00E97D3B"/>
    <w:rsid w:val="00E97F1F"/>
    <w:rsid w:val="00EA04CB"/>
    <w:rsid w:val="00EA0C01"/>
    <w:rsid w:val="00EA2309"/>
    <w:rsid w:val="00EA447A"/>
    <w:rsid w:val="00EA516C"/>
    <w:rsid w:val="00EB4BFB"/>
    <w:rsid w:val="00EB6B00"/>
    <w:rsid w:val="00EB6B22"/>
    <w:rsid w:val="00EB7C69"/>
    <w:rsid w:val="00ED1CEA"/>
    <w:rsid w:val="00ED1D58"/>
    <w:rsid w:val="00ED2051"/>
    <w:rsid w:val="00ED538C"/>
    <w:rsid w:val="00ED698F"/>
    <w:rsid w:val="00EE1B92"/>
    <w:rsid w:val="00EE45A6"/>
    <w:rsid w:val="00EE49FB"/>
    <w:rsid w:val="00EF67C9"/>
    <w:rsid w:val="00EF6841"/>
    <w:rsid w:val="00EF7613"/>
    <w:rsid w:val="00EF7673"/>
    <w:rsid w:val="00F01D0D"/>
    <w:rsid w:val="00F01D6B"/>
    <w:rsid w:val="00F06BC4"/>
    <w:rsid w:val="00F10A19"/>
    <w:rsid w:val="00F11DE4"/>
    <w:rsid w:val="00F15282"/>
    <w:rsid w:val="00F154E4"/>
    <w:rsid w:val="00F16142"/>
    <w:rsid w:val="00F2332D"/>
    <w:rsid w:val="00F2586E"/>
    <w:rsid w:val="00F278FD"/>
    <w:rsid w:val="00F32D7A"/>
    <w:rsid w:val="00F3610A"/>
    <w:rsid w:val="00F403AB"/>
    <w:rsid w:val="00F40DA7"/>
    <w:rsid w:val="00F41D8B"/>
    <w:rsid w:val="00F43668"/>
    <w:rsid w:val="00F4374D"/>
    <w:rsid w:val="00F43CEF"/>
    <w:rsid w:val="00F50CAE"/>
    <w:rsid w:val="00F5212F"/>
    <w:rsid w:val="00F61B23"/>
    <w:rsid w:val="00F627D7"/>
    <w:rsid w:val="00F63A24"/>
    <w:rsid w:val="00F65938"/>
    <w:rsid w:val="00F676F2"/>
    <w:rsid w:val="00F739F5"/>
    <w:rsid w:val="00F8257B"/>
    <w:rsid w:val="00F912E4"/>
    <w:rsid w:val="00F95F92"/>
    <w:rsid w:val="00F97459"/>
    <w:rsid w:val="00F97B7E"/>
    <w:rsid w:val="00FA2088"/>
    <w:rsid w:val="00FA410D"/>
    <w:rsid w:val="00FA4505"/>
    <w:rsid w:val="00FA6C72"/>
    <w:rsid w:val="00FB5B2B"/>
    <w:rsid w:val="00FC25C0"/>
    <w:rsid w:val="00FC63D7"/>
    <w:rsid w:val="00FD1FBC"/>
    <w:rsid w:val="00FE1090"/>
    <w:rsid w:val="00FE3B11"/>
    <w:rsid w:val="00FE7CF4"/>
    <w:rsid w:val="00FF42FD"/>
    <w:rsid w:val="00FF4658"/>
    <w:rsid w:val="00FF53A9"/>
    <w:rsid w:val="00FF6530"/>
    <w:rsid w:val="00FF6546"/>
    <w:rsid w:val="3E78CC4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59E3FD"/>
  <w15:chartTrackingRefBased/>
  <w15:docId w15:val="{5B466893-EF21-4F1B-9559-650139FA27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lsdException w:name="heading 8" w:semiHidden="1" w:uiPriority="9" w:unhideWhenUsed="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qFormat="1"/>
    <w:lsdException w:name="List Bullet 3" w:semiHidden="1" w:uiPriority="0"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282B"/>
    <w:pPr>
      <w:spacing w:after="100" w:line="264" w:lineRule="auto"/>
    </w:pPr>
    <w:rPr>
      <w:rFonts w:ascii="Arial" w:hAnsi="Arial"/>
    </w:rPr>
  </w:style>
  <w:style w:type="paragraph" w:styleId="Heading1">
    <w:name w:val="heading 1"/>
    <w:basedOn w:val="Normal"/>
    <w:next w:val="Normal"/>
    <w:link w:val="Heading1Char"/>
    <w:uiPriority w:val="9"/>
    <w:qFormat/>
    <w:rsid w:val="009A0A07"/>
    <w:pPr>
      <w:keepNext/>
      <w:keepLines/>
      <w:spacing w:before="480" w:after="0" w:line="276" w:lineRule="auto"/>
      <w:outlineLvl w:val="0"/>
    </w:pPr>
    <w:rPr>
      <w:rFonts w:eastAsiaTheme="majorEastAsia" w:cstheme="majorBidi"/>
      <w:b/>
      <w:color w:val="4B0885" w:themeColor="text2"/>
      <w:sz w:val="56"/>
      <w:szCs w:val="32"/>
    </w:rPr>
  </w:style>
  <w:style w:type="paragraph" w:styleId="Heading2">
    <w:name w:val="heading 2"/>
    <w:basedOn w:val="Normal"/>
    <w:next w:val="Normal"/>
    <w:link w:val="Heading2Char"/>
    <w:uiPriority w:val="9"/>
    <w:unhideWhenUsed/>
    <w:qFormat/>
    <w:rsid w:val="00D12938"/>
    <w:pPr>
      <w:keepNext/>
      <w:keepLines/>
      <w:spacing w:before="240" w:after="0" w:line="276" w:lineRule="auto"/>
      <w:outlineLvl w:val="1"/>
    </w:pPr>
    <w:rPr>
      <w:rFonts w:eastAsiaTheme="majorEastAsia" w:cstheme="majorBidi"/>
      <w:b/>
      <w:sz w:val="32"/>
      <w:szCs w:val="26"/>
    </w:rPr>
  </w:style>
  <w:style w:type="paragraph" w:styleId="Heading3">
    <w:name w:val="heading 3"/>
    <w:basedOn w:val="Normal"/>
    <w:next w:val="Normal"/>
    <w:link w:val="Heading3Char"/>
    <w:uiPriority w:val="9"/>
    <w:unhideWhenUsed/>
    <w:qFormat/>
    <w:rsid w:val="00D12938"/>
    <w:pPr>
      <w:keepNext/>
      <w:keepLines/>
      <w:spacing w:before="240" w:after="0" w:line="276" w:lineRule="auto"/>
      <w:outlineLvl w:val="2"/>
    </w:pPr>
    <w:rPr>
      <w:rFonts w:eastAsiaTheme="majorEastAsia" w:cstheme="majorBidi"/>
      <w:b/>
      <w:color w:val="4B0885" w:themeColor="text2"/>
      <w:sz w:val="26"/>
      <w:szCs w:val="24"/>
    </w:rPr>
  </w:style>
  <w:style w:type="paragraph" w:styleId="Heading4">
    <w:name w:val="heading 4"/>
    <w:basedOn w:val="Normal"/>
    <w:next w:val="Normal"/>
    <w:link w:val="Heading4Char"/>
    <w:uiPriority w:val="9"/>
    <w:unhideWhenUsed/>
    <w:qFormat/>
    <w:rsid w:val="00D12938"/>
    <w:pPr>
      <w:spacing w:before="240" w:after="0" w:line="276" w:lineRule="auto"/>
      <w:outlineLvl w:val="3"/>
    </w:pPr>
    <w:rPr>
      <w:rFonts w:cs="Arial"/>
      <w:b/>
      <w:bCs/>
      <w:color w:val="012749" w:themeColor="accent3"/>
    </w:rPr>
  </w:style>
  <w:style w:type="paragraph" w:styleId="Heading5">
    <w:name w:val="heading 5"/>
    <w:basedOn w:val="Normal"/>
    <w:next w:val="Normal"/>
    <w:link w:val="Heading5Char"/>
    <w:uiPriority w:val="9"/>
    <w:unhideWhenUsed/>
    <w:qFormat/>
    <w:rsid w:val="00D12938"/>
    <w:pPr>
      <w:spacing w:before="240" w:after="0" w:line="276" w:lineRule="auto"/>
      <w:outlineLvl w:val="4"/>
    </w:pPr>
    <w:rPr>
      <w:rFonts w:cs="Arial"/>
      <w:color w:val="4B0885" w:themeColor="text2"/>
      <w:sz w:val="19"/>
      <w:szCs w:val="19"/>
    </w:rPr>
  </w:style>
  <w:style w:type="paragraph" w:styleId="Heading6">
    <w:name w:val="heading 6"/>
    <w:basedOn w:val="Normal"/>
    <w:next w:val="Normal"/>
    <w:link w:val="Heading6Char"/>
    <w:uiPriority w:val="9"/>
    <w:unhideWhenUsed/>
    <w:qFormat/>
    <w:rsid w:val="00D12938"/>
    <w:pPr>
      <w:keepNext/>
      <w:keepLines/>
      <w:spacing w:before="240" w:after="0" w:line="276" w:lineRule="auto"/>
      <w:outlineLvl w:val="5"/>
    </w:pPr>
    <w:rPr>
      <w:rFonts w:eastAsiaTheme="majorEastAsia" w:cstheme="majorBidi"/>
      <w:color w:val="341461" w:themeColor="accent1" w:themeShade="7F"/>
    </w:rPr>
  </w:style>
  <w:style w:type="paragraph" w:styleId="Heading7">
    <w:name w:val="heading 7"/>
    <w:basedOn w:val="Normal"/>
    <w:next w:val="Normal"/>
    <w:link w:val="Heading7Char"/>
    <w:uiPriority w:val="9"/>
    <w:unhideWhenUsed/>
    <w:rsid w:val="00642A9A"/>
    <w:pPr>
      <w:keepNext/>
      <w:keepLines/>
      <w:spacing w:before="240" w:after="0"/>
      <w:outlineLvl w:val="6"/>
    </w:pPr>
    <w:rPr>
      <w:rFonts w:asciiTheme="majorHAnsi" w:eastAsiaTheme="majorEastAsia" w:hAnsiTheme="majorHAnsi" w:cstheme="majorBidi"/>
      <w:i/>
      <w:iCs/>
      <w:color w:val="341461" w:themeColor="accent1" w:themeShade="7F"/>
    </w:rPr>
  </w:style>
  <w:style w:type="paragraph" w:styleId="Heading8">
    <w:name w:val="heading 8"/>
    <w:basedOn w:val="Normal"/>
    <w:next w:val="Normal"/>
    <w:link w:val="Heading8Char"/>
    <w:uiPriority w:val="9"/>
    <w:semiHidden/>
    <w:unhideWhenUsed/>
    <w:rsid w:val="00642A9A"/>
    <w:pPr>
      <w:keepNext/>
      <w:keepLines/>
      <w:spacing w:before="2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642A9A"/>
    <w:pPr>
      <w:keepNext/>
      <w:keepLines/>
      <w:spacing w:before="2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UnresolvedMention">
    <w:name w:val="Unresolved Mention"/>
    <w:basedOn w:val="DefaultParagraphFont"/>
    <w:uiPriority w:val="99"/>
    <w:semiHidden/>
    <w:unhideWhenUsed/>
    <w:rsid w:val="00E82EEB"/>
    <w:rPr>
      <w:color w:val="605E5C"/>
      <w:shd w:val="clear" w:color="auto" w:fill="E1DFDD"/>
    </w:rPr>
  </w:style>
  <w:style w:type="paragraph" w:styleId="Footer">
    <w:name w:val="footer"/>
    <w:basedOn w:val="Normal"/>
    <w:link w:val="FooterChar"/>
    <w:uiPriority w:val="99"/>
    <w:unhideWhenUsed/>
    <w:rsid w:val="00991526"/>
    <w:pPr>
      <w:tabs>
        <w:tab w:val="right" w:pos="9026"/>
      </w:tabs>
      <w:spacing w:before="20" w:after="0" w:line="240" w:lineRule="auto"/>
    </w:pPr>
    <w:rPr>
      <w:sz w:val="17"/>
      <w:szCs w:val="17"/>
    </w:rPr>
  </w:style>
  <w:style w:type="character" w:customStyle="1" w:styleId="FooterChar">
    <w:name w:val="Footer Char"/>
    <w:basedOn w:val="DefaultParagraphFont"/>
    <w:link w:val="Footer"/>
    <w:uiPriority w:val="99"/>
    <w:rsid w:val="00991526"/>
    <w:rPr>
      <w:color w:val="000000" w:themeColor="text1"/>
      <w:sz w:val="17"/>
      <w:szCs w:val="17"/>
    </w:rPr>
  </w:style>
  <w:style w:type="paragraph" w:styleId="Title">
    <w:name w:val="Title"/>
    <w:basedOn w:val="Normal"/>
    <w:next w:val="Normal"/>
    <w:link w:val="TitleChar"/>
    <w:uiPriority w:val="1"/>
    <w:rsid w:val="00233A75"/>
    <w:pPr>
      <w:spacing w:before="2600" w:after="240" w:line="252" w:lineRule="auto"/>
    </w:pPr>
    <w:rPr>
      <w:rFonts w:asciiTheme="majorHAnsi" w:eastAsiaTheme="majorEastAsia" w:hAnsiTheme="majorHAnsi" w:cstheme="majorBidi"/>
      <w:b/>
      <w:color w:val="FFFFFF" w:themeColor="background1"/>
      <w:spacing w:val="-2"/>
      <w:kern w:val="28"/>
      <w:sz w:val="80"/>
      <w:szCs w:val="80"/>
    </w:rPr>
  </w:style>
  <w:style w:type="character" w:customStyle="1" w:styleId="TitleChar">
    <w:name w:val="Title Char"/>
    <w:basedOn w:val="DefaultParagraphFont"/>
    <w:link w:val="Title"/>
    <w:uiPriority w:val="1"/>
    <w:rsid w:val="00233A75"/>
    <w:rPr>
      <w:rFonts w:asciiTheme="majorHAnsi" w:eastAsiaTheme="majorEastAsia" w:hAnsiTheme="majorHAnsi" w:cstheme="majorBidi"/>
      <w:b/>
      <w:color w:val="FFFFFF" w:themeColor="background1"/>
      <w:spacing w:val="-2"/>
      <w:kern w:val="28"/>
      <w:sz w:val="80"/>
      <w:szCs w:val="80"/>
    </w:rPr>
  </w:style>
  <w:style w:type="character" w:customStyle="1" w:styleId="Heading1Char">
    <w:name w:val="Heading 1 Char"/>
    <w:basedOn w:val="DefaultParagraphFont"/>
    <w:link w:val="Heading1"/>
    <w:uiPriority w:val="9"/>
    <w:rsid w:val="009A0A07"/>
    <w:rPr>
      <w:rFonts w:ascii="Arial" w:eastAsiaTheme="majorEastAsia" w:hAnsi="Arial" w:cstheme="majorBidi"/>
      <w:b/>
      <w:color w:val="4B0885" w:themeColor="text2"/>
      <w:sz w:val="56"/>
      <w:szCs w:val="32"/>
    </w:rPr>
  </w:style>
  <w:style w:type="paragraph" w:styleId="TOCHeading">
    <w:name w:val="TOC Heading"/>
    <w:basedOn w:val="Heading1"/>
    <w:next w:val="Normal"/>
    <w:uiPriority w:val="39"/>
    <w:unhideWhenUsed/>
    <w:qFormat/>
    <w:rsid w:val="007177A7"/>
    <w:pPr>
      <w:outlineLvl w:val="9"/>
    </w:pPr>
    <w:rPr>
      <w:lang w:val="en-US"/>
    </w:rPr>
  </w:style>
  <w:style w:type="paragraph" w:styleId="ListParagraph">
    <w:name w:val="List Paragraph"/>
    <w:basedOn w:val="Normal"/>
    <w:uiPriority w:val="34"/>
    <w:qFormat/>
    <w:rsid w:val="00E148F7"/>
    <w:pPr>
      <w:ind w:left="720"/>
      <w:contextualSpacing/>
    </w:pPr>
  </w:style>
  <w:style w:type="table" w:styleId="TableGrid">
    <w:name w:val="Table Grid"/>
    <w:basedOn w:val="TableNormal"/>
    <w:uiPriority w:val="39"/>
    <w:rsid w:val="00F436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7F7DBD"/>
    <w:rPr>
      <w:sz w:val="16"/>
      <w:szCs w:val="16"/>
    </w:rPr>
  </w:style>
  <w:style w:type="paragraph" w:styleId="CommentText">
    <w:name w:val="annotation text"/>
    <w:basedOn w:val="Normal"/>
    <w:link w:val="CommentTextChar"/>
    <w:uiPriority w:val="99"/>
    <w:unhideWhenUsed/>
    <w:rsid w:val="007F7DBD"/>
    <w:pPr>
      <w:spacing w:line="240" w:lineRule="auto"/>
    </w:pPr>
    <w:rPr>
      <w:sz w:val="20"/>
      <w:szCs w:val="20"/>
    </w:rPr>
  </w:style>
  <w:style w:type="character" w:customStyle="1" w:styleId="CommentTextChar">
    <w:name w:val="Comment Text Char"/>
    <w:basedOn w:val="DefaultParagraphFont"/>
    <w:link w:val="CommentText"/>
    <w:uiPriority w:val="99"/>
    <w:rsid w:val="007F7DBD"/>
    <w:rPr>
      <w:sz w:val="20"/>
      <w:szCs w:val="20"/>
    </w:rPr>
  </w:style>
  <w:style w:type="paragraph" w:styleId="CommentSubject">
    <w:name w:val="annotation subject"/>
    <w:basedOn w:val="CommentText"/>
    <w:next w:val="CommentText"/>
    <w:link w:val="CommentSubjectChar"/>
    <w:uiPriority w:val="99"/>
    <w:semiHidden/>
    <w:unhideWhenUsed/>
    <w:rsid w:val="007F7DBD"/>
    <w:rPr>
      <w:b/>
      <w:bCs/>
    </w:rPr>
  </w:style>
  <w:style w:type="character" w:customStyle="1" w:styleId="CommentSubjectChar">
    <w:name w:val="Comment Subject Char"/>
    <w:basedOn w:val="CommentTextChar"/>
    <w:link w:val="CommentSubject"/>
    <w:uiPriority w:val="99"/>
    <w:semiHidden/>
    <w:rsid w:val="007F7DBD"/>
    <w:rPr>
      <w:b/>
      <w:bCs/>
      <w:sz w:val="20"/>
      <w:szCs w:val="20"/>
    </w:rPr>
  </w:style>
  <w:style w:type="paragraph" w:styleId="NoSpacing">
    <w:name w:val="No Spacing"/>
    <w:uiPriority w:val="1"/>
    <w:qFormat/>
    <w:rsid w:val="006C282B"/>
    <w:pPr>
      <w:spacing w:after="0" w:line="240" w:lineRule="auto"/>
    </w:pPr>
    <w:rPr>
      <w:rFonts w:ascii="Arial" w:hAnsi="Arial"/>
    </w:rPr>
  </w:style>
  <w:style w:type="table" w:styleId="PlainTable4">
    <w:name w:val="Plain Table 4"/>
    <w:basedOn w:val="TableNormal"/>
    <w:uiPriority w:val="44"/>
    <w:rsid w:val="006066C4"/>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ListBullet">
    <w:name w:val="List Bullet"/>
    <w:basedOn w:val="Normal"/>
    <w:qFormat/>
    <w:rsid w:val="006C282B"/>
    <w:pPr>
      <w:numPr>
        <w:numId w:val="7"/>
      </w:numPr>
      <w:spacing w:after="120"/>
      <w:ind w:left="284" w:hanging="284"/>
    </w:pPr>
    <w:rPr>
      <w:rFonts w:eastAsia="SimSun" w:cs="Times New Roman"/>
      <w:spacing w:val="-1"/>
      <w:szCs w:val="20"/>
      <w:lang w:val="en-GB" w:eastAsia="en-GB"/>
    </w:rPr>
  </w:style>
  <w:style w:type="character" w:customStyle="1" w:styleId="Heading2Char">
    <w:name w:val="Heading 2 Char"/>
    <w:basedOn w:val="DefaultParagraphFont"/>
    <w:link w:val="Heading2"/>
    <w:uiPriority w:val="9"/>
    <w:rsid w:val="00D12938"/>
    <w:rPr>
      <w:rFonts w:ascii="Arial" w:eastAsiaTheme="majorEastAsia" w:hAnsi="Arial" w:cstheme="majorBidi"/>
      <w:b/>
      <w:sz w:val="32"/>
      <w:szCs w:val="26"/>
    </w:rPr>
  </w:style>
  <w:style w:type="paragraph" w:styleId="TOC1">
    <w:name w:val="toc 1"/>
    <w:basedOn w:val="Normal"/>
    <w:next w:val="Normal"/>
    <w:uiPriority w:val="39"/>
    <w:unhideWhenUsed/>
    <w:rsid w:val="00A3043E"/>
    <w:rPr>
      <w:b/>
      <w:color w:val="4B0885" w:themeColor="text2"/>
    </w:rPr>
  </w:style>
  <w:style w:type="character" w:customStyle="1" w:styleId="Heading3Char">
    <w:name w:val="Heading 3 Char"/>
    <w:basedOn w:val="DefaultParagraphFont"/>
    <w:link w:val="Heading3"/>
    <w:uiPriority w:val="9"/>
    <w:rsid w:val="00D12938"/>
    <w:rPr>
      <w:rFonts w:ascii="Arial" w:eastAsiaTheme="majorEastAsia" w:hAnsi="Arial" w:cstheme="majorBidi"/>
      <w:b/>
      <w:color w:val="4B0885" w:themeColor="text2"/>
      <w:sz w:val="26"/>
      <w:szCs w:val="24"/>
    </w:rPr>
  </w:style>
  <w:style w:type="paragraph" w:styleId="TOC2">
    <w:name w:val="toc 2"/>
    <w:basedOn w:val="Normal"/>
    <w:next w:val="Normal"/>
    <w:uiPriority w:val="39"/>
    <w:unhideWhenUsed/>
    <w:rsid w:val="00233A75"/>
    <w:pPr>
      <w:ind w:left="227"/>
    </w:pPr>
  </w:style>
  <w:style w:type="paragraph" w:styleId="TOC4">
    <w:name w:val="toc 4"/>
    <w:basedOn w:val="Normal"/>
    <w:next w:val="Normal"/>
    <w:autoRedefine/>
    <w:uiPriority w:val="39"/>
    <w:unhideWhenUsed/>
    <w:rsid w:val="007B2AD6"/>
    <w:pPr>
      <w:tabs>
        <w:tab w:val="right" w:leader="dot" w:pos="9016"/>
      </w:tabs>
      <w:ind w:left="220"/>
    </w:pPr>
  </w:style>
  <w:style w:type="paragraph" w:styleId="TOC3">
    <w:name w:val="toc 3"/>
    <w:basedOn w:val="Normal"/>
    <w:next w:val="Normal"/>
    <w:uiPriority w:val="39"/>
    <w:unhideWhenUsed/>
    <w:rsid w:val="00233A75"/>
    <w:pPr>
      <w:tabs>
        <w:tab w:val="right" w:leader="dot" w:pos="9016"/>
      </w:tabs>
      <w:ind w:left="454"/>
    </w:pPr>
  </w:style>
  <w:style w:type="paragraph" w:styleId="TOC5">
    <w:name w:val="toc 5"/>
    <w:basedOn w:val="Normal"/>
    <w:next w:val="Normal"/>
    <w:autoRedefine/>
    <w:uiPriority w:val="39"/>
    <w:unhideWhenUsed/>
    <w:rsid w:val="007B2AD6"/>
    <w:pPr>
      <w:tabs>
        <w:tab w:val="right" w:leader="dot" w:pos="9016"/>
      </w:tabs>
      <w:ind w:left="220"/>
    </w:pPr>
  </w:style>
  <w:style w:type="character" w:styleId="Hyperlink">
    <w:name w:val="Hyperlink"/>
    <w:basedOn w:val="DefaultParagraphFont"/>
    <w:uiPriority w:val="99"/>
    <w:unhideWhenUsed/>
    <w:rsid w:val="00A93DF6"/>
    <w:rPr>
      <w:color w:val="013D74" w:themeColor="hyperlink"/>
      <w:u w:val="single"/>
    </w:rPr>
  </w:style>
  <w:style w:type="paragraph" w:styleId="ListBullet2">
    <w:name w:val="List Bullet 2"/>
    <w:basedOn w:val="Normal"/>
    <w:qFormat/>
    <w:rsid w:val="006C282B"/>
    <w:pPr>
      <w:numPr>
        <w:ilvl w:val="1"/>
        <w:numId w:val="7"/>
      </w:numPr>
      <w:spacing w:after="110"/>
      <w:ind w:left="568" w:hanging="284"/>
    </w:pPr>
    <w:rPr>
      <w:rFonts w:eastAsia="SimSun" w:cs="Times New Roman"/>
      <w:spacing w:val="-1"/>
      <w:szCs w:val="20"/>
      <w:lang w:val="en-GB" w:eastAsia="en-GB"/>
    </w:rPr>
  </w:style>
  <w:style w:type="paragraph" w:styleId="ListBullet3">
    <w:name w:val="List Bullet 3"/>
    <w:basedOn w:val="Normal"/>
    <w:rsid w:val="00BE68F3"/>
    <w:pPr>
      <w:numPr>
        <w:ilvl w:val="2"/>
        <w:numId w:val="7"/>
      </w:numPr>
      <w:spacing w:line="240" w:lineRule="atLeast"/>
    </w:pPr>
    <w:rPr>
      <w:rFonts w:eastAsia="SimSun" w:cs="Times New Roman"/>
      <w:spacing w:val="-1"/>
      <w:szCs w:val="20"/>
      <w:lang w:val="en-GB" w:eastAsia="en-GB"/>
    </w:rPr>
  </w:style>
  <w:style w:type="paragraph" w:styleId="ListBullet4">
    <w:name w:val="List Bullet 4"/>
    <w:basedOn w:val="ListBullet3"/>
    <w:semiHidden/>
    <w:rsid w:val="00597EF7"/>
    <w:pPr>
      <w:numPr>
        <w:ilvl w:val="3"/>
      </w:numPr>
    </w:pPr>
  </w:style>
  <w:style w:type="character" w:customStyle="1" w:styleId="Heading4Char">
    <w:name w:val="Heading 4 Char"/>
    <w:basedOn w:val="DefaultParagraphFont"/>
    <w:link w:val="Heading4"/>
    <w:uiPriority w:val="9"/>
    <w:rsid w:val="00D12938"/>
    <w:rPr>
      <w:rFonts w:ascii="Arial" w:hAnsi="Arial" w:cs="Arial"/>
      <w:b/>
      <w:bCs/>
      <w:color w:val="012749" w:themeColor="accent3"/>
    </w:rPr>
  </w:style>
  <w:style w:type="character" w:customStyle="1" w:styleId="Heading5Char">
    <w:name w:val="Heading 5 Char"/>
    <w:basedOn w:val="DefaultParagraphFont"/>
    <w:link w:val="Heading5"/>
    <w:uiPriority w:val="9"/>
    <w:rsid w:val="00D12938"/>
    <w:rPr>
      <w:rFonts w:ascii="Arial" w:hAnsi="Arial" w:cs="Arial"/>
      <w:color w:val="4B0885" w:themeColor="text2"/>
      <w:sz w:val="19"/>
      <w:szCs w:val="19"/>
    </w:rPr>
  </w:style>
  <w:style w:type="character" w:customStyle="1" w:styleId="Heading6Char">
    <w:name w:val="Heading 6 Char"/>
    <w:basedOn w:val="DefaultParagraphFont"/>
    <w:link w:val="Heading6"/>
    <w:uiPriority w:val="9"/>
    <w:rsid w:val="00D12938"/>
    <w:rPr>
      <w:rFonts w:ascii="Arial" w:eastAsiaTheme="majorEastAsia" w:hAnsi="Arial" w:cstheme="majorBidi"/>
      <w:color w:val="341461" w:themeColor="accent1" w:themeShade="7F"/>
    </w:rPr>
  </w:style>
  <w:style w:type="character" w:customStyle="1" w:styleId="Heading7Char">
    <w:name w:val="Heading 7 Char"/>
    <w:basedOn w:val="DefaultParagraphFont"/>
    <w:link w:val="Heading7"/>
    <w:uiPriority w:val="9"/>
    <w:rsid w:val="00642A9A"/>
    <w:rPr>
      <w:rFonts w:asciiTheme="majorHAnsi" w:eastAsiaTheme="majorEastAsia" w:hAnsiTheme="majorHAnsi" w:cstheme="majorBidi"/>
      <w:i/>
      <w:iCs/>
      <w:color w:val="341461" w:themeColor="accent1" w:themeShade="7F"/>
    </w:rPr>
  </w:style>
  <w:style w:type="paragraph" w:styleId="Header">
    <w:name w:val="header"/>
    <w:basedOn w:val="Normal"/>
    <w:link w:val="HeaderChar"/>
    <w:uiPriority w:val="99"/>
    <w:unhideWhenUsed/>
    <w:rsid w:val="00C40E20"/>
    <w:pPr>
      <w:tabs>
        <w:tab w:val="center" w:pos="4513"/>
        <w:tab w:val="right" w:pos="9026"/>
      </w:tabs>
      <w:spacing w:after="0" w:line="240" w:lineRule="auto"/>
    </w:pPr>
  </w:style>
  <w:style w:type="character" w:customStyle="1" w:styleId="HeaderChar">
    <w:name w:val="Header Char"/>
    <w:basedOn w:val="DefaultParagraphFont"/>
    <w:link w:val="Header"/>
    <w:uiPriority w:val="99"/>
    <w:rsid w:val="00C40E20"/>
    <w:rPr>
      <w:rFonts w:ascii="Arial" w:hAnsi="Arial"/>
      <w:color w:val="000000" w:themeColor="text1"/>
    </w:rPr>
  </w:style>
  <w:style w:type="paragraph" w:styleId="Caption">
    <w:name w:val="caption"/>
    <w:basedOn w:val="Normal"/>
    <w:next w:val="Normal"/>
    <w:uiPriority w:val="35"/>
    <w:unhideWhenUsed/>
    <w:qFormat/>
    <w:rsid w:val="00642A9A"/>
    <w:pPr>
      <w:keepNext/>
      <w:spacing w:before="320" w:after="200" w:line="240" w:lineRule="auto"/>
    </w:pPr>
    <w:rPr>
      <w:b/>
      <w:bCs/>
      <w:sz w:val="18"/>
      <w:szCs w:val="18"/>
    </w:rPr>
  </w:style>
  <w:style w:type="paragraph" w:styleId="Subtitle">
    <w:name w:val="Subtitle"/>
    <w:basedOn w:val="Normal"/>
    <w:next w:val="Normal"/>
    <w:link w:val="SubtitleChar"/>
    <w:uiPriority w:val="1"/>
    <w:rsid w:val="00233A75"/>
    <w:pPr>
      <w:numPr>
        <w:ilvl w:val="1"/>
      </w:numPr>
      <w:spacing w:before="480" w:after="160"/>
    </w:pPr>
    <w:rPr>
      <w:rFonts w:asciiTheme="majorHAnsi" w:eastAsiaTheme="minorEastAsia" w:hAnsiTheme="majorHAnsi"/>
      <w:color w:val="FFFFFF" w:themeColor="background1"/>
      <w:sz w:val="48"/>
      <w:szCs w:val="48"/>
    </w:rPr>
  </w:style>
  <w:style w:type="character" w:customStyle="1" w:styleId="SubtitleChar">
    <w:name w:val="Subtitle Char"/>
    <w:basedOn w:val="DefaultParagraphFont"/>
    <w:link w:val="Subtitle"/>
    <w:uiPriority w:val="1"/>
    <w:rsid w:val="00233A75"/>
    <w:rPr>
      <w:rFonts w:asciiTheme="majorHAnsi" w:eastAsiaTheme="minorEastAsia" w:hAnsiTheme="majorHAnsi"/>
      <w:color w:val="FFFFFF" w:themeColor="background1"/>
      <w:sz w:val="48"/>
      <w:szCs w:val="48"/>
    </w:rPr>
  </w:style>
  <w:style w:type="paragraph" w:customStyle="1" w:styleId="Spacer">
    <w:name w:val="Spacer"/>
    <w:basedOn w:val="NoSpacing"/>
    <w:qFormat/>
    <w:rsid w:val="00506CD7"/>
    <w:pPr>
      <w:tabs>
        <w:tab w:val="left" w:pos="2906"/>
      </w:tabs>
    </w:pPr>
    <w:rPr>
      <w:rFonts w:ascii="Times New Roman" w:hAnsi="Times New Roman" w:cs="Times New Roman"/>
      <w:bCs/>
      <w:noProof/>
      <w:color w:val="E55493" w:themeColor="accent6" w:themeTint="99"/>
      <w:spacing w:val="-5"/>
      <w:sz w:val="6"/>
      <w:szCs w:val="23"/>
    </w:rPr>
  </w:style>
  <w:style w:type="character" w:styleId="PlaceholderText">
    <w:name w:val="Placeholder Text"/>
    <w:basedOn w:val="DefaultParagraphFont"/>
    <w:uiPriority w:val="99"/>
    <w:rsid w:val="00C6447C"/>
    <w:rPr>
      <w:color w:val="808080"/>
    </w:rPr>
  </w:style>
  <w:style w:type="paragraph" w:customStyle="1" w:styleId="Source">
    <w:name w:val="Source"/>
    <w:basedOn w:val="Normal"/>
    <w:next w:val="Normal"/>
    <w:link w:val="SourceChar"/>
    <w:qFormat/>
    <w:rsid w:val="00AF2783"/>
    <w:pPr>
      <w:spacing w:before="120" w:after="120"/>
    </w:pPr>
    <w:rPr>
      <w:sz w:val="18"/>
      <w:szCs w:val="18"/>
    </w:rPr>
  </w:style>
  <w:style w:type="paragraph" w:styleId="MacroText">
    <w:name w:val="macro"/>
    <w:link w:val="MacroTextChar"/>
    <w:uiPriority w:val="99"/>
    <w:unhideWhenUsed/>
    <w:rsid w:val="00AF2783"/>
    <w:pPr>
      <w:tabs>
        <w:tab w:val="left" w:pos="480"/>
        <w:tab w:val="left" w:pos="960"/>
        <w:tab w:val="left" w:pos="1440"/>
        <w:tab w:val="left" w:pos="1920"/>
        <w:tab w:val="left" w:pos="2400"/>
        <w:tab w:val="left" w:pos="2880"/>
        <w:tab w:val="left" w:pos="3360"/>
        <w:tab w:val="left" w:pos="3840"/>
        <w:tab w:val="left" w:pos="4320"/>
      </w:tabs>
      <w:spacing w:after="0" w:line="264" w:lineRule="auto"/>
    </w:pPr>
    <w:rPr>
      <w:rFonts w:ascii="Consolas" w:hAnsi="Consolas"/>
      <w:sz w:val="20"/>
      <w:szCs w:val="20"/>
    </w:rPr>
  </w:style>
  <w:style w:type="character" w:customStyle="1" w:styleId="MacroTextChar">
    <w:name w:val="Macro Text Char"/>
    <w:basedOn w:val="DefaultParagraphFont"/>
    <w:link w:val="MacroText"/>
    <w:uiPriority w:val="99"/>
    <w:rsid w:val="00AF2783"/>
    <w:rPr>
      <w:rFonts w:ascii="Consolas" w:hAnsi="Consolas"/>
      <w:sz w:val="20"/>
      <w:szCs w:val="20"/>
    </w:rPr>
  </w:style>
  <w:style w:type="table" w:customStyle="1" w:styleId="JSATable1">
    <w:name w:val="JSA Table 1"/>
    <w:basedOn w:val="TableNormal"/>
    <w:uiPriority w:val="99"/>
    <w:rsid w:val="00D73EA4"/>
    <w:pPr>
      <w:spacing w:after="0" w:line="240" w:lineRule="auto"/>
    </w:pPr>
    <w:tblPr>
      <w:tblStyleRowBandSize w:val="1"/>
      <w:tblBorders>
        <w:bottom w:val="single" w:sz="4" w:space="0" w:color="4B0885"/>
      </w:tblBorders>
    </w:tblPr>
    <w:tblStylePr w:type="firstRow">
      <w:tblPr/>
      <w:tcPr>
        <w:shd w:val="clear" w:color="auto" w:fill="2F005F"/>
      </w:tcPr>
    </w:tblStylePr>
    <w:tblStylePr w:type="band2Horz">
      <w:tblPr/>
      <w:tcPr>
        <w:shd w:val="clear" w:color="auto" w:fill="E6E6E6"/>
      </w:tcPr>
    </w:tblStylePr>
  </w:style>
  <w:style w:type="table" w:customStyle="1" w:styleId="JSATable2">
    <w:name w:val="JSA Table 2"/>
    <w:basedOn w:val="TableNormal"/>
    <w:uiPriority w:val="99"/>
    <w:rsid w:val="00A74E0F"/>
    <w:pPr>
      <w:spacing w:after="0" w:line="240" w:lineRule="auto"/>
    </w:pPr>
    <w:tblPr>
      <w:tblStyleRowBandSize w:val="1"/>
      <w:tblBorders>
        <w:bottom w:val="single" w:sz="4" w:space="0" w:color="A584C2"/>
      </w:tblBorders>
    </w:tblPr>
    <w:tblStylePr w:type="firstRow">
      <w:rPr>
        <w:rFonts w:asciiTheme="majorHAnsi" w:hAnsiTheme="majorHAnsi"/>
        <w:color w:val="FFFFFF" w:themeColor="background1"/>
        <w:sz w:val="22"/>
      </w:rPr>
      <w:tblPr/>
      <w:tcPr>
        <w:shd w:val="clear" w:color="auto" w:fill="012749" w:themeFill="accent3"/>
      </w:tcPr>
    </w:tblStylePr>
    <w:tblStylePr w:type="band2Horz">
      <w:tblPr/>
      <w:tcPr>
        <w:shd w:val="clear" w:color="auto" w:fill="E6E6E6"/>
      </w:tcPr>
    </w:tblStylePr>
  </w:style>
  <w:style w:type="paragraph" w:styleId="Index7">
    <w:name w:val="index 7"/>
    <w:basedOn w:val="Normal"/>
    <w:next w:val="Normal"/>
    <w:autoRedefine/>
    <w:uiPriority w:val="99"/>
    <w:semiHidden/>
    <w:unhideWhenUsed/>
    <w:rsid w:val="00244550"/>
    <w:pPr>
      <w:spacing w:before="240" w:after="0" w:line="240" w:lineRule="auto"/>
      <w:ind w:left="1542" w:hanging="221"/>
    </w:pPr>
  </w:style>
  <w:style w:type="character" w:customStyle="1" w:styleId="Heading8Char">
    <w:name w:val="Heading 8 Char"/>
    <w:basedOn w:val="DefaultParagraphFont"/>
    <w:link w:val="Heading8"/>
    <w:uiPriority w:val="9"/>
    <w:semiHidden/>
    <w:rsid w:val="00642A9A"/>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642A9A"/>
    <w:rPr>
      <w:rFonts w:asciiTheme="majorHAnsi" w:eastAsiaTheme="majorEastAsia" w:hAnsiTheme="majorHAnsi" w:cstheme="majorBidi"/>
      <w:i/>
      <w:iCs/>
      <w:color w:val="272727" w:themeColor="text1" w:themeTint="D8"/>
      <w:sz w:val="21"/>
      <w:szCs w:val="21"/>
    </w:rPr>
  </w:style>
  <w:style w:type="character" w:customStyle="1" w:styleId="StrongandEmphasis">
    <w:name w:val="Strong and Emphasis"/>
    <w:basedOn w:val="DefaultParagraphFont"/>
    <w:uiPriority w:val="1"/>
    <w:qFormat/>
    <w:rsid w:val="00D12938"/>
    <w:rPr>
      <w:rFonts w:ascii="Arial" w:hAnsi="Arial"/>
      <w:b/>
      <w:i/>
      <w:sz w:val="22"/>
    </w:rPr>
  </w:style>
  <w:style w:type="character" w:styleId="Emphasis">
    <w:name w:val="Emphasis"/>
    <w:basedOn w:val="DefaultParagraphFont"/>
    <w:uiPriority w:val="20"/>
    <w:qFormat/>
    <w:rsid w:val="002927DB"/>
    <w:rPr>
      <w:rFonts w:ascii="Arial" w:hAnsi="Arial"/>
      <w:i/>
      <w:iCs/>
      <w:sz w:val="22"/>
    </w:rPr>
  </w:style>
  <w:style w:type="character" w:styleId="Strong">
    <w:name w:val="Strong"/>
    <w:basedOn w:val="DefaultParagraphFont"/>
    <w:uiPriority w:val="22"/>
    <w:qFormat/>
    <w:rsid w:val="00DB0916"/>
    <w:rPr>
      <w:rFonts w:ascii="Arial" w:hAnsi="Arial"/>
      <w:b/>
      <w:bCs/>
      <w:sz w:val="22"/>
    </w:rPr>
  </w:style>
  <w:style w:type="paragraph" w:styleId="Quote">
    <w:name w:val="Quote"/>
    <w:basedOn w:val="Normal"/>
    <w:next w:val="Normal"/>
    <w:link w:val="QuoteChar"/>
    <w:uiPriority w:val="29"/>
    <w:qFormat/>
    <w:rsid w:val="00DB0916"/>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DB0916"/>
    <w:rPr>
      <w:rFonts w:ascii="Arial" w:hAnsi="Arial"/>
      <w:i/>
      <w:iCs/>
      <w:color w:val="404040" w:themeColor="text1" w:themeTint="BF"/>
    </w:rPr>
  </w:style>
  <w:style w:type="paragraph" w:customStyle="1" w:styleId="Sub">
    <w:name w:val="Sub"/>
    <w:basedOn w:val="Heading2"/>
    <w:link w:val="SubChar"/>
    <w:qFormat/>
    <w:rsid w:val="00AA3BB9"/>
    <w:pPr>
      <w:spacing w:before="360" w:after="240"/>
    </w:pPr>
    <w:rPr>
      <w:sz w:val="40"/>
    </w:rPr>
  </w:style>
  <w:style w:type="character" w:customStyle="1" w:styleId="SubChar">
    <w:name w:val="Sub Char"/>
    <w:basedOn w:val="Heading2Char"/>
    <w:link w:val="Sub"/>
    <w:rsid w:val="00AA3BB9"/>
    <w:rPr>
      <w:rFonts w:ascii="Arial" w:eastAsiaTheme="majorEastAsia" w:hAnsi="Arial" w:cstheme="majorBidi"/>
      <w:b/>
      <w:sz w:val="40"/>
      <w:szCs w:val="26"/>
    </w:rPr>
  </w:style>
  <w:style w:type="paragraph" w:styleId="FootnoteText">
    <w:name w:val="footnote text"/>
    <w:basedOn w:val="Normal"/>
    <w:link w:val="FootnoteTextChar"/>
    <w:uiPriority w:val="99"/>
    <w:unhideWhenUsed/>
    <w:rsid w:val="00394894"/>
    <w:pPr>
      <w:spacing w:after="0" w:line="240" w:lineRule="auto"/>
    </w:pPr>
    <w:rPr>
      <w:color w:val="000000" w:themeColor="text1"/>
      <w:sz w:val="20"/>
      <w:szCs w:val="20"/>
    </w:rPr>
  </w:style>
  <w:style w:type="character" w:customStyle="1" w:styleId="FootnoteTextChar">
    <w:name w:val="Footnote Text Char"/>
    <w:basedOn w:val="DefaultParagraphFont"/>
    <w:link w:val="FootnoteText"/>
    <w:uiPriority w:val="99"/>
    <w:rsid w:val="00394894"/>
    <w:rPr>
      <w:rFonts w:ascii="Arial" w:hAnsi="Arial"/>
      <w:color w:val="000000" w:themeColor="text1"/>
      <w:sz w:val="20"/>
      <w:szCs w:val="20"/>
    </w:rPr>
  </w:style>
  <w:style w:type="character" w:styleId="FootnoteReference">
    <w:name w:val="footnote reference"/>
    <w:basedOn w:val="DefaultParagraphFont"/>
    <w:uiPriority w:val="99"/>
    <w:unhideWhenUsed/>
    <w:rsid w:val="00394894"/>
    <w:rPr>
      <w:vertAlign w:val="superscript"/>
    </w:rPr>
  </w:style>
  <w:style w:type="paragraph" w:customStyle="1" w:styleId="Footnote">
    <w:name w:val="Footnote"/>
    <w:basedOn w:val="FootnoteText"/>
    <w:link w:val="FootnoteChar"/>
    <w:qFormat/>
    <w:rsid w:val="00EA516C"/>
    <w:rPr>
      <w:sz w:val="18"/>
    </w:rPr>
  </w:style>
  <w:style w:type="character" w:customStyle="1" w:styleId="FootnoteChar">
    <w:name w:val="Footnote Char"/>
    <w:basedOn w:val="FootnoteTextChar"/>
    <w:link w:val="Footnote"/>
    <w:rsid w:val="00EA516C"/>
    <w:rPr>
      <w:rFonts w:ascii="Arial" w:hAnsi="Arial"/>
      <w:color w:val="000000" w:themeColor="text1"/>
      <w:sz w:val="18"/>
      <w:szCs w:val="20"/>
    </w:rPr>
  </w:style>
  <w:style w:type="character" w:customStyle="1" w:styleId="SourceChar">
    <w:name w:val="Source Char"/>
    <w:basedOn w:val="DefaultParagraphFont"/>
    <w:link w:val="Source"/>
    <w:rsid w:val="00A77C91"/>
    <w:rPr>
      <w:rFonts w:ascii="Arial" w:hAnsi="Arial"/>
      <w:sz w:val="18"/>
      <w:szCs w:val="18"/>
    </w:rPr>
  </w:style>
  <w:style w:type="character" w:styleId="FollowedHyperlink">
    <w:name w:val="FollowedHyperlink"/>
    <w:basedOn w:val="DefaultParagraphFont"/>
    <w:uiPriority w:val="99"/>
    <w:semiHidden/>
    <w:unhideWhenUsed/>
    <w:rsid w:val="009E2B08"/>
    <w:rPr>
      <w:color w:val="4B0885" w:themeColor="followedHyperlink"/>
      <w:u w:val="single"/>
    </w:rPr>
  </w:style>
  <w:style w:type="paragraph" w:styleId="Revision">
    <w:name w:val="Revision"/>
    <w:hidden/>
    <w:uiPriority w:val="99"/>
    <w:semiHidden/>
    <w:rsid w:val="006208A7"/>
    <w:pPr>
      <w:spacing w:after="0" w:line="240" w:lineRule="auto"/>
    </w:pPr>
    <w:rPr>
      <w:rFonts w:ascii="Arial" w:hAnsi="Arial"/>
    </w:rPr>
  </w:style>
  <w:style w:type="paragraph" w:customStyle="1" w:styleId="Bodycopy">
    <w:name w:val="Body copy"/>
    <w:basedOn w:val="Normal"/>
    <w:link w:val="BodycopyChar"/>
    <w:qFormat/>
    <w:rsid w:val="007C3F69"/>
    <w:pPr>
      <w:spacing w:before="120" w:after="280" w:line="259" w:lineRule="auto"/>
    </w:pPr>
    <w:rPr>
      <w:color w:val="000000"/>
    </w:rPr>
  </w:style>
  <w:style w:type="character" w:customStyle="1" w:styleId="BodycopyChar">
    <w:name w:val="Body copy Char"/>
    <w:basedOn w:val="DefaultParagraphFont"/>
    <w:link w:val="Bodycopy"/>
    <w:rsid w:val="007C3F69"/>
    <w:rPr>
      <w:rFonts w:ascii="Arial" w:hAnsi="Arial"/>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568489">
      <w:bodyDiv w:val="1"/>
      <w:marLeft w:val="0"/>
      <w:marRight w:val="0"/>
      <w:marTop w:val="0"/>
      <w:marBottom w:val="0"/>
      <w:divBdr>
        <w:top w:val="none" w:sz="0" w:space="0" w:color="auto"/>
        <w:left w:val="none" w:sz="0" w:space="0" w:color="auto"/>
        <w:bottom w:val="none" w:sz="0" w:space="0" w:color="auto"/>
        <w:right w:val="none" w:sz="0" w:space="0" w:color="auto"/>
      </w:divBdr>
    </w:div>
    <w:div w:id="81610509">
      <w:bodyDiv w:val="1"/>
      <w:marLeft w:val="0"/>
      <w:marRight w:val="0"/>
      <w:marTop w:val="0"/>
      <w:marBottom w:val="0"/>
      <w:divBdr>
        <w:top w:val="none" w:sz="0" w:space="0" w:color="auto"/>
        <w:left w:val="none" w:sz="0" w:space="0" w:color="auto"/>
        <w:bottom w:val="none" w:sz="0" w:space="0" w:color="auto"/>
        <w:right w:val="none" w:sz="0" w:space="0" w:color="auto"/>
      </w:divBdr>
    </w:div>
    <w:div w:id="178593761">
      <w:bodyDiv w:val="1"/>
      <w:marLeft w:val="0"/>
      <w:marRight w:val="0"/>
      <w:marTop w:val="0"/>
      <w:marBottom w:val="0"/>
      <w:divBdr>
        <w:top w:val="none" w:sz="0" w:space="0" w:color="auto"/>
        <w:left w:val="none" w:sz="0" w:space="0" w:color="auto"/>
        <w:bottom w:val="none" w:sz="0" w:space="0" w:color="auto"/>
        <w:right w:val="none" w:sz="0" w:space="0" w:color="auto"/>
      </w:divBdr>
    </w:div>
    <w:div w:id="287900249">
      <w:bodyDiv w:val="1"/>
      <w:marLeft w:val="0"/>
      <w:marRight w:val="0"/>
      <w:marTop w:val="0"/>
      <w:marBottom w:val="0"/>
      <w:divBdr>
        <w:top w:val="none" w:sz="0" w:space="0" w:color="auto"/>
        <w:left w:val="none" w:sz="0" w:space="0" w:color="auto"/>
        <w:bottom w:val="none" w:sz="0" w:space="0" w:color="auto"/>
        <w:right w:val="none" w:sz="0" w:space="0" w:color="auto"/>
      </w:divBdr>
    </w:div>
    <w:div w:id="743071427">
      <w:bodyDiv w:val="1"/>
      <w:marLeft w:val="0"/>
      <w:marRight w:val="0"/>
      <w:marTop w:val="0"/>
      <w:marBottom w:val="0"/>
      <w:divBdr>
        <w:top w:val="none" w:sz="0" w:space="0" w:color="auto"/>
        <w:left w:val="none" w:sz="0" w:space="0" w:color="auto"/>
        <w:bottom w:val="none" w:sz="0" w:space="0" w:color="auto"/>
        <w:right w:val="none" w:sz="0" w:space="0" w:color="auto"/>
      </w:divBdr>
    </w:div>
    <w:div w:id="791899365">
      <w:bodyDiv w:val="1"/>
      <w:marLeft w:val="0"/>
      <w:marRight w:val="0"/>
      <w:marTop w:val="0"/>
      <w:marBottom w:val="0"/>
      <w:divBdr>
        <w:top w:val="none" w:sz="0" w:space="0" w:color="auto"/>
        <w:left w:val="none" w:sz="0" w:space="0" w:color="auto"/>
        <w:bottom w:val="none" w:sz="0" w:space="0" w:color="auto"/>
        <w:right w:val="none" w:sz="0" w:space="0" w:color="auto"/>
      </w:divBdr>
    </w:div>
    <w:div w:id="835805900">
      <w:bodyDiv w:val="1"/>
      <w:marLeft w:val="0"/>
      <w:marRight w:val="0"/>
      <w:marTop w:val="0"/>
      <w:marBottom w:val="0"/>
      <w:divBdr>
        <w:top w:val="none" w:sz="0" w:space="0" w:color="auto"/>
        <w:left w:val="none" w:sz="0" w:space="0" w:color="auto"/>
        <w:bottom w:val="none" w:sz="0" w:space="0" w:color="auto"/>
        <w:right w:val="none" w:sz="0" w:space="0" w:color="auto"/>
      </w:divBdr>
    </w:div>
    <w:div w:id="1008368643">
      <w:bodyDiv w:val="1"/>
      <w:marLeft w:val="0"/>
      <w:marRight w:val="0"/>
      <w:marTop w:val="0"/>
      <w:marBottom w:val="0"/>
      <w:divBdr>
        <w:top w:val="none" w:sz="0" w:space="0" w:color="auto"/>
        <w:left w:val="none" w:sz="0" w:space="0" w:color="auto"/>
        <w:bottom w:val="none" w:sz="0" w:space="0" w:color="auto"/>
        <w:right w:val="none" w:sz="0" w:space="0" w:color="auto"/>
      </w:divBdr>
    </w:div>
    <w:div w:id="1022437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chart" Target="charts/chart2.xml"/><Relationship Id="rId18" Type="http://schemas.openxmlformats.org/officeDocument/2006/relationships/hyperlink" Target="https://www.abs.gov.au/statistics/labour/employment-and-unemployment/labour-force-australia-detailed/latest-release" TargetMode="External"/><Relationship Id="rId26" Type="http://schemas.openxmlformats.org/officeDocument/2006/relationships/chart" Target="charts/chart8.xml"/><Relationship Id="rId39" Type="http://schemas.openxmlformats.org/officeDocument/2006/relationships/fontTable" Target="fontTable.xml"/><Relationship Id="rId21" Type="http://schemas.openxmlformats.org/officeDocument/2006/relationships/hyperlink" Target="https://www.abs.gov.au/statistics/labour/employment-and-unemployment/labour-force-australia-detailed/latest-release" TargetMode="External"/><Relationship Id="rId34" Type="http://schemas.openxmlformats.org/officeDocument/2006/relationships/hyperlink" Target="https://www.abs.gov.au/statistics/labour/employment-and-unemployment/labour-force-australia-detailed/latest-release"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abs.gov.au/statistics/labour/employment-and-unemployment/labour-force-australia/latest-release" TargetMode="External"/><Relationship Id="rId20" Type="http://schemas.openxmlformats.org/officeDocument/2006/relationships/chart" Target="charts/chart6.xml"/><Relationship Id="rId29" Type="http://schemas.openxmlformats.org/officeDocument/2006/relationships/hyperlink" Target="https://www.abs.gov.au/statistics/people/population/regional-population/latest-release"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1.xml"/><Relationship Id="rId24" Type="http://schemas.openxmlformats.org/officeDocument/2006/relationships/hyperlink" Target="https://www.abs.gov.au/statistics/labour/employment-and-unemployment/labour-force-australia-detailed/latest-release" TargetMode="External"/><Relationship Id="rId32" Type="http://schemas.openxmlformats.org/officeDocument/2006/relationships/chart" Target="charts/chart10.xml"/><Relationship Id="rId37" Type="http://schemas.openxmlformats.org/officeDocument/2006/relationships/header" Target="header1.xml"/><Relationship Id="rId40" Type="http://schemas.openxmlformats.org/officeDocument/2006/relationships/glossaryDocument" Target="glossary/document.xml"/><Relationship Id="rId5" Type="http://schemas.openxmlformats.org/officeDocument/2006/relationships/webSettings" Target="webSettings.xml"/><Relationship Id="rId15" Type="http://schemas.openxmlformats.org/officeDocument/2006/relationships/chart" Target="charts/chart3.xml"/><Relationship Id="rId23" Type="http://schemas.openxmlformats.org/officeDocument/2006/relationships/hyperlink" Target="https://www.abs.gov.au/statistics/labour/employment-and-unemployment/labour-force-australia-detailed/latest-release" TargetMode="External"/><Relationship Id="rId28" Type="http://schemas.openxmlformats.org/officeDocument/2006/relationships/hyperlink" Target="https://www.abs.gov.au/statistics/people/population/national-state-and-territory-population/latest-release" TargetMode="External"/><Relationship Id="rId36" Type="http://schemas.openxmlformats.org/officeDocument/2006/relationships/footer" Target="footer1.xml"/><Relationship Id="rId10" Type="http://schemas.openxmlformats.org/officeDocument/2006/relationships/hyperlink" Target="https://www.jobsandskills.gov.au/" TargetMode="External"/><Relationship Id="rId19" Type="http://schemas.openxmlformats.org/officeDocument/2006/relationships/chart" Target="charts/chart5.xml"/><Relationship Id="rId31" Type="http://schemas.openxmlformats.org/officeDocument/2006/relationships/hyperlink" Target="https://www.abs.gov.au/statistics/labour/employment-and-unemployment/labour-force-australia/latest-release" TargetMode="External"/><Relationship Id="rId4" Type="http://schemas.openxmlformats.org/officeDocument/2006/relationships/settings" Target="settings.xml"/><Relationship Id="rId9" Type="http://schemas.openxmlformats.org/officeDocument/2006/relationships/image" Target="media/image2.svg"/><Relationship Id="rId14" Type="http://schemas.openxmlformats.org/officeDocument/2006/relationships/hyperlink" Target="https://www.abs.gov.au/statistics/labour/employment-and-unemployment/labour-force-australia-detailed/latest-release" TargetMode="External"/><Relationship Id="rId22" Type="http://schemas.openxmlformats.org/officeDocument/2006/relationships/chart" Target="charts/chart7.xml"/><Relationship Id="rId27" Type="http://schemas.openxmlformats.org/officeDocument/2006/relationships/hyperlink" Target="https://www.jobsandskills.gov.au/data/internet-vacancy-index" TargetMode="External"/><Relationship Id="rId30" Type="http://schemas.openxmlformats.org/officeDocument/2006/relationships/chart" Target="charts/chart9.xml"/><Relationship Id="rId35" Type="http://schemas.openxmlformats.org/officeDocument/2006/relationships/hyperlink" Target="mailto:migration@jobsandskills.gov.au" TargetMode="Externa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hyperlink" Target="https://www.abs.gov.au/statistics/labour/employment-and-unemployment/labour-force-australia-detailed/latest-release" TargetMode="External"/><Relationship Id="rId17" Type="http://schemas.openxmlformats.org/officeDocument/2006/relationships/chart" Target="charts/chart4.xml"/><Relationship Id="rId25" Type="http://schemas.openxmlformats.org/officeDocument/2006/relationships/hyperlink" Target="https://www.jobsandskills.gov.au/work/internet-vacancy-index" TargetMode="External"/><Relationship Id="rId33" Type="http://schemas.openxmlformats.org/officeDocument/2006/relationships/hyperlink" Target="https://www.abs.gov.au/statistics/labour/employment-and-unemployment/labour-force-australia-detailed/latest-release" TargetMode="External"/><Relationship Id="rId38" Type="http://schemas.openxmlformats.org/officeDocument/2006/relationships/footer" Target="footer2.xml"/></Relationships>
</file>

<file path=word/_rels/footnotes.xml.rels><?xml version="1.0" encoding="UTF-8" standalone="yes"?>
<Relationships xmlns="http://schemas.openxmlformats.org/package/2006/relationships"><Relationship Id="rId3" Type="http://schemas.openxmlformats.org/officeDocument/2006/relationships/hyperlink" Target="https://www.abs.gov.au/statistics/classifications/osca-occupation-standard-classification-australia/2024-version-1-0" TargetMode="External"/><Relationship Id="rId2" Type="http://schemas.openxmlformats.org/officeDocument/2006/relationships/hyperlink" Target="https://www.abs.gov.au/statistics/classifications/anzsco-australian-and-new-zealand-standard-classification-occupations/2022" TargetMode="External"/><Relationship Id="rId1" Type="http://schemas.openxmlformats.org/officeDocument/2006/relationships/hyperlink" Target="https://www.abs.gov.au/statistics/labour/employment-and-unemployment/labour-force-australia-detailed/latest-release" TargetMode="External"/><Relationship Id="rId5" Type="http://schemas.openxmlformats.org/officeDocument/2006/relationships/hyperlink" Target="https://population.gov.au/publications/statements/2024-population-statement" TargetMode="External"/><Relationship Id="rId4" Type="http://schemas.openxmlformats.org/officeDocument/2006/relationships/hyperlink" Target="https://www.jobsandskills.gov.au/data/internet-vacancy-index"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EMP.application.enet\50038325\LMRA%20Branch\40.%20MPAS\MPAS\2.%20ALMU%20and%20ALMO%20and%20ALMM\2025\April\ALMM\QA\QA%20_%20ALMM%20April%202025%20local.xlsx" TargetMode="External"/></Relationships>
</file>

<file path=word/charts/_rels/chart10.xml.rels><?xml version="1.0" encoding="UTF-8" standalone="yes"?>
<Relationships xmlns="http://schemas.openxmlformats.org/package/2006/relationships"><Relationship Id="rId3" Type="http://schemas.openxmlformats.org/officeDocument/2006/relationships/oleObject" Target="file:///\\EMP.application.enet\50038325\LMRA%20Branch\40.%20MPAS\MPAS\2.%20ALMU%20and%20ALMO%20and%20ALMM\2025\April\Hot%20Topic\Draft%20-%20State%20and%20Territory%20Hot%20Topic%20April%202025%20n.xlsx" TargetMode="External"/><Relationship Id="rId2" Type="http://schemas.microsoft.com/office/2011/relationships/chartColorStyle" Target="colors7.xml"/><Relationship Id="rId1" Type="http://schemas.microsoft.com/office/2011/relationships/chartStyle" Target="style7.xml"/></Relationships>
</file>

<file path=word/charts/_rels/chart2.xml.rels><?xml version="1.0" encoding="UTF-8" standalone="yes"?>
<Relationships xmlns="http://schemas.openxmlformats.org/package/2006/relationships"><Relationship Id="rId1" Type="http://schemas.openxmlformats.org/officeDocument/2006/relationships/oleObject" Target="file:///\\EMP.application.enet\50038325\LMRA%20Branch\40.%20MPAS\MPAS\2.%20ALMU%20and%20ALMO%20and%20ALMM\2025\April\ALMM\QA\QA%20_%20ALMM%20April%202025.xlsx" TargetMode="External"/></Relationships>
</file>

<file path=word/charts/_rels/chart3.xml.rels><?xml version="1.0" encoding="UTF-8" standalone="yes"?>
<Relationships xmlns="http://schemas.openxmlformats.org/package/2006/relationships"><Relationship Id="rId3" Type="http://schemas.openxmlformats.org/officeDocument/2006/relationships/oleObject" Target="file:///\\EMP.application.enet\50038325\LMRA%20Branch\40.%20MPAS\MPAS\2.%20ALMU%20and%20ALMO%20and%20ALMM\2025\April\ALMM\QA\QA%20_%20ALMM%20April%202025.xlsx" TargetMode="External"/><Relationship Id="rId2" Type="http://schemas.microsoft.com/office/2011/relationships/chartColorStyle" Target="colors1.xml"/><Relationship Id="rId1" Type="http://schemas.microsoft.com/office/2011/relationships/chartStyle" Target="style1.xml"/></Relationships>
</file>

<file path=word/charts/_rels/chart4.xml.rels><?xml version="1.0" encoding="UTF-8" standalone="yes"?>
<Relationships xmlns="http://schemas.openxmlformats.org/package/2006/relationships"><Relationship Id="rId3" Type="http://schemas.openxmlformats.org/officeDocument/2006/relationships/oleObject" Target="file:///\\EMP.application.enet\50038325\LMRA%20Branch\40.%20MPAS\MPAS\2.%20ALMU%20and%20ALMO%20and%20ALMM\2025\April\ALMM\QA\QA%20_%20ALMM%20April%202025.xlsx" TargetMode="External"/><Relationship Id="rId2" Type="http://schemas.microsoft.com/office/2011/relationships/chartColorStyle" Target="colors2.xml"/><Relationship Id="rId1" Type="http://schemas.microsoft.com/office/2011/relationships/chartStyle" Target="style2.xml"/></Relationships>
</file>

<file path=word/charts/_rels/chart5.xml.rels><?xml version="1.0" encoding="UTF-8" standalone="yes"?>
<Relationships xmlns="http://schemas.openxmlformats.org/package/2006/relationships"><Relationship Id="rId3" Type="http://schemas.openxmlformats.org/officeDocument/2006/relationships/oleObject" Target="file:///\\EMP.application.enet\50038325\LMRA%20Branch\40.%20MPAS\MPAS\2.%20ALMU%20and%20ALMO%20and%20ALMM\2025\April\ALMM\ALMM%20April%202025%20spreadsheet.xlsx" TargetMode="External"/><Relationship Id="rId2" Type="http://schemas.microsoft.com/office/2011/relationships/chartColorStyle" Target="colors3.xml"/><Relationship Id="rId1" Type="http://schemas.microsoft.com/office/2011/relationships/chartStyle" Target="style3.xml"/></Relationships>
</file>

<file path=word/charts/_rels/chart6.xml.rels><?xml version="1.0" encoding="UTF-8" standalone="yes"?>
<Relationships xmlns="http://schemas.openxmlformats.org/package/2006/relationships"><Relationship Id="rId3" Type="http://schemas.openxmlformats.org/officeDocument/2006/relationships/oleObject" Target="file:///\\EMP.application.enet\50038325\LMRA%20Branch\40.%20MPAS\MPAS\2.%20ALMU%20and%20ALMO%20and%20ALMM\2025\April\ALMM\ALMM%20April%202025%20spreadsheet.xlsx" TargetMode="External"/><Relationship Id="rId2" Type="http://schemas.microsoft.com/office/2011/relationships/chartColorStyle" Target="colors4.xml"/><Relationship Id="rId1" Type="http://schemas.microsoft.com/office/2011/relationships/chartStyle" Target="style4.xml"/></Relationships>
</file>

<file path=word/charts/_rels/chart7.xml.rels><?xml version="1.0" encoding="UTF-8" standalone="yes"?>
<Relationships xmlns="http://schemas.openxmlformats.org/package/2006/relationships"><Relationship Id="rId3" Type="http://schemas.openxmlformats.org/officeDocument/2006/relationships/oleObject" Target="file:///\\EMP.application.enet\50038325\LMRA%20Branch\40.%20MPAS\MPAS\2.%20ALMU%20and%20ALMO%20and%20ALMM\2025\April\ALMM\QA\QA%20_%20ALMM%20April%202025.xlsx" TargetMode="External"/><Relationship Id="rId2" Type="http://schemas.microsoft.com/office/2011/relationships/chartColorStyle" Target="colors5.xml"/><Relationship Id="rId1" Type="http://schemas.microsoft.com/office/2011/relationships/chartStyle" Target="style5.xml"/></Relationships>
</file>

<file path=word/charts/_rels/chart8.xml.rels><?xml version="1.0" encoding="UTF-8" standalone="yes"?>
<Relationships xmlns="http://schemas.openxmlformats.org/package/2006/relationships"><Relationship Id="rId1" Type="http://schemas.openxmlformats.org/officeDocument/2006/relationships/oleObject" Target="file:///\\EMP.application.enet\50038325\LMRA%20Branch\40.%20MPAS\MPAS\2.%20ALMU%20and%20ALMO%20and%20ALMM\2025\April\ALMM\ALMM%20April%202025%20spreadsheet.xlsx" TargetMode="External"/></Relationships>
</file>

<file path=word/charts/_rels/chart9.xml.rels><?xml version="1.0" encoding="UTF-8" standalone="yes"?>
<Relationships xmlns="http://schemas.openxmlformats.org/package/2006/relationships"><Relationship Id="rId3" Type="http://schemas.openxmlformats.org/officeDocument/2006/relationships/oleObject" Target="file:///\\EMP.application.enet\50038325\LMRA%20Branch\40.%20MPAS\MPAS\2.%20ALMU%20and%20ALMO%20and%20ALMM\2025\April\Hot%20Topic\Draft%20-%20State%20and%20Territory%20Hot%20Topic%20April%202025%20n.xlsx" TargetMode="External"/><Relationship Id="rId2" Type="http://schemas.microsoft.com/office/2011/relationships/chartColorStyle" Target="colors6.xml"/><Relationship Id="rId1" Type="http://schemas.microsoft.com/office/2011/relationships/chartStyle" Target="style6.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tx>
            <c:strRef>
              <c:f>'Employment (fig 1)'!$A$56</c:f>
              <c:strCache>
                <c:ptCount val="1"/>
                <c:pt idx="0">
                  <c:v>Professional, Scientific and Technical Services</c:v>
                </c:pt>
              </c:strCache>
            </c:strRef>
          </c:tx>
          <c:spPr>
            <a:solidFill>
              <a:srgbClr val="6929C4"/>
            </a:solidFill>
            <a:ln>
              <a:noFill/>
            </a:ln>
            <a:effectLst/>
          </c:spPr>
          <c:invertIfNegative val="0"/>
          <c:cat>
            <c:strRef>
              <c:f>'Employment (fig 1)'!$A$56:$A$74</c:f>
              <c:strCache>
                <c:ptCount val="19"/>
                <c:pt idx="0">
                  <c:v>Professional, Scientific and Technical Services</c:v>
                </c:pt>
                <c:pt idx="1">
                  <c:v>Manufacturing</c:v>
                </c:pt>
                <c:pt idx="2">
                  <c:v>Agriculture, Forestry and Fishing</c:v>
                </c:pt>
                <c:pt idx="3">
                  <c:v>Wholesale Trade</c:v>
                </c:pt>
                <c:pt idx="4">
                  <c:v>Information Media and Telecommunications</c:v>
                </c:pt>
                <c:pt idx="5">
                  <c:v>Transport, Postal and Warehousing</c:v>
                </c:pt>
                <c:pt idx="6">
                  <c:v>Administrative and Support Services</c:v>
                </c:pt>
                <c:pt idx="7">
                  <c:v>Financial and Insurance Services</c:v>
                </c:pt>
                <c:pt idx="8">
                  <c:v>Arts and Recreation Services</c:v>
                </c:pt>
                <c:pt idx="9">
                  <c:v>Mining</c:v>
                </c:pt>
                <c:pt idx="10">
                  <c:v>Electricity, Gas, Water and Waste Services</c:v>
                </c:pt>
                <c:pt idx="11">
                  <c:v>Rental, Hiring and Real Estate Services</c:v>
                </c:pt>
                <c:pt idx="12">
                  <c:v>Retail Trade</c:v>
                </c:pt>
                <c:pt idx="13">
                  <c:v>Other Services</c:v>
                </c:pt>
                <c:pt idx="14">
                  <c:v>Public Administration and Safety</c:v>
                </c:pt>
                <c:pt idx="15">
                  <c:v>Accommodation and Food Services</c:v>
                </c:pt>
                <c:pt idx="16">
                  <c:v>Construction</c:v>
                </c:pt>
                <c:pt idx="17">
                  <c:v>Education and Training</c:v>
                </c:pt>
                <c:pt idx="18">
                  <c:v>Health Care and Social Assistance</c:v>
                </c:pt>
              </c:strCache>
            </c:strRef>
          </c:cat>
          <c:val>
            <c:numRef>
              <c:f>'Employment (fig 1)'!$B$56:$B$74</c:f>
              <c:numCache>
                <c:formatCode>0.000</c:formatCode>
                <c:ptCount val="19"/>
                <c:pt idx="0">
                  <c:v>-26.2955822850017</c:v>
                </c:pt>
                <c:pt idx="1">
                  <c:v>-20.530908735267399</c:v>
                </c:pt>
                <c:pt idx="2">
                  <c:v>-5.6707642474744402</c:v>
                </c:pt>
                <c:pt idx="3">
                  <c:v>-3.9663418768352598</c:v>
                </c:pt>
                <c:pt idx="4">
                  <c:v>-0.85331792604117096</c:v>
                </c:pt>
                <c:pt idx="5">
                  <c:v>1.7907651223038099</c:v>
                </c:pt>
                <c:pt idx="6">
                  <c:v>2.5996140052787999</c:v>
                </c:pt>
                <c:pt idx="7">
                  <c:v>5.0062277850270203</c:v>
                </c:pt>
                <c:pt idx="8">
                  <c:v>9.9947301984650494</c:v>
                </c:pt>
                <c:pt idx="9">
                  <c:v>10.34499275153</c:v>
                </c:pt>
                <c:pt idx="10">
                  <c:v>11.531626027170899</c:v>
                </c:pt>
                <c:pt idx="11">
                  <c:v>12.494701766635901</c:v>
                </c:pt>
                <c:pt idx="12">
                  <c:v>13.6300853231955</c:v>
                </c:pt>
                <c:pt idx="13">
                  <c:v>17.664264461140501</c:v>
                </c:pt>
                <c:pt idx="14">
                  <c:v>32.796109014726802</c:v>
                </c:pt>
                <c:pt idx="15">
                  <c:v>34.542230013498603</c:v>
                </c:pt>
                <c:pt idx="16">
                  <c:v>47.517097609830898</c:v>
                </c:pt>
                <c:pt idx="17">
                  <c:v>50.453243176508302</c:v>
                </c:pt>
                <c:pt idx="18">
                  <c:v>73.769403021604404</c:v>
                </c:pt>
              </c:numCache>
            </c:numRef>
          </c:val>
          <c:extLst>
            <c:ext xmlns:c16="http://schemas.microsoft.com/office/drawing/2014/chart" uri="{C3380CC4-5D6E-409C-BE32-E72D297353CC}">
              <c16:uniqueId val="{00000000-D555-4337-8E65-31BC1F81D1F1}"/>
            </c:ext>
          </c:extLst>
        </c:ser>
        <c:dLbls>
          <c:showLegendKey val="0"/>
          <c:showVal val="0"/>
          <c:showCatName val="0"/>
          <c:showSerName val="0"/>
          <c:showPercent val="0"/>
          <c:showBubbleSize val="0"/>
        </c:dLbls>
        <c:gapWidth val="182"/>
        <c:axId val="1032988976"/>
        <c:axId val="1032984176"/>
      </c:barChart>
      <c:catAx>
        <c:axId val="1032988976"/>
        <c:scaling>
          <c:orientation val="minMax"/>
        </c:scaling>
        <c:delete val="0"/>
        <c:axPos val="l"/>
        <c:numFmt formatCode="General" sourceLinked="1"/>
        <c:majorTickMark val="none"/>
        <c:minorTickMark val="none"/>
        <c:tickLblPos val="low"/>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700" b="0" i="0" u="none" strike="noStrike" kern="1200" baseline="0">
                <a:solidFill>
                  <a:schemeClr val="tx1">
                    <a:lumMod val="65000"/>
                    <a:lumOff val="35000"/>
                  </a:schemeClr>
                </a:solidFill>
                <a:latin typeface="+mn-lt"/>
                <a:ea typeface="+mn-ea"/>
                <a:cs typeface="+mn-cs"/>
              </a:defRPr>
            </a:pPr>
            <a:endParaRPr lang="en-US"/>
          </a:p>
        </c:txPr>
        <c:crossAx val="1032984176"/>
        <c:crosses val="autoZero"/>
        <c:auto val="1"/>
        <c:lblAlgn val="ctr"/>
        <c:lblOffset val="100"/>
        <c:noMultiLvlLbl val="0"/>
      </c:catAx>
      <c:valAx>
        <c:axId val="1032984176"/>
        <c:scaling>
          <c:orientation val="minMax"/>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r>
                  <a:rPr lang="en-AU" sz="900"/>
                  <a:t>Change</a:t>
                </a:r>
                <a:r>
                  <a:rPr lang="en-AU" sz="900" baseline="0"/>
                  <a:t> in Persons Employed ('000s)</a:t>
                </a:r>
                <a:endParaRPr lang="en-AU" sz="900"/>
              </a:p>
            </c:rich>
          </c:tx>
          <c:layout>
            <c:manualLayout>
              <c:xMode val="edge"/>
              <c:yMode val="edge"/>
              <c:x val="0.48221756352431955"/>
              <c:y val="0.93145202368571844"/>
            </c:manualLayout>
          </c:layout>
          <c:overlay val="0"/>
          <c:spPr>
            <a:noFill/>
            <a:ln>
              <a:noFill/>
            </a:ln>
            <a:effectLst/>
          </c:sp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032988976"/>
        <c:crosses val="autoZero"/>
        <c:crossBetween val="between"/>
      </c:valAx>
    </c:plotArea>
    <c:plotVisOnly val="1"/>
    <c:dispBlanksAs val="gap"/>
    <c:showDLblsOverMax val="0"/>
    <c:extLst/>
  </c:chart>
  <c:spPr>
    <a:solidFill>
      <a:schemeClr val="bg1"/>
    </a:solidFill>
    <a:ln w="9525" cap="flat" cmpd="sng" algn="ctr">
      <a:noFill/>
      <a:round/>
    </a:ln>
    <a:effectLst/>
  </c:spPr>
  <c:txPr>
    <a:bodyPr/>
    <a:lstStyle/>
    <a:p>
      <a:pPr>
        <a:defRPr/>
      </a:pPr>
      <a:endParaRPr lang="en-US"/>
    </a:p>
  </c:txPr>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1133976910098735"/>
          <c:y val="4.5919432268837407E-2"/>
          <c:w val="0.86428620032068337"/>
          <c:h val="0.69807036487377083"/>
        </c:manualLayout>
      </c:layout>
      <c:barChart>
        <c:barDir val="col"/>
        <c:grouping val="clustered"/>
        <c:varyColors val="0"/>
        <c:ser>
          <c:idx val="0"/>
          <c:order val="0"/>
          <c:tx>
            <c:strRef>
              <c:f>'Figure B - Unemployment&amp;Gender'!$C$30</c:f>
              <c:strCache>
                <c:ptCount val="1"/>
                <c:pt idx="0">
                  <c:v>Male - Recent Migrants</c:v>
                </c:pt>
              </c:strCache>
            </c:strRef>
          </c:tx>
          <c:spPr>
            <a:solidFill>
              <a:srgbClr val="692DC4"/>
            </a:solidFill>
            <a:ln>
              <a:noFill/>
            </a:ln>
            <a:effectLst/>
          </c:spPr>
          <c:invertIfNegative val="0"/>
          <c:cat>
            <c:strRef>
              <c:f>'Figure B - Unemployment&amp;Gender'!$B$31:$B$39</c:f>
              <c:strCache>
                <c:ptCount val="9"/>
                <c:pt idx="0">
                  <c:v>NSW</c:v>
                </c:pt>
                <c:pt idx="1">
                  <c:v>VIC</c:v>
                </c:pt>
                <c:pt idx="2">
                  <c:v>QLD</c:v>
                </c:pt>
                <c:pt idx="3">
                  <c:v>SA</c:v>
                </c:pt>
                <c:pt idx="4">
                  <c:v>WA</c:v>
                </c:pt>
                <c:pt idx="5">
                  <c:v>TAS</c:v>
                </c:pt>
                <c:pt idx="6">
                  <c:v>NT</c:v>
                </c:pt>
                <c:pt idx="7">
                  <c:v>ACT</c:v>
                </c:pt>
                <c:pt idx="8">
                  <c:v>AUS</c:v>
                </c:pt>
              </c:strCache>
            </c:strRef>
          </c:cat>
          <c:val>
            <c:numRef>
              <c:f>'Figure B - Unemployment&amp;Gender'!$C$31:$C$39</c:f>
              <c:numCache>
                <c:formatCode>General</c:formatCode>
                <c:ptCount val="9"/>
                <c:pt idx="0">
                  <c:v>3.1355705191015297</c:v>
                </c:pt>
                <c:pt idx="1">
                  <c:v>7.7992045747513572</c:v>
                </c:pt>
                <c:pt idx="2">
                  <c:v>8.9349523563205313</c:v>
                </c:pt>
                <c:pt idx="3">
                  <c:v>3.534847603051281</c:v>
                </c:pt>
                <c:pt idx="4">
                  <c:v>2.6746414378951586</c:v>
                </c:pt>
                <c:pt idx="5">
                  <c:v>1.502341546869864</c:v>
                </c:pt>
                <c:pt idx="6">
                  <c:v>2.2889666783105409</c:v>
                </c:pt>
                <c:pt idx="7">
                  <c:v>4.011118150985987</c:v>
                </c:pt>
                <c:pt idx="8">
                  <c:v>5.4175968541639268</c:v>
                </c:pt>
              </c:numCache>
            </c:numRef>
          </c:val>
          <c:extLst>
            <c:ext xmlns:c16="http://schemas.microsoft.com/office/drawing/2014/chart" uri="{C3380CC4-5D6E-409C-BE32-E72D297353CC}">
              <c16:uniqueId val="{00000000-F46E-4082-B057-D9E259194B54}"/>
            </c:ext>
          </c:extLst>
        </c:ser>
        <c:ser>
          <c:idx val="1"/>
          <c:order val="1"/>
          <c:tx>
            <c:strRef>
              <c:f>'Figure B - Unemployment&amp;Gender'!$D$30</c:f>
              <c:strCache>
                <c:ptCount val="1"/>
                <c:pt idx="0">
                  <c:v>Female - Recent Migrants</c:v>
                </c:pt>
              </c:strCache>
            </c:strRef>
          </c:tx>
          <c:spPr>
            <a:solidFill>
              <a:srgbClr val="009D9A"/>
            </a:solidFill>
            <a:ln>
              <a:noFill/>
            </a:ln>
            <a:effectLst/>
          </c:spPr>
          <c:invertIfNegative val="0"/>
          <c:cat>
            <c:strRef>
              <c:f>'Figure B - Unemployment&amp;Gender'!$B$31:$B$39</c:f>
              <c:strCache>
                <c:ptCount val="9"/>
                <c:pt idx="0">
                  <c:v>NSW</c:v>
                </c:pt>
                <c:pt idx="1">
                  <c:v>VIC</c:v>
                </c:pt>
                <c:pt idx="2">
                  <c:v>QLD</c:v>
                </c:pt>
                <c:pt idx="3">
                  <c:v>SA</c:v>
                </c:pt>
                <c:pt idx="4">
                  <c:v>WA</c:v>
                </c:pt>
                <c:pt idx="5">
                  <c:v>TAS</c:v>
                </c:pt>
                <c:pt idx="6">
                  <c:v>NT</c:v>
                </c:pt>
                <c:pt idx="7">
                  <c:v>ACT</c:v>
                </c:pt>
                <c:pt idx="8">
                  <c:v>AUS</c:v>
                </c:pt>
              </c:strCache>
            </c:strRef>
          </c:cat>
          <c:val>
            <c:numRef>
              <c:f>'Figure B - Unemployment&amp;Gender'!$D$31:$D$39</c:f>
              <c:numCache>
                <c:formatCode>General</c:formatCode>
                <c:ptCount val="9"/>
                <c:pt idx="0">
                  <c:v>6.0891778497704854</c:v>
                </c:pt>
                <c:pt idx="1">
                  <c:v>6.8465499936749623</c:v>
                </c:pt>
                <c:pt idx="2">
                  <c:v>7.8816229389372561</c:v>
                </c:pt>
                <c:pt idx="3">
                  <c:v>5.2712324821193768</c:v>
                </c:pt>
                <c:pt idx="4">
                  <c:v>4.4397603272489379</c:v>
                </c:pt>
                <c:pt idx="5">
                  <c:v>2.1408684267251386</c:v>
                </c:pt>
                <c:pt idx="6">
                  <c:v>0.21094416200415456</c:v>
                </c:pt>
                <c:pt idx="7">
                  <c:v>4.885982657813182</c:v>
                </c:pt>
                <c:pt idx="8">
                  <c:v>6.2503431372310834</c:v>
                </c:pt>
              </c:numCache>
            </c:numRef>
          </c:val>
          <c:extLst>
            <c:ext xmlns:c16="http://schemas.microsoft.com/office/drawing/2014/chart" uri="{C3380CC4-5D6E-409C-BE32-E72D297353CC}">
              <c16:uniqueId val="{00000001-F46E-4082-B057-D9E259194B54}"/>
            </c:ext>
          </c:extLst>
        </c:ser>
        <c:ser>
          <c:idx val="2"/>
          <c:order val="2"/>
          <c:tx>
            <c:strRef>
              <c:f>'Figure B - Unemployment&amp;Gender'!$E$30</c:f>
              <c:strCache>
                <c:ptCount val="1"/>
                <c:pt idx="0">
                  <c:v>Male - Established Migrants</c:v>
                </c:pt>
              </c:strCache>
            </c:strRef>
          </c:tx>
          <c:spPr>
            <a:solidFill>
              <a:srgbClr val="012749"/>
            </a:solidFill>
            <a:ln>
              <a:noFill/>
            </a:ln>
            <a:effectLst/>
          </c:spPr>
          <c:invertIfNegative val="0"/>
          <c:cat>
            <c:strRef>
              <c:f>'Figure B - Unemployment&amp;Gender'!$B$31:$B$39</c:f>
              <c:strCache>
                <c:ptCount val="9"/>
                <c:pt idx="0">
                  <c:v>NSW</c:v>
                </c:pt>
                <c:pt idx="1">
                  <c:v>VIC</c:v>
                </c:pt>
                <c:pt idx="2">
                  <c:v>QLD</c:v>
                </c:pt>
                <c:pt idx="3">
                  <c:v>SA</c:v>
                </c:pt>
                <c:pt idx="4">
                  <c:v>WA</c:v>
                </c:pt>
                <c:pt idx="5">
                  <c:v>TAS</c:v>
                </c:pt>
                <c:pt idx="6">
                  <c:v>NT</c:v>
                </c:pt>
                <c:pt idx="7">
                  <c:v>ACT</c:v>
                </c:pt>
                <c:pt idx="8">
                  <c:v>AUS</c:v>
                </c:pt>
              </c:strCache>
            </c:strRef>
          </c:cat>
          <c:val>
            <c:numRef>
              <c:f>'Figure B - Unemployment&amp;Gender'!$E$31:$E$39</c:f>
              <c:numCache>
                <c:formatCode>General</c:formatCode>
                <c:ptCount val="9"/>
                <c:pt idx="0">
                  <c:v>4.0593051068121877</c:v>
                </c:pt>
                <c:pt idx="1">
                  <c:v>4.3114953880556994</c:v>
                </c:pt>
                <c:pt idx="2">
                  <c:v>3.5872840738680587</c:v>
                </c:pt>
                <c:pt idx="3">
                  <c:v>1.8066287218452091</c:v>
                </c:pt>
                <c:pt idx="4">
                  <c:v>2.5021970413851635</c:v>
                </c:pt>
                <c:pt idx="5">
                  <c:v>2.8572519146745936</c:v>
                </c:pt>
                <c:pt idx="6">
                  <c:v>2.2654553359727081</c:v>
                </c:pt>
                <c:pt idx="7">
                  <c:v>1.3774826337001034</c:v>
                </c:pt>
                <c:pt idx="8">
                  <c:v>3.6587963547982536</c:v>
                </c:pt>
              </c:numCache>
            </c:numRef>
          </c:val>
          <c:extLst>
            <c:ext xmlns:c16="http://schemas.microsoft.com/office/drawing/2014/chart" uri="{C3380CC4-5D6E-409C-BE32-E72D297353CC}">
              <c16:uniqueId val="{00000002-F46E-4082-B057-D9E259194B54}"/>
            </c:ext>
          </c:extLst>
        </c:ser>
        <c:ser>
          <c:idx val="3"/>
          <c:order val="3"/>
          <c:tx>
            <c:strRef>
              <c:f>'Figure B - Unemployment&amp;Gender'!$F$30</c:f>
              <c:strCache>
                <c:ptCount val="1"/>
                <c:pt idx="0">
                  <c:v>Female - Established Migrants</c:v>
                </c:pt>
              </c:strCache>
            </c:strRef>
          </c:tx>
          <c:spPr>
            <a:solidFill>
              <a:srgbClr val="EE538B"/>
            </a:solidFill>
            <a:ln>
              <a:noFill/>
            </a:ln>
            <a:effectLst/>
          </c:spPr>
          <c:invertIfNegative val="0"/>
          <c:cat>
            <c:strRef>
              <c:f>'Figure B - Unemployment&amp;Gender'!$B$31:$B$39</c:f>
              <c:strCache>
                <c:ptCount val="9"/>
                <c:pt idx="0">
                  <c:v>NSW</c:v>
                </c:pt>
                <c:pt idx="1">
                  <c:v>VIC</c:v>
                </c:pt>
                <c:pt idx="2">
                  <c:v>QLD</c:v>
                </c:pt>
                <c:pt idx="3">
                  <c:v>SA</c:v>
                </c:pt>
                <c:pt idx="4">
                  <c:v>WA</c:v>
                </c:pt>
                <c:pt idx="5">
                  <c:v>TAS</c:v>
                </c:pt>
                <c:pt idx="6">
                  <c:v>NT</c:v>
                </c:pt>
                <c:pt idx="7">
                  <c:v>ACT</c:v>
                </c:pt>
                <c:pt idx="8">
                  <c:v>AUS</c:v>
                </c:pt>
              </c:strCache>
            </c:strRef>
          </c:cat>
          <c:val>
            <c:numRef>
              <c:f>'Figure B - Unemployment&amp;Gender'!$F$31:$F$39</c:f>
              <c:numCache>
                <c:formatCode>General</c:formatCode>
                <c:ptCount val="9"/>
                <c:pt idx="0">
                  <c:v>4.5381718160776687</c:v>
                </c:pt>
                <c:pt idx="1">
                  <c:v>4.6421642701417936</c:v>
                </c:pt>
                <c:pt idx="2">
                  <c:v>3.2880341422889003</c:v>
                </c:pt>
                <c:pt idx="3">
                  <c:v>4.1183748183707545</c:v>
                </c:pt>
                <c:pt idx="4">
                  <c:v>2.4379739241081064</c:v>
                </c:pt>
                <c:pt idx="5">
                  <c:v>3.3087192367676916</c:v>
                </c:pt>
                <c:pt idx="6">
                  <c:v>1.9038160336635388</c:v>
                </c:pt>
                <c:pt idx="7">
                  <c:v>1.9987929375407405</c:v>
                </c:pt>
                <c:pt idx="8">
                  <c:v>3.9505229977170839</c:v>
                </c:pt>
              </c:numCache>
            </c:numRef>
          </c:val>
          <c:extLst>
            <c:ext xmlns:c16="http://schemas.microsoft.com/office/drawing/2014/chart" uri="{C3380CC4-5D6E-409C-BE32-E72D297353CC}">
              <c16:uniqueId val="{00000003-F46E-4082-B057-D9E259194B54}"/>
            </c:ext>
          </c:extLst>
        </c:ser>
        <c:dLbls>
          <c:showLegendKey val="0"/>
          <c:showVal val="0"/>
          <c:showCatName val="0"/>
          <c:showSerName val="0"/>
          <c:showPercent val="0"/>
          <c:showBubbleSize val="0"/>
        </c:dLbls>
        <c:gapWidth val="219"/>
        <c:axId val="952142207"/>
        <c:axId val="1092697759"/>
      </c:barChart>
      <c:catAx>
        <c:axId val="952142207"/>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092697759"/>
        <c:crosses val="autoZero"/>
        <c:auto val="1"/>
        <c:lblAlgn val="ctr"/>
        <c:lblOffset val="100"/>
        <c:noMultiLvlLbl val="0"/>
      </c:catAx>
      <c:valAx>
        <c:axId val="1092697759"/>
        <c:scaling>
          <c:orientation val="minMax"/>
        </c:scaling>
        <c:delete val="0"/>
        <c:axPos val="l"/>
        <c:majorGridlines>
          <c:spPr>
            <a:ln w="9525" cap="flat" cmpd="sng" algn="ctr">
              <a:no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AU" sz="1000" b="0" i="0" u="none" strike="noStrike" kern="1200" baseline="0">
                    <a:solidFill>
                      <a:sysClr val="windowText" lastClr="000000">
                        <a:lumMod val="65000"/>
                        <a:lumOff val="35000"/>
                      </a:sysClr>
                    </a:solidFill>
                  </a:rPr>
                  <a:t>Unemployment Rate (%)</a:t>
                </a:r>
              </a:p>
            </c:rich>
          </c:tx>
          <c:layout>
            <c:manualLayout>
              <c:xMode val="edge"/>
              <c:yMode val="edge"/>
              <c:x val="4.4316419233325945E-3"/>
              <c:y val="0.15698759320707956"/>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0.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52142207"/>
        <c:crosses val="autoZero"/>
        <c:crossBetween val="between"/>
      </c:valAx>
      <c:spPr>
        <a:noFill/>
        <a:ln>
          <a:noFill/>
        </a:ln>
        <a:effectLst/>
      </c:spPr>
    </c:plotArea>
    <c:legend>
      <c:legendPos val="b"/>
      <c:layout>
        <c:manualLayout>
          <c:xMode val="edge"/>
          <c:yMode val="edge"/>
          <c:x val="5.171115465208994E-2"/>
          <c:y val="0.84876466208787149"/>
          <c:w val="0.94533567226230819"/>
          <c:h val="0.1348394728204527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1593175271438068"/>
          <c:y val="8.9548191071817149E-2"/>
          <c:w val="0.83624350302101891"/>
          <c:h val="0.7139825360668185"/>
        </c:manualLayout>
      </c:layout>
      <c:barChart>
        <c:barDir val="col"/>
        <c:grouping val="clustered"/>
        <c:varyColors val="0"/>
        <c:ser>
          <c:idx val="0"/>
          <c:order val="0"/>
          <c:tx>
            <c:v>February 2024</c:v>
          </c:tx>
          <c:spPr>
            <a:solidFill>
              <a:srgbClr val="6929C4"/>
            </a:solidFill>
            <a:ln>
              <a:noFill/>
            </a:ln>
            <a:effectLst/>
          </c:spPr>
          <c:invertIfNegative val="0"/>
          <c:cat>
            <c:strRef>
              <c:f>'Employment (fig 2)'!$Q$22:$Q$29</c:f>
              <c:strCache>
                <c:ptCount val="8"/>
                <c:pt idx="0">
                  <c:v>NSW</c:v>
                </c:pt>
                <c:pt idx="1">
                  <c:v>VIC</c:v>
                </c:pt>
                <c:pt idx="2">
                  <c:v>QLD</c:v>
                </c:pt>
                <c:pt idx="3">
                  <c:v>SA</c:v>
                </c:pt>
                <c:pt idx="4">
                  <c:v>WA</c:v>
                </c:pt>
                <c:pt idx="5">
                  <c:v>TAS</c:v>
                </c:pt>
                <c:pt idx="6">
                  <c:v>NT</c:v>
                </c:pt>
                <c:pt idx="7">
                  <c:v>ACT</c:v>
                </c:pt>
              </c:strCache>
            </c:strRef>
          </c:cat>
          <c:val>
            <c:numRef>
              <c:f>'Employment (fig 2)'!$V$22:$V$29</c:f>
              <c:numCache>
                <c:formatCode>0.0</c:formatCode>
                <c:ptCount val="8"/>
                <c:pt idx="0">
                  <c:v>53.858528850645669</c:v>
                </c:pt>
                <c:pt idx="1">
                  <c:v>54.849846584367647</c:v>
                </c:pt>
                <c:pt idx="2">
                  <c:v>50.149376811845094</c:v>
                </c:pt>
                <c:pt idx="3">
                  <c:v>50.192140557834961</c:v>
                </c:pt>
                <c:pt idx="4">
                  <c:v>51.352655546363955</c:v>
                </c:pt>
                <c:pt idx="5">
                  <c:v>49.976624273426481</c:v>
                </c:pt>
                <c:pt idx="6">
                  <c:v>50.36057316953886</c:v>
                </c:pt>
                <c:pt idx="7">
                  <c:v>60.719155911595493</c:v>
                </c:pt>
              </c:numCache>
            </c:numRef>
          </c:val>
          <c:extLst>
            <c:ext xmlns:c16="http://schemas.microsoft.com/office/drawing/2014/chart" uri="{C3380CC4-5D6E-409C-BE32-E72D297353CC}">
              <c16:uniqueId val="{00000000-96E9-4906-8B32-E3B239975376}"/>
            </c:ext>
          </c:extLst>
        </c:ser>
        <c:ser>
          <c:idx val="1"/>
          <c:order val="1"/>
          <c:tx>
            <c:strRef>
              <c:f>'Employment (fig 2)'!$W$20</c:f>
              <c:strCache>
                <c:ptCount val="1"/>
                <c:pt idx="0">
                  <c:v>February 2025</c:v>
                </c:pt>
              </c:strCache>
            </c:strRef>
          </c:tx>
          <c:spPr>
            <a:solidFill>
              <a:srgbClr val="1192E8"/>
            </a:solidFill>
            <a:ln>
              <a:noFill/>
            </a:ln>
            <a:effectLst/>
          </c:spPr>
          <c:invertIfNegative val="0"/>
          <c:cat>
            <c:strRef>
              <c:f>'Employment (fig 2)'!$Q$22:$Q$29</c:f>
              <c:strCache>
                <c:ptCount val="8"/>
                <c:pt idx="0">
                  <c:v>NSW</c:v>
                </c:pt>
                <c:pt idx="1">
                  <c:v>VIC</c:v>
                </c:pt>
                <c:pt idx="2">
                  <c:v>QLD</c:v>
                </c:pt>
                <c:pt idx="3">
                  <c:v>SA</c:v>
                </c:pt>
                <c:pt idx="4">
                  <c:v>WA</c:v>
                </c:pt>
                <c:pt idx="5">
                  <c:v>TAS</c:v>
                </c:pt>
                <c:pt idx="6">
                  <c:v>NT</c:v>
                </c:pt>
                <c:pt idx="7">
                  <c:v>ACT</c:v>
                </c:pt>
              </c:strCache>
            </c:strRef>
          </c:cat>
          <c:val>
            <c:numRef>
              <c:f>'Employment (fig 2)'!$W$22:$W$29</c:f>
              <c:numCache>
                <c:formatCode>0.0</c:formatCode>
                <c:ptCount val="8"/>
                <c:pt idx="0">
                  <c:v>54.230983712835588</c:v>
                </c:pt>
                <c:pt idx="1">
                  <c:v>54.955601141079313</c:v>
                </c:pt>
                <c:pt idx="2">
                  <c:v>50.182756632613469</c:v>
                </c:pt>
                <c:pt idx="3">
                  <c:v>50.529187543415851</c:v>
                </c:pt>
                <c:pt idx="4">
                  <c:v>51.388560427012429</c:v>
                </c:pt>
                <c:pt idx="5">
                  <c:v>50.137518110665589</c:v>
                </c:pt>
                <c:pt idx="6">
                  <c:v>50.314467819611998</c:v>
                </c:pt>
                <c:pt idx="7">
                  <c:v>61.622922620814577</c:v>
                </c:pt>
              </c:numCache>
            </c:numRef>
          </c:val>
          <c:extLst>
            <c:ext xmlns:c16="http://schemas.microsoft.com/office/drawing/2014/chart" uri="{C3380CC4-5D6E-409C-BE32-E72D297353CC}">
              <c16:uniqueId val="{00000001-96E9-4906-8B32-E3B239975376}"/>
            </c:ext>
          </c:extLst>
        </c:ser>
        <c:dLbls>
          <c:showLegendKey val="0"/>
          <c:showVal val="0"/>
          <c:showCatName val="0"/>
          <c:showSerName val="0"/>
          <c:showPercent val="0"/>
          <c:showBubbleSize val="0"/>
        </c:dLbls>
        <c:gapWidth val="219"/>
        <c:overlap val="-27"/>
        <c:axId val="1577393887"/>
        <c:axId val="1577394847"/>
      </c:barChart>
      <c:catAx>
        <c:axId val="1577393887"/>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577394847"/>
        <c:crosses val="autoZero"/>
        <c:auto val="1"/>
        <c:lblAlgn val="ctr"/>
        <c:lblOffset val="100"/>
        <c:noMultiLvlLbl val="0"/>
      </c:catAx>
      <c:valAx>
        <c:axId val="1577394847"/>
        <c:scaling>
          <c:orientation val="minMax"/>
          <c:max val="70"/>
          <c:min val="0"/>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AU" sz="1000"/>
                  <a:t>% of employed persons</a:t>
                </a:r>
              </a:p>
            </c:rich>
          </c:tx>
          <c:layout>
            <c:manualLayout>
              <c:xMode val="edge"/>
              <c:yMode val="edge"/>
              <c:x val="6.6230365121931235E-4"/>
              <c:y val="0.15809814001737874"/>
            </c:manualLayout>
          </c:layout>
          <c:overlay val="0"/>
          <c:spPr>
            <a:noFill/>
            <a:ln>
              <a:noFill/>
            </a:ln>
            <a:effectLst/>
          </c:spPr>
        </c:title>
        <c:numFmt formatCode="0.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577393887"/>
        <c:crosses val="autoZero"/>
        <c:crossBetween val="between"/>
        <c:majorUnit val="10"/>
      </c:valAx>
    </c:plotArea>
    <c:legend>
      <c:legendPos val="b"/>
      <c:layout>
        <c:manualLayout>
          <c:xMode val="edge"/>
          <c:yMode val="edge"/>
          <c:x val="0.32365877609867644"/>
          <c:y val="0.91837498690350505"/>
          <c:w val="0.35268244780264707"/>
          <c:h val="8.1625013096494975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chart>
  <c:spPr>
    <a:solidFill>
      <a:schemeClr val="bg1"/>
    </a:solidFill>
    <a:ln w="9525" cap="flat" cmpd="sng" algn="ctr">
      <a:noFill/>
      <a:round/>
    </a:ln>
    <a:effectLst/>
  </c:spPr>
  <c:txPr>
    <a:bodyPr/>
    <a:lstStyle/>
    <a:p>
      <a:pPr>
        <a:defRPr/>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0888147869905103"/>
          <c:y val="5.3684095656303735E-2"/>
          <c:w val="0.84448375939956222"/>
          <c:h val="0.80376962932336948"/>
        </c:manualLayout>
      </c:layout>
      <c:barChart>
        <c:barDir val="col"/>
        <c:grouping val="clustered"/>
        <c:varyColors val="0"/>
        <c:ser>
          <c:idx val="0"/>
          <c:order val="0"/>
          <c:tx>
            <c:strRef>
              <c:f>'Unemployment (fig 3)'!$A$24</c:f>
              <c:strCache>
                <c:ptCount val="1"/>
                <c:pt idx="0">
                  <c:v>Unemployment Rate (Trend) by State/Territory</c:v>
                </c:pt>
              </c:strCache>
            </c:strRef>
          </c:tx>
          <c:spPr>
            <a:solidFill>
              <a:srgbClr val="6929C4"/>
            </a:solidFill>
            <a:ln>
              <a:noFill/>
            </a:ln>
            <a:effectLst/>
          </c:spPr>
          <c:invertIfNegative val="0"/>
          <c:cat>
            <c:strRef>
              <c:f>'Unemployment (fig 3)'!$B$26:$B$34</c:f>
              <c:strCache>
                <c:ptCount val="9"/>
                <c:pt idx="0">
                  <c:v>NSW</c:v>
                </c:pt>
                <c:pt idx="1">
                  <c:v>VIC</c:v>
                </c:pt>
                <c:pt idx="2">
                  <c:v>QLD</c:v>
                </c:pt>
                <c:pt idx="3">
                  <c:v>SA</c:v>
                </c:pt>
                <c:pt idx="4">
                  <c:v>WA</c:v>
                </c:pt>
                <c:pt idx="5">
                  <c:v>TAS</c:v>
                </c:pt>
                <c:pt idx="6">
                  <c:v>NT</c:v>
                </c:pt>
                <c:pt idx="7">
                  <c:v>ACT</c:v>
                </c:pt>
                <c:pt idx="8">
                  <c:v>AUS</c:v>
                </c:pt>
              </c:strCache>
            </c:strRef>
          </c:cat>
          <c:val>
            <c:numRef>
              <c:f>'Unemployment (fig 3)'!$D$26:$D$34</c:f>
              <c:numCache>
                <c:formatCode>0.0</c:formatCode>
                <c:ptCount val="9"/>
                <c:pt idx="0">
                  <c:v>4</c:v>
                </c:pt>
                <c:pt idx="1">
                  <c:v>4.5999999999999996</c:v>
                </c:pt>
                <c:pt idx="2">
                  <c:v>3.9</c:v>
                </c:pt>
                <c:pt idx="3">
                  <c:v>4</c:v>
                </c:pt>
                <c:pt idx="4">
                  <c:v>3.5</c:v>
                </c:pt>
                <c:pt idx="5">
                  <c:v>4</c:v>
                </c:pt>
                <c:pt idx="6">
                  <c:v>4.3</c:v>
                </c:pt>
                <c:pt idx="7">
                  <c:v>3</c:v>
                </c:pt>
                <c:pt idx="8">
                  <c:v>4</c:v>
                </c:pt>
              </c:numCache>
            </c:numRef>
          </c:val>
          <c:extLst>
            <c:ext xmlns:c16="http://schemas.microsoft.com/office/drawing/2014/chart" uri="{C3380CC4-5D6E-409C-BE32-E72D297353CC}">
              <c16:uniqueId val="{00000000-159E-43EA-90A7-9FA8C1E0D242}"/>
            </c:ext>
          </c:extLst>
        </c:ser>
        <c:dLbls>
          <c:showLegendKey val="0"/>
          <c:showVal val="0"/>
          <c:showCatName val="0"/>
          <c:showSerName val="0"/>
          <c:showPercent val="0"/>
          <c:showBubbleSize val="0"/>
        </c:dLbls>
        <c:gapWidth val="219"/>
        <c:overlap val="-27"/>
        <c:axId val="1282870704"/>
        <c:axId val="693162159"/>
      </c:barChart>
      <c:catAx>
        <c:axId val="128287070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ln>
                  <a:noFill/>
                </a:ln>
                <a:solidFill>
                  <a:schemeClr val="tx1">
                    <a:lumMod val="65000"/>
                    <a:lumOff val="35000"/>
                  </a:schemeClr>
                </a:solidFill>
                <a:latin typeface="+mn-lt"/>
                <a:ea typeface="+mn-ea"/>
                <a:cs typeface="+mn-cs"/>
              </a:defRPr>
            </a:pPr>
            <a:endParaRPr lang="en-US"/>
          </a:p>
        </c:txPr>
        <c:crossAx val="693162159"/>
        <c:crosses val="autoZero"/>
        <c:auto val="1"/>
        <c:lblAlgn val="ctr"/>
        <c:lblOffset val="100"/>
        <c:noMultiLvlLbl val="0"/>
      </c:catAx>
      <c:valAx>
        <c:axId val="693162159"/>
        <c:scaling>
          <c:orientation val="minMax"/>
        </c:scaling>
        <c:delete val="0"/>
        <c:axPos val="l"/>
        <c:title>
          <c:tx>
            <c:rich>
              <a:bodyPr rot="-5400000" spcFirstLastPara="1" vertOverflow="ellipsis" vert="horz" wrap="square" anchor="ctr" anchorCtr="1"/>
              <a:lstStyle/>
              <a:p>
                <a:pPr>
                  <a:defRPr sz="1000" b="0" i="0" u="none" strike="noStrike" kern="1200" baseline="0">
                    <a:ln>
                      <a:noFill/>
                    </a:ln>
                    <a:solidFill>
                      <a:schemeClr val="tx1">
                        <a:lumMod val="65000"/>
                        <a:lumOff val="35000"/>
                      </a:schemeClr>
                    </a:solidFill>
                    <a:latin typeface="+mn-lt"/>
                    <a:ea typeface="+mn-ea"/>
                    <a:cs typeface="+mn-cs"/>
                  </a:defRPr>
                </a:pPr>
                <a:r>
                  <a:rPr lang="en-AU"/>
                  <a:t>Unemployment Rate (%)</a:t>
                </a:r>
              </a:p>
            </c:rich>
          </c:tx>
          <c:layout>
            <c:manualLayout>
              <c:xMode val="edge"/>
              <c:yMode val="edge"/>
              <c:x val="7.0754516396521481E-3"/>
              <c:y val="0.15076029973394681"/>
            </c:manualLayout>
          </c:layout>
          <c:overlay val="0"/>
          <c:spPr>
            <a:noFill/>
            <a:ln>
              <a:noFill/>
            </a:ln>
            <a:effectLst/>
          </c:spPr>
          <c:txPr>
            <a:bodyPr rot="-5400000" spcFirstLastPara="1" vertOverflow="ellipsis" vert="horz" wrap="square" anchor="ctr" anchorCtr="1"/>
            <a:lstStyle/>
            <a:p>
              <a:pPr>
                <a:defRPr sz="1000" b="0" i="0" u="none" strike="noStrike" kern="1200" baseline="0">
                  <a:ln>
                    <a:noFill/>
                  </a:ln>
                  <a:solidFill>
                    <a:schemeClr val="tx1">
                      <a:lumMod val="65000"/>
                      <a:lumOff val="35000"/>
                    </a:schemeClr>
                  </a:solidFill>
                  <a:latin typeface="+mn-lt"/>
                  <a:ea typeface="+mn-ea"/>
                  <a:cs typeface="+mn-cs"/>
                </a:defRPr>
              </a:pPr>
              <a:endParaRPr lang="en-AU"/>
            </a:p>
          </c:txPr>
        </c:title>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ln>
                  <a:noFill/>
                </a:ln>
                <a:solidFill>
                  <a:schemeClr val="tx1">
                    <a:lumMod val="65000"/>
                    <a:lumOff val="35000"/>
                  </a:schemeClr>
                </a:solidFill>
                <a:latin typeface="+mn-lt"/>
                <a:ea typeface="+mn-ea"/>
                <a:cs typeface="+mn-cs"/>
              </a:defRPr>
            </a:pPr>
            <a:endParaRPr lang="en-US"/>
          </a:p>
        </c:txPr>
        <c:crossAx val="1282870704"/>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ln>
            <a:noFill/>
          </a:ln>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184173166506324"/>
          <c:y val="8.2632343095290051E-2"/>
          <c:w val="0.85103984183060932"/>
          <c:h val="0.75227121000118891"/>
        </c:manualLayout>
      </c:layout>
      <c:barChart>
        <c:barDir val="col"/>
        <c:grouping val="clustered"/>
        <c:varyColors val="0"/>
        <c:ser>
          <c:idx val="0"/>
          <c:order val="0"/>
          <c:tx>
            <c:strRef>
              <c:f>'Migrant Employment (fig 4)'!$G$31</c:f>
              <c:strCache>
                <c:ptCount val="1"/>
                <c:pt idx="0">
                  <c:v>MESC-born persons</c:v>
                </c:pt>
              </c:strCache>
            </c:strRef>
          </c:tx>
          <c:spPr>
            <a:solidFill>
              <a:srgbClr val="6929C4"/>
            </a:solidFill>
            <a:ln>
              <a:noFill/>
            </a:ln>
            <a:effectLst/>
          </c:spPr>
          <c:invertIfNegative val="0"/>
          <c:cat>
            <c:strRef>
              <c:f>'Migrant Employment (fig 4)'!$B$33:$B$40</c:f>
              <c:strCache>
                <c:ptCount val="8"/>
                <c:pt idx="0">
                  <c:v>NSW</c:v>
                </c:pt>
                <c:pt idx="1">
                  <c:v>VIC</c:v>
                </c:pt>
                <c:pt idx="2">
                  <c:v>QLD</c:v>
                </c:pt>
                <c:pt idx="3">
                  <c:v>SA</c:v>
                </c:pt>
                <c:pt idx="4">
                  <c:v>WA</c:v>
                </c:pt>
                <c:pt idx="5">
                  <c:v>TAS</c:v>
                </c:pt>
                <c:pt idx="6">
                  <c:v>NT</c:v>
                </c:pt>
                <c:pt idx="7">
                  <c:v>ACT</c:v>
                </c:pt>
              </c:strCache>
            </c:strRef>
          </c:cat>
          <c:val>
            <c:numRef>
              <c:f>'Migrant Employment (fig 4)'!$G$33:$G$40</c:f>
              <c:numCache>
                <c:formatCode>0.0</c:formatCode>
                <c:ptCount val="8"/>
                <c:pt idx="0">
                  <c:v>8.1</c:v>
                </c:pt>
                <c:pt idx="1">
                  <c:v>7.1</c:v>
                </c:pt>
                <c:pt idx="2">
                  <c:v>12.6</c:v>
                </c:pt>
                <c:pt idx="3">
                  <c:v>6.5</c:v>
                </c:pt>
                <c:pt idx="4">
                  <c:v>16.7</c:v>
                </c:pt>
                <c:pt idx="5">
                  <c:v>5.8</c:v>
                </c:pt>
                <c:pt idx="6">
                  <c:v>7.8</c:v>
                </c:pt>
                <c:pt idx="7">
                  <c:v>6.6</c:v>
                </c:pt>
              </c:numCache>
            </c:numRef>
          </c:val>
          <c:extLst>
            <c:ext xmlns:c16="http://schemas.microsoft.com/office/drawing/2014/chart" uri="{C3380CC4-5D6E-409C-BE32-E72D297353CC}">
              <c16:uniqueId val="{00000000-E480-4446-9E94-8B188A02C939}"/>
            </c:ext>
          </c:extLst>
        </c:ser>
        <c:ser>
          <c:idx val="1"/>
          <c:order val="1"/>
          <c:tx>
            <c:strRef>
              <c:f>'Migrant Employment (fig 4)'!$H$31</c:f>
              <c:strCache>
                <c:ptCount val="1"/>
                <c:pt idx="0">
                  <c:v>OTMESC-born persons</c:v>
                </c:pt>
              </c:strCache>
            </c:strRef>
          </c:tx>
          <c:spPr>
            <a:solidFill>
              <a:srgbClr val="1192E8"/>
            </a:solidFill>
            <a:ln>
              <a:noFill/>
            </a:ln>
            <a:effectLst/>
          </c:spPr>
          <c:invertIfNegative val="0"/>
          <c:cat>
            <c:strRef>
              <c:f>'Migrant Employment (fig 4)'!$B$33:$B$40</c:f>
              <c:strCache>
                <c:ptCount val="8"/>
                <c:pt idx="0">
                  <c:v>NSW</c:v>
                </c:pt>
                <c:pt idx="1">
                  <c:v>VIC</c:v>
                </c:pt>
                <c:pt idx="2">
                  <c:v>QLD</c:v>
                </c:pt>
                <c:pt idx="3">
                  <c:v>SA</c:v>
                </c:pt>
                <c:pt idx="4">
                  <c:v>WA</c:v>
                </c:pt>
                <c:pt idx="5">
                  <c:v>TAS</c:v>
                </c:pt>
                <c:pt idx="6">
                  <c:v>NT</c:v>
                </c:pt>
                <c:pt idx="7">
                  <c:v>ACT</c:v>
                </c:pt>
              </c:strCache>
            </c:strRef>
          </c:cat>
          <c:val>
            <c:numRef>
              <c:f>'Migrant Employment (fig 4)'!$H$33:$H$40</c:f>
              <c:numCache>
                <c:formatCode>0.0</c:formatCode>
                <c:ptCount val="8"/>
                <c:pt idx="0">
                  <c:v>29.1</c:v>
                </c:pt>
                <c:pt idx="1">
                  <c:v>30.2</c:v>
                </c:pt>
                <c:pt idx="2">
                  <c:v>18.100000000000001</c:v>
                </c:pt>
                <c:pt idx="3">
                  <c:v>17</c:v>
                </c:pt>
                <c:pt idx="4">
                  <c:v>25</c:v>
                </c:pt>
                <c:pt idx="5">
                  <c:v>13.7</c:v>
                </c:pt>
                <c:pt idx="6">
                  <c:v>26.4</c:v>
                </c:pt>
                <c:pt idx="7">
                  <c:v>28.9</c:v>
                </c:pt>
              </c:numCache>
            </c:numRef>
          </c:val>
          <c:extLst>
            <c:ext xmlns:c16="http://schemas.microsoft.com/office/drawing/2014/chart" uri="{C3380CC4-5D6E-409C-BE32-E72D297353CC}">
              <c16:uniqueId val="{00000001-E480-4446-9E94-8B188A02C939}"/>
            </c:ext>
          </c:extLst>
        </c:ser>
        <c:ser>
          <c:idx val="2"/>
          <c:order val="2"/>
          <c:tx>
            <c:strRef>
              <c:f>'Migrant Employment (fig 4)'!$I$31</c:f>
              <c:strCache>
                <c:ptCount val="1"/>
                <c:pt idx="0">
                  <c:v>Australia-born persons</c:v>
                </c:pt>
              </c:strCache>
            </c:strRef>
          </c:tx>
          <c:spPr>
            <a:solidFill>
              <a:srgbClr val="005D5D"/>
            </a:solidFill>
            <a:ln>
              <a:noFill/>
            </a:ln>
            <a:effectLst/>
          </c:spPr>
          <c:invertIfNegative val="0"/>
          <c:cat>
            <c:strRef>
              <c:f>'Migrant Employment (fig 4)'!$B$33:$B$40</c:f>
              <c:strCache>
                <c:ptCount val="8"/>
                <c:pt idx="0">
                  <c:v>NSW</c:v>
                </c:pt>
                <c:pt idx="1">
                  <c:v>VIC</c:v>
                </c:pt>
                <c:pt idx="2">
                  <c:v>QLD</c:v>
                </c:pt>
                <c:pt idx="3">
                  <c:v>SA</c:v>
                </c:pt>
                <c:pt idx="4">
                  <c:v>WA</c:v>
                </c:pt>
                <c:pt idx="5">
                  <c:v>TAS</c:v>
                </c:pt>
                <c:pt idx="6">
                  <c:v>NT</c:v>
                </c:pt>
                <c:pt idx="7">
                  <c:v>ACT</c:v>
                </c:pt>
              </c:strCache>
            </c:strRef>
          </c:cat>
          <c:val>
            <c:numRef>
              <c:f>'Migrant Employment (fig 4)'!$I$33:$I$40</c:f>
              <c:numCache>
                <c:formatCode>0.0</c:formatCode>
                <c:ptCount val="8"/>
                <c:pt idx="0">
                  <c:v>62.8</c:v>
                </c:pt>
                <c:pt idx="1">
                  <c:v>62.7</c:v>
                </c:pt>
                <c:pt idx="2">
                  <c:v>69.400000000000006</c:v>
                </c:pt>
                <c:pt idx="3">
                  <c:v>76.400000000000006</c:v>
                </c:pt>
                <c:pt idx="4">
                  <c:v>58.3</c:v>
                </c:pt>
                <c:pt idx="5">
                  <c:v>80.5</c:v>
                </c:pt>
                <c:pt idx="6">
                  <c:v>65.8</c:v>
                </c:pt>
                <c:pt idx="7">
                  <c:v>64.599999999999994</c:v>
                </c:pt>
              </c:numCache>
            </c:numRef>
          </c:val>
          <c:extLst>
            <c:ext xmlns:c16="http://schemas.microsoft.com/office/drawing/2014/chart" uri="{C3380CC4-5D6E-409C-BE32-E72D297353CC}">
              <c16:uniqueId val="{00000002-E480-4446-9E94-8B188A02C939}"/>
            </c:ext>
          </c:extLst>
        </c:ser>
        <c:dLbls>
          <c:showLegendKey val="0"/>
          <c:showVal val="0"/>
          <c:showCatName val="0"/>
          <c:showSerName val="0"/>
          <c:showPercent val="0"/>
          <c:showBubbleSize val="0"/>
        </c:dLbls>
        <c:gapWidth val="219"/>
        <c:overlap val="-27"/>
        <c:axId val="884119568"/>
        <c:axId val="884121008"/>
      </c:barChart>
      <c:catAx>
        <c:axId val="88411956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84121008"/>
        <c:crosses val="autoZero"/>
        <c:auto val="1"/>
        <c:lblAlgn val="ctr"/>
        <c:lblOffset val="100"/>
        <c:noMultiLvlLbl val="0"/>
      </c:catAx>
      <c:valAx>
        <c:axId val="884121008"/>
        <c:scaling>
          <c:orientation val="minMax"/>
        </c:scaling>
        <c:delete val="0"/>
        <c:axPos val="l"/>
        <c:majorGridlines>
          <c:spPr>
            <a:ln w="9525" cap="flat" cmpd="sng" algn="ctr">
              <a:no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AU"/>
                  <a:t>%</a:t>
                </a:r>
                <a:r>
                  <a:rPr lang="en-AU" baseline="0"/>
                  <a:t> of Employment Persons</a:t>
                </a:r>
                <a:endParaRPr lang="en-AU"/>
              </a:p>
            </c:rich>
          </c:tx>
          <c:layout>
            <c:manualLayout>
              <c:xMode val="edge"/>
              <c:yMode val="edge"/>
              <c:x val="1.9235863435159339E-3"/>
              <c:y val="0.28262082976133018"/>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AU"/>
            </a:p>
          </c:txPr>
        </c:title>
        <c:numFmt formatCode="0.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8411956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0" i="0" u="none" strike="noStrike" kern="1200" spc="0" baseline="0">
                <a:solidFill>
                  <a:schemeClr val="tx1">
                    <a:lumMod val="65000"/>
                    <a:lumOff val="35000"/>
                  </a:schemeClr>
                </a:solidFill>
                <a:latin typeface="+mn-lt"/>
                <a:ea typeface="+mn-ea"/>
                <a:cs typeface="+mn-cs"/>
              </a:defRPr>
            </a:pPr>
            <a:r>
              <a:rPr lang="en-AU" sz="1200"/>
              <a:t>Labour</a:t>
            </a:r>
            <a:r>
              <a:rPr lang="en-AU" sz="1200" baseline="0"/>
              <a:t> Force Participation Rate (%)</a:t>
            </a:r>
          </a:p>
        </c:rich>
      </c:tx>
      <c:layout>
        <c:manualLayout>
          <c:xMode val="edge"/>
          <c:yMode val="edge"/>
          <c:x val="0.3057159457106417"/>
          <c:y val="4.2970339732814299E-2"/>
        </c:manualLayout>
      </c:layout>
      <c:overlay val="0"/>
      <c:spPr>
        <a:noFill/>
        <a:ln>
          <a:noFill/>
        </a:ln>
        <a:effectLst/>
      </c:spPr>
      <c:txPr>
        <a:bodyPr rot="0" spcFirstLastPara="1" vertOverflow="ellipsis" vert="horz" wrap="square" anchor="ctr" anchorCtr="1"/>
        <a:lstStyle/>
        <a:p>
          <a:pPr>
            <a:defRPr sz="12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'Migrant Unemployment (fig5)'!$Q$34</c:f>
              <c:strCache>
                <c:ptCount val="1"/>
                <c:pt idx="0">
                  <c:v>Australia-born persons</c:v>
                </c:pt>
              </c:strCache>
            </c:strRef>
          </c:tx>
          <c:spPr>
            <a:solidFill>
              <a:srgbClr val="005D5D"/>
            </a:solidFill>
            <a:ln>
              <a:noFill/>
            </a:ln>
            <a:effectLst/>
          </c:spPr>
          <c:invertIfNegative val="0"/>
          <c:cat>
            <c:strRef>
              <c:f>'Migrant Unemployment (fig5)'!$P$35:$P$40</c:f>
              <c:strCache>
                <c:ptCount val="6"/>
                <c:pt idx="0">
                  <c:v>Arrived within last 5 years</c:v>
                </c:pt>
                <c:pt idx="1">
                  <c:v>Arrived 5-9          years ago</c:v>
                </c:pt>
                <c:pt idx="2">
                  <c:v>Arrived 10-14      years ago</c:v>
                </c:pt>
                <c:pt idx="3">
                  <c:v>Arrived 15-19      years ago</c:v>
                </c:pt>
                <c:pt idx="4">
                  <c:v>Arrived 20 or more years ago</c:v>
                </c:pt>
                <c:pt idx="5">
                  <c:v>Born in Australia</c:v>
                </c:pt>
              </c:strCache>
            </c:strRef>
          </c:cat>
          <c:val>
            <c:numRef>
              <c:f>'Migrant Unemployment (fig5)'!$Q$35:$Q$40</c:f>
              <c:numCache>
                <c:formatCode>General</c:formatCode>
                <c:ptCount val="6"/>
                <c:pt idx="5" formatCode="0.0">
                  <c:v>67.878033875683684</c:v>
                </c:pt>
              </c:numCache>
            </c:numRef>
          </c:val>
          <c:extLst>
            <c:ext xmlns:c16="http://schemas.microsoft.com/office/drawing/2014/chart" uri="{C3380CC4-5D6E-409C-BE32-E72D297353CC}">
              <c16:uniqueId val="{00000000-D28B-4287-933E-3C53D78E902C}"/>
            </c:ext>
          </c:extLst>
        </c:ser>
        <c:ser>
          <c:idx val="1"/>
          <c:order val="1"/>
          <c:tx>
            <c:strRef>
              <c:f>'Migrant Unemployment (fig5)'!$R$34</c:f>
              <c:strCache>
                <c:ptCount val="1"/>
                <c:pt idx="0">
                  <c:v>MESC-born persons</c:v>
                </c:pt>
              </c:strCache>
            </c:strRef>
          </c:tx>
          <c:spPr>
            <a:solidFill>
              <a:srgbClr val="6929C4"/>
            </a:solidFill>
            <a:ln>
              <a:noFill/>
            </a:ln>
            <a:effectLst/>
          </c:spPr>
          <c:invertIfNegative val="0"/>
          <c:cat>
            <c:strRef>
              <c:f>'Migrant Unemployment (fig5)'!$P$35:$P$40</c:f>
              <c:strCache>
                <c:ptCount val="6"/>
                <c:pt idx="0">
                  <c:v>Arrived within last 5 years</c:v>
                </c:pt>
                <c:pt idx="1">
                  <c:v>Arrived 5-9          years ago</c:v>
                </c:pt>
                <c:pt idx="2">
                  <c:v>Arrived 10-14      years ago</c:v>
                </c:pt>
                <c:pt idx="3">
                  <c:v>Arrived 15-19      years ago</c:v>
                </c:pt>
                <c:pt idx="4">
                  <c:v>Arrived 20 or more years ago</c:v>
                </c:pt>
                <c:pt idx="5">
                  <c:v>Born in Australia</c:v>
                </c:pt>
              </c:strCache>
            </c:strRef>
          </c:cat>
          <c:val>
            <c:numRef>
              <c:f>'Migrant Unemployment (fig5)'!$R$35:$R$40</c:f>
              <c:numCache>
                <c:formatCode>0.0</c:formatCode>
                <c:ptCount val="6"/>
                <c:pt idx="0">
                  <c:v>81.843066971907405</c:v>
                </c:pt>
                <c:pt idx="1">
                  <c:v>85.786934174770181</c:v>
                </c:pt>
                <c:pt idx="2">
                  <c:v>83.444569110761392</c:v>
                </c:pt>
                <c:pt idx="3">
                  <c:v>85.12978231530461</c:v>
                </c:pt>
                <c:pt idx="4">
                  <c:v>52.835318197761914</c:v>
                </c:pt>
              </c:numCache>
            </c:numRef>
          </c:val>
          <c:extLst>
            <c:ext xmlns:c16="http://schemas.microsoft.com/office/drawing/2014/chart" uri="{C3380CC4-5D6E-409C-BE32-E72D297353CC}">
              <c16:uniqueId val="{00000001-D28B-4287-933E-3C53D78E902C}"/>
            </c:ext>
          </c:extLst>
        </c:ser>
        <c:ser>
          <c:idx val="2"/>
          <c:order val="2"/>
          <c:tx>
            <c:strRef>
              <c:f>'Migrant Unemployment (fig5)'!$S$34</c:f>
              <c:strCache>
                <c:ptCount val="1"/>
                <c:pt idx="0">
                  <c:v>OTMESC-born persons</c:v>
                </c:pt>
              </c:strCache>
            </c:strRef>
          </c:tx>
          <c:spPr>
            <a:solidFill>
              <a:srgbClr val="1192E8"/>
            </a:solidFill>
            <a:ln>
              <a:noFill/>
            </a:ln>
            <a:effectLst/>
          </c:spPr>
          <c:invertIfNegative val="0"/>
          <c:cat>
            <c:strRef>
              <c:f>'Migrant Unemployment (fig5)'!$P$35:$P$40</c:f>
              <c:strCache>
                <c:ptCount val="6"/>
                <c:pt idx="0">
                  <c:v>Arrived within last 5 years</c:v>
                </c:pt>
                <c:pt idx="1">
                  <c:v>Arrived 5-9          years ago</c:v>
                </c:pt>
                <c:pt idx="2">
                  <c:v>Arrived 10-14      years ago</c:v>
                </c:pt>
                <c:pt idx="3">
                  <c:v>Arrived 15-19      years ago</c:v>
                </c:pt>
                <c:pt idx="4">
                  <c:v>Arrived 20 or more years ago</c:v>
                </c:pt>
                <c:pt idx="5">
                  <c:v>Born in Australia</c:v>
                </c:pt>
              </c:strCache>
            </c:strRef>
          </c:cat>
          <c:val>
            <c:numRef>
              <c:f>'Migrant Unemployment (fig5)'!$S$35:$S$40</c:f>
              <c:numCache>
                <c:formatCode>0.0</c:formatCode>
                <c:ptCount val="6"/>
                <c:pt idx="0">
                  <c:v>68.880678621466402</c:v>
                </c:pt>
                <c:pt idx="1">
                  <c:v>79.750547936185583</c:v>
                </c:pt>
                <c:pt idx="2">
                  <c:v>77.388899254511443</c:v>
                </c:pt>
                <c:pt idx="3">
                  <c:v>82.485711348559363</c:v>
                </c:pt>
                <c:pt idx="4">
                  <c:v>53.630921714844519</c:v>
                </c:pt>
              </c:numCache>
            </c:numRef>
          </c:val>
          <c:extLst>
            <c:ext xmlns:c16="http://schemas.microsoft.com/office/drawing/2014/chart" uri="{C3380CC4-5D6E-409C-BE32-E72D297353CC}">
              <c16:uniqueId val="{00000002-D28B-4287-933E-3C53D78E902C}"/>
            </c:ext>
          </c:extLst>
        </c:ser>
        <c:dLbls>
          <c:showLegendKey val="0"/>
          <c:showVal val="0"/>
          <c:showCatName val="0"/>
          <c:showSerName val="0"/>
          <c:showPercent val="0"/>
          <c:showBubbleSize val="0"/>
        </c:dLbls>
        <c:gapWidth val="219"/>
        <c:overlap val="-27"/>
        <c:axId val="620327792"/>
        <c:axId val="620326352"/>
      </c:barChart>
      <c:catAx>
        <c:axId val="62032779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20326352"/>
        <c:crossesAt val="0"/>
        <c:auto val="1"/>
        <c:lblAlgn val="ctr"/>
        <c:lblOffset val="100"/>
        <c:noMultiLvlLbl val="0"/>
      </c:catAx>
      <c:valAx>
        <c:axId val="620326352"/>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AU"/>
                  <a:t>Participataion</a:t>
                </a:r>
                <a:r>
                  <a:rPr lang="en-AU" baseline="0"/>
                  <a:t> rate (%)</a:t>
                </a:r>
                <a:endParaRPr lang="en-AU"/>
              </a:p>
            </c:rich>
          </c:tx>
          <c:layout>
            <c:manualLayout>
              <c:xMode val="edge"/>
              <c:yMode val="edge"/>
              <c:x val="1.3294925769997783E-2"/>
              <c:y val="0.27801772759444399"/>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AU"/>
            </a:p>
          </c:txPr>
        </c:title>
        <c:numFmt formatCode="#,##0.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2032779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0" i="0" u="none" strike="noStrike" kern="1200" spc="0" baseline="0">
                <a:solidFill>
                  <a:schemeClr val="tx1">
                    <a:lumMod val="65000"/>
                    <a:lumOff val="35000"/>
                  </a:schemeClr>
                </a:solidFill>
                <a:latin typeface="+mn-lt"/>
                <a:ea typeface="+mn-ea"/>
                <a:cs typeface="+mn-cs"/>
              </a:defRPr>
            </a:pPr>
            <a:r>
              <a:rPr lang="en-AU" sz="1200"/>
              <a:t>Unemployment Rate (%)</a:t>
            </a:r>
          </a:p>
        </c:rich>
      </c:tx>
      <c:layout>
        <c:manualLayout>
          <c:xMode val="edge"/>
          <c:yMode val="edge"/>
          <c:x val="0.35024365306873756"/>
          <c:y val="4.642857142857143E-2"/>
        </c:manualLayout>
      </c:layout>
      <c:overlay val="0"/>
      <c:spPr>
        <a:noFill/>
        <a:ln>
          <a:noFill/>
        </a:ln>
        <a:effectLst/>
      </c:spPr>
      <c:txPr>
        <a:bodyPr rot="0" spcFirstLastPara="1" vertOverflow="ellipsis" vert="horz" wrap="square" anchor="ctr" anchorCtr="1"/>
        <a:lstStyle/>
        <a:p>
          <a:pPr>
            <a:defRPr sz="12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'Migrant Unemployment (fig5)'!$Q$42</c:f>
              <c:strCache>
                <c:ptCount val="1"/>
                <c:pt idx="0">
                  <c:v>Australia-born persons</c:v>
                </c:pt>
              </c:strCache>
            </c:strRef>
          </c:tx>
          <c:spPr>
            <a:solidFill>
              <a:srgbClr val="005D5D"/>
            </a:solidFill>
            <a:ln>
              <a:noFill/>
            </a:ln>
            <a:effectLst/>
          </c:spPr>
          <c:invertIfNegative val="0"/>
          <c:cat>
            <c:strRef>
              <c:f>'Migrant Unemployment (fig5)'!$P$43:$P$48</c:f>
              <c:strCache>
                <c:ptCount val="6"/>
                <c:pt idx="0">
                  <c:v>Arrived within last 5 years</c:v>
                </c:pt>
                <c:pt idx="1">
                  <c:v>Arrived 5-9          years ago</c:v>
                </c:pt>
                <c:pt idx="2">
                  <c:v>Arrived 10-14      years ago</c:v>
                </c:pt>
                <c:pt idx="3">
                  <c:v>Arrived 15-19      years ago</c:v>
                </c:pt>
                <c:pt idx="4">
                  <c:v>Arrived 20 or more years ago</c:v>
                </c:pt>
                <c:pt idx="5">
                  <c:v>Born in Australia</c:v>
                </c:pt>
              </c:strCache>
            </c:strRef>
          </c:cat>
          <c:val>
            <c:numRef>
              <c:f>'Migrant Unemployment (fig5)'!$Q$43:$Q$48</c:f>
              <c:numCache>
                <c:formatCode>General</c:formatCode>
                <c:ptCount val="6"/>
                <c:pt idx="5" formatCode="0.0">
                  <c:v>4.0490300161168475</c:v>
                </c:pt>
              </c:numCache>
            </c:numRef>
          </c:val>
          <c:extLst>
            <c:ext xmlns:c16="http://schemas.microsoft.com/office/drawing/2014/chart" uri="{C3380CC4-5D6E-409C-BE32-E72D297353CC}">
              <c16:uniqueId val="{00000000-4A18-4E60-9C28-6F09239C594D}"/>
            </c:ext>
          </c:extLst>
        </c:ser>
        <c:ser>
          <c:idx val="1"/>
          <c:order val="1"/>
          <c:tx>
            <c:strRef>
              <c:f>'Migrant Unemployment (fig5)'!$R$42</c:f>
              <c:strCache>
                <c:ptCount val="1"/>
                <c:pt idx="0">
                  <c:v>MESC-born persons</c:v>
                </c:pt>
              </c:strCache>
            </c:strRef>
          </c:tx>
          <c:spPr>
            <a:solidFill>
              <a:srgbClr val="6929C4"/>
            </a:solidFill>
            <a:ln>
              <a:noFill/>
            </a:ln>
            <a:effectLst/>
          </c:spPr>
          <c:invertIfNegative val="0"/>
          <c:cat>
            <c:strRef>
              <c:f>'Migrant Unemployment (fig5)'!$P$43:$P$48</c:f>
              <c:strCache>
                <c:ptCount val="6"/>
                <c:pt idx="0">
                  <c:v>Arrived within last 5 years</c:v>
                </c:pt>
                <c:pt idx="1">
                  <c:v>Arrived 5-9          years ago</c:v>
                </c:pt>
                <c:pt idx="2">
                  <c:v>Arrived 10-14      years ago</c:v>
                </c:pt>
                <c:pt idx="3">
                  <c:v>Arrived 15-19      years ago</c:v>
                </c:pt>
                <c:pt idx="4">
                  <c:v>Arrived 20 or more years ago</c:v>
                </c:pt>
                <c:pt idx="5">
                  <c:v>Born in Australia</c:v>
                </c:pt>
              </c:strCache>
            </c:strRef>
          </c:cat>
          <c:val>
            <c:numRef>
              <c:f>'Migrant Unemployment (fig5)'!$R$43:$R$48</c:f>
              <c:numCache>
                <c:formatCode>0.0</c:formatCode>
                <c:ptCount val="6"/>
                <c:pt idx="0">
                  <c:v>7.3753957869273714</c:v>
                </c:pt>
                <c:pt idx="1">
                  <c:v>2.6854933430234542</c:v>
                </c:pt>
                <c:pt idx="2">
                  <c:v>3.5158962260730524</c:v>
                </c:pt>
                <c:pt idx="3">
                  <c:v>3.3453726821034211</c:v>
                </c:pt>
                <c:pt idx="4">
                  <c:v>2.8315390129186433</c:v>
                </c:pt>
              </c:numCache>
            </c:numRef>
          </c:val>
          <c:extLst>
            <c:ext xmlns:c16="http://schemas.microsoft.com/office/drawing/2014/chart" uri="{C3380CC4-5D6E-409C-BE32-E72D297353CC}">
              <c16:uniqueId val="{00000001-4A18-4E60-9C28-6F09239C594D}"/>
            </c:ext>
          </c:extLst>
        </c:ser>
        <c:ser>
          <c:idx val="2"/>
          <c:order val="2"/>
          <c:tx>
            <c:strRef>
              <c:f>'Migrant Unemployment (fig5)'!$S$42</c:f>
              <c:strCache>
                <c:ptCount val="1"/>
                <c:pt idx="0">
                  <c:v>OTMESC-born persons</c:v>
                </c:pt>
              </c:strCache>
            </c:strRef>
          </c:tx>
          <c:spPr>
            <a:solidFill>
              <a:srgbClr val="1192E8"/>
            </a:solidFill>
            <a:ln>
              <a:noFill/>
            </a:ln>
            <a:effectLst/>
          </c:spPr>
          <c:invertIfNegative val="0"/>
          <c:cat>
            <c:strRef>
              <c:f>'Migrant Unemployment (fig5)'!$P$43:$P$48</c:f>
              <c:strCache>
                <c:ptCount val="6"/>
                <c:pt idx="0">
                  <c:v>Arrived within last 5 years</c:v>
                </c:pt>
                <c:pt idx="1">
                  <c:v>Arrived 5-9          years ago</c:v>
                </c:pt>
                <c:pt idx="2">
                  <c:v>Arrived 10-14      years ago</c:v>
                </c:pt>
                <c:pt idx="3">
                  <c:v>Arrived 15-19      years ago</c:v>
                </c:pt>
                <c:pt idx="4">
                  <c:v>Arrived 20 or more years ago</c:v>
                </c:pt>
                <c:pt idx="5">
                  <c:v>Born in Australia</c:v>
                </c:pt>
              </c:strCache>
            </c:strRef>
          </c:cat>
          <c:val>
            <c:numRef>
              <c:f>'Migrant Unemployment (fig5)'!$S$43:$S$48</c:f>
              <c:numCache>
                <c:formatCode>0.0</c:formatCode>
                <c:ptCount val="6"/>
                <c:pt idx="0">
                  <c:v>6.6037822153956416</c:v>
                </c:pt>
                <c:pt idx="1">
                  <c:v>4.3297644371890254</c:v>
                </c:pt>
                <c:pt idx="2">
                  <c:v>4.1218421964498919</c:v>
                </c:pt>
                <c:pt idx="3">
                  <c:v>3.5535349396218558</c:v>
                </c:pt>
                <c:pt idx="4">
                  <c:v>3.4819208777240922</c:v>
                </c:pt>
              </c:numCache>
            </c:numRef>
          </c:val>
          <c:extLst>
            <c:ext xmlns:c16="http://schemas.microsoft.com/office/drawing/2014/chart" uri="{C3380CC4-5D6E-409C-BE32-E72D297353CC}">
              <c16:uniqueId val="{00000002-4A18-4E60-9C28-6F09239C594D}"/>
            </c:ext>
          </c:extLst>
        </c:ser>
        <c:dLbls>
          <c:showLegendKey val="0"/>
          <c:showVal val="0"/>
          <c:showCatName val="0"/>
          <c:showSerName val="0"/>
          <c:showPercent val="0"/>
          <c:showBubbleSize val="0"/>
        </c:dLbls>
        <c:gapWidth val="219"/>
        <c:overlap val="-27"/>
        <c:axId val="791952736"/>
        <c:axId val="791953216"/>
      </c:barChart>
      <c:catAx>
        <c:axId val="79195273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91953216"/>
        <c:crosses val="autoZero"/>
        <c:auto val="1"/>
        <c:lblAlgn val="ctr"/>
        <c:lblOffset val="100"/>
        <c:noMultiLvlLbl val="0"/>
      </c:catAx>
      <c:valAx>
        <c:axId val="791953216"/>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AU"/>
                  <a:t>Unemployment rate</a:t>
                </a:r>
                <a:r>
                  <a:rPr lang="en-AU" baseline="0"/>
                  <a:t> (%)</a:t>
                </a:r>
                <a:endParaRPr lang="en-AU"/>
              </a:p>
            </c:rich>
          </c:tx>
          <c:layout>
            <c:manualLayout>
              <c:xMode val="edge"/>
              <c:yMode val="edge"/>
              <c:x val="1.3294925769997783E-2"/>
              <c:y val="0.26148003374578183"/>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AU"/>
            </a:p>
          </c:txPr>
        </c:title>
        <c:numFmt formatCode="#,##0.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9195273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275623566163909"/>
          <c:y val="4.2230546741990407E-2"/>
          <c:w val="0.8535858511901856"/>
          <c:h val="0.46979986892508901"/>
        </c:manualLayout>
      </c:layout>
      <c:barChart>
        <c:barDir val="col"/>
        <c:grouping val="clustered"/>
        <c:varyColors val="0"/>
        <c:ser>
          <c:idx val="0"/>
          <c:order val="0"/>
          <c:tx>
            <c:strRef>
              <c:f>'Migrant Unemployment (fig6)'!$P$44</c:f>
              <c:strCache>
                <c:ptCount val="1"/>
                <c:pt idx="0">
                  <c:v>Unemployment Rate (%) at February 2025 (average of the last 12 months to February 2025)</c:v>
                </c:pt>
              </c:strCache>
            </c:strRef>
          </c:tx>
          <c:spPr>
            <a:solidFill>
              <a:srgbClr val="6929C4"/>
            </a:solidFill>
            <a:ln>
              <a:noFill/>
            </a:ln>
            <a:effectLst/>
          </c:spPr>
          <c:invertIfNegative val="0"/>
          <c:cat>
            <c:strRef>
              <c:f>'Migrant Unemployment (fig6)'!$O$45:$O$56</c:f>
              <c:strCache>
                <c:ptCount val="12"/>
                <c:pt idx="0">
                  <c:v>Australia (includes External Territories)</c:v>
                </c:pt>
                <c:pt idx="1">
                  <c:v>Oceania and Antarctica</c:v>
                </c:pt>
                <c:pt idx="2">
                  <c:v>North-West Europe</c:v>
                </c:pt>
                <c:pt idx="3">
                  <c:v>Southern and Eastern Europe</c:v>
                </c:pt>
                <c:pt idx="4">
                  <c:v>North Africa and the Middle East</c:v>
                </c:pt>
                <c:pt idx="5">
                  <c:v>South-East Asia</c:v>
                </c:pt>
                <c:pt idx="6">
                  <c:v>North-East Asia</c:v>
                </c:pt>
                <c:pt idx="7">
                  <c:v>Southern and Central Asia</c:v>
                </c:pt>
                <c:pt idx="8">
                  <c:v>Americas</c:v>
                </c:pt>
                <c:pt idx="9">
                  <c:v>Sub-Saharan Africa</c:v>
                </c:pt>
                <c:pt idx="10">
                  <c:v>MESC</c:v>
                </c:pt>
                <c:pt idx="11">
                  <c:v>OTMESC</c:v>
                </c:pt>
              </c:strCache>
            </c:strRef>
          </c:cat>
          <c:val>
            <c:numRef>
              <c:f>'Migrant Unemployment (fig6)'!$P$45:$P$56</c:f>
              <c:numCache>
                <c:formatCode>0.0</c:formatCode>
                <c:ptCount val="12"/>
                <c:pt idx="0">
                  <c:v>4.0490300161244823</c:v>
                </c:pt>
                <c:pt idx="1">
                  <c:v>4.3317593025420198</c:v>
                </c:pt>
                <c:pt idx="2">
                  <c:v>2.903458500019136</c:v>
                </c:pt>
                <c:pt idx="3">
                  <c:v>3.6806497332270047</c:v>
                </c:pt>
                <c:pt idx="4">
                  <c:v>6.7972999844635966</c:v>
                </c:pt>
                <c:pt idx="5">
                  <c:v>3.8800772871886444</c:v>
                </c:pt>
                <c:pt idx="6">
                  <c:v>4.2947769800621938</c:v>
                </c:pt>
                <c:pt idx="7">
                  <c:v>4.1512538685792322</c:v>
                </c:pt>
                <c:pt idx="8">
                  <c:v>3.3966484587742181</c:v>
                </c:pt>
                <c:pt idx="9">
                  <c:v>4.7104930455949887</c:v>
                </c:pt>
                <c:pt idx="10">
                  <c:v>3.4144611869790511</c:v>
                </c:pt>
                <c:pt idx="11">
                  <c:v>4.2696962659208824</c:v>
                </c:pt>
              </c:numCache>
            </c:numRef>
          </c:val>
          <c:extLst>
            <c:ext xmlns:c16="http://schemas.microsoft.com/office/drawing/2014/chart" uri="{C3380CC4-5D6E-409C-BE32-E72D297353CC}">
              <c16:uniqueId val="{00000000-0FD5-4693-9F23-8A8FAA55103B}"/>
            </c:ext>
          </c:extLst>
        </c:ser>
        <c:dLbls>
          <c:showLegendKey val="0"/>
          <c:showVal val="0"/>
          <c:showCatName val="0"/>
          <c:showSerName val="0"/>
          <c:showPercent val="0"/>
          <c:showBubbleSize val="0"/>
        </c:dLbls>
        <c:gapWidth val="219"/>
        <c:overlap val="-27"/>
        <c:axId val="1660642320"/>
        <c:axId val="1660661520"/>
      </c:barChart>
      <c:catAx>
        <c:axId val="166064232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5400000" spcFirstLastPara="1" vertOverflow="ellipsis"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660661520"/>
        <c:crosses val="autoZero"/>
        <c:auto val="1"/>
        <c:lblAlgn val="ctr"/>
        <c:lblOffset val="100"/>
        <c:noMultiLvlLbl val="0"/>
      </c:catAx>
      <c:valAx>
        <c:axId val="1660661520"/>
        <c:scaling>
          <c:orientation val="minMax"/>
        </c:scaling>
        <c:delete val="0"/>
        <c:axPos val="l"/>
        <c:majorGridlines>
          <c:spPr>
            <a:ln w="9525" cap="flat" cmpd="sng" algn="ctr">
              <a:noFill/>
              <a:round/>
            </a:ln>
            <a:effectLst/>
          </c:spPr>
        </c:majorGridlines>
        <c:title>
          <c:tx>
            <c:rich>
              <a:bodyPr rot="-5400000" spcFirstLastPara="1" vertOverflow="ellipsis" vert="horz" wrap="square" anchor="ctr" anchorCtr="1"/>
              <a:lstStyle/>
              <a:p>
                <a:pPr>
                  <a:defRPr sz="1050" b="0" i="0" u="none" strike="noStrike" kern="1200" baseline="0">
                    <a:solidFill>
                      <a:schemeClr val="tx1">
                        <a:lumMod val="65000"/>
                        <a:lumOff val="35000"/>
                      </a:schemeClr>
                    </a:solidFill>
                    <a:latin typeface="+mn-lt"/>
                    <a:ea typeface="+mn-ea"/>
                    <a:cs typeface="+mn-cs"/>
                  </a:defRPr>
                </a:pPr>
                <a:r>
                  <a:rPr lang="en-AU" sz="1050"/>
                  <a:t>Unemployment</a:t>
                </a:r>
                <a:r>
                  <a:rPr lang="en-AU" sz="1050" baseline="0"/>
                  <a:t> Rate (%)</a:t>
                </a:r>
                <a:endParaRPr lang="en-AU" sz="1050"/>
              </a:p>
            </c:rich>
          </c:tx>
          <c:layout>
            <c:manualLayout>
              <c:xMode val="edge"/>
              <c:yMode val="edge"/>
              <c:x val="2.7459689884642289E-2"/>
              <c:y val="6.5669075075286479E-2"/>
            </c:manualLayout>
          </c:layout>
          <c:overlay val="0"/>
          <c:spPr>
            <a:noFill/>
            <a:ln>
              <a:noFill/>
            </a:ln>
            <a:effectLst/>
          </c:spPr>
          <c:txPr>
            <a:bodyPr rot="-5400000" spcFirstLastPara="1" vertOverflow="ellipsis" vert="horz" wrap="square" anchor="ctr" anchorCtr="1"/>
            <a:lstStyle/>
            <a:p>
              <a:pPr>
                <a:defRPr sz="1050" b="0" i="0" u="none" strike="noStrike" kern="1200" baseline="0">
                  <a:solidFill>
                    <a:schemeClr val="tx1">
                      <a:lumMod val="65000"/>
                      <a:lumOff val="35000"/>
                    </a:schemeClr>
                  </a:solidFill>
                  <a:latin typeface="+mn-lt"/>
                  <a:ea typeface="+mn-ea"/>
                  <a:cs typeface="+mn-cs"/>
                </a:defRPr>
              </a:pPr>
              <a:endParaRPr lang="en-AU"/>
            </a:p>
          </c:txPr>
        </c:title>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660642320"/>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0859330824303298"/>
          <c:y val="7.5135147288061074E-2"/>
          <c:w val="0.86542347657773411"/>
          <c:h val="0.69199033734361881"/>
        </c:manualLayout>
      </c:layout>
      <c:lineChart>
        <c:grouping val="standard"/>
        <c:varyColors val="0"/>
        <c:ser>
          <c:idx val="0"/>
          <c:order val="0"/>
          <c:tx>
            <c:strRef>
              <c:f>'IVI (fig7)'!$B$30</c:f>
              <c:strCache>
                <c:ptCount val="1"/>
                <c:pt idx="0">
                  <c:v>Australian Total</c:v>
                </c:pt>
              </c:strCache>
            </c:strRef>
          </c:tx>
          <c:spPr>
            <a:ln w="22225" cap="rnd">
              <a:solidFill>
                <a:srgbClr val="6929C4"/>
              </a:solidFill>
              <a:round/>
            </a:ln>
            <a:effectLst/>
          </c:spPr>
          <c:marker>
            <c:symbol val="none"/>
          </c:marker>
          <c:cat>
            <c:numRef>
              <c:f>'IVI (fig7)'!$A$31:$A$260</c:f>
              <c:numCache>
                <c:formatCode>mmm\-yy</c:formatCode>
                <c:ptCount val="230"/>
                <c:pt idx="0">
                  <c:v>38718</c:v>
                </c:pt>
                <c:pt idx="1">
                  <c:v>38749</c:v>
                </c:pt>
                <c:pt idx="2">
                  <c:v>38777</c:v>
                </c:pt>
                <c:pt idx="3">
                  <c:v>38808</c:v>
                </c:pt>
                <c:pt idx="4">
                  <c:v>38838</c:v>
                </c:pt>
                <c:pt idx="5">
                  <c:v>38869</c:v>
                </c:pt>
                <c:pt idx="6">
                  <c:v>38899</c:v>
                </c:pt>
                <c:pt idx="7">
                  <c:v>38930</c:v>
                </c:pt>
                <c:pt idx="8">
                  <c:v>38961</c:v>
                </c:pt>
                <c:pt idx="9">
                  <c:v>38991</c:v>
                </c:pt>
                <c:pt idx="10">
                  <c:v>39022</c:v>
                </c:pt>
                <c:pt idx="11">
                  <c:v>39052</c:v>
                </c:pt>
                <c:pt idx="12">
                  <c:v>39083</c:v>
                </c:pt>
                <c:pt idx="13">
                  <c:v>39114</c:v>
                </c:pt>
                <c:pt idx="14">
                  <c:v>39142</c:v>
                </c:pt>
                <c:pt idx="15">
                  <c:v>39173</c:v>
                </c:pt>
                <c:pt idx="16">
                  <c:v>39203</c:v>
                </c:pt>
                <c:pt idx="17">
                  <c:v>39234</c:v>
                </c:pt>
                <c:pt idx="18">
                  <c:v>39264</c:v>
                </c:pt>
                <c:pt idx="19">
                  <c:v>39295</c:v>
                </c:pt>
                <c:pt idx="20">
                  <c:v>39326</c:v>
                </c:pt>
                <c:pt idx="21">
                  <c:v>39356</c:v>
                </c:pt>
                <c:pt idx="22">
                  <c:v>39387</c:v>
                </c:pt>
                <c:pt idx="23">
                  <c:v>39417</c:v>
                </c:pt>
                <c:pt idx="24">
                  <c:v>39448</c:v>
                </c:pt>
                <c:pt idx="25">
                  <c:v>39479</c:v>
                </c:pt>
                <c:pt idx="26">
                  <c:v>39508</c:v>
                </c:pt>
                <c:pt idx="27">
                  <c:v>39539</c:v>
                </c:pt>
                <c:pt idx="28">
                  <c:v>39569</c:v>
                </c:pt>
                <c:pt idx="29">
                  <c:v>39600</c:v>
                </c:pt>
                <c:pt idx="30">
                  <c:v>39630</c:v>
                </c:pt>
                <c:pt idx="31">
                  <c:v>39661</c:v>
                </c:pt>
                <c:pt idx="32">
                  <c:v>39692</c:v>
                </c:pt>
                <c:pt idx="33">
                  <c:v>39722</c:v>
                </c:pt>
                <c:pt idx="34">
                  <c:v>39753</c:v>
                </c:pt>
                <c:pt idx="35">
                  <c:v>39783</c:v>
                </c:pt>
                <c:pt idx="36">
                  <c:v>39814</c:v>
                </c:pt>
                <c:pt idx="37">
                  <c:v>39845</c:v>
                </c:pt>
                <c:pt idx="38">
                  <c:v>39873</c:v>
                </c:pt>
                <c:pt idx="39">
                  <c:v>39904</c:v>
                </c:pt>
                <c:pt idx="40">
                  <c:v>39934</c:v>
                </c:pt>
                <c:pt idx="41">
                  <c:v>39965</c:v>
                </c:pt>
                <c:pt idx="42">
                  <c:v>39995</c:v>
                </c:pt>
                <c:pt idx="43">
                  <c:v>40026</c:v>
                </c:pt>
                <c:pt idx="44">
                  <c:v>40057</c:v>
                </c:pt>
                <c:pt idx="45">
                  <c:v>40087</c:v>
                </c:pt>
                <c:pt idx="46">
                  <c:v>40118</c:v>
                </c:pt>
                <c:pt idx="47">
                  <c:v>40148</c:v>
                </c:pt>
                <c:pt idx="48">
                  <c:v>40179</c:v>
                </c:pt>
                <c:pt idx="49">
                  <c:v>40210</c:v>
                </c:pt>
                <c:pt idx="50">
                  <c:v>40238</c:v>
                </c:pt>
                <c:pt idx="51">
                  <c:v>40269</c:v>
                </c:pt>
                <c:pt idx="52">
                  <c:v>40299</c:v>
                </c:pt>
                <c:pt idx="53">
                  <c:v>40330</c:v>
                </c:pt>
                <c:pt idx="54">
                  <c:v>40360</c:v>
                </c:pt>
                <c:pt idx="55">
                  <c:v>40391</c:v>
                </c:pt>
                <c:pt idx="56">
                  <c:v>40422</c:v>
                </c:pt>
                <c:pt idx="57">
                  <c:v>40452</c:v>
                </c:pt>
                <c:pt idx="58">
                  <c:v>40483</c:v>
                </c:pt>
                <c:pt idx="59">
                  <c:v>40513</c:v>
                </c:pt>
                <c:pt idx="60">
                  <c:v>40544</c:v>
                </c:pt>
                <c:pt idx="61">
                  <c:v>40575</c:v>
                </c:pt>
                <c:pt idx="62">
                  <c:v>40603</c:v>
                </c:pt>
                <c:pt idx="63">
                  <c:v>40634</c:v>
                </c:pt>
                <c:pt idx="64">
                  <c:v>40664</c:v>
                </c:pt>
                <c:pt idx="65">
                  <c:v>40695</c:v>
                </c:pt>
                <c:pt idx="66">
                  <c:v>40725</c:v>
                </c:pt>
                <c:pt idx="67">
                  <c:v>40756</c:v>
                </c:pt>
                <c:pt idx="68">
                  <c:v>40787</c:v>
                </c:pt>
                <c:pt idx="69">
                  <c:v>40817</c:v>
                </c:pt>
                <c:pt idx="70">
                  <c:v>40848</c:v>
                </c:pt>
                <c:pt idx="71">
                  <c:v>40878</c:v>
                </c:pt>
                <c:pt idx="72">
                  <c:v>40909</c:v>
                </c:pt>
                <c:pt idx="73">
                  <c:v>40940</c:v>
                </c:pt>
                <c:pt idx="74">
                  <c:v>40969</c:v>
                </c:pt>
                <c:pt idx="75">
                  <c:v>41000</c:v>
                </c:pt>
                <c:pt idx="76">
                  <c:v>41030</c:v>
                </c:pt>
                <c:pt idx="77">
                  <c:v>41061</c:v>
                </c:pt>
                <c:pt idx="78">
                  <c:v>41091</c:v>
                </c:pt>
                <c:pt idx="79">
                  <c:v>41122</c:v>
                </c:pt>
                <c:pt idx="80">
                  <c:v>41153</c:v>
                </c:pt>
                <c:pt idx="81">
                  <c:v>41183</c:v>
                </c:pt>
                <c:pt idx="82">
                  <c:v>41214</c:v>
                </c:pt>
                <c:pt idx="83">
                  <c:v>41244</c:v>
                </c:pt>
                <c:pt idx="84">
                  <c:v>41275</c:v>
                </c:pt>
                <c:pt idx="85">
                  <c:v>41306</c:v>
                </c:pt>
                <c:pt idx="86">
                  <c:v>41334</c:v>
                </c:pt>
                <c:pt idx="87">
                  <c:v>41365</c:v>
                </c:pt>
                <c:pt idx="88">
                  <c:v>41395</c:v>
                </c:pt>
                <c:pt idx="89">
                  <c:v>41426</c:v>
                </c:pt>
                <c:pt idx="90">
                  <c:v>41456</c:v>
                </c:pt>
                <c:pt idx="91">
                  <c:v>41487</c:v>
                </c:pt>
                <c:pt idx="92">
                  <c:v>41518</c:v>
                </c:pt>
                <c:pt idx="93">
                  <c:v>41548</c:v>
                </c:pt>
                <c:pt idx="94">
                  <c:v>41579</c:v>
                </c:pt>
                <c:pt idx="95">
                  <c:v>41609</c:v>
                </c:pt>
                <c:pt idx="96">
                  <c:v>41640</c:v>
                </c:pt>
                <c:pt idx="97">
                  <c:v>41671</c:v>
                </c:pt>
                <c:pt idx="98">
                  <c:v>41699</c:v>
                </c:pt>
                <c:pt idx="99">
                  <c:v>41730</c:v>
                </c:pt>
                <c:pt idx="100">
                  <c:v>41760</c:v>
                </c:pt>
                <c:pt idx="101">
                  <c:v>41791</c:v>
                </c:pt>
                <c:pt idx="102">
                  <c:v>41821</c:v>
                </c:pt>
                <c:pt idx="103">
                  <c:v>41852</c:v>
                </c:pt>
                <c:pt idx="104">
                  <c:v>41883</c:v>
                </c:pt>
                <c:pt idx="105">
                  <c:v>41913</c:v>
                </c:pt>
                <c:pt idx="106">
                  <c:v>41944</c:v>
                </c:pt>
                <c:pt idx="107">
                  <c:v>41974</c:v>
                </c:pt>
                <c:pt idx="108">
                  <c:v>42005</c:v>
                </c:pt>
                <c:pt idx="109">
                  <c:v>42036</c:v>
                </c:pt>
                <c:pt idx="110">
                  <c:v>42064</c:v>
                </c:pt>
                <c:pt idx="111">
                  <c:v>42095</c:v>
                </c:pt>
                <c:pt idx="112">
                  <c:v>42125</c:v>
                </c:pt>
                <c:pt idx="113">
                  <c:v>42156</c:v>
                </c:pt>
                <c:pt idx="114">
                  <c:v>42186</c:v>
                </c:pt>
                <c:pt idx="115">
                  <c:v>42217</c:v>
                </c:pt>
                <c:pt idx="116">
                  <c:v>42248</c:v>
                </c:pt>
                <c:pt idx="117">
                  <c:v>42278</c:v>
                </c:pt>
                <c:pt idx="118">
                  <c:v>42309</c:v>
                </c:pt>
                <c:pt idx="119">
                  <c:v>42339</c:v>
                </c:pt>
                <c:pt idx="120">
                  <c:v>42370</c:v>
                </c:pt>
                <c:pt idx="121">
                  <c:v>42401</c:v>
                </c:pt>
                <c:pt idx="122">
                  <c:v>42430</c:v>
                </c:pt>
                <c:pt idx="123">
                  <c:v>42461</c:v>
                </c:pt>
                <c:pt idx="124">
                  <c:v>42491</c:v>
                </c:pt>
                <c:pt idx="125">
                  <c:v>42522</c:v>
                </c:pt>
                <c:pt idx="126">
                  <c:v>42552</c:v>
                </c:pt>
                <c:pt idx="127">
                  <c:v>42583</c:v>
                </c:pt>
                <c:pt idx="128">
                  <c:v>42614</c:v>
                </c:pt>
                <c:pt idx="129">
                  <c:v>42644</c:v>
                </c:pt>
                <c:pt idx="130">
                  <c:v>42675</c:v>
                </c:pt>
                <c:pt idx="131">
                  <c:v>42705</c:v>
                </c:pt>
                <c:pt idx="132">
                  <c:v>42736</c:v>
                </c:pt>
                <c:pt idx="133">
                  <c:v>42767</c:v>
                </c:pt>
                <c:pt idx="134">
                  <c:v>42795</c:v>
                </c:pt>
                <c:pt idx="135">
                  <c:v>42826</c:v>
                </c:pt>
                <c:pt idx="136">
                  <c:v>42856</c:v>
                </c:pt>
                <c:pt idx="137">
                  <c:v>42887</c:v>
                </c:pt>
                <c:pt idx="138">
                  <c:v>42917</c:v>
                </c:pt>
                <c:pt idx="139">
                  <c:v>42948</c:v>
                </c:pt>
                <c:pt idx="140">
                  <c:v>42979</c:v>
                </c:pt>
                <c:pt idx="141">
                  <c:v>43009</c:v>
                </c:pt>
                <c:pt idx="142">
                  <c:v>43040</c:v>
                </c:pt>
                <c:pt idx="143">
                  <c:v>43070</c:v>
                </c:pt>
                <c:pt idx="144">
                  <c:v>43101</c:v>
                </c:pt>
                <c:pt idx="145">
                  <c:v>43132</c:v>
                </c:pt>
                <c:pt idx="146">
                  <c:v>43160</c:v>
                </c:pt>
                <c:pt idx="147">
                  <c:v>43191</c:v>
                </c:pt>
                <c:pt idx="148">
                  <c:v>43221</c:v>
                </c:pt>
                <c:pt idx="149">
                  <c:v>43252</c:v>
                </c:pt>
                <c:pt idx="150">
                  <c:v>43282</c:v>
                </c:pt>
                <c:pt idx="151">
                  <c:v>43313</c:v>
                </c:pt>
                <c:pt idx="152">
                  <c:v>43344</c:v>
                </c:pt>
                <c:pt idx="153">
                  <c:v>43374</c:v>
                </c:pt>
                <c:pt idx="154">
                  <c:v>43405</c:v>
                </c:pt>
                <c:pt idx="155">
                  <c:v>43435</c:v>
                </c:pt>
                <c:pt idx="156">
                  <c:v>43466</c:v>
                </c:pt>
                <c:pt idx="157">
                  <c:v>43497</c:v>
                </c:pt>
                <c:pt idx="158">
                  <c:v>43525</c:v>
                </c:pt>
                <c:pt idx="159">
                  <c:v>43556</c:v>
                </c:pt>
                <c:pt idx="160">
                  <c:v>43586</c:v>
                </c:pt>
                <c:pt idx="161">
                  <c:v>43617</c:v>
                </c:pt>
                <c:pt idx="162">
                  <c:v>43647</c:v>
                </c:pt>
                <c:pt idx="163">
                  <c:v>43678</c:v>
                </c:pt>
                <c:pt idx="164">
                  <c:v>43709</c:v>
                </c:pt>
                <c:pt idx="165">
                  <c:v>43739</c:v>
                </c:pt>
                <c:pt idx="166">
                  <c:v>43770</c:v>
                </c:pt>
                <c:pt idx="167">
                  <c:v>43800</c:v>
                </c:pt>
                <c:pt idx="168">
                  <c:v>43831</c:v>
                </c:pt>
                <c:pt idx="169">
                  <c:v>43862</c:v>
                </c:pt>
                <c:pt idx="170">
                  <c:v>43891</c:v>
                </c:pt>
                <c:pt idx="171">
                  <c:v>43922</c:v>
                </c:pt>
                <c:pt idx="172">
                  <c:v>43952</c:v>
                </c:pt>
                <c:pt idx="173">
                  <c:v>43983</c:v>
                </c:pt>
                <c:pt idx="174">
                  <c:v>44013</c:v>
                </c:pt>
                <c:pt idx="175">
                  <c:v>44044</c:v>
                </c:pt>
                <c:pt idx="176">
                  <c:v>44075</c:v>
                </c:pt>
                <c:pt idx="177">
                  <c:v>44105</c:v>
                </c:pt>
                <c:pt idx="178">
                  <c:v>44136</c:v>
                </c:pt>
                <c:pt idx="179">
                  <c:v>44166</c:v>
                </c:pt>
                <c:pt idx="180">
                  <c:v>44197</c:v>
                </c:pt>
                <c:pt idx="181">
                  <c:v>44228</c:v>
                </c:pt>
                <c:pt idx="182">
                  <c:v>44256</c:v>
                </c:pt>
                <c:pt idx="183">
                  <c:v>44287</c:v>
                </c:pt>
                <c:pt idx="184">
                  <c:v>44317</c:v>
                </c:pt>
                <c:pt idx="185">
                  <c:v>44348</c:v>
                </c:pt>
                <c:pt idx="186">
                  <c:v>44378</c:v>
                </c:pt>
                <c:pt idx="187">
                  <c:v>44409</c:v>
                </c:pt>
                <c:pt idx="188">
                  <c:v>44440</c:v>
                </c:pt>
                <c:pt idx="189">
                  <c:v>44470</c:v>
                </c:pt>
                <c:pt idx="190">
                  <c:v>44501</c:v>
                </c:pt>
                <c:pt idx="191">
                  <c:v>44531</c:v>
                </c:pt>
                <c:pt idx="192">
                  <c:v>44562</c:v>
                </c:pt>
                <c:pt idx="193">
                  <c:v>44593</c:v>
                </c:pt>
                <c:pt idx="194">
                  <c:v>44621</c:v>
                </c:pt>
                <c:pt idx="195">
                  <c:v>44652</c:v>
                </c:pt>
                <c:pt idx="196">
                  <c:v>44682</c:v>
                </c:pt>
                <c:pt idx="197">
                  <c:v>44713</c:v>
                </c:pt>
                <c:pt idx="198">
                  <c:v>44743</c:v>
                </c:pt>
                <c:pt idx="199">
                  <c:v>44774</c:v>
                </c:pt>
                <c:pt idx="200">
                  <c:v>44805</c:v>
                </c:pt>
                <c:pt idx="201">
                  <c:v>44835</c:v>
                </c:pt>
                <c:pt idx="202">
                  <c:v>44866</c:v>
                </c:pt>
                <c:pt idx="203">
                  <c:v>44896</c:v>
                </c:pt>
                <c:pt idx="204">
                  <c:v>44927</c:v>
                </c:pt>
                <c:pt idx="205">
                  <c:v>44958</c:v>
                </c:pt>
                <c:pt idx="206">
                  <c:v>44986</c:v>
                </c:pt>
                <c:pt idx="207">
                  <c:v>45017</c:v>
                </c:pt>
                <c:pt idx="208">
                  <c:v>45047</c:v>
                </c:pt>
                <c:pt idx="209">
                  <c:v>45078</c:v>
                </c:pt>
                <c:pt idx="210">
                  <c:v>45108</c:v>
                </c:pt>
                <c:pt idx="211">
                  <c:v>45139</c:v>
                </c:pt>
                <c:pt idx="212">
                  <c:v>45170</c:v>
                </c:pt>
                <c:pt idx="213">
                  <c:v>45200</c:v>
                </c:pt>
                <c:pt idx="214">
                  <c:v>45231</c:v>
                </c:pt>
                <c:pt idx="215">
                  <c:v>45261</c:v>
                </c:pt>
                <c:pt idx="216">
                  <c:v>45292</c:v>
                </c:pt>
                <c:pt idx="217">
                  <c:v>45323</c:v>
                </c:pt>
                <c:pt idx="218">
                  <c:v>45352</c:v>
                </c:pt>
                <c:pt idx="219">
                  <c:v>45383</c:v>
                </c:pt>
                <c:pt idx="220">
                  <c:v>45413</c:v>
                </c:pt>
                <c:pt idx="221">
                  <c:v>45444</c:v>
                </c:pt>
                <c:pt idx="222">
                  <c:v>45474</c:v>
                </c:pt>
                <c:pt idx="223">
                  <c:v>45505</c:v>
                </c:pt>
                <c:pt idx="224">
                  <c:v>45536</c:v>
                </c:pt>
                <c:pt idx="225">
                  <c:v>45566</c:v>
                </c:pt>
                <c:pt idx="226">
                  <c:v>45597</c:v>
                </c:pt>
                <c:pt idx="227">
                  <c:v>45627</c:v>
                </c:pt>
                <c:pt idx="228">
                  <c:v>45658</c:v>
                </c:pt>
                <c:pt idx="229">
                  <c:v>45689</c:v>
                </c:pt>
              </c:numCache>
            </c:numRef>
          </c:cat>
          <c:val>
            <c:numRef>
              <c:f>'IVI (fig7)'!$B$31:$B$260</c:f>
              <c:numCache>
                <c:formatCode>General</c:formatCode>
                <c:ptCount val="230"/>
                <c:pt idx="0">
                  <c:v>100</c:v>
                </c:pt>
                <c:pt idx="1">
                  <c:v>101.1</c:v>
                </c:pt>
                <c:pt idx="2">
                  <c:v>102.2</c:v>
                </c:pt>
                <c:pt idx="3">
                  <c:v>102.8</c:v>
                </c:pt>
                <c:pt idx="4">
                  <c:v>102.8</c:v>
                </c:pt>
                <c:pt idx="5">
                  <c:v>102.9</c:v>
                </c:pt>
                <c:pt idx="6">
                  <c:v>103.6</c:v>
                </c:pt>
                <c:pt idx="7">
                  <c:v>105.3</c:v>
                </c:pt>
                <c:pt idx="8">
                  <c:v>107.4</c:v>
                </c:pt>
                <c:pt idx="9">
                  <c:v>109.5</c:v>
                </c:pt>
                <c:pt idx="10">
                  <c:v>111.4</c:v>
                </c:pt>
                <c:pt idx="11">
                  <c:v>113.7</c:v>
                </c:pt>
                <c:pt idx="12">
                  <c:v>116.7</c:v>
                </c:pt>
                <c:pt idx="13">
                  <c:v>120</c:v>
                </c:pt>
                <c:pt idx="14">
                  <c:v>122.8</c:v>
                </c:pt>
                <c:pt idx="15">
                  <c:v>124.8</c:v>
                </c:pt>
                <c:pt idx="16">
                  <c:v>126.2</c:v>
                </c:pt>
                <c:pt idx="17">
                  <c:v>127.9</c:v>
                </c:pt>
                <c:pt idx="18">
                  <c:v>129.6</c:v>
                </c:pt>
                <c:pt idx="19">
                  <c:v>131.30000000000001</c:v>
                </c:pt>
                <c:pt idx="20">
                  <c:v>132.80000000000001</c:v>
                </c:pt>
                <c:pt idx="21">
                  <c:v>134.69999999999999</c:v>
                </c:pt>
                <c:pt idx="22">
                  <c:v>137.30000000000001</c:v>
                </c:pt>
                <c:pt idx="23">
                  <c:v>140</c:v>
                </c:pt>
                <c:pt idx="24">
                  <c:v>141.9</c:v>
                </c:pt>
                <c:pt idx="25">
                  <c:v>142.6</c:v>
                </c:pt>
                <c:pt idx="26">
                  <c:v>142.5</c:v>
                </c:pt>
                <c:pt idx="27">
                  <c:v>142.1</c:v>
                </c:pt>
                <c:pt idx="28">
                  <c:v>141.1</c:v>
                </c:pt>
                <c:pt idx="29">
                  <c:v>138.5</c:v>
                </c:pt>
                <c:pt idx="30">
                  <c:v>134.19999999999999</c:v>
                </c:pt>
                <c:pt idx="31">
                  <c:v>128.69999999999999</c:v>
                </c:pt>
                <c:pt idx="32">
                  <c:v>122.7</c:v>
                </c:pt>
                <c:pt idx="33">
                  <c:v>116.2</c:v>
                </c:pt>
                <c:pt idx="34">
                  <c:v>108.9</c:v>
                </c:pt>
                <c:pt idx="35">
                  <c:v>100.8</c:v>
                </c:pt>
                <c:pt idx="36">
                  <c:v>92.5</c:v>
                </c:pt>
                <c:pt idx="37">
                  <c:v>85.5</c:v>
                </c:pt>
                <c:pt idx="38">
                  <c:v>80.400000000000006</c:v>
                </c:pt>
                <c:pt idx="39">
                  <c:v>77.099999999999994</c:v>
                </c:pt>
                <c:pt idx="40">
                  <c:v>75.400000000000006</c:v>
                </c:pt>
                <c:pt idx="41">
                  <c:v>75</c:v>
                </c:pt>
                <c:pt idx="42">
                  <c:v>75.400000000000006</c:v>
                </c:pt>
                <c:pt idx="43">
                  <c:v>76.3</c:v>
                </c:pt>
                <c:pt idx="44">
                  <c:v>77.2</c:v>
                </c:pt>
                <c:pt idx="45">
                  <c:v>78.099999999999994</c:v>
                </c:pt>
                <c:pt idx="46">
                  <c:v>79.2</c:v>
                </c:pt>
                <c:pt idx="47">
                  <c:v>80.3</c:v>
                </c:pt>
                <c:pt idx="48">
                  <c:v>81.5</c:v>
                </c:pt>
                <c:pt idx="49">
                  <c:v>82.6</c:v>
                </c:pt>
                <c:pt idx="50">
                  <c:v>83.7</c:v>
                </c:pt>
                <c:pt idx="51">
                  <c:v>84.9</c:v>
                </c:pt>
                <c:pt idx="52">
                  <c:v>86</c:v>
                </c:pt>
                <c:pt idx="53">
                  <c:v>87.2</c:v>
                </c:pt>
                <c:pt idx="54">
                  <c:v>88.7</c:v>
                </c:pt>
                <c:pt idx="55">
                  <c:v>90.7</c:v>
                </c:pt>
                <c:pt idx="56">
                  <c:v>93</c:v>
                </c:pt>
                <c:pt idx="57">
                  <c:v>95.1</c:v>
                </c:pt>
                <c:pt idx="58">
                  <c:v>96.8</c:v>
                </c:pt>
                <c:pt idx="59">
                  <c:v>98.2</c:v>
                </c:pt>
                <c:pt idx="60">
                  <c:v>99.2</c:v>
                </c:pt>
                <c:pt idx="61">
                  <c:v>100</c:v>
                </c:pt>
                <c:pt idx="62">
                  <c:v>100</c:v>
                </c:pt>
                <c:pt idx="63">
                  <c:v>99.3</c:v>
                </c:pt>
                <c:pt idx="64">
                  <c:v>98.3</c:v>
                </c:pt>
                <c:pt idx="65">
                  <c:v>97.1</c:v>
                </c:pt>
                <c:pt idx="66">
                  <c:v>95.7</c:v>
                </c:pt>
                <c:pt idx="67">
                  <c:v>94.2</c:v>
                </c:pt>
                <c:pt idx="68">
                  <c:v>92.9</c:v>
                </c:pt>
                <c:pt idx="69">
                  <c:v>91.9</c:v>
                </c:pt>
                <c:pt idx="70">
                  <c:v>91.4</c:v>
                </c:pt>
                <c:pt idx="71">
                  <c:v>91.1</c:v>
                </c:pt>
                <c:pt idx="72">
                  <c:v>90.7</c:v>
                </c:pt>
                <c:pt idx="73">
                  <c:v>90.1</c:v>
                </c:pt>
                <c:pt idx="74">
                  <c:v>89.1</c:v>
                </c:pt>
                <c:pt idx="75">
                  <c:v>87.4</c:v>
                </c:pt>
                <c:pt idx="76">
                  <c:v>85</c:v>
                </c:pt>
                <c:pt idx="77">
                  <c:v>82.4</c:v>
                </c:pt>
                <c:pt idx="78">
                  <c:v>80.3</c:v>
                </c:pt>
                <c:pt idx="79">
                  <c:v>78.7</c:v>
                </c:pt>
                <c:pt idx="80">
                  <c:v>77</c:v>
                </c:pt>
                <c:pt idx="81">
                  <c:v>75</c:v>
                </c:pt>
                <c:pt idx="82">
                  <c:v>72.7</c:v>
                </c:pt>
                <c:pt idx="83">
                  <c:v>70.7</c:v>
                </c:pt>
                <c:pt idx="84">
                  <c:v>69</c:v>
                </c:pt>
                <c:pt idx="85">
                  <c:v>67.8</c:v>
                </c:pt>
                <c:pt idx="86">
                  <c:v>66.7</c:v>
                </c:pt>
                <c:pt idx="87">
                  <c:v>66</c:v>
                </c:pt>
                <c:pt idx="88">
                  <c:v>65.8</c:v>
                </c:pt>
                <c:pt idx="89">
                  <c:v>65.7</c:v>
                </c:pt>
                <c:pt idx="90">
                  <c:v>65.599999999999994</c:v>
                </c:pt>
                <c:pt idx="91">
                  <c:v>65.5</c:v>
                </c:pt>
                <c:pt idx="92">
                  <c:v>65.3</c:v>
                </c:pt>
                <c:pt idx="93">
                  <c:v>65.2</c:v>
                </c:pt>
                <c:pt idx="94">
                  <c:v>65.599999999999994</c:v>
                </c:pt>
                <c:pt idx="95">
                  <c:v>66.3</c:v>
                </c:pt>
                <c:pt idx="96">
                  <c:v>67</c:v>
                </c:pt>
                <c:pt idx="97">
                  <c:v>67.599999999999994</c:v>
                </c:pt>
                <c:pt idx="98">
                  <c:v>68.2</c:v>
                </c:pt>
                <c:pt idx="99">
                  <c:v>69.099999999999994</c:v>
                </c:pt>
                <c:pt idx="100">
                  <c:v>70.2</c:v>
                </c:pt>
                <c:pt idx="101">
                  <c:v>71.400000000000006</c:v>
                </c:pt>
                <c:pt idx="102">
                  <c:v>72.2</c:v>
                </c:pt>
                <c:pt idx="103">
                  <c:v>72.599999999999994</c:v>
                </c:pt>
                <c:pt idx="104">
                  <c:v>72.400000000000006</c:v>
                </c:pt>
                <c:pt idx="105">
                  <c:v>72.099999999999994</c:v>
                </c:pt>
                <c:pt idx="106">
                  <c:v>71.8</c:v>
                </c:pt>
                <c:pt idx="107">
                  <c:v>71.7</c:v>
                </c:pt>
                <c:pt idx="108">
                  <c:v>72.2</c:v>
                </c:pt>
                <c:pt idx="109">
                  <c:v>72.900000000000006</c:v>
                </c:pt>
                <c:pt idx="110">
                  <c:v>73.099999999999994</c:v>
                </c:pt>
                <c:pt idx="111">
                  <c:v>72.599999999999994</c:v>
                </c:pt>
                <c:pt idx="112">
                  <c:v>71.900000000000006</c:v>
                </c:pt>
                <c:pt idx="113">
                  <c:v>71.7</c:v>
                </c:pt>
                <c:pt idx="114">
                  <c:v>72</c:v>
                </c:pt>
                <c:pt idx="115">
                  <c:v>73.099999999999994</c:v>
                </c:pt>
                <c:pt idx="116">
                  <c:v>74.400000000000006</c:v>
                </c:pt>
                <c:pt idx="117">
                  <c:v>75.5</c:v>
                </c:pt>
                <c:pt idx="118">
                  <c:v>76.2</c:v>
                </c:pt>
                <c:pt idx="119">
                  <c:v>76.400000000000006</c:v>
                </c:pt>
                <c:pt idx="120">
                  <c:v>76.099999999999994</c:v>
                </c:pt>
                <c:pt idx="121">
                  <c:v>76</c:v>
                </c:pt>
                <c:pt idx="122">
                  <c:v>76.2</c:v>
                </c:pt>
                <c:pt idx="123">
                  <c:v>76.8</c:v>
                </c:pt>
                <c:pt idx="124">
                  <c:v>77.2</c:v>
                </c:pt>
                <c:pt idx="125">
                  <c:v>77.3</c:v>
                </c:pt>
                <c:pt idx="126">
                  <c:v>77.099999999999994</c:v>
                </c:pt>
                <c:pt idx="127">
                  <c:v>76.8</c:v>
                </c:pt>
                <c:pt idx="128">
                  <c:v>76.400000000000006</c:v>
                </c:pt>
                <c:pt idx="129">
                  <c:v>76.099999999999994</c:v>
                </c:pt>
                <c:pt idx="130">
                  <c:v>75.900000000000006</c:v>
                </c:pt>
                <c:pt idx="131">
                  <c:v>75.900000000000006</c:v>
                </c:pt>
                <c:pt idx="132">
                  <c:v>76.2</c:v>
                </c:pt>
                <c:pt idx="133">
                  <c:v>76.8</c:v>
                </c:pt>
                <c:pt idx="134">
                  <c:v>77.900000000000006</c:v>
                </c:pt>
                <c:pt idx="135">
                  <c:v>79.5</c:v>
                </c:pt>
                <c:pt idx="136">
                  <c:v>81</c:v>
                </c:pt>
                <c:pt idx="137">
                  <c:v>82</c:v>
                </c:pt>
                <c:pt idx="138">
                  <c:v>82.3</c:v>
                </c:pt>
                <c:pt idx="139">
                  <c:v>82.4</c:v>
                </c:pt>
                <c:pt idx="140">
                  <c:v>82.4</c:v>
                </c:pt>
                <c:pt idx="141">
                  <c:v>82.3</c:v>
                </c:pt>
                <c:pt idx="142">
                  <c:v>82.3</c:v>
                </c:pt>
                <c:pt idx="143">
                  <c:v>82.6</c:v>
                </c:pt>
                <c:pt idx="144">
                  <c:v>83.6</c:v>
                </c:pt>
                <c:pt idx="145">
                  <c:v>85.3</c:v>
                </c:pt>
                <c:pt idx="146">
                  <c:v>86.8</c:v>
                </c:pt>
                <c:pt idx="147">
                  <c:v>87.4</c:v>
                </c:pt>
                <c:pt idx="148">
                  <c:v>87.2</c:v>
                </c:pt>
                <c:pt idx="149">
                  <c:v>86.6</c:v>
                </c:pt>
                <c:pt idx="150">
                  <c:v>86</c:v>
                </c:pt>
                <c:pt idx="151">
                  <c:v>85.3</c:v>
                </c:pt>
                <c:pt idx="152">
                  <c:v>84.2</c:v>
                </c:pt>
                <c:pt idx="153">
                  <c:v>83.3</c:v>
                </c:pt>
                <c:pt idx="154">
                  <c:v>83.4</c:v>
                </c:pt>
                <c:pt idx="155">
                  <c:v>84</c:v>
                </c:pt>
                <c:pt idx="156">
                  <c:v>84.3</c:v>
                </c:pt>
                <c:pt idx="157">
                  <c:v>83.9</c:v>
                </c:pt>
                <c:pt idx="158">
                  <c:v>82.9</c:v>
                </c:pt>
                <c:pt idx="159">
                  <c:v>82</c:v>
                </c:pt>
                <c:pt idx="160">
                  <c:v>81.5</c:v>
                </c:pt>
                <c:pt idx="161">
                  <c:v>81.3</c:v>
                </c:pt>
                <c:pt idx="162">
                  <c:v>80.7</c:v>
                </c:pt>
                <c:pt idx="163">
                  <c:v>79.5</c:v>
                </c:pt>
                <c:pt idx="164">
                  <c:v>78.099999999999994</c:v>
                </c:pt>
                <c:pt idx="165">
                  <c:v>76.400000000000006</c:v>
                </c:pt>
                <c:pt idx="166">
                  <c:v>74.3</c:v>
                </c:pt>
                <c:pt idx="167">
                  <c:v>71.3</c:v>
                </c:pt>
                <c:pt idx="168">
                  <c:v>67</c:v>
                </c:pt>
                <c:pt idx="169">
                  <c:v>61.4</c:v>
                </c:pt>
                <c:pt idx="170">
                  <c:v>56</c:v>
                </c:pt>
                <c:pt idx="171">
                  <c:v>52.7</c:v>
                </c:pt>
                <c:pt idx="172">
                  <c:v>52.5</c:v>
                </c:pt>
                <c:pt idx="173">
                  <c:v>55</c:v>
                </c:pt>
                <c:pt idx="174">
                  <c:v>59.2</c:v>
                </c:pt>
                <c:pt idx="175">
                  <c:v>64.3</c:v>
                </c:pt>
                <c:pt idx="176">
                  <c:v>70</c:v>
                </c:pt>
                <c:pt idx="177">
                  <c:v>75.7</c:v>
                </c:pt>
                <c:pt idx="178">
                  <c:v>80.7</c:v>
                </c:pt>
                <c:pt idx="179">
                  <c:v>85.4</c:v>
                </c:pt>
                <c:pt idx="180">
                  <c:v>90.7</c:v>
                </c:pt>
                <c:pt idx="181">
                  <c:v>96.9</c:v>
                </c:pt>
                <c:pt idx="182">
                  <c:v>103.1</c:v>
                </c:pt>
                <c:pt idx="183">
                  <c:v>107.5</c:v>
                </c:pt>
                <c:pt idx="184">
                  <c:v>109.3</c:v>
                </c:pt>
                <c:pt idx="185">
                  <c:v>108.7</c:v>
                </c:pt>
                <c:pt idx="186">
                  <c:v>108.1</c:v>
                </c:pt>
                <c:pt idx="187">
                  <c:v>109.6</c:v>
                </c:pt>
                <c:pt idx="188">
                  <c:v>112.7</c:v>
                </c:pt>
                <c:pt idx="189">
                  <c:v>116.5</c:v>
                </c:pt>
                <c:pt idx="190">
                  <c:v>120</c:v>
                </c:pt>
                <c:pt idx="191">
                  <c:v>122.8</c:v>
                </c:pt>
                <c:pt idx="192">
                  <c:v>125.6</c:v>
                </c:pt>
                <c:pt idx="193">
                  <c:v>128.6</c:v>
                </c:pt>
                <c:pt idx="194">
                  <c:v>132.5</c:v>
                </c:pt>
                <c:pt idx="195">
                  <c:v>136.1</c:v>
                </c:pt>
                <c:pt idx="196">
                  <c:v>138.80000000000001</c:v>
                </c:pt>
                <c:pt idx="197">
                  <c:v>139.80000000000001</c:v>
                </c:pt>
                <c:pt idx="198">
                  <c:v>139</c:v>
                </c:pt>
                <c:pt idx="199">
                  <c:v>136.80000000000001</c:v>
                </c:pt>
                <c:pt idx="200">
                  <c:v>133.9</c:v>
                </c:pt>
                <c:pt idx="201">
                  <c:v>131.4</c:v>
                </c:pt>
                <c:pt idx="202">
                  <c:v>129.9</c:v>
                </c:pt>
                <c:pt idx="203">
                  <c:v>129.5</c:v>
                </c:pt>
                <c:pt idx="204">
                  <c:v>130.19999999999999</c:v>
                </c:pt>
                <c:pt idx="205">
                  <c:v>131.69999999999999</c:v>
                </c:pt>
                <c:pt idx="206">
                  <c:v>132.9</c:v>
                </c:pt>
                <c:pt idx="207">
                  <c:v>133.19999999999999</c:v>
                </c:pt>
                <c:pt idx="208">
                  <c:v>132.9</c:v>
                </c:pt>
                <c:pt idx="209">
                  <c:v>132.1</c:v>
                </c:pt>
                <c:pt idx="210">
                  <c:v>130.69999999999999</c:v>
                </c:pt>
                <c:pt idx="211">
                  <c:v>128.19999999999999</c:v>
                </c:pt>
                <c:pt idx="212">
                  <c:v>125.4</c:v>
                </c:pt>
                <c:pt idx="213">
                  <c:v>122.6</c:v>
                </c:pt>
                <c:pt idx="214">
                  <c:v>120.5</c:v>
                </c:pt>
                <c:pt idx="215">
                  <c:v>119.1</c:v>
                </c:pt>
                <c:pt idx="216">
                  <c:v>117.7</c:v>
                </c:pt>
                <c:pt idx="217">
                  <c:v>116.2</c:v>
                </c:pt>
                <c:pt idx="218">
                  <c:v>114.5</c:v>
                </c:pt>
                <c:pt idx="219">
                  <c:v>112.4</c:v>
                </c:pt>
                <c:pt idx="220">
                  <c:v>109.8</c:v>
                </c:pt>
                <c:pt idx="221">
                  <c:v>107.3</c:v>
                </c:pt>
                <c:pt idx="222">
                  <c:v>106.1</c:v>
                </c:pt>
                <c:pt idx="223">
                  <c:v>105.9</c:v>
                </c:pt>
                <c:pt idx="224">
                  <c:v>105.8</c:v>
                </c:pt>
                <c:pt idx="225">
                  <c:v>104.9</c:v>
                </c:pt>
                <c:pt idx="226">
                  <c:v>103.3</c:v>
                </c:pt>
                <c:pt idx="227">
                  <c:v>101.5</c:v>
                </c:pt>
                <c:pt idx="228">
                  <c:v>99.7</c:v>
                </c:pt>
                <c:pt idx="229">
                  <c:v>97.5</c:v>
                </c:pt>
              </c:numCache>
            </c:numRef>
          </c:val>
          <c:smooth val="0"/>
          <c:extLst>
            <c:ext xmlns:c16="http://schemas.microsoft.com/office/drawing/2014/chart" uri="{C3380CC4-5D6E-409C-BE32-E72D297353CC}">
              <c16:uniqueId val="{00000000-B980-4FA0-8714-D3586E84D90C}"/>
            </c:ext>
          </c:extLst>
        </c:ser>
        <c:ser>
          <c:idx val="1"/>
          <c:order val="1"/>
          <c:tx>
            <c:strRef>
              <c:f>'IVI (fig7)'!$C$30</c:f>
              <c:strCache>
                <c:ptCount val="1"/>
                <c:pt idx="0">
                  <c:v>Professionals</c:v>
                </c:pt>
              </c:strCache>
            </c:strRef>
          </c:tx>
          <c:spPr>
            <a:ln w="22225" cap="rnd">
              <a:solidFill>
                <a:srgbClr val="1192E8"/>
              </a:solidFill>
              <a:prstDash val="sysDot"/>
              <a:round/>
            </a:ln>
            <a:effectLst/>
          </c:spPr>
          <c:marker>
            <c:symbol val="none"/>
          </c:marker>
          <c:cat>
            <c:numRef>
              <c:f>'IVI (fig7)'!$A$31:$A$260</c:f>
              <c:numCache>
                <c:formatCode>mmm\-yy</c:formatCode>
                <c:ptCount val="230"/>
                <c:pt idx="0">
                  <c:v>38718</c:v>
                </c:pt>
                <c:pt idx="1">
                  <c:v>38749</c:v>
                </c:pt>
                <c:pt idx="2">
                  <c:v>38777</c:v>
                </c:pt>
                <c:pt idx="3">
                  <c:v>38808</c:v>
                </c:pt>
                <c:pt idx="4">
                  <c:v>38838</c:v>
                </c:pt>
                <c:pt idx="5">
                  <c:v>38869</c:v>
                </c:pt>
                <c:pt idx="6">
                  <c:v>38899</c:v>
                </c:pt>
                <c:pt idx="7">
                  <c:v>38930</c:v>
                </c:pt>
                <c:pt idx="8">
                  <c:v>38961</c:v>
                </c:pt>
                <c:pt idx="9">
                  <c:v>38991</c:v>
                </c:pt>
                <c:pt idx="10">
                  <c:v>39022</c:v>
                </c:pt>
                <c:pt idx="11">
                  <c:v>39052</c:v>
                </c:pt>
                <c:pt idx="12">
                  <c:v>39083</c:v>
                </c:pt>
                <c:pt idx="13">
                  <c:v>39114</c:v>
                </c:pt>
                <c:pt idx="14">
                  <c:v>39142</c:v>
                </c:pt>
                <c:pt idx="15">
                  <c:v>39173</c:v>
                </c:pt>
                <c:pt idx="16">
                  <c:v>39203</c:v>
                </c:pt>
                <c:pt idx="17">
                  <c:v>39234</c:v>
                </c:pt>
                <c:pt idx="18">
                  <c:v>39264</c:v>
                </c:pt>
                <c:pt idx="19">
                  <c:v>39295</c:v>
                </c:pt>
                <c:pt idx="20">
                  <c:v>39326</c:v>
                </c:pt>
                <c:pt idx="21">
                  <c:v>39356</c:v>
                </c:pt>
                <c:pt idx="22">
                  <c:v>39387</c:v>
                </c:pt>
                <c:pt idx="23">
                  <c:v>39417</c:v>
                </c:pt>
                <c:pt idx="24">
                  <c:v>39448</c:v>
                </c:pt>
                <c:pt idx="25">
                  <c:v>39479</c:v>
                </c:pt>
                <c:pt idx="26">
                  <c:v>39508</c:v>
                </c:pt>
                <c:pt idx="27">
                  <c:v>39539</c:v>
                </c:pt>
                <c:pt idx="28">
                  <c:v>39569</c:v>
                </c:pt>
                <c:pt idx="29">
                  <c:v>39600</c:v>
                </c:pt>
                <c:pt idx="30">
                  <c:v>39630</c:v>
                </c:pt>
                <c:pt idx="31">
                  <c:v>39661</c:v>
                </c:pt>
                <c:pt idx="32">
                  <c:v>39692</c:v>
                </c:pt>
                <c:pt idx="33">
                  <c:v>39722</c:v>
                </c:pt>
                <c:pt idx="34">
                  <c:v>39753</c:v>
                </c:pt>
                <c:pt idx="35">
                  <c:v>39783</c:v>
                </c:pt>
                <c:pt idx="36">
                  <c:v>39814</c:v>
                </c:pt>
                <c:pt idx="37">
                  <c:v>39845</c:v>
                </c:pt>
                <c:pt idx="38">
                  <c:v>39873</c:v>
                </c:pt>
                <c:pt idx="39">
                  <c:v>39904</c:v>
                </c:pt>
                <c:pt idx="40">
                  <c:v>39934</c:v>
                </c:pt>
                <c:pt idx="41">
                  <c:v>39965</c:v>
                </c:pt>
                <c:pt idx="42">
                  <c:v>39995</c:v>
                </c:pt>
                <c:pt idx="43">
                  <c:v>40026</c:v>
                </c:pt>
                <c:pt idx="44">
                  <c:v>40057</c:v>
                </c:pt>
                <c:pt idx="45">
                  <c:v>40087</c:v>
                </c:pt>
                <c:pt idx="46">
                  <c:v>40118</c:v>
                </c:pt>
                <c:pt idx="47">
                  <c:v>40148</c:v>
                </c:pt>
                <c:pt idx="48">
                  <c:v>40179</c:v>
                </c:pt>
                <c:pt idx="49">
                  <c:v>40210</c:v>
                </c:pt>
                <c:pt idx="50">
                  <c:v>40238</c:v>
                </c:pt>
                <c:pt idx="51">
                  <c:v>40269</c:v>
                </c:pt>
                <c:pt idx="52">
                  <c:v>40299</c:v>
                </c:pt>
                <c:pt idx="53">
                  <c:v>40330</c:v>
                </c:pt>
                <c:pt idx="54">
                  <c:v>40360</c:v>
                </c:pt>
                <c:pt idx="55">
                  <c:v>40391</c:v>
                </c:pt>
                <c:pt idx="56">
                  <c:v>40422</c:v>
                </c:pt>
                <c:pt idx="57">
                  <c:v>40452</c:v>
                </c:pt>
                <c:pt idx="58">
                  <c:v>40483</c:v>
                </c:pt>
                <c:pt idx="59">
                  <c:v>40513</c:v>
                </c:pt>
                <c:pt idx="60">
                  <c:v>40544</c:v>
                </c:pt>
                <c:pt idx="61">
                  <c:v>40575</c:v>
                </c:pt>
                <c:pt idx="62">
                  <c:v>40603</c:v>
                </c:pt>
                <c:pt idx="63">
                  <c:v>40634</c:v>
                </c:pt>
                <c:pt idx="64">
                  <c:v>40664</c:v>
                </c:pt>
                <c:pt idx="65">
                  <c:v>40695</c:v>
                </c:pt>
                <c:pt idx="66">
                  <c:v>40725</c:v>
                </c:pt>
                <c:pt idx="67">
                  <c:v>40756</c:v>
                </c:pt>
                <c:pt idx="68">
                  <c:v>40787</c:v>
                </c:pt>
                <c:pt idx="69">
                  <c:v>40817</c:v>
                </c:pt>
                <c:pt idx="70">
                  <c:v>40848</c:v>
                </c:pt>
                <c:pt idx="71">
                  <c:v>40878</c:v>
                </c:pt>
                <c:pt idx="72">
                  <c:v>40909</c:v>
                </c:pt>
                <c:pt idx="73">
                  <c:v>40940</c:v>
                </c:pt>
                <c:pt idx="74">
                  <c:v>40969</c:v>
                </c:pt>
                <c:pt idx="75">
                  <c:v>41000</c:v>
                </c:pt>
                <c:pt idx="76">
                  <c:v>41030</c:v>
                </c:pt>
                <c:pt idx="77">
                  <c:v>41061</c:v>
                </c:pt>
                <c:pt idx="78">
                  <c:v>41091</c:v>
                </c:pt>
                <c:pt idx="79">
                  <c:v>41122</c:v>
                </c:pt>
                <c:pt idx="80">
                  <c:v>41153</c:v>
                </c:pt>
                <c:pt idx="81">
                  <c:v>41183</c:v>
                </c:pt>
                <c:pt idx="82">
                  <c:v>41214</c:v>
                </c:pt>
                <c:pt idx="83">
                  <c:v>41244</c:v>
                </c:pt>
                <c:pt idx="84">
                  <c:v>41275</c:v>
                </c:pt>
                <c:pt idx="85">
                  <c:v>41306</c:v>
                </c:pt>
                <c:pt idx="86">
                  <c:v>41334</c:v>
                </c:pt>
                <c:pt idx="87">
                  <c:v>41365</c:v>
                </c:pt>
                <c:pt idx="88">
                  <c:v>41395</c:v>
                </c:pt>
                <c:pt idx="89">
                  <c:v>41426</c:v>
                </c:pt>
                <c:pt idx="90">
                  <c:v>41456</c:v>
                </c:pt>
                <c:pt idx="91">
                  <c:v>41487</c:v>
                </c:pt>
                <c:pt idx="92">
                  <c:v>41518</c:v>
                </c:pt>
                <c:pt idx="93">
                  <c:v>41548</c:v>
                </c:pt>
                <c:pt idx="94">
                  <c:v>41579</c:v>
                </c:pt>
                <c:pt idx="95">
                  <c:v>41609</c:v>
                </c:pt>
                <c:pt idx="96">
                  <c:v>41640</c:v>
                </c:pt>
                <c:pt idx="97">
                  <c:v>41671</c:v>
                </c:pt>
                <c:pt idx="98">
                  <c:v>41699</c:v>
                </c:pt>
                <c:pt idx="99">
                  <c:v>41730</c:v>
                </c:pt>
                <c:pt idx="100">
                  <c:v>41760</c:v>
                </c:pt>
                <c:pt idx="101">
                  <c:v>41791</c:v>
                </c:pt>
                <c:pt idx="102">
                  <c:v>41821</c:v>
                </c:pt>
                <c:pt idx="103">
                  <c:v>41852</c:v>
                </c:pt>
                <c:pt idx="104">
                  <c:v>41883</c:v>
                </c:pt>
                <c:pt idx="105">
                  <c:v>41913</c:v>
                </c:pt>
                <c:pt idx="106">
                  <c:v>41944</c:v>
                </c:pt>
                <c:pt idx="107">
                  <c:v>41974</c:v>
                </c:pt>
                <c:pt idx="108">
                  <c:v>42005</c:v>
                </c:pt>
                <c:pt idx="109">
                  <c:v>42036</c:v>
                </c:pt>
                <c:pt idx="110">
                  <c:v>42064</c:v>
                </c:pt>
                <c:pt idx="111">
                  <c:v>42095</c:v>
                </c:pt>
                <c:pt idx="112">
                  <c:v>42125</c:v>
                </c:pt>
                <c:pt idx="113">
                  <c:v>42156</c:v>
                </c:pt>
                <c:pt idx="114">
                  <c:v>42186</c:v>
                </c:pt>
                <c:pt idx="115">
                  <c:v>42217</c:v>
                </c:pt>
                <c:pt idx="116">
                  <c:v>42248</c:v>
                </c:pt>
                <c:pt idx="117">
                  <c:v>42278</c:v>
                </c:pt>
                <c:pt idx="118">
                  <c:v>42309</c:v>
                </c:pt>
                <c:pt idx="119">
                  <c:v>42339</c:v>
                </c:pt>
                <c:pt idx="120">
                  <c:v>42370</c:v>
                </c:pt>
                <c:pt idx="121">
                  <c:v>42401</c:v>
                </c:pt>
                <c:pt idx="122">
                  <c:v>42430</c:v>
                </c:pt>
                <c:pt idx="123">
                  <c:v>42461</c:v>
                </c:pt>
                <c:pt idx="124">
                  <c:v>42491</c:v>
                </c:pt>
                <c:pt idx="125">
                  <c:v>42522</c:v>
                </c:pt>
                <c:pt idx="126">
                  <c:v>42552</c:v>
                </c:pt>
                <c:pt idx="127">
                  <c:v>42583</c:v>
                </c:pt>
                <c:pt idx="128">
                  <c:v>42614</c:v>
                </c:pt>
                <c:pt idx="129">
                  <c:v>42644</c:v>
                </c:pt>
                <c:pt idx="130">
                  <c:v>42675</c:v>
                </c:pt>
                <c:pt idx="131">
                  <c:v>42705</c:v>
                </c:pt>
                <c:pt idx="132">
                  <c:v>42736</c:v>
                </c:pt>
                <c:pt idx="133">
                  <c:v>42767</c:v>
                </c:pt>
                <c:pt idx="134">
                  <c:v>42795</c:v>
                </c:pt>
                <c:pt idx="135">
                  <c:v>42826</c:v>
                </c:pt>
                <c:pt idx="136">
                  <c:v>42856</c:v>
                </c:pt>
                <c:pt idx="137">
                  <c:v>42887</c:v>
                </c:pt>
                <c:pt idx="138">
                  <c:v>42917</c:v>
                </c:pt>
                <c:pt idx="139">
                  <c:v>42948</c:v>
                </c:pt>
                <c:pt idx="140">
                  <c:v>42979</c:v>
                </c:pt>
                <c:pt idx="141">
                  <c:v>43009</c:v>
                </c:pt>
                <c:pt idx="142">
                  <c:v>43040</c:v>
                </c:pt>
                <c:pt idx="143">
                  <c:v>43070</c:v>
                </c:pt>
                <c:pt idx="144">
                  <c:v>43101</c:v>
                </c:pt>
                <c:pt idx="145">
                  <c:v>43132</c:v>
                </c:pt>
                <c:pt idx="146">
                  <c:v>43160</c:v>
                </c:pt>
                <c:pt idx="147">
                  <c:v>43191</c:v>
                </c:pt>
                <c:pt idx="148">
                  <c:v>43221</c:v>
                </c:pt>
                <c:pt idx="149">
                  <c:v>43252</c:v>
                </c:pt>
                <c:pt idx="150">
                  <c:v>43282</c:v>
                </c:pt>
                <c:pt idx="151">
                  <c:v>43313</c:v>
                </c:pt>
                <c:pt idx="152">
                  <c:v>43344</c:v>
                </c:pt>
                <c:pt idx="153">
                  <c:v>43374</c:v>
                </c:pt>
                <c:pt idx="154">
                  <c:v>43405</c:v>
                </c:pt>
                <c:pt idx="155">
                  <c:v>43435</c:v>
                </c:pt>
                <c:pt idx="156">
                  <c:v>43466</c:v>
                </c:pt>
                <c:pt idx="157">
                  <c:v>43497</c:v>
                </c:pt>
                <c:pt idx="158">
                  <c:v>43525</c:v>
                </c:pt>
                <c:pt idx="159">
                  <c:v>43556</c:v>
                </c:pt>
                <c:pt idx="160">
                  <c:v>43586</c:v>
                </c:pt>
                <c:pt idx="161">
                  <c:v>43617</c:v>
                </c:pt>
                <c:pt idx="162">
                  <c:v>43647</c:v>
                </c:pt>
                <c:pt idx="163">
                  <c:v>43678</c:v>
                </c:pt>
                <c:pt idx="164">
                  <c:v>43709</c:v>
                </c:pt>
                <c:pt idx="165">
                  <c:v>43739</c:v>
                </c:pt>
                <c:pt idx="166">
                  <c:v>43770</c:v>
                </c:pt>
                <c:pt idx="167">
                  <c:v>43800</c:v>
                </c:pt>
                <c:pt idx="168">
                  <c:v>43831</c:v>
                </c:pt>
                <c:pt idx="169">
                  <c:v>43862</c:v>
                </c:pt>
                <c:pt idx="170">
                  <c:v>43891</c:v>
                </c:pt>
                <c:pt idx="171">
                  <c:v>43922</c:v>
                </c:pt>
                <c:pt idx="172">
                  <c:v>43952</c:v>
                </c:pt>
                <c:pt idx="173">
                  <c:v>43983</c:v>
                </c:pt>
                <c:pt idx="174">
                  <c:v>44013</c:v>
                </c:pt>
                <c:pt idx="175">
                  <c:v>44044</c:v>
                </c:pt>
                <c:pt idx="176">
                  <c:v>44075</c:v>
                </c:pt>
                <c:pt idx="177">
                  <c:v>44105</c:v>
                </c:pt>
                <c:pt idx="178">
                  <c:v>44136</c:v>
                </c:pt>
                <c:pt idx="179">
                  <c:v>44166</c:v>
                </c:pt>
                <c:pt idx="180">
                  <c:v>44197</c:v>
                </c:pt>
                <c:pt idx="181">
                  <c:v>44228</c:v>
                </c:pt>
                <c:pt idx="182">
                  <c:v>44256</c:v>
                </c:pt>
                <c:pt idx="183">
                  <c:v>44287</c:v>
                </c:pt>
                <c:pt idx="184">
                  <c:v>44317</c:v>
                </c:pt>
                <c:pt idx="185">
                  <c:v>44348</c:v>
                </c:pt>
                <c:pt idx="186">
                  <c:v>44378</c:v>
                </c:pt>
                <c:pt idx="187">
                  <c:v>44409</c:v>
                </c:pt>
                <c:pt idx="188">
                  <c:v>44440</c:v>
                </c:pt>
                <c:pt idx="189">
                  <c:v>44470</c:v>
                </c:pt>
                <c:pt idx="190">
                  <c:v>44501</c:v>
                </c:pt>
                <c:pt idx="191">
                  <c:v>44531</c:v>
                </c:pt>
                <c:pt idx="192">
                  <c:v>44562</c:v>
                </c:pt>
                <c:pt idx="193">
                  <c:v>44593</c:v>
                </c:pt>
                <c:pt idx="194">
                  <c:v>44621</c:v>
                </c:pt>
                <c:pt idx="195">
                  <c:v>44652</c:v>
                </c:pt>
                <c:pt idx="196">
                  <c:v>44682</c:v>
                </c:pt>
                <c:pt idx="197">
                  <c:v>44713</c:v>
                </c:pt>
                <c:pt idx="198">
                  <c:v>44743</c:v>
                </c:pt>
                <c:pt idx="199">
                  <c:v>44774</c:v>
                </c:pt>
                <c:pt idx="200">
                  <c:v>44805</c:v>
                </c:pt>
                <c:pt idx="201">
                  <c:v>44835</c:v>
                </c:pt>
                <c:pt idx="202">
                  <c:v>44866</c:v>
                </c:pt>
                <c:pt idx="203">
                  <c:v>44896</c:v>
                </c:pt>
                <c:pt idx="204">
                  <c:v>44927</c:v>
                </c:pt>
                <c:pt idx="205">
                  <c:v>44958</c:v>
                </c:pt>
                <c:pt idx="206">
                  <c:v>44986</c:v>
                </c:pt>
                <c:pt idx="207">
                  <c:v>45017</c:v>
                </c:pt>
                <c:pt idx="208">
                  <c:v>45047</c:v>
                </c:pt>
                <c:pt idx="209">
                  <c:v>45078</c:v>
                </c:pt>
                <c:pt idx="210">
                  <c:v>45108</c:v>
                </c:pt>
                <c:pt idx="211">
                  <c:v>45139</c:v>
                </c:pt>
                <c:pt idx="212">
                  <c:v>45170</c:v>
                </c:pt>
                <c:pt idx="213">
                  <c:v>45200</c:v>
                </c:pt>
                <c:pt idx="214">
                  <c:v>45231</c:v>
                </c:pt>
                <c:pt idx="215">
                  <c:v>45261</c:v>
                </c:pt>
                <c:pt idx="216">
                  <c:v>45292</c:v>
                </c:pt>
                <c:pt idx="217">
                  <c:v>45323</c:v>
                </c:pt>
                <c:pt idx="218">
                  <c:v>45352</c:v>
                </c:pt>
                <c:pt idx="219">
                  <c:v>45383</c:v>
                </c:pt>
                <c:pt idx="220">
                  <c:v>45413</c:v>
                </c:pt>
                <c:pt idx="221">
                  <c:v>45444</c:v>
                </c:pt>
                <c:pt idx="222">
                  <c:v>45474</c:v>
                </c:pt>
                <c:pt idx="223">
                  <c:v>45505</c:v>
                </c:pt>
                <c:pt idx="224">
                  <c:v>45536</c:v>
                </c:pt>
                <c:pt idx="225">
                  <c:v>45566</c:v>
                </c:pt>
                <c:pt idx="226">
                  <c:v>45597</c:v>
                </c:pt>
                <c:pt idx="227">
                  <c:v>45627</c:v>
                </c:pt>
                <c:pt idx="228">
                  <c:v>45658</c:v>
                </c:pt>
                <c:pt idx="229">
                  <c:v>45689</c:v>
                </c:pt>
              </c:numCache>
            </c:numRef>
          </c:cat>
          <c:val>
            <c:numRef>
              <c:f>'IVI (fig7)'!$C$31:$C$260</c:f>
              <c:numCache>
                <c:formatCode>General</c:formatCode>
                <c:ptCount val="230"/>
                <c:pt idx="0">
                  <c:v>100</c:v>
                </c:pt>
                <c:pt idx="1">
                  <c:v>103.1</c:v>
                </c:pt>
                <c:pt idx="2">
                  <c:v>106.2</c:v>
                </c:pt>
                <c:pt idx="3">
                  <c:v>109</c:v>
                </c:pt>
                <c:pt idx="4">
                  <c:v>110.8</c:v>
                </c:pt>
                <c:pt idx="5">
                  <c:v>111.4</c:v>
                </c:pt>
                <c:pt idx="6">
                  <c:v>112</c:v>
                </c:pt>
                <c:pt idx="7">
                  <c:v>113.7</c:v>
                </c:pt>
                <c:pt idx="8">
                  <c:v>116</c:v>
                </c:pt>
                <c:pt idx="9">
                  <c:v>118.1</c:v>
                </c:pt>
                <c:pt idx="10">
                  <c:v>120.3</c:v>
                </c:pt>
                <c:pt idx="11">
                  <c:v>123.1</c:v>
                </c:pt>
                <c:pt idx="12">
                  <c:v>127.3</c:v>
                </c:pt>
                <c:pt idx="13">
                  <c:v>132.6</c:v>
                </c:pt>
                <c:pt idx="14">
                  <c:v>137.30000000000001</c:v>
                </c:pt>
                <c:pt idx="15">
                  <c:v>140.1</c:v>
                </c:pt>
                <c:pt idx="16">
                  <c:v>141.30000000000001</c:v>
                </c:pt>
                <c:pt idx="17">
                  <c:v>142.4</c:v>
                </c:pt>
                <c:pt idx="18">
                  <c:v>143.9</c:v>
                </c:pt>
                <c:pt idx="19">
                  <c:v>145.6</c:v>
                </c:pt>
                <c:pt idx="20">
                  <c:v>147.80000000000001</c:v>
                </c:pt>
                <c:pt idx="21">
                  <c:v>151.1</c:v>
                </c:pt>
                <c:pt idx="22">
                  <c:v>155.9</c:v>
                </c:pt>
                <c:pt idx="23">
                  <c:v>161.1</c:v>
                </c:pt>
                <c:pt idx="24">
                  <c:v>164.9</c:v>
                </c:pt>
                <c:pt idx="25">
                  <c:v>166.8</c:v>
                </c:pt>
                <c:pt idx="26">
                  <c:v>167.5</c:v>
                </c:pt>
                <c:pt idx="27">
                  <c:v>167.9</c:v>
                </c:pt>
                <c:pt idx="28">
                  <c:v>168.1</c:v>
                </c:pt>
                <c:pt idx="29">
                  <c:v>166.7</c:v>
                </c:pt>
                <c:pt idx="30">
                  <c:v>163.4</c:v>
                </c:pt>
                <c:pt idx="31">
                  <c:v>158.80000000000001</c:v>
                </c:pt>
                <c:pt idx="32">
                  <c:v>153.80000000000001</c:v>
                </c:pt>
                <c:pt idx="33">
                  <c:v>147.80000000000001</c:v>
                </c:pt>
                <c:pt idx="34">
                  <c:v>139.6</c:v>
                </c:pt>
                <c:pt idx="35">
                  <c:v>128.9</c:v>
                </c:pt>
                <c:pt idx="36">
                  <c:v>117.2</c:v>
                </c:pt>
                <c:pt idx="37">
                  <c:v>106.4</c:v>
                </c:pt>
                <c:pt idx="38">
                  <c:v>98.5</c:v>
                </c:pt>
                <c:pt idx="39">
                  <c:v>93.7</c:v>
                </c:pt>
                <c:pt idx="40">
                  <c:v>91.7</c:v>
                </c:pt>
                <c:pt idx="41">
                  <c:v>91.8</c:v>
                </c:pt>
                <c:pt idx="42">
                  <c:v>92.7</c:v>
                </c:pt>
                <c:pt idx="43">
                  <c:v>93.1</c:v>
                </c:pt>
                <c:pt idx="44">
                  <c:v>92.4</c:v>
                </c:pt>
                <c:pt idx="45">
                  <c:v>91.5</c:v>
                </c:pt>
                <c:pt idx="46">
                  <c:v>91.7</c:v>
                </c:pt>
                <c:pt idx="47">
                  <c:v>93.1</c:v>
                </c:pt>
                <c:pt idx="48">
                  <c:v>95.3</c:v>
                </c:pt>
                <c:pt idx="49">
                  <c:v>97.9</c:v>
                </c:pt>
                <c:pt idx="50">
                  <c:v>100.1</c:v>
                </c:pt>
                <c:pt idx="51">
                  <c:v>102</c:v>
                </c:pt>
                <c:pt idx="52">
                  <c:v>103.8</c:v>
                </c:pt>
                <c:pt idx="53">
                  <c:v>105.5</c:v>
                </c:pt>
                <c:pt idx="54">
                  <c:v>107.3</c:v>
                </c:pt>
                <c:pt idx="55">
                  <c:v>109.7</c:v>
                </c:pt>
                <c:pt idx="56">
                  <c:v>113.1</c:v>
                </c:pt>
                <c:pt idx="57">
                  <c:v>116.6</c:v>
                </c:pt>
                <c:pt idx="58">
                  <c:v>119.4</c:v>
                </c:pt>
                <c:pt idx="59">
                  <c:v>121.2</c:v>
                </c:pt>
                <c:pt idx="60">
                  <c:v>122.5</c:v>
                </c:pt>
                <c:pt idx="61">
                  <c:v>123.4</c:v>
                </c:pt>
                <c:pt idx="62">
                  <c:v>123.9</c:v>
                </c:pt>
                <c:pt idx="63">
                  <c:v>123.3</c:v>
                </c:pt>
                <c:pt idx="64">
                  <c:v>121.5</c:v>
                </c:pt>
                <c:pt idx="65">
                  <c:v>118.8</c:v>
                </c:pt>
                <c:pt idx="66">
                  <c:v>116.1</c:v>
                </c:pt>
                <c:pt idx="67">
                  <c:v>114.1</c:v>
                </c:pt>
                <c:pt idx="68">
                  <c:v>113.2</c:v>
                </c:pt>
                <c:pt idx="69">
                  <c:v>112.9</c:v>
                </c:pt>
                <c:pt idx="70">
                  <c:v>112.8</c:v>
                </c:pt>
                <c:pt idx="71">
                  <c:v>112.4</c:v>
                </c:pt>
                <c:pt idx="72">
                  <c:v>111.8</c:v>
                </c:pt>
                <c:pt idx="73">
                  <c:v>110.8</c:v>
                </c:pt>
                <c:pt idx="74">
                  <c:v>109.6</c:v>
                </c:pt>
                <c:pt idx="75">
                  <c:v>107.8</c:v>
                </c:pt>
                <c:pt idx="76">
                  <c:v>105.1</c:v>
                </c:pt>
                <c:pt idx="77">
                  <c:v>102.1</c:v>
                </c:pt>
                <c:pt idx="78">
                  <c:v>99.5</c:v>
                </c:pt>
                <c:pt idx="79">
                  <c:v>97.4</c:v>
                </c:pt>
                <c:pt idx="80">
                  <c:v>94.9</c:v>
                </c:pt>
                <c:pt idx="81">
                  <c:v>91.8</c:v>
                </c:pt>
                <c:pt idx="82">
                  <c:v>88.2</c:v>
                </c:pt>
                <c:pt idx="83">
                  <c:v>85</c:v>
                </c:pt>
                <c:pt idx="84">
                  <c:v>83</c:v>
                </c:pt>
                <c:pt idx="85">
                  <c:v>81.8</c:v>
                </c:pt>
                <c:pt idx="86">
                  <c:v>80.5</c:v>
                </c:pt>
                <c:pt idx="87">
                  <c:v>78.900000000000006</c:v>
                </c:pt>
                <c:pt idx="88">
                  <c:v>77.5</c:v>
                </c:pt>
                <c:pt idx="89">
                  <c:v>76.5</c:v>
                </c:pt>
                <c:pt idx="90">
                  <c:v>75.900000000000006</c:v>
                </c:pt>
                <c:pt idx="91">
                  <c:v>75.400000000000006</c:v>
                </c:pt>
                <c:pt idx="92">
                  <c:v>74.900000000000006</c:v>
                </c:pt>
                <c:pt idx="93">
                  <c:v>74.900000000000006</c:v>
                </c:pt>
                <c:pt idx="94">
                  <c:v>75.599999999999994</c:v>
                </c:pt>
                <c:pt idx="95">
                  <c:v>76.8</c:v>
                </c:pt>
                <c:pt idx="96">
                  <c:v>77.400000000000006</c:v>
                </c:pt>
                <c:pt idx="97">
                  <c:v>77.400000000000006</c:v>
                </c:pt>
                <c:pt idx="98">
                  <c:v>77.7</c:v>
                </c:pt>
                <c:pt idx="99">
                  <c:v>79</c:v>
                </c:pt>
                <c:pt idx="100">
                  <c:v>80.8</c:v>
                </c:pt>
                <c:pt idx="101">
                  <c:v>82.5</c:v>
                </c:pt>
                <c:pt idx="102">
                  <c:v>83.5</c:v>
                </c:pt>
                <c:pt idx="103">
                  <c:v>83.6</c:v>
                </c:pt>
                <c:pt idx="104">
                  <c:v>83.1</c:v>
                </c:pt>
                <c:pt idx="105">
                  <c:v>82.7</c:v>
                </c:pt>
                <c:pt idx="106">
                  <c:v>82.4</c:v>
                </c:pt>
                <c:pt idx="107">
                  <c:v>82.3</c:v>
                </c:pt>
                <c:pt idx="108">
                  <c:v>83.3</c:v>
                </c:pt>
                <c:pt idx="109">
                  <c:v>84.6</c:v>
                </c:pt>
                <c:pt idx="110">
                  <c:v>85.6</c:v>
                </c:pt>
                <c:pt idx="111">
                  <c:v>86.1</c:v>
                </c:pt>
                <c:pt idx="112">
                  <c:v>86.6</c:v>
                </c:pt>
                <c:pt idx="113">
                  <c:v>87.4</c:v>
                </c:pt>
                <c:pt idx="114">
                  <c:v>88.7</c:v>
                </c:pt>
                <c:pt idx="115">
                  <c:v>90.3</c:v>
                </c:pt>
                <c:pt idx="116">
                  <c:v>91.6</c:v>
                </c:pt>
                <c:pt idx="117">
                  <c:v>92.6</c:v>
                </c:pt>
                <c:pt idx="118">
                  <c:v>93.3</c:v>
                </c:pt>
                <c:pt idx="119">
                  <c:v>93.6</c:v>
                </c:pt>
                <c:pt idx="120">
                  <c:v>93.3</c:v>
                </c:pt>
                <c:pt idx="121">
                  <c:v>93.1</c:v>
                </c:pt>
                <c:pt idx="122">
                  <c:v>93.3</c:v>
                </c:pt>
                <c:pt idx="123">
                  <c:v>93.7</c:v>
                </c:pt>
                <c:pt idx="124">
                  <c:v>93.9</c:v>
                </c:pt>
                <c:pt idx="125">
                  <c:v>93.8</c:v>
                </c:pt>
                <c:pt idx="126">
                  <c:v>93.4</c:v>
                </c:pt>
                <c:pt idx="127">
                  <c:v>93.1</c:v>
                </c:pt>
                <c:pt idx="128">
                  <c:v>92.9</c:v>
                </c:pt>
                <c:pt idx="129">
                  <c:v>92.8</c:v>
                </c:pt>
                <c:pt idx="130">
                  <c:v>92.7</c:v>
                </c:pt>
                <c:pt idx="131">
                  <c:v>92.7</c:v>
                </c:pt>
                <c:pt idx="132">
                  <c:v>93</c:v>
                </c:pt>
                <c:pt idx="133">
                  <c:v>93.5</c:v>
                </c:pt>
                <c:pt idx="134">
                  <c:v>94.6</c:v>
                </c:pt>
                <c:pt idx="135">
                  <c:v>96.1</c:v>
                </c:pt>
                <c:pt idx="136">
                  <c:v>97.9</c:v>
                </c:pt>
                <c:pt idx="137">
                  <c:v>99.2</c:v>
                </c:pt>
                <c:pt idx="138">
                  <c:v>100</c:v>
                </c:pt>
                <c:pt idx="139">
                  <c:v>100.9</c:v>
                </c:pt>
                <c:pt idx="140">
                  <c:v>101.9</c:v>
                </c:pt>
                <c:pt idx="141">
                  <c:v>102.5</c:v>
                </c:pt>
                <c:pt idx="142">
                  <c:v>102.6</c:v>
                </c:pt>
                <c:pt idx="143">
                  <c:v>102.8</c:v>
                </c:pt>
                <c:pt idx="144">
                  <c:v>104</c:v>
                </c:pt>
                <c:pt idx="145">
                  <c:v>106.2</c:v>
                </c:pt>
                <c:pt idx="146">
                  <c:v>108.7</c:v>
                </c:pt>
                <c:pt idx="147">
                  <c:v>110</c:v>
                </c:pt>
                <c:pt idx="148">
                  <c:v>110.3</c:v>
                </c:pt>
                <c:pt idx="149">
                  <c:v>110</c:v>
                </c:pt>
                <c:pt idx="150">
                  <c:v>109.3</c:v>
                </c:pt>
                <c:pt idx="151">
                  <c:v>108.7</c:v>
                </c:pt>
                <c:pt idx="152">
                  <c:v>108.2</c:v>
                </c:pt>
                <c:pt idx="153">
                  <c:v>108.4</c:v>
                </c:pt>
                <c:pt idx="154">
                  <c:v>109.8</c:v>
                </c:pt>
                <c:pt idx="155">
                  <c:v>111.4</c:v>
                </c:pt>
                <c:pt idx="156">
                  <c:v>112.1</c:v>
                </c:pt>
                <c:pt idx="157">
                  <c:v>111.9</c:v>
                </c:pt>
                <c:pt idx="158">
                  <c:v>111.4</c:v>
                </c:pt>
                <c:pt idx="159">
                  <c:v>111</c:v>
                </c:pt>
                <c:pt idx="160">
                  <c:v>110.7</c:v>
                </c:pt>
                <c:pt idx="161">
                  <c:v>110.2</c:v>
                </c:pt>
                <c:pt idx="162">
                  <c:v>108.9</c:v>
                </c:pt>
                <c:pt idx="163">
                  <c:v>107</c:v>
                </c:pt>
                <c:pt idx="164">
                  <c:v>105.4</c:v>
                </c:pt>
                <c:pt idx="165">
                  <c:v>103.9</c:v>
                </c:pt>
                <c:pt idx="166">
                  <c:v>102.1</c:v>
                </c:pt>
                <c:pt idx="167">
                  <c:v>99.2</c:v>
                </c:pt>
                <c:pt idx="168">
                  <c:v>94.4</c:v>
                </c:pt>
                <c:pt idx="169">
                  <c:v>87.9</c:v>
                </c:pt>
                <c:pt idx="170">
                  <c:v>80.8</c:v>
                </c:pt>
                <c:pt idx="171">
                  <c:v>75.599999999999994</c:v>
                </c:pt>
                <c:pt idx="172">
                  <c:v>73.900000000000006</c:v>
                </c:pt>
                <c:pt idx="173">
                  <c:v>76.3</c:v>
                </c:pt>
                <c:pt idx="174">
                  <c:v>81.5</c:v>
                </c:pt>
                <c:pt idx="175">
                  <c:v>87.6</c:v>
                </c:pt>
                <c:pt idx="176">
                  <c:v>93.8</c:v>
                </c:pt>
                <c:pt idx="177">
                  <c:v>99.1</c:v>
                </c:pt>
                <c:pt idx="178">
                  <c:v>103.5</c:v>
                </c:pt>
                <c:pt idx="179">
                  <c:v>108.6</c:v>
                </c:pt>
                <c:pt idx="180">
                  <c:v>115.3</c:v>
                </c:pt>
                <c:pt idx="181">
                  <c:v>123.2</c:v>
                </c:pt>
                <c:pt idx="182">
                  <c:v>130.6</c:v>
                </c:pt>
                <c:pt idx="183">
                  <c:v>136.4</c:v>
                </c:pt>
                <c:pt idx="184">
                  <c:v>139.4</c:v>
                </c:pt>
                <c:pt idx="185">
                  <c:v>140</c:v>
                </c:pt>
                <c:pt idx="186">
                  <c:v>140.80000000000001</c:v>
                </c:pt>
                <c:pt idx="187">
                  <c:v>142.6</c:v>
                </c:pt>
                <c:pt idx="188">
                  <c:v>144.80000000000001</c:v>
                </c:pt>
                <c:pt idx="189">
                  <c:v>146.69999999999999</c:v>
                </c:pt>
                <c:pt idx="190">
                  <c:v>148.4</c:v>
                </c:pt>
                <c:pt idx="191">
                  <c:v>150.4</c:v>
                </c:pt>
                <c:pt idx="192">
                  <c:v>152.80000000000001</c:v>
                </c:pt>
                <c:pt idx="193">
                  <c:v>155.9</c:v>
                </c:pt>
                <c:pt idx="194">
                  <c:v>159.80000000000001</c:v>
                </c:pt>
                <c:pt idx="195">
                  <c:v>163.19999999999999</c:v>
                </c:pt>
                <c:pt idx="196">
                  <c:v>166.1</c:v>
                </c:pt>
                <c:pt idx="197">
                  <c:v>167.3</c:v>
                </c:pt>
                <c:pt idx="198">
                  <c:v>166.7</c:v>
                </c:pt>
                <c:pt idx="199">
                  <c:v>164.8</c:v>
                </c:pt>
                <c:pt idx="200">
                  <c:v>163.19999999999999</c:v>
                </c:pt>
                <c:pt idx="201">
                  <c:v>163</c:v>
                </c:pt>
                <c:pt idx="202">
                  <c:v>163.69999999999999</c:v>
                </c:pt>
                <c:pt idx="203">
                  <c:v>164.8</c:v>
                </c:pt>
                <c:pt idx="204">
                  <c:v>166.6</c:v>
                </c:pt>
                <c:pt idx="205">
                  <c:v>168.9</c:v>
                </c:pt>
                <c:pt idx="206">
                  <c:v>171.7</c:v>
                </c:pt>
                <c:pt idx="207">
                  <c:v>173.7</c:v>
                </c:pt>
                <c:pt idx="208">
                  <c:v>175</c:v>
                </c:pt>
                <c:pt idx="209">
                  <c:v>175.4</c:v>
                </c:pt>
                <c:pt idx="210">
                  <c:v>174.6</c:v>
                </c:pt>
                <c:pt idx="211">
                  <c:v>172.2</c:v>
                </c:pt>
                <c:pt idx="212">
                  <c:v>168.8</c:v>
                </c:pt>
                <c:pt idx="213">
                  <c:v>165.1</c:v>
                </c:pt>
                <c:pt idx="214">
                  <c:v>161.6</c:v>
                </c:pt>
                <c:pt idx="215">
                  <c:v>158.30000000000001</c:v>
                </c:pt>
                <c:pt idx="216">
                  <c:v>155.19999999999999</c:v>
                </c:pt>
                <c:pt idx="217">
                  <c:v>152.19999999999999</c:v>
                </c:pt>
                <c:pt idx="218">
                  <c:v>149.19999999999999</c:v>
                </c:pt>
                <c:pt idx="219">
                  <c:v>146</c:v>
                </c:pt>
                <c:pt idx="220">
                  <c:v>142.6</c:v>
                </c:pt>
                <c:pt idx="221">
                  <c:v>139.19999999999999</c:v>
                </c:pt>
                <c:pt idx="222">
                  <c:v>136.4</c:v>
                </c:pt>
                <c:pt idx="223">
                  <c:v>135.1</c:v>
                </c:pt>
                <c:pt idx="224">
                  <c:v>134.5</c:v>
                </c:pt>
                <c:pt idx="225">
                  <c:v>133.80000000000001</c:v>
                </c:pt>
                <c:pt idx="226">
                  <c:v>132.6</c:v>
                </c:pt>
                <c:pt idx="227">
                  <c:v>130.9</c:v>
                </c:pt>
                <c:pt idx="228">
                  <c:v>128.4</c:v>
                </c:pt>
                <c:pt idx="229">
                  <c:v>125.4</c:v>
                </c:pt>
              </c:numCache>
            </c:numRef>
          </c:val>
          <c:smooth val="0"/>
          <c:extLst>
            <c:ext xmlns:c16="http://schemas.microsoft.com/office/drawing/2014/chart" uri="{C3380CC4-5D6E-409C-BE32-E72D297353CC}">
              <c16:uniqueId val="{00000001-B980-4FA0-8714-D3586E84D90C}"/>
            </c:ext>
          </c:extLst>
        </c:ser>
        <c:ser>
          <c:idx val="2"/>
          <c:order val="2"/>
          <c:tx>
            <c:strRef>
              <c:f>'IVI (fig7)'!$D$30</c:f>
              <c:strCache>
                <c:ptCount val="1"/>
                <c:pt idx="0">
                  <c:v>Technicians and Trades Workers</c:v>
                </c:pt>
              </c:strCache>
            </c:strRef>
          </c:tx>
          <c:spPr>
            <a:ln w="22225" cap="rnd">
              <a:solidFill>
                <a:srgbClr val="005D5D"/>
              </a:solidFill>
              <a:prstDash val="sysDash"/>
              <a:round/>
            </a:ln>
            <a:effectLst/>
          </c:spPr>
          <c:marker>
            <c:symbol val="none"/>
          </c:marker>
          <c:cat>
            <c:numRef>
              <c:f>'IVI (fig7)'!$A$31:$A$260</c:f>
              <c:numCache>
                <c:formatCode>mmm\-yy</c:formatCode>
                <c:ptCount val="230"/>
                <c:pt idx="0">
                  <c:v>38718</c:v>
                </c:pt>
                <c:pt idx="1">
                  <c:v>38749</c:v>
                </c:pt>
                <c:pt idx="2">
                  <c:v>38777</c:v>
                </c:pt>
                <c:pt idx="3">
                  <c:v>38808</c:v>
                </c:pt>
                <c:pt idx="4">
                  <c:v>38838</c:v>
                </c:pt>
                <c:pt idx="5">
                  <c:v>38869</c:v>
                </c:pt>
                <c:pt idx="6">
                  <c:v>38899</c:v>
                </c:pt>
                <c:pt idx="7">
                  <c:v>38930</c:v>
                </c:pt>
                <c:pt idx="8">
                  <c:v>38961</c:v>
                </c:pt>
                <c:pt idx="9">
                  <c:v>38991</c:v>
                </c:pt>
                <c:pt idx="10">
                  <c:v>39022</c:v>
                </c:pt>
                <c:pt idx="11">
                  <c:v>39052</c:v>
                </c:pt>
                <c:pt idx="12">
                  <c:v>39083</c:v>
                </c:pt>
                <c:pt idx="13">
                  <c:v>39114</c:v>
                </c:pt>
                <c:pt idx="14">
                  <c:v>39142</c:v>
                </c:pt>
                <c:pt idx="15">
                  <c:v>39173</c:v>
                </c:pt>
                <c:pt idx="16">
                  <c:v>39203</c:v>
                </c:pt>
                <c:pt idx="17">
                  <c:v>39234</c:v>
                </c:pt>
                <c:pt idx="18">
                  <c:v>39264</c:v>
                </c:pt>
                <c:pt idx="19">
                  <c:v>39295</c:v>
                </c:pt>
                <c:pt idx="20">
                  <c:v>39326</c:v>
                </c:pt>
                <c:pt idx="21">
                  <c:v>39356</c:v>
                </c:pt>
                <c:pt idx="22">
                  <c:v>39387</c:v>
                </c:pt>
                <c:pt idx="23">
                  <c:v>39417</c:v>
                </c:pt>
                <c:pt idx="24">
                  <c:v>39448</c:v>
                </c:pt>
                <c:pt idx="25">
                  <c:v>39479</c:v>
                </c:pt>
                <c:pt idx="26">
                  <c:v>39508</c:v>
                </c:pt>
                <c:pt idx="27">
                  <c:v>39539</c:v>
                </c:pt>
                <c:pt idx="28">
                  <c:v>39569</c:v>
                </c:pt>
                <c:pt idx="29">
                  <c:v>39600</c:v>
                </c:pt>
                <c:pt idx="30">
                  <c:v>39630</c:v>
                </c:pt>
                <c:pt idx="31">
                  <c:v>39661</c:v>
                </c:pt>
                <c:pt idx="32">
                  <c:v>39692</c:v>
                </c:pt>
                <c:pt idx="33">
                  <c:v>39722</c:v>
                </c:pt>
                <c:pt idx="34">
                  <c:v>39753</c:v>
                </c:pt>
                <c:pt idx="35">
                  <c:v>39783</c:v>
                </c:pt>
                <c:pt idx="36">
                  <c:v>39814</c:v>
                </c:pt>
                <c:pt idx="37">
                  <c:v>39845</c:v>
                </c:pt>
                <c:pt idx="38">
                  <c:v>39873</c:v>
                </c:pt>
                <c:pt idx="39">
                  <c:v>39904</c:v>
                </c:pt>
                <c:pt idx="40">
                  <c:v>39934</c:v>
                </c:pt>
                <c:pt idx="41">
                  <c:v>39965</c:v>
                </c:pt>
                <c:pt idx="42">
                  <c:v>39995</c:v>
                </c:pt>
                <c:pt idx="43">
                  <c:v>40026</c:v>
                </c:pt>
                <c:pt idx="44">
                  <c:v>40057</c:v>
                </c:pt>
                <c:pt idx="45">
                  <c:v>40087</c:v>
                </c:pt>
                <c:pt idx="46">
                  <c:v>40118</c:v>
                </c:pt>
                <c:pt idx="47">
                  <c:v>40148</c:v>
                </c:pt>
                <c:pt idx="48">
                  <c:v>40179</c:v>
                </c:pt>
                <c:pt idx="49">
                  <c:v>40210</c:v>
                </c:pt>
                <c:pt idx="50">
                  <c:v>40238</c:v>
                </c:pt>
                <c:pt idx="51">
                  <c:v>40269</c:v>
                </c:pt>
                <c:pt idx="52">
                  <c:v>40299</c:v>
                </c:pt>
                <c:pt idx="53">
                  <c:v>40330</c:v>
                </c:pt>
                <c:pt idx="54">
                  <c:v>40360</c:v>
                </c:pt>
                <c:pt idx="55">
                  <c:v>40391</c:v>
                </c:pt>
                <c:pt idx="56">
                  <c:v>40422</c:v>
                </c:pt>
                <c:pt idx="57">
                  <c:v>40452</c:v>
                </c:pt>
                <c:pt idx="58">
                  <c:v>40483</c:v>
                </c:pt>
                <c:pt idx="59">
                  <c:v>40513</c:v>
                </c:pt>
                <c:pt idx="60">
                  <c:v>40544</c:v>
                </c:pt>
                <c:pt idx="61">
                  <c:v>40575</c:v>
                </c:pt>
                <c:pt idx="62">
                  <c:v>40603</c:v>
                </c:pt>
                <c:pt idx="63">
                  <c:v>40634</c:v>
                </c:pt>
                <c:pt idx="64">
                  <c:v>40664</c:v>
                </c:pt>
                <c:pt idx="65">
                  <c:v>40695</c:v>
                </c:pt>
                <c:pt idx="66">
                  <c:v>40725</c:v>
                </c:pt>
                <c:pt idx="67">
                  <c:v>40756</c:v>
                </c:pt>
                <c:pt idx="68">
                  <c:v>40787</c:v>
                </c:pt>
                <c:pt idx="69">
                  <c:v>40817</c:v>
                </c:pt>
                <c:pt idx="70">
                  <c:v>40848</c:v>
                </c:pt>
                <c:pt idx="71">
                  <c:v>40878</c:v>
                </c:pt>
                <c:pt idx="72">
                  <c:v>40909</c:v>
                </c:pt>
                <c:pt idx="73">
                  <c:v>40940</c:v>
                </c:pt>
                <c:pt idx="74">
                  <c:v>40969</c:v>
                </c:pt>
                <c:pt idx="75">
                  <c:v>41000</c:v>
                </c:pt>
                <c:pt idx="76">
                  <c:v>41030</c:v>
                </c:pt>
                <c:pt idx="77">
                  <c:v>41061</c:v>
                </c:pt>
                <c:pt idx="78">
                  <c:v>41091</c:v>
                </c:pt>
                <c:pt idx="79">
                  <c:v>41122</c:v>
                </c:pt>
                <c:pt idx="80">
                  <c:v>41153</c:v>
                </c:pt>
                <c:pt idx="81">
                  <c:v>41183</c:v>
                </c:pt>
                <c:pt idx="82">
                  <c:v>41214</c:v>
                </c:pt>
                <c:pt idx="83">
                  <c:v>41244</c:v>
                </c:pt>
                <c:pt idx="84">
                  <c:v>41275</c:v>
                </c:pt>
                <c:pt idx="85">
                  <c:v>41306</c:v>
                </c:pt>
                <c:pt idx="86">
                  <c:v>41334</c:v>
                </c:pt>
                <c:pt idx="87">
                  <c:v>41365</c:v>
                </c:pt>
                <c:pt idx="88">
                  <c:v>41395</c:v>
                </c:pt>
                <c:pt idx="89">
                  <c:v>41426</c:v>
                </c:pt>
                <c:pt idx="90">
                  <c:v>41456</c:v>
                </c:pt>
                <c:pt idx="91">
                  <c:v>41487</c:v>
                </c:pt>
                <c:pt idx="92">
                  <c:v>41518</c:v>
                </c:pt>
                <c:pt idx="93">
                  <c:v>41548</c:v>
                </c:pt>
                <c:pt idx="94">
                  <c:v>41579</c:v>
                </c:pt>
                <c:pt idx="95">
                  <c:v>41609</c:v>
                </c:pt>
                <c:pt idx="96">
                  <c:v>41640</c:v>
                </c:pt>
                <c:pt idx="97">
                  <c:v>41671</c:v>
                </c:pt>
                <c:pt idx="98">
                  <c:v>41699</c:v>
                </c:pt>
                <c:pt idx="99">
                  <c:v>41730</c:v>
                </c:pt>
                <c:pt idx="100">
                  <c:v>41760</c:v>
                </c:pt>
                <c:pt idx="101">
                  <c:v>41791</c:v>
                </c:pt>
                <c:pt idx="102">
                  <c:v>41821</c:v>
                </c:pt>
                <c:pt idx="103">
                  <c:v>41852</c:v>
                </c:pt>
                <c:pt idx="104">
                  <c:v>41883</c:v>
                </c:pt>
                <c:pt idx="105">
                  <c:v>41913</c:v>
                </c:pt>
                <c:pt idx="106">
                  <c:v>41944</c:v>
                </c:pt>
                <c:pt idx="107">
                  <c:v>41974</c:v>
                </c:pt>
                <c:pt idx="108">
                  <c:v>42005</c:v>
                </c:pt>
                <c:pt idx="109">
                  <c:v>42036</c:v>
                </c:pt>
                <c:pt idx="110">
                  <c:v>42064</c:v>
                </c:pt>
                <c:pt idx="111">
                  <c:v>42095</c:v>
                </c:pt>
                <c:pt idx="112">
                  <c:v>42125</c:v>
                </c:pt>
                <c:pt idx="113">
                  <c:v>42156</c:v>
                </c:pt>
                <c:pt idx="114">
                  <c:v>42186</c:v>
                </c:pt>
                <c:pt idx="115">
                  <c:v>42217</c:v>
                </c:pt>
                <c:pt idx="116">
                  <c:v>42248</c:v>
                </c:pt>
                <c:pt idx="117">
                  <c:v>42278</c:v>
                </c:pt>
                <c:pt idx="118">
                  <c:v>42309</c:v>
                </c:pt>
                <c:pt idx="119">
                  <c:v>42339</c:v>
                </c:pt>
                <c:pt idx="120">
                  <c:v>42370</c:v>
                </c:pt>
                <c:pt idx="121">
                  <c:v>42401</c:v>
                </c:pt>
                <c:pt idx="122">
                  <c:v>42430</c:v>
                </c:pt>
                <c:pt idx="123">
                  <c:v>42461</c:v>
                </c:pt>
                <c:pt idx="124">
                  <c:v>42491</c:v>
                </c:pt>
                <c:pt idx="125">
                  <c:v>42522</c:v>
                </c:pt>
                <c:pt idx="126">
                  <c:v>42552</c:v>
                </c:pt>
                <c:pt idx="127">
                  <c:v>42583</c:v>
                </c:pt>
                <c:pt idx="128">
                  <c:v>42614</c:v>
                </c:pt>
                <c:pt idx="129">
                  <c:v>42644</c:v>
                </c:pt>
                <c:pt idx="130">
                  <c:v>42675</c:v>
                </c:pt>
                <c:pt idx="131">
                  <c:v>42705</c:v>
                </c:pt>
                <c:pt idx="132">
                  <c:v>42736</c:v>
                </c:pt>
                <c:pt idx="133">
                  <c:v>42767</c:v>
                </c:pt>
                <c:pt idx="134">
                  <c:v>42795</c:v>
                </c:pt>
                <c:pt idx="135">
                  <c:v>42826</c:v>
                </c:pt>
                <c:pt idx="136">
                  <c:v>42856</c:v>
                </c:pt>
                <c:pt idx="137">
                  <c:v>42887</c:v>
                </c:pt>
                <c:pt idx="138">
                  <c:v>42917</c:v>
                </c:pt>
                <c:pt idx="139">
                  <c:v>42948</c:v>
                </c:pt>
                <c:pt idx="140">
                  <c:v>42979</c:v>
                </c:pt>
                <c:pt idx="141">
                  <c:v>43009</c:v>
                </c:pt>
                <c:pt idx="142">
                  <c:v>43040</c:v>
                </c:pt>
                <c:pt idx="143">
                  <c:v>43070</c:v>
                </c:pt>
                <c:pt idx="144">
                  <c:v>43101</c:v>
                </c:pt>
                <c:pt idx="145">
                  <c:v>43132</c:v>
                </c:pt>
                <c:pt idx="146">
                  <c:v>43160</c:v>
                </c:pt>
                <c:pt idx="147">
                  <c:v>43191</c:v>
                </c:pt>
                <c:pt idx="148">
                  <c:v>43221</c:v>
                </c:pt>
                <c:pt idx="149">
                  <c:v>43252</c:v>
                </c:pt>
                <c:pt idx="150">
                  <c:v>43282</c:v>
                </c:pt>
                <c:pt idx="151">
                  <c:v>43313</c:v>
                </c:pt>
                <c:pt idx="152">
                  <c:v>43344</c:v>
                </c:pt>
                <c:pt idx="153">
                  <c:v>43374</c:v>
                </c:pt>
                <c:pt idx="154">
                  <c:v>43405</c:v>
                </c:pt>
                <c:pt idx="155">
                  <c:v>43435</c:v>
                </c:pt>
                <c:pt idx="156">
                  <c:v>43466</c:v>
                </c:pt>
                <c:pt idx="157">
                  <c:v>43497</c:v>
                </c:pt>
                <c:pt idx="158">
                  <c:v>43525</c:v>
                </c:pt>
                <c:pt idx="159">
                  <c:v>43556</c:v>
                </c:pt>
                <c:pt idx="160">
                  <c:v>43586</c:v>
                </c:pt>
                <c:pt idx="161">
                  <c:v>43617</c:v>
                </c:pt>
                <c:pt idx="162">
                  <c:v>43647</c:v>
                </c:pt>
                <c:pt idx="163">
                  <c:v>43678</c:v>
                </c:pt>
                <c:pt idx="164">
                  <c:v>43709</c:v>
                </c:pt>
                <c:pt idx="165">
                  <c:v>43739</c:v>
                </c:pt>
                <c:pt idx="166">
                  <c:v>43770</c:v>
                </c:pt>
                <c:pt idx="167">
                  <c:v>43800</c:v>
                </c:pt>
                <c:pt idx="168">
                  <c:v>43831</c:v>
                </c:pt>
                <c:pt idx="169">
                  <c:v>43862</c:v>
                </c:pt>
                <c:pt idx="170">
                  <c:v>43891</c:v>
                </c:pt>
                <c:pt idx="171">
                  <c:v>43922</c:v>
                </c:pt>
                <c:pt idx="172">
                  <c:v>43952</c:v>
                </c:pt>
                <c:pt idx="173">
                  <c:v>43983</c:v>
                </c:pt>
                <c:pt idx="174">
                  <c:v>44013</c:v>
                </c:pt>
                <c:pt idx="175">
                  <c:v>44044</c:v>
                </c:pt>
                <c:pt idx="176">
                  <c:v>44075</c:v>
                </c:pt>
                <c:pt idx="177">
                  <c:v>44105</c:v>
                </c:pt>
                <c:pt idx="178">
                  <c:v>44136</c:v>
                </c:pt>
                <c:pt idx="179">
                  <c:v>44166</c:v>
                </c:pt>
                <c:pt idx="180">
                  <c:v>44197</c:v>
                </c:pt>
                <c:pt idx="181">
                  <c:v>44228</c:v>
                </c:pt>
                <c:pt idx="182">
                  <c:v>44256</c:v>
                </c:pt>
                <c:pt idx="183">
                  <c:v>44287</c:v>
                </c:pt>
                <c:pt idx="184">
                  <c:v>44317</c:v>
                </c:pt>
                <c:pt idx="185">
                  <c:v>44348</c:v>
                </c:pt>
                <c:pt idx="186">
                  <c:v>44378</c:v>
                </c:pt>
                <c:pt idx="187">
                  <c:v>44409</c:v>
                </c:pt>
                <c:pt idx="188">
                  <c:v>44440</c:v>
                </c:pt>
                <c:pt idx="189">
                  <c:v>44470</c:v>
                </c:pt>
                <c:pt idx="190">
                  <c:v>44501</c:v>
                </c:pt>
                <c:pt idx="191">
                  <c:v>44531</c:v>
                </c:pt>
                <c:pt idx="192">
                  <c:v>44562</c:v>
                </c:pt>
                <c:pt idx="193">
                  <c:v>44593</c:v>
                </c:pt>
                <c:pt idx="194">
                  <c:v>44621</c:v>
                </c:pt>
                <c:pt idx="195">
                  <c:v>44652</c:v>
                </c:pt>
                <c:pt idx="196">
                  <c:v>44682</c:v>
                </c:pt>
                <c:pt idx="197">
                  <c:v>44713</c:v>
                </c:pt>
                <c:pt idx="198">
                  <c:v>44743</c:v>
                </c:pt>
                <c:pt idx="199">
                  <c:v>44774</c:v>
                </c:pt>
                <c:pt idx="200">
                  <c:v>44805</c:v>
                </c:pt>
                <c:pt idx="201">
                  <c:v>44835</c:v>
                </c:pt>
                <c:pt idx="202">
                  <c:v>44866</c:v>
                </c:pt>
                <c:pt idx="203">
                  <c:v>44896</c:v>
                </c:pt>
                <c:pt idx="204">
                  <c:v>44927</c:v>
                </c:pt>
                <c:pt idx="205">
                  <c:v>44958</c:v>
                </c:pt>
                <c:pt idx="206">
                  <c:v>44986</c:v>
                </c:pt>
                <c:pt idx="207">
                  <c:v>45017</c:v>
                </c:pt>
                <c:pt idx="208">
                  <c:v>45047</c:v>
                </c:pt>
                <c:pt idx="209">
                  <c:v>45078</c:v>
                </c:pt>
                <c:pt idx="210">
                  <c:v>45108</c:v>
                </c:pt>
                <c:pt idx="211">
                  <c:v>45139</c:v>
                </c:pt>
                <c:pt idx="212">
                  <c:v>45170</c:v>
                </c:pt>
                <c:pt idx="213">
                  <c:v>45200</c:v>
                </c:pt>
                <c:pt idx="214">
                  <c:v>45231</c:v>
                </c:pt>
                <c:pt idx="215">
                  <c:v>45261</c:v>
                </c:pt>
                <c:pt idx="216">
                  <c:v>45292</c:v>
                </c:pt>
                <c:pt idx="217">
                  <c:v>45323</c:v>
                </c:pt>
                <c:pt idx="218">
                  <c:v>45352</c:v>
                </c:pt>
                <c:pt idx="219">
                  <c:v>45383</c:v>
                </c:pt>
                <c:pt idx="220">
                  <c:v>45413</c:v>
                </c:pt>
                <c:pt idx="221">
                  <c:v>45444</c:v>
                </c:pt>
                <c:pt idx="222">
                  <c:v>45474</c:v>
                </c:pt>
                <c:pt idx="223">
                  <c:v>45505</c:v>
                </c:pt>
                <c:pt idx="224">
                  <c:v>45536</c:v>
                </c:pt>
                <c:pt idx="225">
                  <c:v>45566</c:v>
                </c:pt>
                <c:pt idx="226">
                  <c:v>45597</c:v>
                </c:pt>
                <c:pt idx="227">
                  <c:v>45627</c:v>
                </c:pt>
                <c:pt idx="228">
                  <c:v>45658</c:v>
                </c:pt>
                <c:pt idx="229">
                  <c:v>45689</c:v>
                </c:pt>
              </c:numCache>
            </c:numRef>
          </c:cat>
          <c:val>
            <c:numRef>
              <c:f>'IVI (fig7)'!$D$31:$D$260</c:f>
              <c:numCache>
                <c:formatCode>General</c:formatCode>
                <c:ptCount val="230"/>
                <c:pt idx="0">
                  <c:v>100</c:v>
                </c:pt>
                <c:pt idx="1">
                  <c:v>100.3</c:v>
                </c:pt>
                <c:pt idx="2">
                  <c:v>100.2</c:v>
                </c:pt>
                <c:pt idx="3">
                  <c:v>99.5</c:v>
                </c:pt>
                <c:pt idx="4">
                  <c:v>98.6</c:v>
                </c:pt>
                <c:pt idx="5">
                  <c:v>97.8</c:v>
                </c:pt>
                <c:pt idx="6">
                  <c:v>97.8</c:v>
                </c:pt>
                <c:pt idx="7">
                  <c:v>98.5</c:v>
                </c:pt>
                <c:pt idx="8">
                  <c:v>99.7</c:v>
                </c:pt>
                <c:pt idx="9">
                  <c:v>101.5</c:v>
                </c:pt>
                <c:pt idx="10">
                  <c:v>103.7</c:v>
                </c:pt>
                <c:pt idx="11">
                  <c:v>106.3</c:v>
                </c:pt>
                <c:pt idx="12">
                  <c:v>109.3</c:v>
                </c:pt>
                <c:pt idx="13">
                  <c:v>112.9</c:v>
                </c:pt>
                <c:pt idx="14">
                  <c:v>116.4</c:v>
                </c:pt>
                <c:pt idx="15">
                  <c:v>119.1</c:v>
                </c:pt>
                <c:pt idx="16">
                  <c:v>121</c:v>
                </c:pt>
                <c:pt idx="17">
                  <c:v>122.7</c:v>
                </c:pt>
                <c:pt idx="18">
                  <c:v>124.1</c:v>
                </c:pt>
                <c:pt idx="19">
                  <c:v>125.7</c:v>
                </c:pt>
                <c:pt idx="20">
                  <c:v>127.7</c:v>
                </c:pt>
                <c:pt idx="21">
                  <c:v>130.30000000000001</c:v>
                </c:pt>
                <c:pt idx="22">
                  <c:v>133.69999999999999</c:v>
                </c:pt>
                <c:pt idx="23">
                  <c:v>137.19999999999999</c:v>
                </c:pt>
                <c:pt idx="24">
                  <c:v>140.19999999999999</c:v>
                </c:pt>
                <c:pt idx="25">
                  <c:v>142.5</c:v>
                </c:pt>
                <c:pt idx="26">
                  <c:v>144.4</c:v>
                </c:pt>
                <c:pt idx="27">
                  <c:v>146.19999999999999</c:v>
                </c:pt>
                <c:pt idx="28">
                  <c:v>146.4</c:v>
                </c:pt>
                <c:pt idx="29">
                  <c:v>144</c:v>
                </c:pt>
                <c:pt idx="30">
                  <c:v>139.69999999999999</c:v>
                </c:pt>
                <c:pt idx="31">
                  <c:v>134.19999999999999</c:v>
                </c:pt>
                <c:pt idx="32">
                  <c:v>128.5</c:v>
                </c:pt>
                <c:pt idx="33">
                  <c:v>121.8</c:v>
                </c:pt>
                <c:pt idx="34">
                  <c:v>113.7</c:v>
                </c:pt>
                <c:pt idx="35">
                  <c:v>104.4</c:v>
                </c:pt>
                <c:pt idx="36">
                  <c:v>94.9</c:v>
                </c:pt>
                <c:pt idx="37">
                  <c:v>86.7</c:v>
                </c:pt>
                <c:pt idx="38">
                  <c:v>80.3</c:v>
                </c:pt>
                <c:pt idx="39">
                  <c:v>76.2</c:v>
                </c:pt>
                <c:pt idx="40">
                  <c:v>74.5</c:v>
                </c:pt>
                <c:pt idx="41">
                  <c:v>74.7</c:v>
                </c:pt>
                <c:pt idx="42">
                  <c:v>76.099999999999994</c:v>
                </c:pt>
                <c:pt idx="43">
                  <c:v>77.900000000000006</c:v>
                </c:pt>
                <c:pt idx="44">
                  <c:v>79.5</c:v>
                </c:pt>
                <c:pt idx="45">
                  <c:v>81.5</c:v>
                </c:pt>
                <c:pt idx="46">
                  <c:v>84.1</c:v>
                </c:pt>
                <c:pt idx="47">
                  <c:v>86.9</c:v>
                </c:pt>
                <c:pt idx="48">
                  <c:v>89.3</c:v>
                </c:pt>
                <c:pt idx="49">
                  <c:v>90.8</c:v>
                </c:pt>
                <c:pt idx="50">
                  <c:v>91.5</c:v>
                </c:pt>
                <c:pt idx="51">
                  <c:v>92</c:v>
                </c:pt>
                <c:pt idx="52">
                  <c:v>93</c:v>
                </c:pt>
                <c:pt idx="53">
                  <c:v>94.8</c:v>
                </c:pt>
                <c:pt idx="54">
                  <c:v>97.5</c:v>
                </c:pt>
                <c:pt idx="55">
                  <c:v>100.6</c:v>
                </c:pt>
                <c:pt idx="56">
                  <c:v>103.7</c:v>
                </c:pt>
                <c:pt idx="57">
                  <c:v>105.7</c:v>
                </c:pt>
                <c:pt idx="58">
                  <c:v>106.7</c:v>
                </c:pt>
                <c:pt idx="59">
                  <c:v>107.4</c:v>
                </c:pt>
                <c:pt idx="60">
                  <c:v>108.2</c:v>
                </c:pt>
                <c:pt idx="61">
                  <c:v>109.4</c:v>
                </c:pt>
                <c:pt idx="62">
                  <c:v>110.2</c:v>
                </c:pt>
                <c:pt idx="63">
                  <c:v>110.6</c:v>
                </c:pt>
                <c:pt idx="64">
                  <c:v>110.8</c:v>
                </c:pt>
                <c:pt idx="65">
                  <c:v>110.5</c:v>
                </c:pt>
                <c:pt idx="66">
                  <c:v>109.5</c:v>
                </c:pt>
                <c:pt idx="67">
                  <c:v>107.6</c:v>
                </c:pt>
                <c:pt idx="68">
                  <c:v>105.8</c:v>
                </c:pt>
                <c:pt idx="69">
                  <c:v>104.6</c:v>
                </c:pt>
                <c:pt idx="70">
                  <c:v>104.1</c:v>
                </c:pt>
                <c:pt idx="71">
                  <c:v>104.1</c:v>
                </c:pt>
                <c:pt idx="72">
                  <c:v>104.1</c:v>
                </c:pt>
                <c:pt idx="73">
                  <c:v>104</c:v>
                </c:pt>
                <c:pt idx="74">
                  <c:v>103.4</c:v>
                </c:pt>
                <c:pt idx="75">
                  <c:v>101.7</c:v>
                </c:pt>
                <c:pt idx="76">
                  <c:v>98.3</c:v>
                </c:pt>
                <c:pt idx="77">
                  <c:v>94</c:v>
                </c:pt>
                <c:pt idx="78">
                  <c:v>90.2</c:v>
                </c:pt>
                <c:pt idx="79">
                  <c:v>87.3</c:v>
                </c:pt>
                <c:pt idx="80">
                  <c:v>85.1</c:v>
                </c:pt>
                <c:pt idx="81">
                  <c:v>82.8</c:v>
                </c:pt>
                <c:pt idx="82">
                  <c:v>80.099999999999994</c:v>
                </c:pt>
                <c:pt idx="83">
                  <c:v>77.3</c:v>
                </c:pt>
                <c:pt idx="84">
                  <c:v>74.900000000000006</c:v>
                </c:pt>
                <c:pt idx="85">
                  <c:v>73.099999999999994</c:v>
                </c:pt>
                <c:pt idx="86">
                  <c:v>71.7</c:v>
                </c:pt>
                <c:pt idx="87">
                  <c:v>70.7</c:v>
                </c:pt>
                <c:pt idx="88">
                  <c:v>70.099999999999994</c:v>
                </c:pt>
                <c:pt idx="89">
                  <c:v>69.599999999999994</c:v>
                </c:pt>
                <c:pt idx="90">
                  <c:v>69.599999999999994</c:v>
                </c:pt>
                <c:pt idx="91">
                  <c:v>69.8</c:v>
                </c:pt>
                <c:pt idx="92">
                  <c:v>70.3</c:v>
                </c:pt>
                <c:pt idx="93">
                  <c:v>71.2</c:v>
                </c:pt>
                <c:pt idx="94">
                  <c:v>72.5</c:v>
                </c:pt>
                <c:pt idx="95">
                  <c:v>74.099999999999994</c:v>
                </c:pt>
                <c:pt idx="96">
                  <c:v>75.5</c:v>
                </c:pt>
                <c:pt idx="97">
                  <c:v>76.2</c:v>
                </c:pt>
                <c:pt idx="98">
                  <c:v>76.7</c:v>
                </c:pt>
                <c:pt idx="99">
                  <c:v>77.2</c:v>
                </c:pt>
                <c:pt idx="100">
                  <c:v>78.2</c:v>
                </c:pt>
                <c:pt idx="101">
                  <c:v>79.599999999999994</c:v>
                </c:pt>
                <c:pt idx="102">
                  <c:v>80.900000000000006</c:v>
                </c:pt>
                <c:pt idx="103">
                  <c:v>81.7</c:v>
                </c:pt>
                <c:pt idx="104">
                  <c:v>81.5</c:v>
                </c:pt>
                <c:pt idx="105">
                  <c:v>80.900000000000006</c:v>
                </c:pt>
                <c:pt idx="106">
                  <c:v>80.099999999999994</c:v>
                </c:pt>
                <c:pt idx="107">
                  <c:v>79.599999999999994</c:v>
                </c:pt>
                <c:pt idx="108">
                  <c:v>79.8</c:v>
                </c:pt>
                <c:pt idx="109">
                  <c:v>80.3</c:v>
                </c:pt>
                <c:pt idx="110">
                  <c:v>80.5</c:v>
                </c:pt>
                <c:pt idx="111">
                  <c:v>80.2</c:v>
                </c:pt>
                <c:pt idx="112">
                  <c:v>79.7</c:v>
                </c:pt>
                <c:pt idx="113">
                  <c:v>79.400000000000006</c:v>
                </c:pt>
                <c:pt idx="114">
                  <c:v>79.7</c:v>
                </c:pt>
                <c:pt idx="115">
                  <c:v>80.8</c:v>
                </c:pt>
                <c:pt idx="116">
                  <c:v>82</c:v>
                </c:pt>
                <c:pt idx="117">
                  <c:v>82.8</c:v>
                </c:pt>
                <c:pt idx="118">
                  <c:v>82.9</c:v>
                </c:pt>
                <c:pt idx="119">
                  <c:v>82.9</c:v>
                </c:pt>
                <c:pt idx="120">
                  <c:v>83</c:v>
                </c:pt>
                <c:pt idx="121">
                  <c:v>83.6</c:v>
                </c:pt>
                <c:pt idx="122">
                  <c:v>84.4</c:v>
                </c:pt>
                <c:pt idx="123">
                  <c:v>85.1</c:v>
                </c:pt>
                <c:pt idx="124">
                  <c:v>85.6</c:v>
                </c:pt>
                <c:pt idx="125">
                  <c:v>85.8</c:v>
                </c:pt>
                <c:pt idx="126">
                  <c:v>85.6</c:v>
                </c:pt>
                <c:pt idx="127">
                  <c:v>85</c:v>
                </c:pt>
                <c:pt idx="128">
                  <c:v>84.3</c:v>
                </c:pt>
                <c:pt idx="129">
                  <c:v>83.9</c:v>
                </c:pt>
                <c:pt idx="130">
                  <c:v>84.3</c:v>
                </c:pt>
                <c:pt idx="131">
                  <c:v>85.3</c:v>
                </c:pt>
                <c:pt idx="132">
                  <c:v>86.6</c:v>
                </c:pt>
                <c:pt idx="133">
                  <c:v>88.2</c:v>
                </c:pt>
                <c:pt idx="134">
                  <c:v>90</c:v>
                </c:pt>
                <c:pt idx="135">
                  <c:v>92</c:v>
                </c:pt>
                <c:pt idx="136">
                  <c:v>94</c:v>
                </c:pt>
                <c:pt idx="137">
                  <c:v>95.7</c:v>
                </c:pt>
                <c:pt idx="138">
                  <c:v>96.5</c:v>
                </c:pt>
                <c:pt idx="139">
                  <c:v>96.8</c:v>
                </c:pt>
                <c:pt idx="140">
                  <c:v>97</c:v>
                </c:pt>
                <c:pt idx="141">
                  <c:v>97.2</c:v>
                </c:pt>
                <c:pt idx="142">
                  <c:v>97.6</c:v>
                </c:pt>
                <c:pt idx="143">
                  <c:v>98.3</c:v>
                </c:pt>
                <c:pt idx="144">
                  <c:v>99.8</c:v>
                </c:pt>
                <c:pt idx="145">
                  <c:v>102</c:v>
                </c:pt>
                <c:pt idx="146">
                  <c:v>104.2</c:v>
                </c:pt>
                <c:pt idx="147">
                  <c:v>105.1</c:v>
                </c:pt>
                <c:pt idx="148">
                  <c:v>105</c:v>
                </c:pt>
                <c:pt idx="149">
                  <c:v>104.4</c:v>
                </c:pt>
                <c:pt idx="150">
                  <c:v>103.8</c:v>
                </c:pt>
                <c:pt idx="151">
                  <c:v>102.9</c:v>
                </c:pt>
                <c:pt idx="152">
                  <c:v>101.2</c:v>
                </c:pt>
                <c:pt idx="153">
                  <c:v>99.3</c:v>
                </c:pt>
                <c:pt idx="154">
                  <c:v>98.3</c:v>
                </c:pt>
                <c:pt idx="155">
                  <c:v>98.3</c:v>
                </c:pt>
                <c:pt idx="156">
                  <c:v>98.3</c:v>
                </c:pt>
                <c:pt idx="157">
                  <c:v>97.7</c:v>
                </c:pt>
                <c:pt idx="158">
                  <c:v>96.2</c:v>
                </c:pt>
                <c:pt idx="159">
                  <c:v>94.6</c:v>
                </c:pt>
                <c:pt idx="160">
                  <c:v>93.6</c:v>
                </c:pt>
                <c:pt idx="161">
                  <c:v>93.2</c:v>
                </c:pt>
                <c:pt idx="162">
                  <c:v>93.1</c:v>
                </c:pt>
                <c:pt idx="163">
                  <c:v>92.6</c:v>
                </c:pt>
                <c:pt idx="164">
                  <c:v>91.6</c:v>
                </c:pt>
                <c:pt idx="165">
                  <c:v>90</c:v>
                </c:pt>
                <c:pt idx="166">
                  <c:v>87.3</c:v>
                </c:pt>
                <c:pt idx="167">
                  <c:v>82.9</c:v>
                </c:pt>
                <c:pt idx="168">
                  <c:v>76.400000000000006</c:v>
                </c:pt>
                <c:pt idx="169">
                  <c:v>68.8</c:v>
                </c:pt>
                <c:pt idx="170">
                  <c:v>62.3</c:v>
                </c:pt>
                <c:pt idx="171">
                  <c:v>59.9</c:v>
                </c:pt>
                <c:pt idx="172">
                  <c:v>62.1</c:v>
                </c:pt>
                <c:pt idx="173">
                  <c:v>66.900000000000006</c:v>
                </c:pt>
                <c:pt idx="174">
                  <c:v>73.2</c:v>
                </c:pt>
                <c:pt idx="175">
                  <c:v>80.3</c:v>
                </c:pt>
                <c:pt idx="176">
                  <c:v>88.2</c:v>
                </c:pt>
                <c:pt idx="177">
                  <c:v>96.3</c:v>
                </c:pt>
                <c:pt idx="178">
                  <c:v>103.3</c:v>
                </c:pt>
                <c:pt idx="179">
                  <c:v>109.5</c:v>
                </c:pt>
                <c:pt idx="180">
                  <c:v>115.9</c:v>
                </c:pt>
                <c:pt idx="181">
                  <c:v>123.4</c:v>
                </c:pt>
                <c:pt idx="182">
                  <c:v>130.69999999999999</c:v>
                </c:pt>
                <c:pt idx="183">
                  <c:v>134.80000000000001</c:v>
                </c:pt>
                <c:pt idx="184">
                  <c:v>134.6</c:v>
                </c:pt>
                <c:pt idx="185">
                  <c:v>131</c:v>
                </c:pt>
                <c:pt idx="186">
                  <c:v>127.7</c:v>
                </c:pt>
                <c:pt idx="187">
                  <c:v>127.7</c:v>
                </c:pt>
                <c:pt idx="188">
                  <c:v>130.9</c:v>
                </c:pt>
                <c:pt idx="189">
                  <c:v>135.6</c:v>
                </c:pt>
                <c:pt idx="190">
                  <c:v>140.19999999999999</c:v>
                </c:pt>
                <c:pt idx="191">
                  <c:v>144.4</c:v>
                </c:pt>
                <c:pt idx="192">
                  <c:v>148.80000000000001</c:v>
                </c:pt>
                <c:pt idx="193">
                  <c:v>153.19999999999999</c:v>
                </c:pt>
                <c:pt idx="194">
                  <c:v>158</c:v>
                </c:pt>
                <c:pt idx="195">
                  <c:v>161.4</c:v>
                </c:pt>
                <c:pt idx="196">
                  <c:v>163.19999999999999</c:v>
                </c:pt>
                <c:pt idx="197">
                  <c:v>163.30000000000001</c:v>
                </c:pt>
                <c:pt idx="198">
                  <c:v>161.5</c:v>
                </c:pt>
                <c:pt idx="199">
                  <c:v>157.80000000000001</c:v>
                </c:pt>
                <c:pt idx="200">
                  <c:v>153.30000000000001</c:v>
                </c:pt>
                <c:pt idx="201">
                  <c:v>149.69999999999999</c:v>
                </c:pt>
                <c:pt idx="202">
                  <c:v>148.5</c:v>
                </c:pt>
                <c:pt idx="203">
                  <c:v>149.4</c:v>
                </c:pt>
                <c:pt idx="204">
                  <c:v>152.1</c:v>
                </c:pt>
                <c:pt idx="205">
                  <c:v>155.19999999999999</c:v>
                </c:pt>
                <c:pt idx="206">
                  <c:v>157.30000000000001</c:v>
                </c:pt>
                <c:pt idx="207">
                  <c:v>158</c:v>
                </c:pt>
                <c:pt idx="208">
                  <c:v>157.9</c:v>
                </c:pt>
                <c:pt idx="209">
                  <c:v>157.19999999999999</c:v>
                </c:pt>
                <c:pt idx="210">
                  <c:v>155.5</c:v>
                </c:pt>
                <c:pt idx="211">
                  <c:v>152.6</c:v>
                </c:pt>
                <c:pt idx="212">
                  <c:v>149.69999999999999</c:v>
                </c:pt>
                <c:pt idx="213">
                  <c:v>146.9</c:v>
                </c:pt>
                <c:pt idx="214">
                  <c:v>144.69999999999999</c:v>
                </c:pt>
                <c:pt idx="215">
                  <c:v>143.19999999999999</c:v>
                </c:pt>
                <c:pt idx="216">
                  <c:v>141.19999999999999</c:v>
                </c:pt>
                <c:pt idx="217">
                  <c:v>138.80000000000001</c:v>
                </c:pt>
                <c:pt idx="218">
                  <c:v>136.5</c:v>
                </c:pt>
                <c:pt idx="219">
                  <c:v>134.4</c:v>
                </c:pt>
                <c:pt idx="220">
                  <c:v>132</c:v>
                </c:pt>
                <c:pt idx="221">
                  <c:v>130.30000000000001</c:v>
                </c:pt>
                <c:pt idx="222">
                  <c:v>130.30000000000001</c:v>
                </c:pt>
                <c:pt idx="223">
                  <c:v>131.30000000000001</c:v>
                </c:pt>
                <c:pt idx="224">
                  <c:v>131.4</c:v>
                </c:pt>
                <c:pt idx="225">
                  <c:v>130.30000000000001</c:v>
                </c:pt>
                <c:pt idx="226">
                  <c:v>128</c:v>
                </c:pt>
                <c:pt idx="227">
                  <c:v>125.4</c:v>
                </c:pt>
                <c:pt idx="228">
                  <c:v>122.9</c:v>
                </c:pt>
                <c:pt idx="229">
                  <c:v>120.1</c:v>
                </c:pt>
              </c:numCache>
            </c:numRef>
          </c:val>
          <c:smooth val="0"/>
          <c:extLst>
            <c:ext xmlns:c16="http://schemas.microsoft.com/office/drawing/2014/chart" uri="{C3380CC4-5D6E-409C-BE32-E72D297353CC}">
              <c16:uniqueId val="{00000002-B980-4FA0-8714-D3586E84D90C}"/>
            </c:ext>
          </c:extLst>
        </c:ser>
        <c:dLbls>
          <c:showLegendKey val="0"/>
          <c:showVal val="0"/>
          <c:showCatName val="0"/>
          <c:showSerName val="0"/>
          <c:showPercent val="0"/>
          <c:showBubbleSize val="0"/>
        </c:dLbls>
        <c:smooth val="0"/>
        <c:axId val="185578096"/>
        <c:axId val="185580976"/>
      </c:lineChart>
      <c:dateAx>
        <c:axId val="185578096"/>
        <c:scaling>
          <c:orientation val="minMax"/>
          <c:max val="45717"/>
        </c:scaling>
        <c:delete val="0"/>
        <c:axPos val="b"/>
        <c:numFmt formatCode="mmm\-yy"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85580976"/>
        <c:crosses val="autoZero"/>
        <c:auto val="1"/>
        <c:lblOffset val="100"/>
        <c:baseTimeUnit val="months"/>
        <c:majorUnit val="1"/>
        <c:majorTimeUnit val="years"/>
      </c:dateAx>
      <c:valAx>
        <c:axId val="185580976"/>
        <c:scaling>
          <c:orientation val="minMax"/>
        </c:scaling>
        <c:delete val="0"/>
        <c:axPos val="l"/>
        <c:majorGridlines>
          <c:spPr>
            <a:ln w="9525" cap="flat" cmpd="sng" algn="ctr">
              <a:noFill/>
              <a:round/>
            </a:ln>
            <a:effectLst/>
          </c:spPr>
        </c:majorGridlines>
        <c:title>
          <c:tx>
            <c:rich>
              <a:bodyPr/>
              <a:lstStyle/>
              <a:p>
                <a:pPr>
                  <a:defRPr sz="900">
                    <a:solidFill>
                      <a:schemeClr val="tx1">
                        <a:lumMod val="65000"/>
                        <a:lumOff val="35000"/>
                      </a:schemeClr>
                    </a:solidFill>
                  </a:defRPr>
                </a:pPr>
                <a:r>
                  <a:rPr lang="en-AU" sz="900" b="0">
                    <a:solidFill>
                      <a:schemeClr val="tx1">
                        <a:lumMod val="65000"/>
                        <a:lumOff val="35000"/>
                      </a:schemeClr>
                    </a:solidFill>
                  </a:rPr>
                  <a:t>Internet Vacancy Index, Trend (2006 = 100)</a:t>
                </a:r>
              </a:p>
            </c:rich>
          </c:tx>
          <c:layout>
            <c:manualLayout>
              <c:xMode val="edge"/>
              <c:yMode val="edge"/>
              <c:x val="9.0743974973436312E-3"/>
              <c:y val="0.12589667144628039"/>
            </c:manualLayout>
          </c:layout>
          <c:overlay val="0"/>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85578096"/>
        <c:crosses val="autoZero"/>
        <c:crossBetween val="between"/>
      </c:valAx>
    </c:plotArea>
    <c:legend>
      <c:legendPos val="b"/>
      <c:layout>
        <c:manualLayout>
          <c:xMode val="edge"/>
          <c:yMode val="edge"/>
          <c:x val="4.9999912762954263E-2"/>
          <c:y val="0.91730653676653373"/>
          <c:w val="0.9"/>
          <c:h val="7.0149035050317637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chart>
  <c:spPr>
    <a:ln>
      <a:noFill/>
    </a:ln>
  </c:spPr>
  <c:txPr>
    <a:bodyPr/>
    <a:lstStyle/>
    <a:p>
      <a:pPr>
        <a:defRPr/>
      </a:pPr>
      <a:endParaRPr lang="en-US"/>
    </a:p>
  </c:txPr>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'Figure A - Participation'!$C$23</c:f>
              <c:strCache>
                <c:ptCount val="1"/>
                <c:pt idx="0">
                  <c:v>February 2024</c:v>
                </c:pt>
              </c:strCache>
            </c:strRef>
          </c:tx>
          <c:spPr>
            <a:solidFill>
              <a:srgbClr val="692DC4"/>
            </a:solidFill>
            <a:ln>
              <a:noFill/>
            </a:ln>
            <a:effectLst/>
          </c:spPr>
          <c:invertIfNegative val="0"/>
          <c:cat>
            <c:strRef>
              <c:f>'Figure A - Participation'!$B$24:$B$32</c:f>
              <c:strCache>
                <c:ptCount val="9"/>
                <c:pt idx="0">
                  <c:v>NSW</c:v>
                </c:pt>
                <c:pt idx="1">
                  <c:v>VIC</c:v>
                </c:pt>
                <c:pt idx="2">
                  <c:v>QLD</c:v>
                </c:pt>
                <c:pt idx="3">
                  <c:v>SA</c:v>
                </c:pt>
                <c:pt idx="4">
                  <c:v>WA</c:v>
                </c:pt>
                <c:pt idx="5">
                  <c:v>TAS</c:v>
                </c:pt>
                <c:pt idx="6">
                  <c:v>NT</c:v>
                </c:pt>
                <c:pt idx="7">
                  <c:v>ACT</c:v>
                </c:pt>
                <c:pt idx="8">
                  <c:v>AUS</c:v>
                </c:pt>
              </c:strCache>
            </c:strRef>
          </c:cat>
          <c:val>
            <c:numRef>
              <c:f>'Figure A - Participation'!$C$24:$C$32</c:f>
              <c:numCache>
                <c:formatCode>0.0;\-0.0;0.0;@</c:formatCode>
                <c:ptCount val="9"/>
                <c:pt idx="0">
                  <c:v>65.900000000000006</c:v>
                </c:pt>
                <c:pt idx="1">
                  <c:v>67.2</c:v>
                </c:pt>
                <c:pt idx="2">
                  <c:v>66.900000000000006</c:v>
                </c:pt>
                <c:pt idx="3">
                  <c:v>63</c:v>
                </c:pt>
                <c:pt idx="4">
                  <c:v>68.8</c:v>
                </c:pt>
                <c:pt idx="5">
                  <c:v>61.1</c:v>
                </c:pt>
                <c:pt idx="6">
                  <c:v>73.3</c:v>
                </c:pt>
                <c:pt idx="7">
                  <c:v>72</c:v>
                </c:pt>
                <c:pt idx="8">
                  <c:v>66.599999999999994</c:v>
                </c:pt>
              </c:numCache>
            </c:numRef>
          </c:val>
          <c:extLst>
            <c:ext xmlns:c16="http://schemas.microsoft.com/office/drawing/2014/chart" uri="{C3380CC4-5D6E-409C-BE32-E72D297353CC}">
              <c16:uniqueId val="{00000000-85DD-4023-9D4F-BE4F1E709EF7}"/>
            </c:ext>
          </c:extLst>
        </c:ser>
        <c:ser>
          <c:idx val="1"/>
          <c:order val="1"/>
          <c:tx>
            <c:strRef>
              <c:f>'Figure A - Participation'!$D$23</c:f>
              <c:strCache>
                <c:ptCount val="1"/>
                <c:pt idx="0">
                  <c:v>February 2025</c:v>
                </c:pt>
              </c:strCache>
            </c:strRef>
          </c:tx>
          <c:spPr>
            <a:solidFill>
              <a:srgbClr val="009D9A"/>
            </a:solidFill>
            <a:ln>
              <a:noFill/>
            </a:ln>
            <a:effectLst/>
          </c:spPr>
          <c:invertIfNegative val="0"/>
          <c:cat>
            <c:strRef>
              <c:f>'Figure A - Participation'!$B$24:$B$32</c:f>
              <c:strCache>
                <c:ptCount val="9"/>
                <c:pt idx="0">
                  <c:v>NSW</c:v>
                </c:pt>
                <c:pt idx="1">
                  <c:v>VIC</c:v>
                </c:pt>
                <c:pt idx="2">
                  <c:v>QLD</c:v>
                </c:pt>
                <c:pt idx="3">
                  <c:v>SA</c:v>
                </c:pt>
                <c:pt idx="4">
                  <c:v>WA</c:v>
                </c:pt>
                <c:pt idx="5">
                  <c:v>TAS</c:v>
                </c:pt>
                <c:pt idx="6">
                  <c:v>NT</c:v>
                </c:pt>
                <c:pt idx="7">
                  <c:v>ACT</c:v>
                </c:pt>
                <c:pt idx="8">
                  <c:v>AUS</c:v>
                </c:pt>
              </c:strCache>
            </c:strRef>
          </c:cat>
          <c:val>
            <c:numRef>
              <c:f>'Figure A - Participation'!$D$24:$D$32</c:f>
              <c:numCache>
                <c:formatCode>0.0;\-0.0;0.0;@</c:formatCode>
                <c:ptCount val="9"/>
                <c:pt idx="0">
                  <c:v>66.3</c:v>
                </c:pt>
                <c:pt idx="1">
                  <c:v>67.8</c:v>
                </c:pt>
                <c:pt idx="2">
                  <c:v>67</c:v>
                </c:pt>
                <c:pt idx="3">
                  <c:v>63.3</c:v>
                </c:pt>
                <c:pt idx="4">
                  <c:v>69.099999999999994</c:v>
                </c:pt>
                <c:pt idx="5">
                  <c:v>60.2</c:v>
                </c:pt>
                <c:pt idx="6">
                  <c:v>72.900000000000006</c:v>
                </c:pt>
                <c:pt idx="7">
                  <c:v>72.099999999999994</c:v>
                </c:pt>
                <c:pt idx="8">
                  <c:v>67</c:v>
                </c:pt>
              </c:numCache>
            </c:numRef>
          </c:val>
          <c:extLst>
            <c:ext xmlns:c16="http://schemas.microsoft.com/office/drawing/2014/chart" uri="{C3380CC4-5D6E-409C-BE32-E72D297353CC}">
              <c16:uniqueId val="{00000001-85DD-4023-9D4F-BE4F1E709EF7}"/>
            </c:ext>
          </c:extLst>
        </c:ser>
        <c:dLbls>
          <c:showLegendKey val="0"/>
          <c:showVal val="0"/>
          <c:showCatName val="0"/>
          <c:showSerName val="0"/>
          <c:showPercent val="0"/>
          <c:showBubbleSize val="0"/>
        </c:dLbls>
        <c:gapWidth val="150"/>
        <c:axId val="936832400"/>
        <c:axId val="858436831"/>
      </c:barChart>
      <c:catAx>
        <c:axId val="93683240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58436831"/>
        <c:crosses val="autoZero"/>
        <c:auto val="1"/>
        <c:lblAlgn val="ctr"/>
        <c:lblOffset val="100"/>
        <c:noMultiLvlLbl val="0"/>
      </c:catAx>
      <c:valAx>
        <c:axId val="858436831"/>
        <c:scaling>
          <c:orientation val="minMax"/>
        </c:scaling>
        <c:delete val="0"/>
        <c:axPos val="l"/>
        <c:majorGridlines>
          <c:spPr>
            <a:ln w="9525" cap="flat" cmpd="sng" algn="ctr">
              <a:no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AU" sz="1000" b="0" i="0" u="none" strike="noStrike" kern="1200" baseline="0">
                    <a:solidFill>
                      <a:sysClr val="windowText" lastClr="000000">
                        <a:lumMod val="65000"/>
                        <a:lumOff val="35000"/>
                      </a:sysClr>
                    </a:solidFill>
                  </a:rPr>
                  <a:t>Labour Force Participation Rate (%)</a:t>
                </a:r>
              </a:p>
            </c:rich>
          </c:tx>
          <c:layout>
            <c:manualLayout>
              <c:xMode val="edge"/>
              <c:yMode val="edge"/>
              <c:x val="1.1457378551787351E-2"/>
              <c:y val="8.0856750704327102E-2"/>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0.0;\-0.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3683240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4DB317D2DA340B1AF9BACDEE3AB05B6"/>
        <w:category>
          <w:name w:val="General"/>
          <w:gallery w:val="placeholder"/>
        </w:category>
        <w:types>
          <w:type w:val="bbPlcHdr"/>
        </w:types>
        <w:behaviors>
          <w:behavior w:val="content"/>
        </w:behaviors>
        <w:guid w:val="{46A77693-D3E8-468C-B253-5FB8596E7280}"/>
      </w:docPartPr>
      <w:docPartBody>
        <w:p w:rsidR="00C337DD" w:rsidRDefault="00C337DD">
          <w:r w:rsidRPr="00322167">
            <w:rPr>
              <w:rStyle w:val="PlaceholderText"/>
            </w:rPr>
            <w:t>[Title]</w:t>
          </w:r>
        </w:p>
      </w:docPartBody>
    </w:docPart>
    <w:docPart>
      <w:docPartPr>
        <w:name w:val="2D2D024BDF304EF58EB26857CD7A9952"/>
        <w:category>
          <w:name w:val="General"/>
          <w:gallery w:val="placeholder"/>
        </w:category>
        <w:types>
          <w:type w:val="bbPlcHdr"/>
        </w:types>
        <w:behaviors>
          <w:behavior w:val="content"/>
        </w:behaviors>
        <w:guid w:val="{0ACB7B68-71CD-44C4-B04C-91E1C95D966F}"/>
      </w:docPartPr>
      <w:docPartBody>
        <w:p w:rsidR="00EC6E4F" w:rsidRDefault="00AA5C14" w:rsidP="00AA5C14">
          <w:pPr>
            <w:pStyle w:val="2D2D024BDF304EF58EB26857CD7A9952"/>
          </w:pPr>
          <w:r w:rsidRPr="00322167">
            <w:rPr>
              <w:rStyle w:val="PlaceholderText"/>
            </w:rPr>
            <w:t>[Title]</w:t>
          </w:r>
        </w:p>
      </w:docPartBody>
    </w:docPart>
    <w:docPart>
      <w:docPartPr>
        <w:name w:val="40A7780B7E214FA6B2253BE804C934D8"/>
        <w:category>
          <w:name w:val="General"/>
          <w:gallery w:val="placeholder"/>
        </w:category>
        <w:types>
          <w:type w:val="bbPlcHdr"/>
        </w:types>
        <w:behaviors>
          <w:behavior w:val="content"/>
        </w:behaviors>
        <w:guid w:val="{87CA5A8D-A0ED-4BE3-93EA-95BB31804BDF}"/>
      </w:docPartPr>
      <w:docPartBody>
        <w:p w:rsidR="00C37482" w:rsidRDefault="00C37482" w:rsidP="00C37482">
          <w:pPr>
            <w:pStyle w:val="40A7780B7E214FA6B2253BE804C934D8"/>
          </w:pPr>
          <w:r w:rsidRPr="000A0CC2">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ova">
    <w:charset w:val="00"/>
    <w:family w:val="swiss"/>
    <w:pitch w:val="variable"/>
    <w:sig w:usb0="0000028F" w:usb1="00000002"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Arial-BoldMT">
    <w:altName w:val="Arial"/>
    <w:panose1 w:val="00000000000000000000"/>
    <w:charset w:val="00"/>
    <w:family w:val="auto"/>
    <w:notTrueType/>
    <w:pitch w:val="default"/>
    <w:sig w:usb0="0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0B81"/>
    <w:rsid w:val="00041AC3"/>
    <w:rsid w:val="0008154B"/>
    <w:rsid w:val="000914F8"/>
    <w:rsid w:val="000B4034"/>
    <w:rsid w:val="00100DFA"/>
    <w:rsid w:val="001023C9"/>
    <w:rsid w:val="0012162E"/>
    <w:rsid w:val="001836F1"/>
    <w:rsid w:val="001B061B"/>
    <w:rsid w:val="001C2355"/>
    <w:rsid w:val="00241CDB"/>
    <w:rsid w:val="002A2B19"/>
    <w:rsid w:val="002C73BE"/>
    <w:rsid w:val="00321F43"/>
    <w:rsid w:val="00333799"/>
    <w:rsid w:val="00363739"/>
    <w:rsid w:val="003B2237"/>
    <w:rsid w:val="00461E16"/>
    <w:rsid w:val="00475DED"/>
    <w:rsid w:val="004F69FA"/>
    <w:rsid w:val="00537C0A"/>
    <w:rsid w:val="005A0B81"/>
    <w:rsid w:val="005F6141"/>
    <w:rsid w:val="00631484"/>
    <w:rsid w:val="00657D92"/>
    <w:rsid w:val="0066452D"/>
    <w:rsid w:val="00665061"/>
    <w:rsid w:val="00686545"/>
    <w:rsid w:val="006B6F1F"/>
    <w:rsid w:val="006D2A02"/>
    <w:rsid w:val="007368B6"/>
    <w:rsid w:val="0075144F"/>
    <w:rsid w:val="00805A18"/>
    <w:rsid w:val="00867021"/>
    <w:rsid w:val="008D59CB"/>
    <w:rsid w:val="008F5DB5"/>
    <w:rsid w:val="0095160C"/>
    <w:rsid w:val="00965B5E"/>
    <w:rsid w:val="00965D4D"/>
    <w:rsid w:val="00970C62"/>
    <w:rsid w:val="00975704"/>
    <w:rsid w:val="0098275D"/>
    <w:rsid w:val="00994314"/>
    <w:rsid w:val="009F3790"/>
    <w:rsid w:val="00A33E7E"/>
    <w:rsid w:val="00A54690"/>
    <w:rsid w:val="00A57A7E"/>
    <w:rsid w:val="00A86B76"/>
    <w:rsid w:val="00A94921"/>
    <w:rsid w:val="00AA5C14"/>
    <w:rsid w:val="00AF4E45"/>
    <w:rsid w:val="00B27D99"/>
    <w:rsid w:val="00B56A4F"/>
    <w:rsid w:val="00B56ED6"/>
    <w:rsid w:val="00B57B78"/>
    <w:rsid w:val="00B67C2B"/>
    <w:rsid w:val="00BA6026"/>
    <w:rsid w:val="00BE4D55"/>
    <w:rsid w:val="00C04739"/>
    <w:rsid w:val="00C11666"/>
    <w:rsid w:val="00C337DD"/>
    <w:rsid w:val="00C37482"/>
    <w:rsid w:val="00C50200"/>
    <w:rsid w:val="00C606AD"/>
    <w:rsid w:val="00D541ED"/>
    <w:rsid w:val="00D731AE"/>
    <w:rsid w:val="00D761CC"/>
    <w:rsid w:val="00DC2576"/>
    <w:rsid w:val="00E0157D"/>
    <w:rsid w:val="00E04762"/>
    <w:rsid w:val="00E16680"/>
    <w:rsid w:val="00E319DD"/>
    <w:rsid w:val="00E56844"/>
    <w:rsid w:val="00E805B1"/>
    <w:rsid w:val="00E94297"/>
    <w:rsid w:val="00E962D2"/>
    <w:rsid w:val="00E97D3B"/>
    <w:rsid w:val="00EA637B"/>
    <w:rsid w:val="00EB4BFB"/>
    <w:rsid w:val="00EC6E4F"/>
    <w:rsid w:val="00EF6149"/>
    <w:rsid w:val="00F50CAE"/>
    <w:rsid w:val="00F912E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AU" w:eastAsia="en-AU"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37482"/>
    <w:rPr>
      <w:color w:val="808080"/>
    </w:rPr>
  </w:style>
  <w:style w:type="paragraph" w:customStyle="1" w:styleId="2D2D024BDF304EF58EB26857CD7A9952">
    <w:name w:val="2D2D024BDF304EF58EB26857CD7A9952"/>
    <w:rsid w:val="00AA5C14"/>
  </w:style>
  <w:style w:type="paragraph" w:customStyle="1" w:styleId="40A7780B7E214FA6B2253BE804C934D8">
    <w:name w:val="40A7780B7E214FA6B2253BE804C934D8"/>
    <w:rsid w:val="00C37482"/>
    <w:pPr>
      <w:spacing w:line="278"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New JSA purple fix">
      <a:dk1>
        <a:sysClr val="windowText" lastClr="000000"/>
      </a:dk1>
      <a:lt1>
        <a:sysClr val="window" lastClr="FFFFFF"/>
      </a:lt1>
      <a:dk2>
        <a:srgbClr val="4B0885"/>
      </a:dk2>
      <a:lt2>
        <a:srgbClr val="D2DE5A"/>
      </a:lt2>
      <a:accent1>
        <a:srgbClr val="6929C4"/>
      </a:accent1>
      <a:accent2>
        <a:srgbClr val="009D9A"/>
      </a:accent2>
      <a:accent3>
        <a:srgbClr val="012749"/>
      </a:accent3>
      <a:accent4>
        <a:srgbClr val="EE538B"/>
      </a:accent4>
      <a:accent5>
        <a:srgbClr val="1192E8"/>
      </a:accent5>
      <a:accent6>
        <a:srgbClr val="9F1853"/>
      </a:accent6>
      <a:hlink>
        <a:srgbClr val="013D74"/>
      </a:hlink>
      <a:folHlink>
        <a:srgbClr val="4B0885"/>
      </a:folHlink>
    </a:clrScheme>
    <a:fontScheme name="JSA New">
      <a:majorFont>
        <a:latin typeface="Arial Nova"/>
        <a:ea typeface=""/>
        <a:cs typeface=""/>
      </a:majorFont>
      <a:minorFont>
        <a:latin typeface="Arial Nov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CD174A-DF8D-45B2-A472-5D93840213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106</TotalTime>
  <Pages>11</Pages>
  <Words>2674</Words>
  <Characters>15242</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Australian Labour Market for Migrants</vt:lpstr>
    </vt:vector>
  </TitlesOfParts>
  <Company/>
  <LinksUpToDate>false</LinksUpToDate>
  <CharactersWithSpaces>17881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Australian Labour Market for Migrants</dc:title>
  <dc:subject/>
  <dc:creator>PRESS,Jane</dc:creator>
  <cp:keywords/>
  <dc:description/>
  <cp:lastModifiedBy>PRESS,Jane</cp:lastModifiedBy>
  <cp:revision>5</cp:revision>
  <cp:lastPrinted>2025-01-15T02:55:00Z</cp:lastPrinted>
  <dcterms:created xsi:type="dcterms:W3CDTF">2025-04-16T03:33:00Z</dcterms:created>
  <dcterms:modified xsi:type="dcterms:W3CDTF">2025-04-22T01:39:00Z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Enabled">
    <vt:lpwstr>true</vt:lpwstr>
  </property>
  <property fmtid="{D5CDD505-2E9C-101B-9397-08002B2CF9AE}" pid="3" name="MSIP_Label_79d889eb-932f-4752-8739-64d25806ef64_SetDate">
    <vt:lpwstr>2024-10-14T00:54:57Z</vt:lpwstr>
  </property>
  <property fmtid="{D5CDD505-2E9C-101B-9397-08002B2CF9AE}" pid="4" name="MSIP_Label_79d889eb-932f-4752-8739-64d25806ef64_Method">
    <vt:lpwstr>Privileged</vt:lpwstr>
  </property>
  <property fmtid="{D5CDD505-2E9C-101B-9397-08002B2CF9AE}" pid="5" name="MSIP_Label_79d889eb-932f-4752-8739-64d25806ef64_Name">
    <vt:lpwstr>79d889eb-932f-4752-8739-64d25806ef64</vt:lpwstr>
  </property>
  <property fmtid="{D5CDD505-2E9C-101B-9397-08002B2CF9AE}" pid="6" name="MSIP_Label_79d889eb-932f-4752-8739-64d25806ef64_SiteId">
    <vt:lpwstr>dd0cfd15-4558-4b12-8bad-ea26984fc417</vt:lpwstr>
  </property>
  <property fmtid="{D5CDD505-2E9C-101B-9397-08002B2CF9AE}" pid="7" name="MSIP_Label_79d889eb-932f-4752-8739-64d25806ef64_ActionId">
    <vt:lpwstr>76ec1580-e47d-46d6-a4c2-13b1456da697</vt:lpwstr>
  </property>
  <property fmtid="{D5CDD505-2E9C-101B-9397-08002B2CF9AE}" pid="8" name="MSIP_Label_79d889eb-932f-4752-8739-64d25806ef64_ContentBits">
    <vt:lpwstr>0</vt:lpwstr>
  </property>
</Properties>
</file>