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xml" ContentType="application/vnd.openxmlformats-officedocument.drawingml.chartshapes+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E1BABA" w14:textId="77777777" w:rsidR="00AA5442" w:rsidRDefault="00AA5442" w:rsidP="00AA5442">
      <w:pPr>
        <w:pStyle w:val="BodyText"/>
        <w:sectPr w:rsidR="00AA5442" w:rsidSect="00AA5442">
          <w:footerReference w:type="even" r:id="rId11"/>
          <w:footerReference w:type="default" r:id="rId12"/>
          <w:headerReference w:type="first" r:id="rId13"/>
          <w:type w:val="evenPage"/>
          <w:pgSz w:w="11907" w:h="16839" w:code="9"/>
          <w:pgMar w:top="992" w:right="1270" w:bottom="1440" w:left="1270" w:header="720" w:footer="720" w:gutter="0"/>
          <w:cols w:space="720"/>
          <w:titlePg/>
          <w:docGrid w:linePitch="360"/>
        </w:sectPr>
      </w:pPr>
      <w:bookmarkStart w:id="0" w:name="_Hlk189749211"/>
      <w:bookmarkEnd w:id="0"/>
      <w:r w:rsidRPr="00270126">
        <w:rPr>
          <w:noProof/>
        </w:rPr>
        <w:drawing>
          <wp:inline distT="0" distB="0" distL="0" distR="0" wp14:anchorId="507B9546" wp14:editId="301A7233">
            <wp:extent cx="3240000" cy="705600"/>
            <wp:effectExtent l="0" t="0" r="0" b="0"/>
            <wp:docPr id="348354591" name="Picture 348354591" descr="Australian Government Jobs and Skill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05474" name="Picture 1" descr="Australian Government Jobs and Skills Australi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705600"/>
                    </a:xfrm>
                    <a:prstGeom prst="rect">
                      <a:avLst/>
                    </a:prstGeom>
                  </pic:spPr>
                </pic:pic>
              </a:graphicData>
            </a:graphic>
          </wp:inline>
        </w:drawing>
      </w:r>
      <w:r>
        <w:rPr>
          <w:noProof/>
        </w:rPr>
        <w:drawing>
          <wp:anchor distT="0" distB="0" distL="114300" distR="114300" simplePos="0" relativeHeight="251658240" behindDoc="1" locked="1" layoutInCell="1" allowOverlap="1" wp14:anchorId="019BEB38" wp14:editId="4D8A60D7">
            <wp:simplePos x="0" y="0"/>
            <wp:positionH relativeFrom="page">
              <wp:align>left</wp:align>
            </wp:positionH>
            <wp:positionV relativeFrom="page">
              <wp:align>top</wp:align>
            </wp:positionV>
            <wp:extent cx="7560000" cy="10692000"/>
            <wp:effectExtent l="0" t="0" r="3175" b="0"/>
            <wp:wrapNone/>
            <wp:docPr id="13436358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35861" name="Picture 1">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pic:spPr>
                </pic:pic>
              </a:graphicData>
            </a:graphic>
            <wp14:sizeRelH relativeFrom="page">
              <wp14:pctWidth>0</wp14:pctWidth>
            </wp14:sizeRelH>
            <wp14:sizeRelV relativeFrom="page">
              <wp14:pctHeight>0</wp14:pctHeight>
            </wp14:sizeRelV>
          </wp:anchor>
        </w:drawing>
      </w:r>
    </w:p>
    <w:p w14:paraId="7C9CC0B1" w14:textId="7C0B5BD4" w:rsidR="00AA5442" w:rsidRDefault="00AA5442" w:rsidP="00AA5442">
      <w:pPr>
        <w:pStyle w:val="BodyText"/>
      </w:pPr>
    </w:p>
    <w:sdt>
      <w:sdtPr>
        <w:alias w:val="&lt; Title &gt;"/>
        <w:tag w:val=""/>
        <w:id w:val="162979263"/>
        <w:placeholder>
          <w:docPart w:val="85BBE2E515E547ED82721B8EC8957CAF"/>
        </w:placeholder>
        <w:dataBinding w:prefixMappings="xmlns:ns0='http://purl.org/dc/elements/1.1/' xmlns:ns1='http://schemas.openxmlformats.org/package/2006/metadata/core-properties' " w:xpath="/ns1:coreProperties[1]/ns0:title[1]" w:storeItemID="{6C3C8BC8-F283-45AE-878A-BAB7291924A1}"/>
        <w:text/>
      </w:sdtPr>
      <w:sdtContent>
        <w:p w14:paraId="24993D5D" w14:textId="01BDAC2B" w:rsidR="00AA5442" w:rsidRPr="00E60832" w:rsidRDefault="00D15488" w:rsidP="00AA5442">
          <w:pPr>
            <w:pStyle w:val="Title"/>
          </w:pPr>
          <w:r w:rsidRPr="00D15488">
            <w:t>Labour Market Update</w:t>
          </w:r>
        </w:p>
      </w:sdtContent>
    </w:sdt>
    <w:p w14:paraId="25D3E464" w14:textId="389C4746" w:rsidR="00AA5442" w:rsidRDefault="00D15488" w:rsidP="00AA5442">
      <w:pPr>
        <w:pStyle w:val="Subtitle"/>
      </w:pPr>
      <w:r w:rsidRPr="00D15488">
        <w:t>December 2024</w:t>
      </w:r>
    </w:p>
    <w:p w14:paraId="4CED8E5E" w14:textId="607F0A6C" w:rsidR="00AA5442" w:rsidRPr="00934D95" w:rsidRDefault="00A550D9" w:rsidP="00AA5442">
      <w:pPr>
        <w:pStyle w:val="DocumentDetails"/>
      </w:pPr>
      <w:r>
        <w:t>3 March 2025</w:t>
      </w:r>
    </w:p>
    <w:p w14:paraId="676FA4F3" w14:textId="7DE76B19" w:rsidR="00A67B12" w:rsidRPr="00A67B12" w:rsidRDefault="00A67B12" w:rsidP="00A67B12">
      <w:pPr>
        <w:pStyle w:val="BodyText"/>
        <w:sectPr w:rsidR="00A67B12" w:rsidRPr="00A67B12" w:rsidSect="00AA5442">
          <w:type w:val="continuous"/>
          <w:pgSz w:w="11907" w:h="16839" w:code="9"/>
          <w:pgMar w:top="1440" w:right="1270" w:bottom="1440" w:left="1270" w:header="720" w:footer="720" w:gutter="0"/>
          <w:cols w:space="720"/>
          <w:titlePg/>
          <w:docGrid w:linePitch="360"/>
        </w:sectPr>
      </w:pPr>
    </w:p>
    <w:p w14:paraId="4A059FD3" w14:textId="77777777" w:rsidR="00452A9D" w:rsidRDefault="00452A9D" w:rsidP="00104750">
      <w:pPr>
        <w:pStyle w:val="TOCHeading"/>
      </w:pPr>
      <w:r>
        <w:lastRenderedPageBreak/>
        <w:t>Contents</w:t>
      </w:r>
    </w:p>
    <w:p w14:paraId="032879DA" w14:textId="1CDAE4BD" w:rsidR="00D31F3A" w:rsidRDefault="00452A9D">
      <w:pPr>
        <w:pStyle w:val="TOC1"/>
        <w:rPr>
          <w:rFonts w:asciiTheme="minorHAnsi" w:eastAsiaTheme="minorEastAsia" w:hAnsiTheme="minorHAnsi"/>
          <w:b w:val="0"/>
          <w:noProof/>
          <w:color w:val="auto"/>
          <w:kern w:val="2"/>
          <w:sz w:val="24"/>
          <w:szCs w:val="24"/>
          <w:lang w:eastAsia="en-AU"/>
          <w14:ligatures w14:val="standardContextual"/>
        </w:rPr>
      </w:pPr>
      <w:r>
        <w:rPr>
          <w:color w:val="6929C4"/>
        </w:rPr>
        <w:fldChar w:fldCharType="begin"/>
      </w:r>
      <w:r>
        <w:instrText xml:space="preserve"> TOC \o "2-3" \h \z \t "Heading 1,1" </w:instrText>
      </w:r>
      <w:r>
        <w:rPr>
          <w:color w:val="6929C4"/>
        </w:rPr>
        <w:fldChar w:fldCharType="separate"/>
      </w:r>
      <w:hyperlink w:anchor="_Toc189836953" w:history="1">
        <w:r w:rsidR="00D31F3A" w:rsidRPr="00DF3BA1">
          <w:rPr>
            <w:rStyle w:val="Hyperlink"/>
            <w:noProof/>
          </w:rPr>
          <w:t>Executive summary</w:t>
        </w:r>
        <w:r w:rsidR="00D31F3A">
          <w:rPr>
            <w:noProof/>
            <w:webHidden/>
          </w:rPr>
          <w:tab/>
        </w:r>
        <w:r w:rsidR="00D31F3A">
          <w:rPr>
            <w:noProof/>
            <w:webHidden/>
          </w:rPr>
          <w:fldChar w:fldCharType="begin"/>
        </w:r>
        <w:r w:rsidR="00D31F3A">
          <w:rPr>
            <w:noProof/>
            <w:webHidden/>
          </w:rPr>
          <w:instrText xml:space="preserve"> PAGEREF _Toc189836953 \h </w:instrText>
        </w:r>
        <w:r w:rsidR="00D31F3A">
          <w:rPr>
            <w:noProof/>
            <w:webHidden/>
          </w:rPr>
        </w:r>
        <w:r w:rsidR="00D31F3A">
          <w:rPr>
            <w:noProof/>
            <w:webHidden/>
          </w:rPr>
          <w:fldChar w:fldCharType="separate"/>
        </w:r>
        <w:r w:rsidR="004B52FB">
          <w:rPr>
            <w:noProof/>
            <w:webHidden/>
          </w:rPr>
          <w:t>3</w:t>
        </w:r>
        <w:r w:rsidR="00D31F3A">
          <w:rPr>
            <w:noProof/>
            <w:webHidden/>
          </w:rPr>
          <w:fldChar w:fldCharType="end"/>
        </w:r>
      </w:hyperlink>
    </w:p>
    <w:p w14:paraId="42D74F66" w14:textId="5703E8F8" w:rsidR="00D31F3A" w:rsidRDefault="00D31F3A">
      <w:pPr>
        <w:pStyle w:val="TOC1"/>
        <w:rPr>
          <w:rFonts w:asciiTheme="minorHAnsi" w:eastAsiaTheme="minorEastAsia" w:hAnsiTheme="minorHAnsi"/>
          <w:b w:val="0"/>
          <w:noProof/>
          <w:color w:val="auto"/>
          <w:kern w:val="2"/>
          <w:sz w:val="24"/>
          <w:szCs w:val="24"/>
          <w:lang w:eastAsia="en-AU"/>
          <w14:ligatures w14:val="standardContextual"/>
        </w:rPr>
      </w:pPr>
      <w:hyperlink w:anchor="_Toc189836954" w:history="1">
        <w:r w:rsidRPr="00DF3BA1">
          <w:rPr>
            <w:rStyle w:val="Hyperlink"/>
            <w:noProof/>
          </w:rPr>
          <w:t>Labour market conditions</w:t>
        </w:r>
        <w:r>
          <w:rPr>
            <w:noProof/>
            <w:webHidden/>
          </w:rPr>
          <w:tab/>
        </w:r>
        <w:r>
          <w:rPr>
            <w:noProof/>
            <w:webHidden/>
          </w:rPr>
          <w:fldChar w:fldCharType="begin"/>
        </w:r>
        <w:r>
          <w:rPr>
            <w:noProof/>
            <w:webHidden/>
          </w:rPr>
          <w:instrText xml:space="preserve"> PAGEREF _Toc189836954 \h </w:instrText>
        </w:r>
        <w:r>
          <w:rPr>
            <w:noProof/>
            <w:webHidden/>
          </w:rPr>
        </w:r>
        <w:r>
          <w:rPr>
            <w:noProof/>
            <w:webHidden/>
          </w:rPr>
          <w:fldChar w:fldCharType="separate"/>
        </w:r>
        <w:r w:rsidR="004B52FB">
          <w:rPr>
            <w:noProof/>
            <w:webHidden/>
          </w:rPr>
          <w:t>4</w:t>
        </w:r>
        <w:r>
          <w:rPr>
            <w:noProof/>
            <w:webHidden/>
          </w:rPr>
          <w:fldChar w:fldCharType="end"/>
        </w:r>
      </w:hyperlink>
    </w:p>
    <w:p w14:paraId="590DE687" w14:textId="3418ADA7" w:rsidR="00D31F3A" w:rsidRDefault="00D31F3A">
      <w:pPr>
        <w:pStyle w:val="TOC2"/>
        <w:rPr>
          <w:rFonts w:asciiTheme="minorHAnsi" w:eastAsiaTheme="minorEastAsia" w:hAnsiTheme="minorHAnsi"/>
          <w:b w:val="0"/>
          <w:noProof/>
          <w:kern w:val="2"/>
          <w:sz w:val="24"/>
          <w:szCs w:val="24"/>
          <w:lang w:eastAsia="en-AU"/>
          <w14:ligatures w14:val="standardContextual"/>
        </w:rPr>
      </w:pPr>
      <w:hyperlink w:anchor="_Toc189836955" w:history="1">
        <w:r w:rsidRPr="00DF3BA1">
          <w:rPr>
            <w:rStyle w:val="Hyperlink"/>
            <w:noProof/>
          </w:rPr>
          <w:t>Employment growth outpaced population growth</w:t>
        </w:r>
        <w:r>
          <w:rPr>
            <w:noProof/>
            <w:webHidden/>
          </w:rPr>
          <w:tab/>
        </w:r>
        <w:r>
          <w:rPr>
            <w:noProof/>
            <w:webHidden/>
          </w:rPr>
          <w:fldChar w:fldCharType="begin"/>
        </w:r>
        <w:r>
          <w:rPr>
            <w:noProof/>
            <w:webHidden/>
          </w:rPr>
          <w:instrText xml:space="preserve"> PAGEREF _Toc189836955 \h </w:instrText>
        </w:r>
        <w:r>
          <w:rPr>
            <w:noProof/>
            <w:webHidden/>
          </w:rPr>
        </w:r>
        <w:r>
          <w:rPr>
            <w:noProof/>
            <w:webHidden/>
          </w:rPr>
          <w:fldChar w:fldCharType="separate"/>
        </w:r>
        <w:r w:rsidR="004B52FB">
          <w:rPr>
            <w:noProof/>
            <w:webHidden/>
          </w:rPr>
          <w:t>4</w:t>
        </w:r>
        <w:r>
          <w:rPr>
            <w:noProof/>
            <w:webHidden/>
          </w:rPr>
          <w:fldChar w:fldCharType="end"/>
        </w:r>
      </w:hyperlink>
    </w:p>
    <w:p w14:paraId="0551BE29" w14:textId="49B9FC35" w:rsidR="00D31F3A" w:rsidRDefault="00D31F3A">
      <w:pPr>
        <w:pStyle w:val="TOC2"/>
        <w:rPr>
          <w:rFonts w:asciiTheme="minorHAnsi" w:eastAsiaTheme="minorEastAsia" w:hAnsiTheme="minorHAnsi"/>
          <w:b w:val="0"/>
          <w:noProof/>
          <w:kern w:val="2"/>
          <w:sz w:val="24"/>
          <w:szCs w:val="24"/>
          <w:lang w:eastAsia="en-AU"/>
          <w14:ligatures w14:val="standardContextual"/>
        </w:rPr>
      </w:pPr>
      <w:hyperlink w:anchor="_Toc189836956" w:history="1">
        <w:r w:rsidRPr="00DF3BA1">
          <w:rPr>
            <w:rStyle w:val="Hyperlink"/>
            <w:noProof/>
          </w:rPr>
          <w:t>Labour market conditions varied across jurisdictions</w:t>
        </w:r>
        <w:r>
          <w:rPr>
            <w:noProof/>
            <w:webHidden/>
          </w:rPr>
          <w:tab/>
        </w:r>
        <w:r>
          <w:rPr>
            <w:noProof/>
            <w:webHidden/>
          </w:rPr>
          <w:fldChar w:fldCharType="begin"/>
        </w:r>
        <w:r>
          <w:rPr>
            <w:noProof/>
            <w:webHidden/>
          </w:rPr>
          <w:instrText xml:space="preserve"> PAGEREF _Toc189836956 \h </w:instrText>
        </w:r>
        <w:r>
          <w:rPr>
            <w:noProof/>
            <w:webHidden/>
          </w:rPr>
        </w:r>
        <w:r>
          <w:rPr>
            <w:noProof/>
            <w:webHidden/>
          </w:rPr>
          <w:fldChar w:fldCharType="separate"/>
        </w:r>
        <w:r w:rsidR="004B52FB">
          <w:rPr>
            <w:noProof/>
            <w:webHidden/>
          </w:rPr>
          <w:t>5</w:t>
        </w:r>
        <w:r>
          <w:rPr>
            <w:noProof/>
            <w:webHidden/>
          </w:rPr>
          <w:fldChar w:fldCharType="end"/>
        </w:r>
      </w:hyperlink>
    </w:p>
    <w:p w14:paraId="2BF8DAB3" w14:textId="3F543410" w:rsidR="00D31F3A" w:rsidRDefault="00D31F3A">
      <w:pPr>
        <w:pStyle w:val="TOC2"/>
        <w:rPr>
          <w:rFonts w:asciiTheme="minorHAnsi" w:eastAsiaTheme="minorEastAsia" w:hAnsiTheme="minorHAnsi"/>
          <w:b w:val="0"/>
          <w:noProof/>
          <w:kern w:val="2"/>
          <w:sz w:val="24"/>
          <w:szCs w:val="24"/>
          <w:lang w:eastAsia="en-AU"/>
          <w14:ligatures w14:val="standardContextual"/>
        </w:rPr>
      </w:pPr>
      <w:hyperlink w:anchor="_Toc189836957" w:history="1">
        <w:r w:rsidRPr="00DF3BA1">
          <w:rPr>
            <w:rStyle w:val="Hyperlink"/>
            <w:noProof/>
          </w:rPr>
          <w:t>Health Care and Social Assistance led employment growth</w:t>
        </w:r>
        <w:r>
          <w:rPr>
            <w:noProof/>
            <w:webHidden/>
          </w:rPr>
          <w:tab/>
        </w:r>
        <w:r>
          <w:rPr>
            <w:noProof/>
            <w:webHidden/>
          </w:rPr>
          <w:fldChar w:fldCharType="begin"/>
        </w:r>
        <w:r>
          <w:rPr>
            <w:noProof/>
            <w:webHidden/>
          </w:rPr>
          <w:instrText xml:space="preserve"> PAGEREF _Toc189836957 \h </w:instrText>
        </w:r>
        <w:r>
          <w:rPr>
            <w:noProof/>
            <w:webHidden/>
          </w:rPr>
        </w:r>
        <w:r>
          <w:rPr>
            <w:noProof/>
            <w:webHidden/>
          </w:rPr>
          <w:fldChar w:fldCharType="separate"/>
        </w:r>
        <w:r w:rsidR="004B52FB">
          <w:rPr>
            <w:noProof/>
            <w:webHidden/>
          </w:rPr>
          <w:t>6</w:t>
        </w:r>
        <w:r>
          <w:rPr>
            <w:noProof/>
            <w:webHidden/>
          </w:rPr>
          <w:fldChar w:fldCharType="end"/>
        </w:r>
      </w:hyperlink>
    </w:p>
    <w:p w14:paraId="04EADA86" w14:textId="6034AA3D" w:rsidR="00D31F3A" w:rsidRDefault="00D31F3A">
      <w:pPr>
        <w:pStyle w:val="TOC2"/>
        <w:rPr>
          <w:rFonts w:asciiTheme="minorHAnsi" w:eastAsiaTheme="minorEastAsia" w:hAnsiTheme="minorHAnsi"/>
          <w:b w:val="0"/>
          <w:noProof/>
          <w:kern w:val="2"/>
          <w:sz w:val="24"/>
          <w:szCs w:val="24"/>
          <w:lang w:eastAsia="en-AU"/>
          <w14:ligatures w14:val="standardContextual"/>
        </w:rPr>
      </w:pPr>
      <w:hyperlink w:anchor="_Toc189836958" w:history="1">
        <w:r w:rsidRPr="00DF3BA1">
          <w:rPr>
            <w:rStyle w:val="Hyperlink"/>
            <w:noProof/>
          </w:rPr>
          <w:t>Higher-skilled occupations drove employment growth</w:t>
        </w:r>
        <w:r>
          <w:rPr>
            <w:noProof/>
            <w:webHidden/>
          </w:rPr>
          <w:tab/>
        </w:r>
        <w:r>
          <w:rPr>
            <w:noProof/>
            <w:webHidden/>
          </w:rPr>
          <w:fldChar w:fldCharType="begin"/>
        </w:r>
        <w:r>
          <w:rPr>
            <w:noProof/>
            <w:webHidden/>
          </w:rPr>
          <w:instrText xml:space="preserve"> PAGEREF _Toc189836958 \h </w:instrText>
        </w:r>
        <w:r>
          <w:rPr>
            <w:noProof/>
            <w:webHidden/>
          </w:rPr>
        </w:r>
        <w:r>
          <w:rPr>
            <w:noProof/>
            <w:webHidden/>
          </w:rPr>
          <w:fldChar w:fldCharType="separate"/>
        </w:r>
        <w:r w:rsidR="004B52FB">
          <w:rPr>
            <w:noProof/>
            <w:webHidden/>
          </w:rPr>
          <w:t>7</w:t>
        </w:r>
        <w:r>
          <w:rPr>
            <w:noProof/>
            <w:webHidden/>
          </w:rPr>
          <w:fldChar w:fldCharType="end"/>
        </w:r>
      </w:hyperlink>
    </w:p>
    <w:p w14:paraId="40CE03D2" w14:textId="78823BAF" w:rsidR="00D31F3A" w:rsidRDefault="00D31F3A">
      <w:pPr>
        <w:pStyle w:val="TOC1"/>
        <w:rPr>
          <w:rFonts w:asciiTheme="minorHAnsi" w:eastAsiaTheme="minorEastAsia" w:hAnsiTheme="minorHAnsi"/>
          <w:b w:val="0"/>
          <w:noProof/>
          <w:color w:val="auto"/>
          <w:kern w:val="2"/>
          <w:sz w:val="24"/>
          <w:szCs w:val="24"/>
          <w:lang w:eastAsia="en-AU"/>
          <w14:ligatures w14:val="standardContextual"/>
        </w:rPr>
      </w:pPr>
      <w:hyperlink w:anchor="_Toc189836959" w:history="1">
        <w:r w:rsidRPr="00DF3BA1">
          <w:rPr>
            <w:rStyle w:val="Hyperlink"/>
            <w:noProof/>
          </w:rPr>
          <w:t>Easing labour demand continues</w:t>
        </w:r>
        <w:r>
          <w:rPr>
            <w:noProof/>
            <w:webHidden/>
          </w:rPr>
          <w:tab/>
        </w:r>
        <w:r>
          <w:rPr>
            <w:noProof/>
            <w:webHidden/>
          </w:rPr>
          <w:fldChar w:fldCharType="begin"/>
        </w:r>
        <w:r>
          <w:rPr>
            <w:noProof/>
            <w:webHidden/>
          </w:rPr>
          <w:instrText xml:space="preserve"> PAGEREF _Toc189836959 \h </w:instrText>
        </w:r>
        <w:r>
          <w:rPr>
            <w:noProof/>
            <w:webHidden/>
          </w:rPr>
        </w:r>
        <w:r>
          <w:rPr>
            <w:noProof/>
            <w:webHidden/>
          </w:rPr>
          <w:fldChar w:fldCharType="separate"/>
        </w:r>
        <w:r w:rsidR="004B52FB">
          <w:rPr>
            <w:noProof/>
            <w:webHidden/>
          </w:rPr>
          <w:t>9</w:t>
        </w:r>
        <w:r>
          <w:rPr>
            <w:noProof/>
            <w:webHidden/>
          </w:rPr>
          <w:fldChar w:fldCharType="end"/>
        </w:r>
      </w:hyperlink>
    </w:p>
    <w:p w14:paraId="3A757185" w14:textId="121D3E26" w:rsidR="00D31F3A" w:rsidRDefault="00D31F3A">
      <w:pPr>
        <w:pStyle w:val="TOC2"/>
        <w:rPr>
          <w:rFonts w:asciiTheme="minorHAnsi" w:eastAsiaTheme="minorEastAsia" w:hAnsiTheme="minorHAnsi"/>
          <w:b w:val="0"/>
          <w:noProof/>
          <w:kern w:val="2"/>
          <w:sz w:val="24"/>
          <w:szCs w:val="24"/>
          <w:lang w:eastAsia="en-AU"/>
          <w14:ligatures w14:val="standardContextual"/>
        </w:rPr>
      </w:pPr>
      <w:hyperlink w:anchor="_Toc189836960" w:history="1">
        <w:r w:rsidRPr="00DF3BA1">
          <w:rPr>
            <w:rStyle w:val="Hyperlink"/>
            <w:noProof/>
          </w:rPr>
          <w:t>Recruiting difficulty is easing for most employers</w:t>
        </w:r>
        <w:r>
          <w:rPr>
            <w:noProof/>
            <w:webHidden/>
          </w:rPr>
          <w:tab/>
        </w:r>
        <w:r>
          <w:rPr>
            <w:noProof/>
            <w:webHidden/>
          </w:rPr>
          <w:fldChar w:fldCharType="begin"/>
        </w:r>
        <w:r>
          <w:rPr>
            <w:noProof/>
            <w:webHidden/>
          </w:rPr>
          <w:instrText xml:space="preserve"> PAGEREF _Toc189836960 \h </w:instrText>
        </w:r>
        <w:r>
          <w:rPr>
            <w:noProof/>
            <w:webHidden/>
          </w:rPr>
        </w:r>
        <w:r>
          <w:rPr>
            <w:noProof/>
            <w:webHidden/>
          </w:rPr>
          <w:fldChar w:fldCharType="separate"/>
        </w:r>
        <w:r w:rsidR="004B52FB">
          <w:rPr>
            <w:noProof/>
            <w:webHidden/>
          </w:rPr>
          <w:t>10</w:t>
        </w:r>
        <w:r>
          <w:rPr>
            <w:noProof/>
            <w:webHidden/>
          </w:rPr>
          <w:fldChar w:fldCharType="end"/>
        </w:r>
      </w:hyperlink>
    </w:p>
    <w:p w14:paraId="4690DA2D" w14:textId="3EB38CFE" w:rsidR="00D31F3A" w:rsidRDefault="00D31F3A">
      <w:pPr>
        <w:pStyle w:val="TOC2"/>
        <w:rPr>
          <w:rFonts w:asciiTheme="minorHAnsi" w:eastAsiaTheme="minorEastAsia" w:hAnsiTheme="minorHAnsi"/>
          <w:b w:val="0"/>
          <w:noProof/>
          <w:kern w:val="2"/>
          <w:sz w:val="24"/>
          <w:szCs w:val="24"/>
          <w:lang w:eastAsia="en-AU"/>
          <w14:ligatures w14:val="standardContextual"/>
        </w:rPr>
      </w:pPr>
      <w:hyperlink w:anchor="_Toc189836961" w:history="1">
        <w:r w:rsidRPr="00DF3BA1">
          <w:rPr>
            <w:rStyle w:val="Hyperlink"/>
            <w:noProof/>
          </w:rPr>
          <w:t>Employers may have more choice when recruiting</w:t>
        </w:r>
        <w:r>
          <w:rPr>
            <w:noProof/>
            <w:webHidden/>
          </w:rPr>
          <w:tab/>
        </w:r>
        <w:r>
          <w:rPr>
            <w:noProof/>
            <w:webHidden/>
          </w:rPr>
          <w:fldChar w:fldCharType="begin"/>
        </w:r>
        <w:r>
          <w:rPr>
            <w:noProof/>
            <w:webHidden/>
          </w:rPr>
          <w:instrText xml:space="preserve"> PAGEREF _Toc189836961 \h </w:instrText>
        </w:r>
        <w:r>
          <w:rPr>
            <w:noProof/>
            <w:webHidden/>
          </w:rPr>
        </w:r>
        <w:r>
          <w:rPr>
            <w:noProof/>
            <w:webHidden/>
          </w:rPr>
          <w:fldChar w:fldCharType="separate"/>
        </w:r>
        <w:r w:rsidR="004B52FB">
          <w:rPr>
            <w:noProof/>
            <w:webHidden/>
          </w:rPr>
          <w:t>13</w:t>
        </w:r>
        <w:r>
          <w:rPr>
            <w:noProof/>
            <w:webHidden/>
          </w:rPr>
          <w:fldChar w:fldCharType="end"/>
        </w:r>
      </w:hyperlink>
    </w:p>
    <w:p w14:paraId="3E0EC88A" w14:textId="45B899B4" w:rsidR="00D31F3A" w:rsidRDefault="00D31F3A">
      <w:pPr>
        <w:pStyle w:val="TOC2"/>
        <w:rPr>
          <w:rFonts w:asciiTheme="minorHAnsi" w:eastAsiaTheme="minorEastAsia" w:hAnsiTheme="minorHAnsi"/>
          <w:b w:val="0"/>
          <w:noProof/>
          <w:kern w:val="2"/>
          <w:sz w:val="24"/>
          <w:szCs w:val="24"/>
          <w:lang w:eastAsia="en-AU"/>
          <w14:ligatures w14:val="standardContextual"/>
        </w:rPr>
      </w:pPr>
      <w:hyperlink w:anchor="_Toc189836962" w:history="1">
        <w:r w:rsidRPr="00DF3BA1">
          <w:rPr>
            <w:rStyle w:val="Hyperlink"/>
            <w:noProof/>
          </w:rPr>
          <w:t>Vacancy fill rates are rising but are lower in regions</w:t>
        </w:r>
        <w:r>
          <w:rPr>
            <w:noProof/>
            <w:webHidden/>
          </w:rPr>
          <w:tab/>
        </w:r>
        <w:r>
          <w:rPr>
            <w:noProof/>
            <w:webHidden/>
          </w:rPr>
          <w:fldChar w:fldCharType="begin"/>
        </w:r>
        <w:r>
          <w:rPr>
            <w:noProof/>
            <w:webHidden/>
          </w:rPr>
          <w:instrText xml:space="preserve"> PAGEREF _Toc189836962 \h </w:instrText>
        </w:r>
        <w:r>
          <w:rPr>
            <w:noProof/>
            <w:webHidden/>
          </w:rPr>
        </w:r>
        <w:r>
          <w:rPr>
            <w:noProof/>
            <w:webHidden/>
          </w:rPr>
          <w:fldChar w:fldCharType="separate"/>
        </w:r>
        <w:r w:rsidR="004B52FB">
          <w:rPr>
            <w:noProof/>
            <w:webHidden/>
          </w:rPr>
          <w:t>13</w:t>
        </w:r>
        <w:r>
          <w:rPr>
            <w:noProof/>
            <w:webHidden/>
          </w:rPr>
          <w:fldChar w:fldCharType="end"/>
        </w:r>
      </w:hyperlink>
    </w:p>
    <w:p w14:paraId="583027F4" w14:textId="0EAD9DA7" w:rsidR="00D31F3A" w:rsidRDefault="00D31F3A">
      <w:pPr>
        <w:pStyle w:val="TOC2"/>
        <w:rPr>
          <w:rFonts w:asciiTheme="minorHAnsi" w:eastAsiaTheme="minorEastAsia" w:hAnsiTheme="minorHAnsi"/>
          <w:b w:val="0"/>
          <w:noProof/>
          <w:kern w:val="2"/>
          <w:sz w:val="24"/>
          <w:szCs w:val="24"/>
          <w:lang w:eastAsia="en-AU"/>
          <w14:ligatures w14:val="standardContextual"/>
        </w:rPr>
      </w:pPr>
      <w:hyperlink w:anchor="_Toc189836963" w:history="1">
        <w:r w:rsidRPr="00DF3BA1">
          <w:rPr>
            <w:rStyle w:val="Hyperlink"/>
            <w:noProof/>
          </w:rPr>
          <w:t>In focus: Understanding dynamics in the labour market</w:t>
        </w:r>
        <w:r>
          <w:rPr>
            <w:noProof/>
            <w:webHidden/>
          </w:rPr>
          <w:tab/>
        </w:r>
        <w:r>
          <w:rPr>
            <w:noProof/>
            <w:webHidden/>
          </w:rPr>
          <w:fldChar w:fldCharType="begin"/>
        </w:r>
        <w:r>
          <w:rPr>
            <w:noProof/>
            <w:webHidden/>
          </w:rPr>
          <w:instrText xml:space="preserve"> PAGEREF _Toc189836963 \h </w:instrText>
        </w:r>
        <w:r>
          <w:rPr>
            <w:noProof/>
            <w:webHidden/>
          </w:rPr>
        </w:r>
        <w:r>
          <w:rPr>
            <w:noProof/>
            <w:webHidden/>
          </w:rPr>
          <w:fldChar w:fldCharType="separate"/>
        </w:r>
        <w:r w:rsidR="004B52FB">
          <w:rPr>
            <w:noProof/>
            <w:webHidden/>
          </w:rPr>
          <w:t>16</w:t>
        </w:r>
        <w:r>
          <w:rPr>
            <w:noProof/>
            <w:webHidden/>
          </w:rPr>
          <w:fldChar w:fldCharType="end"/>
        </w:r>
      </w:hyperlink>
    </w:p>
    <w:p w14:paraId="4A79A2F7" w14:textId="69F4F915" w:rsidR="00D31F3A" w:rsidRDefault="00D31F3A">
      <w:pPr>
        <w:pStyle w:val="TOC1"/>
        <w:rPr>
          <w:rFonts w:asciiTheme="minorHAnsi" w:eastAsiaTheme="minorEastAsia" w:hAnsiTheme="minorHAnsi"/>
          <w:b w:val="0"/>
          <w:noProof/>
          <w:color w:val="auto"/>
          <w:kern w:val="2"/>
          <w:sz w:val="24"/>
          <w:szCs w:val="24"/>
          <w:lang w:eastAsia="en-AU"/>
          <w14:ligatures w14:val="standardContextual"/>
        </w:rPr>
      </w:pPr>
      <w:hyperlink w:anchor="_Toc189836964" w:history="1">
        <w:r w:rsidRPr="00DF3BA1">
          <w:rPr>
            <w:rStyle w:val="Hyperlink"/>
            <w:noProof/>
          </w:rPr>
          <w:t>Jobs and Skills Australia resources</w:t>
        </w:r>
        <w:r>
          <w:rPr>
            <w:noProof/>
            <w:webHidden/>
          </w:rPr>
          <w:tab/>
        </w:r>
        <w:r>
          <w:rPr>
            <w:noProof/>
            <w:webHidden/>
          </w:rPr>
          <w:fldChar w:fldCharType="begin"/>
        </w:r>
        <w:r>
          <w:rPr>
            <w:noProof/>
            <w:webHidden/>
          </w:rPr>
          <w:instrText xml:space="preserve"> PAGEREF _Toc189836964 \h </w:instrText>
        </w:r>
        <w:r>
          <w:rPr>
            <w:noProof/>
            <w:webHidden/>
          </w:rPr>
        </w:r>
        <w:r>
          <w:rPr>
            <w:noProof/>
            <w:webHidden/>
          </w:rPr>
          <w:fldChar w:fldCharType="separate"/>
        </w:r>
        <w:r w:rsidR="004B52FB">
          <w:rPr>
            <w:noProof/>
            <w:webHidden/>
          </w:rPr>
          <w:t>18</w:t>
        </w:r>
        <w:r>
          <w:rPr>
            <w:noProof/>
            <w:webHidden/>
          </w:rPr>
          <w:fldChar w:fldCharType="end"/>
        </w:r>
      </w:hyperlink>
    </w:p>
    <w:p w14:paraId="6CDE78C4" w14:textId="376DCA14" w:rsidR="00AE0185" w:rsidRDefault="00452A9D" w:rsidP="00E03B0F">
      <w:pPr>
        <w:sectPr w:rsidR="00AE0185" w:rsidSect="00A67B12">
          <w:headerReference w:type="first" r:id="rId16"/>
          <w:footerReference w:type="first" r:id="rId17"/>
          <w:pgSz w:w="11907" w:h="16839" w:code="9"/>
          <w:pgMar w:top="1440" w:right="1270" w:bottom="1440" w:left="1270" w:header="720" w:footer="720" w:gutter="0"/>
          <w:pgNumType w:start="1"/>
          <w:cols w:space="720"/>
          <w:titlePg/>
          <w:docGrid w:linePitch="360"/>
        </w:sectPr>
      </w:pPr>
      <w:r>
        <w:fldChar w:fldCharType="end"/>
      </w:r>
    </w:p>
    <w:p w14:paraId="2DCBE799" w14:textId="2083D711" w:rsidR="00732448" w:rsidRDefault="00D15488" w:rsidP="00F55EA1">
      <w:pPr>
        <w:pStyle w:val="Heading1"/>
      </w:pPr>
      <w:bookmarkStart w:id="1" w:name="_Toc151365176"/>
      <w:bookmarkStart w:id="2" w:name="_Hlk165359703"/>
      <w:bookmarkStart w:id="3" w:name="_Toc189205680"/>
      <w:bookmarkStart w:id="4" w:name="_Toc189836953"/>
      <w:r>
        <w:lastRenderedPageBreak/>
        <w:t>Executive summary</w:t>
      </w:r>
      <w:bookmarkEnd w:id="1"/>
      <w:bookmarkEnd w:id="2"/>
      <w:bookmarkEnd w:id="3"/>
      <w:bookmarkEnd w:id="4"/>
    </w:p>
    <w:p w14:paraId="5455C428" w14:textId="76E08AA5" w:rsidR="00423D1E" w:rsidRPr="00423D1E" w:rsidRDefault="00A833CD" w:rsidP="00423D1E">
      <w:pPr>
        <w:pStyle w:val="BodyText"/>
      </w:pPr>
      <w:r>
        <w:t xml:space="preserve">There are ongoing signs of </w:t>
      </w:r>
      <w:r w:rsidR="00423D1E" w:rsidRPr="00423D1E">
        <w:t xml:space="preserve">easing </w:t>
      </w:r>
      <w:r w:rsidR="00782308">
        <w:t xml:space="preserve">in the </w:t>
      </w:r>
      <w:r w:rsidR="002212AC">
        <w:t xml:space="preserve">Australian </w:t>
      </w:r>
      <w:r w:rsidR="00782308">
        <w:t xml:space="preserve">labour </w:t>
      </w:r>
      <w:r w:rsidR="002212AC">
        <w:t xml:space="preserve">market. However, </w:t>
      </w:r>
      <w:r w:rsidR="00782308">
        <w:t xml:space="preserve">the </w:t>
      </w:r>
      <w:r w:rsidR="00423D1E" w:rsidRPr="00423D1E">
        <w:t>labour market remained resilient in the December quarter 2024, supported by strong population growth and ongoing demand</w:t>
      </w:r>
      <w:r w:rsidR="00A30B2A">
        <w:t>,</w:t>
      </w:r>
      <w:r w:rsidR="009E5F2D">
        <w:t xml:space="preserve"> particularly in the health and education sectors</w:t>
      </w:r>
      <w:r w:rsidR="00423D1E" w:rsidRPr="00423D1E">
        <w:t>. In the quarter, employment growth was sound, the unemployment rate remained stable at around 4.0% and the participation rate</w:t>
      </w:r>
      <w:r w:rsidR="00D57A5A" w:rsidRPr="00D57A5A">
        <w:rPr>
          <w:rStyle w:val="FootnoteReference"/>
        </w:rPr>
        <w:footnoteReference w:id="2"/>
      </w:r>
      <w:r w:rsidR="00423D1E" w:rsidRPr="00423D1E">
        <w:t xml:space="preserve"> </w:t>
      </w:r>
      <w:r w:rsidR="00F06B6B">
        <w:t xml:space="preserve">was </w:t>
      </w:r>
      <w:r w:rsidR="00423D1E" w:rsidRPr="00423D1E">
        <w:t>around the record high.</w:t>
      </w:r>
    </w:p>
    <w:p w14:paraId="79530BEB" w14:textId="7B92D494" w:rsidR="00423D1E" w:rsidRPr="00423D1E" w:rsidRDefault="00423D1E" w:rsidP="00423D1E">
      <w:pPr>
        <w:pStyle w:val="BodyText"/>
      </w:pPr>
      <w:r w:rsidRPr="00423D1E">
        <w:t xml:space="preserve">Over the past 12 months to the December quarter 2024, employment growth was driven by </w:t>
      </w:r>
      <w:r w:rsidR="00E740D1">
        <w:t>Skill Level</w:t>
      </w:r>
      <w:r w:rsidRPr="00423D1E">
        <w:t xml:space="preserve"> 1 to 4 occupations, which typically require post-secondary qualifications. Almost two</w:t>
      </w:r>
      <w:r w:rsidR="00C32B62">
        <w:t>-</w:t>
      </w:r>
      <w:r w:rsidRPr="00423D1E">
        <w:t>thirds of the growth came from occupations with Vocational Education</w:t>
      </w:r>
      <w:r w:rsidR="004A6730">
        <w:t xml:space="preserve"> and</w:t>
      </w:r>
      <w:r w:rsidRPr="00423D1E">
        <w:t xml:space="preserve"> Training (VET) pathways. Cohorts who were less likely to have these qualifications, such as youth and </w:t>
      </w:r>
      <w:r w:rsidR="00F602E0">
        <w:t xml:space="preserve">the </w:t>
      </w:r>
      <w:r w:rsidRPr="00423D1E">
        <w:t>long-term unemployed, experienced less favourable employment outcomes.</w:t>
      </w:r>
    </w:p>
    <w:p w14:paraId="01FD2AF7" w14:textId="5601771A" w:rsidR="00423D1E" w:rsidRPr="00423D1E" w:rsidRDefault="00636D42" w:rsidP="0068443A">
      <w:pPr>
        <w:pStyle w:val="BodyText"/>
      </w:pPr>
      <w:r>
        <w:t xml:space="preserve">On softening conditions, </w:t>
      </w:r>
      <w:r w:rsidR="00423D1E" w:rsidRPr="00423D1E">
        <w:t xml:space="preserve">partial forward indicators continued to suggest </w:t>
      </w:r>
      <w:r w:rsidR="003B6168">
        <w:t xml:space="preserve">easing </w:t>
      </w:r>
      <w:r w:rsidR="00BC7ACC">
        <w:t xml:space="preserve">activity in </w:t>
      </w:r>
      <w:r w:rsidR="00423D1E" w:rsidRPr="00423D1E">
        <w:t xml:space="preserve">labour market. Jobs and Skills </w:t>
      </w:r>
      <w:r w:rsidR="00423D1E" w:rsidRPr="00AF5323">
        <w:t xml:space="preserve">Australia's </w:t>
      </w:r>
      <w:r w:rsidR="00423D1E" w:rsidRPr="00AF5323">
        <w:rPr>
          <w:rStyle w:val="Characterbold"/>
          <w:b w:val="0"/>
          <w:bCs/>
        </w:rPr>
        <w:t>Internet Vacancy Index (IVI)</w:t>
      </w:r>
      <w:r w:rsidR="00423D1E" w:rsidRPr="00AF5323">
        <w:t xml:space="preserve"> showed a decline in job advertisements and the </w:t>
      </w:r>
      <w:r w:rsidR="00423D1E" w:rsidRPr="00AF5323">
        <w:rPr>
          <w:rStyle w:val="Characterbold"/>
          <w:b w:val="0"/>
          <w:bCs/>
        </w:rPr>
        <w:t>Recruitment Experiences and Outlook Survey (REOS)</w:t>
      </w:r>
      <w:r w:rsidR="00423D1E" w:rsidRPr="00AF5323">
        <w:t xml:space="preserve"> indicated a decrease in the proportion of employers recruiting. The </w:t>
      </w:r>
      <w:r w:rsidR="00423D1E" w:rsidRPr="00AF5323">
        <w:rPr>
          <w:rStyle w:val="Characterbold"/>
          <w:b w:val="0"/>
          <w:bCs/>
        </w:rPr>
        <w:t>Survey of Employers who have Recently Advertised (SERA)</w:t>
      </w:r>
      <w:r w:rsidR="00423D1E" w:rsidRPr="00AF5323">
        <w:rPr>
          <w:b/>
          <w:bCs/>
        </w:rPr>
        <w:t xml:space="preserve"> </w:t>
      </w:r>
      <w:r w:rsidR="00423D1E" w:rsidRPr="00AF5323">
        <w:t>showed</w:t>
      </w:r>
      <w:r w:rsidR="00423D1E" w:rsidRPr="00423D1E">
        <w:t xml:space="preserve"> that the job vacancy fill rate and suitability gap increased.</w:t>
      </w:r>
      <w:r w:rsidR="0085563F" w:rsidRPr="0085563F">
        <w:rPr>
          <w:rStyle w:val="FootnoteReference"/>
        </w:rPr>
        <w:footnoteReference w:id="3"/>
      </w:r>
      <w:r w:rsidR="00423D1E" w:rsidRPr="00423D1E">
        <w:t xml:space="preserve"> </w:t>
      </w:r>
    </w:p>
    <w:p w14:paraId="6865EB1E" w14:textId="7796F108" w:rsidR="00423D1E" w:rsidRPr="00423D1E" w:rsidRDefault="00423D1E" w:rsidP="00423D1E">
      <w:pPr>
        <w:pStyle w:val="BodyText"/>
      </w:pPr>
      <w:r w:rsidRPr="00423D1E">
        <w:t xml:space="preserve">Labour market conditions varied across regions and occupations. Recruitment activity, employer recruitment difficulty and job vacancy fill rates improved in both metropolitan and regional areas. However, shortage pressures were easing faster in metropolitan areas and </w:t>
      </w:r>
      <w:r w:rsidR="00883D35">
        <w:t xml:space="preserve">vacancy fill rates </w:t>
      </w:r>
      <w:r w:rsidRPr="00423D1E">
        <w:t xml:space="preserve">remained </w:t>
      </w:r>
      <w:r w:rsidR="00D84929">
        <w:t xml:space="preserve">relatively </w:t>
      </w:r>
      <w:r w:rsidR="00883D35">
        <w:t xml:space="preserve">low </w:t>
      </w:r>
      <w:r w:rsidRPr="00423D1E">
        <w:t xml:space="preserve">for </w:t>
      </w:r>
      <w:r w:rsidR="00E740D1">
        <w:t>Skill Level</w:t>
      </w:r>
      <w:r w:rsidRPr="00423D1E">
        <w:t xml:space="preserve"> 3 occupations</w:t>
      </w:r>
      <w:r w:rsidR="00D84929">
        <w:t xml:space="preserve">, </w:t>
      </w:r>
      <w:r w:rsidR="002D7EA2">
        <w:t>compared to other skill level occupation groups</w:t>
      </w:r>
      <w:r w:rsidRPr="00423D1E">
        <w:t xml:space="preserve">. </w:t>
      </w:r>
    </w:p>
    <w:p w14:paraId="28F9D03E" w14:textId="77777777" w:rsidR="00423D1E" w:rsidRPr="00423D1E" w:rsidRDefault="00423D1E" w:rsidP="00423D1E">
      <w:pPr>
        <w:pStyle w:val="BodyText"/>
      </w:pPr>
      <w:r w:rsidRPr="00423D1E">
        <w:t xml:space="preserve">Employment rose in most jurisdictions. Queensland and New South Wales recorded the largest increase. The unemployment rate was lowest in the Australian Capital Territory and Western Australia. By industry, employment increased in 13 of 19 industries. The highest growth continued to occur in Health Care and Social Assistance, Education and Training, and Accommodation and Food Services. The largest decline in employment was recorded for Manufacturing and Financial and Insurance Services. </w:t>
      </w:r>
    </w:p>
    <w:p w14:paraId="12B6AC0C" w14:textId="34631E6C" w:rsidR="00423D1E" w:rsidRPr="00423D1E" w:rsidRDefault="00235919" w:rsidP="00423D1E">
      <w:pPr>
        <w:pStyle w:val="BodyText"/>
      </w:pPr>
      <w:r w:rsidRPr="00235919">
        <w:t xml:space="preserve">Analysis of the interactions of various labour market indicators showed that the vacancy rate and unemployment rate exhibit an inverse relationship. Periods of high unemployment </w:t>
      </w:r>
      <w:r w:rsidR="0059536F">
        <w:t xml:space="preserve">are typically </w:t>
      </w:r>
      <w:r w:rsidRPr="00235919">
        <w:t>accompanied by lower vacancy rates. This suggests shortage pressure</w:t>
      </w:r>
      <w:r w:rsidR="00846FFB">
        <w:t>s</w:t>
      </w:r>
      <w:r w:rsidRPr="00235919">
        <w:t xml:space="preserve"> are likely to be lower during these times. The SERA vacancy fill rate and the suitability gap generally move along closely with the unemployment rate over time. The fill rate and suitability gap increased when the unemployment rate increased. That is, during softer labour market conditions, employers may be able to fill jobs more easily but practice greater scrutiny when recruiting due to more job seekers</w:t>
      </w:r>
      <w:r w:rsidR="00732A00">
        <w:t>,</w:t>
      </w:r>
      <w:r w:rsidRPr="00235919">
        <w:t xml:space="preserve"> relative to the number of </w:t>
      </w:r>
      <w:r w:rsidR="00E96A72" w:rsidRPr="00235919">
        <w:t>vacant positions</w:t>
      </w:r>
      <w:r w:rsidRPr="00235919">
        <w:t>.</w:t>
      </w:r>
    </w:p>
    <w:p w14:paraId="37BBB948" w14:textId="77777777" w:rsidR="00F81633" w:rsidRPr="00F81633" w:rsidRDefault="00F81633" w:rsidP="00F81633">
      <w:pPr>
        <w:pStyle w:val="Heading1"/>
      </w:pPr>
      <w:bookmarkStart w:id="5" w:name="_Toc189836954"/>
      <w:bookmarkStart w:id="6" w:name="_Toc189205681"/>
      <w:bookmarkStart w:id="7" w:name="_Hlk173915445"/>
      <w:r w:rsidRPr="00F81633">
        <w:lastRenderedPageBreak/>
        <w:t>Labour market conditions</w:t>
      </w:r>
      <w:bookmarkEnd w:id="5"/>
      <w:r w:rsidRPr="00F81633">
        <w:t xml:space="preserve"> </w:t>
      </w:r>
      <w:bookmarkEnd w:id="6"/>
    </w:p>
    <w:p w14:paraId="3FF385EA" w14:textId="77777777" w:rsidR="0018409A" w:rsidRDefault="0018409A" w:rsidP="0018409A">
      <w:pPr>
        <w:pStyle w:val="Heading2"/>
      </w:pPr>
      <w:bookmarkStart w:id="8" w:name="_Toc189836955"/>
      <w:bookmarkStart w:id="9" w:name="_Hlk165535193"/>
      <w:bookmarkStart w:id="10" w:name="_Toc151365178"/>
      <w:bookmarkStart w:id="11" w:name="_Toc152324295"/>
      <w:r w:rsidRPr="0018409A">
        <w:t>Employment growth outpaced population growth</w:t>
      </w:r>
      <w:bookmarkEnd w:id="8"/>
    </w:p>
    <w:p w14:paraId="6F43FDCD" w14:textId="77777777" w:rsidR="00842341" w:rsidRDefault="00842341" w:rsidP="00842341">
      <w:pPr>
        <w:pStyle w:val="BodyText"/>
        <w:rPr>
          <w:lang w:val="en-GB" w:eastAsia="en-GB"/>
        </w:rPr>
      </w:pPr>
      <w:bookmarkStart w:id="12" w:name="_Ref189746658"/>
      <w:r w:rsidRPr="00842341">
        <w:rPr>
          <w:lang w:val="en-GB" w:eastAsia="en-GB"/>
        </w:rPr>
        <w:t>The Australian Bureau of Statistics (ABS) Labour Force Survey showed that seasonally adjusted employment increased by 97,000 (0.7%) over the December quarter 2024. This was lower than the 1.1% growth recorded in September quarter 2024 (Table 1).</w:t>
      </w:r>
    </w:p>
    <w:p w14:paraId="16499EAA" w14:textId="5D7E2C1F" w:rsidR="00F81633" w:rsidRDefault="00F81633" w:rsidP="00F81633">
      <w:pPr>
        <w:pStyle w:val="Caption"/>
      </w:pPr>
      <w:r>
        <w:t xml:space="preserve">Table </w:t>
      </w:r>
      <w:r>
        <w:fldChar w:fldCharType="begin"/>
      </w:r>
      <w:r>
        <w:instrText xml:space="preserve"> SEQ Table \* ARABIC </w:instrText>
      </w:r>
      <w:r>
        <w:fldChar w:fldCharType="separate"/>
      </w:r>
      <w:r w:rsidR="004B52FB">
        <w:rPr>
          <w:noProof/>
        </w:rPr>
        <w:t>1</w:t>
      </w:r>
      <w:r>
        <w:fldChar w:fldCharType="end"/>
      </w:r>
      <w:bookmarkEnd w:id="12"/>
      <w:r w:rsidRPr="00F81633">
        <w:t xml:space="preserve">: Key labour market indicators, December </w:t>
      </w:r>
      <w:r w:rsidR="00C57662" w:rsidRPr="00F81633">
        <w:t>2024,</w:t>
      </w:r>
      <w:r w:rsidRPr="00F81633">
        <w:t xml:space="preserve"> and changes since September 2024</w:t>
      </w:r>
      <w:r w:rsidRPr="00BE778B">
        <w:rPr>
          <w:rStyle w:val="Charactersuperscript"/>
        </w:rPr>
        <w:footnoteReference w:id="4"/>
      </w:r>
    </w:p>
    <w:tbl>
      <w:tblPr>
        <w:tblStyle w:val="CustomTablebasic"/>
        <w:tblW w:w="0" w:type="auto"/>
        <w:tblLook w:val="04A0" w:firstRow="1" w:lastRow="0" w:firstColumn="1" w:lastColumn="0" w:noHBand="0" w:noVBand="1"/>
      </w:tblPr>
      <w:tblGrid>
        <w:gridCol w:w="2047"/>
        <w:gridCol w:w="1497"/>
        <w:gridCol w:w="1948"/>
      </w:tblGrid>
      <w:tr w:rsidR="004276A6" w:rsidRPr="00D604B5" w14:paraId="39A35BB0" w14:textId="77777777" w:rsidTr="00D604B5">
        <w:trPr>
          <w:cnfStyle w:val="100000000000" w:firstRow="1" w:lastRow="0" w:firstColumn="0" w:lastColumn="0" w:oddVBand="0" w:evenVBand="0" w:oddHBand="0" w:evenHBand="0" w:firstRowFirstColumn="0" w:firstRowLastColumn="0" w:lastRowFirstColumn="0" w:lastRowLastColumn="0"/>
        </w:trPr>
        <w:tc>
          <w:tcPr>
            <w:tcW w:w="0" w:type="auto"/>
          </w:tcPr>
          <w:p w14:paraId="7F987D2C" w14:textId="77777777" w:rsidR="004276A6" w:rsidRPr="00D604B5" w:rsidRDefault="004276A6" w:rsidP="00D604B5">
            <w:pPr>
              <w:pStyle w:val="TableBodyTextright"/>
              <w:rPr>
                <w:sz w:val="18"/>
                <w:szCs w:val="22"/>
              </w:rPr>
            </w:pPr>
          </w:p>
        </w:tc>
        <w:tc>
          <w:tcPr>
            <w:tcW w:w="0" w:type="auto"/>
          </w:tcPr>
          <w:p w14:paraId="18070BFB" w14:textId="29D53B3C" w:rsidR="004276A6" w:rsidRPr="00D604B5" w:rsidRDefault="0014078B" w:rsidP="00D604B5">
            <w:pPr>
              <w:pStyle w:val="TableBodyText"/>
              <w:rPr>
                <w:sz w:val="18"/>
                <w:szCs w:val="22"/>
              </w:rPr>
            </w:pPr>
            <w:r w:rsidRPr="00D604B5">
              <w:rPr>
                <w:sz w:val="18"/>
                <w:szCs w:val="22"/>
              </w:rPr>
              <w:t>December 2024</w:t>
            </w:r>
          </w:p>
        </w:tc>
        <w:tc>
          <w:tcPr>
            <w:tcW w:w="0" w:type="auto"/>
          </w:tcPr>
          <w:p w14:paraId="61634D8F" w14:textId="5D2CCFC9" w:rsidR="004276A6" w:rsidRPr="00D604B5" w:rsidRDefault="0014078B" w:rsidP="00D604B5">
            <w:pPr>
              <w:pStyle w:val="TableBodyText"/>
              <w:rPr>
                <w:sz w:val="18"/>
                <w:szCs w:val="22"/>
              </w:rPr>
            </w:pPr>
            <w:r w:rsidRPr="00D604B5">
              <w:rPr>
                <w:sz w:val="18"/>
                <w:szCs w:val="22"/>
              </w:rPr>
              <w:t>Change since Sep-24</w:t>
            </w:r>
          </w:p>
        </w:tc>
      </w:tr>
      <w:tr w:rsidR="00500569" w:rsidRPr="00D604B5" w14:paraId="177B7F16" w14:textId="77777777" w:rsidTr="00D604B5">
        <w:tc>
          <w:tcPr>
            <w:tcW w:w="0" w:type="auto"/>
          </w:tcPr>
          <w:p w14:paraId="4B0148A0" w14:textId="0D4170B2" w:rsidR="00500569" w:rsidRPr="00D604B5" w:rsidRDefault="00500569" w:rsidP="00D604B5">
            <w:pPr>
              <w:pStyle w:val="TableBodyText"/>
              <w:rPr>
                <w:sz w:val="18"/>
                <w:szCs w:val="22"/>
              </w:rPr>
            </w:pPr>
            <w:r w:rsidRPr="00D604B5">
              <w:rPr>
                <w:sz w:val="18"/>
                <w:szCs w:val="22"/>
              </w:rPr>
              <w:t>Employment</w:t>
            </w:r>
          </w:p>
        </w:tc>
        <w:tc>
          <w:tcPr>
            <w:tcW w:w="0" w:type="auto"/>
          </w:tcPr>
          <w:p w14:paraId="0B4C0C3A" w14:textId="49753CB4" w:rsidR="00500569" w:rsidRPr="00D604B5" w:rsidRDefault="00500569" w:rsidP="00D604B5">
            <w:pPr>
              <w:pStyle w:val="TableBodyTextright"/>
              <w:rPr>
                <w:sz w:val="18"/>
                <w:szCs w:val="22"/>
              </w:rPr>
            </w:pPr>
            <w:r w:rsidRPr="00D604B5">
              <w:rPr>
                <w:rFonts w:eastAsia="Arial"/>
                <w:sz w:val="18"/>
                <w:szCs w:val="22"/>
              </w:rPr>
              <w:t>14,584,400*</w:t>
            </w:r>
          </w:p>
        </w:tc>
        <w:tc>
          <w:tcPr>
            <w:tcW w:w="0" w:type="auto"/>
          </w:tcPr>
          <w:p w14:paraId="7F7DC856" w14:textId="218B4AB5" w:rsidR="00500569" w:rsidRPr="00D604B5" w:rsidRDefault="00500569" w:rsidP="00D604B5">
            <w:pPr>
              <w:pStyle w:val="TableBodyTextright"/>
              <w:rPr>
                <w:sz w:val="18"/>
                <w:szCs w:val="22"/>
              </w:rPr>
            </w:pPr>
            <w:r w:rsidRPr="00D604B5">
              <w:rPr>
                <w:rFonts w:eastAsia="Arial"/>
                <w:sz w:val="18"/>
                <w:szCs w:val="22"/>
              </w:rPr>
              <w:sym w:font="Wingdings" w:char="F0E1"/>
            </w:r>
            <w:r w:rsidRPr="00D604B5">
              <w:rPr>
                <w:rFonts w:eastAsia="Arial"/>
                <w:sz w:val="18"/>
                <w:szCs w:val="22"/>
              </w:rPr>
              <w:t xml:space="preserve"> 0.7%</w:t>
            </w:r>
          </w:p>
        </w:tc>
      </w:tr>
      <w:tr w:rsidR="0014078B" w:rsidRPr="00D604B5" w14:paraId="197F9509" w14:textId="77777777" w:rsidTr="00D604B5">
        <w:trPr>
          <w:cnfStyle w:val="000000010000" w:firstRow="0" w:lastRow="0" w:firstColumn="0" w:lastColumn="0" w:oddVBand="0" w:evenVBand="0" w:oddHBand="0" w:evenHBand="1" w:firstRowFirstColumn="0" w:firstRowLastColumn="0" w:lastRowFirstColumn="0" w:lastRowLastColumn="0"/>
        </w:trPr>
        <w:tc>
          <w:tcPr>
            <w:tcW w:w="0" w:type="auto"/>
          </w:tcPr>
          <w:p w14:paraId="77C71B92" w14:textId="45AC2904" w:rsidR="0014078B" w:rsidRPr="00D604B5" w:rsidRDefault="0014078B" w:rsidP="00D604B5">
            <w:pPr>
              <w:pStyle w:val="TableBodyText"/>
              <w:rPr>
                <w:sz w:val="18"/>
                <w:szCs w:val="22"/>
              </w:rPr>
            </w:pPr>
            <w:r w:rsidRPr="00D604B5">
              <w:rPr>
                <w:sz w:val="18"/>
                <w:szCs w:val="22"/>
              </w:rPr>
              <w:t>Full-time employment</w:t>
            </w:r>
          </w:p>
        </w:tc>
        <w:tc>
          <w:tcPr>
            <w:tcW w:w="0" w:type="auto"/>
          </w:tcPr>
          <w:p w14:paraId="2C79B32A" w14:textId="3FF7D6BE" w:rsidR="0014078B" w:rsidRPr="00D604B5" w:rsidRDefault="0014078B" w:rsidP="00D604B5">
            <w:pPr>
              <w:pStyle w:val="TableBodyTextright"/>
              <w:rPr>
                <w:sz w:val="18"/>
                <w:szCs w:val="22"/>
              </w:rPr>
            </w:pPr>
            <w:r w:rsidRPr="00D604B5">
              <w:rPr>
                <w:rFonts w:eastAsia="Arial"/>
                <w:sz w:val="18"/>
                <w:szCs w:val="22"/>
              </w:rPr>
              <w:t>10,037,600</w:t>
            </w:r>
          </w:p>
        </w:tc>
        <w:tc>
          <w:tcPr>
            <w:tcW w:w="0" w:type="auto"/>
          </w:tcPr>
          <w:p w14:paraId="53DB274D" w14:textId="78907E9C" w:rsidR="0014078B" w:rsidRPr="00D604B5" w:rsidRDefault="0014078B" w:rsidP="00D604B5">
            <w:pPr>
              <w:pStyle w:val="TableBodyTextright"/>
              <w:rPr>
                <w:sz w:val="18"/>
                <w:szCs w:val="22"/>
              </w:rPr>
            </w:pPr>
            <w:r w:rsidRPr="00D604B5">
              <w:rPr>
                <w:rFonts w:eastAsia="Arial"/>
                <w:sz w:val="18"/>
                <w:szCs w:val="22"/>
              </w:rPr>
              <w:sym w:font="Wingdings" w:char="F0E1"/>
            </w:r>
            <w:r w:rsidRPr="00D604B5">
              <w:rPr>
                <w:rFonts w:eastAsia="Arial"/>
                <w:sz w:val="18"/>
                <w:szCs w:val="22"/>
              </w:rPr>
              <w:t xml:space="preserve"> 0.3%</w:t>
            </w:r>
          </w:p>
        </w:tc>
      </w:tr>
      <w:tr w:rsidR="0014078B" w:rsidRPr="00D604B5" w14:paraId="2C136A23" w14:textId="77777777" w:rsidTr="00D604B5">
        <w:tc>
          <w:tcPr>
            <w:tcW w:w="0" w:type="auto"/>
          </w:tcPr>
          <w:p w14:paraId="4E852880" w14:textId="0663CF4E" w:rsidR="0014078B" w:rsidRPr="00D604B5" w:rsidRDefault="0014078B" w:rsidP="00D604B5">
            <w:pPr>
              <w:pStyle w:val="TableBodyText"/>
              <w:rPr>
                <w:sz w:val="18"/>
                <w:szCs w:val="22"/>
              </w:rPr>
            </w:pPr>
            <w:r w:rsidRPr="00D604B5">
              <w:rPr>
                <w:sz w:val="18"/>
                <w:szCs w:val="22"/>
              </w:rPr>
              <w:t>Part-time employment</w:t>
            </w:r>
          </w:p>
        </w:tc>
        <w:tc>
          <w:tcPr>
            <w:tcW w:w="0" w:type="auto"/>
          </w:tcPr>
          <w:p w14:paraId="656F931C" w14:textId="4A5DAD10" w:rsidR="0014078B" w:rsidRPr="00D604B5" w:rsidRDefault="0014078B" w:rsidP="00D604B5">
            <w:pPr>
              <w:pStyle w:val="TableBodyTextright"/>
              <w:rPr>
                <w:sz w:val="18"/>
                <w:szCs w:val="22"/>
              </w:rPr>
            </w:pPr>
            <w:r w:rsidRPr="00D604B5">
              <w:rPr>
                <w:rFonts w:eastAsia="Arial"/>
                <w:sz w:val="18"/>
                <w:szCs w:val="22"/>
              </w:rPr>
              <w:t>4,546,800*</w:t>
            </w:r>
          </w:p>
        </w:tc>
        <w:tc>
          <w:tcPr>
            <w:tcW w:w="0" w:type="auto"/>
          </w:tcPr>
          <w:p w14:paraId="046B867F" w14:textId="4658A2AD" w:rsidR="0014078B" w:rsidRPr="00D604B5" w:rsidRDefault="0014078B" w:rsidP="00D604B5">
            <w:pPr>
              <w:pStyle w:val="TableBodyTextright"/>
              <w:rPr>
                <w:sz w:val="18"/>
                <w:szCs w:val="22"/>
              </w:rPr>
            </w:pPr>
            <w:r w:rsidRPr="00D604B5">
              <w:rPr>
                <w:rFonts w:eastAsia="Arial"/>
                <w:sz w:val="18"/>
                <w:szCs w:val="22"/>
              </w:rPr>
              <w:sym w:font="Wingdings" w:char="F0E1"/>
            </w:r>
            <w:r w:rsidRPr="00D604B5">
              <w:rPr>
                <w:rFonts w:eastAsia="Arial"/>
                <w:sz w:val="18"/>
                <w:szCs w:val="22"/>
              </w:rPr>
              <w:t xml:space="preserve"> 1.4%</w:t>
            </w:r>
          </w:p>
        </w:tc>
      </w:tr>
      <w:tr w:rsidR="007B607E" w:rsidRPr="00D604B5" w14:paraId="5503DD29" w14:textId="77777777" w:rsidTr="00D604B5">
        <w:trPr>
          <w:cnfStyle w:val="000000010000" w:firstRow="0" w:lastRow="0" w:firstColumn="0" w:lastColumn="0" w:oddVBand="0" w:evenVBand="0" w:oddHBand="0" w:evenHBand="1" w:firstRowFirstColumn="0" w:firstRowLastColumn="0" w:lastRowFirstColumn="0" w:lastRowLastColumn="0"/>
        </w:trPr>
        <w:tc>
          <w:tcPr>
            <w:tcW w:w="0" w:type="auto"/>
          </w:tcPr>
          <w:p w14:paraId="62EA8054" w14:textId="3989F967" w:rsidR="007B607E" w:rsidRPr="00D604B5" w:rsidRDefault="007B607E" w:rsidP="00D604B5">
            <w:pPr>
              <w:pStyle w:val="TableBodyText"/>
              <w:rPr>
                <w:sz w:val="18"/>
                <w:szCs w:val="22"/>
              </w:rPr>
            </w:pPr>
            <w:r w:rsidRPr="00D604B5">
              <w:rPr>
                <w:sz w:val="18"/>
                <w:szCs w:val="22"/>
              </w:rPr>
              <w:t>Million hours worked</w:t>
            </w:r>
          </w:p>
        </w:tc>
        <w:tc>
          <w:tcPr>
            <w:tcW w:w="0" w:type="auto"/>
          </w:tcPr>
          <w:p w14:paraId="594A00EA" w14:textId="1CCCBDEE" w:rsidR="007B607E" w:rsidRPr="00D604B5" w:rsidRDefault="007B607E" w:rsidP="00D604B5">
            <w:pPr>
              <w:pStyle w:val="TableBodyTextright"/>
              <w:rPr>
                <w:sz w:val="18"/>
                <w:szCs w:val="22"/>
              </w:rPr>
            </w:pPr>
            <w:r w:rsidRPr="00D604B5">
              <w:rPr>
                <w:rFonts w:eastAsia="Arial"/>
                <w:sz w:val="18"/>
                <w:szCs w:val="22"/>
              </w:rPr>
              <w:t>1,976.1*</w:t>
            </w:r>
          </w:p>
        </w:tc>
        <w:tc>
          <w:tcPr>
            <w:tcW w:w="0" w:type="auto"/>
          </w:tcPr>
          <w:p w14:paraId="0711E827" w14:textId="6F7CEE12" w:rsidR="007B607E" w:rsidRPr="00D604B5" w:rsidRDefault="007B607E" w:rsidP="00D604B5">
            <w:pPr>
              <w:pStyle w:val="TableBodyTextright"/>
              <w:rPr>
                <w:sz w:val="18"/>
                <w:szCs w:val="22"/>
              </w:rPr>
            </w:pPr>
            <w:r w:rsidRPr="00D604B5">
              <w:rPr>
                <w:rFonts w:eastAsia="Arial"/>
                <w:sz w:val="18"/>
                <w:szCs w:val="22"/>
              </w:rPr>
              <w:sym w:font="Wingdings" w:char="F0E1"/>
            </w:r>
            <w:r w:rsidRPr="00D604B5">
              <w:rPr>
                <w:rFonts w:eastAsia="Arial"/>
                <w:sz w:val="18"/>
                <w:szCs w:val="22"/>
              </w:rPr>
              <w:t xml:space="preserve"> 0.6%</w:t>
            </w:r>
          </w:p>
        </w:tc>
      </w:tr>
      <w:tr w:rsidR="007B607E" w:rsidRPr="00D604B5" w14:paraId="4EFD9A54" w14:textId="77777777" w:rsidTr="00D604B5">
        <w:tc>
          <w:tcPr>
            <w:tcW w:w="0" w:type="auto"/>
          </w:tcPr>
          <w:p w14:paraId="66AA5249" w14:textId="5A90CA5E" w:rsidR="007B607E" w:rsidRPr="00D604B5" w:rsidRDefault="007B607E" w:rsidP="00D604B5">
            <w:pPr>
              <w:pStyle w:val="TableBodyText"/>
              <w:rPr>
                <w:sz w:val="18"/>
                <w:szCs w:val="22"/>
              </w:rPr>
            </w:pPr>
            <w:r w:rsidRPr="00D604B5">
              <w:rPr>
                <w:sz w:val="18"/>
                <w:szCs w:val="22"/>
              </w:rPr>
              <w:t>Underemployment rate</w:t>
            </w:r>
          </w:p>
        </w:tc>
        <w:tc>
          <w:tcPr>
            <w:tcW w:w="0" w:type="auto"/>
          </w:tcPr>
          <w:p w14:paraId="2F239901" w14:textId="45A65377" w:rsidR="007B607E" w:rsidRPr="00D604B5" w:rsidRDefault="007B607E" w:rsidP="00D604B5">
            <w:pPr>
              <w:pStyle w:val="TableBodyTextright"/>
              <w:rPr>
                <w:sz w:val="18"/>
                <w:szCs w:val="22"/>
              </w:rPr>
            </w:pPr>
            <w:r w:rsidRPr="00D604B5">
              <w:rPr>
                <w:rFonts w:eastAsia="Arial"/>
                <w:sz w:val="18"/>
                <w:szCs w:val="22"/>
              </w:rPr>
              <w:t>6.0%</w:t>
            </w:r>
          </w:p>
        </w:tc>
        <w:tc>
          <w:tcPr>
            <w:tcW w:w="0" w:type="auto"/>
          </w:tcPr>
          <w:p w14:paraId="03B19714" w14:textId="21BF33FF" w:rsidR="007B607E" w:rsidRPr="00D604B5" w:rsidRDefault="007B607E" w:rsidP="00D604B5">
            <w:pPr>
              <w:pStyle w:val="TableBodyTextright"/>
              <w:rPr>
                <w:sz w:val="18"/>
                <w:szCs w:val="22"/>
              </w:rPr>
            </w:pPr>
            <w:r w:rsidRPr="00D604B5">
              <w:rPr>
                <w:rFonts w:eastAsia="Arial"/>
                <w:sz w:val="18"/>
                <w:szCs w:val="22"/>
              </w:rPr>
              <w:sym w:font="Wingdings" w:char="F0E2"/>
            </w:r>
            <w:r w:rsidRPr="00D604B5">
              <w:rPr>
                <w:rFonts w:eastAsia="Arial"/>
                <w:sz w:val="18"/>
                <w:szCs w:val="22"/>
              </w:rPr>
              <w:t xml:space="preserve"> 0.3ppt</w:t>
            </w:r>
          </w:p>
        </w:tc>
      </w:tr>
      <w:tr w:rsidR="007B607E" w:rsidRPr="00D604B5" w14:paraId="235E84E8" w14:textId="77777777" w:rsidTr="00D604B5">
        <w:trPr>
          <w:cnfStyle w:val="000000010000" w:firstRow="0" w:lastRow="0" w:firstColumn="0" w:lastColumn="0" w:oddVBand="0" w:evenVBand="0" w:oddHBand="0" w:evenHBand="1" w:firstRowFirstColumn="0" w:firstRowLastColumn="0" w:lastRowFirstColumn="0" w:lastRowLastColumn="0"/>
        </w:trPr>
        <w:tc>
          <w:tcPr>
            <w:tcW w:w="0" w:type="auto"/>
          </w:tcPr>
          <w:p w14:paraId="79153210" w14:textId="46A7ADA7" w:rsidR="007B607E" w:rsidRPr="00D604B5" w:rsidRDefault="007B607E" w:rsidP="00D604B5">
            <w:pPr>
              <w:pStyle w:val="TableBodyText"/>
              <w:rPr>
                <w:sz w:val="18"/>
                <w:szCs w:val="22"/>
              </w:rPr>
            </w:pPr>
            <w:r w:rsidRPr="00D604B5">
              <w:rPr>
                <w:sz w:val="18"/>
                <w:szCs w:val="22"/>
              </w:rPr>
              <w:t>Unemployment rate</w:t>
            </w:r>
          </w:p>
        </w:tc>
        <w:tc>
          <w:tcPr>
            <w:tcW w:w="0" w:type="auto"/>
          </w:tcPr>
          <w:p w14:paraId="3D2E8B4B" w14:textId="13679F85" w:rsidR="007B607E" w:rsidRPr="00D604B5" w:rsidRDefault="007B607E" w:rsidP="00D604B5">
            <w:pPr>
              <w:pStyle w:val="TableBodyTextright"/>
              <w:rPr>
                <w:sz w:val="18"/>
                <w:szCs w:val="22"/>
              </w:rPr>
            </w:pPr>
            <w:r w:rsidRPr="00D604B5">
              <w:rPr>
                <w:rFonts w:eastAsia="Arial"/>
                <w:sz w:val="18"/>
                <w:szCs w:val="22"/>
              </w:rPr>
              <w:t>4.0%</w:t>
            </w:r>
          </w:p>
        </w:tc>
        <w:tc>
          <w:tcPr>
            <w:tcW w:w="0" w:type="auto"/>
          </w:tcPr>
          <w:p w14:paraId="3DA2A346" w14:textId="544242ED" w:rsidR="007B607E" w:rsidRPr="00D604B5" w:rsidRDefault="007B607E" w:rsidP="00D604B5">
            <w:pPr>
              <w:pStyle w:val="TableBodyTextright"/>
              <w:rPr>
                <w:sz w:val="18"/>
                <w:szCs w:val="22"/>
              </w:rPr>
            </w:pPr>
            <w:r w:rsidRPr="00D604B5">
              <w:rPr>
                <w:rFonts w:eastAsia="Arial"/>
                <w:sz w:val="18"/>
                <w:szCs w:val="22"/>
              </w:rPr>
              <w:sym w:font="Wingdings" w:char="F0E2"/>
            </w:r>
            <w:r w:rsidRPr="00D604B5">
              <w:rPr>
                <w:rFonts w:eastAsia="Arial"/>
                <w:sz w:val="18"/>
                <w:szCs w:val="22"/>
              </w:rPr>
              <w:t xml:space="preserve"> 0.1ppt</w:t>
            </w:r>
          </w:p>
        </w:tc>
      </w:tr>
      <w:tr w:rsidR="007B607E" w:rsidRPr="00D604B5" w14:paraId="1FEFD7C6" w14:textId="77777777" w:rsidTr="00D604B5">
        <w:tc>
          <w:tcPr>
            <w:tcW w:w="0" w:type="auto"/>
          </w:tcPr>
          <w:p w14:paraId="76697408" w14:textId="7114C9AB" w:rsidR="007B607E" w:rsidRPr="00D604B5" w:rsidRDefault="007B607E" w:rsidP="00D604B5">
            <w:pPr>
              <w:pStyle w:val="TableBodyText"/>
              <w:rPr>
                <w:sz w:val="18"/>
                <w:szCs w:val="22"/>
              </w:rPr>
            </w:pPr>
            <w:r w:rsidRPr="00D604B5">
              <w:rPr>
                <w:sz w:val="18"/>
                <w:szCs w:val="22"/>
              </w:rPr>
              <w:t>Participation rate</w:t>
            </w:r>
          </w:p>
        </w:tc>
        <w:tc>
          <w:tcPr>
            <w:tcW w:w="0" w:type="auto"/>
          </w:tcPr>
          <w:p w14:paraId="469559BB" w14:textId="7788DF27" w:rsidR="007B607E" w:rsidRPr="00D604B5" w:rsidRDefault="007B607E" w:rsidP="00D604B5">
            <w:pPr>
              <w:pStyle w:val="TableBodyTextright"/>
              <w:rPr>
                <w:sz w:val="18"/>
                <w:szCs w:val="22"/>
              </w:rPr>
            </w:pPr>
            <w:r w:rsidRPr="00D604B5">
              <w:rPr>
                <w:rFonts w:eastAsia="Arial"/>
                <w:sz w:val="18"/>
                <w:szCs w:val="22"/>
              </w:rPr>
              <w:t>67.1%**</w:t>
            </w:r>
          </w:p>
        </w:tc>
        <w:tc>
          <w:tcPr>
            <w:tcW w:w="0" w:type="auto"/>
          </w:tcPr>
          <w:p w14:paraId="6AA03A77" w14:textId="2FB43205" w:rsidR="007B607E" w:rsidRPr="00D604B5" w:rsidRDefault="007B607E" w:rsidP="00D604B5">
            <w:pPr>
              <w:pStyle w:val="TableBodyTextright"/>
              <w:rPr>
                <w:sz w:val="18"/>
                <w:szCs w:val="22"/>
              </w:rPr>
            </w:pPr>
            <w:r w:rsidRPr="00D604B5">
              <w:rPr>
                <w:rFonts w:eastAsia="Arial"/>
                <w:sz w:val="18"/>
                <w:szCs w:val="22"/>
              </w:rPr>
              <w:t>0.0ppt</w:t>
            </w:r>
          </w:p>
        </w:tc>
      </w:tr>
    </w:tbl>
    <w:p w14:paraId="3FFAEF00" w14:textId="0700A5AB" w:rsidR="00F81633" w:rsidRPr="00F81633" w:rsidRDefault="00F81633" w:rsidP="00F81633">
      <w:pPr>
        <w:pStyle w:val="Source"/>
        <w:rPr>
          <w:rFonts w:eastAsia="Arial"/>
        </w:rPr>
      </w:pPr>
      <w:r w:rsidRPr="00F81633">
        <w:rPr>
          <w:rFonts w:eastAsia="Arial"/>
        </w:rPr>
        <w:t xml:space="preserve">Source: Australian Bureau of Statistics (ABS), Labour Force, Australia, </w:t>
      </w:r>
      <w:r w:rsidR="0021737D">
        <w:rPr>
          <w:rFonts w:eastAsia="Arial"/>
        </w:rPr>
        <w:br/>
      </w:r>
      <w:r w:rsidRPr="00F81633">
        <w:rPr>
          <w:rFonts w:eastAsia="Arial"/>
        </w:rPr>
        <w:t>December 2024, seasonally adjusted data. *Record high.</w:t>
      </w:r>
      <w:r w:rsidR="00522770">
        <w:rPr>
          <w:rFonts w:eastAsia="Arial"/>
        </w:rPr>
        <w:br/>
      </w:r>
      <w:r w:rsidRPr="00F81633">
        <w:rPr>
          <w:rFonts w:eastAsia="Arial"/>
        </w:rPr>
        <w:t>**Equal record high.</w:t>
      </w:r>
    </w:p>
    <w:bookmarkEnd w:id="7"/>
    <w:bookmarkEnd w:id="9"/>
    <w:bookmarkEnd w:id="10"/>
    <w:bookmarkEnd w:id="11"/>
    <w:p w14:paraId="21929868" w14:textId="6EEC358F" w:rsidR="00BF7DDD" w:rsidRDefault="00C13C84" w:rsidP="00BF7DDD">
      <w:pPr>
        <w:pStyle w:val="BodyText"/>
      </w:pPr>
      <w:r>
        <w:t>On a</w:t>
      </w:r>
      <w:r w:rsidR="00D26CA7">
        <w:t>nnual</w:t>
      </w:r>
      <w:r>
        <w:t xml:space="preserve"> results</w:t>
      </w:r>
      <w:r w:rsidR="00D26CA7">
        <w:t>, e</w:t>
      </w:r>
      <w:r w:rsidR="00BF7DDD" w:rsidRPr="00BF7DDD">
        <w:t xml:space="preserve">mployment rose by 444,400 (3.1%) over the </w:t>
      </w:r>
      <w:r w:rsidR="00E723EE">
        <w:t xml:space="preserve">12 months </w:t>
      </w:r>
      <w:r w:rsidR="00BF7DDD" w:rsidRPr="00BF7DDD">
        <w:t>to December 2024 and remained above the decade average annual growth rate of 2.3%. Th</w:t>
      </w:r>
      <w:r w:rsidR="005A4DCA">
        <w:t>is</w:t>
      </w:r>
      <w:r w:rsidR="00BF7DDD" w:rsidRPr="00BF7DDD">
        <w:t xml:space="preserve"> growth was still lower than the peak of 7.3% in </w:t>
      </w:r>
      <w:r w:rsidR="001A6CE7">
        <w:t xml:space="preserve">the year to </w:t>
      </w:r>
      <w:r w:rsidR="00BF7DDD" w:rsidRPr="00BF7DDD">
        <w:t>October 2022. The current annual pace of employment growth was also above the 2.4% annual growth rate in the civilian population aged 15 years and over (Figure 1).</w:t>
      </w:r>
    </w:p>
    <w:p w14:paraId="703CF796" w14:textId="1099C07E" w:rsidR="003C00C4" w:rsidRDefault="003F4BD9" w:rsidP="003C00C4">
      <w:pPr>
        <w:pStyle w:val="Caption"/>
      </w:pPr>
      <w:r>
        <w:t xml:space="preserve">Figure </w:t>
      </w:r>
      <w:r>
        <w:fldChar w:fldCharType="begin"/>
      </w:r>
      <w:r>
        <w:instrText xml:space="preserve"> SEQ Figure \* ARABIC </w:instrText>
      </w:r>
      <w:r>
        <w:fldChar w:fldCharType="separate"/>
      </w:r>
      <w:r w:rsidR="004B52FB">
        <w:rPr>
          <w:noProof/>
        </w:rPr>
        <w:t>1</w:t>
      </w:r>
      <w:r>
        <w:fldChar w:fldCharType="end"/>
      </w:r>
      <w:r w:rsidR="00F81633" w:rsidRPr="00F81633">
        <w:t xml:space="preserve">: </w:t>
      </w:r>
      <w:r w:rsidR="003C00C4" w:rsidRPr="003C00C4">
        <w:t>Annual change in the civilian population and employment, 2014 to 2024</w:t>
      </w:r>
    </w:p>
    <w:p w14:paraId="067CC169" w14:textId="7396836E" w:rsidR="00F81633" w:rsidRPr="00F81633" w:rsidRDefault="00F81633" w:rsidP="003C00C4">
      <w:pPr>
        <w:pStyle w:val="Source"/>
        <w:rPr>
          <w:rFonts w:eastAsia="Arial"/>
        </w:rPr>
      </w:pPr>
      <w:r w:rsidRPr="00F81633">
        <w:rPr>
          <w:noProof/>
        </w:rPr>
        <w:drawing>
          <wp:inline distT="0" distB="0" distL="0" distR="0" wp14:anchorId="53CF6B7D" wp14:editId="44AE589C">
            <wp:extent cx="5731200" cy="2764800"/>
            <wp:effectExtent l="0" t="0" r="3175" b="0"/>
            <wp:docPr id="1804124235" name="Chart 1">
              <a:extLst xmlns:a="http://schemas.openxmlformats.org/drawingml/2006/main">
                <a:ext uri="{FF2B5EF4-FFF2-40B4-BE49-F238E27FC236}">
                  <a16:creationId xmlns:a16="http://schemas.microsoft.com/office/drawing/2014/main" id="{20F676CF-301E-49E3-AF89-41BCEB11D0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F81633">
        <w:rPr>
          <w:rFonts w:eastAsia="Arial"/>
        </w:rPr>
        <w:t>Source: ABS, Labour Force, Australia, December 2024, seasonally adjusted data for employment growth and original data for civilian population growth.</w:t>
      </w:r>
    </w:p>
    <w:p w14:paraId="7DFE2027" w14:textId="3800A8EA" w:rsidR="003026FC" w:rsidRPr="003026FC" w:rsidRDefault="003026FC" w:rsidP="003026FC">
      <w:pPr>
        <w:pStyle w:val="BodyText"/>
      </w:pPr>
      <w:r w:rsidRPr="003026FC">
        <w:t>The majority (64.9%) of the employment growth in the quarter was due to high growth in part-time employment of 63,000 (1.4%)</w:t>
      </w:r>
      <w:r w:rsidR="00A97B22">
        <w:t>.</w:t>
      </w:r>
      <w:r w:rsidR="00E5180D">
        <w:t xml:space="preserve"> F</w:t>
      </w:r>
      <w:r w:rsidRPr="003026FC">
        <w:t>ull-time employment</w:t>
      </w:r>
      <w:r w:rsidR="001F242B">
        <w:t xml:space="preserve"> growth</w:t>
      </w:r>
      <w:r w:rsidR="00E5180D">
        <w:t>, however,</w:t>
      </w:r>
      <w:r w:rsidRPr="003026FC">
        <w:t xml:space="preserve"> </w:t>
      </w:r>
      <w:r w:rsidR="00001E29">
        <w:t xml:space="preserve">was much </w:t>
      </w:r>
      <w:r w:rsidR="00001E29">
        <w:lastRenderedPageBreak/>
        <w:t xml:space="preserve">lower and </w:t>
      </w:r>
      <w:r w:rsidRPr="003026FC">
        <w:t>increased by 34,000 (0.3%). Over the year</w:t>
      </w:r>
      <w:r w:rsidR="00001E29">
        <w:t xml:space="preserve"> to </w:t>
      </w:r>
      <w:r w:rsidR="005545C8">
        <w:t>December 2024</w:t>
      </w:r>
      <w:r w:rsidR="00001E29">
        <w:t xml:space="preserve">, </w:t>
      </w:r>
      <w:r w:rsidRPr="003026FC">
        <w:t xml:space="preserve">full-time employment growth </w:t>
      </w:r>
      <w:r w:rsidR="00001E29">
        <w:t xml:space="preserve">still </w:t>
      </w:r>
      <w:r w:rsidRPr="003026FC">
        <w:t>comprised a large share of total employment growth at 67.3%.</w:t>
      </w:r>
    </w:p>
    <w:p w14:paraId="05E7F7BF" w14:textId="6B180038" w:rsidR="003026FC" w:rsidRPr="003026FC" w:rsidRDefault="003026FC" w:rsidP="003026FC">
      <w:pPr>
        <w:pStyle w:val="BodyText"/>
      </w:pPr>
      <w:r w:rsidRPr="003026FC">
        <w:t xml:space="preserve">Aggregate hours worked increased by 12.3 million hours (0.6%) </w:t>
      </w:r>
      <w:r w:rsidR="00927DE1">
        <w:t xml:space="preserve">during </w:t>
      </w:r>
      <w:r w:rsidRPr="003026FC">
        <w:t>the quarter and by 61.1 million hours (3.2%) over the year</w:t>
      </w:r>
      <w:r w:rsidR="00523EBD">
        <w:t xml:space="preserve"> to the current quarter</w:t>
      </w:r>
      <w:r w:rsidRPr="003026FC">
        <w:t xml:space="preserve">. This was up from the recent trough </w:t>
      </w:r>
      <w:r w:rsidR="00F62D6B">
        <w:t xml:space="preserve">recorded </w:t>
      </w:r>
      <w:r w:rsidRPr="003026FC">
        <w:t xml:space="preserve">in </w:t>
      </w:r>
      <w:r w:rsidR="00874C59">
        <w:t xml:space="preserve">year to </w:t>
      </w:r>
      <w:r w:rsidRPr="003026FC">
        <w:t>April 2024 (when hours declined by 1.5% over the year) and just above the current pace of annual employment growth (3.1%) (Figure 2).</w:t>
      </w:r>
    </w:p>
    <w:p w14:paraId="27AE097F" w14:textId="31145065" w:rsidR="00FE18D3" w:rsidRPr="00FE18D3" w:rsidRDefault="003F4BD9" w:rsidP="003026FC">
      <w:pPr>
        <w:pStyle w:val="Caption"/>
      </w:pPr>
      <w:r>
        <w:t xml:space="preserve">Figure </w:t>
      </w:r>
      <w:r>
        <w:fldChar w:fldCharType="begin"/>
      </w:r>
      <w:r>
        <w:instrText xml:space="preserve"> SEQ Figure \* ARABIC </w:instrText>
      </w:r>
      <w:r>
        <w:fldChar w:fldCharType="separate"/>
      </w:r>
      <w:r w:rsidR="004B52FB">
        <w:rPr>
          <w:noProof/>
        </w:rPr>
        <w:t>2</w:t>
      </w:r>
      <w:r>
        <w:fldChar w:fldCharType="end"/>
      </w:r>
      <w:r w:rsidR="00FE18D3" w:rsidRPr="00FE18D3">
        <w:t>: Annual change in employment and aggregate hours worked, 2019 to 2024</w:t>
      </w:r>
    </w:p>
    <w:p w14:paraId="5AAF19A3" w14:textId="05AF0E22" w:rsidR="00FE18D3" w:rsidRPr="00FE18D3" w:rsidRDefault="00683A94" w:rsidP="00FE18D3">
      <w:pPr>
        <w:pStyle w:val="Source"/>
        <w:rPr>
          <w:rFonts w:eastAsiaTheme="majorEastAsia"/>
        </w:rPr>
      </w:pPr>
      <w:r w:rsidRPr="00683A94">
        <w:rPr>
          <w:noProof/>
          <w:lang w:eastAsia="en-US"/>
        </w:rPr>
        <w:drawing>
          <wp:inline distT="0" distB="0" distL="0" distR="0" wp14:anchorId="2849DA68" wp14:editId="344C987B">
            <wp:extent cx="5731510" cy="2762885"/>
            <wp:effectExtent l="0" t="0" r="2540" b="0"/>
            <wp:docPr id="1770512812" name="Chart 1">
              <a:extLst xmlns:a="http://schemas.openxmlformats.org/drawingml/2006/main">
                <a:ext uri="{FF2B5EF4-FFF2-40B4-BE49-F238E27FC236}">
                  <a16:creationId xmlns:a16="http://schemas.microsoft.com/office/drawing/2014/main" id="{33682809-35EE-62BF-BBDE-72EF3BB94D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683A94">
        <w:rPr>
          <w:rFonts w:eastAsia="Arial"/>
          <w:lang w:eastAsia="en-US"/>
        </w:rPr>
        <w:br/>
      </w:r>
      <w:r w:rsidR="00FE18D3" w:rsidRPr="00FE18D3">
        <w:rPr>
          <w:rFonts w:eastAsia="Arial"/>
        </w:rPr>
        <w:t>Source: ABS, Labour Force, Australia, December 2024, seasonally adjusted data.</w:t>
      </w:r>
    </w:p>
    <w:p w14:paraId="187411AE" w14:textId="12CD4F0B" w:rsidR="00130090" w:rsidRPr="00130090" w:rsidRDefault="00130090" w:rsidP="00130090">
      <w:pPr>
        <w:pStyle w:val="BodyText"/>
      </w:pPr>
      <w:bookmarkStart w:id="13" w:name="_Toc151365186"/>
      <w:bookmarkStart w:id="14" w:name="_Toc166140504"/>
      <w:bookmarkStart w:id="15" w:name="_Toc189205682"/>
      <w:r w:rsidRPr="00130090">
        <w:t>The unemployment rate decreased by 0.1 percentage points to 4.0% in December quarter 2024, while the participation rate</w:t>
      </w:r>
      <w:r w:rsidR="000B6B4C">
        <w:t xml:space="preserve"> </w:t>
      </w:r>
      <w:r w:rsidR="000B6B4C" w:rsidRPr="00130090">
        <w:t>at 67.1%</w:t>
      </w:r>
      <w:r w:rsidRPr="00130090">
        <w:t xml:space="preserve"> remained around the high. </w:t>
      </w:r>
    </w:p>
    <w:p w14:paraId="4D830AC5" w14:textId="355CA474" w:rsidR="00130090" w:rsidRPr="00130090" w:rsidRDefault="00130090" w:rsidP="00130090">
      <w:pPr>
        <w:pStyle w:val="BodyText"/>
      </w:pPr>
      <w:r w:rsidRPr="00130090">
        <w:t>Labour market conditions for young people softened slightly over the quarter. The number of 15–24-year-olds in employment declined by 4,500 (0.2%). The fall in youth employment over the period was driven by a decrease in full-time employment (down 21,900 or 2.4%).</w:t>
      </w:r>
    </w:p>
    <w:p w14:paraId="3741145D" w14:textId="5BD7242D" w:rsidR="00130090" w:rsidRPr="00130090" w:rsidRDefault="00130090" w:rsidP="00130090">
      <w:pPr>
        <w:pStyle w:val="BodyText"/>
      </w:pPr>
      <w:r w:rsidRPr="00130090">
        <w:t>The youth unemployment rate, at 9.1%, was steady over the quarter, while the participation rate fell by 0.1 percentage points to 70.3%.</w:t>
      </w:r>
    </w:p>
    <w:p w14:paraId="0F915706" w14:textId="53DBD877" w:rsidR="00130090" w:rsidRDefault="00130090" w:rsidP="00130090">
      <w:pPr>
        <w:pStyle w:val="BodyText"/>
      </w:pPr>
      <w:r w:rsidRPr="00130090">
        <w:t xml:space="preserve">Reflecting the signs of softening labour market conditions, the number of long-term unemployed people increased by 4,600 (3.5%) </w:t>
      </w:r>
      <w:r w:rsidR="000E6B0B">
        <w:t xml:space="preserve">in </w:t>
      </w:r>
      <w:r w:rsidRPr="00130090">
        <w:t>the quarter and by 29,200 (27.3%) over the year.</w:t>
      </w:r>
    </w:p>
    <w:p w14:paraId="12F41D2E" w14:textId="12735758" w:rsidR="00FE18D3" w:rsidRPr="00FE18D3" w:rsidRDefault="00FE18D3" w:rsidP="00130090">
      <w:pPr>
        <w:pStyle w:val="Heading2"/>
      </w:pPr>
      <w:bookmarkStart w:id="16" w:name="_Toc189836956"/>
      <w:r w:rsidRPr="00FE18D3">
        <w:t xml:space="preserve">Labour market conditions varied across </w:t>
      </w:r>
      <w:bookmarkEnd w:id="13"/>
      <w:bookmarkEnd w:id="14"/>
      <w:bookmarkEnd w:id="15"/>
      <w:r w:rsidR="002C3508" w:rsidRPr="002C3508">
        <w:t>jurisdictions</w:t>
      </w:r>
      <w:bookmarkEnd w:id="16"/>
    </w:p>
    <w:p w14:paraId="6D897CE8" w14:textId="6E7A0B5B" w:rsidR="008C2CF3" w:rsidRPr="008C2CF3" w:rsidRDefault="008C2CF3" w:rsidP="008C2CF3">
      <w:pPr>
        <w:pStyle w:val="BodyText"/>
      </w:pPr>
      <w:r w:rsidRPr="008C2CF3">
        <w:t xml:space="preserve">Employment rose in 6 of 8 states or territories (states) </w:t>
      </w:r>
      <w:r w:rsidR="00B84E2A">
        <w:t xml:space="preserve">during </w:t>
      </w:r>
      <w:r w:rsidRPr="008C2CF3">
        <w:t>the December quarter 2024. By employment level, the largest increase was recorded in Queensland, up by 45,200 (1.5%), followed by New South Wales, up by 41,900 (0.9%)</w:t>
      </w:r>
      <w:r w:rsidR="00026C42">
        <w:t>,</w:t>
      </w:r>
      <w:r w:rsidRPr="008C2CF3">
        <w:t xml:space="preserve"> and Western Australia, up by 24,200 (1.5%) (Table 2).</w:t>
      </w:r>
    </w:p>
    <w:p w14:paraId="4E89C698" w14:textId="71A05BD9" w:rsidR="008C2CF3" w:rsidRPr="008C2CF3" w:rsidRDefault="008C2CF3" w:rsidP="008C2CF3">
      <w:pPr>
        <w:pStyle w:val="BodyText"/>
      </w:pPr>
      <w:r w:rsidRPr="008C2CF3">
        <w:t xml:space="preserve">Four </w:t>
      </w:r>
      <w:r w:rsidR="00013D0A">
        <w:t xml:space="preserve">states </w:t>
      </w:r>
      <w:r w:rsidRPr="008C2CF3">
        <w:t xml:space="preserve">recorded unemployment rates below 4.0% in December 2024. The Australian Capital Territory recorded the lowest rate (3.1%), while Victoria had the highest unemployment rate </w:t>
      </w:r>
      <w:r w:rsidR="0037625E">
        <w:t>(</w:t>
      </w:r>
      <w:r w:rsidRPr="008C2CF3">
        <w:t>4.4%</w:t>
      </w:r>
      <w:r w:rsidR="0037625E">
        <w:t>)</w:t>
      </w:r>
      <w:r w:rsidRPr="008C2CF3">
        <w:t>.</w:t>
      </w:r>
    </w:p>
    <w:p w14:paraId="3B0BBE8B" w14:textId="111C34E7" w:rsidR="00085CAA" w:rsidRDefault="008C2CF3" w:rsidP="008C2CF3">
      <w:pPr>
        <w:pStyle w:val="BodyText"/>
      </w:pPr>
      <w:r w:rsidRPr="008C2CF3">
        <w:t>In December 2024, the Northern Territory recorded the highest participation rate of any jurisdiction (72.2%) while Tasmania had the lowest rate (60.3%).</w:t>
      </w:r>
    </w:p>
    <w:p w14:paraId="02263972" w14:textId="77777777" w:rsidR="00085CAA" w:rsidRDefault="00085CAA">
      <w:pPr>
        <w:spacing w:before="0" w:after="200" w:line="276" w:lineRule="auto"/>
      </w:pPr>
      <w:r>
        <w:br w:type="page"/>
      </w:r>
    </w:p>
    <w:p w14:paraId="07318085" w14:textId="77777777" w:rsidR="00FE18D3" w:rsidRDefault="00FE18D3" w:rsidP="008C2CF3">
      <w:pPr>
        <w:pStyle w:val="BodyText"/>
      </w:pPr>
    </w:p>
    <w:p w14:paraId="2499DB6E" w14:textId="29041C95" w:rsidR="00B04777" w:rsidRDefault="0061776C" w:rsidP="00B37102">
      <w:pPr>
        <w:pStyle w:val="Caption"/>
      </w:pPr>
      <w:r>
        <w:t xml:space="preserve">Table </w:t>
      </w:r>
      <w:r>
        <w:fldChar w:fldCharType="begin"/>
      </w:r>
      <w:r>
        <w:instrText xml:space="preserve"> SEQ Table \* ARABIC </w:instrText>
      </w:r>
      <w:r>
        <w:fldChar w:fldCharType="separate"/>
      </w:r>
      <w:r w:rsidR="004B52FB">
        <w:rPr>
          <w:noProof/>
        </w:rPr>
        <w:t>2</w:t>
      </w:r>
      <w:r>
        <w:fldChar w:fldCharType="end"/>
      </w:r>
      <w:r w:rsidR="00FE18D3" w:rsidRPr="00FE18D3">
        <w:t>: Key labour market indicators, state and territory, December 2024</w:t>
      </w:r>
    </w:p>
    <w:tbl>
      <w:tblPr>
        <w:tblStyle w:val="CustomTablebasic"/>
        <w:tblW w:w="9027" w:type="dxa"/>
        <w:tblLayout w:type="fixed"/>
        <w:tblLook w:val="04A0" w:firstRow="1" w:lastRow="0" w:firstColumn="1" w:lastColumn="0" w:noHBand="0" w:noVBand="1"/>
      </w:tblPr>
      <w:tblGrid>
        <w:gridCol w:w="1418"/>
        <w:gridCol w:w="992"/>
        <w:gridCol w:w="767"/>
        <w:gridCol w:w="882"/>
        <w:gridCol w:w="1135"/>
        <w:gridCol w:w="1348"/>
        <w:gridCol w:w="1137"/>
        <w:gridCol w:w="1348"/>
      </w:tblGrid>
      <w:tr w:rsidR="00CB346C" w:rsidRPr="006B493D" w14:paraId="45C253A5" w14:textId="77777777" w:rsidTr="00A919DA">
        <w:trPr>
          <w:cnfStyle w:val="100000000000" w:firstRow="1" w:lastRow="0" w:firstColumn="0" w:lastColumn="0" w:oddVBand="0" w:evenVBand="0" w:oddHBand="0" w:evenHBand="0" w:firstRowFirstColumn="0" w:firstRowLastColumn="0" w:lastRowFirstColumn="0" w:lastRowLastColumn="0"/>
          <w:trHeight w:val="285"/>
        </w:trPr>
        <w:tc>
          <w:tcPr>
            <w:tcW w:w="1418" w:type="dxa"/>
          </w:tcPr>
          <w:p w14:paraId="0C8C0AFA" w14:textId="77777777" w:rsidR="00CB346C" w:rsidRPr="006B493D" w:rsidRDefault="00CB346C" w:rsidP="00C93A37">
            <w:pPr>
              <w:pStyle w:val="TableHeading1"/>
              <w:rPr>
                <w:sz w:val="18"/>
                <w:szCs w:val="18"/>
              </w:rPr>
            </w:pPr>
          </w:p>
        </w:tc>
        <w:tc>
          <w:tcPr>
            <w:tcW w:w="2641" w:type="dxa"/>
            <w:gridSpan w:val="3"/>
            <w:tcBorders>
              <w:right w:val="nil"/>
            </w:tcBorders>
          </w:tcPr>
          <w:p w14:paraId="0EC158A6" w14:textId="3BFCDDA4" w:rsidR="00CB346C" w:rsidRPr="006B493D" w:rsidRDefault="00CB346C" w:rsidP="00576B12">
            <w:pPr>
              <w:pStyle w:val="TableHeading1"/>
              <w:jc w:val="center"/>
              <w:rPr>
                <w:sz w:val="18"/>
                <w:szCs w:val="18"/>
              </w:rPr>
            </w:pPr>
            <w:r w:rsidRPr="006B493D">
              <w:rPr>
                <w:rStyle w:val="Characterbold"/>
                <w:sz w:val="18"/>
                <w:szCs w:val="18"/>
              </w:rPr>
              <w:t>Employment</w:t>
            </w:r>
          </w:p>
        </w:tc>
        <w:tc>
          <w:tcPr>
            <w:tcW w:w="2483" w:type="dxa"/>
            <w:gridSpan w:val="2"/>
            <w:tcBorders>
              <w:left w:val="nil"/>
              <w:right w:val="nil"/>
            </w:tcBorders>
          </w:tcPr>
          <w:p w14:paraId="0A23C9E8" w14:textId="307EEE52" w:rsidR="00CB346C" w:rsidRPr="006B493D" w:rsidRDefault="00CB346C" w:rsidP="00576B12">
            <w:pPr>
              <w:pStyle w:val="TableHeading1"/>
              <w:jc w:val="center"/>
              <w:rPr>
                <w:sz w:val="18"/>
                <w:szCs w:val="18"/>
              </w:rPr>
            </w:pPr>
            <w:r w:rsidRPr="006B493D">
              <w:rPr>
                <w:rStyle w:val="Characterbold"/>
                <w:sz w:val="18"/>
                <w:szCs w:val="18"/>
              </w:rPr>
              <w:t>Unemployment rate</w:t>
            </w:r>
          </w:p>
        </w:tc>
        <w:tc>
          <w:tcPr>
            <w:tcW w:w="2485" w:type="dxa"/>
            <w:gridSpan w:val="2"/>
            <w:tcBorders>
              <w:left w:val="nil"/>
            </w:tcBorders>
          </w:tcPr>
          <w:p w14:paraId="5EE657C7" w14:textId="5ABC60C5" w:rsidR="00CB346C" w:rsidRPr="006B493D" w:rsidRDefault="00CB346C" w:rsidP="00576B12">
            <w:pPr>
              <w:pStyle w:val="TableHeading1"/>
              <w:jc w:val="center"/>
              <w:rPr>
                <w:sz w:val="18"/>
                <w:szCs w:val="18"/>
              </w:rPr>
            </w:pPr>
            <w:r w:rsidRPr="006B493D">
              <w:rPr>
                <w:rStyle w:val="Characterbold"/>
                <w:sz w:val="18"/>
                <w:szCs w:val="18"/>
              </w:rPr>
              <w:t>Participation rate</w:t>
            </w:r>
          </w:p>
        </w:tc>
      </w:tr>
      <w:tr w:rsidR="00CB346C" w:rsidRPr="006B493D" w14:paraId="7170F9AD" w14:textId="77777777" w:rsidTr="00CC66D2">
        <w:trPr>
          <w:trHeight w:val="285"/>
        </w:trPr>
        <w:tc>
          <w:tcPr>
            <w:tcW w:w="1418" w:type="dxa"/>
            <w:shd w:val="clear" w:color="auto" w:fill="2F005F"/>
          </w:tcPr>
          <w:p w14:paraId="28976D41" w14:textId="77F4B14C" w:rsidR="00CB346C" w:rsidRPr="006B493D" w:rsidRDefault="00CB346C" w:rsidP="00B70C2F">
            <w:pPr>
              <w:pStyle w:val="TableHeading1"/>
              <w:rPr>
                <w:sz w:val="18"/>
                <w:szCs w:val="18"/>
              </w:rPr>
            </w:pPr>
          </w:p>
        </w:tc>
        <w:tc>
          <w:tcPr>
            <w:tcW w:w="992" w:type="dxa"/>
            <w:shd w:val="clear" w:color="auto" w:fill="2F005F"/>
          </w:tcPr>
          <w:p w14:paraId="54471182" w14:textId="14C2B9CC" w:rsidR="00CB346C" w:rsidRPr="0095514B" w:rsidRDefault="00CB346C" w:rsidP="00C97A82">
            <w:pPr>
              <w:pStyle w:val="TableHeading1centre"/>
              <w:rPr>
                <w:sz w:val="18"/>
                <w:szCs w:val="22"/>
              </w:rPr>
            </w:pPr>
            <w:r w:rsidRPr="0095514B">
              <w:rPr>
                <w:sz w:val="18"/>
                <w:szCs w:val="22"/>
              </w:rPr>
              <w:t>Dec-24</w:t>
            </w:r>
          </w:p>
        </w:tc>
        <w:tc>
          <w:tcPr>
            <w:tcW w:w="1649" w:type="dxa"/>
            <w:gridSpan w:val="2"/>
            <w:tcBorders>
              <w:right w:val="single" w:sz="4" w:space="0" w:color="FFFFFF" w:themeColor="background1"/>
            </w:tcBorders>
            <w:shd w:val="clear" w:color="auto" w:fill="2F005F"/>
          </w:tcPr>
          <w:p w14:paraId="1372671C" w14:textId="751BDC7B" w:rsidR="00CB346C" w:rsidRPr="0095514B" w:rsidRDefault="00CB346C" w:rsidP="00C97A82">
            <w:pPr>
              <w:pStyle w:val="TableHeading1centre"/>
              <w:rPr>
                <w:sz w:val="18"/>
                <w:szCs w:val="22"/>
              </w:rPr>
            </w:pPr>
            <w:r w:rsidRPr="0095514B">
              <w:rPr>
                <w:sz w:val="18"/>
                <w:szCs w:val="22"/>
              </w:rPr>
              <w:t>Change since</w:t>
            </w:r>
            <w:r w:rsidRPr="0095514B">
              <w:rPr>
                <w:sz w:val="18"/>
                <w:szCs w:val="22"/>
              </w:rPr>
              <w:br/>
              <w:t>Sep-24</w:t>
            </w:r>
          </w:p>
        </w:tc>
        <w:tc>
          <w:tcPr>
            <w:tcW w:w="1135" w:type="dxa"/>
            <w:tcBorders>
              <w:left w:val="single" w:sz="4" w:space="0" w:color="FFFFFF" w:themeColor="background1"/>
              <w:bottom w:val="nil"/>
            </w:tcBorders>
            <w:shd w:val="clear" w:color="auto" w:fill="2F005F"/>
          </w:tcPr>
          <w:p w14:paraId="26EA6A20" w14:textId="594FAD12" w:rsidR="00CB346C" w:rsidRPr="0095514B" w:rsidRDefault="00CB346C" w:rsidP="00C97A82">
            <w:pPr>
              <w:pStyle w:val="TableHeading1centre"/>
              <w:rPr>
                <w:sz w:val="18"/>
                <w:szCs w:val="22"/>
              </w:rPr>
            </w:pPr>
            <w:r w:rsidRPr="0095514B">
              <w:rPr>
                <w:sz w:val="18"/>
                <w:szCs w:val="22"/>
              </w:rPr>
              <w:t>Dec-24</w:t>
            </w:r>
          </w:p>
        </w:tc>
        <w:tc>
          <w:tcPr>
            <w:tcW w:w="1348" w:type="dxa"/>
            <w:tcBorders>
              <w:bottom w:val="nil"/>
              <w:right w:val="single" w:sz="4" w:space="0" w:color="FFFFFF" w:themeColor="background1"/>
            </w:tcBorders>
            <w:shd w:val="clear" w:color="auto" w:fill="2F005F"/>
          </w:tcPr>
          <w:p w14:paraId="09F61602" w14:textId="6A4CA801" w:rsidR="00CB346C" w:rsidRPr="0095514B" w:rsidRDefault="00CB346C" w:rsidP="0095514B">
            <w:pPr>
              <w:pStyle w:val="TableHeading1centre"/>
              <w:rPr>
                <w:sz w:val="18"/>
                <w:szCs w:val="22"/>
              </w:rPr>
            </w:pPr>
            <w:r w:rsidRPr="0095514B">
              <w:rPr>
                <w:sz w:val="18"/>
                <w:szCs w:val="22"/>
              </w:rPr>
              <w:t>Change since</w:t>
            </w:r>
            <w:r w:rsidRPr="0095514B">
              <w:rPr>
                <w:sz w:val="18"/>
                <w:szCs w:val="22"/>
              </w:rPr>
              <w:br/>
              <w:t>Sep-24</w:t>
            </w:r>
          </w:p>
        </w:tc>
        <w:tc>
          <w:tcPr>
            <w:tcW w:w="1137" w:type="dxa"/>
            <w:tcBorders>
              <w:left w:val="single" w:sz="4" w:space="0" w:color="FFFFFF" w:themeColor="background1"/>
              <w:bottom w:val="nil"/>
            </w:tcBorders>
            <w:shd w:val="clear" w:color="auto" w:fill="2F005F"/>
          </w:tcPr>
          <w:p w14:paraId="40B71009" w14:textId="45C25589" w:rsidR="00CB346C" w:rsidRPr="0095514B" w:rsidRDefault="00CB346C" w:rsidP="0095514B">
            <w:pPr>
              <w:pStyle w:val="TableHeading1centre"/>
              <w:rPr>
                <w:sz w:val="18"/>
                <w:szCs w:val="22"/>
              </w:rPr>
            </w:pPr>
            <w:r w:rsidRPr="0095514B">
              <w:rPr>
                <w:sz w:val="18"/>
                <w:szCs w:val="22"/>
              </w:rPr>
              <w:t>Dec-24</w:t>
            </w:r>
          </w:p>
        </w:tc>
        <w:tc>
          <w:tcPr>
            <w:tcW w:w="1348" w:type="dxa"/>
            <w:tcBorders>
              <w:bottom w:val="nil"/>
            </w:tcBorders>
            <w:shd w:val="clear" w:color="auto" w:fill="2F005F"/>
          </w:tcPr>
          <w:p w14:paraId="49EF03C8" w14:textId="04CDE552" w:rsidR="00CB346C" w:rsidRPr="0095514B" w:rsidRDefault="00CB346C" w:rsidP="0095514B">
            <w:pPr>
              <w:pStyle w:val="TableHeading1centre"/>
              <w:rPr>
                <w:sz w:val="18"/>
                <w:szCs w:val="22"/>
              </w:rPr>
            </w:pPr>
            <w:r w:rsidRPr="0095514B">
              <w:rPr>
                <w:sz w:val="18"/>
                <w:szCs w:val="22"/>
              </w:rPr>
              <w:t>Change since</w:t>
            </w:r>
            <w:r w:rsidRPr="0095514B">
              <w:rPr>
                <w:sz w:val="18"/>
                <w:szCs w:val="22"/>
              </w:rPr>
              <w:br/>
              <w:t>Sep-24</w:t>
            </w:r>
          </w:p>
        </w:tc>
      </w:tr>
      <w:tr w:rsidR="00CB346C" w:rsidRPr="006B493D" w14:paraId="170878B6" w14:textId="77777777" w:rsidTr="00CC66D2">
        <w:trPr>
          <w:cnfStyle w:val="000000010000" w:firstRow="0" w:lastRow="0" w:firstColumn="0" w:lastColumn="0" w:oddVBand="0" w:evenVBand="0" w:oddHBand="0" w:evenHBand="1" w:firstRowFirstColumn="0" w:firstRowLastColumn="0" w:lastRowFirstColumn="0" w:lastRowLastColumn="0"/>
          <w:trHeight w:val="285"/>
        </w:trPr>
        <w:tc>
          <w:tcPr>
            <w:tcW w:w="1418" w:type="dxa"/>
            <w:shd w:val="clear" w:color="auto" w:fill="2F005F"/>
            <w:hideMark/>
          </w:tcPr>
          <w:p w14:paraId="56741D20" w14:textId="1F902499" w:rsidR="00B70C2F" w:rsidRPr="00CF7F95" w:rsidRDefault="00CF7F95" w:rsidP="00CF7F95">
            <w:pPr>
              <w:pStyle w:val="TableHeading1"/>
              <w:rPr>
                <w:sz w:val="18"/>
                <w:szCs w:val="22"/>
              </w:rPr>
            </w:pPr>
            <w:r w:rsidRPr="00CF7F95">
              <w:rPr>
                <w:sz w:val="18"/>
                <w:szCs w:val="22"/>
              </w:rPr>
              <w:t>State</w:t>
            </w:r>
          </w:p>
        </w:tc>
        <w:tc>
          <w:tcPr>
            <w:tcW w:w="992" w:type="dxa"/>
            <w:shd w:val="clear" w:color="auto" w:fill="2F005F"/>
            <w:hideMark/>
          </w:tcPr>
          <w:p w14:paraId="3F8E37C1" w14:textId="272E4543" w:rsidR="00B70C2F" w:rsidRPr="006B493D" w:rsidRDefault="00B70C2F" w:rsidP="00B70C2F">
            <w:pPr>
              <w:pStyle w:val="TableHeading1right"/>
              <w:rPr>
                <w:sz w:val="18"/>
                <w:szCs w:val="18"/>
              </w:rPr>
            </w:pPr>
            <w:r w:rsidRPr="006B493D">
              <w:rPr>
                <w:sz w:val="18"/>
                <w:szCs w:val="18"/>
              </w:rPr>
              <w:t>('000)</w:t>
            </w:r>
          </w:p>
        </w:tc>
        <w:tc>
          <w:tcPr>
            <w:tcW w:w="767" w:type="dxa"/>
            <w:shd w:val="clear" w:color="auto" w:fill="2F005F"/>
            <w:hideMark/>
          </w:tcPr>
          <w:p w14:paraId="4DFDCCDE" w14:textId="77777777" w:rsidR="00B70C2F" w:rsidRPr="006B493D" w:rsidRDefault="00B70C2F" w:rsidP="00B70C2F">
            <w:pPr>
              <w:pStyle w:val="TableHeading1right"/>
              <w:rPr>
                <w:sz w:val="18"/>
                <w:szCs w:val="18"/>
              </w:rPr>
            </w:pPr>
            <w:r w:rsidRPr="006B493D">
              <w:rPr>
                <w:sz w:val="18"/>
                <w:szCs w:val="18"/>
              </w:rPr>
              <w:t>(‘000)</w:t>
            </w:r>
          </w:p>
        </w:tc>
        <w:tc>
          <w:tcPr>
            <w:tcW w:w="882" w:type="dxa"/>
            <w:tcBorders>
              <w:right w:val="single" w:sz="4" w:space="0" w:color="FFFFFF" w:themeColor="background1"/>
            </w:tcBorders>
            <w:shd w:val="clear" w:color="auto" w:fill="2F005F"/>
            <w:hideMark/>
          </w:tcPr>
          <w:p w14:paraId="1CA92DC1" w14:textId="77777777" w:rsidR="00B70C2F" w:rsidRPr="006B493D" w:rsidRDefault="00B70C2F" w:rsidP="00B70C2F">
            <w:pPr>
              <w:pStyle w:val="TableHeading1right"/>
              <w:rPr>
                <w:sz w:val="18"/>
                <w:szCs w:val="18"/>
              </w:rPr>
            </w:pPr>
            <w:r w:rsidRPr="006B493D">
              <w:rPr>
                <w:sz w:val="18"/>
                <w:szCs w:val="18"/>
              </w:rPr>
              <w:t>(%)</w:t>
            </w:r>
          </w:p>
        </w:tc>
        <w:tc>
          <w:tcPr>
            <w:tcW w:w="1135" w:type="dxa"/>
            <w:tcBorders>
              <w:left w:val="single" w:sz="4" w:space="0" w:color="FFFFFF" w:themeColor="background1"/>
              <w:bottom w:val="nil"/>
            </w:tcBorders>
            <w:shd w:val="clear" w:color="auto" w:fill="2F005F"/>
            <w:hideMark/>
          </w:tcPr>
          <w:p w14:paraId="214CF512" w14:textId="04CCC9B4" w:rsidR="00B70C2F" w:rsidRPr="006B493D" w:rsidRDefault="00B70C2F" w:rsidP="00B70C2F">
            <w:pPr>
              <w:pStyle w:val="TableHeading1right"/>
              <w:rPr>
                <w:sz w:val="18"/>
                <w:szCs w:val="18"/>
              </w:rPr>
            </w:pPr>
            <w:r w:rsidRPr="006B493D">
              <w:rPr>
                <w:sz w:val="18"/>
                <w:szCs w:val="18"/>
              </w:rPr>
              <w:t>(%)</w:t>
            </w:r>
          </w:p>
        </w:tc>
        <w:tc>
          <w:tcPr>
            <w:tcW w:w="1348" w:type="dxa"/>
            <w:tcBorders>
              <w:bottom w:val="nil"/>
              <w:right w:val="single" w:sz="4" w:space="0" w:color="FFFFFF" w:themeColor="background1"/>
            </w:tcBorders>
            <w:shd w:val="clear" w:color="auto" w:fill="2F005F"/>
            <w:hideMark/>
          </w:tcPr>
          <w:p w14:paraId="2062709C" w14:textId="2731D1D3" w:rsidR="00B70C2F" w:rsidRPr="006B493D" w:rsidRDefault="00B70C2F" w:rsidP="00B70C2F">
            <w:pPr>
              <w:pStyle w:val="TableHeading1right"/>
              <w:rPr>
                <w:sz w:val="18"/>
                <w:szCs w:val="18"/>
              </w:rPr>
            </w:pPr>
            <w:r w:rsidRPr="006B493D">
              <w:rPr>
                <w:sz w:val="18"/>
                <w:szCs w:val="18"/>
              </w:rPr>
              <w:t>(ppt)</w:t>
            </w:r>
          </w:p>
        </w:tc>
        <w:tc>
          <w:tcPr>
            <w:tcW w:w="1137" w:type="dxa"/>
            <w:tcBorders>
              <w:left w:val="single" w:sz="4" w:space="0" w:color="FFFFFF" w:themeColor="background1"/>
              <w:bottom w:val="nil"/>
            </w:tcBorders>
            <w:shd w:val="clear" w:color="auto" w:fill="2F005F"/>
            <w:hideMark/>
          </w:tcPr>
          <w:p w14:paraId="7B86C591" w14:textId="47956380" w:rsidR="00B70C2F" w:rsidRPr="006B493D" w:rsidRDefault="00B70C2F" w:rsidP="00B70C2F">
            <w:pPr>
              <w:pStyle w:val="TableHeading1right"/>
              <w:rPr>
                <w:sz w:val="18"/>
                <w:szCs w:val="18"/>
              </w:rPr>
            </w:pPr>
            <w:r w:rsidRPr="006B493D">
              <w:rPr>
                <w:sz w:val="18"/>
                <w:szCs w:val="18"/>
              </w:rPr>
              <w:t>(%)</w:t>
            </w:r>
          </w:p>
        </w:tc>
        <w:tc>
          <w:tcPr>
            <w:tcW w:w="1348" w:type="dxa"/>
            <w:tcBorders>
              <w:bottom w:val="nil"/>
            </w:tcBorders>
            <w:shd w:val="clear" w:color="auto" w:fill="2F005F"/>
            <w:hideMark/>
          </w:tcPr>
          <w:p w14:paraId="7C565504" w14:textId="0053C33E" w:rsidR="00B70C2F" w:rsidRPr="006B493D" w:rsidRDefault="00B70C2F" w:rsidP="00B70C2F">
            <w:pPr>
              <w:pStyle w:val="TableHeading1right"/>
              <w:rPr>
                <w:sz w:val="18"/>
                <w:szCs w:val="18"/>
              </w:rPr>
            </w:pPr>
            <w:r w:rsidRPr="006B493D">
              <w:rPr>
                <w:sz w:val="18"/>
                <w:szCs w:val="18"/>
              </w:rPr>
              <w:t>(ppt)</w:t>
            </w:r>
          </w:p>
        </w:tc>
      </w:tr>
      <w:tr w:rsidR="00CB346C" w:rsidRPr="006B493D" w14:paraId="2299C8E2" w14:textId="77777777" w:rsidTr="00CC66D2">
        <w:trPr>
          <w:trHeight w:val="285"/>
        </w:trPr>
        <w:tc>
          <w:tcPr>
            <w:tcW w:w="1418" w:type="dxa"/>
            <w:hideMark/>
          </w:tcPr>
          <w:p w14:paraId="3B0B9424" w14:textId="0D89EF84" w:rsidR="00B70C2F" w:rsidRPr="00781F21" w:rsidRDefault="00CF7F95" w:rsidP="00B70C2F">
            <w:pPr>
              <w:pStyle w:val="TableBodyText"/>
              <w:rPr>
                <w:rFonts w:cs="Arial"/>
                <w:sz w:val="18"/>
                <w:szCs w:val="18"/>
              </w:rPr>
            </w:pPr>
            <w:r>
              <w:rPr>
                <w:rFonts w:cs="Arial"/>
                <w:sz w:val="18"/>
                <w:szCs w:val="18"/>
              </w:rPr>
              <w:t>NSW</w:t>
            </w:r>
          </w:p>
        </w:tc>
        <w:tc>
          <w:tcPr>
            <w:tcW w:w="992" w:type="dxa"/>
            <w:hideMark/>
          </w:tcPr>
          <w:p w14:paraId="463F017E" w14:textId="77777777" w:rsidR="00B70C2F" w:rsidRPr="00781F21" w:rsidRDefault="00B70C2F" w:rsidP="00B70C2F">
            <w:pPr>
              <w:pStyle w:val="TableBodyTextright"/>
              <w:rPr>
                <w:rFonts w:cs="Arial"/>
                <w:sz w:val="18"/>
                <w:szCs w:val="18"/>
              </w:rPr>
            </w:pPr>
            <w:r w:rsidRPr="00781F21">
              <w:rPr>
                <w:rFonts w:cs="Arial"/>
                <w:sz w:val="18"/>
                <w:szCs w:val="18"/>
              </w:rPr>
              <w:t>4,510.7*</w:t>
            </w:r>
          </w:p>
        </w:tc>
        <w:tc>
          <w:tcPr>
            <w:tcW w:w="767" w:type="dxa"/>
            <w:hideMark/>
          </w:tcPr>
          <w:p w14:paraId="7A29257F" w14:textId="77777777" w:rsidR="00B70C2F" w:rsidRPr="00781F21" w:rsidRDefault="00B70C2F" w:rsidP="00B70C2F">
            <w:pPr>
              <w:pStyle w:val="TableBodyTextright"/>
              <w:rPr>
                <w:rFonts w:cs="Arial"/>
                <w:sz w:val="18"/>
                <w:szCs w:val="18"/>
              </w:rPr>
            </w:pPr>
            <w:r w:rsidRPr="00781F21">
              <w:rPr>
                <w:rFonts w:cs="Arial"/>
                <w:sz w:val="18"/>
                <w:szCs w:val="18"/>
              </w:rPr>
              <w:t>41.9</w:t>
            </w:r>
          </w:p>
        </w:tc>
        <w:tc>
          <w:tcPr>
            <w:tcW w:w="882" w:type="dxa"/>
            <w:tcBorders>
              <w:right w:val="single" w:sz="4" w:space="0" w:color="FFFFFF" w:themeColor="background1"/>
            </w:tcBorders>
            <w:hideMark/>
          </w:tcPr>
          <w:p w14:paraId="17907A77" w14:textId="77777777" w:rsidR="00B70C2F" w:rsidRPr="00781F21" w:rsidRDefault="00B70C2F" w:rsidP="00B70C2F">
            <w:pPr>
              <w:pStyle w:val="TableBodyTextright"/>
              <w:rPr>
                <w:rFonts w:cs="Arial"/>
                <w:sz w:val="18"/>
                <w:szCs w:val="18"/>
              </w:rPr>
            </w:pPr>
            <w:r w:rsidRPr="00781F21">
              <w:rPr>
                <w:rFonts w:cs="Arial"/>
                <w:sz w:val="18"/>
                <w:szCs w:val="18"/>
              </w:rPr>
              <w:t>0.9</w:t>
            </w:r>
          </w:p>
        </w:tc>
        <w:tc>
          <w:tcPr>
            <w:tcW w:w="1135" w:type="dxa"/>
            <w:tcBorders>
              <w:left w:val="single" w:sz="4" w:space="0" w:color="FFFFFF" w:themeColor="background1"/>
              <w:bottom w:val="nil"/>
            </w:tcBorders>
            <w:hideMark/>
          </w:tcPr>
          <w:p w14:paraId="1CB6EE7D" w14:textId="77777777" w:rsidR="00B70C2F" w:rsidRPr="00781F21" w:rsidRDefault="00B70C2F" w:rsidP="00B70C2F">
            <w:pPr>
              <w:pStyle w:val="TableBodyTextright"/>
              <w:rPr>
                <w:rFonts w:cs="Arial"/>
                <w:sz w:val="18"/>
                <w:szCs w:val="18"/>
              </w:rPr>
            </w:pPr>
            <w:r w:rsidRPr="00781F21">
              <w:rPr>
                <w:rFonts w:cs="Arial"/>
                <w:sz w:val="18"/>
                <w:szCs w:val="18"/>
              </w:rPr>
              <w:t>3.8</w:t>
            </w:r>
          </w:p>
        </w:tc>
        <w:tc>
          <w:tcPr>
            <w:tcW w:w="1348" w:type="dxa"/>
            <w:tcBorders>
              <w:bottom w:val="nil"/>
              <w:right w:val="single" w:sz="4" w:space="0" w:color="FFFFFF" w:themeColor="background1"/>
            </w:tcBorders>
            <w:hideMark/>
          </w:tcPr>
          <w:p w14:paraId="30E80149" w14:textId="61D09857" w:rsidR="00B70C2F" w:rsidRPr="00781F21" w:rsidRDefault="00B70C2F" w:rsidP="00B70C2F">
            <w:pPr>
              <w:pStyle w:val="TableBodyTextright"/>
              <w:rPr>
                <w:rFonts w:cs="Arial"/>
                <w:sz w:val="18"/>
                <w:szCs w:val="18"/>
              </w:rPr>
            </w:pPr>
            <w:r w:rsidRPr="006B493D">
              <w:rPr>
                <w:rFonts w:cs="Arial"/>
                <w:sz w:val="18"/>
                <w:szCs w:val="18"/>
              </w:rPr>
              <w:t>−</w:t>
            </w:r>
            <w:r w:rsidRPr="00781F21">
              <w:rPr>
                <w:rFonts w:cs="Arial"/>
                <w:sz w:val="18"/>
                <w:szCs w:val="18"/>
              </w:rPr>
              <w:t>0.1</w:t>
            </w:r>
          </w:p>
        </w:tc>
        <w:tc>
          <w:tcPr>
            <w:tcW w:w="1137" w:type="dxa"/>
            <w:tcBorders>
              <w:left w:val="single" w:sz="4" w:space="0" w:color="FFFFFF" w:themeColor="background1"/>
              <w:bottom w:val="nil"/>
            </w:tcBorders>
            <w:hideMark/>
          </w:tcPr>
          <w:p w14:paraId="4F86191F" w14:textId="77777777" w:rsidR="00B70C2F" w:rsidRPr="00781F21" w:rsidRDefault="00B70C2F" w:rsidP="00B70C2F">
            <w:pPr>
              <w:pStyle w:val="TableBodyTextright"/>
              <w:rPr>
                <w:rFonts w:cs="Arial"/>
                <w:sz w:val="18"/>
                <w:szCs w:val="18"/>
              </w:rPr>
            </w:pPr>
            <w:r w:rsidRPr="00781F21">
              <w:rPr>
                <w:rFonts w:cs="Arial"/>
                <w:sz w:val="18"/>
                <w:szCs w:val="18"/>
              </w:rPr>
              <w:t>66.4</w:t>
            </w:r>
          </w:p>
        </w:tc>
        <w:tc>
          <w:tcPr>
            <w:tcW w:w="1348" w:type="dxa"/>
            <w:tcBorders>
              <w:bottom w:val="nil"/>
            </w:tcBorders>
            <w:hideMark/>
          </w:tcPr>
          <w:p w14:paraId="667E9EAA" w14:textId="77777777" w:rsidR="00B70C2F" w:rsidRPr="00781F21" w:rsidRDefault="00B70C2F" w:rsidP="00B70C2F">
            <w:pPr>
              <w:pStyle w:val="TableBodyTextright"/>
              <w:rPr>
                <w:rFonts w:cs="Arial"/>
                <w:sz w:val="18"/>
                <w:szCs w:val="18"/>
              </w:rPr>
            </w:pPr>
            <w:r w:rsidRPr="00781F21">
              <w:rPr>
                <w:rFonts w:cs="Arial"/>
                <w:sz w:val="18"/>
                <w:szCs w:val="18"/>
              </w:rPr>
              <w:t>0.2</w:t>
            </w:r>
          </w:p>
        </w:tc>
      </w:tr>
      <w:tr w:rsidR="00CB346C" w:rsidRPr="006B493D" w14:paraId="4B858DD5" w14:textId="77777777" w:rsidTr="00CC66D2">
        <w:trPr>
          <w:cnfStyle w:val="000000010000" w:firstRow="0" w:lastRow="0" w:firstColumn="0" w:lastColumn="0" w:oddVBand="0" w:evenVBand="0" w:oddHBand="0" w:evenHBand="1" w:firstRowFirstColumn="0" w:firstRowLastColumn="0" w:lastRowFirstColumn="0" w:lastRowLastColumn="0"/>
          <w:trHeight w:val="285"/>
        </w:trPr>
        <w:tc>
          <w:tcPr>
            <w:tcW w:w="1418" w:type="dxa"/>
            <w:hideMark/>
          </w:tcPr>
          <w:p w14:paraId="00BC59E0" w14:textId="3EE6B0C5" w:rsidR="00B70C2F" w:rsidRPr="00781F21" w:rsidRDefault="00CF7F95" w:rsidP="00B70C2F">
            <w:pPr>
              <w:pStyle w:val="TableBodyText"/>
              <w:rPr>
                <w:rFonts w:cs="Arial"/>
                <w:sz w:val="18"/>
                <w:szCs w:val="18"/>
              </w:rPr>
            </w:pPr>
            <w:r>
              <w:rPr>
                <w:rFonts w:cs="Arial"/>
                <w:sz w:val="18"/>
                <w:szCs w:val="18"/>
              </w:rPr>
              <w:t>VIC</w:t>
            </w:r>
          </w:p>
        </w:tc>
        <w:tc>
          <w:tcPr>
            <w:tcW w:w="992" w:type="dxa"/>
            <w:hideMark/>
          </w:tcPr>
          <w:p w14:paraId="54D09CB2" w14:textId="77777777" w:rsidR="00B70C2F" w:rsidRPr="00781F21" w:rsidRDefault="00B70C2F" w:rsidP="00B70C2F">
            <w:pPr>
              <w:pStyle w:val="TableBodyTextright"/>
              <w:rPr>
                <w:rFonts w:cs="Arial"/>
                <w:sz w:val="18"/>
                <w:szCs w:val="18"/>
              </w:rPr>
            </w:pPr>
            <w:r w:rsidRPr="00781F21">
              <w:rPr>
                <w:rFonts w:cs="Arial"/>
                <w:sz w:val="18"/>
                <w:szCs w:val="18"/>
              </w:rPr>
              <w:t>3,799.9</w:t>
            </w:r>
          </w:p>
        </w:tc>
        <w:tc>
          <w:tcPr>
            <w:tcW w:w="767" w:type="dxa"/>
            <w:hideMark/>
          </w:tcPr>
          <w:p w14:paraId="62184CF4" w14:textId="77777777" w:rsidR="00B70C2F" w:rsidRPr="00781F21" w:rsidRDefault="00B70C2F" w:rsidP="00B70C2F">
            <w:pPr>
              <w:pStyle w:val="TableBodyTextright"/>
              <w:rPr>
                <w:rFonts w:cs="Arial"/>
                <w:sz w:val="18"/>
                <w:szCs w:val="18"/>
              </w:rPr>
            </w:pPr>
            <w:r w:rsidRPr="00781F21">
              <w:rPr>
                <w:rFonts w:cs="Arial"/>
                <w:sz w:val="18"/>
                <w:szCs w:val="18"/>
              </w:rPr>
              <w:t>5.4</w:t>
            </w:r>
          </w:p>
        </w:tc>
        <w:tc>
          <w:tcPr>
            <w:tcW w:w="882" w:type="dxa"/>
            <w:tcBorders>
              <w:right w:val="single" w:sz="4" w:space="0" w:color="FFFFFF" w:themeColor="background1"/>
            </w:tcBorders>
            <w:hideMark/>
          </w:tcPr>
          <w:p w14:paraId="594D0E59" w14:textId="77777777" w:rsidR="00B70C2F" w:rsidRPr="00781F21" w:rsidRDefault="00B70C2F" w:rsidP="00B70C2F">
            <w:pPr>
              <w:pStyle w:val="TableBodyTextright"/>
              <w:rPr>
                <w:rFonts w:cs="Arial"/>
                <w:sz w:val="18"/>
                <w:szCs w:val="18"/>
              </w:rPr>
            </w:pPr>
            <w:r w:rsidRPr="00781F21">
              <w:rPr>
                <w:rFonts w:cs="Arial"/>
                <w:sz w:val="18"/>
                <w:szCs w:val="18"/>
              </w:rPr>
              <w:t>0.1</w:t>
            </w:r>
          </w:p>
        </w:tc>
        <w:tc>
          <w:tcPr>
            <w:tcW w:w="1135" w:type="dxa"/>
            <w:tcBorders>
              <w:left w:val="single" w:sz="4" w:space="0" w:color="FFFFFF" w:themeColor="background1"/>
              <w:bottom w:val="nil"/>
            </w:tcBorders>
            <w:hideMark/>
          </w:tcPr>
          <w:p w14:paraId="7C2C40C6" w14:textId="77777777" w:rsidR="00B70C2F" w:rsidRPr="00781F21" w:rsidRDefault="00B70C2F" w:rsidP="00B70C2F">
            <w:pPr>
              <w:pStyle w:val="TableBodyTextright"/>
              <w:rPr>
                <w:rFonts w:cs="Arial"/>
                <w:sz w:val="18"/>
                <w:szCs w:val="18"/>
              </w:rPr>
            </w:pPr>
            <w:r w:rsidRPr="00781F21">
              <w:rPr>
                <w:rFonts w:cs="Arial"/>
                <w:sz w:val="18"/>
                <w:szCs w:val="18"/>
              </w:rPr>
              <w:t>4.4</w:t>
            </w:r>
          </w:p>
        </w:tc>
        <w:tc>
          <w:tcPr>
            <w:tcW w:w="1348" w:type="dxa"/>
            <w:tcBorders>
              <w:bottom w:val="nil"/>
              <w:right w:val="single" w:sz="4" w:space="0" w:color="FFFFFF" w:themeColor="background1"/>
            </w:tcBorders>
            <w:hideMark/>
          </w:tcPr>
          <w:p w14:paraId="48BDE0F8" w14:textId="77777777" w:rsidR="00B70C2F" w:rsidRPr="00781F21" w:rsidRDefault="00B70C2F" w:rsidP="00B70C2F">
            <w:pPr>
              <w:pStyle w:val="TableBodyTextright"/>
              <w:rPr>
                <w:rFonts w:cs="Arial"/>
                <w:sz w:val="18"/>
                <w:szCs w:val="18"/>
              </w:rPr>
            </w:pPr>
            <w:r w:rsidRPr="00781F21">
              <w:rPr>
                <w:rFonts w:cs="Arial"/>
                <w:sz w:val="18"/>
                <w:szCs w:val="18"/>
              </w:rPr>
              <w:t>0.0</w:t>
            </w:r>
          </w:p>
        </w:tc>
        <w:tc>
          <w:tcPr>
            <w:tcW w:w="1137" w:type="dxa"/>
            <w:tcBorders>
              <w:left w:val="single" w:sz="4" w:space="0" w:color="FFFFFF" w:themeColor="background1"/>
              <w:bottom w:val="nil"/>
            </w:tcBorders>
            <w:hideMark/>
          </w:tcPr>
          <w:p w14:paraId="376C5972" w14:textId="77777777" w:rsidR="00B70C2F" w:rsidRPr="00781F21" w:rsidRDefault="00B70C2F" w:rsidP="00B70C2F">
            <w:pPr>
              <w:pStyle w:val="TableBodyTextright"/>
              <w:rPr>
                <w:rFonts w:cs="Arial"/>
                <w:sz w:val="18"/>
                <w:szCs w:val="18"/>
              </w:rPr>
            </w:pPr>
            <w:r w:rsidRPr="00781F21">
              <w:rPr>
                <w:rFonts w:cs="Arial"/>
                <w:sz w:val="18"/>
                <w:szCs w:val="18"/>
              </w:rPr>
              <w:t>68.1</w:t>
            </w:r>
          </w:p>
        </w:tc>
        <w:tc>
          <w:tcPr>
            <w:tcW w:w="1348" w:type="dxa"/>
            <w:tcBorders>
              <w:bottom w:val="nil"/>
            </w:tcBorders>
            <w:hideMark/>
          </w:tcPr>
          <w:p w14:paraId="52B02B9A" w14:textId="652A12C1" w:rsidR="00B70C2F" w:rsidRPr="00781F21" w:rsidRDefault="00B70C2F" w:rsidP="00B70C2F">
            <w:pPr>
              <w:pStyle w:val="TableBodyTextright"/>
              <w:rPr>
                <w:rFonts w:cs="Arial"/>
                <w:sz w:val="18"/>
                <w:szCs w:val="18"/>
              </w:rPr>
            </w:pPr>
            <w:r w:rsidRPr="006B493D">
              <w:rPr>
                <w:rFonts w:cs="Arial"/>
                <w:sz w:val="18"/>
                <w:szCs w:val="18"/>
              </w:rPr>
              <w:t>−</w:t>
            </w:r>
            <w:r w:rsidRPr="00781F21">
              <w:rPr>
                <w:rFonts w:cs="Arial"/>
                <w:sz w:val="18"/>
                <w:szCs w:val="18"/>
              </w:rPr>
              <w:t>0.3</w:t>
            </w:r>
          </w:p>
        </w:tc>
      </w:tr>
      <w:tr w:rsidR="00CB346C" w:rsidRPr="006B493D" w14:paraId="3453998D" w14:textId="77777777" w:rsidTr="00CC66D2">
        <w:trPr>
          <w:trHeight w:val="285"/>
        </w:trPr>
        <w:tc>
          <w:tcPr>
            <w:tcW w:w="1418" w:type="dxa"/>
            <w:hideMark/>
          </w:tcPr>
          <w:p w14:paraId="5D9F0AE1" w14:textId="09A262E8" w:rsidR="00B70C2F" w:rsidRPr="00781F21" w:rsidRDefault="00CF7F95" w:rsidP="00B70C2F">
            <w:pPr>
              <w:pStyle w:val="TableBodyText"/>
              <w:rPr>
                <w:rFonts w:cs="Arial"/>
                <w:sz w:val="18"/>
                <w:szCs w:val="18"/>
              </w:rPr>
            </w:pPr>
            <w:r>
              <w:rPr>
                <w:rFonts w:cs="Arial"/>
                <w:sz w:val="18"/>
                <w:szCs w:val="18"/>
              </w:rPr>
              <w:t>QLD</w:t>
            </w:r>
          </w:p>
        </w:tc>
        <w:tc>
          <w:tcPr>
            <w:tcW w:w="992" w:type="dxa"/>
            <w:hideMark/>
          </w:tcPr>
          <w:p w14:paraId="39714629" w14:textId="77777777" w:rsidR="00B70C2F" w:rsidRPr="00781F21" w:rsidRDefault="00B70C2F" w:rsidP="00B70C2F">
            <w:pPr>
              <w:pStyle w:val="TableBodyTextright"/>
              <w:rPr>
                <w:rFonts w:cs="Arial"/>
                <w:sz w:val="18"/>
                <w:szCs w:val="18"/>
              </w:rPr>
            </w:pPr>
            <w:r w:rsidRPr="00781F21">
              <w:rPr>
                <w:rFonts w:cs="Arial"/>
                <w:sz w:val="18"/>
                <w:szCs w:val="18"/>
              </w:rPr>
              <w:t>3,002.4*</w:t>
            </w:r>
          </w:p>
        </w:tc>
        <w:tc>
          <w:tcPr>
            <w:tcW w:w="767" w:type="dxa"/>
            <w:hideMark/>
          </w:tcPr>
          <w:p w14:paraId="499D665D" w14:textId="77777777" w:rsidR="00B70C2F" w:rsidRPr="00781F21" w:rsidRDefault="00B70C2F" w:rsidP="00B70C2F">
            <w:pPr>
              <w:pStyle w:val="TableBodyTextright"/>
              <w:rPr>
                <w:rFonts w:cs="Arial"/>
                <w:sz w:val="18"/>
                <w:szCs w:val="18"/>
              </w:rPr>
            </w:pPr>
            <w:r w:rsidRPr="00781F21">
              <w:rPr>
                <w:rFonts w:cs="Arial"/>
                <w:sz w:val="18"/>
                <w:szCs w:val="18"/>
              </w:rPr>
              <w:t>45.2</w:t>
            </w:r>
          </w:p>
        </w:tc>
        <w:tc>
          <w:tcPr>
            <w:tcW w:w="882" w:type="dxa"/>
            <w:tcBorders>
              <w:right w:val="single" w:sz="4" w:space="0" w:color="FFFFFF" w:themeColor="background1"/>
            </w:tcBorders>
            <w:hideMark/>
          </w:tcPr>
          <w:p w14:paraId="366CE4F6" w14:textId="77777777" w:rsidR="00B70C2F" w:rsidRPr="00781F21" w:rsidRDefault="00B70C2F" w:rsidP="00B70C2F">
            <w:pPr>
              <w:pStyle w:val="TableBodyTextright"/>
              <w:rPr>
                <w:rFonts w:cs="Arial"/>
                <w:sz w:val="18"/>
                <w:szCs w:val="18"/>
              </w:rPr>
            </w:pPr>
            <w:r w:rsidRPr="00781F21">
              <w:rPr>
                <w:rFonts w:cs="Arial"/>
                <w:sz w:val="18"/>
                <w:szCs w:val="18"/>
              </w:rPr>
              <w:t>1.5</w:t>
            </w:r>
          </w:p>
        </w:tc>
        <w:tc>
          <w:tcPr>
            <w:tcW w:w="1135" w:type="dxa"/>
            <w:tcBorders>
              <w:left w:val="single" w:sz="4" w:space="0" w:color="FFFFFF" w:themeColor="background1"/>
              <w:bottom w:val="nil"/>
            </w:tcBorders>
            <w:hideMark/>
          </w:tcPr>
          <w:p w14:paraId="0A988FC8" w14:textId="77777777" w:rsidR="00B70C2F" w:rsidRPr="00781F21" w:rsidRDefault="00B70C2F" w:rsidP="00B70C2F">
            <w:pPr>
              <w:pStyle w:val="TableBodyTextright"/>
              <w:rPr>
                <w:rFonts w:cs="Arial"/>
                <w:sz w:val="18"/>
                <w:szCs w:val="18"/>
              </w:rPr>
            </w:pPr>
            <w:r w:rsidRPr="00781F21">
              <w:rPr>
                <w:rFonts w:cs="Arial"/>
                <w:sz w:val="18"/>
                <w:szCs w:val="18"/>
              </w:rPr>
              <w:t>3.9</w:t>
            </w:r>
          </w:p>
        </w:tc>
        <w:tc>
          <w:tcPr>
            <w:tcW w:w="1348" w:type="dxa"/>
            <w:tcBorders>
              <w:bottom w:val="nil"/>
              <w:right w:val="single" w:sz="4" w:space="0" w:color="FFFFFF" w:themeColor="background1"/>
            </w:tcBorders>
            <w:hideMark/>
          </w:tcPr>
          <w:p w14:paraId="19D09A0A" w14:textId="1CBC4A8D" w:rsidR="00B70C2F" w:rsidRPr="00781F21" w:rsidRDefault="00B70C2F" w:rsidP="00B70C2F">
            <w:pPr>
              <w:pStyle w:val="TableBodyTextright"/>
              <w:rPr>
                <w:rFonts w:cs="Arial"/>
                <w:sz w:val="18"/>
                <w:szCs w:val="18"/>
              </w:rPr>
            </w:pPr>
            <w:r w:rsidRPr="006B493D">
              <w:rPr>
                <w:rFonts w:cs="Arial"/>
                <w:sz w:val="18"/>
                <w:szCs w:val="18"/>
              </w:rPr>
              <w:t>−</w:t>
            </w:r>
            <w:r w:rsidRPr="00781F21">
              <w:rPr>
                <w:rFonts w:cs="Arial"/>
                <w:sz w:val="18"/>
                <w:szCs w:val="18"/>
              </w:rPr>
              <w:t>0.2</w:t>
            </w:r>
          </w:p>
        </w:tc>
        <w:tc>
          <w:tcPr>
            <w:tcW w:w="1137" w:type="dxa"/>
            <w:tcBorders>
              <w:left w:val="single" w:sz="4" w:space="0" w:color="FFFFFF" w:themeColor="background1"/>
              <w:bottom w:val="nil"/>
            </w:tcBorders>
            <w:hideMark/>
          </w:tcPr>
          <w:p w14:paraId="72B235D1" w14:textId="77777777" w:rsidR="00B70C2F" w:rsidRPr="00781F21" w:rsidRDefault="00B70C2F" w:rsidP="00B70C2F">
            <w:pPr>
              <w:pStyle w:val="TableBodyTextright"/>
              <w:rPr>
                <w:rFonts w:cs="Arial"/>
                <w:sz w:val="18"/>
                <w:szCs w:val="18"/>
              </w:rPr>
            </w:pPr>
            <w:r w:rsidRPr="00781F21">
              <w:rPr>
                <w:rFonts w:cs="Arial"/>
                <w:sz w:val="18"/>
                <w:szCs w:val="18"/>
              </w:rPr>
              <w:t>67.5</w:t>
            </w:r>
          </w:p>
        </w:tc>
        <w:tc>
          <w:tcPr>
            <w:tcW w:w="1348" w:type="dxa"/>
            <w:tcBorders>
              <w:bottom w:val="nil"/>
            </w:tcBorders>
            <w:hideMark/>
          </w:tcPr>
          <w:p w14:paraId="39C77801" w14:textId="77777777" w:rsidR="00B70C2F" w:rsidRPr="00781F21" w:rsidRDefault="00B70C2F" w:rsidP="00B70C2F">
            <w:pPr>
              <w:pStyle w:val="TableBodyTextright"/>
              <w:rPr>
                <w:rFonts w:cs="Arial"/>
                <w:sz w:val="18"/>
                <w:szCs w:val="18"/>
              </w:rPr>
            </w:pPr>
            <w:r w:rsidRPr="00781F21">
              <w:rPr>
                <w:rFonts w:cs="Arial"/>
                <w:sz w:val="18"/>
                <w:szCs w:val="18"/>
              </w:rPr>
              <w:t>0.5</w:t>
            </w:r>
          </w:p>
        </w:tc>
      </w:tr>
      <w:tr w:rsidR="00CB346C" w:rsidRPr="006B493D" w14:paraId="2DAA76BC" w14:textId="77777777" w:rsidTr="00CC66D2">
        <w:trPr>
          <w:cnfStyle w:val="000000010000" w:firstRow="0" w:lastRow="0" w:firstColumn="0" w:lastColumn="0" w:oddVBand="0" w:evenVBand="0" w:oddHBand="0" w:evenHBand="1" w:firstRowFirstColumn="0" w:firstRowLastColumn="0" w:lastRowFirstColumn="0" w:lastRowLastColumn="0"/>
          <w:trHeight w:val="285"/>
        </w:trPr>
        <w:tc>
          <w:tcPr>
            <w:tcW w:w="1418" w:type="dxa"/>
            <w:hideMark/>
          </w:tcPr>
          <w:p w14:paraId="0636923D" w14:textId="325D1C74" w:rsidR="00B70C2F" w:rsidRPr="00781F21" w:rsidRDefault="00CF7F95" w:rsidP="00B70C2F">
            <w:pPr>
              <w:pStyle w:val="TableBodyText"/>
              <w:rPr>
                <w:rFonts w:cs="Arial"/>
                <w:sz w:val="18"/>
                <w:szCs w:val="18"/>
              </w:rPr>
            </w:pPr>
            <w:r>
              <w:rPr>
                <w:rFonts w:cs="Arial"/>
                <w:sz w:val="18"/>
                <w:szCs w:val="18"/>
              </w:rPr>
              <w:t>SA</w:t>
            </w:r>
          </w:p>
        </w:tc>
        <w:tc>
          <w:tcPr>
            <w:tcW w:w="992" w:type="dxa"/>
            <w:hideMark/>
          </w:tcPr>
          <w:p w14:paraId="7694E3BB" w14:textId="77777777" w:rsidR="00B70C2F" w:rsidRPr="00781F21" w:rsidRDefault="00B70C2F" w:rsidP="00B70C2F">
            <w:pPr>
              <w:pStyle w:val="TableBodyTextright"/>
              <w:rPr>
                <w:rFonts w:cs="Arial"/>
                <w:sz w:val="18"/>
                <w:szCs w:val="18"/>
              </w:rPr>
            </w:pPr>
            <w:r w:rsidRPr="00781F21">
              <w:rPr>
                <w:rFonts w:cs="Arial"/>
                <w:sz w:val="18"/>
                <w:szCs w:val="18"/>
              </w:rPr>
              <w:t>951.8</w:t>
            </w:r>
          </w:p>
        </w:tc>
        <w:tc>
          <w:tcPr>
            <w:tcW w:w="767" w:type="dxa"/>
            <w:hideMark/>
          </w:tcPr>
          <w:p w14:paraId="48F17844" w14:textId="77777777" w:rsidR="00B70C2F" w:rsidRPr="00781F21" w:rsidRDefault="00B70C2F" w:rsidP="00B70C2F">
            <w:pPr>
              <w:pStyle w:val="TableBodyTextright"/>
              <w:rPr>
                <w:rFonts w:cs="Arial"/>
                <w:sz w:val="18"/>
                <w:szCs w:val="18"/>
              </w:rPr>
            </w:pPr>
            <w:r w:rsidRPr="00781F21">
              <w:rPr>
                <w:rFonts w:cs="Arial"/>
                <w:sz w:val="18"/>
                <w:szCs w:val="18"/>
              </w:rPr>
              <w:t>5.2</w:t>
            </w:r>
          </w:p>
        </w:tc>
        <w:tc>
          <w:tcPr>
            <w:tcW w:w="882" w:type="dxa"/>
            <w:tcBorders>
              <w:right w:val="single" w:sz="4" w:space="0" w:color="FFFFFF" w:themeColor="background1"/>
            </w:tcBorders>
            <w:hideMark/>
          </w:tcPr>
          <w:p w14:paraId="729FA1F1" w14:textId="77777777" w:rsidR="00B70C2F" w:rsidRPr="00781F21" w:rsidRDefault="00B70C2F" w:rsidP="00B70C2F">
            <w:pPr>
              <w:pStyle w:val="TableBodyTextright"/>
              <w:rPr>
                <w:rFonts w:cs="Arial"/>
                <w:sz w:val="18"/>
                <w:szCs w:val="18"/>
              </w:rPr>
            </w:pPr>
            <w:r w:rsidRPr="00781F21">
              <w:rPr>
                <w:rFonts w:cs="Arial"/>
                <w:sz w:val="18"/>
                <w:szCs w:val="18"/>
              </w:rPr>
              <w:t>0.5</w:t>
            </w:r>
          </w:p>
        </w:tc>
        <w:tc>
          <w:tcPr>
            <w:tcW w:w="1135" w:type="dxa"/>
            <w:tcBorders>
              <w:left w:val="single" w:sz="4" w:space="0" w:color="FFFFFF" w:themeColor="background1"/>
              <w:bottom w:val="nil"/>
            </w:tcBorders>
            <w:hideMark/>
          </w:tcPr>
          <w:p w14:paraId="71148133" w14:textId="77777777" w:rsidR="00B70C2F" w:rsidRPr="00781F21" w:rsidRDefault="00B70C2F" w:rsidP="00B70C2F">
            <w:pPr>
              <w:pStyle w:val="TableBodyTextright"/>
              <w:rPr>
                <w:rFonts w:cs="Arial"/>
                <w:sz w:val="18"/>
                <w:szCs w:val="18"/>
              </w:rPr>
            </w:pPr>
            <w:r w:rsidRPr="00781F21">
              <w:rPr>
                <w:rFonts w:cs="Arial"/>
                <w:sz w:val="18"/>
                <w:szCs w:val="18"/>
              </w:rPr>
              <w:t>4.2</w:t>
            </w:r>
          </w:p>
        </w:tc>
        <w:tc>
          <w:tcPr>
            <w:tcW w:w="1348" w:type="dxa"/>
            <w:tcBorders>
              <w:bottom w:val="nil"/>
              <w:right w:val="single" w:sz="4" w:space="0" w:color="FFFFFF" w:themeColor="background1"/>
            </w:tcBorders>
            <w:hideMark/>
          </w:tcPr>
          <w:p w14:paraId="3AAD7C09" w14:textId="18B9193F" w:rsidR="00B70C2F" w:rsidRPr="00781F21" w:rsidRDefault="00B70C2F" w:rsidP="00B70C2F">
            <w:pPr>
              <w:pStyle w:val="TableBodyTextright"/>
              <w:rPr>
                <w:rFonts w:cs="Arial"/>
                <w:sz w:val="18"/>
                <w:szCs w:val="18"/>
              </w:rPr>
            </w:pPr>
            <w:r w:rsidRPr="006B493D">
              <w:rPr>
                <w:rFonts w:cs="Arial"/>
                <w:sz w:val="18"/>
                <w:szCs w:val="18"/>
              </w:rPr>
              <w:t>−</w:t>
            </w:r>
            <w:r w:rsidRPr="00781F21">
              <w:rPr>
                <w:rFonts w:cs="Arial"/>
                <w:sz w:val="18"/>
                <w:szCs w:val="18"/>
              </w:rPr>
              <w:t>0.1</w:t>
            </w:r>
          </w:p>
        </w:tc>
        <w:tc>
          <w:tcPr>
            <w:tcW w:w="1137" w:type="dxa"/>
            <w:tcBorders>
              <w:left w:val="single" w:sz="4" w:space="0" w:color="FFFFFF" w:themeColor="background1"/>
              <w:bottom w:val="nil"/>
            </w:tcBorders>
            <w:hideMark/>
          </w:tcPr>
          <w:p w14:paraId="2C7C3E83" w14:textId="77777777" w:rsidR="00B70C2F" w:rsidRPr="00781F21" w:rsidRDefault="00B70C2F" w:rsidP="00B70C2F">
            <w:pPr>
              <w:pStyle w:val="TableBodyTextright"/>
              <w:rPr>
                <w:rFonts w:cs="Arial"/>
                <w:sz w:val="18"/>
                <w:szCs w:val="18"/>
              </w:rPr>
            </w:pPr>
            <w:r w:rsidRPr="00781F21">
              <w:rPr>
                <w:rFonts w:cs="Arial"/>
                <w:sz w:val="18"/>
                <w:szCs w:val="18"/>
              </w:rPr>
              <w:t>63.1</w:t>
            </w:r>
          </w:p>
        </w:tc>
        <w:tc>
          <w:tcPr>
            <w:tcW w:w="1348" w:type="dxa"/>
            <w:tcBorders>
              <w:bottom w:val="nil"/>
            </w:tcBorders>
            <w:hideMark/>
          </w:tcPr>
          <w:p w14:paraId="3576E7E1" w14:textId="77777777" w:rsidR="00B70C2F" w:rsidRPr="00781F21" w:rsidRDefault="00B70C2F" w:rsidP="00B70C2F">
            <w:pPr>
              <w:pStyle w:val="TableBodyTextright"/>
              <w:rPr>
                <w:rFonts w:cs="Arial"/>
                <w:sz w:val="18"/>
                <w:szCs w:val="18"/>
              </w:rPr>
            </w:pPr>
            <w:r w:rsidRPr="00781F21">
              <w:rPr>
                <w:rFonts w:cs="Arial"/>
                <w:sz w:val="18"/>
                <w:szCs w:val="18"/>
              </w:rPr>
              <w:t>0.1</w:t>
            </w:r>
          </w:p>
        </w:tc>
      </w:tr>
      <w:tr w:rsidR="00CB346C" w:rsidRPr="006B493D" w14:paraId="7FCD7C03" w14:textId="77777777" w:rsidTr="00CC66D2">
        <w:trPr>
          <w:trHeight w:val="285"/>
        </w:trPr>
        <w:tc>
          <w:tcPr>
            <w:tcW w:w="1418" w:type="dxa"/>
            <w:hideMark/>
          </w:tcPr>
          <w:p w14:paraId="7F99D585" w14:textId="61668382" w:rsidR="00B70C2F" w:rsidRPr="00781F21" w:rsidRDefault="00CF7F95" w:rsidP="00B70C2F">
            <w:pPr>
              <w:pStyle w:val="TableBodyText"/>
              <w:rPr>
                <w:rFonts w:cs="Arial"/>
                <w:sz w:val="18"/>
                <w:szCs w:val="18"/>
              </w:rPr>
            </w:pPr>
            <w:r>
              <w:rPr>
                <w:rFonts w:cs="Arial"/>
                <w:sz w:val="18"/>
                <w:szCs w:val="18"/>
              </w:rPr>
              <w:t>WA</w:t>
            </w:r>
          </w:p>
        </w:tc>
        <w:tc>
          <w:tcPr>
            <w:tcW w:w="992" w:type="dxa"/>
            <w:hideMark/>
          </w:tcPr>
          <w:p w14:paraId="4BA15D9B" w14:textId="77777777" w:rsidR="00B70C2F" w:rsidRPr="00781F21" w:rsidRDefault="00B70C2F" w:rsidP="00B70C2F">
            <w:pPr>
              <w:pStyle w:val="TableBodyTextright"/>
              <w:rPr>
                <w:rFonts w:cs="Arial"/>
                <w:sz w:val="18"/>
                <w:szCs w:val="18"/>
              </w:rPr>
            </w:pPr>
            <w:r w:rsidRPr="00781F21">
              <w:rPr>
                <w:rFonts w:cs="Arial"/>
                <w:sz w:val="18"/>
                <w:szCs w:val="18"/>
              </w:rPr>
              <w:t>1,641.8*</w:t>
            </w:r>
          </w:p>
        </w:tc>
        <w:tc>
          <w:tcPr>
            <w:tcW w:w="767" w:type="dxa"/>
            <w:hideMark/>
          </w:tcPr>
          <w:p w14:paraId="0890DAC1" w14:textId="77777777" w:rsidR="00B70C2F" w:rsidRPr="00781F21" w:rsidRDefault="00B70C2F" w:rsidP="00B70C2F">
            <w:pPr>
              <w:pStyle w:val="TableBodyTextright"/>
              <w:rPr>
                <w:rFonts w:cs="Arial"/>
                <w:sz w:val="18"/>
                <w:szCs w:val="18"/>
              </w:rPr>
            </w:pPr>
            <w:r w:rsidRPr="00781F21">
              <w:rPr>
                <w:rFonts w:cs="Arial"/>
                <w:sz w:val="18"/>
                <w:szCs w:val="18"/>
              </w:rPr>
              <w:t>24.2</w:t>
            </w:r>
          </w:p>
        </w:tc>
        <w:tc>
          <w:tcPr>
            <w:tcW w:w="882" w:type="dxa"/>
            <w:tcBorders>
              <w:right w:val="single" w:sz="4" w:space="0" w:color="FFFFFF" w:themeColor="background1"/>
            </w:tcBorders>
            <w:hideMark/>
          </w:tcPr>
          <w:p w14:paraId="3824D09E" w14:textId="77777777" w:rsidR="00B70C2F" w:rsidRPr="00781F21" w:rsidRDefault="00B70C2F" w:rsidP="00B70C2F">
            <w:pPr>
              <w:pStyle w:val="TableBodyTextright"/>
              <w:rPr>
                <w:rFonts w:cs="Arial"/>
                <w:sz w:val="18"/>
                <w:szCs w:val="18"/>
              </w:rPr>
            </w:pPr>
            <w:r w:rsidRPr="00781F21">
              <w:rPr>
                <w:rFonts w:cs="Arial"/>
                <w:sz w:val="18"/>
                <w:szCs w:val="18"/>
              </w:rPr>
              <w:t>1.5</w:t>
            </w:r>
          </w:p>
        </w:tc>
        <w:tc>
          <w:tcPr>
            <w:tcW w:w="1135" w:type="dxa"/>
            <w:tcBorders>
              <w:left w:val="single" w:sz="4" w:space="0" w:color="FFFFFF" w:themeColor="background1"/>
              <w:bottom w:val="nil"/>
            </w:tcBorders>
            <w:hideMark/>
          </w:tcPr>
          <w:p w14:paraId="77640135" w14:textId="77777777" w:rsidR="00B70C2F" w:rsidRPr="00781F21" w:rsidRDefault="00B70C2F" w:rsidP="00B70C2F">
            <w:pPr>
              <w:pStyle w:val="TableBodyTextright"/>
              <w:rPr>
                <w:rFonts w:cs="Arial"/>
                <w:sz w:val="18"/>
                <w:szCs w:val="18"/>
              </w:rPr>
            </w:pPr>
            <w:r w:rsidRPr="00781F21">
              <w:rPr>
                <w:rFonts w:cs="Arial"/>
                <w:sz w:val="18"/>
                <w:szCs w:val="18"/>
              </w:rPr>
              <w:t>3.3</w:t>
            </w:r>
          </w:p>
        </w:tc>
        <w:tc>
          <w:tcPr>
            <w:tcW w:w="1348" w:type="dxa"/>
            <w:tcBorders>
              <w:bottom w:val="nil"/>
              <w:right w:val="single" w:sz="4" w:space="0" w:color="FFFFFF" w:themeColor="background1"/>
            </w:tcBorders>
            <w:hideMark/>
          </w:tcPr>
          <w:p w14:paraId="528F36DA" w14:textId="4C3B056D" w:rsidR="00B70C2F" w:rsidRPr="00781F21" w:rsidRDefault="00B70C2F" w:rsidP="00B70C2F">
            <w:pPr>
              <w:pStyle w:val="TableBodyTextright"/>
              <w:rPr>
                <w:rFonts w:cs="Arial"/>
                <w:sz w:val="18"/>
                <w:szCs w:val="18"/>
              </w:rPr>
            </w:pPr>
            <w:r w:rsidRPr="006B493D">
              <w:rPr>
                <w:rFonts w:cs="Arial"/>
                <w:sz w:val="18"/>
                <w:szCs w:val="18"/>
              </w:rPr>
              <w:t>−</w:t>
            </w:r>
            <w:r w:rsidRPr="00781F21">
              <w:rPr>
                <w:rFonts w:cs="Arial"/>
                <w:sz w:val="18"/>
                <w:szCs w:val="18"/>
              </w:rPr>
              <w:t>0.3</w:t>
            </w:r>
          </w:p>
        </w:tc>
        <w:tc>
          <w:tcPr>
            <w:tcW w:w="1137" w:type="dxa"/>
            <w:tcBorders>
              <w:left w:val="single" w:sz="4" w:space="0" w:color="FFFFFF" w:themeColor="background1"/>
              <w:bottom w:val="nil"/>
            </w:tcBorders>
            <w:hideMark/>
          </w:tcPr>
          <w:p w14:paraId="5B3838E9" w14:textId="77777777" w:rsidR="00B70C2F" w:rsidRPr="00781F21" w:rsidRDefault="00B70C2F" w:rsidP="00B70C2F">
            <w:pPr>
              <w:pStyle w:val="TableBodyTextright"/>
              <w:rPr>
                <w:rFonts w:cs="Arial"/>
                <w:sz w:val="18"/>
                <w:szCs w:val="18"/>
              </w:rPr>
            </w:pPr>
            <w:r w:rsidRPr="00781F21">
              <w:rPr>
                <w:rFonts w:cs="Arial"/>
                <w:sz w:val="18"/>
                <w:szCs w:val="18"/>
              </w:rPr>
              <w:t>69.1</w:t>
            </w:r>
          </w:p>
        </w:tc>
        <w:tc>
          <w:tcPr>
            <w:tcW w:w="1348" w:type="dxa"/>
            <w:tcBorders>
              <w:bottom w:val="nil"/>
            </w:tcBorders>
            <w:hideMark/>
          </w:tcPr>
          <w:p w14:paraId="16EC3C2E" w14:textId="77777777" w:rsidR="00B70C2F" w:rsidRPr="00781F21" w:rsidRDefault="00B70C2F" w:rsidP="00B70C2F">
            <w:pPr>
              <w:pStyle w:val="TableBodyTextright"/>
              <w:rPr>
                <w:rFonts w:cs="Arial"/>
                <w:sz w:val="18"/>
                <w:szCs w:val="18"/>
              </w:rPr>
            </w:pPr>
            <w:r w:rsidRPr="00781F21">
              <w:rPr>
                <w:rFonts w:cs="Arial"/>
                <w:sz w:val="18"/>
                <w:szCs w:val="18"/>
              </w:rPr>
              <w:t>0.3</w:t>
            </w:r>
          </w:p>
        </w:tc>
      </w:tr>
      <w:tr w:rsidR="00CB346C" w:rsidRPr="006B493D" w14:paraId="4D61E583" w14:textId="77777777" w:rsidTr="00CC66D2">
        <w:trPr>
          <w:cnfStyle w:val="000000010000" w:firstRow="0" w:lastRow="0" w:firstColumn="0" w:lastColumn="0" w:oddVBand="0" w:evenVBand="0" w:oddHBand="0" w:evenHBand="1" w:firstRowFirstColumn="0" w:firstRowLastColumn="0" w:lastRowFirstColumn="0" w:lastRowLastColumn="0"/>
          <w:trHeight w:val="285"/>
        </w:trPr>
        <w:tc>
          <w:tcPr>
            <w:tcW w:w="1418" w:type="dxa"/>
            <w:hideMark/>
          </w:tcPr>
          <w:p w14:paraId="091B6DFD" w14:textId="3771A752" w:rsidR="00B70C2F" w:rsidRPr="00781F21" w:rsidRDefault="00CF7F95" w:rsidP="00B70C2F">
            <w:pPr>
              <w:pStyle w:val="TableBodyText"/>
              <w:rPr>
                <w:rFonts w:cs="Arial"/>
                <w:sz w:val="18"/>
                <w:szCs w:val="18"/>
              </w:rPr>
            </w:pPr>
            <w:r>
              <w:rPr>
                <w:rFonts w:cs="Arial"/>
                <w:sz w:val="18"/>
                <w:szCs w:val="18"/>
              </w:rPr>
              <w:t>TAS</w:t>
            </w:r>
          </w:p>
        </w:tc>
        <w:tc>
          <w:tcPr>
            <w:tcW w:w="992" w:type="dxa"/>
            <w:hideMark/>
          </w:tcPr>
          <w:p w14:paraId="7C572FCA" w14:textId="77777777" w:rsidR="00B70C2F" w:rsidRPr="00781F21" w:rsidRDefault="00B70C2F" w:rsidP="00B70C2F">
            <w:pPr>
              <w:pStyle w:val="TableBodyTextright"/>
              <w:rPr>
                <w:rFonts w:cs="Arial"/>
                <w:sz w:val="18"/>
                <w:szCs w:val="18"/>
              </w:rPr>
            </w:pPr>
            <w:r w:rsidRPr="00781F21">
              <w:rPr>
                <w:rFonts w:cs="Arial"/>
                <w:sz w:val="18"/>
                <w:szCs w:val="18"/>
              </w:rPr>
              <w:t>279.4</w:t>
            </w:r>
          </w:p>
        </w:tc>
        <w:tc>
          <w:tcPr>
            <w:tcW w:w="767" w:type="dxa"/>
            <w:hideMark/>
          </w:tcPr>
          <w:p w14:paraId="37D15105" w14:textId="5D7D7AF7" w:rsidR="00B70C2F" w:rsidRPr="00781F21" w:rsidRDefault="00B70C2F" w:rsidP="00B70C2F">
            <w:pPr>
              <w:pStyle w:val="TableBodyTextright"/>
              <w:rPr>
                <w:rFonts w:cs="Arial"/>
                <w:sz w:val="18"/>
                <w:szCs w:val="18"/>
              </w:rPr>
            </w:pPr>
            <w:r w:rsidRPr="006B493D">
              <w:rPr>
                <w:rFonts w:cs="Arial"/>
                <w:sz w:val="18"/>
                <w:szCs w:val="18"/>
              </w:rPr>
              <w:t>−</w:t>
            </w:r>
            <w:r w:rsidRPr="00781F21">
              <w:rPr>
                <w:rFonts w:cs="Arial"/>
                <w:sz w:val="18"/>
                <w:szCs w:val="18"/>
              </w:rPr>
              <w:t>1.8</w:t>
            </w:r>
          </w:p>
        </w:tc>
        <w:tc>
          <w:tcPr>
            <w:tcW w:w="882" w:type="dxa"/>
            <w:tcBorders>
              <w:right w:val="single" w:sz="4" w:space="0" w:color="FFFFFF" w:themeColor="background1"/>
            </w:tcBorders>
            <w:hideMark/>
          </w:tcPr>
          <w:p w14:paraId="741DF15F" w14:textId="2BE507A5" w:rsidR="00B70C2F" w:rsidRPr="00781F21" w:rsidRDefault="005F4999" w:rsidP="00B70C2F">
            <w:pPr>
              <w:pStyle w:val="TableBodyTextright"/>
              <w:rPr>
                <w:rFonts w:cs="Arial"/>
                <w:sz w:val="18"/>
                <w:szCs w:val="18"/>
              </w:rPr>
            </w:pPr>
            <w:r w:rsidRPr="006B493D">
              <w:rPr>
                <w:rFonts w:cs="Arial"/>
                <w:sz w:val="18"/>
                <w:szCs w:val="18"/>
              </w:rPr>
              <w:t>−</w:t>
            </w:r>
            <w:r w:rsidR="00B70C2F" w:rsidRPr="00781F21">
              <w:rPr>
                <w:rFonts w:cs="Arial"/>
                <w:sz w:val="18"/>
                <w:szCs w:val="18"/>
              </w:rPr>
              <w:t>0.6</w:t>
            </w:r>
          </w:p>
        </w:tc>
        <w:tc>
          <w:tcPr>
            <w:tcW w:w="1135" w:type="dxa"/>
            <w:tcBorders>
              <w:left w:val="single" w:sz="4" w:space="0" w:color="FFFFFF" w:themeColor="background1"/>
              <w:bottom w:val="nil"/>
            </w:tcBorders>
            <w:hideMark/>
          </w:tcPr>
          <w:p w14:paraId="3BC1D16F" w14:textId="77777777" w:rsidR="00B70C2F" w:rsidRPr="00781F21" w:rsidRDefault="00B70C2F" w:rsidP="00B70C2F">
            <w:pPr>
              <w:pStyle w:val="TableBodyTextright"/>
              <w:rPr>
                <w:rFonts w:cs="Arial"/>
                <w:sz w:val="18"/>
                <w:szCs w:val="18"/>
              </w:rPr>
            </w:pPr>
            <w:r w:rsidRPr="00781F21">
              <w:rPr>
                <w:rFonts w:cs="Arial"/>
                <w:sz w:val="18"/>
                <w:szCs w:val="18"/>
              </w:rPr>
              <w:t>4.3</w:t>
            </w:r>
          </w:p>
        </w:tc>
        <w:tc>
          <w:tcPr>
            <w:tcW w:w="1348" w:type="dxa"/>
            <w:tcBorders>
              <w:bottom w:val="nil"/>
              <w:right w:val="single" w:sz="4" w:space="0" w:color="FFFFFF" w:themeColor="background1"/>
            </w:tcBorders>
            <w:hideMark/>
          </w:tcPr>
          <w:p w14:paraId="158C55FC" w14:textId="77777777" w:rsidR="00B70C2F" w:rsidRPr="00781F21" w:rsidRDefault="00B70C2F" w:rsidP="00B70C2F">
            <w:pPr>
              <w:pStyle w:val="TableBodyTextright"/>
              <w:rPr>
                <w:rFonts w:cs="Arial"/>
                <w:sz w:val="18"/>
                <w:szCs w:val="18"/>
              </w:rPr>
            </w:pPr>
            <w:r w:rsidRPr="00781F21">
              <w:rPr>
                <w:rFonts w:cs="Arial"/>
                <w:sz w:val="18"/>
                <w:szCs w:val="18"/>
              </w:rPr>
              <w:t>0.3</w:t>
            </w:r>
          </w:p>
        </w:tc>
        <w:tc>
          <w:tcPr>
            <w:tcW w:w="1137" w:type="dxa"/>
            <w:tcBorders>
              <w:left w:val="single" w:sz="4" w:space="0" w:color="FFFFFF" w:themeColor="background1"/>
              <w:bottom w:val="nil"/>
            </w:tcBorders>
            <w:hideMark/>
          </w:tcPr>
          <w:p w14:paraId="43CB630A" w14:textId="77777777" w:rsidR="00B70C2F" w:rsidRPr="00781F21" w:rsidRDefault="00B70C2F" w:rsidP="00B70C2F">
            <w:pPr>
              <w:pStyle w:val="TableBodyTextright"/>
              <w:rPr>
                <w:rFonts w:cs="Arial"/>
                <w:sz w:val="18"/>
                <w:szCs w:val="18"/>
              </w:rPr>
            </w:pPr>
            <w:r w:rsidRPr="00781F21">
              <w:rPr>
                <w:rFonts w:cs="Arial"/>
                <w:sz w:val="18"/>
                <w:szCs w:val="18"/>
              </w:rPr>
              <w:t>60.3</w:t>
            </w:r>
          </w:p>
        </w:tc>
        <w:tc>
          <w:tcPr>
            <w:tcW w:w="1348" w:type="dxa"/>
            <w:tcBorders>
              <w:bottom w:val="nil"/>
            </w:tcBorders>
            <w:hideMark/>
          </w:tcPr>
          <w:p w14:paraId="6CA33CD7" w14:textId="05279F3A" w:rsidR="00B70C2F" w:rsidRPr="00781F21" w:rsidRDefault="00B70C2F" w:rsidP="00B70C2F">
            <w:pPr>
              <w:pStyle w:val="TableBodyTextright"/>
              <w:rPr>
                <w:rFonts w:cs="Arial"/>
                <w:sz w:val="18"/>
                <w:szCs w:val="18"/>
              </w:rPr>
            </w:pPr>
            <w:r w:rsidRPr="006B493D">
              <w:rPr>
                <w:rFonts w:cs="Arial"/>
                <w:sz w:val="18"/>
                <w:szCs w:val="18"/>
              </w:rPr>
              <w:t>−</w:t>
            </w:r>
            <w:r w:rsidRPr="00781F21">
              <w:rPr>
                <w:rFonts w:cs="Arial"/>
                <w:sz w:val="18"/>
                <w:szCs w:val="18"/>
              </w:rPr>
              <w:t>0.3</w:t>
            </w:r>
          </w:p>
        </w:tc>
      </w:tr>
      <w:tr w:rsidR="00CB346C" w:rsidRPr="006B493D" w14:paraId="194FEFBB" w14:textId="77777777" w:rsidTr="00CC66D2">
        <w:trPr>
          <w:trHeight w:val="285"/>
        </w:trPr>
        <w:tc>
          <w:tcPr>
            <w:tcW w:w="1418" w:type="dxa"/>
            <w:hideMark/>
          </w:tcPr>
          <w:p w14:paraId="3FAEB186" w14:textId="23B08A2F" w:rsidR="00B70C2F" w:rsidRPr="00781F21" w:rsidRDefault="00CF7F95" w:rsidP="00B70C2F">
            <w:pPr>
              <w:pStyle w:val="TableBodyText"/>
              <w:rPr>
                <w:rFonts w:cs="Arial"/>
                <w:sz w:val="18"/>
                <w:szCs w:val="18"/>
              </w:rPr>
            </w:pPr>
            <w:r>
              <w:rPr>
                <w:rFonts w:cs="Arial"/>
                <w:sz w:val="18"/>
                <w:szCs w:val="18"/>
              </w:rPr>
              <w:t>NT</w:t>
            </w:r>
          </w:p>
        </w:tc>
        <w:tc>
          <w:tcPr>
            <w:tcW w:w="992" w:type="dxa"/>
            <w:hideMark/>
          </w:tcPr>
          <w:p w14:paraId="2BDD40D7" w14:textId="77777777" w:rsidR="00B70C2F" w:rsidRPr="00781F21" w:rsidRDefault="00B70C2F" w:rsidP="00B70C2F">
            <w:pPr>
              <w:pStyle w:val="TableBodyTextright"/>
              <w:rPr>
                <w:rFonts w:cs="Arial"/>
                <w:sz w:val="18"/>
                <w:szCs w:val="18"/>
              </w:rPr>
            </w:pPr>
            <w:r w:rsidRPr="00781F21">
              <w:rPr>
                <w:rFonts w:cs="Arial"/>
                <w:sz w:val="18"/>
                <w:szCs w:val="18"/>
              </w:rPr>
              <w:t>138.9</w:t>
            </w:r>
          </w:p>
        </w:tc>
        <w:tc>
          <w:tcPr>
            <w:tcW w:w="767" w:type="dxa"/>
            <w:hideMark/>
          </w:tcPr>
          <w:p w14:paraId="620D45CE" w14:textId="77777777" w:rsidR="00B70C2F" w:rsidRPr="00781F21" w:rsidRDefault="00B70C2F" w:rsidP="00B70C2F">
            <w:pPr>
              <w:pStyle w:val="TableBodyTextright"/>
              <w:rPr>
                <w:rFonts w:cs="Arial"/>
                <w:sz w:val="18"/>
                <w:szCs w:val="18"/>
              </w:rPr>
            </w:pPr>
            <w:r w:rsidRPr="00781F21">
              <w:rPr>
                <w:rFonts w:cs="Arial"/>
                <w:sz w:val="18"/>
                <w:szCs w:val="18"/>
              </w:rPr>
              <w:t>0.4</w:t>
            </w:r>
          </w:p>
        </w:tc>
        <w:tc>
          <w:tcPr>
            <w:tcW w:w="882" w:type="dxa"/>
            <w:tcBorders>
              <w:right w:val="single" w:sz="4" w:space="0" w:color="FFFFFF" w:themeColor="background1"/>
            </w:tcBorders>
            <w:hideMark/>
          </w:tcPr>
          <w:p w14:paraId="323BD78A" w14:textId="77777777" w:rsidR="00B70C2F" w:rsidRPr="00781F21" w:rsidRDefault="00B70C2F" w:rsidP="00B70C2F">
            <w:pPr>
              <w:pStyle w:val="TableBodyTextright"/>
              <w:rPr>
                <w:rFonts w:cs="Arial"/>
                <w:sz w:val="18"/>
                <w:szCs w:val="18"/>
              </w:rPr>
            </w:pPr>
            <w:r w:rsidRPr="00781F21">
              <w:rPr>
                <w:rFonts w:cs="Arial"/>
                <w:sz w:val="18"/>
                <w:szCs w:val="18"/>
              </w:rPr>
              <w:t>0.3</w:t>
            </w:r>
          </w:p>
        </w:tc>
        <w:tc>
          <w:tcPr>
            <w:tcW w:w="1135" w:type="dxa"/>
            <w:tcBorders>
              <w:left w:val="single" w:sz="4" w:space="0" w:color="FFFFFF" w:themeColor="background1"/>
              <w:bottom w:val="nil"/>
            </w:tcBorders>
            <w:hideMark/>
          </w:tcPr>
          <w:p w14:paraId="3CC88B98" w14:textId="77777777" w:rsidR="00B70C2F" w:rsidRPr="00781F21" w:rsidRDefault="00B70C2F" w:rsidP="00B70C2F">
            <w:pPr>
              <w:pStyle w:val="TableBodyTextright"/>
              <w:rPr>
                <w:rFonts w:cs="Arial"/>
                <w:sz w:val="18"/>
                <w:szCs w:val="18"/>
              </w:rPr>
            </w:pPr>
            <w:r w:rsidRPr="00781F21">
              <w:rPr>
                <w:rFonts w:cs="Arial"/>
                <w:sz w:val="18"/>
                <w:szCs w:val="18"/>
              </w:rPr>
              <w:t>4.2</w:t>
            </w:r>
          </w:p>
        </w:tc>
        <w:tc>
          <w:tcPr>
            <w:tcW w:w="1348" w:type="dxa"/>
            <w:tcBorders>
              <w:bottom w:val="nil"/>
              <w:right w:val="single" w:sz="4" w:space="0" w:color="FFFFFF" w:themeColor="background1"/>
            </w:tcBorders>
            <w:hideMark/>
          </w:tcPr>
          <w:p w14:paraId="74A0247A" w14:textId="77777777" w:rsidR="00B70C2F" w:rsidRPr="00781F21" w:rsidRDefault="00B70C2F" w:rsidP="00B70C2F">
            <w:pPr>
              <w:pStyle w:val="TableBodyTextright"/>
              <w:rPr>
                <w:rFonts w:cs="Arial"/>
                <w:sz w:val="18"/>
                <w:szCs w:val="18"/>
              </w:rPr>
            </w:pPr>
            <w:r w:rsidRPr="00781F21">
              <w:rPr>
                <w:rFonts w:cs="Arial"/>
                <w:sz w:val="18"/>
                <w:szCs w:val="18"/>
              </w:rPr>
              <w:t>0.0</w:t>
            </w:r>
          </w:p>
        </w:tc>
        <w:tc>
          <w:tcPr>
            <w:tcW w:w="1137" w:type="dxa"/>
            <w:tcBorders>
              <w:left w:val="single" w:sz="4" w:space="0" w:color="FFFFFF" w:themeColor="background1"/>
              <w:bottom w:val="nil"/>
            </w:tcBorders>
            <w:hideMark/>
          </w:tcPr>
          <w:p w14:paraId="3EA4497E" w14:textId="77777777" w:rsidR="00B70C2F" w:rsidRPr="00781F21" w:rsidRDefault="00B70C2F" w:rsidP="00B70C2F">
            <w:pPr>
              <w:pStyle w:val="TableBodyTextright"/>
              <w:rPr>
                <w:rFonts w:cs="Arial"/>
                <w:sz w:val="18"/>
                <w:szCs w:val="18"/>
              </w:rPr>
            </w:pPr>
            <w:r w:rsidRPr="00781F21">
              <w:rPr>
                <w:rFonts w:cs="Arial"/>
                <w:sz w:val="18"/>
                <w:szCs w:val="18"/>
              </w:rPr>
              <w:t>72.2</w:t>
            </w:r>
          </w:p>
        </w:tc>
        <w:tc>
          <w:tcPr>
            <w:tcW w:w="1348" w:type="dxa"/>
            <w:tcBorders>
              <w:bottom w:val="nil"/>
            </w:tcBorders>
            <w:hideMark/>
          </w:tcPr>
          <w:p w14:paraId="3FA43347" w14:textId="77777777" w:rsidR="00B70C2F" w:rsidRPr="00781F21" w:rsidRDefault="00B70C2F" w:rsidP="00B70C2F">
            <w:pPr>
              <w:pStyle w:val="TableBodyTextright"/>
              <w:rPr>
                <w:rFonts w:cs="Arial"/>
                <w:sz w:val="18"/>
                <w:szCs w:val="18"/>
              </w:rPr>
            </w:pPr>
            <w:r w:rsidRPr="00781F21">
              <w:rPr>
                <w:rFonts w:cs="Arial"/>
                <w:sz w:val="18"/>
                <w:szCs w:val="18"/>
              </w:rPr>
              <w:t>0.0</w:t>
            </w:r>
          </w:p>
        </w:tc>
      </w:tr>
      <w:tr w:rsidR="00CB346C" w:rsidRPr="006B493D" w14:paraId="1367C2EC" w14:textId="77777777" w:rsidTr="00CC66D2">
        <w:trPr>
          <w:cnfStyle w:val="000000010000" w:firstRow="0" w:lastRow="0" w:firstColumn="0" w:lastColumn="0" w:oddVBand="0" w:evenVBand="0" w:oddHBand="0" w:evenHBand="1" w:firstRowFirstColumn="0" w:firstRowLastColumn="0" w:lastRowFirstColumn="0" w:lastRowLastColumn="0"/>
          <w:trHeight w:val="285"/>
        </w:trPr>
        <w:tc>
          <w:tcPr>
            <w:tcW w:w="1418" w:type="dxa"/>
            <w:hideMark/>
          </w:tcPr>
          <w:p w14:paraId="2AAC909B" w14:textId="54C76795" w:rsidR="00B70C2F" w:rsidRPr="00781F21" w:rsidRDefault="00CF7F95" w:rsidP="00B70C2F">
            <w:pPr>
              <w:pStyle w:val="TableBodyText"/>
              <w:rPr>
                <w:rFonts w:cs="Arial"/>
                <w:sz w:val="18"/>
                <w:szCs w:val="18"/>
              </w:rPr>
            </w:pPr>
            <w:r>
              <w:rPr>
                <w:rFonts w:cs="Arial"/>
                <w:sz w:val="18"/>
                <w:szCs w:val="18"/>
              </w:rPr>
              <w:t>ACT</w:t>
            </w:r>
          </w:p>
        </w:tc>
        <w:tc>
          <w:tcPr>
            <w:tcW w:w="992" w:type="dxa"/>
            <w:hideMark/>
          </w:tcPr>
          <w:p w14:paraId="39346293" w14:textId="77777777" w:rsidR="00B70C2F" w:rsidRPr="00781F21" w:rsidRDefault="00B70C2F" w:rsidP="00B70C2F">
            <w:pPr>
              <w:pStyle w:val="TableBodyTextright"/>
              <w:rPr>
                <w:rFonts w:cs="Arial"/>
                <w:sz w:val="18"/>
                <w:szCs w:val="18"/>
              </w:rPr>
            </w:pPr>
            <w:r w:rsidRPr="00781F21">
              <w:rPr>
                <w:rFonts w:cs="Arial"/>
                <w:sz w:val="18"/>
                <w:szCs w:val="18"/>
              </w:rPr>
              <w:t>272.0</w:t>
            </w:r>
          </w:p>
        </w:tc>
        <w:tc>
          <w:tcPr>
            <w:tcW w:w="767" w:type="dxa"/>
            <w:hideMark/>
          </w:tcPr>
          <w:p w14:paraId="29B67A32" w14:textId="1515BF9F" w:rsidR="00B70C2F" w:rsidRPr="00781F21" w:rsidRDefault="00B70C2F" w:rsidP="00B70C2F">
            <w:pPr>
              <w:pStyle w:val="TableBodyTextright"/>
              <w:rPr>
                <w:rFonts w:cs="Arial"/>
                <w:sz w:val="18"/>
                <w:szCs w:val="18"/>
              </w:rPr>
            </w:pPr>
            <w:r w:rsidRPr="006B493D">
              <w:rPr>
                <w:sz w:val="18"/>
                <w:szCs w:val="18"/>
              </w:rPr>
              <w:t>−</w:t>
            </w:r>
            <w:r w:rsidRPr="00781F21">
              <w:rPr>
                <w:rFonts w:cs="Arial"/>
                <w:sz w:val="18"/>
                <w:szCs w:val="18"/>
              </w:rPr>
              <w:t>0.5</w:t>
            </w:r>
          </w:p>
        </w:tc>
        <w:tc>
          <w:tcPr>
            <w:tcW w:w="882" w:type="dxa"/>
            <w:tcBorders>
              <w:right w:val="single" w:sz="4" w:space="0" w:color="FFFFFF" w:themeColor="background1"/>
            </w:tcBorders>
            <w:hideMark/>
          </w:tcPr>
          <w:p w14:paraId="587A8D01" w14:textId="4DE99D1E" w:rsidR="00B70C2F" w:rsidRPr="00781F21" w:rsidRDefault="005F4999" w:rsidP="00B70C2F">
            <w:pPr>
              <w:pStyle w:val="TableBodyTextright"/>
              <w:rPr>
                <w:rFonts w:cs="Arial"/>
                <w:sz w:val="18"/>
                <w:szCs w:val="18"/>
              </w:rPr>
            </w:pPr>
            <w:r w:rsidRPr="006B493D">
              <w:rPr>
                <w:rFonts w:cs="Arial"/>
                <w:sz w:val="18"/>
                <w:szCs w:val="18"/>
              </w:rPr>
              <w:t>−</w:t>
            </w:r>
            <w:r w:rsidR="00B70C2F" w:rsidRPr="00781F21">
              <w:rPr>
                <w:rFonts w:cs="Arial"/>
                <w:sz w:val="18"/>
                <w:szCs w:val="18"/>
              </w:rPr>
              <w:t>0.2</w:t>
            </w:r>
          </w:p>
        </w:tc>
        <w:tc>
          <w:tcPr>
            <w:tcW w:w="1135" w:type="dxa"/>
            <w:tcBorders>
              <w:left w:val="single" w:sz="4" w:space="0" w:color="FFFFFF" w:themeColor="background1"/>
              <w:bottom w:val="nil"/>
            </w:tcBorders>
            <w:hideMark/>
          </w:tcPr>
          <w:p w14:paraId="70804C15" w14:textId="77777777" w:rsidR="00B70C2F" w:rsidRPr="00781F21" w:rsidRDefault="00B70C2F" w:rsidP="00B70C2F">
            <w:pPr>
              <w:pStyle w:val="TableBodyTextright"/>
              <w:rPr>
                <w:rFonts w:cs="Arial"/>
                <w:sz w:val="18"/>
                <w:szCs w:val="18"/>
              </w:rPr>
            </w:pPr>
            <w:r w:rsidRPr="00781F21">
              <w:rPr>
                <w:rFonts w:cs="Arial"/>
                <w:sz w:val="18"/>
                <w:szCs w:val="18"/>
              </w:rPr>
              <w:t>3.1</w:t>
            </w:r>
          </w:p>
        </w:tc>
        <w:tc>
          <w:tcPr>
            <w:tcW w:w="1348" w:type="dxa"/>
            <w:tcBorders>
              <w:bottom w:val="nil"/>
              <w:right w:val="single" w:sz="4" w:space="0" w:color="FFFFFF" w:themeColor="background1"/>
            </w:tcBorders>
            <w:hideMark/>
          </w:tcPr>
          <w:p w14:paraId="04F3B0FA" w14:textId="2EE3E256" w:rsidR="00B70C2F" w:rsidRPr="00781F21" w:rsidRDefault="00B70C2F" w:rsidP="00B70C2F">
            <w:pPr>
              <w:pStyle w:val="TableBodyTextright"/>
              <w:rPr>
                <w:rFonts w:cs="Arial"/>
                <w:sz w:val="18"/>
                <w:szCs w:val="18"/>
              </w:rPr>
            </w:pPr>
            <w:r w:rsidRPr="006B493D">
              <w:rPr>
                <w:rFonts w:cs="Arial"/>
                <w:sz w:val="18"/>
                <w:szCs w:val="18"/>
              </w:rPr>
              <w:t>−</w:t>
            </w:r>
            <w:r w:rsidRPr="00781F21">
              <w:rPr>
                <w:rFonts w:cs="Arial"/>
                <w:sz w:val="18"/>
                <w:szCs w:val="18"/>
              </w:rPr>
              <w:t>0.2</w:t>
            </w:r>
          </w:p>
        </w:tc>
        <w:tc>
          <w:tcPr>
            <w:tcW w:w="1137" w:type="dxa"/>
            <w:tcBorders>
              <w:left w:val="single" w:sz="4" w:space="0" w:color="FFFFFF" w:themeColor="background1"/>
              <w:bottom w:val="nil"/>
            </w:tcBorders>
            <w:hideMark/>
          </w:tcPr>
          <w:p w14:paraId="13D9174D" w14:textId="77777777" w:rsidR="00B70C2F" w:rsidRPr="00781F21" w:rsidRDefault="00B70C2F" w:rsidP="00B70C2F">
            <w:pPr>
              <w:pStyle w:val="TableBodyTextright"/>
              <w:rPr>
                <w:rFonts w:cs="Arial"/>
                <w:sz w:val="18"/>
                <w:szCs w:val="18"/>
              </w:rPr>
            </w:pPr>
            <w:r w:rsidRPr="00781F21">
              <w:rPr>
                <w:rFonts w:cs="Arial"/>
                <w:sz w:val="18"/>
                <w:szCs w:val="18"/>
              </w:rPr>
              <w:t>72.1</w:t>
            </w:r>
          </w:p>
        </w:tc>
        <w:tc>
          <w:tcPr>
            <w:tcW w:w="1348" w:type="dxa"/>
            <w:tcBorders>
              <w:bottom w:val="nil"/>
            </w:tcBorders>
            <w:hideMark/>
          </w:tcPr>
          <w:p w14:paraId="0A5FAC75" w14:textId="50EFEEB5" w:rsidR="00B70C2F" w:rsidRPr="00781F21" w:rsidRDefault="00B70C2F" w:rsidP="00B70C2F">
            <w:pPr>
              <w:pStyle w:val="TableBodyTextright"/>
              <w:rPr>
                <w:rFonts w:cs="Arial"/>
                <w:sz w:val="18"/>
                <w:szCs w:val="18"/>
              </w:rPr>
            </w:pPr>
            <w:r w:rsidRPr="006B493D">
              <w:rPr>
                <w:rFonts w:cs="Arial"/>
                <w:sz w:val="18"/>
                <w:szCs w:val="18"/>
              </w:rPr>
              <w:t>−</w:t>
            </w:r>
            <w:r w:rsidRPr="00781F21">
              <w:rPr>
                <w:rFonts w:cs="Arial"/>
                <w:sz w:val="18"/>
                <w:szCs w:val="18"/>
              </w:rPr>
              <w:t>0.6</w:t>
            </w:r>
          </w:p>
        </w:tc>
      </w:tr>
      <w:tr w:rsidR="00CB346C" w:rsidRPr="006B493D" w14:paraId="7763CFB7" w14:textId="77777777" w:rsidTr="00CC66D2">
        <w:trPr>
          <w:trHeight w:val="300"/>
        </w:trPr>
        <w:tc>
          <w:tcPr>
            <w:tcW w:w="1418" w:type="dxa"/>
            <w:hideMark/>
          </w:tcPr>
          <w:p w14:paraId="0EAD96FA" w14:textId="77777777" w:rsidR="00B70C2F" w:rsidRPr="00781F21" w:rsidRDefault="00B70C2F" w:rsidP="00B70C2F">
            <w:pPr>
              <w:pStyle w:val="BodyText"/>
              <w:rPr>
                <w:rStyle w:val="Characterbold"/>
                <w:rFonts w:cs="Arial"/>
                <w:sz w:val="18"/>
                <w:szCs w:val="18"/>
              </w:rPr>
            </w:pPr>
            <w:r w:rsidRPr="00781F21">
              <w:rPr>
                <w:rStyle w:val="Characterbold"/>
                <w:rFonts w:cs="Arial"/>
                <w:sz w:val="18"/>
                <w:szCs w:val="18"/>
              </w:rPr>
              <w:t>Australia</w:t>
            </w:r>
          </w:p>
        </w:tc>
        <w:tc>
          <w:tcPr>
            <w:tcW w:w="992" w:type="dxa"/>
            <w:hideMark/>
          </w:tcPr>
          <w:p w14:paraId="3485B3FC" w14:textId="77777777" w:rsidR="00B70C2F" w:rsidRPr="00781F21" w:rsidRDefault="00B70C2F" w:rsidP="00781F21">
            <w:pPr>
              <w:pStyle w:val="TableBodyTextright"/>
              <w:rPr>
                <w:rStyle w:val="Characterbold"/>
                <w:rFonts w:cs="Arial"/>
                <w:sz w:val="18"/>
                <w:szCs w:val="18"/>
              </w:rPr>
            </w:pPr>
            <w:r w:rsidRPr="00781F21">
              <w:rPr>
                <w:rStyle w:val="Characterbold"/>
                <w:rFonts w:cs="Arial"/>
                <w:sz w:val="18"/>
                <w:szCs w:val="18"/>
              </w:rPr>
              <w:t>14,584.4*</w:t>
            </w:r>
          </w:p>
        </w:tc>
        <w:tc>
          <w:tcPr>
            <w:tcW w:w="767" w:type="dxa"/>
            <w:hideMark/>
          </w:tcPr>
          <w:p w14:paraId="0856A91C" w14:textId="77777777" w:rsidR="00B70C2F" w:rsidRPr="00781F21" w:rsidRDefault="00B70C2F" w:rsidP="00781F21">
            <w:pPr>
              <w:pStyle w:val="TableBodyTextright"/>
              <w:rPr>
                <w:rStyle w:val="Characterbold"/>
                <w:rFonts w:cs="Arial"/>
                <w:bCs w:val="0"/>
                <w:sz w:val="18"/>
                <w:szCs w:val="18"/>
              </w:rPr>
            </w:pPr>
            <w:r w:rsidRPr="00781F21">
              <w:rPr>
                <w:rStyle w:val="Characterbold"/>
                <w:rFonts w:cs="Arial"/>
                <w:sz w:val="18"/>
                <w:szCs w:val="18"/>
              </w:rPr>
              <w:t>97.0</w:t>
            </w:r>
          </w:p>
        </w:tc>
        <w:tc>
          <w:tcPr>
            <w:tcW w:w="882" w:type="dxa"/>
            <w:tcBorders>
              <w:right w:val="single" w:sz="4" w:space="0" w:color="FFFFFF" w:themeColor="background1"/>
            </w:tcBorders>
            <w:hideMark/>
          </w:tcPr>
          <w:p w14:paraId="7FA2537C" w14:textId="77777777" w:rsidR="00B70C2F" w:rsidRPr="00781F21" w:rsidRDefault="00B70C2F" w:rsidP="00781F21">
            <w:pPr>
              <w:pStyle w:val="TableBodyTextright"/>
              <w:rPr>
                <w:rStyle w:val="Characterbold"/>
                <w:rFonts w:cs="Arial"/>
                <w:bCs w:val="0"/>
                <w:sz w:val="18"/>
                <w:szCs w:val="18"/>
              </w:rPr>
            </w:pPr>
            <w:r w:rsidRPr="00781F21">
              <w:rPr>
                <w:rStyle w:val="Characterbold"/>
                <w:rFonts w:cs="Arial"/>
                <w:sz w:val="18"/>
                <w:szCs w:val="18"/>
              </w:rPr>
              <w:t>0.7</w:t>
            </w:r>
          </w:p>
        </w:tc>
        <w:tc>
          <w:tcPr>
            <w:tcW w:w="1135" w:type="dxa"/>
            <w:tcBorders>
              <w:left w:val="single" w:sz="4" w:space="0" w:color="FFFFFF" w:themeColor="background1"/>
              <w:bottom w:val="single" w:sz="4" w:space="0" w:color="2F005F"/>
            </w:tcBorders>
            <w:hideMark/>
          </w:tcPr>
          <w:p w14:paraId="1169C4B8" w14:textId="77777777" w:rsidR="00B70C2F" w:rsidRPr="00781F21" w:rsidRDefault="00B70C2F" w:rsidP="00781F21">
            <w:pPr>
              <w:pStyle w:val="TableBodyTextright"/>
              <w:rPr>
                <w:rStyle w:val="Characterbold"/>
                <w:rFonts w:cs="Arial"/>
                <w:bCs w:val="0"/>
                <w:sz w:val="18"/>
                <w:szCs w:val="18"/>
              </w:rPr>
            </w:pPr>
            <w:r w:rsidRPr="00781F21">
              <w:rPr>
                <w:rStyle w:val="Characterbold"/>
                <w:rFonts w:cs="Arial"/>
                <w:sz w:val="18"/>
                <w:szCs w:val="18"/>
              </w:rPr>
              <w:t>4.0</w:t>
            </w:r>
          </w:p>
        </w:tc>
        <w:tc>
          <w:tcPr>
            <w:tcW w:w="1348" w:type="dxa"/>
            <w:tcBorders>
              <w:bottom w:val="single" w:sz="4" w:space="0" w:color="2F005F"/>
              <w:right w:val="single" w:sz="4" w:space="0" w:color="FFFFFF" w:themeColor="background1"/>
            </w:tcBorders>
            <w:hideMark/>
          </w:tcPr>
          <w:p w14:paraId="21AC864F" w14:textId="66E3E287" w:rsidR="00B70C2F" w:rsidRPr="00781F21" w:rsidRDefault="00B70C2F" w:rsidP="00781F21">
            <w:pPr>
              <w:pStyle w:val="TableBodyTextright"/>
              <w:rPr>
                <w:rStyle w:val="Characterbold"/>
                <w:rFonts w:cs="Arial"/>
                <w:bCs w:val="0"/>
                <w:sz w:val="18"/>
                <w:szCs w:val="18"/>
              </w:rPr>
            </w:pPr>
            <w:r w:rsidRPr="006B493D">
              <w:rPr>
                <w:sz w:val="18"/>
                <w:szCs w:val="18"/>
              </w:rPr>
              <w:t>−</w:t>
            </w:r>
            <w:r w:rsidRPr="00781F21">
              <w:rPr>
                <w:rStyle w:val="Characterbold"/>
                <w:rFonts w:cs="Arial"/>
                <w:sz w:val="18"/>
                <w:szCs w:val="18"/>
              </w:rPr>
              <w:t>0.1</w:t>
            </w:r>
          </w:p>
        </w:tc>
        <w:tc>
          <w:tcPr>
            <w:tcW w:w="1137" w:type="dxa"/>
            <w:tcBorders>
              <w:left w:val="single" w:sz="4" w:space="0" w:color="FFFFFF" w:themeColor="background1"/>
              <w:bottom w:val="single" w:sz="4" w:space="0" w:color="2F005F"/>
            </w:tcBorders>
            <w:hideMark/>
          </w:tcPr>
          <w:p w14:paraId="72A958C4" w14:textId="77777777" w:rsidR="00B70C2F" w:rsidRPr="00781F21" w:rsidRDefault="00B70C2F" w:rsidP="00781F21">
            <w:pPr>
              <w:pStyle w:val="TableBodyTextright"/>
              <w:rPr>
                <w:rStyle w:val="Characterbold"/>
                <w:rFonts w:cs="Arial"/>
                <w:bCs w:val="0"/>
                <w:sz w:val="18"/>
                <w:szCs w:val="18"/>
              </w:rPr>
            </w:pPr>
            <w:r w:rsidRPr="00781F21">
              <w:rPr>
                <w:rStyle w:val="Characterbold"/>
                <w:rFonts w:cs="Arial"/>
                <w:sz w:val="18"/>
                <w:szCs w:val="18"/>
              </w:rPr>
              <w:t>67.1**</w:t>
            </w:r>
          </w:p>
        </w:tc>
        <w:tc>
          <w:tcPr>
            <w:tcW w:w="1348" w:type="dxa"/>
            <w:tcBorders>
              <w:bottom w:val="single" w:sz="4" w:space="0" w:color="2F005F"/>
            </w:tcBorders>
            <w:hideMark/>
          </w:tcPr>
          <w:p w14:paraId="65BF4FC3" w14:textId="77777777" w:rsidR="00B70C2F" w:rsidRPr="00781F21" w:rsidRDefault="00B70C2F" w:rsidP="00781F21">
            <w:pPr>
              <w:pStyle w:val="TableBodyTextright"/>
              <w:rPr>
                <w:rStyle w:val="Characterbold"/>
                <w:rFonts w:cs="Arial"/>
                <w:bCs w:val="0"/>
                <w:sz w:val="18"/>
                <w:szCs w:val="18"/>
              </w:rPr>
            </w:pPr>
            <w:r w:rsidRPr="00781F21">
              <w:rPr>
                <w:rStyle w:val="Characterbold"/>
                <w:rFonts w:cs="Arial"/>
                <w:sz w:val="18"/>
                <w:szCs w:val="18"/>
              </w:rPr>
              <w:t>0.0</w:t>
            </w:r>
          </w:p>
        </w:tc>
      </w:tr>
    </w:tbl>
    <w:p w14:paraId="27D254A0" w14:textId="77777777" w:rsidR="003B4D15" w:rsidRPr="003B4D15" w:rsidRDefault="003B4D15" w:rsidP="00DB1AC2">
      <w:pPr>
        <w:pStyle w:val="Source"/>
      </w:pPr>
      <w:r w:rsidRPr="003B4D15">
        <w:t>Source: ABS, Labour Force, Australia, December 2024, seasonally adjusted data. *Record high. **Equal record high.</w:t>
      </w:r>
    </w:p>
    <w:p w14:paraId="4B053400" w14:textId="05DC6E56" w:rsidR="003B4D15" w:rsidRPr="00DB1AC2" w:rsidRDefault="003B4D15" w:rsidP="00DB1AC2">
      <w:pPr>
        <w:pStyle w:val="BodyText"/>
      </w:pPr>
      <w:r w:rsidRPr="00DB1AC2">
        <w:t xml:space="preserve">Employment rose by 186,100 (1.9%) in the capital cities and by 74,200 (1.7%) in the rest of state regions, </w:t>
      </w:r>
      <w:r w:rsidR="00AE2838">
        <w:t xml:space="preserve">during </w:t>
      </w:r>
      <w:r w:rsidRPr="00DB1AC2">
        <w:t>the quarter.</w:t>
      </w:r>
    </w:p>
    <w:p w14:paraId="5156AE91" w14:textId="277F11D9" w:rsidR="00DB1AC2" w:rsidRPr="00DB1AC2" w:rsidRDefault="003B4D15" w:rsidP="00DB1AC2">
      <w:pPr>
        <w:pStyle w:val="BodyText"/>
      </w:pPr>
      <w:r w:rsidRPr="00DB1AC2">
        <w:t xml:space="preserve">The unemployment rate in both the capital cities (3.9%) and the rest of state regions (3.5%) fell by 0.1 percentage points </w:t>
      </w:r>
      <w:r w:rsidR="00683612">
        <w:t>in December 2024</w:t>
      </w:r>
      <w:r w:rsidRPr="00DB1AC2">
        <w:t xml:space="preserve">. The participation rate increased by 0.7 percentage points to 69.3% in the capital cities and by 0.8 percentage points to 64.1% in the rest of state regions (Table 3). </w:t>
      </w:r>
    </w:p>
    <w:p w14:paraId="1B387CA7" w14:textId="0A68E779" w:rsidR="00FE18D3" w:rsidRPr="00FE18D3" w:rsidRDefault="0061776C" w:rsidP="00FD5E3B">
      <w:pPr>
        <w:pStyle w:val="Caption"/>
      </w:pPr>
      <w:r>
        <w:t xml:space="preserve">Table </w:t>
      </w:r>
      <w:r>
        <w:fldChar w:fldCharType="begin"/>
      </w:r>
      <w:r>
        <w:instrText xml:space="preserve"> SEQ Table \* ARABIC </w:instrText>
      </w:r>
      <w:r>
        <w:fldChar w:fldCharType="separate"/>
      </w:r>
      <w:r w:rsidR="004B52FB">
        <w:rPr>
          <w:noProof/>
        </w:rPr>
        <w:t>3</w:t>
      </w:r>
      <w:r>
        <w:fldChar w:fldCharType="end"/>
      </w:r>
      <w:r w:rsidR="00FE18D3" w:rsidRPr="00FE18D3">
        <w:t>: Key labour market indicators, capital cities and rest of state regions, December 2024</w:t>
      </w:r>
    </w:p>
    <w:tbl>
      <w:tblPr>
        <w:tblStyle w:val="CustomTablebasic"/>
        <w:tblW w:w="9027" w:type="dxa"/>
        <w:tblLayout w:type="fixed"/>
        <w:tblLook w:val="04A0" w:firstRow="1" w:lastRow="0" w:firstColumn="1" w:lastColumn="0" w:noHBand="0" w:noVBand="1"/>
      </w:tblPr>
      <w:tblGrid>
        <w:gridCol w:w="2396"/>
        <w:gridCol w:w="1128"/>
        <w:gridCol w:w="1129"/>
        <w:gridCol w:w="1130"/>
        <w:gridCol w:w="1128"/>
        <w:gridCol w:w="1129"/>
        <w:gridCol w:w="987"/>
      </w:tblGrid>
      <w:tr w:rsidR="00FE18D3" w:rsidRPr="00576F12" w14:paraId="5F822059" w14:textId="77777777" w:rsidTr="007846B1">
        <w:trPr>
          <w:cnfStyle w:val="100000000000" w:firstRow="1" w:lastRow="0" w:firstColumn="0" w:lastColumn="0" w:oddVBand="0" w:evenVBand="0" w:oddHBand="0" w:evenHBand="0" w:firstRowFirstColumn="0" w:firstRowLastColumn="0" w:lastRowFirstColumn="0" w:lastRowLastColumn="0"/>
          <w:trHeight w:val="300"/>
        </w:trPr>
        <w:tc>
          <w:tcPr>
            <w:tcW w:w="2410" w:type="dxa"/>
            <w:vMerge w:val="restart"/>
            <w:hideMark/>
          </w:tcPr>
          <w:p w14:paraId="6112D727" w14:textId="77777777" w:rsidR="00FE18D3" w:rsidRPr="00576F12" w:rsidRDefault="00FE18D3" w:rsidP="006A6958">
            <w:pPr>
              <w:pStyle w:val="TableHeading1"/>
              <w:rPr>
                <w:sz w:val="18"/>
                <w:szCs w:val="18"/>
              </w:rPr>
            </w:pPr>
            <w:r w:rsidRPr="00576F12">
              <w:rPr>
                <w:sz w:val="18"/>
                <w:szCs w:val="18"/>
              </w:rPr>
              <w:t> </w:t>
            </w:r>
          </w:p>
        </w:tc>
        <w:tc>
          <w:tcPr>
            <w:tcW w:w="3403" w:type="dxa"/>
            <w:gridSpan w:val="3"/>
            <w:tcBorders>
              <w:right w:val="nil"/>
            </w:tcBorders>
            <w:hideMark/>
          </w:tcPr>
          <w:p w14:paraId="2AD4CDC2" w14:textId="77777777" w:rsidR="00FE18D3" w:rsidRPr="00576F12" w:rsidRDefault="00FE18D3" w:rsidP="007846B1">
            <w:pPr>
              <w:pStyle w:val="TableHeading1"/>
              <w:jc w:val="center"/>
              <w:rPr>
                <w:rStyle w:val="Characterbold"/>
              </w:rPr>
            </w:pPr>
            <w:r w:rsidRPr="00576F12">
              <w:rPr>
                <w:rStyle w:val="Characterbold"/>
              </w:rPr>
              <w:t>Capital cities</w:t>
            </w:r>
          </w:p>
        </w:tc>
        <w:tc>
          <w:tcPr>
            <w:tcW w:w="3259" w:type="dxa"/>
            <w:gridSpan w:val="3"/>
            <w:tcBorders>
              <w:left w:val="nil"/>
            </w:tcBorders>
            <w:hideMark/>
          </w:tcPr>
          <w:p w14:paraId="40E6561B" w14:textId="77777777" w:rsidR="00FE18D3" w:rsidRPr="00576F12" w:rsidRDefault="00FE18D3" w:rsidP="007846B1">
            <w:pPr>
              <w:pStyle w:val="TableHeading1"/>
              <w:jc w:val="center"/>
              <w:rPr>
                <w:rStyle w:val="Characterbold"/>
              </w:rPr>
            </w:pPr>
            <w:r w:rsidRPr="00576F12">
              <w:rPr>
                <w:rStyle w:val="Characterbold"/>
              </w:rPr>
              <w:t>Rest of state regions</w:t>
            </w:r>
          </w:p>
        </w:tc>
      </w:tr>
      <w:tr w:rsidR="00FE18D3" w:rsidRPr="00576F12" w14:paraId="622F3C88" w14:textId="77777777" w:rsidTr="005D1DC5">
        <w:trPr>
          <w:trHeight w:val="315"/>
        </w:trPr>
        <w:tc>
          <w:tcPr>
            <w:tcW w:w="2410" w:type="dxa"/>
            <w:vMerge/>
            <w:hideMark/>
          </w:tcPr>
          <w:p w14:paraId="1E1FEEAB" w14:textId="77777777" w:rsidR="00FE18D3" w:rsidRPr="00576F12" w:rsidRDefault="00FE18D3" w:rsidP="006A6958">
            <w:pPr>
              <w:pStyle w:val="TableHeading1"/>
              <w:rPr>
                <w:sz w:val="18"/>
                <w:szCs w:val="18"/>
              </w:rPr>
            </w:pPr>
          </w:p>
        </w:tc>
        <w:tc>
          <w:tcPr>
            <w:tcW w:w="1134" w:type="dxa"/>
            <w:shd w:val="clear" w:color="auto" w:fill="2F005F"/>
            <w:hideMark/>
          </w:tcPr>
          <w:p w14:paraId="4A13E505" w14:textId="77777777" w:rsidR="00FE18D3" w:rsidRPr="00576F12" w:rsidRDefault="00FE18D3" w:rsidP="00C97A82">
            <w:pPr>
              <w:pStyle w:val="TableHeading1"/>
              <w:jc w:val="center"/>
              <w:rPr>
                <w:sz w:val="18"/>
                <w:szCs w:val="18"/>
              </w:rPr>
            </w:pPr>
            <w:r w:rsidRPr="00576F12">
              <w:rPr>
                <w:sz w:val="18"/>
                <w:szCs w:val="18"/>
              </w:rPr>
              <w:t>Dec-24</w:t>
            </w:r>
          </w:p>
        </w:tc>
        <w:tc>
          <w:tcPr>
            <w:tcW w:w="2269" w:type="dxa"/>
            <w:gridSpan w:val="2"/>
            <w:tcBorders>
              <w:right w:val="single" w:sz="4" w:space="0" w:color="FFFFFF" w:themeColor="background1"/>
            </w:tcBorders>
            <w:shd w:val="clear" w:color="auto" w:fill="2F005F"/>
            <w:hideMark/>
          </w:tcPr>
          <w:p w14:paraId="7845D4EB" w14:textId="77777777" w:rsidR="00FE18D3" w:rsidRPr="00576F12" w:rsidRDefault="00FE18D3" w:rsidP="00C97A82">
            <w:pPr>
              <w:pStyle w:val="TableHeading1"/>
              <w:jc w:val="center"/>
              <w:rPr>
                <w:sz w:val="18"/>
                <w:szCs w:val="18"/>
              </w:rPr>
            </w:pPr>
            <w:r w:rsidRPr="00576F12">
              <w:rPr>
                <w:sz w:val="18"/>
                <w:szCs w:val="18"/>
              </w:rPr>
              <w:t>Change since Sep-24</w:t>
            </w:r>
          </w:p>
        </w:tc>
        <w:tc>
          <w:tcPr>
            <w:tcW w:w="1133" w:type="dxa"/>
            <w:tcBorders>
              <w:left w:val="single" w:sz="4" w:space="0" w:color="FFFFFF" w:themeColor="background1"/>
              <w:bottom w:val="nil"/>
            </w:tcBorders>
            <w:shd w:val="clear" w:color="auto" w:fill="2F005F"/>
            <w:hideMark/>
          </w:tcPr>
          <w:p w14:paraId="2A062EFD" w14:textId="77777777" w:rsidR="00FE18D3" w:rsidRPr="00576F12" w:rsidRDefault="00FE18D3" w:rsidP="00C97A82">
            <w:pPr>
              <w:pStyle w:val="TableHeading1"/>
              <w:jc w:val="center"/>
              <w:rPr>
                <w:sz w:val="18"/>
                <w:szCs w:val="18"/>
              </w:rPr>
            </w:pPr>
            <w:r w:rsidRPr="00576F12">
              <w:rPr>
                <w:sz w:val="18"/>
                <w:szCs w:val="18"/>
              </w:rPr>
              <w:t>Dec-24</w:t>
            </w:r>
          </w:p>
        </w:tc>
        <w:tc>
          <w:tcPr>
            <w:tcW w:w="2126" w:type="dxa"/>
            <w:gridSpan w:val="2"/>
            <w:tcBorders>
              <w:bottom w:val="nil"/>
            </w:tcBorders>
            <w:shd w:val="clear" w:color="auto" w:fill="2F005F"/>
            <w:hideMark/>
          </w:tcPr>
          <w:p w14:paraId="4A455DE0" w14:textId="77777777" w:rsidR="00FE18D3" w:rsidRPr="00576F12" w:rsidRDefault="00FE18D3" w:rsidP="00C97A82">
            <w:pPr>
              <w:pStyle w:val="TableHeading1"/>
              <w:jc w:val="center"/>
              <w:rPr>
                <w:sz w:val="18"/>
                <w:szCs w:val="18"/>
              </w:rPr>
            </w:pPr>
            <w:r w:rsidRPr="00576F12">
              <w:rPr>
                <w:sz w:val="18"/>
                <w:szCs w:val="18"/>
              </w:rPr>
              <w:t>Change since Sep-24</w:t>
            </w:r>
          </w:p>
        </w:tc>
      </w:tr>
      <w:tr w:rsidR="00EC60D4" w:rsidRPr="00576F12" w14:paraId="50761077" w14:textId="77777777" w:rsidTr="005D1DC5">
        <w:trPr>
          <w:cnfStyle w:val="000000010000" w:firstRow="0" w:lastRow="0" w:firstColumn="0" w:lastColumn="0" w:oddVBand="0" w:evenVBand="0" w:oddHBand="0" w:evenHBand="1" w:firstRowFirstColumn="0" w:firstRowLastColumn="0" w:lastRowFirstColumn="0" w:lastRowLastColumn="0"/>
          <w:trHeight w:val="300"/>
        </w:trPr>
        <w:tc>
          <w:tcPr>
            <w:tcW w:w="2410" w:type="dxa"/>
            <w:vMerge/>
            <w:hideMark/>
          </w:tcPr>
          <w:p w14:paraId="4932054C" w14:textId="77777777" w:rsidR="00EC60D4" w:rsidRPr="00576F12" w:rsidRDefault="00EC60D4" w:rsidP="00EC60D4">
            <w:pPr>
              <w:pStyle w:val="TableHeading1"/>
              <w:rPr>
                <w:sz w:val="18"/>
                <w:szCs w:val="18"/>
              </w:rPr>
            </w:pPr>
          </w:p>
        </w:tc>
        <w:tc>
          <w:tcPr>
            <w:tcW w:w="1134" w:type="dxa"/>
            <w:shd w:val="clear" w:color="auto" w:fill="2F005F"/>
            <w:hideMark/>
          </w:tcPr>
          <w:p w14:paraId="1F0210EC" w14:textId="5151228D" w:rsidR="00EC60D4" w:rsidRPr="00EC60D4" w:rsidRDefault="00EC60D4" w:rsidP="00EC60D4">
            <w:pPr>
              <w:pStyle w:val="TableBodyTextright"/>
              <w:rPr>
                <w:sz w:val="18"/>
                <w:szCs w:val="22"/>
              </w:rPr>
            </w:pPr>
            <w:r w:rsidRPr="00EC60D4">
              <w:rPr>
                <w:sz w:val="18"/>
                <w:szCs w:val="22"/>
              </w:rPr>
              <w:t>(‘000)</w:t>
            </w:r>
          </w:p>
        </w:tc>
        <w:tc>
          <w:tcPr>
            <w:tcW w:w="1134" w:type="dxa"/>
            <w:shd w:val="clear" w:color="auto" w:fill="2F005F"/>
            <w:hideMark/>
          </w:tcPr>
          <w:p w14:paraId="2D4FFF2F" w14:textId="77777777" w:rsidR="00EC60D4" w:rsidRPr="00EC60D4" w:rsidRDefault="00EC60D4" w:rsidP="00EC60D4">
            <w:pPr>
              <w:pStyle w:val="TableBodyTextright"/>
              <w:rPr>
                <w:sz w:val="18"/>
                <w:szCs w:val="22"/>
              </w:rPr>
            </w:pPr>
            <w:r w:rsidRPr="00EC60D4">
              <w:rPr>
                <w:sz w:val="18"/>
                <w:szCs w:val="22"/>
              </w:rPr>
              <w:t>(‘000)</w:t>
            </w:r>
          </w:p>
        </w:tc>
        <w:tc>
          <w:tcPr>
            <w:tcW w:w="1135" w:type="dxa"/>
            <w:tcBorders>
              <w:right w:val="single" w:sz="4" w:space="0" w:color="FFFFFF" w:themeColor="background1"/>
            </w:tcBorders>
            <w:shd w:val="clear" w:color="auto" w:fill="2F005F"/>
            <w:hideMark/>
          </w:tcPr>
          <w:p w14:paraId="70FD728E" w14:textId="77777777" w:rsidR="00EC60D4" w:rsidRPr="00EC60D4" w:rsidRDefault="00EC60D4" w:rsidP="00EC60D4">
            <w:pPr>
              <w:pStyle w:val="TableBodyTextright"/>
              <w:rPr>
                <w:sz w:val="18"/>
                <w:szCs w:val="22"/>
              </w:rPr>
            </w:pPr>
            <w:r w:rsidRPr="00EC60D4">
              <w:rPr>
                <w:sz w:val="18"/>
                <w:szCs w:val="22"/>
              </w:rPr>
              <w:t>(%)</w:t>
            </w:r>
          </w:p>
        </w:tc>
        <w:tc>
          <w:tcPr>
            <w:tcW w:w="1133" w:type="dxa"/>
            <w:tcBorders>
              <w:left w:val="single" w:sz="4" w:space="0" w:color="FFFFFF" w:themeColor="background1"/>
              <w:bottom w:val="nil"/>
            </w:tcBorders>
            <w:shd w:val="clear" w:color="auto" w:fill="2F005F"/>
            <w:hideMark/>
          </w:tcPr>
          <w:p w14:paraId="4620B28A" w14:textId="0A8DA069" w:rsidR="00EC60D4" w:rsidRPr="00EC60D4" w:rsidRDefault="00EC60D4" w:rsidP="00EC60D4">
            <w:pPr>
              <w:pStyle w:val="TableBodyTextright"/>
              <w:rPr>
                <w:sz w:val="18"/>
                <w:szCs w:val="22"/>
              </w:rPr>
            </w:pPr>
            <w:r w:rsidRPr="00EC60D4">
              <w:rPr>
                <w:sz w:val="18"/>
                <w:szCs w:val="22"/>
              </w:rPr>
              <w:t>(‘000)</w:t>
            </w:r>
          </w:p>
        </w:tc>
        <w:tc>
          <w:tcPr>
            <w:tcW w:w="1134" w:type="dxa"/>
            <w:tcBorders>
              <w:bottom w:val="nil"/>
            </w:tcBorders>
            <w:shd w:val="clear" w:color="auto" w:fill="2F005F"/>
            <w:hideMark/>
          </w:tcPr>
          <w:p w14:paraId="6F6E22D5" w14:textId="77777777" w:rsidR="00EC60D4" w:rsidRPr="00EC60D4" w:rsidRDefault="00EC60D4" w:rsidP="00EC60D4">
            <w:pPr>
              <w:pStyle w:val="TableBodyTextright"/>
              <w:rPr>
                <w:sz w:val="18"/>
                <w:szCs w:val="22"/>
              </w:rPr>
            </w:pPr>
            <w:r w:rsidRPr="00EC60D4">
              <w:rPr>
                <w:sz w:val="18"/>
                <w:szCs w:val="22"/>
              </w:rPr>
              <w:t>(‘000)</w:t>
            </w:r>
          </w:p>
        </w:tc>
        <w:tc>
          <w:tcPr>
            <w:tcW w:w="992" w:type="dxa"/>
            <w:tcBorders>
              <w:bottom w:val="nil"/>
            </w:tcBorders>
            <w:shd w:val="clear" w:color="auto" w:fill="2F005F"/>
            <w:hideMark/>
          </w:tcPr>
          <w:p w14:paraId="6F3B4940" w14:textId="77777777" w:rsidR="00EC60D4" w:rsidRPr="00EC60D4" w:rsidRDefault="00EC60D4" w:rsidP="00EC60D4">
            <w:pPr>
              <w:pStyle w:val="TableBodyTextright"/>
              <w:rPr>
                <w:sz w:val="18"/>
                <w:szCs w:val="22"/>
              </w:rPr>
            </w:pPr>
            <w:r w:rsidRPr="00EC60D4">
              <w:rPr>
                <w:sz w:val="18"/>
                <w:szCs w:val="22"/>
              </w:rPr>
              <w:t>(%)</w:t>
            </w:r>
          </w:p>
        </w:tc>
      </w:tr>
      <w:tr w:rsidR="00EC60D4" w:rsidRPr="00576F12" w14:paraId="31A896A6" w14:textId="77777777" w:rsidTr="005D1DC5">
        <w:trPr>
          <w:trHeight w:val="340"/>
        </w:trPr>
        <w:tc>
          <w:tcPr>
            <w:tcW w:w="2410" w:type="dxa"/>
            <w:hideMark/>
          </w:tcPr>
          <w:p w14:paraId="5C627494" w14:textId="77777777" w:rsidR="00EC60D4" w:rsidRPr="00576F12" w:rsidRDefault="00EC60D4" w:rsidP="00EC60D4">
            <w:pPr>
              <w:pStyle w:val="TableBodyText"/>
              <w:rPr>
                <w:sz w:val="18"/>
                <w:szCs w:val="18"/>
              </w:rPr>
            </w:pPr>
            <w:r w:rsidRPr="00576F12">
              <w:rPr>
                <w:sz w:val="18"/>
                <w:szCs w:val="18"/>
              </w:rPr>
              <w:t>Employment (‘000)</w:t>
            </w:r>
          </w:p>
        </w:tc>
        <w:tc>
          <w:tcPr>
            <w:tcW w:w="1134" w:type="dxa"/>
            <w:hideMark/>
          </w:tcPr>
          <w:p w14:paraId="481F3951" w14:textId="77777777" w:rsidR="00EC60D4" w:rsidRPr="00576F12" w:rsidRDefault="00EC60D4" w:rsidP="00EC60D4">
            <w:pPr>
              <w:pStyle w:val="TableBodyTextright"/>
              <w:rPr>
                <w:sz w:val="18"/>
                <w:szCs w:val="18"/>
              </w:rPr>
            </w:pPr>
            <w:r w:rsidRPr="00576F12">
              <w:rPr>
                <w:sz w:val="18"/>
                <w:szCs w:val="18"/>
              </w:rPr>
              <w:t>10,244.2*</w:t>
            </w:r>
          </w:p>
        </w:tc>
        <w:tc>
          <w:tcPr>
            <w:tcW w:w="1134" w:type="dxa"/>
            <w:hideMark/>
          </w:tcPr>
          <w:p w14:paraId="70E6B350" w14:textId="77777777" w:rsidR="00EC60D4" w:rsidRPr="00576F12" w:rsidRDefault="00EC60D4" w:rsidP="00EC60D4">
            <w:pPr>
              <w:pStyle w:val="TableBodyTextright"/>
              <w:rPr>
                <w:sz w:val="18"/>
                <w:szCs w:val="18"/>
              </w:rPr>
            </w:pPr>
            <w:r w:rsidRPr="00576F12">
              <w:rPr>
                <w:sz w:val="18"/>
                <w:szCs w:val="18"/>
              </w:rPr>
              <w:t>186.1</w:t>
            </w:r>
          </w:p>
        </w:tc>
        <w:tc>
          <w:tcPr>
            <w:tcW w:w="1135" w:type="dxa"/>
            <w:tcBorders>
              <w:right w:val="single" w:sz="4" w:space="0" w:color="FFFFFF" w:themeColor="background1"/>
            </w:tcBorders>
            <w:hideMark/>
          </w:tcPr>
          <w:p w14:paraId="5D79EA90" w14:textId="77777777" w:rsidR="00EC60D4" w:rsidRPr="00576F12" w:rsidRDefault="00EC60D4" w:rsidP="00EC60D4">
            <w:pPr>
              <w:pStyle w:val="TableBodyTextright"/>
              <w:rPr>
                <w:sz w:val="18"/>
                <w:szCs w:val="18"/>
              </w:rPr>
            </w:pPr>
            <w:r w:rsidRPr="00576F12">
              <w:rPr>
                <w:sz w:val="18"/>
                <w:szCs w:val="18"/>
              </w:rPr>
              <w:t>1.9</w:t>
            </w:r>
          </w:p>
        </w:tc>
        <w:tc>
          <w:tcPr>
            <w:tcW w:w="1133" w:type="dxa"/>
            <w:tcBorders>
              <w:left w:val="single" w:sz="4" w:space="0" w:color="FFFFFF" w:themeColor="background1"/>
              <w:bottom w:val="nil"/>
            </w:tcBorders>
            <w:hideMark/>
          </w:tcPr>
          <w:p w14:paraId="292882BC" w14:textId="77777777" w:rsidR="00EC60D4" w:rsidRPr="00576F12" w:rsidRDefault="00EC60D4" w:rsidP="00EC60D4">
            <w:pPr>
              <w:pStyle w:val="TableBodyTextright"/>
              <w:rPr>
                <w:sz w:val="18"/>
                <w:szCs w:val="18"/>
              </w:rPr>
            </w:pPr>
            <w:r w:rsidRPr="00576F12">
              <w:rPr>
                <w:sz w:val="18"/>
                <w:szCs w:val="18"/>
              </w:rPr>
              <w:t>4,477.1*</w:t>
            </w:r>
          </w:p>
        </w:tc>
        <w:tc>
          <w:tcPr>
            <w:tcW w:w="1134" w:type="dxa"/>
            <w:tcBorders>
              <w:bottom w:val="nil"/>
            </w:tcBorders>
            <w:hideMark/>
          </w:tcPr>
          <w:p w14:paraId="122C39C5" w14:textId="77777777" w:rsidR="00EC60D4" w:rsidRPr="00576F12" w:rsidRDefault="00EC60D4" w:rsidP="00EC60D4">
            <w:pPr>
              <w:pStyle w:val="TableBodyTextright"/>
              <w:rPr>
                <w:sz w:val="18"/>
                <w:szCs w:val="18"/>
              </w:rPr>
            </w:pPr>
            <w:r w:rsidRPr="00576F12">
              <w:rPr>
                <w:sz w:val="18"/>
                <w:szCs w:val="18"/>
              </w:rPr>
              <w:t>74.2</w:t>
            </w:r>
          </w:p>
        </w:tc>
        <w:tc>
          <w:tcPr>
            <w:tcW w:w="992" w:type="dxa"/>
            <w:tcBorders>
              <w:bottom w:val="nil"/>
            </w:tcBorders>
            <w:hideMark/>
          </w:tcPr>
          <w:p w14:paraId="45B0FB61" w14:textId="77777777" w:rsidR="00EC60D4" w:rsidRPr="00576F12" w:rsidRDefault="00EC60D4" w:rsidP="00EC60D4">
            <w:pPr>
              <w:pStyle w:val="TableBodyTextright"/>
              <w:rPr>
                <w:sz w:val="18"/>
                <w:szCs w:val="18"/>
              </w:rPr>
            </w:pPr>
            <w:r w:rsidRPr="00576F12">
              <w:rPr>
                <w:sz w:val="18"/>
                <w:szCs w:val="18"/>
              </w:rPr>
              <w:t>1.7</w:t>
            </w:r>
          </w:p>
        </w:tc>
      </w:tr>
      <w:tr w:rsidR="00EC60D4" w:rsidRPr="00576F12" w14:paraId="6E071C09" w14:textId="77777777" w:rsidTr="005D1DC5">
        <w:trPr>
          <w:cnfStyle w:val="000000010000" w:firstRow="0" w:lastRow="0" w:firstColumn="0" w:lastColumn="0" w:oddVBand="0" w:evenVBand="0" w:oddHBand="0" w:evenHBand="1" w:firstRowFirstColumn="0" w:firstRowLastColumn="0" w:lastRowFirstColumn="0" w:lastRowLastColumn="0"/>
          <w:trHeight w:val="340"/>
        </w:trPr>
        <w:tc>
          <w:tcPr>
            <w:tcW w:w="2410" w:type="dxa"/>
            <w:hideMark/>
          </w:tcPr>
          <w:p w14:paraId="2BA8330D" w14:textId="77777777" w:rsidR="00EC60D4" w:rsidRPr="00576F12" w:rsidRDefault="00EC60D4" w:rsidP="00EC60D4">
            <w:pPr>
              <w:pStyle w:val="TableBodyText"/>
              <w:rPr>
                <w:sz w:val="18"/>
                <w:szCs w:val="18"/>
              </w:rPr>
            </w:pPr>
            <w:r w:rsidRPr="00576F12">
              <w:rPr>
                <w:sz w:val="18"/>
                <w:szCs w:val="18"/>
              </w:rPr>
              <w:t>Unemployment rate (%)</w:t>
            </w:r>
          </w:p>
        </w:tc>
        <w:tc>
          <w:tcPr>
            <w:tcW w:w="1134" w:type="dxa"/>
            <w:hideMark/>
          </w:tcPr>
          <w:p w14:paraId="6EBB3DE8" w14:textId="77777777" w:rsidR="00EC60D4" w:rsidRPr="00576F12" w:rsidRDefault="00EC60D4" w:rsidP="00EC60D4">
            <w:pPr>
              <w:pStyle w:val="TableBodyTextright"/>
              <w:rPr>
                <w:sz w:val="18"/>
                <w:szCs w:val="18"/>
              </w:rPr>
            </w:pPr>
            <w:r w:rsidRPr="00576F12">
              <w:rPr>
                <w:sz w:val="18"/>
                <w:szCs w:val="18"/>
              </w:rPr>
              <w:t>3.9</w:t>
            </w:r>
          </w:p>
        </w:tc>
        <w:tc>
          <w:tcPr>
            <w:tcW w:w="1134" w:type="dxa"/>
            <w:hideMark/>
          </w:tcPr>
          <w:p w14:paraId="2042D25D" w14:textId="77777777" w:rsidR="00EC60D4" w:rsidRPr="00576F12" w:rsidRDefault="00EC60D4" w:rsidP="00EC60D4">
            <w:pPr>
              <w:pStyle w:val="TableBodyTextright"/>
              <w:rPr>
                <w:sz w:val="18"/>
                <w:szCs w:val="18"/>
              </w:rPr>
            </w:pPr>
            <w:r w:rsidRPr="00576F12">
              <w:rPr>
                <w:sz w:val="18"/>
                <w:szCs w:val="18"/>
              </w:rPr>
              <w:t>-</w:t>
            </w:r>
          </w:p>
        </w:tc>
        <w:tc>
          <w:tcPr>
            <w:tcW w:w="1135" w:type="dxa"/>
            <w:tcBorders>
              <w:right w:val="single" w:sz="4" w:space="0" w:color="FFFFFF" w:themeColor="background1"/>
            </w:tcBorders>
            <w:hideMark/>
          </w:tcPr>
          <w:p w14:paraId="3E8CEE9C" w14:textId="20CA157A" w:rsidR="00EC60D4" w:rsidRPr="00576F12" w:rsidRDefault="00EC60D4" w:rsidP="00EC60D4">
            <w:pPr>
              <w:pStyle w:val="TableBodyTextright"/>
              <w:rPr>
                <w:sz w:val="18"/>
                <w:szCs w:val="18"/>
              </w:rPr>
            </w:pPr>
            <w:r w:rsidRPr="00576F12">
              <w:rPr>
                <w:rFonts w:cs="Arial"/>
                <w:sz w:val="18"/>
                <w:szCs w:val="18"/>
              </w:rPr>
              <w:t>−</w:t>
            </w:r>
            <w:r w:rsidRPr="00576F12">
              <w:rPr>
                <w:sz w:val="18"/>
                <w:szCs w:val="18"/>
              </w:rPr>
              <w:t>0.1ppt</w:t>
            </w:r>
          </w:p>
        </w:tc>
        <w:tc>
          <w:tcPr>
            <w:tcW w:w="1133" w:type="dxa"/>
            <w:tcBorders>
              <w:left w:val="single" w:sz="4" w:space="0" w:color="FFFFFF" w:themeColor="background1"/>
              <w:bottom w:val="nil"/>
            </w:tcBorders>
            <w:hideMark/>
          </w:tcPr>
          <w:p w14:paraId="3FAAB2AF" w14:textId="77777777" w:rsidR="00EC60D4" w:rsidRPr="00576F12" w:rsidRDefault="00EC60D4" w:rsidP="00EC60D4">
            <w:pPr>
              <w:pStyle w:val="TableBodyTextright"/>
              <w:rPr>
                <w:sz w:val="18"/>
                <w:szCs w:val="18"/>
              </w:rPr>
            </w:pPr>
            <w:r w:rsidRPr="00576F12">
              <w:rPr>
                <w:sz w:val="18"/>
                <w:szCs w:val="18"/>
              </w:rPr>
              <w:t>3.5</w:t>
            </w:r>
          </w:p>
        </w:tc>
        <w:tc>
          <w:tcPr>
            <w:tcW w:w="1134" w:type="dxa"/>
            <w:tcBorders>
              <w:bottom w:val="nil"/>
            </w:tcBorders>
            <w:hideMark/>
          </w:tcPr>
          <w:p w14:paraId="1295BF84" w14:textId="77777777" w:rsidR="00EC60D4" w:rsidRPr="00576F12" w:rsidRDefault="00EC60D4" w:rsidP="00EC60D4">
            <w:pPr>
              <w:pStyle w:val="TableBodyTextright"/>
              <w:rPr>
                <w:sz w:val="18"/>
                <w:szCs w:val="18"/>
              </w:rPr>
            </w:pPr>
            <w:r w:rsidRPr="00576F12">
              <w:rPr>
                <w:sz w:val="18"/>
                <w:szCs w:val="18"/>
              </w:rPr>
              <w:t>-</w:t>
            </w:r>
          </w:p>
        </w:tc>
        <w:tc>
          <w:tcPr>
            <w:tcW w:w="992" w:type="dxa"/>
            <w:tcBorders>
              <w:bottom w:val="nil"/>
            </w:tcBorders>
            <w:hideMark/>
          </w:tcPr>
          <w:p w14:paraId="15E0D990" w14:textId="6066D928" w:rsidR="00EC60D4" w:rsidRPr="00576F12" w:rsidRDefault="00EC60D4" w:rsidP="00EC60D4">
            <w:pPr>
              <w:pStyle w:val="TableBodyTextright"/>
              <w:rPr>
                <w:sz w:val="18"/>
                <w:szCs w:val="18"/>
              </w:rPr>
            </w:pPr>
            <w:r w:rsidRPr="00576F12">
              <w:rPr>
                <w:rFonts w:cs="Arial"/>
                <w:sz w:val="18"/>
                <w:szCs w:val="18"/>
              </w:rPr>
              <w:t>−</w:t>
            </w:r>
            <w:r w:rsidRPr="00576F12">
              <w:rPr>
                <w:sz w:val="18"/>
                <w:szCs w:val="18"/>
              </w:rPr>
              <w:t>0.1ppt</w:t>
            </w:r>
          </w:p>
        </w:tc>
      </w:tr>
      <w:tr w:rsidR="00EC60D4" w:rsidRPr="00576F12" w14:paraId="256A355C" w14:textId="77777777" w:rsidTr="005D1DC5">
        <w:trPr>
          <w:trHeight w:val="340"/>
        </w:trPr>
        <w:tc>
          <w:tcPr>
            <w:tcW w:w="2410" w:type="dxa"/>
            <w:hideMark/>
          </w:tcPr>
          <w:p w14:paraId="21CB845A" w14:textId="77777777" w:rsidR="00EC60D4" w:rsidRPr="00576F12" w:rsidRDefault="00EC60D4" w:rsidP="00EC60D4">
            <w:pPr>
              <w:pStyle w:val="TableBodyText"/>
              <w:rPr>
                <w:sz w:val="18"/>
                <w:szCs w:val="18"/>
              </w:rPr>
            </w:pPr>
            <w:r w:rsidRPr="00576F12">
              <w:rPr>
                <w:sz w:val="18"/>
                <w:szCs w:val="18"/>
              </w:rPr>
              <w:t>Participation rate (%)</w:t>
            </w:r>
          </w:p>
        </w:tc>
        <w:tc>
          <w:tcPr>
            <w:tcW w:w="1134" w:type="dxa"/>
            <w:hideMark/>
          </w:tcPr>
          <w:p w14:paraId="17A12692" w14:textId="77777777" w:rsidR="00EC60D4" w:rsidRPr="00576F12" w:rsidRDefault="00EC60D4" w:rsidP="00EC60D4">
            <w:pPr>
              <w:pStyle w:val="TableBodyTextright"/>
              <w:rPr>
                <w:sz w:val="18"/>
                <w:szCs w:val="18"/>
              </w:rPr>
            </w:pPr>
            <w:r w:rsidRPr="00576F12">
              <w:rPr>
                <w:sz w:val="18"/>
                <w:szCs w:val="18"/>
              </w:rPr>
              <w:t>69.3*</w:t>
            </w:r>
          </w:p>
        </w:tc>
        <w:tc>
          <w:tcPr>
            <w:tcW w:w="1134" w:type="dxa"/>
            <w:hideMark/>
          </w:tcPr>
          <w:p w14:paraId="1C517985" w14:textId="77777777" w:rsidR="00EC60D4" w:rsidRPr="00576F12" w:rsidRDefault="00EC60D4" w:rsidP="00EC60D4">
            <w:pPr>
              <w:pStyle w:val="TableBodyTextright"/>
              <w:rPr>
                <w:sz w:val="18"/>
                <w:szCs w:val="18"/>
              </w:rPr>
            </w:pPr>
            <w:r w:rsidRPr="00576F12">
              <w:rPr>
                <w:sz w:val="18"/>
                <w:szCs w:val="18"/>
              </w:rPr>
              <w:t xml:space="preserve"> -</w:t>
            </w:r>
          </w:p>
        </w:tc>
        <w:tc>
          <w:tcPr>
            <w:tcW w:w="1135" w:type="dxa"/>
            <w:tcBorders>
              <w:right w:val="single" w:sz="4" w:space="0" w:color="FFFFFF" w:themeColor="background1"/>
            </w:tcBorders>
            <w:hideMark/>
          </w:tcPr>
          <w:p w14:paraId="7CAFABEB" w14:textId="77777777" w:rsidR="00EC60D4" w:rsidRPr="00576F12" w:rsidRDefault="00EC60D4" w:rsidP="00EC60D4">
            <w:pPr>
              <w:pStyle w:val="TableBodyTextright"/>
              <w:rPr>
                <w:sz w:val="18"/>
                <w:szCs w:val="18"/>
              </w:rPr>
            </w:pPr>
            <w:r w:rsidRPr="00576F12">
              <w:rPr>
                <w:sz w:val="18"/>
                <w:szCs w:val="18"/>
              </w:rPr>
              <w:t>0.7ppt</w:t>
            </w:r>
          </w:p>
        </w:tc>
        <w:tc>
          <w:tcPr>
            <w:tcW w:w="1133" w:type="dxa"/>
            <w:tcBorders>
              <w:left w:val="single" w:sz="4" w:space="0" w:color="FFFFFF" w:themeColor="background1"/>
              <w:bottom w:val="single" w:sz="4" w:space="0" w:color="2F005F"/>
            </w:tcBorders>
            <w:hideMark/>
          </w:tcPr>
          <w:p w14:paraId="7A6356F2" w14:textId="77777777" w:rsidR="00EC60D4" w:rsidRPr="00576F12" w:rsidRDefault="00EC60D4" w:rsidP="00EC60D4">
            <w:pPr>
              <w:pStyle w:val="TableBodyTextright"/>
              <w:rPr>
                <w:sz w:val="18"/>
                <w:szCs w:val="18"/>
              </w:rPr>
            </w:pPr>
            <w:r w:rsidRPr="00576F12">
              <w:rPr>
                <w:sz w:val="18"/>
                <w:szCs w:val="18"/>
              </w:rPr>
              <w:t>64.1*</w:t>
            </w:r>
          </w:p>
        </w:tc>
        <w:tc>
          <w:tcPr>
            <w:tcW w:w="1134" w:type="dxa"/>
            <w:tcBorders>
              <w:bottom w:val="single" w:sz="4" w:space="0" w:color="2F005F"/>
            </w:tcBorders>
            <w:hideMark/>
          </w:tcPr>
          <w:p w14:paraId="500B766D" w14:textId="77777777" w:rsidR="00EC60D4" w:rsidRPr="00576F12" w:rsidRDefault="00EC60D4" w:rsidP="00EC60D4">
            <w:pPr>
              <w:pStyle w:val="TableBodyTextright"/>
              <w:rPr>
                <w:sz w:val="18"/>
                <w:szCs w:val="18"/>
              </w:rPr>
            </w:pPr>
            <w:r w:rsidRPr="00576F12">
              <w:rPr>
                <w:sz w:val="18"/>
                <w:szCs w:val="18"/>
              </w:rPr>
              <w:t xml:space="preserve"> -</w:t>
            </w:r>
          </w:p>
        </w:tc>
        <w:tc>
          <w:tcPr>
            <w:tcW w:w="992" w:type="dxa"/>
            <w:tcBorders>
              <w:bottom w:val="single" w:sz="4" w:space="0" w:color="2F005F"/>
            </w:tcBorders>
            <w:hideMark/>
          </w:tcPr>
          <w:p w14:paraId="62CB1ED1" w14:textId="77777777" w:rsidR="00EC60D4" w:rsidRPr="00576F12" w:rsidRDefault="00EC60D4" w:rsidP="00EC60D4">
            <w:pPr>
              <w:pStyle w:val="TableBodyTextright"/>
              <w:rPr>
                <w:sz w:val="18"/>
                <w:szCs w:val="18"/>
              </w:rPr>
            </w:pPr>
            <w:r w:rsidRPr="00576F12">
              <w:rPr>
                <w:sz w:val="18"/>
                <w:szCs w:val="18"/>
              </w:rPr>
              <w:t>0.8ppt</w:t>
            </w:r>
          </w:p>
        </w:tc>
      </w:tr>
    </w:tbl>
    <w:p w14:paraId="371CADD5" w14:textId="28729CD3" w:rsidR="00FE18D3" w:rsidRPr="00FE18D3" w:rsidRDefault="00D96540" w:rsidP="00D96540">
      <w:pPr>
        <w:pStyle w:val="Source"/>
      </w:pPr>
      <w:r w:rsidRPr="00D96540">
        <w:t>Source: ABS, Labour Force, Australia, Detailed, December 2024, table MRM1 – Modelled estimates of labour force status, by SA4. *Record high.</w:t>
      </w:r>
    </w:p>
    <w:p w14:paraId="742124F4" w14:textId="77777777" w:rsidR="007A3D97" w:rsidRDefault="007A3D97" w:rsidP="007A3D97">
      <w:pPr>
        <w:pStyle w:val="Heading2"/>
      </w:pPr>
      <w:bookmarkStart w:id="17" w:name="_Toc189836957"/>
      <w:bookmarkStart w:id="18" w:name="_Toc151365189"/>
      <w:r w:rsidRPr="007A3D97">
        <w:t>Health Care and Social Assistance led employment growth</w:t>
      </w:r>
      <w:bookmarkEnd w:id="17"/>
      <w:r w:rsidRPr="007A3D97">
        <w:t xml:space="preserve"> </w:t>
      </w:r>
    </w:p>
    <w:p w14:paraId="4A2C3FAF" w14:textId="7AF215AC" w:rsidR="005C6892" w:rsidRDefault="00CD331E" w:rsidP="00781F21">
      <w:pPr>
        <w:pStyle w:val="BodyText"/>
      </w:pPr>
      <w:r w:rsidRPr="00CD331E">
        <w:t>Over the year to November 2024, employment increased in 13 of 19 industries and declined in 5 (Figure 3).</w:t>
      </w:r>
      <w:r w:rsidR="00CD6666" w:rsidRPr="00CD6666">
        <w:rPr>
          <w:rStyle w:val="FootnoteReference"/>
        </w:rPr>
        <w:footnoteReference w:id="5"/>
      </w:r>
      <w:r w:rsidRPr="00CD331E">
        <w:t xml:space="preserve"> Health Care and Social Assistance, Education and Training, and Accommodation and Food Services remained the largest contributors to employment growth. The largest declines in employment were in Manufacturing, Financial and Insurance Services, and Professional, Scientific and Technical Services.</w:t>
      </w:r>
      <w:r w:rsidR="005C6892">
        <w:br w:type="page"/>
      </w:r>
    </w:p>
    <w:p w14:paraId="12907C05" w14:textId="50476F18" w:rsidR="00FE18D3" w:rsidRPr="00FE18D3" w:rsidRDefault="003F4BD9" w:rsidP="00FD5E3B">
      <w:pPr>
        <w:pStyle w:val="Caption"/>
      </w:pPr>
      <w:r>
        <w:lastRenderedPageBreak/>
        <w:t xml:space="preserve">Figure </w:t>
      </w:r>
      <w:r>
        <w:fldChar w:fldCharType="begin"/>
      </w:r>
      <w:r>
        <w:instrText xml:space="preserve"> SEQ Figure \* ARABIC </w:instrText>
      </w:r>
      <w:r>
        <w:fldChar w:fldCharType="separate"/>
      </w:r>
      <w:r w:rsidR="004B52FB">
        <w:rPr>
          <w:noProof/>
        </w:rPr>
        <w:t>3</w:t>
      </w:r>
      <w:r>
        <w:fldChar w:fldCharType="end"/>
      </w:r>
      <w:r w:rsidR="00FE18D3" w:rsidRPr="000152C8">
        <w:t>: Employment change by industry</w:t>
      </w:r>
      <w:r w:rsidR="00FE18D3" w:rsidRPr="00FE18D3">
        <w:t>, November 2023 to November 2024</w:t>
      </w:r>
    </w:p>
    <w:p w14:paraId="4BF28DC1" w14:textId="77777777" w:rsidR="00FE18D3" w:rsidRDefault="00FE18D3" w:rsidP="00FE18D3">
      <w:pPr>
        <w:pStyle w:val="Source"/>
      </w:pPr>
      <w:r w:rsidRPr="00FE18D3">
        <w:rPr>
          <w:noProof/>
        </w:rPr>
        <w:drawing>
          <wp:inline distT="0" distB="0" distL="0" distR="0" wp14:anchorId="06DAA25D" wp14:editId="21F4B1F5">
            <wp:extent cx="5731510" cy="3866515"/>
            <wp:effectExtent l="0" t="0" r="2540" b="635"/>
            <wp:docPr id="1801348012" name="Chart 1" descr="Bar graph displaying employment change from February 2023 to February 2024 for 19 industries.">
              <a:extLst xmlns:a="http://schemas.openxmlformats.org/drawingml/2006/main">
                <a:ext uri="{FF2B5EF4-FFF2-40B4-BE49-F238E27FC236}">
                  <a16:creationId xmlns:a16="http://schemas.microsoft.com/office/drawing/2014/main" id="{AF84BD6C-7DD9-46BA-A1FE-40113E4D4E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br/>
      </w:r>
      <w:r w:rsidRPr="007844AD">
        <w:t xml:space="preserve">Source: ABS, Labour Force, Australia, </w:t>
      </w:r>
      <w:r>
        <w:t>D</w:t>
      </w:r>
      <w:r w:rsidRPr="007844AD">
        <w:t xml:space="preserve">etailed, </w:t>
      </w:r>
      <w:r>
        <w:t>November</w:t>
      </w:r>
      <w:r w:rsidRPr="007844AD">
        <w:t xml:space="preserve"> 2024, </w:t>
      </w:r>
      <w:r>
        <w:t xml:space="preserve">data </w:t>
      </w:r>
      <w:r w:rsidRPr="007844AD">
        <w:t xml:space="preserve">trended </w:t>
      </w:r>
      <w:r>
        <w:t>by</w:t>
      </w:r>
      <w:r w:rsidRPr="007844AD">
        <w:t xml:space="preserve"> Jobs and Skills Australia</w:t>
      </w:r>
      <w:r>
        <w:t>.</w:t>
      </w:r>
      <w:r w:rsidRPr="007844AD">
        <w:t xml:space="preserve"> </w:t>
      </w:r>
    </w:p>
    <w:p w14:paraId="0ABBAB72" w14:textId="77777777" w:rsidR="00AC0E18" w:rsidRDefault="00AC0E18" w:rsidP="00AC0E18">
      <w:pPr>
        <w:pStyle w:val="Heading2"/>
      </w:pPr>
      <w:bookmarkStart w:id="19" w:name="_Toc189836958"/>
      <w:r w:rsidRPr="00AC0E18">
        <w:t>Higher-skilled occupations drove employment growth</w:t>
      </w:r>
      <w:bookmarkEnd w:id="19"/>
      <w:r w:rsidRPr="00AC0E18">
        <w:t xml:space="preserve"> </w:t>
      </w:r>
    </w:p>
    <w:p w14:paraId="302919F6" w14:textId="1D8AB185" w:rsidR="002D4B7E" w:rsidRPr="002D4B7E" w:rsidRDefault="002D4B7E" w:rsidP="002D4B7E">
      <w:pPr>
        <w:pStyle w:val="BodyText"/>
      </w:pPr>
      <w:r w:rsidRPr="002D4B7E">
        <w:t>Employment increased in all 8 major occupation groups over the year to November 2024 (Table 4). Professionals, up by 136,100 (3.6%); Community and Personal Services Workers, up by 60,100 (3.7%); and Technicians and Trades Workers, up by 45,200 (2.3%)</w:t>
      </w:r>
      <w:r w:rsidR="00F27B0F">
        <w:t xml:space="preserve"> recorded the largest </w:t>
      </w:r>
      <w:r w:rsidR="00FD50F9">
        <w:t>increase in employment</w:t>
      </w:r>
      <w:r w:rsidR="003365E9">
        <w:t xml:space="preserve"> growth</w:t>
      </w:r>
      <w:r w:rsidRPr="002D4B7E">
        <w:t>.</w:t>
      </w:r>
    </w:p>
    <w:p w14:paraId="41DC532E" w14:textId="6CC8FCCD" w:rsidR="0080135D" w:rsidRDefault="002D4B7E" w:rsidP="00781F21">
      <w:pPr>
        <w:pStyle w:val="BodyText"/>
      </w:pPr>
      <w:r w:rsidRPr="002D4B7E">
        <w:t xml:space="preserve">Analysing the data over </w:t>
      </w:r>
      <w:r w:rsidR="00DD7D92">
        <w:t xml:space="preserve">a longer time span – </w:t>
      </w:r>
      <w:r w:rsidRPr="002D4B7E">
        <w:t>5 years to November 2024</w:t>
      </w:r>
      <w:r w:rsidR="00DD7D92">
        <w:t xml:space="preserve"> –</w:t>
      </w:r>
      <w:r w:rsidRPr="002D4B7E">
        <w:t xml:space="preserve"> the largest increases in employment were also for Professionals, up by 711,100 (22.5%). This was followed by Managers, up by 293,100 (19.0%); and Community and Personal Service Workers, up by 270,700 (19.3%).</w:t>
      </w:r>
      <w:r w:rsidR="0080135D">
        <w:br w:type="page"/>
      </w:r>
    </w:p>
    <w:p w14:paraId="4E8A4461" w14:textId="49E6938F" w:rsidR="00FE18D3" w:rsidRDefault="0061776C" w:rsidP="00FD5E3B">
      <w:pPr>
        <w:pStyle w:val="Caption"/>
      </w:pPr>
      <w:r>
        <w:lastRenderedPageBreak/>
        <w:t xml:space="preserve">Table </w:t>
      </w:r>
      <w:r>
        <w:fldChar w:fldCharType="begin"/>
      </w:r>
      <w:r>
        <w:instrText xml:space="preserve"> SEQ Table \* ARABIC </w:instrText>
      </w:r>
      <w:r>
        <w:fldChar w:fldCharType="separate"/>
      </w:r>
      <w:r w:rsidR="004B52FB">
        <w:rPr>
          <w:noProof/>
        </w:rPr>
        <w:t>4</w:t>
      </w:r>
      <w:r>
        <w:fldChar w:fldCharType="end"/>
      </w:r>
      <w:r w:rsidR="00FE18D3" w:rsidRPr="000152C8">
        <w:t>: Employment by major occupation group</w:t>
      </w:r>
      <w:r w:rsidR="007728E2" w:rsidRPr="007728E2">
        <w:rPr>
          <w:rStyle w:val="FootnoteReference"/>
        </w:rPr>
        <w:footnoteReference w:id="6"/>
      </w:r>
    </w:p>
    <w:tbl>
      <w:tblPr>
        <w:tblStyle w:val="CustomTablebasic"/>
        <w:tblW w:w="9027" w:type="dxa"/>
        <w:tblLayout w:type="fixed"/>
        <w:tblLook w:val="04A0" w:firstRow="1" w:lastRow="0" w:firstColumn="1" w:lastColumn="0" w:noHBand="0" w:noVBand="1"/>
      </w:tblPr>
      <w:tblGrid>
        <w:gridCol w:w="3651"/>
        <w:gridCol w:w="965"/>
        <w:gridCol w:w="965"/>
        <w:gridCol w:w="965"/>
        <w:gridCol w:w="762"/>
        <w:gridCol w:w="965"/>
        <w:gridCol w:w="754"/>
      </w:tblGrid>
      <w:tr w:rsidR="00F16E2B" w:rsidRPr="002B5DE3" w14:paraId="31AF8535" w14:textId="77777777" w:rsidTr="0029241C">
        <w:trPr>
          <w:cnfStyle w:val="100000000000" w:firstRow="1" w:lastRow="0" w:firstColumn="0" w:lastColumn="0" w:oddVBand="0" w:evenVBand="0" w:oddHBand="0" w:evenHBand="0" w:firstRowFirstColumn="0" w:firstRowLastColumn="0" w:lastRowFirstColumn="0" w:lastRowLastColumn="0"/>
          <w:trHeight w:val="340"/>
        </w:trPr>
        <w:tc>
          <w:tcPr>
            <w:tcW w:w="3651" w:type="dxa"/>
            <w:vMerge w:val="restart"/>
          </w:tcPr>
          <w:p w14:paraId="5059CD5D" w14:textId="310557B9" w:rsidR="00F16E2B" w:rsidRPr="002B5DE3" w:rsidRDefault="00F16E2B" w:rsidP="00F16E2B">
            <w:pPr>
              <w:pStyle w:val="TableHeading1"/>
              <w:rPr>
                <w:sz w:val="18"/>
                <w:szCs w:val="18"/>
              </w:rPr>
            </w:pPr>
            <w:r w:rsidRPr="002B5DE3">
              <w:rPr>
                <w:b/>
                <w:bCs w:val="0"/>
                <w:sz w:val="18"/>
                <w:szCs w:val="18"/>
              </w:rPr>
              <w:t>Occupation</w:t>
            </w:r>
          </w:p>
        </w:tc>
        <w:tc>
          <w:tcPr>
            <w:tcW w:w="965" w:type="dxa"/>
            <w:hideMark/>
          </w:tcPr>
          <w:p w14:paraId="20284074" w14:textId="77777777" w:rsidR="00F16E2B" w:rsidRPr="002B5DE3" w:rsidRDefault="00F16E2B" w:rsidP="007846B1">
            <w:pPr>
              <w:pStyle w:val="TableHeading1"/>
              <w:jc w:val="center"/>
              <w:rPr>
                <w:sz w:val="18"/>
                <w:szCs w:val="18"/>
              </w:rPr>
            </w:pPr>
            <w:r w:rsidRPr="002B5DE3">
              <w:rPr>
                <w:sz w:val="18"/>
                <w:szCs w:val="18"/>
              </w:rPr>
              <w:t>Nov-24</w:t>
            </w:r>
          </w:p>
        </w:tc>
        <w:tc>
          <w:tcPr>
            <w:tcW w:w="965" w:type="dxa"/>
            <w:tcBorders>
              <w:right w:val="single" w:sz="4" w:space="0" w:color="FFFFFF" w:themeColor="background1"/>
            </w:tcBorders>
            <w:hideMark/>
          </w:tcPr>
          <w:p w14:paraId="433D698C" w14:textId="77777777" w:rsidR="00F16E2B" w:rsidRPr="002B5DE3" w:rsidRDefault="00F16E2B" w:rsidP="007846B1">
            <w:pPr>
              <w:pStyle w:val="TableHeading1"/>
              <w:jc w:val="center"/>
              <w:rPr>
                <w:sz w:val="18"/>
                <w:szCs w:val="18"/>
              </w:rPr>
            </w:pPr>
            <w:r w:rsidRPr="002B5DE3">
              <w:rPr>
                <w:sz w:val="18"/>
                <w:szCs w:val="18"/>
              </w:rPr>
              <w:t>Nov-23</w:t>
            </w:r>
          </w:p>
        </w:tc>
        <w:tc>
          <w:tcPr>
            <w:tcW w:w="1727" w:type="dxa"/>
            <w:gridSpan w:val="2"/>
            <w:tcBorders>
              <w:left w:val="single" w:sz="4" w:space="0" w:color="FFFFFF" w:themeColor="background1"/>
              <w:right w:val="single" w:sz="4" w:space="0" w:color="FFFFFF" w:themeColor="background1"/>
            </w:tcBorders>
            <w:hideMark/>
          </w:tcPr>
          <w:p w14:paraId="753E72D8" w14:textId="4E57FE6E" w:rsidR="00F16E2B" w:rsidRPr="002B5DE3" w:rsidRDefault="00F16E2B" w:rsidP="00F16E2B">
            <w:pPr>
              <w:pStyle w:val="TableHeading1centre"/>
              <w:rPr>
                <w:sz w:val="18"/>
                <w:szCs w:val="18"/>
              </w:rPr>
            </w:pPr>
            <w:r w:rsidRPr="002B5DE3">
              <w:rPr>
                <w:sz w:val="18"/>
                <w:szCs w:val="18"/>
              </w:rPr>
              <w:t xml:space="preserve">Annual change </w:t>
            </w:r>
            <w:r w:rsidR="00376046">
              <w:rPr>
                <w:sz w:val="18"/>
                <w:szCs w:val="18"/>
              </w:rPr>
              <w:br/>
            </w:r>
            <w:r w:rsidRPr="002B5DE3">
              <w:rPr>
                <w:sz w:val="18"/>
                <w:szCs w:val="18"/>
              </w:rPr>
              <w:t>to Nov-24</w:t>
            </w:r>
          </w:p>
        </w:tc>
        <w:tc>
          <w:tcPr>
            <w:tcW w:w="1719" w:type="dxa"/>
            <w:gridSpan w:val="2"/>
            <w:tcBorders>
              <w:left w:val="single" w:sz="4" w:space="0" w:color="FFFFFF" w:themeColor="background1"/>
            </w:tcBorders>
            <w:hideMark/>
          </w:tcPr>
          <w:p w14:paraId="68B98EFE" w14:textId="33B0DE7B" w:rsidR="00F16E2B" w:rsidRPr="002B5DE3" w:rsidRDefault="00F16E2B" w:rsidP="00F16E2B">
            <w:pPr>
              <w:pStyle w:val="TableHeading1centre"/>
              <w:rPr>
                <w:sz w:val="18"/>
                <w:szCs w:val="18"/>
              </w:rPr>
            </w:pPr>
            <w:r w:rsidRPr="002B5DE3">
              <w:rPr>
                <w:sz w:val="18"/>
                <w:szCs w:val="18"/>
              </w:rPr>
              <w:t xml:space="preserve">5-year change </w:t>
            </w:r>
            <w:r w:rsidR="00376046">
              <w:rPr>
                <w:sz w:val="18"/>
                <w:szCs w:val="18"/>
              </w:rPr>
              <w:br/>
            </w:r>
            <w:r w:rsidRPr="002B5DE3">
              <w:rPr>
                <w:sz w:val="18"/>
                <w:szCs w:val="18"/>
              </w:rPr>
              <w:t>to Nov-24</w:t>
            </w:r>
          </w:p>
        </w:tc>
      </w:tr>
      <w:tr w:rsidR="00F16E2B" w:rsidRPr="002B5DE3" w14:paraId="4747B8DC" w14:textId="77777777" w:rsidTr="00A47212">
        <w:trPr>
          <w:trHeight w:val="340"/>
        </w:trPr>
        <w:tc>
          <w:tcPr>
            <w:tcW w:w="3651" w:type="dxa"/>
            <w:vMerge/>
            <w:shd w:val="clear" w:color="auto" w:fill="2F005F"/>
          </w:tcPr>
          <w:p w14:paraId="3596216A" w14:textId="77777777" w:rsidR="00F16E2B" w:rsidRPr="002B5DE3" w:rsidRDefault="00F16E2B" w:rsidP="00F16E2B">
            <w:pPr>
              <w:pStyle w:val="TableHeading1"/>
              <w:rPr>
                <w:sz w:val="18"/>
                <w:szCs w:val="18"/>
              </w:rPr>
            </w:pPr>
          </w:p>
        </w:tc>
        <w:tc>
          <w:tcPr>
            <w:tcW w:w="965" w:type="dxa"/>
            <w:shd w:val="clear" w:color="auto" w:fill="2F005F"/>
          </w:tcPr>
          <w:p w14:paraId="5B8CAD35" w14:textId="77777777" w:rsidR="00F16E2B" w:rsidRPr="002B5DE3" w:rsidRDefault="00F16E2B" w:rsidP="00F16E2B">
            <w:pPr>
              <w:pStyle w:val="TableHeading1right"/>
              <w:rPr>
                <w:sz w:val="18"/>
                <w:szCs w:val="18"/>
              </w:rPr>
            </w:pPr>
            <w:r w:rsidRPr="002B5DE3">
              <w:rPr>
                <w:sz w:val="18"/>
                <w:szCs w:val="18"/>
              </w:rPr>
              <w:t>(‘000)</w:t>
            </w:r>
          </w:p>
        </w:tc>
        <w:tc>
          <w:tcPr>
            <w:tcW w:w="965" w:type="dxa"/>
            <w:tcBorders>
              <w:right w:val="single" w:sz="4" w:space="0" w:color="FFFFFF" w:themeColor="background1"/>
            </w:tcBorders>
            <w:shd w:val="clear" w:color="auto" w:fill="2F005F"/>
          </w:tcPr>
          <w:p w14:paraId="3EDDB1F4" w14:textId="77777777" w:rsidR="00F16E2B" w:rsidRPr="002B5DE3" w:rsidRDefault="00F16E2B" w:rsidP="00F16E2B">
            <w:pPr>
              <w:pStyle w:val="TableHeading1right"/>
              <w:rPr>
                <w:sz w:val="18"/>
                <w:szCs w:val="18"/>
              </w:rPr>
            </w:pPr>
            <w:r w:rsidRPr="002B5DE3">
              <w:rPr>
                <w:sz w:val="18"/>
                <w:szCs w:val="18"/>
              </w:rPr>
              <w:t>(‘000)</w:t>
            </w:r>
          </w:p>
        </w:tc>
        <w:tc>
          <w:tcPr>
            <w:tcW w:w="965" w:type="dxa"/>
            <w:tcBorders>
              <w:left w:val="single" w:sz="4" w:space="0" w:color="FFFFFF" w:themeColor="background1"/>
              <w:bottom w:val="nil"/>
            </w:tcBorders>
            <w:shd w:val="clear" w:color="auto" w:fill="2F005F"/>
          </w:tcPr>
          <w:p w14:paraId="5A00C677" w14:textId="77777777" w:rsidR="00F16E2B" w:rsidRPr="002B5DE3" w:rsidRDefault="00F16E2B" w:rsidP="00F16E2B">
            <w:pPr>
              <w:pStyle w:val="TableHeading1right"/>
              <w:rPr>
                <w:sz w:val="18"/>
                <w:szCs w:val="18"/>
              </w:rPr>
            </w:pPr>
            <w:r w:rsidRPr="002B5DE3">
              <w:rPr>
                <w:sz w:val="18"/>
                <w:szCs w:val="18"/>
              </w:rPr>
              <w:t>(‘000)</w:t>
            </w:r>
          </w:p>
        </w:tc>
        <w:tc>
          <w:tcPr>
            <w:tcW w:w="762" w:type="dxa"/>
            <w:tcBorders>
              <w:bottom w:val="nil"/>
              <w:right w:val="single" w:sz="4" w:space="0" w:color="FFFFFF" w:themeColor="background1"/>
            </w:tcBorders>
            <w:shd w:val="clear" w:color="auto" w:fill="2F005F"/>
          </w:tcPr>
          <w:p w14:paraId="6ACAA17D" w14:textId="77777777" w:rsidR="00F16E2B" w:rsidRPr="002B5DE3" w:rsidRDefault="00F16E2B" w:rsidP="00F16E2B">
            <w:pPr>
              <w:pStyle w:val="TableHeading1right"/>
              <w:rPr>
                <w:sz w:val="18"/>
                <w:szCs w:val="18"/>
              </w:rPr>
            </w:pPr>
            <w:r w:rsidRPr="002B5DE3">
              <w:rPr>
                <w:sz w:val="18"/>
                <w:szCs w:val="18"/>
              </w:rPr>
              <w:t>(%)</w:t>
            </w:r>
          </w:p>
        </w:tc>
        <w:tc>
          <w:tcPr>
            <w:tcW w:w="965" w:type="dxa"/>
            <w:tcBorders>
              <w:left w:val="single" w:sz="4" w:space="0" w:color="FFFFFF" w:themeColor="background1"/>
              <w:bottom w:val="nil"/>
            </w:tcBorders>
            <w:shd w:val="clear" w:color="auto" w:fill="2F005F"/>
          </w:tcPr>
          <w:p w14:paraId="7AA22594" w14:textId="77777777" w:rsidR="00F16E2B" w:rsidRPr="002B5DE3" w:rsidRDefault="00F16E2B" w:rsidP="00F16E2B">
            <w:pPr>
              <w:pStyle w:val="TableHeading1right"/>
              <w:rPr>
                <w:sz w:val="18"/>
                <w:szCs w:val="18"/>
              </w:rPr>
            </w:pPr>
            <w:r w:rsidRPr="002B5DE3">
              <w:rPr>
                <w:sz w:val="18"/>
                <w:szCs w:val="18"/>
              </w:rPr>
              <w:t>(‘000)</w:t>
            </w:r>
          </w:p>
        </w:tc>
        <w:tc>
          <w:tcPr>
            <w:tcW w:w="754" w:type="dxa"/>
            <w:tcBorders>
              <w:bottom w:val="nil"/>
            </w:tcBorders>
            <w:shd w:val="clear" w:color="auto" w:fill="2F005F"/>
          </w:tcPr>
          <w:p w14:paraId="398891A2" w14:textId="77777777" w:rsidR="00F16E2B" w:rsidRPr="002B5DE3" w:rsidRDefault="00F16E2B" w:rsidP="00F16E2B">
            <w:pPr>
              <w:pStyle w:val="TableHeading1right"/>
              <w:rPr>
                <w:sz w:val="18"/>
                <w:szCs w:val="18"/>
              </w:rPr>
            </w:pPr>
            <w:r w:rsidRPr="002B5DE3">
              <w:rPr>
                <w:sz w:val="18"/>
                <w:szCs w:val="18"/>
              </w:rPr>
              <w:t>(%)</w:t>
            </w:r>
          </w:p>
        </w:tc>
      </w:tr>
      <w:tr w:rsidR="00F16E2B" w:rsidRPr="002B5DE3" w14:paraId="61A99BAE" w14:textId="77777777" w:rsidTr="00A47212">
        <w:trPr>
          <w:cnfStyle w:val="000000010000" w:firstRow="0" w:lastRow="0" w:firstColumn="0" w:lastColumn="0" w:oddVBand="0" w:evenVBand="0" w:oddHBand="0" w:evenHBand="1" w:firstRowFirstColumn="0" w:firstRowLastColumn="0" w:lastRowFirstColumn="0" w:lastRowLastColumn="0"/>
          <w:trHeight w:val="278"/>
        </w:trPr>
        <w:tc>
          <w:tcPr>
            <w:tcW w:w="3651" w:type="dxa"/>
            <w:noWrap/>
            <w:hideMark/>
          </w:tcPr>
          <w:p w14:paraId="258BB4ED" w14:textId="77777777" w:rsidR="00F16E2B" w:rsidRPr="002B5DE3" w:rsidRDefault="00F16E2B" w:rsidP="00F16E2B">
            <w:pPr>
              <w:pStyle w:val="TableBodyText"/>
              <w:rPr>
                <w:sz w:val="18"/>
                <w:szCs w:val="18"/>
              </w:rPr>
            </w:pPr>
            <w:r w:rsidRPr="002B5DE3">
              <w:rPr>
                <w:sz w:val="18"/>
                <w:szCs w:val="18"/>
              </w:rPr>
              <w:t>Managers</w:t>
            </w:r>
          </w:p>
        </w:tc>
        <w:tc>
          <w:tcPr>
            <w:tcW w:w="965" w:type="dxa"/>
            <w:noWrap/>
            <w:hideMark/>
          </w:tcPr>
          <w:p w14:paraId="7BA8BC3D" w14:textId="77777777" w:rsidR="00F16E2B" w:rsidRPr="002B5DE3" w:rsidRDefault="00F16E2B" w:rsidP="00F16E2B">
            <w:pPr>
              <w:pStyle w:val="TableBodyTextright"/>
              <w:rPr>
                <w:sz w:val="18"/>
                <w:szCs w:val="18"/>
              </w:rPr>
            </w:pPr>
            <w:r w:rsidRPr="002B5DE3">
              <w:rPr>
                <w:sz w:val="18"/>
                <w:szCs w:val="18"/>
              </w:rPr>
              <w:t>1,837.8</w:t>
            </w:r>
          </w:p>
        </w:tc>
        <w:tc>
          <w:tcPr>
            <w:tcW w:w="965" w:type="dxa"/>
            <w:tcBorders>
              <w:right w:val="single" w:sz="4" w:space="0" w:color="FFFFFF" w:themeColor="background1"/>
            </w:tcBorders>
            <w:noWrap/>
            <w:hideMark/>
          </w:tcPr>
          <w:p w14:paraId="134A6FB1" w14:textId="77777777" w:rsidR="00F16E2B" w:rsidRPr="002B5DE3" w:rsidRDefault="00F16E2B" w:rsidP="00F16E2B">
            <w:pPr>
              <w:pStyle w:val="TableBodyTextright"/>
              <w:rPr>
                <w:sz w:val="18"/>
                <w:szCs w:val="18"/>
              </w:rPr>
            </w:pPr>
            <w:r w:rsidRPr="002B5DE3">
              <w:rPr>
                <w:sz w:val="18"/>
                <w:szCs w:val="18"/>
              </w:rPr>
              <w:t>1,833.6</w:t>
            </w:r>
          </w:p>
        </w:tc>
        <w:tc>
          <w:tcPr>
            <w:tcW w:w="965" w:type="dxa"/>
            <w:tcBorders>
              <w:left w:val="single" w:sz="4" w:space="0" w:color="FFFFFF" w:themeColor="background1"/>
              <w:bottom w:val="nil"/>
            </w:tcBorders>
            <w:noWrap/>
            <w:hideMark/>
          </w:tcPr>
          <w:p w14:paraId="29AB92C6" w14:textId="77777777" w:rsidR="00F16E2B" w:rsidRPr="002B5DE3" w:rsidRDefault="00F16E2B" w:rsidP="00F16E2B">
            <w:pPr>
              <w:pStyle w:val="TableBodyTextright"/>
              <w:rPr>
                <w:sz w:val="18"/>
                <w:szCs w:val="18"/>
              </w:rPr>
            </w:pPr>
            <w:r w:rsidRPr="002B5DE3">
              <w:rPr>
                <w:sz w:val="18"/>
                <w:szCs w:val="18"/>
              </w:rPr>
              <w:t>4.3</w:t>
            </w:r>
          </w:p>
        </w:tc>
        <w:tc>
          <w:tcPr>
            <w:tcW w:w="762" w:type="dxa"/>
            <w:tcBorders>
              <w:bottom w:val="nil"/>
              <w:right w:val="single" w:sz="4" w:space="0" w:color="FFFFFF" w:themeColor="background1"/>
            </w:tcBorders>
            <w:noWrap/>
            <w:hideMark/>
          </w:tcPr>
          <w:p w14:paraId="362A759F" w14:textId="77777777" w:rsidR="00F16E2B" w:rsidRPr="002B5DE3" w:rsidRDefault="00F16E2B" w:rsidP="00F16E2B">
            <w:pPr>
              <w:pStyle w:val="TableBodyTextright"/>
              <w:rPr>
                <w:sz w:val="18"/>
                <w:szCs w:val="18"/>
              </w:rPr>
            </w:pPr>
            <w:r w:rsidRPr="002B5DE3">
              <w:rPr>
                <w:sz w:val="18"/>
                <w:szCs w:val="18"/>
              </w:rPr>
              <w:t>0.2</w:t>
            </w:r>
          </w:p>
        </w:tc>
        <w:tc>
          <w:tcPr>
            <w:tcW w:w="965" w:type="dxa"/>
            <w:tcBorders>
              <w:left w:val="single" w:sz="4" w:space="0" w:color="FFFFFF" w:themeColor="background1"/>
              <w:bottom w:val="nil"/>
            </w:tcBorders>
            <w:noWrap/>
            <w:hideMark/>
          </w:tcPr>
          <w:p w14:paraId="15EF1760" w14:textId="77777777" w:rsidR="00F16E2B" w:rsidRPr="002B5DE3" w:rsidRDefault="00F16E2B" w:rsidP="00F16E2B">
            <w:pPr>
              <w:pStyle w:val="TableBodyTextright"/>
              <w:rPr>
                <w:sz w:val="18"/>
                <w:szCs w:val="18"/>
              </w:rPr>
            </w:pPr>
            <w:r w:rsidRPr="002B5DE3">
              <w:rPr>
                <w:sz w:val="18"/>
                <w:szCs w:val="18"/>
              </w:rPr>
              <w:t>293.1</w:t>
            </w:r>
          </w:p>
        </w:tc>
        <w:tc>
          <w:tcPr>
            <w:tcW w:w="754" w:type="dxa"/>
            <w:tcBorders>
              <w:bottom w:val="nil"/>
            </w:tcBorders>
            <w:noWrap/>
            <w:hideMark/>
          </w:tcPr>
          <w:p w14:paraId="106083B6" w14:textId="77777777" w:rsidR="00F16E2B" w:rsidRPr="002B5DE3" w:rsidRDefault="00F16E2B" w:rsidP="00F16E2B">
            <w:pPr>
              <w:pStyle w:val="TableBodyTextright"/>
              <w:rPr>
                <w:sz w:val="18"/>
                <w:szCs w:val="18"/>
              </w:rPr>
            </w:pPr>
            <w:r w:rsidRPr="002B5DE3">
              <w:rPr>
                <w:sz w:val="18"/>
                <w:szCs w:val="18"/>
              </w:rPr>
              <w:t>19.0</w:t>
            </w:r>
          </w:p>
        </w:tc>
      </w:tr>
      <w:tr w:rsidR="00F16E2B" w:rsidRPr="002B5DE3" w14:paraId="31881E4D" w14:textId="77777777" w:rsidTr="00A47212">
        <w:trPr>
          <w:trHeight w:val="278"/>
        </w:trPr>
        <w:tc>
          <w:tcPr>
            <w:tcW w:w="3651" w:type="dxa"/>
            <w:noWrap/>
            <w:hideMark/>
          </w:tcPr>
          <w:p w14:paraId="42C655C0" w14:textId="77777777" w:rsidR="00F16E2B" w:rsidRPr="002B5DE3" w:rsidRDefault="00F16E2B" w:rsidP="00F16E2B">
            <w:pPr>
              <w:pStyle w:val="TableBodyText"/>
              <w:rPr>
                <w:sz w:val="18"/>
                <w:szCs w:val="18"/>
              </w:rPr>
            </w:pPr>
            <w:r w:rsidRPr="002B5DE3">
              <w:rPr>
                <w:sz w:val="18"/>
                <w:szCs w:val="18"/>
              </w:rPr>
              <w:t>Professionals</w:t>
            </w:r>
          </w:p>
        </w:tc>
        <w:tc>
          <w:tcPr>
            <w:tcW w:w="965" w:type="dxa"/>
            <w:noWrap/>
            <w:hideMark/>
          </w:tcPr>
          <w:p w14:paraId="4DD48409" w14:textId="77777777" w:rsidR="00F16E2B" w:rsidRPr="002B5DE3" w:rsidRDefault="00F16E2B" w:rsidP="00F16E2B">
            <w:pPr>
              <w:pStyle w:val="TableBodyTextright"/>
              <w:rPr>
                <w:sz w:val="18"/>
                <w:szCs w:val="18"/>
              </w:rPr>
            </w:pPr>
            <w:r w:rsidRPr="002B5DE3">
              <w:rPr>
                <w:sz w:val="18"/>
                <w:szCs w:val="18"/>
              </w:rPr>
              <w:t>3,867.3</w:t>
            </w:r>
          </w:p>
        </w:tc>
        <w:tc>
          <w:tcPr>
            <w:tcW w:w="965" w:type="dxa"/>
            <w:tcBorders>
              <w:right w:val="single" w:sz="4" w:space="0" w:color="FFFFFF" w:themeColor="background1"/>
            </w:tcBorders>
            <w:noWrap/>
            <w:hideMark/>
          </w:tcPr>
          <w:p w14:paraId="6CDA2C93" w14:textId="77777777" w:rsidR="00F16E2B" w:rsidRPr="002B5DE3" w:rsidRDefault="00F16E2B" w:rsidP="00F16E2B">
            <w:pPr>
              <w:pStyle w:val="TableBodyTextright"/>
              <w:rPr>
                <w:sz w:val="18"/>
                <w:szCs w:val="18"/>
              </w:rPr>
            </w:pPr>
            <w:r w:rsidRPr="002B5DE3">
              <w:rPr>
                <w:sz w:val="18"/>
                <w:szCs w:val="18"/>
              </w:rPr>
              <w:t>3,731.1</w:t>
            </w:r>
          </w:p>
        </w:tc>
        <w:tc>
          <w:tcPr>
            <w:tcW w:w="965" w:type="dxa"/>
            <w:tcBorders>
              <w:left w:val="single" w:sz="4" w:space="0" w:color="FFFFFF" w:themeColor="background1"/>
              <w:bottom w:val="nil"/>
            </w:tcBorders>
            <w:noWrap/>
            <w:hideMark/>
          </w:tcPr>
          <w:p w14:paraId="08ED0568" w14:textId="77777777" w:rsidR="00F16E2B" w:rsidRPr="002B5DE3" w:rsidRDefault="00F16E2B" w:rsidP="00F16E2B">
            <w:pPr>
              <w:pStyle w:val="TableBodyTextright"/>
              <w:rPr>
                <w:sz w:val="18"/>
                <w:szCs w:val="18"/>
              </w:rPr>
            </w:pPr>
            <w:r w:rsidRPr="002B5DE3">
              <w:rPr>
                <w:sz w:val="18"/>
                <w:szCs w:val="18"/>
              </w:rPr>
              <w:t>136.1</w:t>
            </w:r>
          </w:p>
        </w:tc>
        <w:tc>
          <w:tcPr>
            <w:tcW w:w="762" w:type="dxa"/>
            <w:tcBorders>
              <w:bottom w:val="nil"/>
              <w:right w:val="single" w:sz="4" w:space="0" w:color="FFFFFF" w:themeColor="background1"/>
            </w:tcBorders>
            <w:noWrap/>
            <w:hideMark/>
          </w:tcPr>
          <w:p w14:paraId="07F51FF5" w14:textId="77777777" w:rsidR="00F16E2B" w:rsidRPr="002B5DE3" w:rsidRDefault="00F16E2B" w:rsidP="00F16E2B">
            <w:pPr>
              <w:pStyle w:val="TableBodyTextright"/>
              <w:rPr>
                <w:sz w:val="18"/>
                <w:szCs w:val="18"/>
              </w:rPr>
            </w:pPr>
            <w:r w:rsidRPr="002B5DE3">
              <w:rPr>
                <w:sz w:val="18"/>
                <w:szCs w:val="18"/>
              </w:rPr>
              <w:t>3.6</w:t>
            </w:r>
          </w:p>
        </w:tc>
        <w:tc>
          <w:tcPr>
            <w:tcW w:w="965" w:type="dxa"/>
            <w:tcBorders>
              <w:left w:val="single" w:sz="4" w:space="0" w:color="FFFFFF" w:themeColor="background1"/>
              <w:bottom w:val="nil"/>
            </w:tcBorders>
            <w:noWrap/>
            <w:hideMark/>
          </w:tcPr>
          <w:p w14:paraId="61D79DD1" w14:textId="77777777" w:rsidR="00F16E2B" w:rsidRPr="002B5DE3" w:rsidRDefault="00F16E2B" w:rsidP="00F16E2B">
            <w:pPr>
              <w:pStyle w:val="TableBodyTextright"/>
              <w:rPr>
                <w:sz w:val="18"/>
                <w:szCs w:val="18"/>
              </w:rPr>
            </w:pPr>
            <w:r w:rsidRPr="002B5DE3">
              <w:rPr>
                <w:sz w:val="18"/>
                <w:szCs w:val="18"/>
              </w:rPr>
              <w:t>711.1</w:t>
            </w:r>
          </w:p>
        </w:tc>
        <w:tc>
          <w:tcPr>
            <w:tcW w:w="754" w:type="dxa"/>
            <w:tcBorders>
              <w:bottom w:val="nil"/>
            </w:tcBorders>
            <w:noWrap/>
            <w:hideMark/>
          </w:tcPr>
          <w:p w14:paraId="27CE5463" w14:textId="77777777" w:rsidR="00F16E2B" w:rsidRPr="002B5DE3" w:rsidRDefault="00F16E2B" w:rsidP="00F16E2B">
            <w:pPr>
              <w:pStyle w:val="TableBodyTextright"/>
              <w:rPr>
                <w:sz w:val="18"/>
                <w:szCs w:val="18"/>
              </w:rPr>
            </w:pPr>
            <w:r w:rsidRPr="002B5DE3">
              <w:rPr>
                <w:sz w:val="18"/>
                <w:szCs w:val="18"/>
              </w:rPr>
              <w:t>22.5</w:t>
            </w:r>
          </w:p>
        </w:tc>
      </w:tr>
      <w:tr w:rsidR="00F16E2B" w:rsidRPr="002B5DE3" w14:paraId="24E18901" w14:textId="77777777" w:rsidTr="00A47212">
        <w:trPr>
          <w:cnfStyle w:val="000000010000" w:firstRow="0" w:lastRow="0" w:firstColumn="0" w:lastColumn="0" w:oddVBand="0" w:evenVBand="0" w:oddHBand="0" w:evenHBand="1" w:firstRowFirstColumn="0" w:firstRowLastColumn="0" w:lastRowFirstColumn="0" w:lastRowLastColumn="0"/>
          <w:trHeight w:val="278"/>
        </w:trPr>
        <w:tc>
          <w:tcPr>
            <w:tcW w:w="3651" w:type="dxa"/>
            <w:noWrap/>
            <w:hideMark/>
          </w:tcPr>
          <w:p w14:paraId="4DFF3CA0" w14:textId="77777777" w:rsidR="00F16E2B" w:rsidRPr="002B5DE3" w:rsidRDefault="00F16E2B" w:rsidP="00F16E2B">
            <w:pPr>
              <w:pStyle w:val="TableBodyText"/>
              <w:rPr>
                <w:sz w:val="18"/>
                <w:szCs w:val="18"/>
              </w:rPr>
            </w:pPr>
            <w:r w:rsidRPr="002B5DE3">
              <w:rPr>
                <w:sz w:val="18"/>
                <w:szCs w:val="18"/>
              </w:rPr>
              <w:t>Technicians and Trades Workers</w:t>
            </w:r>
          </w:p>
        </w:tc>
        <w:tc>
          <w:tcPr>
            <w:tcW w:w="965" w:type="dxa"/>
            <w:noWrap/>
            <w:hideMark/>
          </w:tcPr>
          <w:p w14:paraId="53C598FF" w14:textId="77777777" w:rsidR="00F16E2B" w:rsidRPr="002B5DE3" w:rsidRDefault="00F16E2B" w:rsidP="00F16E2B">
            <w:pPr>
              <w:pStyle w:val="TableBodyTextright"/>
              <w:rPr>
                <w:sz w:val="18"/>
                <w:szCs w:val="18"/>
              </w:rPr>
            </w:pPr>
            <w:r w:rsidRPr="002B5DE3">
              <w:rPr>
                <w:sz w:val="18"/>
                <w:szCs w:val="18"/>
              </w:rPr>
              <w:t>1,969.7</w:t>
            </w:r>
          </w:p>
        </w:tc>
        <w:tc>
          <w:tcPr>
            <w:tcW w:w="965" w:type="dxa"/>
            <w:tcBorders>
              <w:right w:val="single" w:sz="4" w:space="0" w:color="FFFFFF" w:themeColor="background1"/>
            </w:tcBorders>
            <w:noWrap/>
            <w:hideMark/>
          </w:tcPr>
          <w:p w14:paraId="5E8B446E" w14:textId="77777777" w:rsidR="00F16E2B" w:rsidRPr="002B5DE3" w:rsidRDefault="00F16E2B" w:rsidP="00F16E2B">
            <w:pPr>
              <w:pStyle w:val="TableBodyTextright"/>
              <w:rPr>
                <w:sz w:val="18"/>
                <w:szCs w:val="18"/>
              </w:rPr>
            </w:pPr>
            <w:r w:rsidRPr="002B5DE3">
              <w:rPr>
                <w:sz w:val="18"/>
                <w:szCs w:val="18"/>
              </w:rPr>
              <w:t>1,924.6</w:t>
            </w:r>
          </w:p>
        </w:tc>
        <w:tc>
          <w:tcPr>
            <w:tcW w:w="965" w:type="dxa"/>
            <w:tcBorders>
              <w:left w:val="single" w:sz="4" w:space="0" w:color="FFFFFF" w:themeColor="background1"/>
              <w:bottom w:val="nil"/>
            </w:tcBorders>
            <w:noWrap/>
            <w:hideMark/>
          </w:tcPr>
          <w:p w14:paraId="1FCD08FA" w14:textId="77777777" w:rsidR="00F16E2B" w:rsidRPr="002B5DE3" w:rsidRDefault="00F16E2B" w:rsidP="00F16E2B">
            <w:pPr>
              <w:pStyle w:val="TableBodyTextright"/>
              <w:rPr>
                <w:sz w:val="18"/>
                <w:szCs w:val="18"/>
              </w:rPr>
            </w:pPr>
            <w:r w:rsidRPr="002B5DE3">
              <w:rPr>
                <w:sz w:val="18"/>
                <w:szCs w:val="18"/>
              </w:rPr>
              <w:t>45.2</w:t>
            </w:r>
          </w:p>
        </w:tc>
        <w:tc>
          <w:tcPr>
            <w:tcW w:w="762" w:type="dxa"/>
            <w:tcBorders>
              <w:bottom w:val="nil"/>
              <w:right w:val="single" w:sz="4" w:space="0" w:color="FFFFFF" w:themeColor="background1"/>
            </w:tcBorders>
            <w:noWrap/>
            <w:hideMark/>
          </w:tcPr>
          <w:p w14:paraId="17DE3092" w14:textId="77777777" w:rsidR="00F16E2B" w:rsidRPr="002B5DE3" w:rsidRDefault="00F16E2B" w:rsidP="00F16E2B">
            <w:pPr>
              <w:pStyle w:val="TableBodyTextright"/>
              <w:rPr>
                <w:sz w:val="18"/>
                <w:szCs w:val="18"/>
              </w:rPr>
            </w:pPr>
            <w:r w:rsidRPr="002B5DE3">
              <w:rPr>
                <w:sz w:val="18"/>
                <w:szCs w:val="18"/>
              </w:rPr>
              <w:t>2.3</w:t>
            </w:r>
          </w:p>
        </w:tc>
        <w:tc>
          <w:tcPr>
            <w:tcW w:w="965" w:type="dxa"/>
            <w:tcBorders>
              <w:left w:val="single" w:sz="4" w:space="0" w:color="FFFFFF" w:themeColor="background1"/>
              <w:bottom w:val="nil"/>
            </w:tcBorders>
            <w:noWrap/>
            <w:hideMark/>
          </w:tcPr>
          <w:p w14:paraId="41FA0B09" w14:textId="77777777" w:rsidR="00F16E2B" w:rsidRPr="002B5DE3" w:rsidRDefault="00F16E2B" w:rsidP="00F16E2B">
            <w:pPr>
              <w:pStyle w:val="TableBodyTextright"/>
              <w:rPr>
                <w:sz w:val="18"/>
                <w:szCs w:val="18"/>
              </w:rPr>
            </w:pPr>
            <w:r w:rsidRPr="002B5DE3">
              <w:rPr>
                <w:sz w:val="18"/>
                <w:szCs w:val="18"/>
              </w:rPr>
              <w:t>161.6</w:t>
            </w:r>
          </w:p>
        </w:tc>
        <w:tc>
          <w:tcPr>
            <w:tcW w:w="754" w:type="dxa"/>
            <w:tcBorders>
              <w:bottom w:val="nil"/>
            </w:tcBorders>
            <w:noWrap/>
            <w:hideMark/>
          </w:tcPr>
          <w:p w14:paraId="30862260" w14:textId="77777777" w:rsidR="00F16E2B" w:rsidRPr="002B5DE3" w:rsidRDefault="00F16E2B" w:rsidP="00F16E2B">
            <w:pPr>
              <w:pStyle w:val="TableBodyTextright"/>
              <w:rPr>
                <w:sz w:val="18"/>
                <w:szCs w:val="18"/>
              </w:rPr>
            </w:pPr>
            <w:r w:rsidRPr="002B5DE3">
              <w:rPr>
                <w:sz w:val="18"/>
                <w:szCs w:val="18"/>
              </w:rPr>
              <w:t>8.9</w:t>
            </w:r>
          </w:p>
        </w:tc>
      </w:tr>
      <w:tr w:rsidR="00F16E2B" w:rsidRPr="002B5DE3" w14:paraId="2C183653" w14:textId="77777777" w:rsidTr="00A47212">
        <w:trPr>
          <w:trHeight w:val="278"/>
        </w:trPr>
        <w:tc>
          <w:tcPr>
            <w:tcW w:w="3651" w:type="dxa"/>
            <w:noWrap/>
            <w:hideMark/>
          </w:tcPr>
          <w:p w14:paraId="7B51B3D1" w14:textId="77777777" w:rsidR="00F16E2B" w:rsidRPr="002B5DE3" w:rsidRDefault="00F16E2B" w:rsidP="00F16E2B">
            <w:pPr>
              <w:pStyle w:val="TableBodyText"/>
              <w:rPr>
                <w:sz w:val="18"/>
                <w:szCs w:val="18"/>
              </w:rPr>
            </w:pPr>
            <w:r w:rsidRPr="002B5DE3">
              <w:rPr>
                <w:sz w:val="18"/>
                <w:szCs w:val="18"/>
              </w:rPr>
              <w:t>Community and Personal Service Workers</w:t>
            </w:r>
          </w:p>
        </w:tc>
        <w:tc>
          <w:tcPr>
            <w:tcW w:w="965" w:type="dxa"/>
            <w:noWrap/>
            <w:hideMark/>
          </w:tcPr>
          <w:p w14:paraId="086C4B92" w14:textId="77777777" w:rsidR="00F16E2B" w:rsidRPr="002B5DE3" w:rsidRDefault="00F16E2B" w:rsidP="00F16E2B">
            <w:pPr>
              <w:pStyle w:val="TableBodyTextright"/>
              <w:rPr>
                <w:sz w:val="18"/>
                <w:szCs w:val="18"/>
              </w:rPr>
            </w:pPr>
            <w:r w:rsidRPr="002B5DE3">
              <w:rPr>
                <w:sz w:val="18"/>
                <w:szCs w:val="18"/>
              </w:rPr>
              <w:t>1,673.2</w:t>
            </w:r>
          </w:p>
        </w:tc>
        <w:tc>
          <w:tcPr>
            <w:tcW w:w="965" w:type="dxa"/>
            <w:tcBorders>
              <w:right w:val="single" w:sz="4" w:space="0" w:color="FFFFFF" w:themeColor="background1"/>
            </w:tcBorders>
            <w:noWrap/>
            <w:hideMark/>
          </w:tcPr>
          <w:p w14:paraId="3D9BD038" w14:textId="77777777" w:rsidR="00F16E2B" w:rsidRPr="002B5DE3" w:rsidRDefault="00F16E2B" w:rsidP="00F16E2B">
            <w:pPr>
              <w:pStyle w:val="TableBodyTextright"/>
              <w:rPr>
                <w:sz w:val="18"/>
                <w:szCs w:val="18"/>
              </w:rPr>
            </w:pPr>
            <w:r w:rsidRPr="002B5DE3">
              <w:rPr>
                <w:sz w:val="18"/>
                <w:szCs w:val="18"/>
              </w:rPr>
              <w:t>1,613.1</w:t>
            </w:r>
          </w:p>
        </w:tc>
        <w:tc>
          <w:tcPr>
            <w:tcW w:w="965" w:type="dxa"/>
            <w:tcBorders>
              <w:left w:val="single" w:sz="4" w:space="0" w:color="FFFFFF" w:themeColor="background1"/>
              <w:bottom w:val="nil"/>
            </w:tcBorders>
            <w:noWrap/>
            <w:hideMark/>
          </w:tcPr>
          <w:p w14:paraId="1D8FC651" w14:textId="77777777" w:rsidR="00F16E2B" w:rsidRPr="002B5DE3" w:rsidRDefault="00F16E2B" w:rsidP="00F16E2B">
            <w:pPr>
              <w:pStyle w:val="TableBodyTextright"/>
              <w:rPr>
                <w:sz w:val="18"/>
                <w:szCs w:val="18"/>
              </w:rPr>
            </w:pPr>
            <w:r w:rsidRPr="002B5DE3">
              <w:rPr>
                <w:sz w:val="18"/>
                <w:szCs w:val="18"/>
              </w:rPr>
              <w:t>60.1</w:t>
            </w:r>
          </w:p>
        </w:tc>
        <w:tc>
          <w:tcPr>
            <w:tcW w:w="762" w:type="dxa"/>
            <w:tcBorders>
              <w:bottom w:val="nil"/>
              <w:right w:val="single" w:sz="4" w:space="0" w:color="FFFFFF" w:themeColor="background1"/>
            </w:tcBorders>
            <w:noWrap/>
            <w:hideMark/>
          </w:tcPr>
          <w:p w14:paraId="2FB7E054" w14:textId="77777777" w:rsidR="00F16E2B" w:rsidRPr="002B5DE3" w:rsidRDefault="00F16E2B" w:rsidP="00F16E2B">
            <w:pPr>
              <w:pStyle w:val="TableBodyTextright"/>
              <w:rPr>
                <w:sz w:val="18"/>
                <w:szCs w:val="18"/>
              </w:rPr>
            </w:pPr>
            <w:r w:rsidRPr="002B5DE3">
              <w:rPr>
                <w:sz w:val="18"/>
                <w:szCs w:val="18"/>
              </w:rPr>
              <w:t>3.7</w:t>
            </w:r>
          </w:p>
        </w:tc>
        <w:tc>
          <w:tcPr>
            <w:tcW w:w="965" w:type="dxa"/>
            <w:tcBorders>
              <w:left w:val="single" w:sz="4" w:space="0" w:color="FFFFFF" w:themeColor="background1"/>
              <w:bottom w:val="nil"/>
            </w:tcBorders>
            <w:noWrap/>
            <w:hideMark/>
          </w:tcPr>
          <w:p w14:paraId="3C25B442" w14:textId="77777777" w:rsidR="00F16E2B" w:rsidRPr="002B5DE3" w:rsidRDefault="00F16E2B" w:rsidP="00F16E2B">
            <w:pPr>
              <w:pStyle w:val="TableBodyTextright"/>
              <w:rPr>
                <w:sz w:val="18"/>
                <w:szCs w:val="18"/>
              </w:rPr>
            </w:pPr>
            <w:r w:rsidRPr="002B5DE3">
              <w:rPr>
                <w:sz w:val="18"/>
                <w:szCs w:val="18"/>
              </w:rPr>
              <w:t>270.7</w:t>
            </w:r>
          </w:p>
        </w:tc>
        <w:tc>
          <w:tcPr>
            <w:tcW w:w="754" w:type="dxa"/>
            <w:tcBorders>
              <w:bottom w:val="nil"/>
            </w:tcBorders>
            <w:noWrap/>
            <w:hideMark/>
          </w:tcPr>
          <w:p w14:paraId="0D81153B" w14:textId="77777777" w:rsidR="00F16E2B" w:rsidRPr="002B5DE3" w:rsidRDefault="00F16E2B" w:rsidP="00F16E2B">
            <w:pPr>
              <w:pStyle w:val="TableBodyTextright"/>
              <w:rPr>
                <w:sz w:val="18"/>
                <w:szCs w:val="18"/>
              </w:rPr>
            </w:pPr>
            <w:r w:rsidRPr="002B5DE3">
              <w:rPr>
                <w:sz w:val="18"/>
                <w:szCs w:val="18"/>
              </w:rPr>
              <w:t>19.3</w:t>
            </w:r>
          </w:p>
        </w:tc>
      </w:tr>
      <w:tr w:rsidR="00F16E2B" w:rsidRPr="002B5DE3" w14:paraId="4DA9E76E" w14:textId="77777777" w:rsidTr="00A47212">
        <w:trPr>
          <w:cnfStyle w:val="000000010000" w:firstRow="0" w:lastRow="0" w:firstColumn="0" w:lastColumn="0" w:oddVBand="0" w:evenVBand="0" w:oddHBand="0" w:evenHBand="1" w:firstRowFirstColumn="0" w:firstRowLastColumn="0" w:lastRowFirstColumn="0" w:lastRowLastColumn="0"/>
          <w:trHeight w:val="278"/>
        </w:trPr>
        <w:tc>
          <w:tcPr>
            <w:tcW w:w="3651" w:type="dxa"/>
            <w:noWrap/>
            <w:hideMark/>
          </w:tcPr>
          <w:p w14:paraId="37E8E957" w14:textId="77777777" w:rsidR="00F16E2B" w:rsidRPr="002B5DE3" w:rsidRDefault="00F16E2B" w:rsidP="00F16E2B">
            <w:pPr>
              <w:pStyle w:val="TableBodyText"/>
              <w:rPr>
                <w:sz w:val="18"/>
                <w:szCs w:val="18"/>
              </w:rPr>
            </w:pPr>
            <w:r w:rsidRPr="002B5DE3">
              <w:rPr>
                <w:sz w:val="18"/>
                <w:szCs w:val="18"/>
              </w:rPr>
              <w:t>Clerical and Administrative Workers</w:t>
            </w:r>
          </w:p>
        </w:tc>
        <w:tc>
          <w:tcPr>
            <w:tcW w:w="965" w:type="dxa"/>
            <w:noWrap/>
            <w:hideMark/>
          </w:tcPr>
          <w:p w14:paraId="7D4C8A9D" w14:textId="77777777" w:rsidR="00F16E2B" w:rsidRPr="002B5DE3" w:rsidRDefault="00F16E2B" w:rsidP="00F16E2B">
            <w:pPr>
              <w:pStyle w:val="TableBodyTextright"/>
              <w:rPr>
                <w:sz w:val="18"/>
                <w:szCs w:val="18"/>
              </w:rPr>
            </w:pPr>
            <w:r w:rsidRPr="002B5DE3">
              <w:rPr>
                <w:sz w:val="18"/>
                <w:szCs w:val="18"/>
              </w:rPr>
              <w:t>1,886.9</w:t>
            </w:r>
          </w:p>
        </w:tc>
        <w:tc>
          <w:tcPr>
            <w:tcW w:w="965" w:type="dxa"/>
            <w:tcBorders>
              <w:right w:val="single" w:sz="4" w:space="0" w:color="FFFFFF" w:themeColor="background1"/>
            </w:tcBorders>
            <w:noWrap/>
            <w:hideMark/>
          </w:tcPr>
          <w:p w14:paraId="7C6EAB55" w14:textId="77777777" w:rsidR="00F16E2B" w:rsidRPr="002B5DE3" w:rsidRDefault="00F16E2B" w:rsidP="00F16E2B">
            <w:pPr>
              <w:pStyle w:val="TableBodyTextright"/>
              <w:rPr>
                <w:sz w:val="18"/>
                <w:szCs w:val="18"/>
              </w:rPr>
            </w:pPr>
            <w:r w:rsidRPr="002B5DE3">
              <w:rPr>
                <w:sz w:val="18"/>
                <w:szCs w:val="18"/>
              </w:rPr>
              <w:t>1,860.3</w:t>
            </w:r>
          </w:p>
        </w:tc>
        <w:tc>
          <w:tcPr>
            <w:tcW w:w="965" w:type="dxa"/>
            <w:tcBorders>
              <w:left w:val="single" w:sz="4" w:space="0" w:color="FFFFFF" w:themeColor="background1"/>
              <w:bottom w:val="nil"/>
            </w:tcBorders>
            <w:noWrap/>
            <w:hideMark/>
          </w:tcPr>
          <w:p w14:paraId="3CAFD749" w14:textId="77777777" w:rsidR="00F16E2B" w:rsidRPr="002B5DE3" w:rsidRDefault="00F16E2B" w:rsidP="00F16E2B">
            <w:pPr>
              <w:pStyle w:val="TableBodyTextright"/>
              <w:rPr>
                <w:sz w:val="18"/>
                <w:szCs w:val="18"/>
              </w:rPr>
            </w:pPr>
            <w:r w:rsidRPr="002B5DE3">
              <w:rPr>
                <w:sz w:val="18"/>
                <w:szCs w:val="18"/>
              </w:rPr>
              <w:t>26.6</w:t>
            </w:r>
          </w:p>
        </w:tc>
        <w:tc>
          <w:tcPr>
            <w:tcW w:w="762" w:type="dxa"/>
            <w:tcBorders>
              <w:bottom w:val="nil"/>
              <w:right w:val="single" w:sz="4" w:space="0" w:color="FFFFFF" w:themeColor="background1"/>
            </w:tcBorders>
            <w:noWrap/>
            <w:hideMark/>
          </w:tcPr>
          <w:p w14:paraId="40E2EBA7" w14:textId="77777777" w:rsidR="00F16E2B" w:rsidRPr="002B5DE3" w:rsidRDefault="00F16E2B" w:rsidP="00F16E2B">
            <w:pPr>
              <w:pStyle w:val="TableBodyTextright"/>
              <w:rPr>
                <w:sz w:val="18"/>
                <w:szCs w:val="18"/>
              </w:rPr>
            </w:pPr>
            <w:r w:rsidRPr="002B5DE3">
              <w:rPr>
                <w:sz w:val="18"/>
                <w:szCs w:val="18"/>
              </w:rPr>
              <w:t>1.4</w:t>
            </w:r>
          </w:p>
        </w:tc>
        <w:tc>
          <w:tcPr>
            <w:tcW w:w="965" w:type="dxa"/>
            <w:tcBorders>
              <w:left w:val="single" w:sz="4" w:space="0" w:color="FFFFFF" w:themeColor="background1"/>
              <w:bottom w:val="nil"/>
            </w:tcBorders>
            <w:noWrap/>
            <w:hideMark/>
          </w:tcPr>
          <w:p w14:paraId="5C77413B" w14:textId="77777777" w:rsidR="00F16E2B" w:rsidRPr="002B5DE3" w:rsidRDefault="00F16E2B" w:rsidP="00F16E2B">
            <w:pPr>
              <w:pStyle w:val="TableBodyTextright"/>
              <w:rPr>
                <w:sz w:val="18"/>
                <w:szCs w:val="18"/>
              </w:rPr>
            </w:pPr>
            <w:r w:rsidRPr="002B5DE3">
              <w:rPr>
                <w:sz w:val="18"/>
                <w:szCs w:val="18"/>
              </w:rPr>
              <w:t>120.4</w:t>
            </w:r>
          </w:p>
        </w:tc>
        <w:tc>
          <w:tcPr>
            <w:tcW w:w="754" w:type="dxa"/>
            <w:tcBorders>
              <w:bottom w:val="nil"/>
            </w:tcBorders>
            <w:noWrap/>
            <w:hideMark/>
          </w:tcPr>
          <w:p w14:paraId="660E4CEC" w14:textId="77777777" w:rsidR="00F16E2B" w:rsidRPr="002B5DE3" w:rsidRDefault="00F16E2B" w:rsidP="00F16E2B">
            <w:pPr>
              <w:pStyle w:val="TableBodyTextright"/>
              <w:rPr>
                <w:sz w:val="18"/>
                <w:szCs w:val="18"/>
              </w:rPr>
            </w:pPr>
            <w:r w:rsidRPr="002B5DE3">
              <w:rPr>
                <w:sz w:val="18"/>
                <w:szCs w:val="18"/>
              </w:rPr>
              <w:t>6.8</w:t>
            </w:r>
          </w:p>
        </w:tc>
      </w:tr>
      <w:tr w:rsidR="00F16E2B" w:rsidRPr="002B5DE3" w14:paraId="23A1BC4D" w14:textId="77777777" w:rsidTr="00A47212">
        <w:trPr>
          <w:trHeight w:val="278"/>
        </w:trPr>
        <w:tc>
          <w:tcPr>
            <w:tcW w:w="3651" w:type="dxa"/>
            <w:noWrap/>
            <w:hideMark/>
          </w:tcPr>
          <w:p w14:paraId="0A203DCE" w14:textId="77777777" w:rsidR="00F16E2B" w:rsidRPr="002B5DE3" w:rsidRDefault="00F16E2B" w:rsidP="00F16E2B">
            <w:pPr>
              <w:pStyle w:val="TableBodyText"/>
              <w:rPr>
                <w:sz w:val="18"/>
                <w:szCs w:val="18"/>
              </w:rPr>
            </w:pPr>
            <w:r w:rsidRPr="002B5DE3">
              <w:rPr>
                <w:sz w:val="18"/>
                <w:szCs w:val="18"/>
              </w:rPr>
              <w:t>Sales Workers</w:t>
            </w:r>
          </w:p>
        </w:tc>
        <w:tc>
          <w:tcPr>
            <w:tcW w:w="965" w:type="dxa"/>
            <w:noWrap/>
            <w:hideMark/>
          </w:tcPr>
          <w:p w14:paraId="11EFCF52" w14:textId="77777777" w:rsidR="00F16E2B" w:rsidRPr="002B5DE3" w:rsidRDefault="00F16E2B" w:rsidP="00F16E2B">
            <w:pPr>
              <w:pStyle w:val="TableBodyTextright"/>
              <w:rPr>
                <w:sz w:val="18"/>
                <w:szCs w:val="18"/>
              </w:rPr>
            </w:pPr>
            <w:r w:rsidRPr="002B5DE3">
              <w:rPr>
                <w:sz w:val="18"/>
                <w:szCs w:val="18"/>
              </w:rPr>
              <w:t>1,136.0</w:t>
            </w:r>
          </w:p>
        </w:tc>
        <w:tc>
          <w:tcPr>
            <w:tcW w:w="965" w:type="dxa"/>
            <w:tcBorders>
              <w:right w:val="single" w:sz="4" w:space="0" w:color="FFFFFF" w:themeColor="background1"/>
            </w:tcBorders>
            <w:noWrap/>
            <w:hideMark/>
          </w:tcPr>
          <w:p w14:paraId="37F13B35" w14:textId="77777777" w:rsidR="00F16E2B" w:rsidRPr="002B5DE3" w:rsidRDefault="00F16E2B" w:rsidP="00F16E2B">
            <w:pPr>
              <w:pStyle w:val="TableBodyTextright"/>
              <w:rPr>
                <w:sz w:val="18"/>
                <w:szCs w:val="18"/>
              </w:rPr>
            </w:pPr>
            <w:r w:rsidRPr="002B5DE3">
              <w:rPr>
                <w:sz w:val="18"/>
                <w:szCs w:val="18"/>
              </w:rPr>
              <w:t>1,119.0</w:t>
            </w:r>
          </w:p>
        </w:tc>
        <w:tc>
          <w:tcPr>
            <w:tcW w:w="965" w:type="dxa"/>
            <w:tcBorders>
              <w:left w:val="single" w:sz="4" w:space="0" w:color="FFFFFF" w:themeColor="background1"/>
              <w:bottom w:val="nil"/>
            </w:tcBorders>
            <w:noWrap/>
            <w:hideMark/>
          </w:tcPr>
          <w:p w14:paraId="3C791F7E" w14:textId="77777777" w:rsidR="00F16E2B" w:rsidRPr="002B5DE3" w:rsidRDefault="00F16E2B" w:rsidP="00F16E2B">
            <w:pPr>
              <w:pStyle w:val="TableBodyTextright"/>
              <w:rPr>
                <w:sz w:val="18"/>
                <w:szCs w:val="18"/>
              </w:rPr>
            </w:pPr>
            <w:r w:rsidRPr="002B5DE3">
              <w:rPr>
                <w:sz w:val="18"/>
                <w:szCs w:val="18"/>
              </w:rPr>
              <w:t>17.0</w:t>
            </w:r>
          </w:p>
        </w:tc>
        <w:tc>
          <w:tcPr>
            <w:tcW w:w="762" w:type="dxa"/>
            <w:tcBorders>
              <w:bottom w:val="nil"/>
              <w:right w:val="single" w:sz="4" w:space="0" w:color="FFFFFF" w:themeColor="background1"/>
            </w:tcBorders>
            <w:noWrap/>
            <w:hideMark/>
          </w:tcPr>
          <w:p w14:paraId="0DBA0A4E" w14:textId="77777777" w:rsidR="00F16E2B" w:rsidRPr="002B5DE3" w:rsidRDefault="00F16E2B" w:rsidP="00F16E2B">
            <w:pPr>
              <w:pStyle w:val="TableBodyTextright"/>
              <w:rPr>
                <w:sz w:val="18"/>
                <w:szCs w:val="18"/>
              </w:rPr>
            </w:pPr>
            <w:r w:rsidRPr="002B5DE3">
              <w:rPr>
                <w:sz w:val="18"/>
                <w:szCs w:val="18"/>
              </w:rPr>
              <w:t>1.5</w:t>
            </w:r>
          </w:p>
        </w:tc>
        <w:tc>
          <w:tcPr>
            <w:tcW w:w="965" w:type="dxa"/>
            <w:tcBorders>
              <w:left w:val="single" w:sz="4" w:space="0" w:color="FFFFFF" w:themeColor="background1"/>
              <w:bottom w:val="nil"/>
            </w:tcBorders>
            <w:noWrap/>
            <w:hideMark/>
          </w:tcPr>
          <w:p w14:paraId="352A0A88" w14:textId="77777777" w:rsidR="00F16E2B" w:rsidRPr="002B5DE3" w:rsidRDefault="00F16E2B" w:rsidP="00F16E2B">
            <w:pPr>
              <w:pStyle w:val="TableBodyTextright"/>
              <w:rPr>
                <w:sz w:val="18"/>
                <w:szCs w:val="18"/>
              </w:rPr>
            </w:pPr>
            <w:r w:rsidRPr="002B5DE3">
              <w:rPr>
                <w:sz w:val="18"/>
                <w:szCs w:val="18"/>
              </w:rPr>
              <w:t>34.3</w:t>
            </w:r>
          </w:p>
        </w:tc>
        <w:tc>
          <w:tcPr>
            <w:tcW w:w="754" w:type="dxa"/>
            <w:tcBorders>
              <w:bottom w:val="nil"/>
            </w:tcBorders>
            <w:noWrap/>
            <w:hideMark/>
          </w:tcPr>
          <w:p w14:paraId="28E2E617" w14:textId="77777777" w:rsidR="00F16E2B" w:rsidRPr="002B5DE3" w:rsidRDefault="00F16E2B" w:rsidP="00F16E2B">
            <w:pPr>
              <w:pStyle w:val="TableBodyTextright"/>
              <w:rPr>
                <w:sz w:val="18"/>
                <w:szCs w:val="18"/>
              </w:rPr>
            </w:pPr>
            <w:r w:rsidRPr="002B5DE3">
              <w:rPr>
                <w:sz w:val="18"/>
                <w:szCs w:val="18"/>
              </w:rPr>
              <w:t>3.1</w:t>
            </w:r>
          </w:p>
        </w:tc>
      </w:tr>
      <w:tr w:rsidR="00F16E2B" w:rsidRPr="002B5DE3" w14:paraId="57870489" w14:textId="77777777" w:rsidTr="00A47212">
        <w:trPr>
          <w:cnfStyle w:val="000000010000" w:firstRow="0" w:lastRow="0" w:firstColumn="0" w:lastColumn="0" w:oddVBand="0" w:evenVBand="0" w:oddHBand="0" w:evenHBand="1" w:firstRowFirstColumn="0" w:firstRowLastColumn="0" w:lastRowFirstColumn="0" w:lastRowLastColumn="0"/>
          <w:trHeight w:val="278"/>
        </w:trPr>
        <w:tc>
          <w:tcPr>
            <w:tcW w:w="3651" w:type="dxa"/>
            <w:noWrap/>
            <w:hideMark/>
          </w:tcPr>
          <w:p w14:paraId="0EC19571" w14:textId="77777777" w:rsidR="00F16E2B" w:rsidRPr="002B5DE3" w:rsidRDefault="00F16E2B" w:rsidP="00F16E2B">
            <w:pPr>
              <w:pStyle w:val="TableBodyText"/>
              <w:rPr>
                <w:sz w:val="18"/>
                <w:szCs w:val="18"/>
              </w:rPr>
            </w:pPr>
            <w:r w:rsidRPr="002B5DE3">
              <w:rPr>
                <w:sz w:val="18"/>
                <w:szCs w:val="18"/>
              </w:rPr>
              <w:t>Machinery Operators and Drivers</w:t>
            </w:r>
          </w:p>
        </w:tc>
        <w:tc>
          <w:tcPr>
            <w:tcW w:w="965" w:type="dxa"/>
            <w:noWrap/>
            <w:hideMark/>
          </w:tcPr>
          <w:p w14:paraId="338EBDC2" w14:textId="77777777" w:rsidR="00F16E2B" w:rsidRPr="002B5DE3" w:rsidRDefault="00F16E2B" w:rsidP="00F16E2B">
            <w:pPr>
              <w:pStyle w:val="TableBodyTextright"/>
              <w:rPr>
                <w:sz w:val="18"/>
                <w:szCs w:val="18"/>
              </w:rPr>
            </w:pPr>
            <w:r w:rsidRPr="002B5DE3">
              <w:rPr>
                <w:sz w:val="18"/>
                <w:szCs w:val="18"/>
              </w:rPr>
              <w:t>916.5</w:t>
            </w:r>
          </w:p>
        </w:tc>
        <w:tc>
          <w:tcPr>
            <w:tcW w:w="965" w:type="dxa"/>
            <w:tcBorders>
              <w:right w:val="single" w:sz="4" w:space="0" w:color="FFFFFF" w:themeColor="background1"/>
            </w:tcBorders>
            <w:noWrap/>
            <w:hideMark/>
          </w:tcPr>
          <w:p w14:paraId="06128DAD" w14:textId="77777777" w:rsidR="00F16E2B" w:rsidRPr="002B5DE3" w:rsidRDefault="00F16E2B" w:rsidP="00F16E2B">
            <w:pPr>
              <w:pStyle w:val="TableBodyTextright"/>
              <w:rPr>
                <w:sz w:val="18"/>
                <w:szCs w:val="18"/>
              </w:rPr>
            </w:pPr>
            <w:r w:rsidRPr="002B5DE3">
              <w:rPr>
                <w:sz w:val="18"/>
                <w:szCs w:val="18"/>
              </w:rPr>
              <w:t>905.4</w:t>
            </w:r>
          </w:p>
        </w:tc>
        <w:tc>
          <w:tcPr>
            <w:tcW w:w="965" w:type="dxa"/>
            <w:tcBorders>
              <w:left w:val="single" w:sz="4" w:space="0" w:color="FFFFFF" w:themeColor="background1"/>
              <w:bottom w:val="nil"/>
            </w:tcBorders>
            <w:noWrap/>
            <w:hideMark/>
          </w:tcPr>
          <w:p w14:paraId="10D1E34B" w14:textId="77777777" w:rsidR="00F16E2B" w:rsidRPr="002B5DE3" w:rsidRDefault="00F16E2B" w:rsidP="00F16E2B">
            <w:pPr>
              <w:pStyle w:val="TableBodyTextright"/>
              <w:rPr>
                <w:sz w:val="18"/>
                <w:szCs w:val="18"/>
              </w:rPr>
            </w:pPr>
            <w:r w:rsidRPr="002B5DE3">
              <w:rPr>
                <w:sz w:val="18"/>
                <w:szCs w:val="18"/>
              </w:rPr>
              <w:t>11.1</w:t>
            </w:r>
          </w:p>
        </w:tc>
        <w:tc>
          <w:tcPr>
            <w:tcW w:w="762" w:type="dxa"/>
            <w:tcBorders>
              <w:bottom w:val="nil"/>
              <w:right w:val="single" w:sz="4" w:space="0" w:color="FFFFFF" w:themeColor="background1"/>
            </w:tcBorders>
            <w:noWrap/>
            <w:hideMark/>
          </w:tcPr>
          <w:p w14:paraId="5F09659F" w14:textId="77777777" w:rsidR="00F16E2B" w:rsidRPr="002B5DE3" w:rsidRDefault="00F16E2B" w:rsidP="00F16E2B">
            <w:pPr>
              <w:pStyle w:val="TableBodyTextright"/>
              <w:rPr>
                <w:sz w:val="18"/>
                <w:szCs w:val="18"/>
              </w:rPr>
            </w:pPr>
            <w:r w:rsidRPr="002B5DE3">
              <w:rPr>
                <w:sz w:val="18"/>
                <w:szCs w:val="18"/>
              </w:rPr>
              <w:t>1.2</w:t>
            </w:r>
          </w:p>
        </w:tc>
        <w:tc>
          <w:tcPr>
            <w:tcW w:w="965" w:type="dxa"/>
            <w:tcBorders>
              <w:left w:val="single" w:sz="4" w:space="0" w:color="FFFFFF" w:themeColor="background1"/>
              <w:bottom w:val="nil"/>
            </w:tcBorders>
            <w:noWrap/>
            <w:hideMark/>
          </w:tcPr>
          <w:p w14:paraId="068C7981" w14:textId="77777777" w:rsidR="00F16E2B" w:rsidRPr="002B5DE3" w:rsidRDefault="00F16E2B" w:rsidP="00F16E2B">
            <w:pPr>
              <w:pStyle w:val="TableBodyTextright"/>
              <w:rPr>
                <w:sz w:val="18"/>
                <w:szCs w:val="18"/>
              </w:rPr>
            </w:pPr>
            <w:r w:rsidRPr="002B5DE3">
              <w:rPr>
                <w:sz w:val="18"/>
                <w:szCs w:val="18"/>
              </w:rPr>
              <w:t>63.7</w:t>
            </w:r>
          </w:p>
        </w:tc>
        <w:tc>
          <w:tcPr>
            <w:tcW w:w="754" w:type="dxa"/>
            <w:tcBorders>
              <w:bottom w:val="nil"/>
            </w:tcBorders>
            <w:noWrap/>
            <w:hideMark/>
          </w:tcPr>
          <w:p w14:paraId="561DFD30" w14:textId="77777777" w:rsidR="00F16E2B" w:rsidRPr="002B5DE3" w:rsidRDefault="00F16E2B" w:rsidP="00F16E2B">
            <w:pPr>
              <w:pStyle w:val="TableBodyTextright"/>
              <w:rPr>
                <w:sz w:val="18"/>
                <w:szCs w:val="18"/>
              </w:rPr>
            </w:pPr>
            <w:r w:rsidRPr="002B5DE3">
              <w:rPr>
                <w:sz w:val="18"/>
                <w:szCs w:val="18"/>
              </w:rPr>
              <w:t>7.5</w:t>
            </w:r>
          </w:p>
        </w:tc>
      </w:tr>
      <w:tr w:rsidR="00F16E2B" w:rsidRPr="002B5DE3" w14:paraId="1BD93D6D" w14:textId="77777777" w:rsidTr="00A47212">
        <w:trPr>
          <w:trHeight w:val="278"/>
        </w:trPr>
        <w:tc>
          <w:tcPr>
            <w:tcW w:w="3651" w:type="dxa"/>
            <w:noWrap/>
            <w:hideMark/>
          </w:tcPr>
          <w:p w14:paraId="71C5DD66" w14:textId="77777777" w:rsidR="00F16E2B" w:rsidRPr="002B5DE3" w:rsidRDefault="00F16E2B" w:rsidP="00F16E2B">
            <w:pPr>
              <w:pStyle w:val="TableBodyText"/>
              <w:rPr>
                <w:sz w:val="18"/>
                <w:szCs w:val="18"/>
              </w:rPr>
            </w:pPr>
            <w:r w:rsidRPr="002B5DE3">
              <w:rPr>
                <w:sz w:val="18"/>
                <w:szCs w:val="18"/>
              </w:rPr>
              <w:t>Labourers</w:t>
            </w:r>
          </w:p>
        </w:tc>
        <w:tc>
          <w:tcPr>
            <w:tcW w:w="965" w:type="dxa"/>
            <w:noWrap/>
            <w:hideMark/>
          </w:tcPr>
          <w:p w14:paraId="4ECB85E5" w14:textId="77777777" w:rsidR="00F16E2B" w:rsidRPr="002B5DE3" w:rsidRDefault="00F16E2B" w:rsidP="00F16E2B">
            <w:pPr>
              <w:pStyle w:val="TableBodyTextright"/>
              <w:rPr>
                <w:sz w:val="18"/>
                <w:szCs w:val="18"/>
              </w:rPr>
            </w:pPr>
            <w:r w:rsidRPr="002B5DE3">
              <w:rPr>
                <w:sz w:val="18"/>
                <w:szCs w:val="18"/>
              </w:rPr>
              <w:t>1,234.9</w:t>
            </w:r>
          </w:p>
        </w:tc>
        <w:tc>
          <w:tcPr>
            <w:tcW w:w="965" w:type="dxa"/>
            <w:tcBorders>
              <w:right w:val="single" w:sz="4" w:space="0" w:color="FFFFFF" w:themeColor="background1"/>
            </w:tcBorders>
            <w:noWrap/>
            <w:hideMark/>
          </w:tcPr>
          <w:p w14:paraId="70DC7522" w14:textId="77777777" w:rsidR="00F16E2B" w:rsidRPr="002B5DE3" w:rsidRDefault="00F16E2B" w:rsidP="00F16E2B">
            <w:pPr>
              <w:pStyle w:val="TableBodyTextright"/>
              <w:rPr>
                <w:sz w:val="18"/>
                <w:szCs w:val="18"/>
              </w:rPr>
            </w:pPr>
            <w:r w:rsidRPr="002B5DE3">
              <w:rPr>
                <w:sz w:val="18"/>
                <w:szCs w:val="18"/>
              </w:rPr>
              <w:t>1,209.5</w:t>
            </w:r>
          </w:p>
        </w:tc>
        <w:tc>
          <w:tcPr>
            <w:tcW w:w="965" w:type="dxa"/>
            <w:tcBorders>
              <w:left w:val="single" w:sz="4" w:space="0" w:color="FFFFFF" w:themeColor="background1"/>
              <w:bottom w:val="nil"/>
            </w:tcBorders>
            <w:noWrap/>
            <w:hideMark/>
          </w:tcPr>
          <w:p w14:paraId="54869C7A" w14:textId="77777777" w:rsidR="00F16E2B" w:rsidRPr="002B5DE3" w:rsidRDefault="00F16E2B" w:rsidP="00F16E2B">
            <w:pPr>
              <w:pStyle w:val="TableBodyTextright"/>
              <w:rPr>
                <w:sz w:val="18"/>
                <w:szCs w:val="18"/>
              </w:rPr>
            </w:pPr>
            <w:r w:rsidRPr="002B5DE3">
              <w:rPr>
                <w:sz w:val="18"/>
                <w:szCs w:val="18"/>
              </w:rPr>
              <w:t>25.3</w:t>
            </w:r>
          </w:p>
        </w:tc>
        <w:tc>
          <w:tcPr>
            <w:tcW w:w="762" w:type="dxa"/>
            <w:tcBorders>
              <w:bottom w:val="nil"/>
              <w:right w:val="single" w:sz="4" w:space="0" w:color="FFFFFF" w:themeColor="background1"/>
            </w:tcBorders>
            <w:noWrap/>
            <w:hideMark/>
          </w:tcPr>
          <w:p w14:paraId="4B2DC95D" w14:textId="77777777" w:rsidR="00F16E2B" w:rsidRPr="002B5DE3" w:rsidRDefault="00F16E2B" w:rsidP="00F16E2B">
            <w:pPr>
              <w:pStyle w:val="TableBodyTextright"/>
              <w:rPr>
                <w:sz w:val="18"/>
                <w:szCs w:val="18"/>
              </w:rPr>
            </w:pPr>
            <w:r w:rsidRPr="002B5DE3">
              <w:rPr>
                <w:sz w:val="18"/>
                <w:szCs w:val="18"/>
              </w:rPr>
              <w:t>2.1</w:t>
            </w:r>
          </w:p>
        </w:tc>
        <w:tc>
          <w:tcPr>
            <w:tcW w:w="965" w:type="dxa"/>
            <w:tcBorders>
              <w:left w:val="single" w:sz="4" w:space="0" w:color="FFFFFF" w:themeColor="background1"/>
              <w:bottom w:val="nil"/>
            </w:tcBorders>
            <w:noWrap/>
            <w:hideMark/>
          </w:tcPr>
          <w:p w14:paraId="3692D4D8" w14:textId="77777777" w:rsidR="00F16E2B" w:rsidRPr="002B5DE3" w:rsidRDefault="00F16E2B" w:rsidP="00F16E2B">
            <w:pPr>
              <w:pStyle w:val="TableBodyTextright"/>
              <w:rPr>
                <w:sz w:val="18"/>
                <w:szCs w:val="18"/>
              </w:rPr>
            </w:pPr>
            <w:r w:rsidRPr="002B5DE3">
              <w:rPr>
                <w:sz w:val="18"/>
                <w:szCs w:val="18"/>
              </w:rPr>
              <w:t>4.9</w:t>
            </w:r>
          </w:p>
        </w:tc>
        <w:tc>
          <w:tcPr>
            <w:tcW w:w="754" w:type="dxa"/>
            <w:tcBorders>
              <w:bottom w:val="nil"/>
            </w:tcBorders>
            <w:noWrap/>
            <w:hideMark/>
          </w:tcPr>
          <w:p w14:paraId="39FC3710" w14:textId="77777777" w:rsidR="00F16E2B" w:rsidRPr="002B5DE3" w:rsidRDefault="00F16E2B" w:rsidP="00F16E2B">
            <w:pPr>
              <w:pStyle w:val="TableBodyTextright"/>
              <w:rPr>
                <w:sz w:val="18"/>
                <w:szCs w:val="18"/>
              </w:rPr>
            </w:pPr>
            <w:r w:rsidRPr="002B5DE3">
              <w:rPr>
                <w:sz w:val="18"/>
                <w:szCs w:val="18"/>
              </w:rPr>
              <w:t>0.4</w:t>
            </w:r>
          </w:p>
        </w:tc>
      </w:tr>
      <w:tr w:rsidR="00F16E2B" w:rsidRPr="002B5DE3" w14:paraId="6E6E4BC8" w14:textId="77777777" w:rsidTr="00A47212">
        <w:trPr>
          <w:cnfStyle w:val="000000010000" w:firstRow="0" w:lastRow="0" w:firstColumn="0" w:lastColumn="0" w:oddVBand="0" w:evenVBand="0" w:oddHBand="0" w:evenHBand="1" w:firstRowFirstColumn="0" w:firstRowLastColumn="0" w:lastRowFirstColumn="0" w:lastRowLastColumn="0"/>
          <w:trHeight w:val="299"/>
        </w:trPr>
        <w:tc>
          <w:tcPr>
            <w:tcW w:w="3651" w:type="dxa"/>
            <w:noWrap/>
          </w:tcPr>
          <w:p w14:paraId="7816458D" w14:textId="77777777" w:rsidR="00F16E2B" w:rsidRPr="002B5DE3" w:rsidRDefault="00F16E2B" w:rsidP="00F16E2B">
            <w:pPr>
              <w:pStyle w:val="TableBodyText"/>
              <w:rPr>
                <w:rStyle w:val="Characterbold"/>
                <w:sz w:val="18"/>
                <w:szCs w:val="18"/>
              </w:rPr>
            </w:pPr>
            <w:r w:rsidRPr="002B5DE3">
              <w:rPr>
                <w:rStyle w:val="Characterbold"/>
                <w:sz w:val="18"/>
                <w:szCs w:val="18"/>
              </w:rPr>
              <w:t>Total employment</w:t>
            </w:r>
          </w:p>
        </w:tc>
        <w:tc>
          <w:tcPr>
            <w:tcW w:w="965" w:type="dxa"/>
            <w:noWrap/>
          </w:tcPr>
          <w:p w14:paraId="097732F4" w14:textId="77777777" w:rsidR="00F16E2B" w:rsidRPr="002B5DE3" w:rsidRDefault="00F16E2B" w:rsidP="00F16E2B">
            <w:pPr>
              <w:pStyle w:val="TableBodyTextright"/>
              <w:rPr>
                <w:rStyle w:val="Characterbold"/>
                <w:sz w:val="18"/>
                <w:szCs w:val="18"/>
              </w:rPr>
            </w:pPr>
            <w:r w:rsidRPr="002B5DE3">
              <w:rPr>
                <w:rStyle w:val="Characterbold"/>
                <w:sz w:val="18"/>
                <w:szCs w:val="18"/>
              </w:rPr>
              <w:t>14,564.8</w:t>
            </w:r>
          </w:p>
        </w:tc>
        <w:tc>
          <w:tcPr>
            <w:tcW w:w="965" w:type="dxa"/>
            <w:tcBorders>
              <w:right w:val="single" w:sz="4" w:space="0" w:color="FFFFFF" w:themeColor="background1"/>
            </w:tcBorders>
            <w:noWrap/>
          </w:tcPr>
          <w:p w14:paraId="3CEA7084" w14:textId="77777777" w:rsidR="00F16E2B" w:rsidRPr="002B5DE3" w:rsidRDefault="00F16E2B" w:rsidP="00F16E2B">
            <w:pPr>
              <w:pStyle w:val="TableBodyTextright"/>
              <w:rPr>
                <w:rStyle w:val="Characterbold"/>
                <w:sz w:val="18"/>
                <w:szCs w:val="18"/>
              </w:rPr>
            </w:pPr>
            <w:r w:rsidRPr="002B5DE3">
              <w:rPr>
                <w:rStyle w:val="Characterbold"/>
                <w:sz w:val="18"/>
                <w:szCs w:val="18"/>
              </w:rPr>
              <w:t>14,211.3</w:t>
            </w:r>
          </w:p>
        </w:tc>
        <w:tc>
          <w:tcPr>
            <w:tcW w:w="965" w:type="dxa"/>
            <w:tcBorders>
              <w:left w:val="single" w:sz="4" w:space="0" w:color="FFFFFF" w:themeColor="background1"/>
              <w:bottom w:val="single" w:sz="4" w:space="0" w:color="2F005F"/>
            </w:tcBorders>
            <w:noWrap/>
          </w:tcPr>
          <w:p w14:paraId="08EB426F" w14:textId="77777777" w:rsidR="00F16E2B" w:rsidRPr="002B5DE3" w:rsidRDefault="00F16E2B" w:rsidP="00F16E2B">
            <w:pPr>
              <w:pStyle w:val="TableBodyTextright"/>
              <w:rPr>
                <w:rStyle w:val="Characterbold"/>
                <w:sz w:val="18"/>
                <w:szCs w:val="18"/>
              </w:rPr>
            </w:pPr>
            <w:r w:rsidRPr="002B5DE3">
              <w:rPr>
                <w:rStyle w:val="Characterbold"/>
                <w:sz w:val="18"/>
                <w:szCs w:val="18"/>
              </w:rPr>
              <w:t>353.4</w:t>
            </w:r>
          </w:p>
        </w:tc>
        <w:tc>
          <w:tcPr>
            <w:tcW w:w="762" w:type="dxa"/>
            <w:tcBorders>
              <w:bottom w:val="single" w:sz="4" w:space="0" w:color="2F005F"/>
              <w:right w:val="single" w:sz="4" w:space="0" w:color="FFFFFF" w:themeColor="background1"/>
            </w:tcBorders>
            <w:noWrap/>
          </w:tcPr>
          <w:p w14:paraId="446064EE" w14:textId="77777777" w:rsidR="00F16E2B" w:rsidRPr="002B5DE3" w:rsidRDefault="00F16E2B" w:rsidP="00F16E2B">
            <w:pPr>
              <w:pStyle w:val="TableBodyTextright"/>
              <w:rPr>
                <w:rStyle w:val="Characterbold"/>
                <w:sz w:val="18"/>
                <w:szCs w:val="18"/>
              </w:rPr>
            </w:pPr>
            <w:r w:rsidRPr="002B5DE3">
              <w:rPr>
                <w:rStyle w:val="Characterbold"/>
                <w:sz w:val="18"/>
                <w:szCs w:val="18"/>
              </w:rPr>
              <w:t>2.5</w:t>
            </w:r>
          </w:p>
        </w:tc>
        <w:tc>
          <w:tcPr>
            <w:tcW w:w="965" w:type="dxa"/>
            <w:tcBorders>
              <w:left w:val="single" w:sz="4" w:space="0" w:color="FFFFFF" w:themeColor="background1"/>
              <w:bottom w:val="single" w:sz="4" w:space="0" w:color="2F005F"/>
            </w:tcBorders>
            <w:noWrap/>
          </w:tcPr>
          <w:p w14:paraId="410CD8AD" w14:textId="77777777" w:rsidR="00F16E2B" w:rsidRPr="002B5DE3" w:rsidRDefault="00F16E2B" w:rsidP="00F16E2B">
            <w:pPr>
              <w:pStyle w:val="TableBodyTextright"/>
              <w:rPr>
                <w:rStyle w:val="Characterbold"/>
                <w:sz w:val="18"/>
                <w:szCs w:val="18"/>
              </w:rPr>
            </w:pPr>
            <w:r w:rsidRPr="002B5DE3">
              <w:rPr>
                <w:rStyle w:val="Characterbold"/>
                <w:sz w:val="18"/>
                <w:szCs w:val="18"/>
              </w:rPr>
              <w:t>1,653.0</w:t>
            </w:r>
          </w:p>
        </w:tc>
        <w:tc>
          <w:tcPr>
            <w:tcW w:w="754" w:type="dxa"/>
            <w:tcBorders>
              <w:bottom w:val="single" w:sz="4" w:space="0" w:color="2F005F"/>
            </w:tcBorders>
            <w:noWrap/>
          </w:tcPr>
          <w:p w14:paraId="24E13300" w14:textId="77777777" w:rsidR="00F16E2B" w:rsidRPr="002B5DE3" w:rsidRDefault="00F16E2B" w:rsidP="00F16E2B">
            <w:pPr>
              <w:pStyle w:val="TableBodyTextright"/>
              <w:rPr>
                <w:rStyle w:val="Characterbold"/>
                <w:sz w:val="18"/>
                <w:szCs w:val="18"/>
              </w:rPr>
            </w:pPr>
            <w:r w:rsidRPr="002B5DE3">
              <w:rPr>
                <w:rStyle w:val="Characterbold"/>
                <w:sz w:val="18"/>
                <w:szCs w:val="18"/>
              </w:rPr>
              <w:t>12.8</w:t>
            </w:r>
          </w:p>
        </w:tc>
      </w:tr>
    </w:tbl>
    <w:p w14:paraId="2BFCE679" w14:textId="77777777" w:rsidR="00897623" w:rsidRDefault="00897623" w:rsidP="00897623">
      <w:pPr>
        <w:pStyle w:val="Source"/>
      </w:pPr>
      <w:r w:rsidRPr="00897623">
        <w:t>Source: ABS, Labour Force, Australia, Detailed, November 2024, data trended by Jobs and Skills Australia.</w:t>
      </w:r>
    </w:p>
    <w:p w14:paraId="1E20831F" w14:textId="5416D3F4" w:rsidR="00A12E30" w:rsidRPr="00A12E30" w:rsidRDefault="00A12E30" w:rsidP="00A12E30">
      <w:pPr>
        <w:pStyle w:val="BodyText"/>
      </w:pPr>
      <w:r w:rsidRPr="00A12E30">
        <w:t xml:space="preserve">Employment increased in </w:t>
      </w:r>
      <w:r w:rsidR="00A24C42">
        <w:t>S</w:t>
      </w:r>
      <w:r w:rsidR="00E740D1">
        <w:t xml:space="preserve">kill </w:t>
      </w:r>
      <w:r w:rsidR="00A24C42">
        <w:t>L</w:t>
      </w:r>
      <w:r w:rsidR="00E740D1">
        <w:t>evel</w:t>
      </w:r>
      <w:r w:rsidRPr="00A12E30">
        <w:t xml:space="preserve"> groups 1 to 4 over the year to November 2024 </w:t>
      </w:r>
      <w:r w:rsidR="0098079D">
        <w:br/>
      </w:r>
      <w:r w:rsidRPr="00A12E30">
        <w:t xml:space="preserve">(Table 5). </w:t>
      </w:r>
      <w:r w:rsidR="00180EBC">
        <w:t>Skill Level</w:t>
      </w:r>
      <w:r w:rsidRPr="00A12E30">
        <w:t xml:space="preserve"> 1 occupations recorded the largest increase, up by 123,900 (2.5%).</w:t>
      </w:r>
      <w:r w:rsidR="00334E6C" w:rsidRPr="00334E6C">
        <w:rPr>
          <w:rStyle w:val="FootnoteReference"/>
        </w:rPr>
        <w:footnoteReference w:id="7"/>
      </w:r>
      <w:r w:rsidRPr="00A12E30">
        <w:t xml:space="preserve"> </w:t>
      </w:r>
      <w:r w:rsidR="00180EBC">
        <w:t>Skill Level</w:t>
      </w:r>
      <w:r w:rsidRPr="00A12E30">
        <w:t xml:space="preserve"> 4 occupations saw the second largest increase, up by 123,000 (3.6%); followed by </w:t>
      </w:r>
      <w:r w:rsidR="00180EBC">
        <w:t>Skill Level</w:t>
      </w:r>
      <w:r w:rsidRPr="00A12E30">
        <w:t xml:space="preserve"> 3 occupations, up by 73,800 (3.5%). </w:t>
      </w:r>
      <w:r w:rsidR="00180EBC">
        <w:t>Skill Level</w:t>
      </w:r>
      <w:r w:rsidRPr="00A12E30">
        <w:t xml:space="preserve"> 5 occupations recorded a slight decrease, down by 3,400 (0.2%). </w:t>
      </w:r>
    </w:p>
    <w:p w14:paraId="682B9E2F" w14:textId="3C907D7A" w:rsidR="00A12E30" w:rsidRPr="00A12E30" w:rsidRDefault="00A12E30" w:rsidP="00A12E30">
      <w:pPr>
        <w:pStyle w:val="BodyText"/>
      </w:pPr>
      <w:r w:rsidRPr="00A12E30">
        <w:t xml:space="preserve">Net employment growth over the year </w:t>
      </w:r>
      <w:r w:rsidR="006B002E">
        <w:t>was</w:t>
      </w:r>
      <w:r w:rsidRPr="00A12E30">
        <w:t xml:space="preserve"> attributable to </w:t>
      </w:r>
      <w:r w:rsidR="00180EBC">
        <w:t>Skill Level</w:t>
      </w:r>
      <w:r w:rsidRPr="00A12E30">
        <w:t xml:space="preserve"> 1 to 4 occupations</w:t>
      </w:r>
      <w:r w:rsidR="00B840FB">
        <w:t xml:space="preserve"> </w:t>
      </w:r>
      <w:r w:rsidR="001B64F8">
        <w:t>–</w:t>
      </w:r>
      <w:r w:rsidRPr="00A12E30">
        <w:t xml:space="preserve"> those typically associated with post-secondary qualifications. Almost two-thirds of this growth was in </w:t>
      </w:r>
      <w:r w:rsidR="00180EBC">
        <w:t>Skill Level</w:t>
      </w:r>
      <w:r w:rsidRPr="00A12E30">
        <w:t xml:space="preserve"> 2 to 4 occupations, typically associated with a VET pathway.</w:t>
      </w:r>
      <w:r w:rsidR="00604F42">
        <w:t xml:space="preserve"> </w:t>
      </w:r>
      <w:r w:rsidRPr="00A12E30">
        <w:t xml:space="preserve">The shift towards higher skill levels is a long-term trend as the workforce becomes more educated, employment moves towards service-based industries and employers seek to implement technologies into their business processes to improve productivity. </w:t>
      </w:r>
    </w:p>
    <w:p w14:paraId="40CCD924" w14:textId="327A5477" w:rsidR="00D6493D" w:rsidRDefault="00A12E30" w:rsidP="00A12E30">
      <w:pPr>
        <w:pStyle w:val="BodyText"/>
      </w:pPr>
      <w:r w:rsidRPr="00A12E30">
        <w:t xml:space="preserve">As of November 2024, </w:t>
      </w:r>
      <w:r w:rsidR="00180EBC">
        <w:t>Skill Level</w:t>
      </w:r>
      <w:r w:rsidRPr="00A12E30">
        <w:t xml:space="preserve"> 1 occupations accounted for 34.8% of total employment, an increase of 2.7 percentage points from November 2019. Over 5</w:t>
      </w:r>
      <w:r w:rsidR="00883084">
        <w:t xml:space="preserve"> </w:t>
      </w:r>
      <w:r w:rsidRPr="00A12E30">
        <w:t>year</w:t>
      </w:r>
      <w:r w:rsidR="00883084">
        <w:t>s to November 2024,</w:t>
      </w:r>
      <w:r w:rsidR="00883084" w:rsidRPr="00A12E30" w:rsidDel="00883084">
        <w:t xml:space="preserve"> </w:t>
      </w:r>
      <w:r w:rsidRPr="00A12E30">
        <w:t xml:space="preserve">the share of total employment for </w:t>
      </w:r>
      <w:r w:rsidR="00180EBC">
        <w:t>Skill Level</w:t>
      </w:r>
      <w:r w:rsidRPr="00A12E30">
        <w:t xml:space="preserve"> 2 to 5 occupations fell</w:t>
      </w:r>
      <w:r w:rsidR="00D6493D">
        <w:t xml:space="preserve">: </w:t>
      </w:r>
      <w:r w:rsidR="00180EBC">
        <w:t>Skill Level</w:t>
      </w:r>
      <w:r w:rsidRPr="00A12E30">
        <w:t xml:space="preserve"> 5 recorded the largest fall of 1.8 percentage points to 13.7%.</w:t>
      </w:r>
    </w:p>
    <w:p w14:paraId="3D8F9F7C" w14:textId="77777777" w:rsidR="00D6493D" w:rsidRDefault="00D6493D">
      <w:pPr>
        <w:spacing w:before="0" w:after="200" w:line="276" w:lineRule="auto"/>
      </w:pPr>
      <w:r>
        <w:br w:type="page"/>
      </w:r>
    </w:p>
    <w:p w14:paraId="2EA8ED15" w14:textId="653F96D1" w:rsidR="00FE18D3" w:rsidRPr="000152C8" w:rsidRDefault="0061776C" w:rsidP="00FD5E3B">
      <w:pPr>
        <w:pStyle w:val="Caption"/>
      </w:pPr>
      <w:r>
        <w:lastRenderedPageBreak/>
        <w:t xml:space="preserve">Table </w:t>
      </w:r>
      <w:r>
        <w:fldChar w:fldCharType="begin"/>
      </w:r>
      <w:r>
        <w:instrText xml:space="preserve"> SEQ Table \* ARABIC </w:instrText>
      </w:r>
      <w:r>
        <w:fldChar w:fldCharType="separate"/>
      </w:r>
      <w:r w:rsidR="004B52FB">
        <w:rPr>
          <w:noProof/>
        </w:rPr>
        <w:t>5</w:t>
      </w:r>
      <w:r>
        <w:fldChar w:fldCharType="end"/>
      </w:r>
      <w:r w:rsidR="00FE18D3" w:rsidRPr="000152C8">
        <w:t xml:space="preserve">: Employment by </w:t>
      </w:r>
      <w:r w:rsidR="00A67901">
        <w:t>Skill Level</w:t>
      </w:r>
      <w:r w:rsidR="00FE18D3" w:rsidRPr="000152C8">
        <w:rPr>
          <w:rStyle w:val="FootnoteReference"/>
        </w:rPr>
        <w:footnoteReference w:id="8"/>
      </w:r>
    </w:p>
    <w:tbl>
      <w:tblPr>
        <w:tblStyle w:val="CustomTablebasic"/>
        <w:tblW w:w="9027" w:type="dxa"/>
        <w:tblLayout w:type="fixed"/>
        <w:tblLook w:val="04A0" w:firstRow="1" w:lastRow="0" w:firstColumn="1" w:lastColumn="0" w:noHBand="0" w:noVBand="1"/>
      </w:tblPr>
      <w:tblGrid>
        <w:gridCol w:w="2291"/>
        <w:gridCol w:w="1290"/>
        <w:gridCol w:w="1290"/>
        <w:gridCol w:w="1003"/>
        <w:gridCol w:w="1003"/>
        <w:gridCol w:w="1146"/>
        <w:gridCol w:w="1004"/>
      </w:tblGrid>
      <w:tr w:rsidR="00FE18D3" w:rsidRPr="00816B85" w14:paraId="31302BB5" w14:textId="77777777" w:rsidTr="00C97A82">
        <w:trPr>
          <w:cnfStyle w:val="100000000000" w:firstRow="1" w:lastRow="0" w:firstColumn="0" w:lastColumn="0" w:oddVBand="0" w:evenVBand="0" w:oddHBand="0" w:evenHBand="0" w:firstRowFirstColumn="0" w:firstRowLastColumn="0" w:lastRowFirstColumn="0" w:lastRowLastColumn="0"/>
          <w:trHeight w:val="340"/>
        </w:trPr>
        <w:tc>
          <w:tcPr>
            <w:tcW w:w="2291" w:type="dxa"/>
            <w:hideMark/>
          </w:tcPr>
          <w:p w14:paraId="79578BB5" w14:textId="5E24AFBF" w:rsidR="00FE18D3" w:rsidRPr="00816B85" w:rsidRDefault="00C97A82" w:rsidP="00A556F5">
            <w:pPr>
              <w:pStyle w:val="TableHeading1"/>
              <w:rPr>
                <w:sz w:val="18"/>
                <w:szCs w:val="18"/>
              </w:rPr>
            </w:pPr>
            <w:r w:rsidRPr="00816B85">
              <w:rPr>
                <w:sz w:val="18"/>
                <w:szCs w:val="18"/>
              </w:rPr>
              <w:t xml:space="preserve">Occupations in </w:t>
            </w:r>
            <w:r w:rsidRPr="00816B85">
              <w:rPr>
                <w:sz w:val="18"/>
                <w:szCs w:val="18"/>
              </w:rPr>
              <w:br/>
              <w:t>Skill Level</w:t>
            </w:r>
          </w:p>
        </w:tc>
        <w:tc>
          <w:tcPr>
            <w:tcW w:w="1290" w:type="dxa"/>
            <w:hideMark/>
          </w:tcPr>
          <w:p w14:paraId="2E979F7B" w14:textId="77777777" w:rsidR="00FE18D3" w:rsidRPr="00816B85" w:rsidRDefault="00FE18D3" w:rsidP="00A556F5">
            <w:pPr>
              <w:pStyle w:val="TableHeading1"/>
              <w:rPr>
                <w:sz w:val="18"/>
                <w:szCs w:val="18"/>
              </w:rPr>
            </w:pPr>
            <w:r w:rsidRPr="00816B85">
              <w:rPr>
                <w:sz w:val="18"/>
                <w:szCs w:val="18"/>
              </w:rPr>
              <w:t>Nov-24</w:t>
            </w:r>
          </w:p>
        </w:tc>
        <w:tc>
          <w:tcPr>
            <w:tcW w:w="1290" w:type="dxa"/>
            <w:tcBorders>
              <w:right w:val="single" w:sz="4" w:space="0" w:color="FFFFFF" w:themeColor="background1"/>
            </w:tcBorders>
            <w:hideMark/>
          </w:tcPr>
          <w:p w14:paraId="09CE0DED" w14:textId="77777777" w:rsidR="00FE18D3" w:rsidRPr="00816B85" w:rsidRDefault="00FE18D3" w:rsidP="00A556F5">
            <w:pPr>
              <w:pStyle w:val="TableHeading1"/>
              <w:rPr>
                <w:sz w:val="18"/>
                <w:szCs w:val="18"/>
              </w:rPr>
            </w:pPr>
            <w:r w:rsidRPr="00816B85">
              <w:rPr>
                <w:sz w:val="18"/>
                <w:szCs w:val="18"/>
              </w:rPr>
              <w:t>Nov-23</w:t>
            </w:r>
          </w:p>
        </w:tc>
        <w:tc>
          <w:tcPr>
            <w:tcW w:w="2006" w:type="dxa"/>
            <w:gridSpan w:val="2"/>
            <w:tcBorders>
              <w:left w:val="single" w:sz="4" w:space="0" w:color="FFFFFF" w:themeColor="background1"/>
              <w:right w:val="single" w:sz="4" w:space="0" w:color="FFFFFF" w:themeColor="background1"/>
            </w:tcBorders>
            <w:hideMark/>
          </w:tcPr>
          <w:p w14:paraId="40F8E137" w14:textId="4CD78129" w:rsidR="00FE18D3" w:rsidRPr="00816B85" w:rsidRDefault="00C97A82" w:rsidP="00816B85">
            <w:pPr>
              <w:pStyle w:val="TableHeading1"/>
              <w:jc w:val="center"/>
              <w:rPr>
                <w:sz w:val="18"/>
                <w:szCs w:val="18"/>
              </w:rPr>
            </w:pPr>
            <w:r w:rsidRPr="00816B85">
              <w:rPr>
                <w:sz w:val="18"/>
                <w:szCs w:val="18"/>
              </w:rPr>
              <w:t>Annual change</w:t>
            </w:r>
            <w:r w:rsidRPr="00816B85">
              <w:rPr>
                <w:sz w:val="18"/>
                <w:szCs w:val="18"/>
              </w:rPr>
              <w:br/>
              <w:t>to Nov-24</w:t>
            </w:r>
          </w:p>
        </w:tc>
        <w:tc>
          <w:tcPr>
            <w:tcW w:w="2150" w:type="dxa"/>
            <w:gridSpan w:val="2"/>
            <w:tcBorders>
              <w:left w:val="single" w:sz="4" w:space="0" w:color="FFFFFF" w:themeColor="background1"/>
            </w:tcBorders>
            <w:hideMark/>
          </w:tcPr>
          <w:p w14:paraId="26E4C396" w14:textId="20987A6A" w:rsidR="00FE18D3" w:rsidRPr="00816B85" w:rsidRDefault="00C97A82" w:rsidP="00C97A82">
            <w:pPr>
              <w:pStyle w:val="TableHeading1"/>
              <w:jc w:val="center"/>
              <w:rPr>
                <w:sz w:val="18"/>
                <w:szCs w:val="18"/>
              </w:rPr>
            </w:pPr>
            <w:r w:rsidRPr="00816B85">
              <w:rPr>
                <w:sz w:val="18"/>
                <w:szCs w:val="18"/>
              </w:rPr>
              <w:t>5-year change</w:t>
            </w:r>
            <w:r w:rsidRPr="00816B85">
              <w:rPr>
                <w:sz w:val="18"/>
                <w:szCs w:val="18"/>
              </w:rPr>
              <w:br/>
              <w:t>to Nov 24</w:t>
            </w:r>
          </w:p>
        </w:tc>
      </w:tr>
      <w:tr w:rsidR="00B840FB" w:rsidRPr="00816B85" w14:paraId="574339DF" w14:textId="77777777" w:rsidTr="00C97A82">
        <w:trPr>
          <w:trHeight w:val="340"/>
        </w:trPr>
        <w:tc>
          <w:tcPr>
            <w:tcW w:w="2291" w:type="dxa"/>
            <w:shd w:val="clear" w:color="auto" w:fill="2F005F"/>
          </w:tcPr>
          <w:p w14:paraId="20098CE8" w14:textId="77777777" w:rsidR="00FE18D3" w:rsidRPr="00816B85" w:rsidRDefault="00FE18D3" w:rsidP="00A556F5">
            <w:pPr>
              <w:pStyle w:val="TableHeading1"/>
              <w:rPr>
                <w:sz w:val="18"/>
                <w:szCs w:val="18"/>
              </w:rPr>
            </w:pPr>
          </w:p>
        </w:tc>
        <w:tc>
          <w:tcPr>
            <w:tcW w:w="1290" w:type="dxa"/>
            <w:shd w:val="clear" w:color="auto" w:fill="2F005F"/>
          </w:tcPr>
          <w:p w14:paraId="296F6511" w14:textId="77777777" w:rsidR="00FE18D3" w:rsidRPr="00816B85" w:rsidRDefault="00FE18D3" w:rsidP="00816B85">
            <w:pPr>
              <w:pStyle w:val="TableHeading1right"/>
              <w:rPr>
                <w:sz w:val="18"/>
                <w:szCs w:val="18"/>
              </w:rPr>
            </w:pPr>
            <w:r w:rsidRPr="00816B85">
              <w:rPr>
                <w:sz w:val="18"/>
                <w:szCs w:val="18"/>
              </w:rPr>
              <w:t>(‘000)</w:t>
            </w:r>
          </w:p>
        </w:tc>
        <w:tc>
          <w:tcPr>
            <w:tcW w:w="1290" w:type="dxa"/>
            <w:tcBorders>
              <w:right w:val="single" w:sz="4" w:space="0" w:color="FFFFFF" w:themeColor="background1"/>
            </w:tcBorders>
            <w:shd w:val="clear" w:color="auto" w:fill="2F005F"/>
          </w:tcPr>
          <w:p w14:paraId="31850D46" w14:textId="77777777" w:rsidR="00FE18D3" w:rsidRPr="00816B85" w:rsidRDefault="00FE18D3" w:rsidP="00816B85">
            <w:pPr>
              <w:pStyle w:val="TableHeading1right"/>
              <w:rPr>
                <w:sz w:val="18"/>
                <w:szCs w:val="18"/>
              </w:rPr>
            </w:pPr>
            <w:r w:rsidRPr="00816B85">
              <w:rPr>
                <w:sz w:val="18"/>
                <w:szCs w:val="18"/>
              </w:rPr>
              <w:t>(‘000)</w:t>
            </w:r>
          </w:p>
        </w:tc>
        <w:tc>
          <w:tcPr>
            <w:tcW w:w="1003" w:type="dxa"/>
            <w:tcBorders>
              <w:left w:val="single" w:sz="4" w:space="0" w:color="FFFFFF" w:themeColor="background1"/>
              <w:bottom w:val="nil"/>
            </w:tcBorders>
            <w:shd w:val="clear" w:color="auto" w:fill="2F005F"/>
          </w:tcPr>
          <w:p w14:paraId="585B16F0" w14:textId="77777777" w:rsidR="00FE18D3" w:rsidRPr="00816B85" w:rsidRDefault="00FE18D3" w:rsidP="00816B85">
            <w:pPr>
              <w:pStyle w:val="TableHeading1right"/>
              <w:rPr>
                <w:sz w:val="18"/>
                <w:szCs w:val="18"/>
              </w:rPr>
            </w:pPr>
            <w:r w:rsidRPr="00816B85">
              <w:rPr>
                <w:sz w:val="18"/>
                <w:szCs w:val="18"/>
              </w:rPr>
              <w:t>(‘000)</w:t>
            </w:r>
          </w:p>
        </w:tc>
        <w:tc>
          <w:tcPr>
            <w:tcW w:w="1003" w:type="dxa"/>
            <w:tcBorders>
              <w:bottom w:val="nil"/>
              <w:right w:val="single" w:sz="4" w:space="0" w:color="FFFFFF" w:themeColor="background1"/>
            </w:tcBorders>
            <w:shd w:val="clear" w:color="auto" w:fill="2F005F"/>
          </w:tcPr>
          <w:p w14:paraId="398BCD3B" w14:textId="77777777" w:rsidR="00FE18D3" w:rsidRPr="00816B85" w:rsidRDefault="00FE18D3" w:rsidP="00816B85">
            <w:pPr>
              <w:pStyle w:val="TableHeading1right"/>
              <w:rPr>
                <w:sz w:val="18"/>
                <w:szCs w:val="18"/>
              </w:rPr>
            </w:pPr>
            <w:r w:rsidRPr="00816B85">
              <w:rPr>
                <w:sz w:val="18"/>
                <w:szCs w:val="18"/>
              </w:rPr>
              <w:t>(%)</w:t>
            </w:r>
          </w:p>
        </w:tc>
        <w:tc>
          <w:tcPr>
            <w:tcW w:w="1146" w:type="dxa"/>
            <w:tcBorders>
              <w:left w:val="single" w:sz="4" w:space="0" w:color="FFFFFF" w:themeColor="background1"/>
              <w:bottom w:val="nil"/>
            </w:tcBorders>
            <w:shd w:val="clear" w:color="auto" w:fill="2F005F"/>
          </w:tcPr>
          <w:p w14:paraId="434D1452" w14:textId="77777777" w:rsidR="00FE18D3" w:rsidRPr="00816B85" w:rsidRDefault="00FE18D3" w:rsidP="00816B85">
            <w:pPr>
              <w:pStyle w:val="TableHeading1right"/>
              <w:rPr>
                <w:sz w:val="18"/>
                <w:szCs w:val="18"/>
              </w:rPr>
            </w:pPr>
            <w:r w:rsidRPr="00816B85">
              <w:rPr>
                <w:sz w:val="18"/>
                <w:szCs w:val="18"/>
              </w:rPr>
              <w:t>(‘000)</w:t>
            </w:r>
          </w:p>
        </w:tc>
        <w:tc>
          <w:tcPr>
            <w:tcW w:w="1004" w:type="dxa"/>
            <w:tcBorders>
              <w:bottom w:val="nil"/>
            </w:tcBorders>
            <w:shd w:val="clear" w:color="auto" w:fill="2F005F"/>
          </w:tcPr>
          <w:p w14:paraId="7F1156FE" w14:textId="77777777" w:rsidR="00FE18D3" w:rsidRPr="00816B85" w:rsidRDefault="00FE18D3" w:rsidP="00816B85">
            <w:pPr>
              <w:pStyle w:val="TableHeading1right"/>
              <w:rPr>
                <w:sz w:val="18"/>
                <w:szCs w:val="18"/>
              </w:rPr>
            </w:pPr>
            <w:r w:rsidRPr="00816B85">
              <w:rPr>
                <w:sz w:val="18"/>
                <w:szCs w:val="18"/>
              </w:rPr>
              <w:t>(%)</w:t>
            </w:r>
          </w:p>
        </w:tc>
      </w:tr>
      <w:tr w:rsidR="00FE18D3" w:rsidRPr="00816B85" w14:paraId="7C3534BF" w14:textId="77777777" w:rsidTr="00C97A82">
        <w:trPr>
          <w:cnfStyle w:val="000000010000" w:firstRow="0" w:lastRow="0" w:firstColumn="0" w:lastColumn="0" w:oddVBand="0" w:evenVBand="0" w:oddHBand="0" w:evenHBand="1" w:firstRowFirstColumn="0" w:firstRowLastColumn="0" w:lastRowFirstColumn="0" w:lastRowLastColumn="0"/>
          <w:trHeight w:val="290"/>
        </w:trPr>
        <w:tc>
          <w:tcPr>
            <w:tcW w:w="2291" w:type="dxa"/>
            <w:noWrap/>
            <w:hideMark/>
          </w:tcPr>
          <w:p w14:paraId="490FF38E" w14:textId="2FBCDF78" w:rsidR="00FE18D3" w:rsidRPr="00816B85" w:rsidRDefault="00A67901" w:rsidP="00A556F5">
            <w:pPr>
              <w:pStyle w:val="TableBodyText"/>
              <w:rPr>
                <w:sz w:val="18"/>
                <w:szCs w:val="18"/>
              </w:rPr>
            </w:pPr>
            <w:r w:rsidRPr="00816B85">
              <w:rPr>
                <w:sz w:val="18"/>
                <w:szCs w:val="18"/>
              </w:rPr>
              <w:t>Skill Level</w:t>
            </w:r>
            <w:r w:rsidR="00FE18D3" w:rsidRPr="00816B85">
              <w:rPr>
                <w:sz w:val="18"/>
                <w:szCs w:val="18"/>
              </w:rPr>
              <w:t xml:space="preserve"> 1 </w:t>
            </w:r>
          </w:p>
        </w:tc>
        <w:tc>
          <w:tcPr>
            <w:tcW w:w="1290" w:type="dxa"/>
            <w:noWrap/>
            <w:hideMark/>
          </w:tcPr>
          <w:p w14:paraId="03FF7CBC" w14:textId="77777777" w:rsidR="00FE18D3" w:rsidRPr="00816B85" w:rsidRDefault="00FE18D3" w:rsidP="00A556F5">
            <w:pPr>
              <w:pStyle w:val="TableBodyTextright"/>
              <w:rPr>
                <w:sz w:val="18"/>
                <w:szCs w:val="18"/>
              </w:rPr>
            </w:pPr>
            <w:r w:rsidRPr="00816B85">
              <w:rPr>
                <w:sz w:val="18"/>
                <w:szCs w:val="18"/>
              </w:rPr>
              <w:t>5,065.2</w:t>
            </w:r>
          </w:p>
        </w:tc>
        <w:tc>
          <w:tcPr>
            <w:tcW w:w="1290" w:type="dxa"/>
            <w:tcBorders>
              <w:right w:val="single" w:sz="4" w:space="0" w:color="FFFFFF" w:themeColor="background1"/>
            </w:tcBorders>
            <w:noWrap/>
            <w:hideMark/>
          </w:tcPr>
          <w:p w14:paraId="7B60EC38" w14:textId="77777777" w:rsidR="00FE18D3" w:rsidRPr="00816B85" w:rsidRDefault="00FE18D3" w:rsidP="00A556F5">
            <w:pPr>
              <w:pStyle w:val="TableBodyTextright"/>
              <w:rPr>
                <w:sz w:val="18"/>
                <w:szCs w:val="18"/>
              </w:rPr>
            </w:pPr>
            <w:r w:rsidRPr="00816B85">
              <w:rPr>
                <w:sz w:val="18"/>
                <w:szCs w:val="18"/>
              </w:rPr>
              <w:t>4,941.3</w:t>
            </w:r>
          </w:p>
        </w:tc>
        <w:tc>
          <w:tcPr>
            <w:tcW w:w="1003" w:type="dxa"/>
            <w:tcBorders>
              <w:left w:val="single" w:sz="4" w:space="0" w:color="FFFFFF" w:themeColor="background1"/>
              <w:bottom w:val="nil"/>
            </w:tcBorders>
            <w:noWrap/>
            <w:hideMark/>
          </w:tcPr>
          <w:p w14:paraId="50531BD3" w14:textId="77777777" w:rsidR="00FE18D3" w:rsidRPr="00816B85" w:rsidRDefault="00FE18D3" w:rsidP="00A556F5">
            <w:pPr>
              <w:pStyle w:val="TableBodyTextright"/>
              <w:rPr>
                <w:sz w:val="18"/>
                <w:szCs w:val="18"/>
              </w:rPr>
            </w:pPr>
            <w:r w:rsidRPr="00816B85">
              <w:rPr>
                <w:sz w:val="18"/>
                <w:szCs w:val="18"/>
              </w:rPr>
              <w:t>123.9</w:t>
            </w:r>
          </w:p>
        </w:tc>
        <w:tc>
          <w:tcPr>
            <w:tcW w:w="1003" w:type="dxa"/>
            <w:tcBorders>
              <w:bottom w:val="nil"/>
              <w:right w:val="single" w:sz="4" w:space="0" w:color="FFFFFF" w:themeColor="background1"/>
            </w:tcBorders>
            <w:noWrap/>
            <w:hideMark/>
          </w:tcPr>
          <w:p w14:paraId="1F5F54AE" w14:textId="77777777" w:rsidR="00FE18D3" w:rsidRPr="00816B85" w:rsidRDefault="00FE18D3" w:rsidP="00A556F5">
            <w:pPr>
              <w:pStyle w:val="TableBodyTextright"/>
              <w:rPr>
                <w:sz w:val="18"/>
                <w:szCs w:val="18"/>
              </w:rPr>
            </w:pPr>
            <w:r w:rsidRPr="00816B85">
              <w:rPr>
                <w:sz w:val="18"/>
                <w:szCs w:val="18"/>
              </w:rPr>
              <w:t>2.5</w:t>
            </w:r>
          </w:p>
        </w:tc>
        <w:tc>
          <w:tcPr>
            <w:tcW w:w="1146" w:type="dxa"/>
            <w:tcBorders>
              <w:left w:val="single" w:sz="4" w:space="0" w:color="FFFFFF" w:themeColor="background1"/>
              <w:bottom w:val="nil"/>
            </w:tcBorders>
            <w:noWrap/>
            <w:hideMark/>
          </w:tcPr>
          <w:p w14:paraId="274067B0" w14:textId="77777777" w:rsidR="00FE18D3" w:rsidRPr="00816B85" w:rsidRDefault="00FE18D3" w:rsidP="00A556F5">
            <w:pPr>
              <w:pStyle w:val="TableBodyTextright"/>
              <w:rPr>
                <w:sz w:val="18"/>
                <w:szCs w:val="18"/>
              </w:rPr>
            </w:pPr>
            <w:r w:rsidRPr="00816B85">
              <w:rPr>
                <w:sz w:val="18"/>
                <w:szCs w:val="18"/>
              </w:rPr>
              <w:t>929.3</w:t>
            </w:r>
          </w:p>
        </w:tc>
        <w:tc>
          <w:tcPr>
            <w:tcW w:w="1004" w:type="dxa"/>
            <w:tcBorders>
              <w:bottom w:val="nil"/>
            </w:tcBorders>
            <w:noWrap/>
            <w:hideMark/>
          </w:tcPr>
          <w:p w14:paraId="6CD6818F" w14:textId="77777777" w:rsidR="00FE18D3" w:rsidRPr="00816B85" w:rsidRDefault="00FE18D3" w:rsidP="00A556F5">
            <w:pPr>
              <w:pStyle w:val="TableBodyTextright"/>
              <w:rPr>
                <w:sz w:val="18"/>
                <w:szCs w:val="18"/>
              </w:rPr>
            </w:pPr>
            <w:r w:rsidRPr="00816B85">
              <w:rPr>
                <w:sz w:val="18"/>
                <w:szCs w:val="18"/>
              </w:rPr>
              <w:t>22.5</w:t>
            </w:r>
          </w:p>
        </w:tc>
      </w:tr>
      <w:tr w:rsidR="00FE18D3" w:rsidRPr="00816B85" w14:paraId="631E2A80" w14:textId="77777777" w:rsidTr="00C97A82">
        <w:trPr>
          <w:trHeight w:val="290"/>
        </w:trPr>
        <w:tc>
          <w:tcPr>
            <w:tcW w:w="2291" w:type="dxa"/>
            <w:noWrap/>
            <w:hideMark/>
          </w:tcPr>
          <w:p w14:paraId="20356F83" w14:textId="578FF508" w:rsidR="00FE18D3" w:rsidRPr="00816B85" w:rsidRDefault="00A67901" w:rsidP="00A556F5">
            <w:pPr>
              <w:pStyle w:val="TableBodyText"/>
              <w:rPr>
                <w:sz w:val="18"/>
                <w:szCs w:val="18"/>
              </w:rPr>
            </w:pPr>
            <w:r w:rsidRPr="00816B85">
              <w:rPr>
                <w:sz w:val="18"/>
                <w:szCs w:val="18"/>
              </w:rPr>
              <w:t>Skill Level</w:t>
            </w:r>
            <w:r w:rsidR="00FE18D3" w:rsidRPr="00816B85">
              <w:rPr>
                <w:sz w:val="18"/>
                <w:szCs w:val="18"/>
              </w:rPr>
              <w:t xml:space="preserve"> 2 </w:t>
            </w:r>
          </w:p>
        </w:tc>
        <w:tc>
          <w:tcPr>
            <w:tcW w:w="1290" w:type="dxa"/>
            <w:noWrap/>
            <w:hideMark/>
          </w:tcPr>
          <w:p w14:paraId="3D03AC43" w14:textId="77777777" w:rsidR="00FE18D3" w:rsidRPr="00816B85" w:rsidRDefault="00FE18D3" w:rsidP="00A556F5">
            <w:pPr>
              <w:pStyle w:val="TableBodyTextright"/>
              <w:rPr>
                <w:sz w:val="18"/>
                <w:szCs w:val="18"/>
              </w:rPr>
            </w:pPr>
            <w:r w:rsidRPr="00816B85">
              <w:rPr>
                <w:sz w:val="18"/>
                <w:szCs w:val="18"/>
              </w:rPr>
              <w:t>1,771.9</w:t>
            </w:r>
          </w:p>
        </w:tc>
        <w:tc>
          <w:tcPr>
            <w:tcW w:w="1290" w:type="dxa"/>
            <w:tcBorders>
              <w:right w:val="single" w:sz="4" w:space="0" w:color="FFFFFF" w:themeColor="background1"/>
            </w:tcBorders>
            <w:noWrap/>
            <w:hideMark/>
          </w:tcPr>
          <w:p w14:paraId="50F45E9B" w14:textId="77777777" w:rsidR="00FE18D3" w:rsidRPr="00816B85" w:rsidRDefault="00FE18D3" w:rsidP="00A556F5">
            <w:pPr>
              <w:pStyle w:val="TableBodyTextright"/>
              <w:rPr>
                <w:sz w:val="18"/>
                <w:szCs w:val="18"/>
              </w:rPr>
            </w:pPr>
            <w:r w:rsidRPr="00816B85">
              <w:rPr>
                <w:sz w:val="18"/>
                <w:szCs w:val="18"/>
              </w:rPr>
              <w:t>1,736.1</w:t>
            </w:r>
          </w:p>
        </w:tc>
        <w:tc>
          <w:tcPr>
            <w:tcW w:w="1003" w:type="dxa"/>
            <w:tcBorders>
              <w:left w:val="single" w:sz="4" w:space="0" w:color="FFFFFF" w:themeColor="background1"/>
              <w:bottom w:val="nil"/>
            </w:tcBorders>
            <w:noWrap/>
            <w:hideMark/>
          </w:tcPr>
          <w:p w14:paraId="49DE3919" w14:textId="77777777" w:rsidR="00FE18D3" w:rsidRPr="00816B85" w:rsidRDefault="00FE18D3" w:rsidP="00A556F5">
            <w:pPr>
              <w:pStyle w:val="TableBodyTextright"/>
              <w:rPr>
                <w:sz w:val="18"/>
                <w:szCs w:val="18"/>
              </w:rPr>
            </w:pPr>
            <w:r w:rsidRPr="00816B85">
              <w:rPr>
                <w:sz w:val="18"/>
                <w:szCs w:val="18"/>
              </w:rPr>
              <w:t>35.8</w:t>
            </w:r>
          </w:p>
        </w:tc>
        <w:tc>
          <w:tcPr>
            <w:tcW w:w="1003" w:type="dxa"/>
            <w:tcBorders>
              <w:bottom w:val="nil"/>
              <w:right w:val="single" w:sz="4" w:space="0" w:color="FFFFFF" w:themeColor="background1"/>
            </w:tcBorders>
            <w:noWrap/>
            <w:hideMark/>
          </w:tcPr>
          <w:p w14:paraId="6D415749" w14:textId="77777777" w:rsidR="00FE18D3" w:rsidRPr="00816B85" w:rsidRDefault="00FE18D3" w:rsidP="00A556F5">
            <w:pPr>
              <w:pStyle w:val="TableBodyTextright"/>
              <w:rPr>
                <w:sz w:val="18"/>
                <w:szCs w:val="18"/>
              </w:rPr>
            </w:pPr>
            <w:r w:rsidRPr="00816B85">
              <w:rPr>
                <w:sz w:val="18"/>
                <w:szCs w:val="18"/>
              </w:rPr>
              <w:t>2.1</w:t>
            </w:r>
          </w:p>
        </w:tc>
        <w:tc>
          <w:tcPr>
            <w:tcW w:w="1146" w:type="dxa"/>
            <w:tcBorders>
              <w:left w:val="single" w:sz="4" w:space="0" w:color="FFFFFF" w:themeColor="background1"/>
              <w:bottom w:val="nil"/>
            </w:tcBorders>
            <w:noWrap/>
            <w:hideMark/>
          </w:tcPr>
          <w:p w14:paraId="7EBE783D" w14:textId="77777777" w:rsidR="00FE18D3" w:rsidRPr="00816B85" w:rsidRDefault="00FE18D3" w:rsidP="00A556F5">
            <w:pPr>
              <w:pStyle w:val="TableBodyTextright"/>
              <w:rPr>
                <w:sz w:val="18"/>
                <w:szCs w:val="18"/>
              </w:rPr>
            </w:pPr>
            <w:r w:rsidRPr="00816B85">
              <w:rPr>
                <w:sz w:val="18"/>
                <w:szCs w:val="18"/>
              </w:rPr>
              <w:t>185.4</w:t>
            </w:r>
          </w:p>
        </w:tc>
        <w:tc>
          <w:tcPr>
            <w:tcW w:w="1004" w:type="dxa"/>
            <w:tcBorders>
              <w:bottom w:val="nil"/>
            </w:tcBorders>
            <w:noWrap/>
            <w:hideMark/>
          </w:tcPr>
          <w:p w14:paraId="6C17AB93" w14:textId="77777777" w:rsidR="00FE18D3" w:rsidRPr="00816B85" w:rsidRDefault="00FE18D3" w:rsidP="00A556F5">
            <w:pPr>
              <w:pStyle w:val="TableBodyTextright"/>
              <w:rPr>
                <w:sz w:val="18"/>
                <w:szCs w:val="18"/>
              </w:rPr>
            </w:pPr>
            <w:r w:rsidRPr="00816B85">
              <w:rPr>
                <w:sz w:val="18"/>
                <w:szCs w:val="18"/>
              </w:rPr>
              <w:t>11.7</w:t>
            </w:r>
          </w:p>
        </w:tc>
      </w:tr>
      <w:tr w:rsidR="00FE18D3" w:rsidRPr="00816B85" w14:paraId="23652E51" w14:textId="77777777" w:rsidTr="00C97A82">
        <w:trPr>
          <w:cnfStyle w:val="000000010000" w:firstRow="0" w:lastRow="0" w:firstColumn="0" w:lastColumn="0" w:oddVBand="0" w:evenVBand="0" w:oddHBand="0" w:evenHBand="1" w:firstRowFirstColumn="0" w:firstRowLastColumn="0" w:lastRowFirstColumn="0" w:lastRowLastColumn="0"/>
          <w:trHeight w:val="290"/>
        </w:trPr>
        <w:tc>
          <w:tcPr>
            <w:tcW w:w="2291" w:type="dxa"/>
            <w:noWrap/>
            <w:hideMark/>
          </w:tcPr>
          <w:p w14:paraId="17515355" w14:textId="394CC6E5" w:rsidR="00FE18D3" w:rsidRPr="00816B85" w:rsidRDefault="00A67901" w:rsidP="00A556F5">
            <w:pPr>
              <w:pStyle w:val="TableBodyText"/>
              <w:rPr>
                <w:sz w:val="18"/>
                <w:szCs w:val="18"/>
              </w:rPr>
            </w:pPr>
            <w:r w:rsidRPr="00816B85">
              <w:rPr>
                <w:sz w:val="18"/>
                <w:szCs w:val="18"/>
              </w:rPr>
              <w:t>Skill Level</w:t>
            </w:r>
            <w:r w:rsidR="00FE18D3" w:rsidRPr="00816B85">
              <w:rPr>
                <w:sz w:val="18"/>
                <w:szCs w:val="18"/>
              </w:rPr>
              <w:t xml:space="preserve"> 3 </w:t>
            </w:r>
          </w:p>
        </w:tc>
        <w:tc>
          <w:tcPr>
            <w:tcW w:w="1290" w:type="dxa"/>
            <w:noWrap/>
            <w:hideMark/>
          </w:tcPr>
          <w:p w14:paraId="25F6ADC3" w14:textId="77777777" w:rsidR="00FE18D3" w:rsidRPr="00816B85" w:rsidRDefault="00FE18D3" w:rsidP="00A556F5">
            <w:pPr>
              <w:pStyle w:val="TableBodyTextright"/>
              <w:rPr>
                <w:sz w:val="18"/>
                <w:szCs w:val="18"/>
              </w:rPr>
            </w:pPr>
            <w:r w:rsidRPr="00816B85">
              <w:rPr>
                <w:sz w:val="18"/>
                <w:szCs w:val="18"/>
              </w:rPr>
              <w:t>2,166.1</w:t>
            </w:r>
          </w:p>
        </w:tc>
        <w:tc>
          <w:tcPr>
            <w:tcW w:w="1290" w:type="dxa"/>
            <w:tcBorders>
              <w:right w:val="single" w:sz="4" w:space="0" w:color="FFFFFF" w:themeColor="background1"/>
            </w:tcBorders>
            <w:noWrap/>
            <w:hideMark/>
          </w:tcPr>
          <w:p w14:paraId="0374C911" w14:textId="77777777" w:rsidR="00FE18D3" w:rsidRPr="00816B85" w:rsidRDefault="00FE18D3" w:rsidP="00A556F5">
            <w:pPr>
              <w:pStyle w:val="TableBodyTextright"/>
              <w:rPr>
                <w:sz w:val="18"/>
                <w:szCs w:val="18"/>
              </w:rPr>
            </w:pPr>
            <w:r w:rsidRPr="00816B85">
              <w:rPr>
                <w:sz w:val="18"/>
                <w:szCs w:val="18"/>
              </w:rPr>
              <w:t>2,092.3</w:t>
            </w:r>
          </w:p>
        </w:tc>
        <w:tc>
          <w:tcPr>
            <w:tcW w:w="1003" w:type="dxa"/>
            <w:tcBorders>
              <w:left w:val="single" w:sz="4" w:space="0" w:color="FFFFFF" w:themeColor="background1"/>
              <w:bottom w:val="nil"/>
            </w:tcBorders>
            <w:noWrap/>
            <w:hideMark/>
          </w:tcPr>
          <w:p w14:paraId="32523FA2" w14:textId="77777777" w:rsidR="00FE18D3" w:rsidRPr="00816B85" w:rsidRDefault="00FE18D3" w:rsidP="00A556F5">
            <w:pPr>
              <w:pStyle w:val="TableBodyTextright"/>
              <w:rPr>
                <w:sz w:val="18"/>
                <w:szCs w:val="18"/>
              </w:rPr>
            </w:pPr>
            <w:r w:rsidRPr="00816B85">
              <w:rPr>
                <w:sz w:val="18"/>
                <w:szCs w:val="18"/>
              </w:rPr>
              <w:t>73.8</w:t>
            </w:r>
          </w:p>
        </w:tc>
        <w:tc>
          <w:tcPr>
            <w:tcW w:w="1003" w:type="dxa"/>
            <w:tcBorders>
              <w:bottom w:val="nil"/>
              <w:right w:val="single" w:sz="4" w:space="0" w:color="FFFFFF" w:themeColor="background1"/>
            </w:tcBorders>
            <w:noWrap/>
            <w:hideMark/>
          </w:tcPr>
          <w:p w14:paraId="185FF502" w14:textId="77777777" w:rsidR="00FE18D3" w:rsidRPr="00816B85" w:rsidRDefault="00FE18D3" w:rsidP="00A556F5">
            <w:pPr>
              <w:pStyle w:val="TableBodyTextright"/>
              <w:rPr>
                <w:sz w:val="18"/>
                <w:szCs w:val="18"/>
              </w:rPr>
            </w:pPr>
            <w:r w:rsidRPr="00816B85">
              <w:rPr>
                <w:sz w:val="18"/>
                <w:szCs w:val="18"/>
              </w:rPr>
              <w:t>3.5</w:t>
            </w:r>
          </w:p>
        </w:tc>
        <w:tc>
          <w:tcPr>
            <w:tcW w:w="1146" w:type="dxa"/>
            <w:tcBorders>
              <w:left w:val="single" w:sz="4" w:space="0" w:color="FFFFFF" w:themeColor="background1"/>
              <w:bottom w:val="nil"/>
            </w:tcBorders>
            <w:noWrap/>
            <w:hideMark/>
          </w:tcPr>
          <w:p w14:paraId="34470852" w14:textId="77777777" w:rsidR="00FE18D3" w:rsidRPr="00816B85" w:rsidRDefault="00FE18D3" w:rsidP="00A556F5">
            <w:pPr>
              <w:pStyle w:val="TableBodyTextright"/>
              <w:rPr>
                <w:sz w:val="18"/>
                <w:szCs w:val="18"/>
              </w:rPr>
            </w:pPr>
            <w:r w:rsidRPr="00816B85">
              <w:rPr>
                <w:sz w:val="18"/>
                <w:szCs w:val="18"/>
              </w:rPr>
              <w:t>196.0</w:t>
            </w:r>
          </w:p>
        </w:tc>
        <w:tc>
          <w:tcPr>
            <w:tcW w:w="1004" w:type="dxa"/>
            <w:tcBorders>
              <w:bottom w:val="nil"/>
            </w:tcBorders>
            <w:noWrap/>
            <w:hideMark/>
          </w:tcPr>
          <w:p w14:paraId="24170D47" w14:textId="77777777" w:rsidR="00FE18D3" w:rsidRPr="00816B85" w:rsidRDefault="00FE18D3" w:rsidP="00A556F5">
            <w:pPr>
              <w:pStyle w:val="TableBodyTextright"/>
              <w:rPr>
                <w:sz w:val="18"/>
                <w:szCs w:val="18"/>
              </w:rPr>
            </w:pPr>
            <w:r w:rsidRPr="00816B85">
              <w:rPr>
                <w:sz w:val="18"/>
                <w:szCs w:val="18"/>
              </w:rPr>
              <w:t>10.0</w:t>
            </w:r>
          </w:p>
        </w:tc>
      </w:tr>
      <w:tr w:rsidR="00FE18D3" w:rsidRPr="00816B85" w14:paraId="3A4289EE" w14:textId="77777777" w:rsidTr="00C97A82">
        <w:trPr>
          <w:trHeight w:val="290"/>
        </w:trPr>
        <w:tc>
          <w:tcPr>
            <w:tcW w:w="2291" w:type="dxa"/>
            <w:noWrap/>
            <w:hideMark/>
          </w:tcPr>
          <w:p w14:paraId="7BAEA4E0" w14:textId="5C8327AF" w:rsidR="00FE18D3" w:rsidRPr="00816B85" w:rsidRDefault="00A67901" w:rsidP="00A556F5">
            <w:pPr>
              <w:pStyle w:val="TableBodyText"/>
              <w:rPr>
                <w:sz w:val="18"/>
                <w:szCs w:val="18"/>
              </w:rPr>
            </w:pPr>
            <w:r w:rsidRPr="00816B85">
              <w:rPr>
                <w:sz w:val="18"/>
                <w:szCs w:val="18"/>
              </w:rPr>
              <w:t>Skill Level</w:t>
            </w:r>
            <w:r w:rsidR="00FE18D3" w:rsidRPr="00816B85">
              <w:rPr>
                <w:sz w:val="18"/>
                <w:szCs w:val="18"/>
              </w:rPr>
              <w:t xml:space="preserve"> 4 </w:t>
            </w:r>
          </w:p>
        </w:tc>
        <w:tc>
          <w:tcPr>
            <w:tcW w:w="1290" w:type="dxa"/>
            <w:noWrap/>
            <w:hideMark/>
          </w:tcPr>
          <w:p w14:paraId="75F82234" w14:textId="77777777" w:rsidR="00FE18D3" w:rsidRPr="00816B85" w:rsidRDefault="00FE18D3" w:rsidP="00A556F5">
            <w:pPr>
              <w:pStyle w:val="TableBodyTextright"/>
              <w:rPr>
                <w:sz w:val="18"/>
                <w:szCs w:val="18"/>
              </w:rPr>
            </w:pPr>
            <w:r w:rsidRPr="00816B85">
              <w:rPr>
                <w:sz w:val="18"/>
                <w:szCs w:val="18"/>
              </w:rPr>
              <w:t>3,563.4</w:t>
            </w:r>
          </w:p>
        </w:tc>
        <w:tc>
          <w:tcPr>
            <w:tcW w:w="1290" w:type="dxa"/>
            <w:tcBorders>
              <w:right w:val="single" w:sz="4" w:space="0" w:color="FFFFFF" w:themeColor="background1"/>
            </w:tcBorders>
            <w:noWrap/>
            <w:hideMark/>
          </w:tcPr>
          <w:p w14:paraId="4B451668" w14:textId="77777777" w:rsidR="00FE18D3" w:rsidRPr="00816B85" w:rsidRDefault="00FE18D3" w:rsidP="00A556F5">
            <w:pPr>
              <w:pStyle w:val="TableBodyTextright"/>
              <w:rPr>
                <w:sz w:val="18"/>
                <w:szCs w:val="18"/>
              </w:rPr>
            </w:pPr>
            <w:r w:rsidRPr="00816B85">
              <w:rPr>
                <w:sz w:val="18"/>
                <w:szCs w:val="18"/>
              </w:rPr>
              <w:t>3,440.4</w:t>
            </w:r>
          </w:p>
        </w:tc>
        <w:tc>
          <w:tcPr>
            <w:tcW w:w="1003" w:type="dxa"/>
            <w:tcBorders>
              <w:left w:val="single" w:sz="4" w:space="0" w:color="FFFFFF" w:themeColor="background1"/>
              <w:bottom w:val="nil"/>
            </w:tcBorders>
            <w:noWrap/>
            <w:hideMark/>
          </w:tcPr>
          <w:p w14:paraId="347974D0" w14:textId="77777777" w:rsidR="00FE18D3" w:rsidRPr="00816B85" w:rsidRDefault="00FE18D3" w:rsidP="00A556F5">
            <w:pPr>
              <w:pStyle w:val="TableBodyTextright"/>
              <w:rPr>
                <w:sz w:val="18"/>
                <w:szCs w:val="18"/>
              </w:rPr>
            </w:pPr>
            <w:r w:rsidRPr="00816B85">
              <w:rPr>
                <w:sz w:val="18"/>
                <w:szCs w:val="18"/>
              </w:rPr>
              <w:t>123.0</w:t>
            </w:r>
          </w:p>
        </w:tc>
        <w:tc>
          <w:tcPr>
            <w:tcW w:w="1003" w:type="dxa"/>
            <w:tcBorders>
              <w:bottom w:val="nil"/>
              <w:right w:val="single" w:sz="4" w:space="0" w:color="FFFFFF" w:themeColor="background1"/>
            </w:tcBorders>
            <w:noWrap/>
            <w:hideMark/>
          </w:tcPr>
          <w:p w14:paraId="32833205" w14:textId="77777777" w:rsidR="00FE18D3" w:rsidRPr="00816B85" w:rsidRDefault="00FE18D3" w:rsidP="00A556F5">
            <w:pPr>
              <w:pStyle w:val="TableBodyTextright"/>
              <w:rPr>
                <w:sz w:val="18"/>
                <w:szCs w:val="18"/>
              </w:rPr>
            </w:pPr>
            <w:r w:rsidRPr="00816B85">
              <w:rPr>
                <w:sz w:val="18"/>
                <w:szCs w:val="18"/>
              </w:rPr>
              <w:t>3.6</w:t>
            </w:r>
          </w:p>
        </w:tc>
        <w:tc>
          <w:tcPr>
            <w:tcW w:w="1146" w:type="dxa"/>
            <w:tcBorders>
              <w:left w:val="single" w:sz="4" w:space="0" w:color="FFFFFF" w:themeColor="background1"/>
              <w:bottom w:val="nil"/>
            </w:tcBorders>
            <w:noWrap/>
            <w:hideMark/>
          </w:tcPr>
          <w:p w14:paraId="6E22B737" w14:textId="77777777" w:rsidR="00FE18D3" w:rsidRPr="00816B85" w:rsidRDefault="00FE18D3" w:rsidP="00A556F5">
            <w:pPr>
              <w:pStyle w:val="TableBodyTextright"/>
              <w:rPr>
                <w:sz w:val="18"/>
                <w:szCs w:val="18"/>
              </w:rPr>
            </w:pPr>
            <w:r w:rsidRPr="00816B85">
              <w:rPr>
                <w:sz w:val="18"/>
                <w:szCs w:val="18"/>
              </w:rPr>
              <w:t>390.0</w:t>
            </w:r>
          </w:p>
        </w:tc>
        <w:tc>
          <w:tcPr>
            <w:tcW w:w="1004" w:type="dxa"/>
            <w:tcBorders>
              <w:bottom w:val="nil"/>
            </w:tcBorders>
            <w:noWrap/>
            <w:hideMark/>
          </w:tcPr>
          <w:p w14:paraId="44DBAB2C" w14:textId="77777777" w:rsidR="00FE18D3" w:rsidRPr="00816B85" w:rsidRDefault="00FE18D3" w:rsidP="00A556F5">
            <w:pPr>
              <w:pStyle w:val="TableBodyTextright"/>
              <w:rPr>
                <w:sz w:val="18"/>
                <w:szCs w:val="18"/>
              </w:rPr>
            </w:pPr>
            <w:r w:rsidRPr="00816B85">
              <w:rPr>
                <w:sz w:val="18"/>
                <w:szCs w:val="18"/>
              </w:rPr>
              <w:t>12.3</w:t>
            </w:r>
          </w:p>
        </w:tc>
      </w:tr>
      <w:tr w:rsidR="00FE18D3" w:rsidRPr="00816B85" w14:paraId="61124BB9" w14:textId="77777777" w:rsidTr="00C97A82">
        <w:trPr>
          <w:cnfStyle w:val="000000010000" w:firstRow="0" w:lastRow="0" w:firstColumn="0" w:lastColumn="0" w:oddVBand="0" w:evenVBand="0" w:oddHBand="0" w:evenHBand="1" w:firstRowFirstColumn="0" w:firstRowLastColumn="0" w:lastRowFirstColumn="0" w:lastRowLastColumn="0"/>
          <w:trHeight w:val="290"/>
        </w:trPr>
        <w:tc>
          <w:tcPr>
            <w:tcW w:w="2291" w:type="dxa"/>
            <w:noWrap/>
            <w:hideMark/>
          </w:tcPr>
          <w:p w14:paraId="25B24C39" w14:textId="209D3BAC" w:rsidR="00FE18D3" w:rsidRPr="00816B85" w:rsidRDefault="00A67901" w:rsidP="00A556F5">
            <w:pPr>
              <w:pStyle w:val="TableBodyText"/>
              <w:rPr>
                <w:sz w:val="18"/>
                <w:szCs w:val="18"/>
              </w:rPr>
            </w:pPr>
            <w:r w:rsidRPr="00816B85">
              <w:rPr>
                <w:sz w:val="18"/>
                <w:szCs w:val="18"/>
              </w:rPr>
              <w:t>Skill Level</w:t>
            </w:r>
            <w:r w:rsidR="00FE18D3" w:rsidRPr="00816B85">
              <w:rPr>
                <w:sz w:val="18"/>
                <w:szCs w:val="18"/>
              </w:rPr>
              <w:t xml:space="preserve"> 5 </w:t>
            </w:r>
          </w:p>
        </w:tc>
        <w:tc>
          <w:tcPr>
            <w:tcW w:w="1290" w:type="dxa"/>
            <w:noWrap/>
            <w:hideMark/>
          </w:tcPr>
          <w:p w14:paraId="4422FB9A" w14:textId="77777777" w:rsidR="00FE18D3" w:rsidRPr="00816B85" w:rsidRDefault="00FE18D3" w:rsidP="00A556F5">
            <w:pPr>
              <w:pStyle w:val="TableBodyTextright"/>
              <w:rPr>
                <w:sz w:val="18"/>
                <w:szCs w:val="18"/>
              </w:rPr>
            </w:pPr>
            <w:r w:rsidRPr="00816B85">
              <w:rPr>
                <w:sz w:val="18"/>
                <w:szCs w:val="18"/>
              </w:rPr>
              <w:t>1,995.4</w:t>
            </w:r>
          </w:p>
        </w:tc>
        <w:tc>
          <w:tcPr>
            <w:tcW w:w="1290" w:type="dxa"/>
            <w:tcBorders>
              <w:right w:val="single" w:sz="4" w:space="0" w:color="FFFFFF" w:themeColor="background1"/>
            </w:tcBorders>
            <w:noWrap/>
            <w:hideMark/>
          </w:tcPr>
          <w:p w14:paraId="0D1B1512" w14:textId="77777777" w:rsidR="00FE18D3" w:rsidRPr="00816B85" w:rsidRDefault="00FE18D3" w:rsidP="00A556F5">
            <w:pPr>
              <w:pStyle w:val="TableBodyTextright"/>
              <w:rPr>
                <w:sz w:val="18"/>
                <w:szCs w:val="18"/>
              </w:rPr>
            </w:pPr>
            <w:r w:rsidRPr="00816B85">
              <w:rPr>
                <w:sz w:val="18"/>
                <w:szCs w:val="18"/>
              </w:rPr>
              <w:t>1,998.8</w:t>
            </w:r>
          </w:p>
        </w:tc>
        <w:tc>
          <w:tcPr>
            <w:tcW w:w="1003" w:type="dxa"/>
            <w:tcBorders>
              <w:left w:val="single" w:sz="4" w:space="0" w:color="FFFFFF" w:themeColor="background1"/>
              <w:bottom w:val="nil"/>
            </w:tcBorders>
            <w:noWrap/>
            <w:hideMark/>
          </w:tcPr>
          <w:p w14:paraId="63040A03" w14:textId="2E133DAD" w:rsidR="00FE18D3" w:rsidRPr="00816B85" w:rsidRDefault="009C4503" w:rsidP="00A556F5">
            <w:pPr>
              <w:pStyle w:val="TableBodyTextright"/>
              <w:rPr>
                <w:sz w:val="18"/>
                <w:szCs w:val="18"/>
              </w:rPr>
            </w:pPr>
            <w:r w:rsidRPr="00816B85">
              <w:rPr>
                <w:rFonts w:cs="Arial"/>
                <w:sz w:val="18"/>
                <w:szCs w:val="18"/>
              </w:rPr>
              <w:t>−</w:t>
            </w:r>
            <w:r w:rsidR="00FE18D3" w:rsidRPr="00816B85">
              <w:rPr>
                <w:sz w:val="18"/>
                <w:szCs w:val="18"/>
              </w:rPr>
              <w:t>3.4</w:t>
            </w:r>
          </w:p>
        </w:tc>
        <w:tc>
          <w:tcPr>
            <w:tcW w:w="1003" w:type="dxa"/>
            <w:tcBorders>
              <w:bottom w:val="nil"/>
              <w:right w:val="single" w:sz="4" w:space="0" w:color="FFFFFF" w:themeColor="background1"/>
            </w:tcBorders>
            <w:noWrap/>
            <w:hideMark/>
          </w:tcPr>
          <w:p w14:paraId="2D00F0F4" w14:textId="63C23BAD" w:rsidR="00FE18D3" w:rsidRPr="00816B85" w:rsidRDefault="00B840FB" w:rsidP="00A556F5">
            <w:pPr>
              <w:pStyle w:val="TableBodyTextright"/>
              <w:rPr>
                <w:sz w:val="18"/>
                <w:szCs w:val="18"/>
              </w:rPr>
            </w:pPr>
            <w:r w:rsidRPr="00816B85">
              <w:rPr>
                <w:rFonts w:cs="Arial"/>
                <w:sz w:val="18"/>
                <w:szCs w:val="18"/>
              </w:rPr>
              <w:t>−</w:t>
            </w:r>
            <w:r w:rsidR="00FE18D3" w:rsidRPr="00816B85">
              <w:rPr>
                <w:sz w:val="18"/>
                <w:szCs w:val="18"/>
              </w:rPr>
              <w:t>0.2</w:t>
            </w:r>
          </w:p>
        </w:tc>
        <w:tc>
          <w:tcPr>
            <w:tcW w:w="1146" w:type="dxa"/>
            <w:tcBorders>
              <w:left w:val="single" w:sz="4" w:space="0" w:color="FFFFFF" w:themeColor="background1"/>
              <w:bottom w:val="nil"/>
            </w:tcBorders>
            <w:noWrap/>
            <w:hideMark/>
          </w:tcPr>
          <w:p w14:paraId="18288EA5" w14:textId="5EF0AB1C" w:rsidR="00FE18D3" w:rsidRPr="00816B85" w:rsidRDefault="009C4503" w:rsidP="00A556F5">
            <w:pPr>
              <w:pStyle w:val="TableBodyTextright"/>
              <w:rPr>
                <w:sz w:val="18"/>
                <w:szCs w:val="18"/>
              </w:rPr>
            </w:pPr>
            <w:r w:rsidRPr="00816B85">
              <w:rPr>
                <w:rFonts w:cs="Arial"/>
                <w:sz w:val="18"/>
                <w:szCs w:val="18"/>
              </w:rPr>
              <w:t>−</w:t>
            </w:r>
            <w:r w:rsidR="00FE18D3" w:rsidRPr="00816B85">
              <w:rPr>
                <w:sz w:val="18"/>
                <w:szCs w:val="18"/>
              </w:rPr>
              <w:t>5.4</w:t>
            </w:r>
          </w:p>
        </w:tc>
        <w:tc>
          <w:tcPr>
            <w:tcW w:w="1004" w:type="dxa"/>
            <w:tcBorders>
              <w:bottom w:val="nil"/>
            </w:tcBorders>
            <w:noWrap/>
            <w:hideMark/>
          </w:tcPr>
          <w:p w14:paraId="66F506C9" w14:textId="0544718B" w:rsidR="00FE18D3" w:rsidRPr="00816B85" w:rsidRDefault="009C4503" w:rsidP="00A556F5">
            <w:pPr>
              <w:pStyle w:val="TableBodyTextright"/>
              <w:rPr>
                <w:sz w:val="18"/>
                <w:szCs w:val="18"/>
              </w:rPr>
            </w:pPr>
            <w:r w:rsidRPr="00816B85">
              <w:rPr>
                <w:rFonts w:cs="Arial"/>
                <w:sz w:val="18"/>
                <w:szCs w:val="18"/>
              </w:rPr>
              <w:t>−</w:t>
            </w:r>
            <w:r w:rsidR="00FE18D3" w:rsidRPr="00816B85">
              <w:rPr>
                <w:sz w:val="18"/>
                <w:szCs w:val="18"/>
              </w:rPr>
              <w:t>0.3</w:t>
            </w:r>
          </w:p>
        </w:tc>
      </w:tr>
      <w:tr w:rsidR="00FE18D3" w:rsidRPr="00816B85" w14:paraId="44475943" w14:textId="77777777" w:rsidTr="00C97A82">
        <w:trPr>
          <w:trHeight w:val="349"/>
        </w:trPr>
        <w:tc>
          <w:tcPr>
            <w:tcW w:w="2291" w:type="dxa"/>
            <w:noWrap/>
          </w:tcPr>
          <w:p w14:paraId="15EFD7F8" w14:textId="77777777" w:rsidR="00FE18D3" w:rsidRPr="00816B85" w:rsidRDefault="00FE18D3" w:rsidP="00A556F5">
            <w:pPr>
              <w:pStyle w:val="TableBodyText"/>
              <w:rPr>
                <w:sz w:val="18"/>
                <w:szCs w:val="18"/>
              </w:rPr>
            </w:pPr>
            <w:r w:rsidRPr="00816B85">
              <w:rPr>
                <w:sz w:val="18"/>
                <w:szCs w:val="18"/>
              </w:rPr>
              <w:t>Total employment</w:t>
            </w:r>
          </w:p>
        </w:tc>
        <w:tc>
          <w:tcPr>
            <w:tcW w:w="1290" w:type="dxa"/>
            <w:noWrap/>
          </w:tcPr>
          <w:p w14:paraId="2D3CFDD1" w14:textId="77777777" w:rsidR="00FE18D3" w:rsidRPr="00816B85" w:rsidRDefault="00FE18D3" w:rsidP="00A556F5">
            <w:pPr>
              <w:pStyle w:val="TableBodyTextright"/>
              <w:rPr>
                <w:sz w:val="18"/>
                <w:szCs w:val="18"/>
              </w:rPr>
            </w:pPr>
            <w:r w:rsidRPr="00816B85">
              <w:rPr>
                <w:sz w:val="18"/>
                <w:szCs w:val="18"/>
              </w:rPr>
              <w:t>14,564.8</w:t>
            </w:r>
          </w:p>
        </w:tc>
        <w:tc>
          <w:tcPr>
            <w:tcW w:w="1290" w:type="dxa"/>
            <w:tcBorders>
              <w:right w:val="single" w:sz="4" w:space="0" w:color="FFFFFF" w:themeColor="background1"/>
            </w:tcBorders>
            <w:noWrap/>
          </w:tcPr>
          <w:p w14:paraId="17E201A9" w14:textId="77777777" w:rsidR="00FE18D3" w:rsidRPr="00816B85" w:rsidRDefault="00FE18D3" w:rsidP="00A556F5">
            <w:pPr>
              <w:pStyle w:val="TableBodyTextright"/>
              <w:rPr>
                <w:sz w:val="18"/>
                <w:szCs w:val="18"/>
              </w:rPr>
            </w:pPr>
            <w:r w:rsidRPr="00816B85">
              <w:rPr>
                <w:sz w:val="18"/>
                <w:szCs w:val="18"/>
              </w:rPr>
              <w:t>14,211.3</w:t>
            </w:r>
          </w:p>
        </w:tc>
        <w:tc>
          <w:tcPr>
            <w:tcW w:w="1003" w:type="dxa"/>
            <w:tcBorders>
              <w:left w:val="single" w:sz="4" w:space="0" w:color="FFFFFF" w:themeColor="background1"/>
              <w:bottom w:val="single" w:sz="4" w:space="0" w:color="2F005F"/>
            </w:tcBorders>
            <w:noWrap/>
          </w:tcPr>
          <w:p w14:paraId="546675DA" w14:textId="77777777" w:rsidR="00FE18D3" w:rsidRPr="00816B85" w:rsidRDefault="00FE18D3" w:rsidP="00A556F5">
            <w:pPr>
              <w:pStyle w:val="TableBodyTextright"/>
              <w:rPr>
                <w:sz w:val="18"/>
                <w:szCs w:val="18"/>
              </w:rPr>
            </w:pPr>
            <w:r w:rsidRPr="00816B85">
              <w:rPr>
                <w:sz w:val="18"/>
                <w:szCs w:val="18"/>
              </w:rPr>
              <w:t>353.4</w:t>
            </w:r>
          </w:p>
        </w:tc>
        <w:tc>
          <w:tcPr>
            <w:tcW w:w="1003" w:type="dxa"/>
            <w:tcBorders>
              <w:bottom w:val="single" w:sz="4" w:space="0" w:color="2F005F"/>
              <w:right w:val="single" w:sz="4" w:space="0" w:color="FFFFFF" w:themeColor="background1"/>
            </w:tcBorders>
            <w:noWrap/>
          </w:tcPr>
          <w:p w14:paraId="79C414A4" w14:textId="77777777" w:rsidR="00FE18D3" w:rsidRPr="00816B85" w:rsidRDefault="00FE18D3" w:rsidP="00A556F5">
            <w:pPr>
              <w:pStyle w:val="TableBodyTextright"/>
              <w:rPr>
                <w:sz w:val="18"/>
                <w:szCs w:val="18"/>
              </w:rPr>
            </w:pPr>
            <w:r w:rsidRPr="00816B85">
              <w:rPr>
                <w:sz w:val="18"/>
                <w:szCs w:val="18"/>
              </w:rPr>
              <w:t>2.5</w:t>
            </w:r>
          </w:p>
        </w:tc>
        <w:tc>
          <w:tcPr>
            <w:tcW w:w="1146" w:type="dxa"/>
            <w:tcBorders>
              <w:left w:val="single" w:sz="4" w:space="0" w:color="FFFFFF" w:themeColor="background1"/>
              <w:bottom w:val="single" w:sz="4" w:space="0" w:color="2F005F"/>
            </w:tcBorders>
            <w:noWrap/>
          </w:tcPr>
          <w:p w14:paraId="7258DFB8" w14:textId="77777777" w:rsidR="00FE18D3" w:rsidRPr="00816B85" w:rsidRDefault="00FE18D3" w:rsidP="00A556F5">
            <w:pPr>
              <w:pStyle w:val="TableBodyTextright"/>
              <w:rPr>
                <w:sz w:val="18"/>
                <w:szCs w:val="18"/>
              </w:rPr>
            </w:pPr>
            <w:r w:rsidRPr="00816B85">
              <w:rPr>
                <w:sz w:val="18"/>
                <w:szCs w:val="18"/>
              </w:rPr>
              <w:t>1,653.0</w:t>
            </w:r>
          </w:p>
        </w:tc>
        <w:tc>
          <w:tcPr>
            <w:tcW w:w="1004" w:type="dxa"/>
            <w:tcBorders>
              <w:bottom w:val="single" w:sz="4" w:space="0" w:color="2F005F"/>
            </w:tcBorders>
            <w:noWrap/>
          </w:tcPr>
          <w:p w14:paraId="568B97B2" w14:textId="77777777" w:rsidR="00FE18D3" w:rsidRPr="00816B85" w:rsidRDefault="00FE18D3" w:rsidP="00A556F5">
            <w:pPr>
              <w:pStyle w:val="TableBodyTextright"/>
              <w:rPr>
                <w:sz w:val="18"/>
                <w:szCs w:val="18"/>
              </w:rPr>
            </w:pPr>
            <w:r w:rsidRPr="00816B85">
              <w:rPr>
                <w:sz w:val="18"/>
                <w:szCs w:val="18"/>
              </w:rPr>
              <w:t>12.8</w:t>
            </w:r>
          </w:p>
        </w:tc>
      </w:tr>
    </w:tbl>
    <w:p w14:paraId="67AF7606" w14:textId="77777777" w:rsidR="00CD5D79" w:rsidRDefault="00BD740E" w:rsidP="00CD5D79">
      <w:pPr>
        <w:pStyle w:val="Source"/>
      </w:pPr>
      <w:bookmarkStart w:id="20" w:name="_Toc189205685"/>
      <w:r w:rsidRPr="00BD740E">
        <w:t>Source: ABS, Labour Force, Australia, Detailed, November 2024, data trended by Jobs and Skills Australia.</w:t>
      </w:r>
    </w:p>
    <w:p w14:paraId="06D9D831" w14:textId="7EF87284" w:rsidR="00FE18D3" w:rsidRPr="00FE18D3" w:rsidRDefault="00D13649" w:rsidP="00816B85">
      <w:pPr>
        <w:pStyle w:val="Heading1"/>
        <w:rPr>
          <w:rFonts w:eastAsia="MS PGothic"/>
        </w:rPr>
      </w:pPr>
      <w:bookmarkStart w:id="21" w:name="_Toc189836959"/>
      <w:r w:rsidRPr="00D13649">
        <w:t>Easing labour demand continues</w:t>
      </w:r>
      <w:bookmarkEnd w:id="20"/>
      <w:bookmarkEnd w:id="21"/>
    </w:p>
    <w:p w14:paraId="26D301C8" w14:textId="00DD417A" w:rsidR="008829E4" w:rsidRDefault="008829E4" w:rsidP="008829E4">
      <w:pPr>
        <w:pStyle w:val="BodyText"/>
      </w:pPr>
      <w:r w:rsidRPr="008829E4">
        <w:t xml:space="preserve">Jobs and Skills Australia’s December quarter 2024 REOS confirms that labour market conditions were softer than December quarter 2023. The REOS recruitment rate, an indicator </w:t>
      </w:r>
      <w:r w:rsidR="00040873">
        <w:t>of</w:t>
      </w:r>
      <w:r w:rsidR="00040873" w:rsidRPr="008829E4">
        <w:t xml:space="preserve"> </w:t>
      </w:r>
      <w:r w:rsidRPr="008829E4">
        <w:t>recruitment activity, provides a robust indication of demand for workers and employer confidence in business conditions.</w:t>
      </w:r>
      <w:r w:rsidR="0042122F" w:rsidRPr="0042122F">
        <w:rPr>
          <w:rStyle w:val="FootnoteReference"/>
        </w:rPr>
        <w:footnoteReference w:id="9"/>
      </w:r>
    </w:p>
    <w:p w14:paraId="7D844300" w14:textId="77777777" w:rsidR="0042412D" w:rsidRPr="004F7496" w:rsidRDefault="0042412D" w:rsidP="0042412D">
      <w:pPr>
        <w:pStyle w:val="BodyText"/>
      </w:pPr>
      <w:r w:rsidRPr="004F7496">
        <w:t xml:space="preserve">The December quarter 2024 recruitment rate (43%) was down 7 percentage points from 12 months ago (50%). The rate was 15 percentage points lower than the June quarter 2022 peak (58%) (Figure 4). </w:t>
      </w:r>
    </w:p>
    <w:p w14:paraId="465953CD" w14:textId="47D2FE4A" w:rsidR="00FE18D3" w:rsidRPr="00FE18D3" w:rsidRDefault="003F4BD9" w:rsidP="00FD5E3B">
      <w:pPr>
        <w:pStyle w:val="Caption"/>
      </w:pPr>
      <w:r>
        <w:t xml:space="preserve">Figure </w:t>
      </w:r>
      <w:r>
        <w:fldChar w:fldCharType="begin"/>
      </w:r>
      <w:r>
        <w:instrText xml:space="preserve"> SEQ Figure \* ARABIC </w:instrText>
      </w:r>
      <w:r>
        <w:fldChar w:fldCharType="separate"/>
      </w:r>
      <w:r w:rsidR="004B52FB">
        <w:rPr>
          <w:noProof/>
        </w:rPr>
        <w:t>4</w:t>
      </w:r>
      <w:r>
        <w:fldChar w:fldCharType="end"/>
      </w:r>
      <w:r w:rsidR="00FE18D3" w:rsidRPr="00FE18D3">
        <w:t xml:space="preserve">: Recruitment rate, December quarter </w:t>
      </w:r>
      <w:r w:rsidR="00FE18D3" w:rsidRPr="00FE18D3" w:rsidDel="00D77F29">
        <w:t>2021</w:t>
      </w:r>
      <w:r w:rsidR="00FE18D3" w:rsidRPr="00FE18D3">
        <w:t xml:space="preserve"> to December quarter</w:t>
      </w:r>
      <w:r w:rsidR="00FE18D3" w:rsidRPr="00FE18D3" w:rsidDel="00D77F29">
        <w:t xml:space="preserve"> 2024</w:t>
      </w:r>
    </w:p>
    <w:p w14:paraId="6BF0C0F4" w14:textId="77777777" w:rsidR="00FE18D3" w:rsidRPr="00FE18D3" w:rsidRDefault="00FE18D3" w:rsidP="00FD5E3B">
      <w:pPr>
        <w:pStyle w:val="Source"/>
        <w:rPr>
          <w:rFonts w:eastAsia="Arial"/>
        </w:rPr>
      </w:pPr>
      <w:r w:rsidRPr="00FE18D3">
        <w:rPr>
          <w:noProof/>
        </w:rPr>
        <w:drawing>
          <wp:inline distT="0" distB="0" distL="0" distR="0" wp14:anchorId="0F05DE5D" wp14:editId="5C607963">
            <wp:extent cx="5731510" cy="2764800"/>
            <wp:effectExtent l="0" t="0" r="2540" b="0"/>
            <wp:docPr id="1610819921" name="Chart 1">
              <a:extLst xmlns:a="http://schemas.openxmlformats.org/drawingml/2006/main">
                <a:ext uri="{FF2B5EF4-FFF2-40B4-BE49-F238E27FC236}">
                  <a16:creationId xmlns:a16="http://schemas.microsoft.com/office/drawing/2014/main" id="{79394E85-599D-4D17-9E05-8FDED9DB75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FE18D3">
        <w:br/>
      </w:r>
      <w:r w:rsidRPr="00FE18D3">
        <w:rPr>
          <w:rFonts w:eastAsia="Arial"/>
        </w:rPr>
        <w:t>Source: Jobs and Skills Australia, REOS, December quarter 2024.</w:t>
      </w:r>
    </w:p>
    <w:p w14:paraId="4EC0E71C" w14:textId="05D0EB09" w:rsidR="00E618B5" w:rsidRDefault="004F7496" w:rsidP="00E618B5">
      <w:pPr>
        <w:pStyle w:val="BodyText"/>
      </w:pPr>
      <w:r w:rsidRPr="004F7496">
        <w:t xml:space="preserve">Jobs and Skills Australia’s IVI showed that the number of monthly job advertisements continued to decline over the December quarter 2024 and remained below the mid-2022 peak. During the quarter, advertisements fell by 15,700 (6.8%); and, over the year to </w:t>
      </w:r>
      <w:r w:rsidRPr="004F7496">
        <w:lastRenderedPageBreak/>
        <w:t xml:space="preserve">December 2024, decreased by 45,200 (17.4%) (Figure 5). </w:t>
      </w:r>
      <w:r w:rsidR="00A15AF2">
        <w:t>T</w:t>
      </w:r>
      <w:r w:rsidRPr="004F7496">
        <w:t xml:space="preserve">he number of advertisements was still </w:t>
      </w:r>
      <w:r w:rsidR="00067D62">
        <w:t xml:space="preserve">higher </w:t>
      </w:r>
      <w:r w:rsidR="00AC4AFB">
        <w:t xml:space="preserve">than </w:t>
      </w:r>
      <w:r w:rsidRPr="004F7496">
        <w:t>pre</w:t>
      </w:r>
      <w:r w:rsidR="00AC4AFB">
        <w:t>-</w:t>
      </w:r>
      <w:r w:rsidRPr="004F7496">
        <w:t>COVID levels.</w:t>
      </w:r>
    </w:p>
    <w:p w14:paraId="4FFF4ED8" w14:textId="7024B4D8" w:rsidR="00FE18D3" w:rsidRPr="00FE18D3" w:rsidRDefault="003F4BD9" w:rsidP="004F7496">
      <w:pPr>
        <w:pStyle w:val="Caption"/>
      </w:pPr>
      <w:r>
        <w:t xml:space="preserve">Figure </w:t>
      </w:r>
      <w:r>
        <w:fldChar w:fldCharType="begin"/>
      </w:r>
      <w:r>
        <w:instrText xml:space="preserve"> SEQ Figure \* ARABIC </w:instrText>
      </w:r>
      <w:r>
        <w:fldChar w:fldCharType="separate"/>
      </w:r>
      <w:r w:rsidR="004B52FB">
        <w:rPr>
          <w:noProof/>
        </w:rPr>
        <w:t>5</w:t>
      </w:r>
      <w:r>
        <w:fldChar w:fldCharType="end"/>
      </w:r>
      <w:r w:rsidR="00FE18D3" w:rsidRPr="00FE18D3">
        <w:t>: IVI job advertisements and unemployment rate, December 2006 to December 2024</w:t>
      </w:r>
    </w:p>
    <w:p w14:paraId="108098A7" w14:textId="1F780CF6" w:rsidR="00FE18D3" w:rsidRPr="00FE18D3" w:rsidRDefault="006678BE" w:rsidP="00FE18D3">
      <w:r w:rsidRPr="006678BE">
        <w:rPr>
          <w:noProof/>
        </w:rPr>
        <w:drawing>
          <wp:inline distT="0" distB="0" distL="0" distR="0" wp14:anchorId="5B95EEB7" wp14:editId="50A2BCED">
            <wp:extent cx="5731200" cy="2764800"/>
            <wp:effectExtent l="0" t="0" r="3175" b="0"/>
            <wp:docPr id="1325560007" name="Chart 1" descr="Figure 5 is a column and line chart, with the columns representing the Internet Vacancy Index monthly count of online job advertisements and the line representing the unemployment rate, from December 2006 to December 2024. This figure shows that the number of job advertisements are generally higher during periods when the unemployment rate is lower, and job advertisements are lower when the unemployment rate is elevated. Job advertisements reached a series low in April 2020, during the initial COVID-19 lockdowns,  before increasing rapidly and reaching a near series high in June 2022. Since then, job advertisements have decreased gradually but remain elevated compared with pre-COVID levels.">
              <a:extLst xmlns:a="http://schemas.openxmlformats.org/drawingml/2006/main">
                <a:ext uri="{FF2B5EF4-FFF2-40B4-BE49-F238E27FC236}">
                  <a16:creationId xmlns:a16="http://schemas.microsoft.com/office/drawing/2014/main" id="{EDDCA728-88DB-A40F-E1D8-83B71B95DB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E2021EE" w14:textId="77777777" w:rsidR="00E04189" w:rsidRDefault="00E04189" w:rsidP="00E04189">
      <w:pPr>
        <w:pStyle w:val="Source"/>
      </w:pPr>
      <w:bookmarkStart w:id="22" w:name="_Toc189205686"/>
      <w:r w:rsidRPr="00E04189">
        <w:t>Source: ABS, Labour Force, Australia, seasonally adjusted data, December 2024; Jobs and Skills Australia, IVI, seasonally adjusted data, December 2024.</w:t>
      </w:r>
    </w:p>
    <w:p w14:paraId="18A1F671" w14:textId="3933E064" w:rsidR="00CE58D0" w:rsidRDefault="00104F02" w:rsidP="00CE58D0">
      <w:pPr>
        <w:pStyle w:val="Heading2"/>
      </w:pPr>
      <w:bookmarkStart w:id="23" w:name="_Toc189836960"/>
      <w:bookmarkStart w:id="24" w:name="_Toc151365187"/>
      <w:bookmarkEnd w:id="22"/>
      <w:r>
        <w:t>M</w:t>
      </w:r>
      <w:r w:rsidR="00CE58D0" w:rsidRPr="00CE58D0">
        <w:t>ost employers</w:t>
      </w:r>
      <w:bookmarkEnd w:id="23"/>
      <w:r>
        <w:t xml:space="preserve"> are experiencing less difficulty recruiting</w:t>
      </w:r>
    </w:p>
    <w:p w14:paraId="5E1DF720" w14:textId="217A19E2" w:rsidR="00FE18D3" w:rsidRPr="00FE18D3" w:rsidRDefault="00FE18D3" w:rsidP="00FD5E3B">
      <w:pPr>
        <w:pStyle w:val="BodyText"/>
      </w:pPr>
      <w:r w:rsidRPr="00FE18D3">
        <w:t xml:space="preserve">REOS shows that recruitment rates decreased in most states over the year to the December quarter </w:t>
      </w:r>
      <w:r w:rsidRPr="00FE18D3" w:rsidDel="00676CB6">
        <w:t>2024</w:t>
      </w:r>
      <w:r w:rsidRPr="00FE18D3">
        <w:t xml:space="preserve"> (Figure 6).</w:t>
      </w:r>
      <w:r w:rsidR="00932556">
        <w:rPr>
          <w:rStyle w:val="FootnoteReference"/>
        </w:rPr>
        <w:footnoteReference w:id="10"/>
      </w:r>
      <w:r w:rsidR="00677C5A" w:rsidRPr="00677C5A">
        <w:t xml:space="preserve"> </w:t>
      </w:r>
      <w:r w:rsidRPr="00FE18D3">
        <w:t xml:space="preserve">Recruitment rates increased in Western Australia by 5 percentage points to 54% compared to a year ago. </w:t>
      </w:r>
    </w:p>
    <w:p w14:paraId="3E9E5F1E" w14:textId="1F858B7B" w:rsidR="00FE18D3" w:rsidRPr="00FE18D3" w:rsidRDefault="003F4BD9" w:rsidP="00FD5E3B">
      <w:pPr>
        <w:pStyle w:val="Caption"/>
      </w:pPr>
      <w:r>
        <w:t xml:space="preserve">Figure </w:t>
      </w:r>
      <w:r>
        <w:fldChar w:fldCharType="begin"/>
      </w:r>
      <w:r>
        <w:instrText xml:space="preserve"> SEQ Figure \* ARABIC </w:instrText>
      </w:r>
      <w:r>
        <w:fldChar w:fldCharType="separate"/>
      </w:r>
      <w:r w:rsidR="004B52FB">
        <w:rPr>
          <w:noProof/>
        </w:rPr>
        <w:t>6</w:t>
      </w:r>
      <w:r>
        <w:fldChar w:fldCharType="end"/>
      </w:r>
      <w:r w:rsidR="00FE18D3" w:rsidRPr="00FE18D3">
        <w:t xml:space="preserve">: Recruitment rate, by state, December quarter </w:t>
      </w:r>
      <w:r w:rsidR="00FE18D3" w:rsidRPr="00FE18D3" w:rsidDel="00AF5D0F">
        <w:t>2023</w:t>
      </w:r>
      <w:r w:rsidR="00FE18D3" w:rsidRPr="00FE18D3">
        <w:t xml:space="preserve"> to December quarter</w:t>
      </w:r>
      <w:r w:rsidR="00FE18D3" w:rsidRPr="00FE18D3" w:rsidDel="00AF5D0F">
        <w:t xml:space="preserve"> 2024</w:t>
      </w:r>
    </w:p>
    <w:p w14:paraId="5CB3C93B" w14:textId="77777777" w:rsidR="00FE18D3" w:rsidRPr="00FE18D3" w:rsidRDefault="00FE18D3" w:rsidP="00FD5E3B">
      <w:pPr>
        <w:pStyle w:val="Source"/>
        <w:rPr>
          <w:rFonts w:eastAsia="Arial"/>
        </w:rPr>
      </w:pPr>
      <w:r w:rsidRPr="00FE18D3">
        <w:rPr>
          <w:noProof/>
        </w:rPr>
        <w:drawing>
          <wp:inline distT="0" distB="0" distL="0" distR="0" wp14:anchorId="0A22E660" wp14:editId="573AD156">
            <wp:extent cx="5731510" cy="2764800"/>
            <wp:effectExtent l="0" t="0" r="2540" b="0"/>
            <wp:docPr id="1360037296" name="Chart 1">
              <a:extLst xmlns:a="http://schemas.openxmlformats.org/drawingml/2006/main">
                <a:ext uri="{FF2B5EF4-FFF2-40B4-BE49-F238E27FC236}">
                  <a16:creationId xmlns:a16="http://schemas.microsoft.com/office/drawing/2014/main" id="{A01B5E87-9312-405E-A69E-79C2CDA0A9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FE18D3">
        <w:rPr>
          <w:rFonts w:eastAsia="Arial"/>
        </w:rPr>
        <w:br/>
        <w:t>Source: Jobs and Skills Australia, REOS, December 2024.</w:t>
      </w:r>
      <w:r w:rsidRPr="00FE18D3">
        <w:rPr>
          <w:rFonts w:eastAsia="Arial"/>
        </w:rPr>
        <w:br/>
        <w:t>Note: Data for the ACT and the NT are not available on a quarterly basis, due to small sample sizes.</w:t>
      </w:r>
    </w:p>
    <w:p w14:paraId="46DA1E6F" w14:textId="562EB505" w:rsidR="00BB1F62" w:rsidRPr="00BB1F62" w:rsidRDefault="00BB1F62" w:rsidP="00BB1F62">
      <w:pPr>
        <w:pStyle w:val="BodyText"/>
      </w:pPr>
      <w:r w:rsidRPr="00BB1F62">
        <w:t xml:space="preserve">Of the 6 states, Western Australia recorded the highest recruitment rate in the quarter (54%). New South Wales recorded the largest annual fall in recruitment activity, down by 10 </w:t>
      </w:r>
      <w:r w:rsidRPr="00BB1F62">
        <w:lastRenderedPageBreak/>
        <w:t>percentage points to 39%</w:t>
      </w:r>
      <w:r w:rsidR="00BA1751">
        <w:t>,</w:t>
      </w:r>
      <w:r w:rsidRPr="00BB1F62">
        <w:t xml:space="preserve"> followed by Victoria, down by 8 percentage points to 39%</w:t>
      </w:r>
      <w:r w:rsidR="00BA1751">
        <w:t>,</w:t>
      </w:r>
      <w:r w:rsidRPr="00BB1F62">
        <w:t xml:space="preserve"> and South Australia, down by 7 percentage points to 39%. </w:t>
      </w:r>
    </w:p>
    <w:p w14:paraId="110B66B8" w14:textId="58E36226" w:rsidR="00BB1F62" w:rsidRDefault="00BB1F62" w:rsidP="00BB1F62">
      <w:pPr>
        <w:pStyle w:val="BodyText"/>
      </w:pPr>
      <w:r w:rsidRPr="00BB1F62">
        <w:t xml:space="preserve">With falling </w:t>
      </w:r>
      <w:r w:rsidR="00CE4B20">
        <w:t xml:space="preserve">national </w:t>
      </w:r>
      <w:r w:rsidRPr="00BB1F62">
        <w:t>recruitment activity, recruitment difficulty is 5 percentage points lower than it was a year ago and 22 percentage points below the September quarter 2022 high (72%) (Figure 7). Recruitment difficulty rate</w:t>
      </w:r>
      <w:r w:rsidR="0045782A">
        <w:t>s</w:t>
      </w:r>
      <w:r w:rsidRPr="00BB1F62">
        <w:t xml:space="preserve"> also decreased in all </w:t>
      </w:r>
      <w:r w:rsidR="0045782A">
        <w:t xml:space="preserve">the </w:t>
      </w:r>
      <w:r w:rsidRPr="00BB1F62">
        <w:t>states, except Queensland.</w:t>
      </w:r>
      <w:r w:rsidR="00932556" w:rsidRPr="00932556">
        <w:rPr>
          <w:rStyle w:val="FootnoteReference"/>
        </w:rPr>
        <w:footnoteReference w:id="11"/>
      </w:r>
      <w:r w:rsidRPr="00BB1F62">
        <w:t xml:space="preserve"> For Queensland, activity increased 7 percentage points to 59%. Queensland also recorded the highest </w:t>
      </w:r>
      <w:r w:rsidR="007C401C">
        <w:t xml:space="preserve">recruitment </w:t>
      </w:r>
      <w:r w:rsidRPr="00BB1F62">
        <w:t xml:space="preserve">difficulty rate (59%), followed by South Australia (52%) and New South Wales (50%). </w:t>
      </w:r>
    </w:p>
    <w:p w14:paraId="5589B299" w14:textId="4F5C34BD" w:rsidR="00FE18D3" w:rsidRPr="00FE18D3" w:rsidRDefault="003F4BD9" w:rsidP="00BB1F62">
      <w:pPr>
        <w:pStyle w:val="Caption"/>
      </w:pPr>
      <w:r>
        <w:t xml:space="preserve">Figure </w:t>
      </w:r>
      <w:r>
        <w:fldChar w:fldCharType="begin"/>
      </w:r>
      <w:r>
        <w:instrText xml:space="preserve"> SEQ Figure \* ARABIC </w:instrText>
      </w:r>
      <w:r>
        <w:fldChar w:fldCharType="separate"/>
      </w:r>
      <w:r w:rsidR="004B52FB">
        <w:rPr>
          <w:noProof/>
        </w:rPr>
        <w:t>7</w:t>
      </w:r>
      <w:r>
        <w:fldChar w:fldCharType="end"/>
      </w:r>
      <w:r w:rsidR="00FE18D3" w:rsidRPr="00FE18D3">
        <w:t>: Recruitment difficulty rate by state, December quarter</w:t>
      </w:r>
      <w:r w:rsidR="00FE18D3" w:rsidRPr="00FE18D3" w:rsidDel="00AF5D0F">
        <w:t xml:space="preserve"> 2023</w:t>
      </w:r>
      <w:r w:rsidR="00FE18D3" w:rsidRPr="00FE18D3">
        <w:t xml:space="preserve"> to December quarter</w:t>
      </w:r>
      <w:r w:rsidR="00FE18D3" w:rsidRPr="00FE18D3" w:rsidDel="00AF5D0F">
        <w:t xml:space="preserve"> 2024</w:t>
      </w:r>
      <w:r w:rsidR="00FE18D3" w:rsidRPr="00FE18D3">
        <w:t xml:space="preserve"> </w:t>
      </w:r>
    </w:p>
    <w:p w14:paraId="1E957505" w14:textId="533DA086" w:rsidR="00FE18D3" w:rsidRPr="0094110E" w:rsidRDefault="00FE18D3" w:rsidP="0094110E">
      <w:pPr>
        <w:pStyle w:val="Source"/>
        <w:rPr>
          <w:rFonts w:eastAsia="Arial"/>
        </w:rPr>
      </w:pPr>
      <w:r w:rsidRPr="00FE18D3">
        <w:rPr>
          <w:noProof/>
        </w:rPr>
        <w:drawing>
          <wp:inline distT="0" distB="0" distL="0" distR="0" wp14:anchorId="4A30BBF9" wp14:editId="4DA8C84B">
            <wp:extent cx="5731510" cy="2764800"/>
            <wp:effectExtent l="0" t="0" r="2540" b="0"/>
            <wp:docPr id="380609436" name="Chart 1">
              <a:extLst xmlns:a="http://schemas.openxmlformats.org/drawingml/2006/main">
                <a:ext uri="{FF2B5EF4-FFF2-40B4-BE49-F238E27FC236}">
                  <a16:creationId xmlns:a16="http://schemas.microsoft.com/office/drawing/2014/main" id="{68929B49-7CD1-45B1-AA2A-B7673E6A01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End w:id="24"/>
      <w:r w:rsidR="00E71DEF" w:rsidRPr="00E71DEF">
        <w:t xml:space="preserve"> </w:t>
      </w:r>
      <w:r w:rsidR="0094110E" w:rsidRPr="0094110E">
        <w:rPr>
          <w:rFonts w:eastAsia="Arial"/>
        </w:rPr>
        <w:t>Source: Jobs and Skills Australia, REOS, December 2024.</w:t>
      </w:r>
      <w:r w:rsidR="0094110E" w:rsidRPr="0094110E">
        <w:rPr>
          <w:rFonts w:eastAsia="Arial"/>
        </w:rPr>
        <w:br/>
        <w:t>Note: Data for the ACT and the NT are not available on a quarterly basis, due to small sample sizes. *Interpret with caution due to low sample size.</w:t>
      </w:r>
    </w:p>
    <w:p w14:paraId="2D7E1FE6" w14:textId="6009383F" w:rsidR="00FF4F1E" w:rsidRPr="00FF4F1E" w:rsidRDefault="00FF4F1E" w:rsidP="00FF4F1E">
      <w:pPr>
        <w:pStyle w:val="BodyText"/>
      </w:pPr>
      <w:r w:rsidRPr="00FF4F1E">
        <w:t xml:space="preserve">In </w:t>
      </w:r>
      <w:r w:rsidR="001D3759">
        <w:t xml:space="preserve">the </w:t>
      </w:r>
      <w:r w:rsidR="00276A1B">
        <w:t xml:space="preserve">December </w:t>
      </w:r>
      <w:r w:rsidRPr="00FF4F1E">
        <w:t>quarter</w:t>
      </w:r>
      <w:r w:rsidR="00276A1B">
        <w:t xml:space="preserve"> 2024</w:t>
      </w:r>
      <w:r w:rsidRPr="00FF4F1E">
        <w:t>, the recruitment difficulty rate was higher for regions far from large population hubs. Outer Regional, Remote and Very Remote Australia had a recruitment difficulty rate of 58% compared to 48% for Australia’s major cities. But the</w:t>
      </w:r>
      <w:r w:rsidR="001F7E2E">
        <w:t>se</w:t>
      </w:r>
      <w:r w:rsidRPr="00FF4F1E">
        <w:t xml:space="preserve"> result</w:t>
      </w:r>
      <w:r w:rsidR="001F7E2E">
        <w:t>s</w:t>
      </w:r>
      <w:r w:rsidRPr="00FF4F1E">
        <w:t xml:space="preserve"> represented a decline of 1 percentage point and 5 percentage points, respectively, over the year to </w:t>
      </w:r>
      <w:r w:rsidR="006771D2">
        <w:t xml:space="preserve">the </w:t>
      </w:r>
      <w:r w:rsidRPr="00FF4F1E">
        <w:t xml:space="preserve">quarter. Inner Regional Australia recorded a middling level of recruitment difficulty </w:t>
      </w:r>
      <w:r w:rsidR="00C12688">
        <w:t xml:space="preserve">during </w:t>
      </w:r>
      <w:r w:rsidRPr="00FF4F1E">
        <w:t>the quarter</w:t>
      </w:r>
      <w:r w:rsidR="00FC4D24">
        <w:t xml:space="preserve"> </w:t>
      </w:r>
      <w:r w:rsidRPr="00FF4F1E">
        <w:t>(51%).</w:t>
      </w:r>
    </w:p>
    <w:p w14:paraId="5A9A8016" w14:textId="41C3A95C" w:rsidR="00FF4F1E" w:rsidRPr="00FF4F1E" w:rsidRDefault="00FF4F1E" w:rsidP="00FF4F1E">
      <w:pPr>
        <w:pStyle w:val="BodyText"/>
      </w:pPr>
      <w:r w:rsidRPr="00FF4F1E">
        <w:t xml:space="preserve">In each remoteness area the percentage of employers expecting to increase their staffing levels in the next 3 months declined to 19% over the year to </w:t>
      </w:r>
      <w:r w:rsidR="003930F7">
        <w:t xml:space="preserve">the current </w:t>
      </w:r>
      <w:r w:rsidRPr="00FF4F1E">
        <w:t>quarter.</w:t>
      </w:r>
      <w:r w:rsidRPr="00FF4F1E">
        <w:rPr>
          <w:rStyle w:val="FootnoteReference"/>
        </w:rPr>
        <w:footnoteReference w:id="12"/>
      </w:r>
      <w:r w:rsidRPr="00FF4F1E">
        <w:t xml:space="preserve"> Recruitment rates also declined over the year, in each area; Inner Regional Australia had the largest decline (falling from 57% to 46%).</w:t>
      </w:r>
    </w:p>
    <w:p w14:paraId="491CF3D7" w14:textId="01B0AEBD" w:rsidR="00897837" w:rsidRPr="00FE18D3" w:rsidRDefault="00897837" w:rsidP="00897837">
      <w:pPr>
        <w:pStyle w:val="BodyText"/>
      </w:pPr>
      <w:r w:rsidRPr="00FE18D3">
        <w:t xml:space="preserve">By major group, </w:t>
      </w:r>
      <w:r w:rsidR="007A3188">
        <w:t xml:space="preserve">during </w:t>
      </w:r>
      <w:r w:rsidRPr="00FE18D3">
        <w:t xml:space="preserve">the quarter, Machinery Operators and Drivers had the highest recruitment difficulty rate (71%). Over the year, it was the only major group with an increase in recruitment difficulty. Technicians and Trades Workers had the highest percentage (64%) of recruiting employers </w:t>
      </w:r>
      <w:r w:rsidR="0029212C">
        <w:t>that have</w:t>
      </w:r>
      <w:r w:rsidRPr="00FE18D3">
        <w:t xml:space="preserve"> vacancies </w:t>
      </w:r>
      <w:r w:rsidR="005F6231">
        <w:t xml:space="preserve">which </w:t>
      </w:r>
      <w:r w:rsidRPr="00FE18D3">
        <w:t xml:space="preserve">take longer than 1 month to fill. This major group recorded a large decrease in recruitment difficulty over the year, down by 9 percentage points to 64%. However, the largest decline was for Labourers, down by 14 percentage points to 39% (Table 6). </w:t>
      </w:r>
    </w:p>
    <w:p w14:paraId="7AA0BD94" w14:textId="77777777" w:rsidR="00FE18D3" w:rsidRPr="00FE18D3" w:rsidRDefault="00FE18D3" w:rsidP="00FE18D3"/>
    <w:p w14:paraId="0395D181" w14:textId="27D57FF9" w:rsidR="00FE18D3" w:rsidRPr="00FE18D3" w:rsidRDefault="0061776C" w:rsidP="00FD5E3B">
      <w:pPr>
        <w:pStyle w:val="Caption"/>
      </w:pPr>
      <w:r>
        <w:t xml:space="preserve">Table </w:t>
      </w:r>
      <w:r>
        <w:fldChar w:fldCharType="begin"/>
      </w:r>
      <w:r>
        <w:instrText xml:space="preserve"> SEQ Table \* ARABIC </w:instrText>
      </w:r>
      <w:r>
        <w:fldChar w:fldCharType="separate"/>
      </w:r>
      <w:r w:rsidR="004B52FB">
        <w:rPr>
          <w:noProof/>
        </w:rPr>
        <w:t>6</w:t>
      </w:r>
      <w:r>
        <w:fldChar w:fldCharType="end"/>
      </w:r>
      <w:r w:rsidR="00FE18D3" w:rsidRPr="00FE18D3">
        <w:t xml:space="preserve">: Key </w:t>
      </w:r>
      <w:r w:rsidR="0083238B">
        <w:t xml:space="preserve">REOS </w:t>
      </w:r>
      <w:r w:rsidR="00FE18D3" w:rsidRPr="00FE18D3">
        <w:t>indicators by major occupation group, December quarter 2024</w:t>
      </w:r>
    </w:p>
    <w:tbl>
      <w:tblPr>
        <w:tblStyle w:val="CustomTablebasic"/>
        <w:tblW w:w="9027" w:type="dxa"/>
        <w:tblLook w:val="04A0" w:firstRow="1" w:lastRow="0" w:firstColumn="1" w:lastColumn="0" w:noHBand="0" w:noVBand="1"/>
      </w:tblPr>
      <w:tblGrid>
        <w:gridCol w:w="3431"/>
        <w:gridCol w:w="1399"/>
        <w:gridCol w:w="1399"/>
        <w:gridCol w:w="1399"/>
        <w:gridCol w:w="1399"/>
      </w:tblGrid>
      <w:tr w:rsidR="00FA2674" w:rsidRPr="0083238B" w14:paraId="14E1CDA3" w14:textId="77777777" w:rsidTr="007846B1">
        <w:trPr>
          <w:cnfStyle w:val="100000000000" w:firstRow="1" w:lastRow="0" w:firstColumn="0" w:lastColumn="0" w:oddVBand="0" w:evenVBand="0" w:oddHBand="0" w:evenHBand="0" w:firstRowFirstColumn="0" w:firstRowLastColumn="0" w:lastRowFirstColumn="0" w:lastRowLastColumn="0"/>
        </w:trPr>
        <w:tc>
          <w:tcPr>
            <w:tcW w:w="3431" w:type="dxa"/>
          </w:tcPr>
          <w:p w14:paraId="2592E35C" w14:textId="77777777" w:rsidR="00FA2674" w:rsidRPr="0083238B" w:rsidRDefault="00FA2674" w:rsidP="001C76CD">
            <w:pPr>
              <w:pStyle w:val="TableHeading1"/>
              <w:rPr>
                <w:sz w:val="18"/>
                <w:szCs w:val="18"/>
              </w:rPr>
            </w:pPr>
          </w:p>
        </w:tc>
        <w:tc>
          <w:tcPr>
            <w:tcW w:w="2798" w:type="dxa"/>
            <w:gridSpan w:val="2"/>
            <w:tcBorders>
              <w:right w:val="nil"/>
            </w:tcBorders>
          </w:tcPr>
          <w:p w14:paraId="0F28FB52" w14:textId="520B8F2E" w:rsidR="00FA2674" w:rsidRPr="0083238B" w:rsidRDefault="00FA2674" w:rsidP="00F90222">
            <w:pPr>
              <w:pStyle w:val="TableHeading1"/>
              <w:jc w:val="center"/>
              <w:rPr>
                <w:b/>
                <w:bCs w:val="0"/>
                <w:sz w:val="18"/>
                <w:szCs w:val="18"/>
              </w:rPr>
            </w:pPr>
            <w:r w:rsidRPr="0083238B">
              <w:rPr>
                <w:b/>
                <w:bCs w:val="0"/>
                <w:sz w:val="18"/>
                <w:szCs w:val="18"/>
              </w:rPr>
              <w:t>Recruitment difficulty rate</w:t>
            </w:r>
          </w:p>
        </w:tc>
        <w:tc>
          <w:tcPr>
            <w:tcW w:w="2798" w:type="dxa"/>
            <w:gridSpan w:val="2"/>
            <w:tcBorders>
              <w:left w:val="nil"/>
            </w:tcBorders>
          </w:tcPr>
          <w:p w14:paraId="323E236D" w14:textId="6A4A5EAE" w:rsidR="00FA2674" w:rsidRPr="0083238B" w:rsidRDefault="00FA2674" w:rsidP="00F90222">
            <w:pPr>
              <w:pStyle w:val="TableHeading1"/>
              <w:jc w:val="center"/>
              <w:rPr>
                <w:b/>
                <w:bCs w:val="0"/>
                <w:sz w:val="18"/>
                <w:szCs w:val="18"/>
              </w:rPr>
            </w:pPr>
            <w:r w:rsidRPr="0083238B">
              <w:rPr>
                <w:b/>
                <w:bCs w:val="0"/>
                <w:sz w:val="18"/>
                <w:szCs w:val="18"/>
              </w:rPr>
              <w:t xml:space="preserve">Vacancies taking longer </w:t>
            </w:r>
            <w:r w:rsidR="00BC46B2">
              <w:rPr>
                <w:b/>
                <w:bCs w:val="0"/>
                <w:sz w:val="18"/>
                <w:szCs w:val="18"/>
              </w:rPr>
              <w:br/>
            </w:r>
            <w:r w:rsidRPr="0083238B">
              <w:rPr>
                <w:b/>
                <w:bCs w:val="0"/>
                <w:sz w:val="18"/>
                <w:szCs w:val="18"/>
              </w:rPr>
              <w:t>than 1 month to fill</w:t>
            </w:r>
          </w:p>
        </w:tc>
      </w:tr>
      <w:tr w:rsidR="00FA2674" w:rsidRPr="0083238B" w14:paraId="15791610" w14:textId="77777777" w:rsidTr="00FA2674">
        <w:tc>
          <w:tcPr>
            <w:tcW w:w="3431" w:type="dxa"/>
            <w:shd w:val="clear" w:color="auto" w:fill="2F005F"/>
          </w:tcPr>
          <w:p w14:paraId="359AB32B" w14:textId="77777777" w:rsidR="00FE18D3" w:rsidRPr="0083238B" w:rsidRDefault="00FE18D3" w:rsidP="001C76CD">
            <w:pPr>
              <w:pStyle w:val="TableHeading1"/>
              <w:rPr>
                <w:b/>
                <w:bCs w:val="0"/>
                <w:sz w:val="18"/>
                <w:szCs w:val="18"/>
              </w:rPr>
            </w:pPr>
            <w:r w:rsidRPr="0083238B">
              <w:rPr>
                <w:b/>
                <w:bCs w:val="0"/>
                <w:sz w:val="18"/>
                <w:szCs w:val="18"/>
              </w:rPr>
              <w:t>Major group</w:t>
            </w:r>
          </w:p>
        </w:tc>
        <w:tc>
          <w:tcPr>
            <w:tcW w:w="1399" w:type="dxa"/>
            <w:shd w:val="clear" w:color="auto" w:fill="2F005F"/>
          </w:tcPr>
          <w:p w14:paraId="0AD84101" w14:textId="77777777" w:rsidR="00FE18D3" w:rsidRPr="0083238B" w:rsidRDefault="00FE18D3" w:rsidP="0083238B">
            <w:pPr>
              <w:pStyle w:val="TableHeading1right"/>
              <w:rPr>
                <w:sz w:val="18"/>
                <w:szCs w:val="18"/>
              </w:rPr>
            </w:pPr>
            <w:r w:rsidRPr="0083238B">
              <w:rPr>
                <w:sz w:val="18"/>
                <w:szCs w:val="18"/>
              </w:rPr>
              <w:t>% of recruiting employers</w:t>
            </w:r>
          </w:p>
        </w:tc>
        <w:tc>
          <w:tcPr>
            <w:tcW w:w="1399" w:type="dxa"/>
            <w:tcBorders>
              <w:right w:val="single" w:sz="4" w:space="0" w:color="FFFFFF" w:themeColor="background1"/>
            </w:tcBorders>
            <w:shd w:val="clear" w:color="auto" w:fill="2F005F"/>
          </w:tcPr>
          <w:p w14:paraId="254288AD" w14:textId="2B266DC9" w:rsidR="00FE18D3" w:rsidRPr="0083238B" w:rsidRDefault="00FE18D3" w:rsidP="0083238B">
            <w:pPr>
              <w:pStyle w:val="TableHeading1right"/>
              <w:rPr>
                <w:sz w:val="18"/>
                <w:szCs w:val="18"/>
              </w:rPr>
            </w:pPr>
            <w:r w:rsidRPr="0083238B">
              <w:rPr>
                <w:sz w:val="18"/>
                <w:szCs w:val="18"/>
              </w:rPr>
              <w:t>Annual change</w:t>
            </w:r>
            <w:r w:rsidR="00F90222" w:rsidRPr="0083238B">
              <w:rPr>
                <w:sz w:val="18"/>
                <w:szCs w:val="18"/>
              </w:rPr>
              <w:t xml:space="preserve"> </w:t>
            </w:r>
            <w:r w:rsidRPr="0083238B">
              <w:rPr>
                <w:sz w:val="18"/>
                <w:szCs w:val="18"/>
              </w:rPr>
              <w:t>(pp</w:t>
            </w:r>
            <w:r w:rsidR="00B30FC6" w:rsidRPr="0083238B">
              <w:rPr>
                <w:sz w:val="18"/>
                <w:szCs w:val="18"/>
              </w:rPr>
              <w:t>t</w:t>
            </w:r>
            <w:r w:rsidRPr="0083238B">
              <w:rPr>
                <w:sz w:val="18"/>
                <w:szCs w:val="18"/>
              </w:rPr>
              <w:t>)</w:t>
            </w:r>
          </w:p>
        </w:tc>
        <w:tc>
          <w:tcPr>
            <w:tcW w:w="1399" w:type="dxa"/>
            <w:tcBorders>
              <w:left w:val="single" w:sz="4" w:space="0" w:color="FFFFFF" w:themeColor="background1"/>
              <w:bottom w:val="nil"/>
            </w:tcBorders>
            <w:shd w:val="clear" w:color="auto" w:fill="2F005F"/>
          </w:tcPr>
          <w:p w14:paraId="04820900" w14:textId="77777777" w:rsidR="00FE18D3" w:rsidRPr="0083238B" w:rsidRDefault="00FE18D3" w:rsidP="0083238B">
            <w:pPr>
              <w:pStyle w:val="TableHeading1right"/>
              <w:rPr>
                <w:sz w:val="18"/>
                <w:szCs w:val="18"/>
              </w:rPr>
            </w:pPr>
            <w:r w:rsidRPr="0083238B">
              <w:rPr>
                <w:sz w:val="18"/>
                <w:szCs w:val="18"/>
              </w:rPr>
              <w:t>% of recruiting employers</w:t>
            </w:r>
          </w:p>
        </w:tc>
        <w:tc>
          <w:tcPr>
            <w:tcW w:w="1399" w:type="dxa"/>
            <w:tcBorders>
              <w:bottom w:val="nil"/>
            </w:tcBorders>
            <w:shd w:val="clear" w:color="auto" w:fill="2F005F"/>
          </w:tcPr>
          <w:p w14:paraId="0BA008AA" w14:textId="02531E99" w:rsidR="00FE18D3" w:rsidRPr="0083238B" w:rsidRDefault="00FE18D3" w:rsidP="0083238B">
            <w:pPr>
              <w:pStyle w:val="TableHeading1right"/>
              <w:rPr>
                <w:sz w:val="18"/>
                <w:szCs w:val="18"/>
              </w:rPr>
            </w:pPr>
            <w:r w:rsidRPr="0083238B">
              <w:rPr>
                <w:sz w:val="18"/>
                <w:szCs w:val="18"/>
              </w:rPr>
              <w:t>Annual change</w:t>
            </w:r>
            <w:r w:rsidR="00FA2674">
              <w:rPr>
                <w:sz w:val="18"/>
                <w:szCs w:val="18"/>
              </w:rPr>
              <w:t xml:space="preserve"> </w:t>
            </w:r>
            <w:r w:rsidRPr="0083238B">
              <w:rPr>
                <w:sz w:val="18"/>
                <w:szCs w:val="18"/>
              </w:rPr>
              <w:t>(pp</w:t>
            </w:r>
            <w:r w:rsidR="00B30FC6" w:rsidRPr="0083238B">
              <w:rPr>
                <w:sz w:val="18"/>
                <w:szCs w:val="18"/>
              </w:rPr>
              <w:t>t</w:t>
            </w:r>
            <w:r w:rsidRPr="0083238B">
              <w:rPr>
                <w:sz w:val="18"/>
                <w:szCs w:val="18"/>
              </w:rPr>
              <w:t>)</w:t>
            </w:r>
          </w:p>
        </w:tc>
      </w:tr>
      <w:tr w:rsidR="00FA2674" w:rsidRPr="0083238B" w14:paraId="47F71CCE" w14:textId="77777777" w:rsidTr="00FA2674">
        <w:trPr>
          <w:cnfStyle w:val="000000010000" w:firstRow="0" w:lastRow="0" w:firstColumn="0" w:lastColumn="0" w:oddVBand="0" w:evenVBand="0" w:oddHBand="0" w:evenHBand="1" w:firstRowFirstColumn="0" w:firstRowLastColumn="0" w:lastRowFirstColumn="0" w:lastRowLastColumn="0"/>
        </w:trPr>
        <w:tc>
          <w:tcPr>
            <w:tcW w:w="3431" w:type="dxa"/>
          </w:tcPr>
          <w:p w14:paraId="61500F0B" w14:textId="77777777" w:rsidR="00FE18D3" w:rsidRPr="0083238B" w:rsidRDefault="00FE18D3" w:rsidP="001C76CD">
            <w:pPr>
              <w:pStyle w:val="TableBodyText"/>
              <w:rPr>
                <w:sz w:val="18"/>
                <w:szCs w:val="18"/>
              </w:rPr>
            </w:pPr>
            <w:r w:rsidRPr="0083238B">
              <w:rPr>
                <w:sz w:val="18"/>
                <w:szCs w:val="18"/>
              </w:rPr>
              <w:t>Professionals</w:t>
            </w:r>
          </w:p>
        </w:tc>
        <w:tc>
          <w:tcPr>
            <w:tcW w:w="1399" w:type="dxa"/>
          </w:tcPr>
          <w:p w14:paraId="575E11C8" w14:textId="77777777" w:rsidR="00FE18D3" w:rsidRPr="0083238B" w:rsidRDefault="00FE18D3" w:rsidP="00DC4B59">
            <w:pPr>
              <w:pStyle w:val="TableBodyTextright"/>
              <w:rPr>
                <w:sz w:val="18"/>
                <w:szCs w:val="18"/>
              </w:rPr>
            </w:pPr>
            <w:r w:rsidRPr="0083238B">
              <w:rPr>
                <w:sz w:val="18"/>
                <w:szCs w:val="18"/>
              </w:rPr>
              <w:t>54.0*</w:t>
            </w:r>
          </w:p>
        </w:tc>
        <w:tc>
          <w:tcPr>
            <w:tcW w:w="1399" w:type="dxa"/>
            <w:tcBorders>
              <w:right w:val="single" w:sz="4" w:space="0" w:color="FFFFFF" w:themeColor="background1"/>
            </w:tcBorders>
          </w:tcPr>
          <w:p w14:paraId="4EDCF800" w14:textId="253C58FC" w:rsidR="00FE18D3" w:rsidRPr="0083238B" w:rsidRDefault="009C4503" w:rsidP="00DC4B59">
            <w:pPr>
              <w:pStyle w:val="TableBodyTextright"/>
              <w:rPr>
                <w:sz w:val="18"/>
                <w:szCs w:val="18"/>
              </w:rPr>
            </w:pPr>
            <w:r w:rsidRPr="0083238B">
              <w:rPr>
                <w:rFonts w:cs="Arial"/>
                <w:sz w:val="18"/>
                <w:szCs w:val="18"/>
              </w:rPr>
              <w:t>−</w:t>
            </w:r>
            <w:r w:rsidR="00FE18D3" w:rsidRPr="0083238B">
              <w:rPr>
                <w:sz w:val="18"/>
                <w:szCs w:val="18"/>
              </w:rPr>
              <w:t>10.0*</w:t>
            </w:r>
          </w:p>
        </w:tc>
        <w:tc>
          <w:tcPr>
            <w:tcW w:w="1399" w:type="dxa"/>
            <w:tcBorders>
              <w:left w:val="single" w:sz="4" w:space="0" w:color="FFFFFF" w:themeColor="background1"/>
              <w:bottom w:val="nil"/>
            </w:tcBorders>
          </w:tcPr>
          <w:p w14:paraId="0E2309BF" w14:textId="77777777" w:rsidR="00FE18D3" w:rsidRPr="0083238B" w:rsidRDefault="00FE18D3" w:rsidP="00DC4B59">
            <w:pPr>
              <w:pStyle w:val="TableBodyTextright"/>
              <w:rPr>
                <w:sz w:val="18"/>
                <w:szCs w:val="18"/>
              </w:rPr>
            </w:pPr>
            <w:r w:rsidRPr="0083238B">
              <w:rPr>
                <w:sz w:val="18"/>
                <w:szCs w:val="18"/>
              </w:rPr>
              <w:t xml:space="preserve">53.0* </w:t>
            </w:r>
          </w:p>
        </w:tc>
        <w:tc>
          <w:tcPr>
            <w:tcW w:w="1399" w:type="dxa"/>
            <w:tcBorders>
              <w:bottom w:val="nil"/>
            </w:tcBorders>
          </w:tcPr>
          <w:p w14:paraId="71398D85" w14:textId="03408D48" w:rsidR="00FE18D3" w:rsidRPr="0083238B" w:rsidRDefault="0025409D" w:rsidP="00DC4B59">
            <w:pPr>
              <w:pStyle w:val="TableBodyTextright"/>
              <w:rPr>
                <w:sz w:val="18"/>
                <w:szCs w:val="18"/>
              </w:rPr>
            </w:pPr>
            <w:r w:rsidRPr="0083238B">
              <w:rPr>
                <w:rFonts w:cs="Arial"/>
                <w:sz w:val="18"/>
                <w:szCs w:val="18"/>
              </w:rPr>
              <w:t>−</w:t>
            </w:r>
            <w:r w:rsidR="00FE18D3" w:rsidRPr="0083238B">
              <w:rPr>
                <w:sz w:val="18"/>
                <w:szCs w:val="18"/>
              </w:rPr>
              <w:t>13.0*</w:t>
            </w:r>
          </w:p>
        </w:tc>
      </w:tr>
      <w:tr w:rsidR="00FA2674" w:rsidRPr="0083238B" w14:paraId="4D2C3E8D" w14:textId="77777777" w:rsidTr="00FA2674">
        <w:tc>
          <w:tcPr>
            <w:tcW w:w="3431" w:type="dxa"/>
          </w:tcPr>
          <w:p w14:paraId="6E18DD7B" w14:textId="77777777" w:rsidR="00FE18D3" w:rsidRPr="0083238B" w:rsidRDefault="00FE18D3" w:rsidP="001C76CD">
            <w:pPr>
              <w:pStyle w:val="TableBodyText"/>
              <w:rPr>
                <w:sz w:val="18"/>
                <w:szCs w:val="18"/>
              </w:rPr>
            </w:pPr>
            <w:r w:rsidRPr="0083238B">
              <w:rPr>
                <w:sz w:val="18"/>
                <w:szCs w:val="18"/>
              </w:rPr>
              <w:t>Technicians and Trades Workers</w:t>
            </w:r>
          </w:p>
        </w:tc>
        <w:tc>
          <w:tcPr>
            <w:tcW w:w="1399" w:type="dxa"/>
          </w:tcPr>
          <w:p w14:paraId="4AF59EEF" w14:textId="77777777" w:rsidR="00FE18D3" w:rsidRPr="0083238B" w:rsidRDefault="00FE18D3" w:rsidP="00DC4B59">
            <w:pPr>
              <w:pStyle w:val="TableBodyTextright"/>
              <w:rPr>
                <w:sz w:val="18"/>
                <w:szCs w:val="18"/>
              </w:rPr>
            </w:pPr>
            <w:r w:rsidRPr="0083238B">
              <w:rPr>
                <w:sz w:val="18"/>
                <w:szCs w:val="18"/>
              </w:rPr>
              <w:t>64.0</w:t>
            </w:r>
          </w:p>
        </w:tc>
        <w:tc>
          <w:tcPr>
            <w:tcW w:w="1399" w:type="dxa"/>
            <w:tcBorders>
              <w:right w:val="single" w:sz="4" w:space="0" w:color="FFFFFF" w:themeColor="background1"/>
            </w:tcBorders>
          </w:tcPr>
          <w:p w14:paraId="4BDF1C5A" w14:textId="725BF2F3" w:rsidR="00FE18D3" w:rsidRPr="0083238B" w:rsidRDefault="009C4503" w:rsidP="00DC4B59">
            <w:pPr>
              <w:pStyle w:val="TableBodyTextright"/>
              <w:rPr>
                <w:sz w:val="18"/>
                <w:szCs w:val="18"/>
              </w:rPr>
            </w:pPr>
            <w:r w:rsidRPr="0083238B">
              <w:rPr>
                <w:rFonts w:cs="Arial"/>
                <w:sz w:val="18"/>
                <w:szCs w:val="18"/>
              </w:rPr>
              <w:t>−</w:t>
            </w:r>
            <w:r w:rsidR="00FE18D3" w:rsidRPr="0083238B">
              <w:rPr>
                <w:sz w:val="18"/>
                <w:szCs w:val="18"/>
              </w:rPr>
              <w:t>9.0</w:t>
            </w:r>
          </w:p>
        </w:tc>
        <w:tc>
          <w:tcPr>
            <w:tcW w:w="1399" w:type="dxa"/>
            <w:tcBorders>
              <w:left w:val="single" w:sz="4" w:space="0" w:color="FFFFFF" w:themeColor="background1"/>
              <w:bottom w:val="nil"/>
            </w:tcBorders>
          </w:tcPr>
          <w:p w14:paraId="494F8741" w14:textId="77777777" w:rsidR="00FE18D3" w:rsidRPr="0083238B" w:rsidRDefault="00FE18D3" w:rsidP="00DC4B59">
            <w:pPr>
              <w:pStyle w:val="TableBodyTextright"/>
              <w:rPr>
                <w:sz w:val="18"/>
                <w:szCs w:val="18"/>
              </w:rPr>
            </w:pPr>
            <w:r w:rsidRPr="0083238B">
              <w:rPr>
                <w:sz w:val="18"/>
                <w:szCs w:val="18"/>
              </w:rPr>
              <w:t>64.0</w:t>
            </w:r>
          </w:p>
        </w:tc>
        <w:tc>
          <w:tcPr>
            <w:tcW w:w="1399" w:type="dxa"/>
            <w:tcBorders>
              <w:bottom w:val="nil"/>
            </w:tcBorders>
          </w:tcPr>
          <w:p w14:paraId="0B04AB4C" w14:textId="58B21BBE" w:rsidR="00FE18D3" w:rsidRPr="0083238B" w:rsidRDefault="0025409D" w:rsidP="00DC4B59">
            <w:pPr>
              <w:pStyle w:val="TableBodyTextright"/>
              <w:rPr>
                <w:sz w:val="18"/>
                <w:szCs w:val="18"/>
              </w:rPr>
            </w:pPr>
            <w:r w:rsidRPr="0083238B">
              <w:rPr>
                <w:rFonts w:cs="Arial"/>
                <w:sz w:val="18"/>
                <w:szCs w:val="18"/>
              </w:rPr>
              <w:t>−</w:t>
            </w:r>
            <w:r w:rsidR="00FE18D3" w:rsidRPr="0083238B">
              <w:rPr>
                <w:sz w:val="18"/>
                <w:szCs w:val="18"/>
              </w:rPr>
              <w:t>6.0</w:t>
            </w:r>
          </w:p>
        </w:tc>
      </w:tr>
      <w:tr w:rsidR="00FA2674" w:rsidRPr="0083238B" w14:paraId="16AD01DA" w14:textId="77777777" w:rsidTr="00FA2674">
        <w:trPr>
          <w:cnfStyle w:val="000000010000" w:firstRow="0" w:lastRow="0" w:firstColumn="0" w:lastColumn="0" w:oddVBand="0" w:evenVBand="0" w:oddHBand="0" w:evenHBand="1" w:firstRowFirstColumn="0" w:firstRowLastColumn="0" w:lastRowFirstColumn="0" w:lastRowLastColumn="0"/>
        </w:trPr>
        <w:tc>
          <w:tcPr>
            <w:tcW w:w="3431" w:type="dxa"/>
          </w:tcPr>
          <w:p w14:paraId="35688D0D" w14:textId="77777777" w:rsidR="00FE18D3" w:rsidRPr="0083238B" w:rsidRDefault="00FE18D3" w:rsidP="001C76CD">
            <w:pPr>
              <w:pStyle w:val="TableBodyText"/>
              <w:rPr>
                <w:sz w:val="18"/>
                <w:szCs w:val="18"/>
              </w:rPr>
            </w:pPr>
            <w:r w:rsidRPr="0083238B">
              <w:rPr>
                <w:sz w:val="18"/>
                <w:szCs w:val="18"/>
              </w:rPr>
              <w:t>Community &amp; Personal Service Workers</w:t>
            </w:r>
          </w:p>
        </w:tc>
        <w:tc>
          <w:tcPr>
            <w:tcW w:w="1399" w:type="dxa"/>
          </w:tcPr>
          <w:p w14:paraId="06F7FFCC" w14:textId="77777777" w:rsidR="00FE18D3" w:rsidRPr="0083238B" w:rsidRDefault="00FE18D3" w:rsidP="00DC4B59">
            <w:pPr>
              <w:pStyle w:val="TableBodyTextright"/>
              <w:rPr>
                <w:sz w:val="18"/>
                <w:szCs w:val="18"/>
              </w:rPr>
            </w:pPr>
            <w:r w:rsidRPr="0083238B">
              <w:rPr>
                <w:sz w:val="18"/>
                <w:szCs w:val="18"/>
              </w:rPr>
              <w:t>49.0</w:t>
            </w:r>
          </w:p>
        </w:tc>
        <w:tc>
          <w:tcPr>
            <w:tcW w:w="1399" w:type="dxa"/>
            <w:tcBorders>
              <w:right w:val="single" w:sz="4" w:space="0" w:color="FFFFFF" w:themeColor="background1"/>
            </w:tcBorders>
          </w:tcPr>
          <w:p w14:paraId="731CE0F1" w14:textId="69B9B37E" w:rsidR="00FE18D3" w:rsidRPr="0083238B" w:rsidRDefault="009C4503" w:rsidP="00DC4B59">
            <w:pPr>
              <w:pStyle w:val="TableBodyTextright"/>
              <w:rPr>
                <w:sz w:val="18"/>
                <w:szCs w:val="18"/>
              </w:rPr>
            </w:pPr>
            <w:r w:rsidRPr="0083238B">
              <w:rPr>
                <w:rFonts w:cs="Arial"/>
                <w:sz w:val="18"/>
                <w:szCs w:val="18"/>
              </w:rPr>
              <w:t>−</w:t>
            </w:r>
            <w:r w:rsidR="00FE18D3" w:rsidRPr="0083238B">
              <w:rPr>
                <w:sz w:val="18"/>
                <w:szCs w:val="18"/>
              </w:rPr>
              <w:t>1.0</w:t>
            </w:r>
          </w:p>
        </w:tc>
        <w:tc>
          <w:tcPr>
            <w:tcW w:w="1399" w:type="dxa"/>
            <w:tcBorders>
              <w:left w:val="single" w:sz="4" w:space="0" w:color="FFFFFF" w:themeColor="background1"/>
              <w:bottom w:val="nil"/>
            </w:tcBorders>
          </w:tcPr>
          <w:p w14:paraId="35EE615B" w14:textId="77777777" w:rsidR="00FE18D3" w:rsidRPr="0083238B" w:rsidRDefault="00FE18D3" w:rsidP="00DC4B59">
            <w:pPr>
              <w:pStyle w:val="TableBodyTextright"/>
              <w:rPr>
                <w:sz w:val="18"/>
                <w:szCs w:val="18"/>
              </w:rPr>
            </w:pPr>
            <w:r w:rsidRPr="0083238B">
              <w:rPr>
                <w:sz w:val="18"/>
                <w:szCs w:val="18"/>
              </w:rPr>
              <w:t>46.0</w:t>
            </w:r>
          </w:p>
        </w:tc>
        <w:tc>
          <w:tcPr>
            <w:tcW w:w="1399" w:type="dxa"/>
            <w:tcBorders>
              <w:bottom w:val="nil"/>
            </w:tcBorders>
          </w:tcPr>
          <w:p w14:paraId="1519B7CD" w14:textId="44A9580E" w:rsidR="00FE18D3" w:rsidRPr="0083238B" w:rsidRDefault="0025409D" w:rsidP="00DC4B59">
            <w:pPr>
              <w:pStyle w:val="TableBodyTextright"/>
              <w:rPr>
                <w:sz w:val="18"/>
                <w:szCs w:val="18"/>
              </w:rPr>
            </w:pPr>
            <w:r w:rsidRPr="0083238B">
              <w:rPr>
                <w:rFonts w:cs="Arial"/>
                <w:sz w:val="18"/>
                <w:szCs w:val="18"/>
              </w:rPr>
              <w:t>−</w:t>
            </w:r>
            <w:r w:rsidR="00FE18D3" w:rsidRPr="0083238B">
              <w:rPr>
                <w:sz w:val="18"/>
                <w:szCs w:val="18"/>
              </w:rPr>
              <w:t>7.0</w:t>
            </w:r>
          </w:p>
        </w:tc>
      </w:tr>
      <w:tr w:rsidR="00FA2674" w:rsidRPr="0083238B" w14:paraId="06F9E752" w14:textId="77777777" w:rsidTr="00FA2674">
        <w:tc>
          <w:tcPr>
            <w:tcW w:w="3431" w:type="dxa"/>
          </w:tcPr>
          <w:p w14:paraId="062CBB86" w14:textId="77777777" w:rsidR="00FE18D3" w:rsidRPr="0083238B" w:rsidRDefault="00FE18D3" w:rsidP="001C76CD">
            <w:pPr>
              <w:pStyle w:val="TableBodyText"/>
              <w:rPr>
                <w:sz w:val="18"/>
                <w:szCs w:val="18"/>
              </w:rPr>
            </w:pPr>
            <w:r w:rsidRPr="0083238B">
              <w:rPr>
                <w:sz w:val="18"/>
                <w:szCs w:val="18"/>
              </w:rPr>
              <w:t>Clerical and Administrative Workers</w:t>
            </w:r>
          </w:p>
        </w:tc>
        <w:tc>
          <w:tcPr>
            <w:tcW w:w="1399" w:type="dxa"/>
          </w:tcPr>
          <w:p w14:paraId="7D22C769" w14:textId="77777777" w:rsidR="00FE18D3" w:rsidRPr="0083238B" w:rsidRDefault="00FE18D3" w:rsidP="00DC4B59">
            <w:pPr>
              <w:pStyle w:val="TableBodyTextright"/>
              <w:rPr>
                <w:sz w:val="18"/>
                <w:szCs w:val="18"/>
              </w:rPr>
            </w:pPr>
            <w:r w:rsidRPr="0083238B">
              <w:rPr>
                <w:sz w:val="18"/>
                <w:szCs w:val="18"/>
              </w:rPr>
              <w:t>33.0</w:t>
            </w:r>
          </w:p>
        </w:tc>
        <w:tc>
          <w:tcPr>
            <w:tcW w:w="1399" w:type="dxa"/>
            <w:tcBorders>
              <w:right w:val="single" w:sz="4" w:space="0" w:color="FFFFFF" w:themeColor="background1"/>
            </w:tcBorders>
          </w:tcPr>
          <w:p w14:paraId="3A490F24" w14:textId="217898FF" w:rsidR="00FE18D3" w:rsidRPr="0083238B" w:rsidRDefault="0025409D" w:rsidP="00DC4B59">
            <w:pPr>
              <w:pStyle w:val="TableBodyTextright"/>
              <w:rPr>
                <w:sz w:val="18"/>
                <w:szCs w:val="18"/>
              </w:rPr>
            </w:pPr>
            <w:r w:rsidRPr="0083238B">
              <w:rPr>
                <w:rFonts w:cs="Arial"/>
                <w:sz w:val="18"/>
                <w:szCs w:val="18"/>
              </w:rPr>
              <w:t>−</w:t>
            </w:r>
            <w:r w:rsidR="00FE18D3" w:rsidRPr="0083238B">
              <w:rPr>
                <w:sz w:val="18"/>
                <w:szCs w:val="18"/>
              </w:rPr>
              <w:t>3.0</w:t>
            </w:r>
          </w:p>
        </w:tc>
        <w:tc>
          <w:tcPr>
            <w:tcW w:w="1399" w:type="dxa"/>
            <w:tcBorders>
              <w:left w:val="single" w:sz="4" w:space="0" w:color="FFFFFF" w:themeColor="background1"/>
              <w:bottom w:val="nil"/>
            </w:tcBorders>
          </w:tcPr>
          <w:p w14:paraId="1FD6A5A2" w14:textId="77777777" w:rsidR="00FE18D3" w:rsidRPr="0083238B" w:rsidRDefault="00FE18D3" w:rsidP="00DC4B59">
            <w:pPr>
              <w:pStyle w:val="TableBodyTextright"/>
              <w:rPr>
                <w:sz w:val="18"/>
                <w:szCs w:val="18"/>
              </w:rPr>
            </w:pPr>
            <w:r w:rsidRPr="0083238B">
              <w:rPr>
                <w:sz w:val="18"/>
                <w:szCs w:val="18"/>
              </w:rPr>
              <w:t xml:space="preserve">39.0* </w:t>
            </w:r>
          </w:p>
        </w:tc>
        <w:tc>
          <w:tcPr>
            <w:tcW w:w="1399" w:type="dxa"/>
            <w:tcBorders>
              <w:bottom w:val="nil"/>
            </w:tcBorders>
          </w:tcPr>
          <w:p w14:paraId="089CEB42" w14:textId="77777777" w:rsidR="00FE18D3" w:rsidRPr="0083238B" w:rsidRDefault="00FE18D3" w:rsidP="00DC4B59">
            <w:pPr>
              <w:pStyle w:val="TableBodyTextright"/>
              <w:rPr>
                <w:sz w:val="18"/>
                <w:szCs w:val="18"/>
              </w:rPr>
            </w:pPr>
            <w:r w:rsidRPr="0083238B">
              <w:rPr>
                <w:sz w:val="18"/>
                <w:szCs w:val="18"/>
              </w:rPr>
              <w:t>6.0*</w:t>
            </w:r>
          </w:p>
        </w:tc>
      </w:tr>
      <w:tr w:rsidR="00FA2674" w:rsidRPr="0083238B" w14:paraId="2AEB8E28" w14:textId="77777777" w:rsidTr="00FA2674">
        <w:trPr>
          <w:cnfStyle w:val="000000010000" w:firstRow="0" w:lastRow="0" w:firstColumn="0" w:lastColumn="0" w:oddVBand="0" w:evenVBand="0" w:oddHBand="0" w:evenHBand="1" w:firstRowFirstColumn="0" w:firstRowLastColumn="0" w:lastRowFirstColumn="0" w:lastRowLastColumn="0"/>
        </w:trPr>
        <w:tc>
          <w:tcPr>
            <w:tcW w:w="3431" w:type="dxa"/>
          </w:tcPr>
          <w:p w14:paraId="3C2BEBF0" w14:textId="77777777" w:rsidR="00FE18D3" w:rsidRPr="0083238B" w:rsidRDefault="00FE18D3" w:rsidP="001C76CD">
            <w:pPr>
              <w:pStyle w:val="TableBodyText"/>
              <w:rPr>
                <w:sz w:val="18"/>
                <w:szCs w:val="18"/>
              </w:rPr>
            </w:pPr>
            <w:r w:rsidRPr="0083238B">
              <w:rPr>
                <w:sz w:val="18"/>
                <w:szCs w:val="18"/>
              </w:rPr>
              <w:t>Sales Workers</w:t>
            </w:r>
          </w:p>
        </w:tc>
        <w:tc>
          <w:tcPr>
            <w:tcW w:w="1399" w:type="dxa"/>
          </w:tcPr>
          <w:p w14:paraId="7C072409" w14:textId="77777777" w:rsidR="00FE18D3" w:rsidRPr="0083238B" w:rsidRDefault="00FE18D3" w:rsidP="00DC4B59">
            <w:pPr>
              <w:pStyle w:val="TableBodyTextright"/>
              <w:rPr>
                <w:sz w:val="18"/>
                <w:szCs w:val="18"/>
              </w:rPr>
            </w:pPr>
            <w:r w:rsidRPr="0083238B">
              <w:rPr>
                <w:sz w:val="18"/>
                <w:szCs w:val="18"/>
              </w:rPr>
              <w:t>40.0</w:t>
            </w:r>
          </w:p>
        </w:tc>
        <w:tc>
          <w:tcPr>
            <w:tcW w:w="1399" w:type="dxa"/>
            <w:tcBorders>
              <w:right w:val="single" w:sz="4" w:space="0" w:color="FFFFFF" w:themeColor="background1"/>
            </w:tcBorders>
          </w:tcPr>
          <w:p w14:paraId="38FE62E8" w14:textId="2820C1E5" w:rsidR="00FE18D3" w:rsidRPr="0083238B" w:rsidRDefault="0025409D" w:rsidP="00DC4B59">
            <w:pPr>
              <w:pStyle w:val="TableBodyTextright"/>
              <w:rPr>
                <w:sz w:val="18"/>
                <w:szCs w:val="18"/>
              </w:rPr>
            </w:pPr>
            <w:r w:rsidRPr="0083238B">
              <w:rPr>
                <w:rFonts w:cs="Arial"/>
                <w:sz w:val="18"/>
                <w:szCs w:val="18"/>
              </w:rPr>
              <w:t>−</w:t>
            </w:r>
            <w:r w:rsidR="00FE18D3" w:rsidRPr="0083238B">
              <w:rPr>
                <w:sz w:val="18"/>
                <w:szCs w:val="18"/>
              </w:rPr>
              <w:t>7.0</w:t>
            </w:r>
          </w:p>
        </w:tc>
        <w:tc>
          <w:tcPr>
            <w:tcW w:w="1399" w:type="dxa"/>
            <w:tcBorders>
              <w:left w:val="single" w:sz="4" w:space="0" w:color="FFFFFF" w:themeColor="background1"/>
              <w:bottom w:val="nil"/>
            </w:tcBorders>
          </w:tcPr>
          <w:p w14:paraId="12253F04" w14:textId="77777777" w:rsidR="00FE18D3" w:rsidRPr="0083238B" w:rsidRDefault="00FE18D3" w:rsidP="00DC4B59">
            <w:pPr>
              <w:pStyle w:val="TableBodyTextright"/>
              <w:rPr>
                <w:sz w:val="18"/>
                <w:szCs w:val="18"/>
              </w:rPr>
            </w:pPr>
            <w:r w:rsidRPr="0083238B">
              <w:rPr>
                <w:sz w:val="18"/>
                <w:szCs w:val="18"/>
              </w:rPr>
              <w:t>35.0</w:t>
            </w:r>
          </w:p>
        </w:tc>
        <w:tc>
          <w:tcPr>
            <w:tcW w:w="1399" w:type="dxa"/>
            <w:tcBorders>
              <w:bottom w:val="nil"/>
            </w:tcBorders>
          </w:tcPr>
          <w:p w14:paraId="39EF4309" w14:textId="78A410BE" w:rsidR="00FE18D3" w:rsidRPr="0083238B" w:rsidRDefault="0025409D" w:rsidP="00DC4B59">
            <w:pPr>
              <w:pStyle w:val="TableBodyTextright"/>
              <w:rPr>
                <w:sz w:val="18"/>
                <w:szCs w:val="18"/>
              </w:rPr>
            </w:pPr>
            <w:r w:rsidRPr="0083238B">
              <w:rPr>
                <w:rFonts w:cs="Arial"/>
                <w:sz w:val="18"/>
                <w:szCs w:val="18"/>
              </w:rPr>
              <w:t>−</w:t>
            </w:r>
            <w:r w:rsidR="00FE18D3" w:rsidRPr="0083238B">
              <w:rPr>
                <w:sz w:val="18"/>
                <w:szCs w:val="18"/>
              </w:rPr>
              <w:t>4.0</w:t>
            </w:r>
          </w:p>
        </w:tc>
      </w:tr>
      <w:tr w:rsidR="00FA2674" w:rsidRPr="0083238B" w14:paraId="43F6CD52" w14:textId="77777777" w:rsidTr="00FA2674">
        <w:tc>
          <w:tcPr>
            <w:tcW w:w="3431" w:type="dxa"/>
          </w:tcPr>
          <w:p w14:paraId="29B95EDD" w14:textId="77777777" w:rsidR="00FE18D3" w:rsidRPr="0083238B" w:rsidRDefault="00FE18D3" w:rsidP="001C76CD">
            <w:pPr>
              <w:pStyle w:val="TableBodyText"/>
              <w:rPr>
                <w:sz w:val="18"/>
                <w:szCs w:val="18"/>
              </w:rPr>
            </w:pPr>
            <w:r w:rsidRPr="0083238B">
              <w:rPr>
                <w:sz w:val="18"/>
                <w:szCs w:val="18"/>
              </w:rPr>
              <w:t>Machinery Operators and Drivers</w:t>
            </w:r>
          </w:p>
        </w:tc>
        <w:tc>
          <w:tcPr>
            <w:tcW w:w="1399" w:type="dxa"/>
          </w:tcPr>
          <w:p w14:paraId="4778FEF4" w14:textId="77777777" w:rsidR="00FE18D3" w:rsidRPr="0083238B" w:rsidRDefault="00FE18D3" w:rsidP="00DC4B59">
            <w:pPr>
              <w:pStyle w:val="TableBodyTextright"/>
              <w:rPr>
                <w:sz w:val="18"/>
                <w:szCs w:val="18"/>
              </w:rPr>
            </w:pPr>
            <w:r w:rsidRPr="0083238B">
              <w:rPr>
                <w:sz w:val="18"/>
                <w:szCs w:val="18"/>
              </w:rPr>
              <w:t xml:space="preserve">71.0* </w:t>
            </w:r>
          </w:p>
        </w:tc>
        <w:tc>
          <w:tcPr>
            <w:tcW w:w="1399" w:type="dxa"/>
            <w:tcBorders>
              <w:right w:val="single" w:sz="4" w:space="0" w:color="FFFFFF" w:themeColor="background1"/>
            </w:tcBorders>
          </w:tcPr>
          <w:p w14:paraId="07D9B91A" w14:textId="77777777" w:rsidR="00FE18D3" w:rsidRPr="0083238B" w:rsidRDefault="00FE18D3" w:rsidP="00DC4B59">
            <w:pPr>
              <w:pStyle w:val="TableBodyTextright"/>
              <w:rPr>
                <w:sz w:val="18"/>
                <w:szCs w:val="18"/>
              </w:rPr>
            </w:pPr>
            <w:r w:rsidRPr="0083238B">
              <w:rPr>
                <w:sz w:val="18"/>
                <w:szCs w:val="18"/>
              </w:rPr>
              <w:t>11.0*</w:t>
            </w:r>
          </w:p>
        </w:tc>
        <w:tc>
          <w:tcPr>
            <w:tcW w:w="1399" w:type="dxa"/>
            <w:tcBorders>
              <w:left w:val="single" w:sz="4" w:space="0" w:color="FFFFFF" w:themeColor="background1"/>
              <w:bottom w:val="nil"/>
            </w:tcBorders>
          </w:tcPr>
          <w:p w14:paraId="469EC17C" w14:textId="77777777" w:rsidR="00FE18D3" w:rsidRPr="0083238B" w:rsidRDefault="00FE18D3" w:rsidP="00DC4B59">
            <w:pPr>
              <w:pStyle w:val="TableBodyTextright"/>
              <w:rPr>
                <w:sz w:val="18"/>
                <w:szCs w:val="18"/>
              </w:rPr>
            </w:pPr>
            <w:r w:rsidRPr="0083238B">
              <w:rPr>
                <w:sz w:val="18"/>
                <w:szCs w:val="18"/>
              </w:rPr>
              <w:t xml:space="preserve">51.0* </w:t>
            </w:r>
          </w:p>
        </w:tc>
        <w:tc>
          <w:tcPr>
            <w:tcW w:w="1399" w:type="dxa"/>
            <w:tcBorders>
              <w:bottom w:val="nil"/>
            </w:tcBorders>
          </w:tcPr>
          <w:p w14:paraId="53717DE0" w14:textId="77777777" w:rsidR="00FE18D3" w:rsidRPr="0083238B" w:rsidRDefault="00FE18D3" w:rsidP="00DC4B59">
            <w:pPr>
              <w:pStyle w:val="TableBodyTextright"/>
              <w:rPr>
                <w:sz w:val="18"/>
                <w:szCs w:val="18"/>
              </w:rPr>
            </w:pPr>
            <w:r w:rsidRPr="0083238B">
              <w:rPr>
                <w:sz w:val="18"/>
                <w:szCs w:val="18"/>
              </w:rPr>
              <w:t>7.0*</w:t>
            </w:r>
          </w:p>
        </w:tc>
      </w:tr>
      <w:tr w:rsidR="00FA2674" w:rsidRPr="0083238B" w14:paraId="37C4B39C" w14:textId="77777777" w:rsidTr="00FA2674">
        <w:trPr>
          <w:cnfStyle w:val="000000010000" w:firstRow="0" w:lastRow="0" w:firstColumn="0" w:lastColumn="0" w:oddVBand="0" w:evenVBand="0" w:oddHBand="0" w:evenHBand="1" w:firstRowFirstColumn="0" w:firstRowLastColumn="0" w:lastRowFirstColumn="0" w:lastRowLastColumn="0"/>
        </w:trPr>
        <w:tc>
          <w:tcPr>
            <w:tcW w:w="3431" w:type="dxa"/>
          </w:tcPr>
          <w:p w14:paraId="6E2F9F8C" w14:textId="77777777" w:rsidR="00FE18D3" w:rsidRPr="0083238B" w:rsidRDefault="00FE18D3" w:rsidP="001C76CD">
            <w:pPr>
              <w:pStyle w:val="TableBodyText"/>
              <w:rPr>
                <w:sz w:val="18"/>
                <w:szCs w:val="18"/>
              </w:rPr>
            </w:pPr>
            <w:r w:rsidRPr="0083238B">
              <w:rPr>
                <w:sz w:val="18"/>
                <w:szCs w:val="18"/>
              </w:rPr>
              <w:t>Labourers</w:t>
            </w:r>
          </w:p>
        </w:tc>
        <w:tc>
          <w:tcPr>
            <w:tcW w:w="1399" w:type="dxa"/>
          </w:tcPr>
          <w:p w14:paraId="3408B91E" w14:textId="77777777" w:rsidR="00FE18D3" w:rsidRPr="0083238B" w:rsidRDefault="00FE18D3" w:rsidP="00DC4B59">
            <w:pPr>
              <w:pStyle w:val="TableBodyTextright"/>
              <w:rPr>
                <w:sz w:val="18"/>
                <w:szCs w:val="18"/>
              </w:rPr>
            </w:pPr>
            <w:r w:rsidRPr="0083238B">
              <w:rPr>
                <w:sz w:val="18"/>
                <w:szCs w:val="18"/>
              </w:rPr>
              <w:t>39.0</w:t>
            </w:r>
          </w:p>
        </w:tc>
        <w:tc>
          <w:tcPr>
            <w:tcW w:w="1399" w:type="dxa"/>
            <w:tcBorders>
              <w:right w:val="single" w:sz="4" w:space="0" w:color="FFFFFF" w:themeColor="background1"/>
            </w:tcBorders>
          </w:tcPr>
          <w:p w14:paraId="4DB28618" w14:textId="79F75591" w:rsidR="00FE18D3" w:rsidRPr="0083238B" w:rsidRDefault="0025409D" w:rsidP="00DC4B59">
            <w:pPr>
              <w:pStyle w:val="TableBodyTextright"/>
              <w:rPr>
                <w:sz w:val="18"/>
                <w:szCs w:val="18"/>
              </w:rPr>
            </w:pPr>
            <w:r w:rsidRPr="0083238B">
              <w:rPr>
                <w:rFonts w:cs="Arial"/>
                <w:sz w:val="18"/>
                <w:szCs w:val="18"/>
              </w:rPr>
              <w:t>−</w:t>
            </w:r>
            <w:r w:rsidR="00FE18D3" w:rsidRPr="0083238B">
              <w:rPr>
                <w:sz w:val="18"/>
                <w:szCs w:val="18"/>
              </w:rPr>
              <w:t>14.0</w:t>
            </w:r>
          </w:p>
        </w:tc>
        <w:tc>
          <w:tcPr>
            <w:tcW w:w="1399" w:type="dxa"/>
            <w:tcBorders>
              <w:left w:val="single" w:sz="4" w:space="0" w:color="FFFFFF" w:themeColor="background1"/>
              <w:bottom w:val="single" w:sz="4" w:space="0" w:color="2F005F"/>
            </w:tcBorders>
          </w:tcPr>
          <w:p w14:paraId="54CF2A86" w14:textId="77777777" w:rsidR="00FE18D3" w:rsidRPr="0083238B" w:rsidRDefault="00FE18D3" w:rsidP="00DC4B59">
            <w:pPr>
              <w:pStyle w:val="TableBodyTextright"/>
              <w:rPr>
                <w:sz w:val="18"/>
                <w:szCs w:val="18"/>
              </w:rPr>
            </w:pPr>
            <w:r w:rsidRPr="0083238B">
              <w:rPr>
                <w:sz w:val="18"/>
                <w:szCs w:val="18"/>
              </w:rPr>
              <w:t>24.0</w:t>
            </w:r>
          </w:p>
        </w:tc>
        <w:tc>
          <w:tcPr>
            <w:tcW w:w="1399" w:type="dxa"/>
            <w:tcBorders>
              <w:bottom w:val="single" w:sz="4" w:space="0" w:color="2F005F"/>
            </w:tcBorders>
          </w:tcPr>
          <w:p w14:paraId="2A9F2E6C" w14:textId="1809119D" w:rsidR="00FE18D3" w:rsidRPr="0083238B" w:rsidRDefault="0025409D" w:rsidP="00DC4B59">
            <w:pPr>
              <w:pStyle w:val="TableBodyTextright"/>
              <w:rPr>
                <w:sz w:val="18"/>
                <w:szCs w:val="18"/>
              </w:rPr>
            </w:pPr>
            <w:r w:rsidRPr="0083238B">
              <w:rPr>
                <w:rFonts w:cs="Arial"/>
                <w:sz w:val="18"/>
                <w:szCs w:val="18"/>
              </w:rPr>
              <w:t>−</w:t>
            </w:r>
            <w:r w:rsidR="00FE18D3" w:rsidRPr="0083238B">
              <w:rPr>
                <w:sz w:val="18"/>
                <w:szCs w:val="18"/>
              </w:rPr>
              <w:t>14.0</w:t>
            </w:r>
          </w:p>
        </w:tc>
      </w:tr>
    </w:tbl>
    <w:p w14:paraId="102B415D" w14:textId="77777777" w:rsidR="00FE18D3" w:rsidRDefault="00FE18D3" w:rsidP="00FD5E3B">
      <w:pPr>
        <w:pStyle w:val="Source"/>
        <w:rPr>
          <w:rFonts w:eastAsia="Arial"/>
        </w:rPr>
      </w:pPr>
      <w:r w:rsidRPr="00FE18D3">
        <w:rPr>
          <w:rFonts w:eastAsia="Arial"/>
        </w:rPr>
        <w:t>Source: JSA, REOS, December quarter 2024</w:t>
      </w:r>
      <w:r w:rsidRPr="00FE18D3">
        <w:rPr>
          <w:rFonts w:eastAsia="Arial"/>
        </w:rPr>
        <w:br/>
        <w:t>Note: Data for Managers are not available, due to small sample sizes. The proportion of recruiting employers unable to fill all their vacancies within a month excludes employers with unfilled vacancies who have been recruiting for less than a month. *Interpret with caution due to low sample size.</w:t>
      </w:r>
    </w:p>
    <w:p w14:paraId="137B661C" w14:textId="7D690963" w:rsidR="002B3F20" w:rsidRPr="00D20F72" w:rsidRDefault="002B3F20" w:rsidP="002B3F20">
      <w:pPr>
        <w:pStyle w:val="BodyText"/>
      </w:pPr>
      <w:r w:rsidRPr="00D20F72">
        <w:t>In the current quarter, the Accommodation and Food Services industry continued to record the highest recruitment rate (63.0%), while Professional, Scientific and Technical Services recorded the lowest rate (31.0%)</w:t>
      </w:r>
      <w:r w:rsidR="001A287C">
        <w:t xml:space="preserve"> (Table 7)</w:t>
      </w:r>
      <w:r w:rsidRPr="00D20F72">
        <w:t xml:space="preserve">. Recruitment difficulty remained elevated in the Construction (61.0%) and Manufacturing (59.0%) industries. </w:t>
      </w:r>
    </w:p>
    <w:p w14:paraId="0A242741" w14:textId="5BF8A592" w:rsidR="002B3F20" w:rsidRPr="002B3F20" w:rsidRDefault="002B3F20" w:rsidP="002B3F20">
      <w:pPr>
        <w:pStyle w:val="BodyText"/>
        <w:rPr>
          <w:lang w:eastAsia="en-GB"/>
        </w:rPr>
      </w:pPr>
      <w:r w:rsidRPr="00D20F72">
        <w:t>While recording the highest recruitment rate, the Accommodation and Food Services industry also reported the lowest recruitment difficulty rate of 27.0%. This was the lowest quarterly rate recorded amongst all reportable industries since December quarter 2020</w:t>
      </w:r>
      <w:r w:rsidR="00754B9B">
        <w:t xml:space="preserve">. </w:t>
      </w:r>
    </w:p>
    <w:p w14:paraId="0A58DFF4" w14:textId="02C5FA67" w:rsidR="00FE18D3" w:rsidRPr="00FE18D3" w:rsidRDefault="0061776C" w:rsidP="00FD5E3B">
      <w:pPr>
        <w:pStyle w:val="Caption"/>
      </w:pPr>
      <w:r>
        <w:t xml:space="preserve">Table </w:t>
      </w:r>
      <w:r>
        <w:fldChar w:fldCharType="begin"/>
      </w:r>
      <w:r>
        <w:instrText xml:space="preserve"> SEQ Table \* ARABIC </w:instrText>
      </w:r>
      <w:r>
        <w:fldChar w:fldCharType="separate"/>
      </w:r>
      <w:r w:rsidR="004B52FB">
        <w:rPr>
          <w:noProof/>
        </w:rPr>
        <w:t>7</w:t>
      </w:r>
      <w:r>
        <w:fldChar w:fldCharType="end"/>
      </w:r>
      <w:r w:rsidR="00FE18D3" w:rsidRPr="00FE18D3">
        <w:t>: Key indicators by select industries, December quarter 2024</w:t>
      </w:r>
    </w:p>
    <w:tbl>
      <w:tblPr>
        <w:tblStyle w:val="CustomTablebasic"/>
        <w:tblW w:w="9026" w:type="dxa"/>
        <w:tblLayout w:type="fixed"/>
        <w:tblLook w:val="04A0" w:firstRow="1" w:lastRow="0" w:firstColumn="1" w:lastColumn="0" w:noHBand="0" w:noVBand="1"/>
      </w:tblPr>
      <w:tblGrid>
        <w:gridCol w:w="2104"/>
        <w:gridCol w:w="1153"/>
        <w:gridCol w:w="1154"/>
        <w:gridCol w:w="1154"/>
        <w:gridCol w:w="1153"/>
        <w:gridCol w:w="1154"/>
        <w:gridCol w:w="1154"/>
      </w:tblGrid>
      <w:tr w:rsidR="006C2EED" w:rsidRPr="001A01D2" w14:paraId="2D14A04F" w14:textId="77777777" w:rsidTr="00BC46B2">
        <w:trPr>
          <w:cnfStyle w:val="100000000000" w:firstRow="1" w:lastRow="0" w:firstColumn="0" w:lastColumn="0" w:oddVBand="0" w:evenVBand="0" w:oddHBand="0" w:evenHBand="0" w:firstRowFirstColumn="0" w:firstRowLastColumn="0" w:lastRowFirstColumn="0" w:lastRowLastColumn="0"/>
        </w:trPr>
        <w:tc>
          <w:tcPr>
            <w:tcW w:w="2104" w:type="dxa"/>
          </w:tcPr>
          <w:p w14:paraId="0E943AC2" w14:textId="77777777" w:rsidR="006C2EED" w:rsidRPr="001A01D2" w:rsidRDefault="006C2EED" w:rsidP="00FE18D3">
            <w:pPr>
              <w:rPr>
                <w:rStyle w:val="Characterbold"/>
                <w:sz w:val="18"/>
                <w:szCs w:val="18"/>
              </w:rPr>
            </w:pPr>
          </w:p>
        </w:tc>
        <w:tc>
          <w:tcPr>
            <w:tcW w:w="2307" w:type="dxa"/>
            <w:gridSpan w:val="2"/>
            <w:tcBorders>
              <w:right w:val="nil"/>
            </w:tcBorders>
          </w:tcPr>
          <w:p w14:paraId="679ED0E8" w14:textId="405637AD" w:rsidR="006C2EED" w:rsidRPr="001A01D2" w:rsidRDefault="006C2EED" w:rsidP="006C2EED">
            <w:pPr>
              <w:pStyle w:val="TableHeading1"/>
              <w:jc w:val="center"/>
              <w:rPr>
                <w:rStyle w:val="Characterbold"/>
                <w:sz w:val="18"/>
                <w:szCs w:val="18"/>
              </w:rPr>
            </w:pPr>
            <w:r w:rsidRPr="001A01D2">
              <w:rPr>
                <w:rStyle w:val="Characterbold"/>
                <w:sz w:val="18"/>
                <w:szCs w:val="18"/>
              </w:rPr>
              <w:t>Recruitment rate</w:t>
            </w:r>
          </w:p>
        </w:tc>
        <w:tc>
          <w:tcPr>
            <w:tcW w:w="2307" w:type="dxa"/>
            <w:gridSpan w:val="2"/>
            <w:tcBorders>
              <w:left w:val="nil"/>
              <w:right w:val="nil"/>
            </w:tcBorders>
          </w:tcPr>
          <w:p w14:paraId="52C14978" w14:textId="21358968" w:rsidR="006C2EED" w:rsidRPr="001A01D2" w:rsidRDefault="006C2EED" w:rsidP="006C2EED">
            <w:pPr>
              <w:pStyle w:val="TableHeading1"/>
              <w:jc w:val="center"/>
              <w:rPr>
                <w:rStyle w:val="Characterbold"/>
                <w:sz w:val="18"/>
                <w:szCs w:val="18"/>
              </w:rPr>
            </w:pPr>
            <w:r w:rsidRPr="001A01D2">
              <w:rPr>
                <w:rStyle w:val="Characterbold"/>
                <w:sz w:val="18"/>
                <w:szCs w:val="18"/>
              </w:rPr>
              <w:t xml:space="preserve">Recruitment </w:t>
            </w:r>
            <w:r w:rsidR="00BC46B2">
              <w:rPr>
                <w:rStyle w:val="Characterbold"/>
                <w:sz w:val="18"/>
                <w:szCs w:val="18"/>
              </w:rPr>
              <w:br/>
            </w:r>
            <w:r w:rsidRPr="001A01D2">
              <w:rPr>
                <w:rStyle w:val="Characterbold"/>
                <w:sz w:val="18"/>
                <w:szCs w:val="18"/>
              </w:rPr>
              <w:t>difficulty rate</w:t>
            </w:r>
          </w:p>
        </w:tc>
        <w:tc>
          <w:tcPr>
            <w:tcW w:w="2308" w:type="dxa"/>
            <w:gridSpan w:val="2"/>
            <w:tcBorders>
              <w:left w:val="nil"/>
            </w:tcBorders>
          </w:tcPr>
          <w:p w14:paraId="5C2C5DBA" w14:textId="78486495" w:rsidR="006C2EED" w:rsidRPr="001A01D2" w:rsidRDefault="006C2EED" w:rsidP="006C2EED">
            <w:pPr>
              <w:pStyle w:val="TableHeading1"/>
              <w:jc w:val="center"/>
              <w:rPr>
                <w:rStyle w:val="Characterbold"/>
                <w:sz w:val="18"/>
                <w:szCs w:val="18"/>
              </w:rPr>
            </w:pPr>
            <w:r w:rsidRPr="001A01D2">
              <w:rPr>
                <w:rStyle w:val="Characterbold"/>
                <w:sz w:val="18"/>
                <w:szCs w:val="18"/>
              </w:rPr>
              <w:t>Expect to increase staff</w:t>
            </w:r>
          </w:p>
        </w:tc>
      </w:tr>
      <w:tr w:rsidR="00A6790A" w:rsidRPr="001A01D2" w14:paraId="1C4489DF" w14:textId="77777777" w:rsidTr="00A6790A">
        <w:tc>
          <w:tcPr>
            <w:tcW w:w="2104" w:type="dxa"/>
            <w:shd w:val="clear" w:color="auto" w:fill="2F005F"/>
          </w:tcPr>
          <w:p w14:paraId="0B56B438" w14:textId="77777777" w:rsidR="00FE18D3" w:rsidRPr="001A01D2" w:rsidRDefault="00FE18D3" w:rsidP="006C2EED">
            <w:pPr>
              <w:pStyle w:val="TableBodyTextright"/>
              <w:rPr>
                <w:sz w:val="18"/>
                <w:szCs w:val="18"/>
              </w:rPr>
            </w:pPr>
          </w:p>
        </w:tc>
        <w:tc>
          <w:tcPr>
            <w:tcW w:w="1153" w:type="dxa"/>
            <w:shd w:val="clear" w:color="auto" w:fill="2F005F"/>
          </w:tcPr>
          <w:p w14:paraId="184C80B1" w14:textId="77777777" w:rsidR="00FE18D3" w:rsidRPr="001A01D2" w:rsidRDefault="00FE18D3" w:rsidP="006C2EED">
            <w:pPr>
              <w:pStyle w:val="TableBodyTextright"/>
              <w:rPr>
                <w:sz w:val="18"/>
                <w:szCs w:val="18"/>
              </w:rPr>
            </w:pPr>
            <w:r w:rsidRPr="001A01D2">
              <w:rPr>
                <w:sz w:val="18"/>
                <w:szCs w:val="18"/>
              </w:rPr>
              <w:t>% of employers</w:t>
            </w:r>
          </w:p>
        </w:tc>
        <w:tc>
          <w:tcPr>
            <w:tcW w:w="1154" w:type="dxa"/>
            <w:tcBorders>
              <w:right w:val="single" w:sz="4" w:space="0" w:color="FFFFFF" w:themeColor="background1"/>
            </w:tcBorders>
            <w:shd w:val="clear" w:color="auto" w:fill="2F005F"/>
          </w:tcPr>
          <w:p w14:paraId="49F1D08E" w14:textId="0C7B9C7C" w:rsidR="00FE18D3" w:rsidRPr="001A01D2" w:rsidRDefault="00FE18D3" w:rsidP="006C2EED">
            <w:pPr>
              <w:pStyle w:val="TableBodyTextright"/>
              <w:rPr>
                <w:sz w:val="18"/>
                <w:szCs w:val="18"/>
              </w:rPr>
            </w:pPr>
            <w:r w:rsidRPr="001A01D2">
              <w:rPr>
                <w:sz w:val="18"/>
                <w:szCs w:val="18"/>
              </w:rPr>
              <w:t>Annual change</w:t>
            </w:r>
            <w:r w:rsidR="006C2EED" w:rsidRPr="001A01D2">
              <w:rPr>
                <w:sz w:val="18"/>
                <w:szCs w:val="18"/>
              </w:rPr>
              <w:t xml:space="preserve"> </w:t>
            </w:r>
            <w:r w:rsidRPr="001A01D2">
              <w:rPr>
                <w:sz w:val="18"/>
                <w:szCs w:val="18"/>
              </w:rPr>
              <w:t>(pp</w:t>
            </w:r>
            <w:r w:rsidR="006E7621" w:rsidRPr="001A01D2">
              <w:rPr>
                <w:sz w:val="18"/>
                <w:szCs w:val="18"/>
              </w:rPr>
              <w:t>t</w:t>
            </w:r>
            <w:r w:rsidRPr="001A01D2">
              <w:rPr>
                <w:sz w:val="18"/>
                <w:szCs w:val="18"/>
              </w:rPr>
              <w:t>)</w:t>
            </w:r>
          </w:p>
        </w:tc>
        <w:tc>
          <w:tcPr>
            <w:tcW w:w="1154" w:type="dxa"/>
            <w:tcBorders>
              <w:left w:val="single" w:sz="4" w:space="0" w:color="FFFFFF" w:themeColor="background1"/>
              <w:bottom w:val="nil"/>
            </w:tcBorders>
            <w:shd w:val="clear" w:color="auto" w:fill="2F005F"/>
          </w:tcPr>
          <w:p w14:paraId="5CDAB1A6" w14:textId="77777777" w:rsidR="00FE18D3" w:rsidRPr="001A01D2" w:rsidRDefault="00FE18D3" w:rsidP="006C2EED">
            <w:pPr>
              <w:pStyle w:val="TableBodyTextright"/>
              <w:rPr>
                <w:sz w:val="18"/>
                <w:szCs w:val="18"/>
              </w:rPr>
            </w:pPr>
            <w:r w:rsidRPr="001A01D2">
              <w:rPr>
                <w:sz w:val="18"/>
                <w:szCs w:val="18"/>
              </w:rPr>
              <w:t>% of recruiting employers</w:t>
            </w:r>
          </w:p>
        </w:tc>
        <w:tc>
          <w:tcPr>
            <w:tcW w:w="1153" w:type="dxa"/>
            <w:tcBorders>
              <w:bottom w:val="nil"/>
              <w:right w:val="single" w:sz="4" w:space="0" w:color="FFFFFF" w:themeColor="background1"/>
            </w:tcBorders>
            <w:shd w:val="clear" w:color="auto" w:fill="2F005F"/>
          </w:tcPr>
          <w:p w14:paraId="4CDE13E2" w14:textId="650A48E3" w:rsidR="00FE18D3" w:rsidRPr="001A01D2" w:rsidRDefault="00FE18D3" w:rsidP="006C2EED">
            <w:pPr>
              <w:pStyle w:val="TableBodyTextright"/>
              <w:rPr>
                <w:sz w:val="18"/>
                <w:szCs w:val="18"/>
              </w:rPr>
            </w:pPr>
            <w:r w:rsidRPr="001A01D2">
              <w:rPr>
                <w:sz w:val="18"/>
                <w:szCs w:val="18"/>
              </w:rPr>
              <w:t>Annual change</w:t>
            </w:r>
            <w:r w:rsidR="006C2EED" w:rsidRPr="001A01D2">
              <w:rPr>
                <w:sz w:val="18"/>
                <w:szCs w:val="18"/>
              </w:rPr>
              <w:t xml:space="preserve"> </w:t>
            </w:r>
            <w:r w:rsidRPr="001A01D2">
              <w:rPr>
                <w:sz w:val="18"/>
                <w:szCs w:val="18"/>
              </w:rPr>
              <w:t>(pp</w:t>
            </w:r>
            <w:r w:rsidR="006E7621" w:rsidRPr="001A01D2">
              <w:rPr>
                <w:sz w:val="18"/>
                <w:szCs w:val="18"/>
              </w:rPr>
              <w:t>t</w:t>
            </w:r>
            <w:r w:rsidRPr="001A01D2">
              <w:rPr>
                <w:sz w:val="18"/>
                <w:szCs w:val="18"/>
              </w:rPr>
              <w:t>)</w:t>
            </w:r>
          </w:p>
        </w:tc>
        <w:tc>
          <w:tcPr>
            <w:tcW w:w="1154" w:type="dxa"/>
            <w:tcBorders>
              <w:left w:val="single" w:sz="4" w:space="0" w:color="FFFFFF" w:themeColor="background1"/>
              <w:bottom w:val="nil"/>
            </w:tcBorders>
            <w:shd w:val="clear" w:color="auto" w:fill="2F005F"/>
          </w:tcPr>
          <w:p w14:paraId="7EAD9220" w14:textId="77777777" w:rsidR="00FE18D3" w:rsidRPr="001A01D2" w:rsidRDefault="00FE18D3" w:rsidP="006C2EED">
            <w:pPr>
              <w:pStyle w:val="TableBodyTextright"/>
              <w:rPr>
                <w:sz w:val="18"/>
                <w:szCs w:val="18"/>
              </w:rPr>
            </w:pPr>
            <w:r w:rsidRPr="001A01D2">
              <w:rPr>
                <w:sz w:val="18"/>
                <w:szCs w:val="18"/>
              </w:rPr>
              <w:t>% of employers</w:t>
            </w:r>
          </w:p>
        </w:tc>
        <w:tc>
          <w:tcPr>
            <w:tcW w:w="1154" w:type="dxa"/>
            <w:tcBorders>
              <w:bottom w:val="nil"/>
            </w:tcBorders>
            <w:shd w:val="clear" w:color="auto" w:fill="2F005F"/>
          </w:tcPr>
          <w:p w14:paraId="63CBCB56" w14:textId="392CDBF8" w:rsidR="00FE18D3" w:rsidRPr="001A01D2" w:rsidRDefault="00FE18D3" w:rsidP="006C2EED">
            <w:pPr>
              <w:pStyle w:val="TableBodyTextright"/>
              <w:rPr>
                <w:sz w:val="18"/>
                <w:szCs w:val="18"/>
              </w:rPr>
            </w:pPr>
            <w:r w:rsidRPr="001A01D2">
              <w:rPr>
                <w:sz w:val="18"/>
                <w:szCs w:val="18"/>
              </w:rPr>
              <w:t>Annual change</w:t>
            </w:r>
            <w:r w:rsidR="006C2EED" w:rsidRPr="001A01D2">
              <w:rPr>
                <w:sz w:val="18"/>
                <w:szCs w:val="18"/>
              </w:rPr>
              <w:t xml:space="preserve"> </w:t>
            </w:r>
            <w:r w:rsidRPr="001A01D2">
              <w:rPr>
                <w:sz w:val="18"/>
                <w:szCs w:val="18"/>
              </w:rPr>
              <w:t>(pp</w:t>
            </w:r>
            <w:r w:rsidR="006E7621" w:rsidRPr="001A01D2">
              <w:rPr>
                <w:sz w:val="18"/>
                <w:szCs w:val="18"/>
              </w:rPr>
              <w:t>t</w:t>
            </w:r>
            <w:r w:rsidRPr="001A01D2">
              <w:rPr>
                <w:sz w:val="18"/>
                <w:szCs w:val="18"/>
              </w:rPr>
              <w:t>)</w:t>
            </w:r>
          </w:p>
        </w:tc>
      </w:tr>
      <w:tr w:rsidR="00FE18D3" w:rsidRPr="001A01D2" w14:paraId="2EE0B06F" w14:textId="77777777" w:rsidTr="00A6790A">
        <w:trPr>
          <w:cnfStyle w:val="000000010000" w:firstRow="0" w:lastRow="0" w:firstColumn="0" w:lastColumn="0" w:oddVBand="0" w:evenVBand="0" w:oddHBand="0" w:evenHBand="1" w:firstRowFirstColumn="0" w:firstRowLastColumn="0" w:lastRowFirstColumn="0" w:lastRowLastColumn="0"/>
          <w:trHeight w:val="574"/>
        </w:trPr>
        <w:tc>
          <w:tcPr>
            <w:tcW w:w="2104" w:type="dxa"/>
          </w:tcPr>
          <w:p w14:paraId="0C69EB82" w14:textId="77777777" w:rsidR="00FE18D3" w:rsidRPr="001A01D2" w:rsidRDefault="00FE18D3" w:rsidP="00CB0DEB">
            <w:pPr>
              <w:pStyle w:val="TableBodyText"/>
              <w:rPr>
                <w:sz w:val="18"/>
                <w:szCs w:val="18"/>
              </w:rPr>
            </w:pPr>
            <w:r w:rsidRPr="001A01D2">
              <w:rPr>
                <w:sz w:val="18"/>
                <w:szCs w:val="18"/>
              </w:rPr>
              <w:t>Manufacturing</w:t>
            </w:r>
          </w:p>
        </w:tc>
        <w:tc>
          <w:tcPr>
            <w:tcW w:w="1153" w:type="dxa"/>
          </w:tcPr>
          <w:p w14:paraId="567C963E" w14:textId="77777777" w:rsidR="00FE18D3" w:rsidRPr="001A01D2" w:rsidRDefault="00FE18D3" w:rsidP="00CB0DEB">
            <w:pPr>
              <w:pStyle w:val="TableBodyTextright"/>
              <w:rPr>
                <w:sz w:val="18"/>
                <w:szCs w:val="18"/>
              </w:rPr>
            </w:pPr>
            <w:r w:rsidRPr="001A01D2">
              <w:rPr>
                <w:sz w:val="18"/>
                <w:szCs w:val="18"/>
              </w:rPr>
              <w:t>39.0</w:t>
            </w:r>
          </w:p>
        </w:tc>
        <w:tc>
          <w:tcPr>
            <w:tcW w:w="1154" w:type="dxa"/>
            <w:tcBorders>
              <w:right w:val="single" w:sz="4" w:space="0" w:color="FFFFFF" w:themeColor="background1"/>
            </w:tcBorders>
          </w:tcPr>
          <w:p w14:paraId="049CB553" w14:textId="2A38D43A" w:rsidR="00FE18D3" w:rsidRPr="001A01D2" w:rsidRDefault="006C3F05" w:rsidP="00CB0DEB">
            <w:pPr>
              <w:pStyle w:val="TableBodyTextright"/>
              <w:rPr>
                <w:sz w:val="18"/>
                <w:szCs w:val="18"/>
              </w:rPr>
            </w:pPr>
            <w:r w:rsidRPr="001A01D2">
              <w:rPr>
                <w:sz w:val="18"/>
                <w:szCs w:val="18"/>
              </w:rPr>
              <w:t>−</w:t>
            </w:r>
            <w:r w:rsidR="00FE18D3" w:rsidRPr="001A01D2">
              <w:rPr>
                <w:sz w:val="18"/>
                <w:szCs w:val="18"/>
              </w:rPr>
              <w:t>8.0</w:t>
            </w:r>
          </w:p>
        </w:tc>
        <w:tc>
          <w:tcPr>
            <w:tcW w:w="1154" w:type="dxa"/>
            <w:tcBorders>
              <w:left w:val="single" w:sz="4" w:space="0" w:color="FFFFFF" w:themeColor="background1"/>
              <w:bottom w:val="nil"/>
            </w:tcBorders>
          </w:tcPr>
          <w:p w14:paraId="0AE4DABE" w14:textId="77777777" w:rsidR="00FE18D3" w:rsidRPr="001A01D2" w:rsidRDefault="00FE18D3" w:rsidP="00CB0DEB">
            <w:pPr>
              <w:pStyle w:val="TableBodyTextright"/>
              <w:rPr>
                <w:sz w:val="18"/>
                <w:szCs w:val="18"/>
              </w:rPr>
            </w:pPr>
            <w:r w:rsidRPr="001A01D2">
              <w:rPr>
                <w:sz w:val="18"/>
                <w:szCs w:val="18"/>
              </w:rPr>
              <w:t>59.0</w:t>
            </w:r>
          </w:p>
        </w:tc>
        <w:tc>
          <w:tcPr>
            <w:tcW w:w="1153" w:type="dxa"/>
            <w:tcBorders>
              <w:bottom w:val="nil"/>
              <w:right w:val="single" w:sz="4" w:space="0" w:color="FFFFFF" w:themeColor="background1"/>
            </w:tcBorders>
          </w:tcPr>
          <w:p w14:paraId="08A8573C" w14:textId="6BC99081" w:rsidR="00FE18D3" w:rsidRPr="001A01D2" w:rsidRDefault="006C3F05" w:rsidP="00CB0DEB">
            <w:pPr>
              <w:pStyle w:val="TableBodyTextright"/>
              <w:rPr>
                <w:sz w:val="18"/>
                <w:szCs w:val="18"/>
              </w:rPr>
            </w:pPr>
            <w:r w:rsidRPr="001A01D2">
              <w:rPr>
                <w:sz w:val="18"/>
                <w:szCs w:val="18"/>
              </w:rPr>
              <w:t>−</w:t>
            </w:r>
            <w:r w:rsidR="00FE18D3" w:rsidRPr="001A01D2">
              <w:rPr>
                <w:sz w:val="18"/>
                <w:szCs w:val="18"/>
              </w:rPr>
              <w:t>9.0</w:t>
            </w:r>
          </w:p>
        </w:tc>
        <w:tc>
          <w:tcPr>
            <w:tcW w:w="1154" w:type="dxa"/>
            <w:tcBorders>
              <w:left w:val="single" w:sz="4" w:space="0" w:color="FFFFFF" w:themeColor="background1"/>
              <w:bottom w:val="nil"/>
            </w:tcBorders>
          </w:tcPr>
          <w:p w14:paraId="3D2752B8" w14:textId="77777777" w:rsidR="00FE18D3" w:rsidRPr="001A01D2" w:rsidRDefault="00FE18D3" w:rsidP="00CB0DEB">
            <w:pPr>
              <w:pStyle w:val="TableBodyTextright"/>
              <w:rPr>
                <w:sz w:val="18"/>
                <w:szCs w:val="18"/>
              </w:rPr>
            </w:pPr>
            <w:r w:rsidRPr="001A01D2">
              <w:rPr>
                <w:sz w:val="18"/>
                <w:szCs w:val="18"/>
              </w:rPr>
              <w:t>16.0</w:t>
            </w:r>
          </w:p>
        </w:tc>
        <w:tc>
          <w:tcPr>
            <w:tcW w:w="1154" w:type="dxa"/>
            <w:tcBorders>
              <w:bottom w:val="nil"/>
            </w:tcBorders>
          </w:tcPr>
          <w:p w14:paraId="289D1FFB" w14:textId="20077111" w:rsidR="00FE18D3" w:rsidRPr="001A01D2" w:rsidRDefault="006C3F05" w:rsidP="00CB0DEB">
            <w:pPr>
              <w:pStyle w:val="TableBodyTextright"/>
              <w:rPr>
                <w:sz w:val="18"/>
                <w:szCs w:val="18"/>
              </w:rPr>
            </w:pPr>
            <w:r w:rsidRPr="001A01D2">
              <w:rPr>
                <w:sz w:val="18"/>
                <w:szCs w:val="18"/>
              </w:rPr>
              <w:t>−</w:t>
            </w:r>
            <w:r w:rsidR="00FE18D3" w:rsidRPr="001A01D2">
              <w:rPr>
                <w:sz w:val="18"/>
                <w:szCs w:val="18"/>
              </w:rPr>
              <w:t>7.0</w:t>
            </w:r>
          </w:p>
        </w:tc>
      </w:tr>
      <w:tr w:rsidR="00FE18D3" w:rsidRPr="001A01D2" w14:paraId="0663EEBA" w14:textId="77777777" w:rsidTr="00A6790A">
        <w:trPr>
          <w:trHeight w:val="574"/>
        </w:trPr>
        <w:tc>
          <w:tcPr>
            <w:tcW w:w="2104" w:type="dxa"/>
          </w:tcPr>
          <w:p w14:paraId="7CDD5A67" w14:textId="77777777" w:rsidR="00FE18D3" w:rsidRPr="001A01D2" w:rsidRDefault="00FE18D3" w:rsidP="00CB0DEB">
            <w:pPr>
              <w:pStyle w:val="TableBodyText"/>
              <w:rPr>
                <w:sz w:val="18"/>
                <w:szCs w:val="18"/>
              </w:rPr>
            </w:pPr>
            <w:r w:rsidRPr="001A01D2">
              <w:rPr>
                <w:sz w:val="18"/>
                <w:szCs w:val="18"/>
              </w:rPr>
              <w:t>Construction</w:t>
            </w:r>
          </w:p>
        </w:tc>
        <w:tc>
          <w:tcPr>
            <w:tcW w:w="1153" w:type="dxa"/>
          </w:tcPr>
          <w:p w14:paraId="52E21794" w14:textId="77777777" w:rsidR="00FE18D3" w:rsidRPr="001A01D2" w:rsidRDefault="00FE18D3" w:rsidP="00CB0DEB">
            <w:pPr>
              <w:pStyle w:val="TableBodyTextright"/>
              <w:rPr>
                <w:sz w:val="18"/>
                <w:szCs w:val="18"/>
              </w:rPr>
            </w:pPr>
            <w:r w:rsidRPr="001A01D2">
              <w:rPr>
                <w:sz w:val="18"/>
                <w:szCs w:val="18"/>
              </w:rPr>
              <w:t>42.0</w:t>
            </w:r>
          </w:p>
        </w:tc>
        <w:tc>
          <w:tcPr>
            <w:tcW w:w="1154" w:type="dxa"/>
            <w:tcBorders>
              <w:right w:val="single" w:sz="4" w:space="0" w:color="FFFFFF" w:themeColor="background1"/>
            </w:tcBorders>
          </w:tcPr>
          <w:p w14:paraId="46AF73D7" w14:textId="2959714B" w:rsidR="00FE18D3" w:rsidRPr="001A01D2" w:rsidRDefault="006C3F05" w:rsidP="00CB0DEB">
            <w:pPr>
              <w:pStyle w:val="TableBodyTextright"/>
              <w:rPr>
                <w:sz w:val="18"/>
                <w:szCs w:val="18"/>
              </w:rPr>
            </w:pPr>
            <w:r w:rsidRPr="001A01D2">
              <w:rPr>
                <w:sz w:val="18"/>
                <w:szCs w:val="18"/>
              </w:rPr>
              <w:t>−</w:t>
            </w:r>
            <w:r w:rsidR="00FE18D3" w:rsidRPr="001A01D2">
              <w:rPr>
                <w:sz w:val="18"/>
                <w:szCs w:val="18"/>
              </w:rPr>
              <w:t>9.0</w:t>
            </w:r>
          </w:p>
        </w:tc>
        <w:tc>
          <w:tcPr>
            <w:tcW w:w="1154" w:type="dxa"/>
            <w:tcBorders>
              <w:left w:val="single" w:sz="4" w:space="0" w:color="FFFFFF" w:themeColor="background1"/>
              <w:bottom w:val="nil"/>
            </w:tcBorders>
          </w:tcPr>
          <w:p w14:paraId="53FBC83C" w14:textId="77777777" w:rsidR="00FE18D3" w:rsidRPr="001A01D2" w:rsidRDefault="00FE18D3" w:rsidP="00CB0DEB">
            <w:pPr>
              <w:pStyle w:val="TableBodyTextright"/>
              <w:rPr>
                <w:sz w:val="18"/>
                <w:szCs w:val="18"/>
              </w:rPr>
            </w:pPr>
            <w:r w:rsidRPr="001A01D2">
              <w:rPr>
                <w:sz w:val="18"/>
                <w:szCs w:val="18"/>
              </w:rPr>
              <w:t>61.0*</w:t>
            </w:r>
          </w:p>
        </w:tc>
        <w:tc>
          <w:tcPr>
            <w:tcW w:w="1153" w:type="dxa"/>
            <w:tcBorders>
              <w:bottom w:val="nil"/>
              <w:right w:val="single" w:sz="4" w:space="0" w:color="FFFFFF" w:themeColor="background1"/>
            </w:tcBorders>
          </w:tcPr>
          <w:p w14:paraId="7D3D8A6C" w14:textId="77777777" w:rsidR="00FE18D3" w:rsidRPr="001A01D2" w:rsidRDefault="00FE18D3" w:rsidP="00CB0DEB">
            <w:pPr>
              <w:pStyle w:val="TableBodyTextright"/>
              <w:rPr>
                <w:sz w:val="18"/>
                <w:szCs w:val="18"/>
              </w:rPr>
            </w:pPr>
            <w:r w:rsidRPr="001A01D2">
              <w:rPr>
                <w:sz w:val="18"/>
                <w:szCs w:val="18"/>
              </w:rPr>
              <w:t>2.0*</w:t>
            </w:r>
          </w:p>
        </w:tc>
        <w:tc>
          <w:tcPr>
            <w:tcW w:w="1154" w:type="dxa"/>
            <w:tcBorders>
              <w:left w:val="single" w:sz="4" w:space="0" w:color="FFFFFF" w:themeColor="background1"/>
              <w:bottom w:val="nil"/>
            </w:tcBorders>
          </w:tcPr>
          <w:p w14:paraId="3CF44F44" w14:textId="77777777" w:rsidR="00FE18D3" w:rsidRPr="001A01D2" w:rsidRDefault="00FE18D3" w:rsidP="00CB0DEB">
            <w:pPr>
              <w:pStyle w:val="TableBodyTextright"/>
              <w:rPr>
                <w:sz w:val="18"/>
                <w:szCs w:val="18"/>
              </w:rPr>
            </w:pPr>
            <w:r w:rsidRPr="001A01D2">
              <w:rPr>
                <w:sz w:val="18"/>
                <w:szCs w:val="18"/>
              </w:rPr>
              <w:t>19.0</w:t>
            </w:r>
          </w:p>
        </w:tc>
        <w:tc>
          <w:tcPr>
            <w:tcW w:w="1154" w:type="dxa"/>
            <w:tcBorders>
              <w:bottom w:val="nil"/>
            </w:tcBorders>
          </w:tcPr>
          <w:p w14:paraId="0391AB43" w14:textId="77777777" w:rsidR="00FE18D3" w:rsidRPr="001A01D2" w:rsidRDefault="00FE18D3" w:rsidP="00CB0DEB">
            <w:pPr>
              <w:pStyle w:val="TableBodyTextright"/>
              <w:rPr>
                <w:sz w:val="18"/>
                <w:szCs w:val="18"/>
              </w:rPr>
            </w:pPr>
            <w:r w:rsidRPr="001A01D2">
              <w:rPr>
                <w:sz w:val="18"/>
                <w:szCs w:val="18"/>
              </w:rPr>
              <w:t>0</w:t>
            </w:r>
          </w:p>
        </w:tc>
      </w:tr>
      <w:tr w:rsidR="00FE18D3" w:rsidRPr="001A01D2" w14:paraId="078C858D" w14:textId="77777777" w:rsidTr="00A6790A">
        <w:trPr>
          <w:cnfStyle w:val="000000010000" w:firstRow="0" w:lastRow="0" w:firstColumn="0" w:lastColumn="0" w:oddVBand="0" w:evenVBand="0" w:oddHBand="0" w:evenHBand="1" w:firstRowFirstColumn="0" w:firstRowLastColumn="0" w:lastRowFirstColumn="0" w:lastRowLastColumn="0"/>
          <w:trHeight w:val="574"/>
        </w:trPr>
        <w:tc>
          <w:tcPr>
            <w:tcW w:w="2104" w:type="dxa"/>
          </w:tcPr>
          <w:p w14:paraId="42CA10B0" w14:textId="77777777" w:rsidR="00FE18D3" w:rsidRPr="001A01D2" w:rsidRDefault="00FE18D3" w:rsidP="00CB0DEB">
            <w:pPr>
              <w:pStyle w:val="TableBodyText"/>
              <w:rPr>
                <w:sz w:val="18"/>
                <w:szCs w:val="18"/>
              </w:rPr>
            </w:pPr>
            <w:r w:rsidRPr="001A01D2">
              <w:rPr>
                <w:sz w:val="18"/>
                <w:szCs w:val="18"/>
              </w:rPr>
              <w:t>Wholesale Trade</w:t>
            </w:r>
          </w:p>
        </w:tc>
        <w:tc>
          <w:tcPr>
            <w:tcW w:w="1153" w:type="dxa"/>
          </w:tcPr>
          <w:p w14:paraId="5CEF15D7" w14:textId="77777777" w:rsidR="00FE18D3" w:rsidRPr="001A01D2" w:rsidRDefault="00FE18D3" w:rsidP="00CB0DEB">
            <w:pPr>
              <w:pStyle w:val="TableBodyTextright"/>
              <w:rPr>
                <w:sz w:val="18"/>
                <w:szCs w:val="18"/>
              </w:rPr>
            </w:pPr>
            <w:r w:rsidRPr="001A01D2">
              <w:rPr>
                <w:sz w:val="18"/>
                <w:szCs w:val="18"/>
              </w:rPr>
              <w:t>33.0</w:t>
            </w:r>
          </w:p>
        </w:tc>
        <w:tc>
          <w:tcPr>
            <w:tcW w:w="1154" w:type="dxa"/>
            <w:tcBorders>
              <w:right w:val="single" w:sz="4" w:space="0" w:color="FFFFFF" w:themeColor="background1"/>
            </w:tcBorders>
          </w:tcPr>
          <w:p w14:paraId="5B25B424" w14:textId="542C19D0" w:rsidR="00FE18D3" w:rsidRPr="001A01D2" w:rsidRDefault="006C3F05" w:rsidP="00CB0DEB">
            <w:pPr>
              <w:pStyle w:val="TableBodyTextright"/>
              <w:rPr>
                <w:sz w:val="18"/>
                <w:szCs w:val="18"/>
              </w:rPr>
            </w:pPr>
            <w:r w:rsidRPr="001A01D2">
              <w:rPr>
                <w:sz w:val="18"/>
                <w:szCs w:val="18"/>
              </w:rPr>
              <w:t>−</w:t>
            </w:r>
            <w:r w:rsidR="00FE18D3" w:rsidRPr="001A01D2">
              <w:rPr>
                <w:sz w:val="18"/>
                <w:szCs w:val="18"/>
              </w:rPr>
              <w:t>9.0</w:t>
            </w:r>
          </w:p>
        </w:tc>
        <w:tc>
          <w:tcPr>
            <w:tcW w:w="1154" w:type="dxa"/>
            <w:tcBorders>
              <w:left w:val="single" w:sz="4" w:space="0" w:color="FFFFFF" w:themeColor="background1"/>
              <w:bottom w:val="nil"/>
            </w:tcBorders>
          </w:tcPr>
          <w:p w14:paraId="507CBD84" w14:textId="77777777" w:rsidR="00FE18D3" w:rsidRPr="001A01D2" w:rsidRDefault="00FE18D3" w:rsidP="00CB0DEB">
            <w:pPr>
              <w:pStyle w:val="TableBodyTextright"/>
              <w:rPr>
                <w:sz w:val="18"/>
                <w:szCs w:val="18"/>
              </w:rPr>
            </w:pPr>
            <w:r w:rsidRPr="001A01D2">
              <w:rPr>
                <w:sz w:val="18"/>
                <w:szCs w:val="18"/>
              </w:rPr>
              <w:t>54.0*</w:t>
            </w:r>
          </w:p>
        </w:tc>
        <w:tc>
          <w:tcPr>
            <w:tcW w:w="1153" w:type="dxa"/>
            <w:tcBorders>
              <w:bottom w:val="nil"/>
              <w:right w:val="single" w:sz="4" w:space="0" w:color="FFFFFF" w:themeColor="background1"/>
            </w:tcBorders>
          </w:tcPr>
          <w:p w14:paraId="5C7F5521" w14:textId="77777777" w:rsidR="00FE18D3" w:rsidRPr="001A01D2" w:rsidRDefault="00FE18D3" w:rsidP="00CB0DEB">
            <w:pPr>
              <w:pStyle w:val="TableBodyTextright"/>
              <w:rPr>
                <w:sz w:val="18"/>
                <w:szCs w:val="18"/>
              </w:rPr>
            </w:pPr>
            <w:r w:rsidRPr="001A01D2">
              <w:rPr>
                <w:sz w:val="18"/>
                <w:szCs w:val="18"/>
              </w:rPr>
              <w:t>2.0*</w:t>
            </w:r>
          </w:p>
        </w:tc>
        <w:tc>
          <w:tcPr>
            <w:tcW w:w="1154" w:type="dxa"/>
            <w:tcBorders>
              <w:left w:val="single" w:sz="4" w:space="0" w:color="FFFFFF" w:themeColor="background1"/>
              <w:bottom w:val="nil"/>
            </w:tcBorders>
          </w:tcPr>
          <w:p w14:paraId="1BF1CD93" w14:textId="77777777" w:rsidR="00FE18D3" w:rsidRPr="001A01D2" w:rsidRDefault="00FE18D3" w:rsidP="00CB0DEB">
            <w:pPr>
              <w:pStyle w:val="TableBodyTextright"/>
              <w:rPr>
                <w:sz w:val="18"/>
                <w:szCs w:val="18"/>
              </w:rPr>
            </w:pPr>
            <w:r w:rsidRPr="001A01D2">
              <w:rPr>
                <w:sz w:val="18"/>
                <w:szCs w:val="18"/>
              </w:rPr>
              <w:t>15.0</w:t>
            </w:r>
          </w:p>
        </w:tc>
        <w:tc>
          <w:tcPr>
            <w:tcW w:w="1154" w:type="dxa"/>
            <w:tcBorders>
              <w:bottom w:val="nil"/>
            </w:tcBorders>
          </w:tcPr>
          <w:p w14:paraId="26683A2D" w14:textId="4D856341" w:rsidR="00FE18D3" w:rsidRPr="001A01D2" w:rsidRDefault="006C3F05" w:rsidP="00CB0DEB">
            <w:pPr>
              <w:pStyle w:val="TableBodyTextright"/>
              <w:rPr>
                <w:sz w:val="18"/>
                <w:szCs w:val="18"/>
              </w:rPr>
            </w:pPr>
            <w:r w:rsidRPr="001A01D2">
              <w:rPr>
                <w:sz w:val="18"/>
                <w:szCs w:val="18"/>
              </w:rPr>
              <w:t>−</w:t>
            </w:r>
            <w:r w:rsidR="00FE18D3" w:rsidRPr="001A01D2">
              <w:rPr>
                <w:sz w:val="18"/>
                <w:szCs w:val="18"/>
              </w:rPr>
              <w:t>3.0</w:t>
            </w:r>
          </w:p>
        </w:tc>
      </w:tr>
      <w:tr w:rsidR="00FE18D3" w:rsidRPr="001A01D2" w14:paraId="4E575979" w14:textId="77777777" w:rsidTr="00A6790A">
        <w:trPr>
          <w:trHeight w:val="574"/>
        </w:trPr>
        <w:tc>
          <w:tcPr>
            <w:tcW w:w="2104" w:type="dxa"/>
          </w:tcPr>
          <w:p w14:paraId="34EC245A" w14:textId="77777777" w:rsidR="00FE18D3" w:rsidRPr="001A01D2" w:rsidRDefault="00FE18D3" w:rsidP="00CB0DEB">
            <w:pPr>
              <w:pStyle w:val="TableBodyText"/>
              <w:rPr>
                <w:sz w:val="18"/>
                <w:szCs w:val="18"/>
              </w:rPr>
            </w:pPr>
            <w:r w:rsidRPr="001A01D2">
              <w:rPr>
                <w:sz w:val="18"/>
                <w:szCs w:val="18"/>
              </w:rPr>
              <w:t>Retail Trade</w:t>
            </w:r>
          </w:p>
        </w:tc>
        <w:tc>
          <w:tcPr>
            <w:tcW w:w="1153" w:type="dxa"/>
          </w:tcPr>
          <w:p w14:paraId="623B5806" w14:textId="77777777" w:rsidR="00FE18D3" w:rsidRPr="001A01D2" w:rsidRDefault="00FE18D3" w:rsidP="00CB0DEB">
            <w:pPr>
              <w:pStyle w:val="TableBodyTextright"/>
              <w:rPr>
                <w:sz w:val="18"/>
                <w:szCs w:val="18"/>
              </w:rPr>
            </w:pPr>
            <w:r w:rsidRPr="001A01D2">
              <w:rPr>
                <w:sz w:val="18"/>
                <w:szCs w:val="18"/>
              </w:rPr>
              <w:t>41.0</w:t>
            </w:r>
          </w:p>
        </w:tc>
        <w:tc>
          <w:tcPr>
            <w:tcW w:w="1154" w:type="dxa"/>
            <w:tcBorders>
              <w:right w:val="single" w:sz="4" w:space="0" w:color="FFFFFF" w:themeColor="background1"/>
            </w:tcBorders>
          </w:tcPr>
          <w:p w14:paraId="19ACDB63" w14:textId="03F30E45" w:rsidR="00FE18D3" w:rsidRPr="001A01D2" w:rsidRDefault="006C3F05" w:rsidP="00CB0DEB">
            <w:pPr>
              <w:pStyle w:val="TableBodyTextright"/>
              <w:rPr>
                <w:sz w:val="18"/>
                <w:szCs w:val="18"/>
              </w:rPr>
            </w:pPr>
            <w:r w:rsidRPr="001A01D2">
              <w:rPr>
                <w:sz w:val="18"/>
                <w:szCs w:val="18"/>
              </w:rPr>
              <w:t>−</w:t>
            </w:r>
            <w:r w:rsidR="00FE18D3" w:rsidRPr="001A01D2">
              <w:rPr>
                <w:sz w:val="18"/>
                <w:szCs w:val="18"/>
              </w:rPr>
              <w:t>3.0</w:t>
            </w:r>
          </w:p>
        </w:tc>
        <w:tc>
          <w:tcPr>
            <w:tcW w:w="1154" w:type="dxa"/>
            <w:tcBorders>
              <w:left w:val="single" w:sz="4" w:space="0" w:color="FFFFFF" w:themeColor="background1"/>
              <w:bottom w:val="nil"/>
            </w:tcBorders>
          </w:tcPr>
          <w:p w14:paraId="17692C73" w14:textId="77777777" w:rsidR="00FE18D3" w:rsidRPr="001A01D2" w:rsidRDefault="00FE18D3" w:rsidP="00CB0DEB">
            <w:pPr>
              <w:pStyle w:val="TableBodyTextright"/>
              <w:rPr>
                <w:sz w:val="18"/>
                <w:szCs w:val="18"/>
              </w:rPr>
            </w:pPr>
            <w:r w:rsidRPr="001A01D2">
              <w:rPr>
                <w:sz w:val="18"/>
                <w:szCs w:val="18"/>
              </w:rPr>
              <w:t>41.0</w:t>
            </w:r>
          </w:p>
        </w:tc>
        <w:tc>
          <w:tcPr>
            <w:tcW w:w="1153" w:type="dxa"/>
            <w:tcBorders>
              <w:bottom w:val="nil"/>
              <w:right w:val="single" w:sz="4" w:space="0" w:color="FFFFFF" w:themeColor="background1"/>
            </w:tcBorders>
          </w:tcPr>
          <w:p w14:paraId="38DAF632" w14:textId="5BC65F0E" w:rsidR="00FE18D3" w:rsidRPr="001A01D2" w:rsidRDefault="006C3F05" w:rsidP="00CB0DEB">
            <w:pPr>
              <w:pStyle w:val="TableBodyTextright"/>
              <w:rPr>
                <w:sz w:val="18"/>
                <w:szCs w:val="18"/>
              </w:rPr>
            </w:pPr>
            <w:r w:rsidRPr="001A01D2">
              <w:rPr>
                <w:sz w:val="18"/>
                <w:szCs w:val="18"/>
              </w:rPr>
              <w:t>−</w:t>
            </w:r>
            <w:r w:rsidR="00FE18D3" w:rsidRPr="001A01D2">
              <w:rPr>
                <w:sz w:val="18"/>
                <w:szCs w:val="18"/>
              </w:rPr>
              <w:t>6.0</w:t>
            </w:r>
          </w:p>
        </w:tc>
        <w:tc>
          <w:tcPr>
            <w:tcW w:w="1154" w:type="dxa"/>
            <w:tcBorders>
              <w:left w:val="single" w:sz="4" w:space="0" w:color="FFFFFF" w:themeColor="background1"/>
              <w:bottom w:val="nil"/>
            </w:tcBorders>
          </w:tcPr>
          <w:p w14:paraId="43239B67" w14:textId="77777777" w:rsidR="00FE18D3" w:rsidRPr="001A01D2" w:rsidRDefault="00FE18D3" w:rsidP="00CB0DEB">
            <w:pPr>
              <w:pStyle w:val="TableBodyTextright"/>
              <w:rPr>
                <w:sz w:val="18"/>
                <w:szCs w:val="18"/>
              </w:rPr>
            </w:pPr>
            <w:r w:rsidRPr="001A01D2">
              <w:rPr>
                <w:sz w:val="18"/>
                <w:szCs w:val="18"/>
              </w:rPr>
              <w:t>17.0</w:t>
            </w:r>
          </w:p>
        </w:tc>
        <w:tc>
          <w:tcPr>
            <w:tcW w:w="1154" w:type="dxa"/>
            <w:tcBorders>
              <w:bottom w:val="nil"/>
            </w:tcBorders>
          </w:tcPr>
          <w:p w14:paraId="480DA3F2" w14:textId="77777777" w:rsidR="00FE18D3" w:rsidRPr="001A01D2" w:rsidRDefault="00FE18D3" w:rsidP="00CB0DEB">
            <w:pPr>
              <w:pStyle w:val="TableBodyTextright"/>
              <w:rPr>
                <w:sz w:val="18"/>
                <w:szCs w:val="18"/>
              </w:rPr>
            </w:pPr>
            <w:r w:rsidRPr="001A01D2">
              <w:rPr>
                <w:sz w:val="18"/>
                <w:szCs w:val="18"/>
              </w:rPr>
              <w:t>0</w:t>
            </w:r>
          </w:p>
        </w:tc>
      </w:tr>
      <w:tr w:rsidR="00FE18D3" w:rsidRPr="001A01D2" w14:paraId="1AA00217" w14:textId="77777777" w:rsidTr="00A6790A">
        <w:trPr>
          <w:cnfStyle w:val="000000010000" w:firstRow="0" w:lastRow="0" w:firstColumn="0" w:lastColumn="0" w:oddVBand="0" w:evenVBand="0" w:oddHBand="0" w:evenHBand="1" w:firstRowFirstColumn="0" w:firstRowLastColumn="0" w:lastRowFirstColumn="0" w:lastRowLastColumn="0"/>
          <w:trHeight w:val="574"/>
        </w:trPr>
        <w:tc>
          <w:tcPr>
            <w:tcW w:w="2104" w:type="dxa"/>
          </w:tcPr>
          <w:p w14:paraId="081059A4" w14:textId="160BE665" w:rsidR="00FE18D3" w:rsidRPr="001A01D2" w:rsidRDefault="00FE18D3" w:rsidP="00CB0DEB">
            <w:pPr>
              <w:pStyle w:val="TableBodyText"/>
              <w:rPr>
                <w:sz w:val="18"/>
                <w:szCs w:val="18"/>
              </w:rPr>
            </w:pPr>
            <w:r w:rsidRPr="001A01D2">
              <w:rPr>
                <w:sz w:val="18"/>
                <w:szCs w:val="18"/>
              </w:rPr>
              <w:t xml:space="preserve">Accommodation and </w:t>
            </w:r>
            <w:r w:rsidR="00FE3DF6" w:rsidRPr="001A01D2">
              <w:rPr>
                <w:sz w:val="18"/>
                <w:szCs w:val="18"/>
              </w:rPr>
              <w:br/>
            </w:r>
            <w:r w:rsidRPr="001A01D2">
              <w:rPr>
                <w:sz w:val="18"/>
                <w:szCs w:val="18"/>
              </w:rPr>
              <w:t>Food Services</w:t>
            </w:r>
          </w:p>
        </w:tc>
        <w:tc>
          <w:tcPr>
            <w:tcW w:w="1153" w:type="dxa"/>
          </w:tcPr>
          <w:p w14:paraId="764BA485" w14:textId="77777777" w:rsidR="00FE18D3" w:rsidRPr="001A01D2" w:rsidRDefault="00FE18D3" w:rsidP="00CB0DEB">
            <w:pPr>
              <w:pStyle w:val="TableBodyTextright"/>
              <w:rPr>
                <w:sz w:val="18"/>
                <w:szCs w:val="18"/>
              </w:rPr>
            </w:pPr>
            <w:r w:rsidRPr="001A01D2">
              <w:rPr>
                <w:sz w:val="18"/>
                <w:szCs w:val="18"/>
              </w:rPr>
              <w:t>63.0</w:t>
            </w:r>
          </w:p>
        </w:tc>
        <w:tc>
          <w:tcPr>
            <w:tcW w:w="1154" w:type="dxa"/>
            <w:tcBorders>
              <w:right w:val="single" w:sz="4" w:space="0" w:color="FFFFFF" w:themeColor="background1"/>
            </w:tcBorders>
          </w:tcPr>
          <w:p w14:paraId="4EF36825" w14:textId="0BE3B178" w:rsidR="00FE18D3" w:rsidRPr="001A01D2" w:rsidRDefault="006C3F05" w:rsidP="00CB0DEB">
            <w:pPr>
              <w:pStyle w:val="TableBodyTextright"/>
              <w:rPr>
                <w:sz w:val="18"/>
                <w:szCs w:val="18"/>
              </w:rPr>
            </w:pPr>
            <w:r w:rsidRPr="001A01D2">
              <w:rPr>
                <w:sz w:val="18"/>
                <w:szCs w:val="18"/>
              </w:rPr>
              <w:t>−</w:t>
            </w:r>
            <w:r w:rsidR="00FE18D3" w:rsidRPr="001A01D2">
              <w:rPr>
                <w:sz w:val="18"/>
                <w:szCs w:val="18"/>
              </w:rPr>
              <w:t>7.0</w:t>
            </w:r>
          </w:p>
        </w:tc>
        <w:tc>
          <w:tcPr>
            <w:tcW w:w="1154" w:type="dxa"/>
            <w:tcBorders>
              <w:left w:val="single" w:sz="4" w:space="0" w:color="FFFFFF" w:themeColor="background1"/>
              <w:bottom w:val="nil"/>
            </w:tcBorders>
          </w:tcPr>
          <w:p w14:paraId="6AEF2795" w14:textId="77777777" w:rsidR="00FE18D3" w:rsidRPr="001A01D2" w:rsidRDefault="00FE18D3" w:rsidP="00CB0DEB">
            <w:pPr>
              <w:pStyle w:val="TableBodyTextright"/>
              <w:rPr>
                <w:sz w:val="18"/>
                <w:szCs w:val="18"/>
              </w:rPr>
            </w:pPr>
            <w:r w:rsidRPr="001A01D2">
              <w:rPr>
                <w:sz w:val="18"/>
                <w:szCs w:val="18"/>
              </w:rPr>
              <w:t>27.0</w:t>
            </w:r>
          </w:p>
        </w:tc>
        <w:tc>
          <w:tcPr>
            <w:tcW w:w="1153" w:type="dxa"/>
            <w:tcBorders>
              <w:bottom w:val="nil"/>
              <w:right w:val="single" w:sz="4" w:space="0" w:color="FFFFFF" w:themeColor="background1"/>
            </w:tcBorders>
          </w:tcPr>
          <w:p w14:paraId="73CE7EA7" w14:textId="04FD898C" w:rsidR="00FE18D3" w:rsidRPr="001A01D2" w:rsidRDefault="006C3F05" w:rsidP="00CB0DEB">
            <w:pPr>
              <w:pStyle w:val="TableBodyTextright"/>
              <w:rPr>
                <w:sz w:val="18"/>
                <w:szCs w:val="18"/>
              </w:rPr>
            </w:pPr>
            <w:r w:rsidRPr="001A01D2">
              <w:rPr>
                <w:sz w:val="18"/>
                <w:szCs w:val="18"/>
              </w:rPr>
              <w:t>−</w:t>
            </w:r>
            <w:r w:rsidR="00FE18D3" w:rsidRPr="001A01D2">
              <w:rPr>
                <w:sz w:val="18"/>
                <w:szCs w:val="18"/>
              </w:rPr>
              <w:t>14.0</w:t>
            </w:r>
          </w:p>
        </w:tc>
        <w:tc>
          <w:tcPr>
            <w:tcW w:w="1154" w:type="dxa"/>
            <w:tcBorders>
              <w:left w:val="single" w:sz="4" w:space="0" w:color="FFFFFF" w:themeColor="background1"/>
              <w:bottom w:val="nil"/>
            </w:tcBorders>
          </w:tcPr>
          <w:p w14:paraId="53DDD2DD" w14:textId="77777777" w:rsidR="00FE18D3" w:rsidRPr="001A01D2" w:rsidRDefault="00FE18D3" w:rsidP="00CB0DEB">
            <w:pPr>
              <w:pStyle w:val="TableBodyTextright"/>
              <w:rPr>
                <w:sz w:val="18"/>
                <w:szCs w:val="18"/>
              </w:rPr>
            </w:pPr>
            <w:r w:rsidRPr="001A01D2">
              <w:rPr>
                <w:sz w:val="18"/>
                <w:szCs w:val="18"/>
              </w:rPr>
              <w:t>32.0</w:t>
            </w:r>
          </w:p>
        </w:tc>
        <w:tc>
          <w:tcPr>
            <w:tcW w:w="1154" w:type="dxa"/>
            <w:tcBorders>
              <w:bottom w:val="nil"/>
            </w:tcBorders>
          </w:tcPr>
          <w:p w14:paraId="7FEF4E69" w14:textId="77777777" w:rsidR="00FE18D3" w:rsidRPr="001A01D2" w:rsidRDefault="00FE18D3" w:rsidP="00CB0DEB">
            <w:pPr>
              <w:pStyle w:val="TableBodyTextright"/>
              <w:rPr>
                <w:sz w:val="18"/>
                <w:szCs w:val="18"/>
              </w:rPr>
            </w:pPr>
            <w:r w:rsidRPr="001A01D2">
              <w:rPr>
                <w:sz w:val="18"/>
                <w:szCs w:val="18"/>
              </w:rPr>
              <w:t>0</w:t>
            </w:r>
          </w:p>
        </w:tc>
      </w:tr>
      <w:tr w:rsidR="00FE18D3" w:rsidRPr="001A01D2" w14:paraId="41C96001" w14:textId="77777777" w:rsidTr="00A6790A">
        <w:trPr>
          <w:trHeight w:val="574"/>
        </w:trPr>
        <w:tc>
          <w:tcPr>
            <w:tcW w:w="2104" w:type="dxa"/>
          </w:tcPr>
          <w:p w14:paraId="077CEE39" w14:textId="6906CBDD" w:rsidR="00FE18D3" w:rsidRPr="001A01D2" w:rsidRDefault="00FE18D3" w:rsidP="00CB0DEB">
            <w:pPr>
              <w:pStyle w:val="TableBodyText"/>
              <w:rPr>
                <w:sz w:val="18"/>
                <w:szCs w:val="18"/>
              </w:rPr>
            </w:pPr>
            <w:r w:rsidRPr="001A01D2">
              <w:rPr>
                <w:sz w:val="18"/>
                <w:szCs w:val="18"/>
              </w:rPr>
              <w:t xml:space="preserve">Professional, Scientific </w:t>
            </w:r>
            <w:r w:rsidR="00FE3DF6" w:rsidRPr="001A01D2">
              <w:rPr>
                <w:sz w:val="18"/>
                <w:szCs w:val="18"/>
              </w:rPr>
              <w:br/>
            </w:r>
            <w:r w:rsidRPr="001A01D2">
              <w:rPr>
                <w:sz w:val="18"/>
                <w:szCs w:val="18"/>
              </w:rPr>
              <w:t>and Technical Services</w:t>
            </w:r>
          </w:p>
        </w:tc>
        <w:tc>
          <w:tcPr>
            <w:tcW w:w="1153" w:type="dxa"/>
          </w:tcPr>
          <w:p w14:paraId="5ECBA738" w14:textId="77777777" w:rsidR="00FE18D3" w:rsidRPr="001A01D2" w:rsidRDefault="00FE18D3" w:rsidP="00CB0DEB">
            <w:pPr>
              <w:pStyle w:val="TableBodyTextright"/>
              <w:rPr>
                <w:sz w:val="18"/>
                <w:szCs w:val="18"/>
              </w:rPr>
            </w:pPr>
            <w:r w:rsidRPr="001A01D2">
              <w:rPr>
                <w:sz w:val="18"/>
                <w:szCs w:val="18"/>
              </w:rPr>
              <w:t>31.0</w:t>
            </w:r>
          </w:p>
        </w:tc>
        <w:tc>
          <w:tcPr>
            <w:tcW w:w="1154" w:type="dxa"/>
            <w:tcBorders>
              <w:right w:val="single" w:sz="4" w:space="0" w:color="FFFFFF" w:themeColor="background1"/>
            </w:tcBorders>
          </w:tcPr>
          <w:p w14:paraId="45DAF71F" w14:textId="459EE494" w:rsidR="00FE18D3" w:rsidRPr="001A01D2" w:rsidRDefault="006C3F05" w:rsidP="00CB0DEB">
            <w:pPr>
              <w:pStyle w:val="TableBodyTextright"/>
              <w:rPr>
                <w:sz w:val="18"/>
                <w:szCs w:val="18"/>
              </w:rPr>
            </w:pPr>
            <w:r w:rsidRPr="001A01D2">
              <w:rPr>
                <w:sz w:val="18"/>
                <w:szCs w:val="18"/>
              </w:rPr>
              <w:t>−</w:t>
            </w:r>
            <w:r w:rsidR="00FE18D3" w:rsidRPr="001A01D2">
              <w:rPr>
                <w:sz w:val="18"/>
                <w:szCs w:val="18"/>
              </w:rPr>
              <w:t>4.0</w:t>
            </w:r>
          </w:p>
        </w:tc>
        <w:tc>
          <w:tcPr>
            <w:tcW w:w="1154" w:type="dxa"/>
            <w:tcBorders>
              <w:left w:val="single" w:sz="4" w:space="0" w:color="FFFFFF" w:themeColor="background1"/>
              <w:bottom w:val="nil"/>
            </w:tcBorders>
          </w:tcPr>
          <w:p w14:paraId="7C4729B0" w14:textId="77777777" w:rsidR="00FE18D3" w:rsidRPr="001A01D2" w:rsidRDefault="00FE18D3" w:rsidP="00CB0DEB">
            <w:pPr>
              <w:pStyle w:val="TableBodyTextright"/>
              <w:rPr>
                <w:sz w:val="18"/>
                <w:szCs w:val="18"/>
              </w:rPr>
            </w:pPr>
            <w:r w:rsidRPr="001A01D2">
              <w:rPr>
                <w:sz w:val="18"/>
                <w:szCs w:val="18"/>
              </w:rPr>
              <w:t>52.0*</w:t>
            </w:r>
          </w:p>
        </w:tc>
        <w:tc>
          <w:tcPr>
            <w:tcW w:w="1153" w:type="dxa"/>
            <w:tcBorders>
              <w:bottom w:val="nil"/>
              <w:right w:val="single" w:sz="4" w:space="0" w:color="FFFFFF" w:themeColor="background1"/>
            </w:tcBorders>
          </w:tcPr>
          <w:p w14:paraId="51174570" w14:textId="3F0DAEB2" w:rsidR="00FE18D3" w:rsidRPr="001A01D2" w:rsidRDefault="006C3F05" w:rsidP="00CB0DEB">
            <w:pPr>
              <w:pStyle w:val="TableBodyTextright"/>
              <w:rPr>
                <w:sz w:val="18"/>
                <w:szCs w:val="18"/>
              </w:rPr>
            </w:pPr>
            <w:r w:rsidRPr="001A01D2">
              <w:rPr>
                <w:sz w:val="18"/>
                <w:szCs w:val="18"/>
              </w:rPr>
              <w:t>−</w:t>
            </w:r>
            <w:r w:rsidR="00FE18D3" w:rsidRPr="001A01D2">
              <w:rPr>
                <w:sz w:val="18"/>
                <w:szCs w:val="18"/>
              </w:rPr>
              <w:t>17.0*</w:t>
            </w:r>
          </w:p>
        </w:tc>
        <w:tc>
          <w:tcPr>
            <w:tcW w:w="1154" w:type="dxa"/>
            <w:tcBorders>
              <w:left w:val="single" w:sz="4" w:space="0" w:color="FFFFFF" w:themeColor="background1"/>
              <w:bottom w:val="nil"/>
            </w:tcBorders>
          </w:tcPr>
          <w:p w14:paraId="04CFC750" w14:textId="77777777" w:rsidR="00FE18D3" w:rsidRPr="001A01D2" w:rsidRDefault="00FE18D3" w:rsidP="00CB0DEB">
            <w:pPr>
              <w:pStyle w:val="TableBodyTextright"/>
              <w:rPr>
                <w:sz w:val="18"/>
                <w:szCs w:val="18"/>
              </w:rPr>
            </w:pPr>
            <w:r w:rsidRPr="001A01D2">
              <w:rPr>
                <w:sz w:val="18"/>
                <w:szCs w:val="18"/>
              </w:rPr>
              <w:t>18.0</w:t>
            </w:r>
          </w:p>
        </w:tc>
        <w:tc>
          <w:tcPr>
            <w:tcW w:w="1154" w:type="dxa"/>
            <w:tcBorders>
              <w:bottom w:val="nil"/>
            </w:tcBorders>
          </w:tcPr>
          <w:p w14:paraId="321DF193" w14:textId="77777777" w:rsidR="00FE18D3" w:rsidRPr="001A01D2" w:rsidRDefault="00FE18D3" w:rsidP="00CB0DEB">
            <w:pPr>
              <w:pStyle w:val="TableBodyTextright"/>
              <w:rPr>
                <w:sz w:val="18"/>
                <w:szCs w:val="18"/>
              </w:rPr>
            </w:pPr>
            <w:r w:rsidRPr="001A01D2">
              <w:rPr>
                <w:sz w:val="18"/>
                <w:szCs w:val="18"/>
              </w:rPr>
              <w:t>2.0</w:t>
            </w:r>
          </w:p>
        </w:tc>
      </w:tr>
      <w:tr w:rsidR="00FE18D3" w:rsidRPr="001A01D2" w14:paraId="0358DBD5" w14:textId="77777777" w:rsidTr="00A6790A">
        <w:trPr>
          <w:cnfStyle w:val="000000010000" w:firstRow="0" w:lastRow="0" w:firstColumn="0" w:lastColumn="0" w:oddVBand="0" w:evenVBand="0" w:oddHBand="0" w:evenHBand="1" w:firstRowFirstColumn="0" w:firstRowLastColumn="0" w:lastRowFirstColumn="0" w:lastRowLastColumn="0"/>
          <w:trHeight w:val="574"/>
        </w:trPr>
        <w:tc>
          <w:tcPr>
            <w:tcW w:w="2104" w:type="dxa"/>
          </w:tcPr>
          <w:p w14:paraId="6574EAC4" w14:textId="77777777" w:rsidR="00FE18D3" w:rsidRPr="001A01D2" w:rsidRDefault="00FE18D3" w:rsidP="00CB0DEB">
            <w:pPr>
              <w:pStyle w:val="TableBodyText"/>
              <w:rPr>
                <w:sz w:val="18"/>
                <w:szCs w:val="18"/>
              </w:rPr>
            </w:pPr>
            <w:r w:rsidRPr="001A01D2">
              <w:rPr>
                <w:sz w:val="18"/>
                <w:szCs w:val="18"/>
              </w:rPr>
              <w:t>Health Care and Social Assistance</w:t>
            </w:r>
          </w:p>
        </w:tc>
        <w:tc>
          <w:tcPr>
            <w:tcW w:w="1153" w:type="dxa"/>
          </w:tcPr>
          <w:p w14:paraId="515F4A54" w14:textId="77777777" w:rsidR="00FE18D3" w:rsidRPr="001A01D2" w:rsidRDefault="00FE18D3" w:rsidP="00CB0DEB">
            <w:pPr>
              <w:pStyle w:val="TableBodyTextright"/>
              <w:rPr>
                <w:sz w:val="18"/>
                <w:szCs w:val="18"/>
              </w:rPr>
            </w:pPr>
            <w:r w:rsidRPr="001A01D2">
              <w:rPr>
                <w:sz w:val="18"/>
                <w:szCs w:val="18"/>
              </w:rPr>
              <w:t>51.0</w:t>
            </w:r>
          </w:p>
        </w:tc>
        <w:tc>
          <w:tcPr>
            <w:tcW w:w="1154" w:type="dxa"/>
            <w:tcBorders>
              <w:right w:val="single" w:sz="4" w:space="0" w:color="FFFFFF" w:themeColor="background1"/>
            </w:tcBorders>
          </w:tcPr>
          <w:p w14:paraId="4FB34C49" w14:textId="425740C3" w:rsidR="00FE18D3" w:rsidRPr="001A01D2" w:rsidRDefault="006C3F05" w:rsidP="00CB0DEB">
            <w:pPr>
              <w:pStyle w:val="TableBodyTextright"/>
              <w:rPr>
                <w:sz w:val="18"/>
                <w:szCs w:val="18"/>
              </w:rPr>
            </w:pPr>
            <w:r w:rsidRPr="001A01D2">
              <w:rPr>
                <w:sz w:val="18"/>
                <w:szCs w:val="18"/>
              </w:rPr>
              <w:t>−</w:t>
            </w:r>
            <w:r w:rsidR="00FE18D3" w:rsidRPr="001A01D2">
              <w:rPr>
                <w:sz w:val="18"/>
                <w:szCs w:val="18"/>
              </w:rPr>
              <w:t>9.0</w:t>
            </w:r>
          </w:p>
        </w:tc>
        <w:tc>
          <w:tcPr>
            <w:tcW w:w="1154" w:type="dxa"/>
            <w:tcBorders>
              <w:left w:val="single" w:sz="4" w:space="0" w:color="FFFFFF" w:themeColor="background1"/>
              <w:bottom w:val="single" w:sz="4" w:space="0" w:color="2F005F"/>
            </w:tcBorders>
          </w:tcPr>
          <w:p w14:paraId="2C826935" w14:textId="77777777" w:rsidR="00FE18D3" w:rsidRPr="001A01D2" w:rsidRDefault="00FE18D3" w:rsidP="00CB0DEB">
            <w:pPr>
              <w:pStyle w:val="TableBodyTextright"/>
              <w:rPr>
                <w:sz w:val="18"/>
                <w:szCs w:val="18"/>
              </w:rPr>
            </w:pPr>
            <w:r w:rsidRPr="001A01D2">
              <w:rPr>
                <w:sz w:val="18"/>
                <w:szCs w:val="18"/>
              </w:rPr>
              <w:t>47.0</w:t>
            </w:r>
          </w:p>
        </w:tc>
        <w:tc>
          <w:tcPr>
            <w:tcW w:w="1153" w:type="dxa"/>
            <w:tcBorders>
              <w:bottom w:val="single" w:sz="4" w:space="0" w:color="2F005F"/>
              <w:right w:val="single" w:sz="4" w:space="0" w:color="FFFFFF" w:themeColor="background1"/>
            </w:tcBorders>
          </w:tcPr>
          <w:p w14:paraId="220AE42E" w14:textId="77BD3BD0" w:rsidR="00FE18D3" w:rsidRPr="001A01D2" w:rsidRDefault="006C3F05" w:rsidP="00CB0DEB">
            <w:pPr>
              <w:pStyle w:val="TableBodyTextright"/>
              <w:rPr>
                <w:sz w:val="18"/>
                <w:szCs w:val="18"/>
              </w:rPr>
            </w:pPr>
            <w:r w:rsidRPr="001A01D2">
              <w:rPr>
                <w:sz w:val="18"/>
                <w:szCs w:val="18"/>
              </w:rPr>
              <w:t>−</w:t>
            </w:r>
            <w:r w:rsidR="00FE18D3" w:rsidRPr="001A01D2">
              <w:rPr>
                <w:sz w:val="18"/>
                <w:szCs w:val="18"/>
              </w:rPr>
              <w:t>9.0</w:t>
            </w:r>
          </w:p>
        </w:tc>
        <w:tc>
          <w:tcPr>
            <w:tcW w:w="1154" w:type="dxa"/>
            <w:tcBorders>
              <w:left w:val="single" w:sz="4" w:space="0" w:color="FFFFFF" w:themeColor="background1"/>
              <w:bottom w:val="single" w:sz="4" w:space="0" w:color="2F005F"/>
            </w:tcBorders>
          </w:tcPr>
          <w:p w14:paraId="16E08EF5" w14:textId="77777777" w:rsidR="00FE18D3" w:rsidRPr="001A01D2" w:rsidRDefault="00FE18D3" w:rsidP="00CB0DEB">
            <w:pPr>
              <w:pStyle w:val="TableBodyTextright"/>
              <w:rPr>
                <w:sz w:val="18"/>
                <w:szCs w:val="18"/>
              </w:rPr>
            </w:pPr>
            <w:r w:rsidRPr="001A01D2">
              <w:rPr>
                <w:sz w:val="18"/>
                <w:szCs w:val="18"/>
              </w:rPr>
              <w:t>16.0</w:t>
            </w:r>
          </w:p>
        </w:tc>
        <w:tc>
          <w:tcPr>
            <w:tcW w:w="1154" w:type="dxa"/>
            <w:tcBorders>
              <w:bottom w:val="single" w:sz="4" w:space="0" w:color="2F005F"/>
            </w:tcBorders>
          </w:tcPr>
          <w:p w14:paraId="3FD9031A" w14:textId="442D74CC" w:rsidR="00FE18D3" w:rsidRPr="001A01D2" w:rsidRDefault="006C3F05" w:rsidP="00CB0DEB">
            <w:pPr>
              <w:pStyle w:val="TableBodyTextright"/>
              <w:rPr>
                <w:sz w:val="18"/>
                <w:szCs w:val="18"/>
              </w:rPr>
            </w:pPr>
            <w:r w:rsidRPr="001A01D2">
              <w:rPr>
                <w:sz w:val="18"/>
                <w:szCs w:val="18"/>
              </w:rPr>
              <w:t>−</w:t>
            </w:r>
            <w:r w:rsidR="00FE18D3" w:rsidRPr="001A01D2">
              <w:rPr>
                <w:sz w:val="18"/>
                <w:szCs w:val="18"/>
              </w:rPr>
              <w:t>5.0</w:t>
            </w:r>
          </w:p>
        </w:tc>
      </w:tr>
    </w:tbl>
    <w:p w14:paraId="3A9A4D1A" w14:textId="51931423" w:rsidR="00FE18D3" w:rsidRPr="00DD4C71" w:rsidRDefault="00A15B04" w:rsidP="00A15B04">
      <w:pPr>
        <w:pStyle w:val="Source"/>
      </w:pPr>
      <w:r w:rsidRPr="00A15B04">
        <w:t>Source: Jobs and Skills Australia, REOS, December quarter 2024. *Interpret with caution due to low sample size.</w:t>
      </w:r>
    </w:p>
    <w:p w14:paraId="6290E0FB" w14:textId="77777777" w:rsidR="00E95155" w:rsidRDefault="00E95155" w:rsidP="00E95155">
      <w:pPr>
        <w:pStyle w:val="Heading2"/>
      </w:pPr>
      <w:bookmarkStart w:id="25" w:name="_Toc189836961"/>
      <w:bookmarkStart w:id="26" w:name="_Toc151365197"/>
      <w:bookmarkStart w:id="27" w:name="_Toc152324314"/>
      <w:bookmarkStart w:id="28" w:name="_Toc151365198"/>
      <w:bookmarkStart w:id="29" w:name="_Toc148899378"/>
      <w:bookmarkEnd w:id="18"/>
      <w:r w:rsidRPr="00E95155">
        <w:lastRenderedPageBreak/>
        <w:t>Employers may have more choice when recruiting</w:t>
      </w:r>
      <w:bookmarkEnd w:id="25"/>
      <w:r w:rsidRPr="00E95155">
        <w:t xml:space="preserve"> </w:t>
      </w:r>
    </w:p>
    <w:p w14:paraId="3DD2E9D0" w14:textId="6CF4C0A1" w:rsidR="00A8616C" w:rsidRDefault="00A8616C" w:rsidP="00A8616C">
      <w:pPr>
        <w:pStyle w:val="BodyText"/>
      </w:pPr>
      <w:r w:rsidRPr="00A8616C">
        <w:t xml:space="preserve">Jobs and Skills Australia’s SERA showed that the fill rates of advertised vacancies continued to improve, indicating that that employers were filling vacancies with relatively more ease. The vacancy fill rate was 68.9% in the December quarter 2024, a rise of 0.8 percentage points over the quarter and 5.5 percentage points over the last 12 months to the current quarter (Table </w:t>
      </w:r>
      <w:r w:rsidR="002B3F20">
        <w:t>8</w:t>
      </w:r>
      <w:r w:rsidRPr="00A8616C">
        <w:t>).</w:t>
      </w:r>
      <w:r w:rsidR="00554FE8" w:rsidRPr="00554FE8">
        <w:rPr>
          <w:rStyle w:val="FootnoteReference"/>
        </w:rPr>
        <w:footnoteReference w:id="13"/>
      </w:r>
      <w:r w:rsidRPr="00A8616C">
        <w:t xml:space="preserve"> The result was supported by increases in the total number of applicants, qualified applicants and suitable applicants per vacancy in the quarter and the year. </w:t>
      </w:r>
    </w:p>
    <w:p w14:paraId="7FF8CD3C" w14:textId="223357ED" w:rsidR="00FE18D3" w:rsidRDefault="0061776C" w:rsidP="00FD5E3B">
      <w:pPr>
        <w:pStyle w:val="Caption"/>
      </w:pPr>
      <w:r>
        <w:t xml:space="preserve">Table </w:t>
      </w:r>
      <w:r>
        <w:fldChar w:fldCharType="begin"/>
      </w:r>
      <w:r>
        <w:instrText xml:space="preserve"> SEQ Table \* ARABIC </w:instrText>
      </w:r>
      <w:r>
        <w:fldChar w:fldCharType="separate"/>
      </w:r>
      <w:r w:rsidR="004B52FB">
        <w:rPr>
          <w:noProof/>
        </w:rPr>
        <w:t>8</w:t>
      </w:r>
      <w:r>
        <w:fldChar w:fldCharType="end"/>
      </w:r>
      <w:r w:rsidR="00FE18D3" w:rsidRPr="184E073B">
        <w:t>: National snapshot of recruitment experiences</w:t>
      </w:r>
    </w:p>
    <w:tbl>
      <w:tblPr>
        <w:tblStyle w:val="CustomTablebasic"/>
        <w:tblW w:w="9027" w:type="dxa"/>
        <w:tblLayout w:type="fixed"/>
        <w:tblLook w:val="04A0" w:firstRow="1" w:lastRow="0" w:firstColumn="1" w:lastColumn="0" w:noHBand="0" w:noVBand="1"/>
      </w:tblPr>
      <w:tblGrid>
        <w:gridCol w:w="4024"/>
        <w:gridCol w:w="1683"/>
        <w:gridCol w:w="1685"/>
        <w:gridCol w:w="1635"/>
      </w:tblGrid>
      <w:tr w:rsidR="00FE18D3" w14:paraId="32A946A8" w14:textId="77777777" w:rsidTr="00B30FC6">
        <w:trPr>
          <w:cnfStyle w:val="100000000000" w:firstRow="1" w:lastRow="0" w:firstColumn="0" w:lastColumn="0" w:oddVBand="0" w:evenVBand="0" w:oddHBand="0" w:evenHBand="0" w:firstRowFirstColumn="0" w:firstRowLastColumn="0" w:lastRowFirstColumn="0" w:lastRowLastColumn="0"/>
          <w:trHeight w:val="660"/>
        </w:trPr>
        <w:tc>
          <w:tcPr>
            <w:tcW w:w="4019" w:type="dxa"/>
          </w:tcPr>
          <w:p w14:paraId="06E672F5" w14:textId="77777777" w:rsidR="00FE18D3" w:rsidRPr="00FE18D3" w:rsidRDefault="00FE18D3" w:rsidP="00554FE8">
            <w:pPr>
              <w:pStyle w:val="TableHeading1"/>
            </w:pPr>
          </w:p>
        </w:tc>
        <w:tc>
          <w:tcPr>
            <w:tcW w:w="1681" w:type="dxa"/>
          </w:tcPr>
          <w:p w14:paraId="51D4D3BB" w14:textId="77777777" w:rsidR="00FE18D3" w:rsidRPr="00FE18D3" w:rsidRDefault="00FE18D3" w:rsidP="00554FE8">
            <w:pPr>
              <w:pStyle w:val="TableHeading1"/>
            </w:pPr>
            <w:r w:rsidRPr="00FE18D3">
              <w:t xml:space="preserve">December </w:t>
            </w:r>
          </w:p>
          <w:p w14:paraId="6CCB85A5" w14:textId="77777777" w:rsidR="00FE18D3" w:rsidRPr="00FE18D3" w:rsidRDefault="00FE18D3" w:rsidP="00554FE8">
            <w:pPr>
              <w:pStyle w:val="TableHeading1"/>
            </w:pPr>
            <w:r w:rsidRPr="00FE18D3">
              <w:t>quarter 2024</w:t>
            </w:r>
          </w:p>
        </w:tc>
        <w:tc>
          <w:tcPr>
            <w:tcW w:w="1683" w:type="dxa"/>
          </w:tcPr>
          <w:p w14:paraId="56D30D8A" w14:textId="77777777" w:rsidR="00FE18D3" w:rsidRPr="00FE18D3" w:rsidRDefault="00FE18D3" w:rsidP="00554FE8">
            <w:pPr>
              <w:pStyle w:val="TableHeading1"/>
            </w:pPr>
            <w:r w:rsidRPr="00FE18D3">
              <w:t xml:space="preserve">Change over </w:t>
            </w:r>
          </w:p>
          <w:p w14:paraId="79BB580C" w14:textId="77777777" w:rsidR="00FE18D3" w:rsidRPr="00FE18D3" w:rsidRDefault="00FE18D3" w:rsidP="00554FE8">
            <w:pPr>
              <w:pStyle w:val="TableHeading1"/>
            </w:pPr>
            <w:r w:rsidRPr="00FE18D3">
              <w:t>the quarter</w:t>
            </w:r>
          </w:p>
        </w:tc>
        <w:tc>
          <w:tcPr>
            <w:tcW w:w="1633" w:type="dxa"/>
          </w:tcPr>
          <w:p w14:paraId="232DBA4C" w14:textId="77777777" w:rsidR="00FE18D3" w:rsidRPr="00FE18D3" w:rsidRDefault="00FE18D3" w:rsidP="00554FE8">
            <w:pPr>
              <w:pStyle w:val="TableHeading1"/>
            </w:pPr>
            <w:r w:rsidRPr="00FE18D3">
              <w:t xml:space="preserve">Change over </w:t>
            </w:r>
          </w:p>
          <w:p w14:paraId="2C50CBDA" w14:textId="77777777" w:rsidR="00FE18D3" w:rsidRPr="00FE18D3" w:rsidRDefault="00FE18D3" w:rsidP="00554FE8">
            <w:pPr>
              <w:pStyle w:val="TableHeading1"/>
            </w:pPr>
            <w:r w:rsidRPr="00FE18D3">
              <w:t>12 months</w:t>
            </w:r>
          </w:p>
        </w:tc>
      </w:tr>
      <w:tr w:rsidR="00FE18D3" w14:paraId="7F1FB30F" w14:textId="77777777" w:rsidTr="00B30FC6">
        <w:trPr>
          <w:trHeight w:val="330"/>
        </w:trPr>
        <w:tc>
          <w:tcPr>
            <w:tcW w:w="4019" w:type="dxa"/>
          </w:tcPr>
          <w:p w14:paraId="23087A6B" w14:textId="77777777" w:rsidR="00FE18D3" w:rsidRPr="00FE18D3" w:rsidRDefault="00FE18D3" w:rsidP="00554FE8">
            <w:pPr>
              <w:pStyle w:val="TableBodyText"/>
            </w:pPr>
            <w:r w:rsidRPr="00FE18D3">
              <w:t>Vacancy fill rate</w:t>
            </w:r>
          </w:p>
        </w:tc>
        <w:tc>
          <w:tcPr>
            <w:tcW w:w="1681" w:type="dxa"/>
          </w:tcPr>
          <w:p w14:paraId="174D171E" w14:textId="77777777" w:rsidR="00FE18D3" w:rsidRPr="00FE18D3" w:rsidRDefault="00FE18D3" w:rsidP="00554FE8">
            <w:pPr>
              <w:pStyle w:val="TableBodyTextright"/>
            </w:pPr>
            <w:r w:rsidRPr="00FE18D3">
              <w:t>68.9%</w:t>
            </w:r>
          </w:p>
        </w:tc>
        <w:tc>
          <w:tcPr>
            <w:tcW w:w="1683" w:type="dxa"/>
          </w:tcPr>
          <w:p w14:paraId="037C8EE0" w14:textId="2E70BB55" w:rsidR="00FE18D3" w:rsidRPr="00FE18D3" w:rsidRDefault="006E7621" w:rsidP="00554FE8">
            <w:pPr>
              <w:pStyle w:val="TableBodyTextright"/>
            </w:pPr>
            <w:r w:rsidRPr="006E7621">
              <w:rPr>
                <w:rFonts w:eastAsia="Arial"/>
              </w:rPr>
              <w:sym w:font="Wingdings" w:char="F0E1"/>
            </w:r>
            <w:r>
              <w:rPr>
                <w:rFonts w:eastAsia="Arial"/>
              </w:rPr>
              <w:t xml:space="preserve"> </w:t>
            </w:r>
            <w:r w:rsidR="00FE18D3" w:rsidRPr="00FE18D3">
              <w:t>0.8ppt</w:t>
            </w:r>
          </w:p>
        </w:tc>
        <w:tc>
          <w:tcPr>
            <w:tcW w:w="1633" w:type="dxa"/>
          </w:tcPr>
          <w:p w14:paraId="5C81EAF5" w14:textId="3040408B" w:rsidR="00FE18D3" w:rsidRPr="00FE18D3" w:rsidRDefault="001F6D1F" w:rsidP="00554FE8">
            <w:pPr>
              <w:pStyle w:val="TableBodyTextright"/>
            </w:pPr>
            <w:r w:rsidRPr="001F6D1F">
              <w:rPr>
                <w:rFonts w:eastAsia="Arial"/>
              </w:rPr>
              <w:sym w:font="Wingdings" w:char="F0E1"/>
            </w:r>
            <w:r w:rsidRPr="001F6D1F">
              <w:rPr>
                <w:rFonts w:eastAsia="Arial"/>
              </w:rPr>
              <w:t xml:space="preserve"> </w:t>
            </w:r>
            <w:r w:rsidR="00FE18D3" w:rsidRPr="00FE18D3">
              <w:t>5.5ppt</w:t>
            </w:r>
          </w:p>
        </w:tc>
      </w:tr>
      <w:tr w:rsidR="00FE18D3" w14:paraId="6E4B3280" w14:textId="77777777" w:rsidTr="00B30FC6">
        <w:trPr>
          <w:cnfStyle w:val="000000010000" w:firstRow="0" w:lastRow="0" w:firstColumn="0" w:lastColumn="0" w:oddVBand="0" w:evenVBand="0" w:oddHBand="0" w:evenHBand="1" w:firstRowFirstColumn="0" w:firstRowLastColumn="0" w:lastRowFirstColumn="0" w:lastRowLastColumn="0"/>
          <w:trHeight w:val="420"/>
        </w:trPr>
        <w:tc>
          <w:tcPr>
            <w:tcW w:w="4019" w:type="dxa"/>
          </w:tcPr>
          <w:p w14:paraId="7E254287" w14:textId="77777777" w:rsidR="00FE18D3" w:rsidRPr="00FE18D3" w:rsidRDefault="00FE18D3" w:rsidP="00554FE8">
            <w:pPr>
              <w:pStyle w:val="TableBodyText"/>
            </w:pPr>
            <w:r w:rsidRPr="00FE18D3">
              <w:t>Applicants per vacancy (no.)</w:t>
            </w:r>
          </w:p>
        </w:tc>
        <w:tc>
          <w:tcPr>
            <w:tcW w:w="1681" w:type="dxa"/>
          </w:tcPr>
          <w:p w14:paraId="76762D73" w14:textId="77777777" w:rsidR="00FE18D3" w:rsidRPr="00FE18D3" w:rsidRDefault="00FE18D3" w:rsidP="00554FE8">
            <w:pPr>
              <w:pStyle w:val="TableBodyTextright"/>
            </w:pPr>
            <w:r w:rsidRPr="00FE18D3">
              <w:t>31.7</w:t>
            </w:r>
          </w:p>
        </w:tc>
        <w:tc>
          <w:tcPr>
            <w:tcW w:w="1683" w:type="dxa"/>
          </w:tcPr>
          <w:p w14:paraId="2EBA9116" w14:textId="161ECC4F" w:rsidR="00FE18D3" w:rsidRPr="00FE18D3" w:rsidRDefault="006E7621" w:rsidP="00554FE8">
            <w:pPr>
              <w:pStyle w:val="TableBodyTextright"/>
            </w:pPr>
            <w:r w:rsidRPr="006E7621">
              <w:rPr>
                <w:rFonts w:eastAsia="Arial"/>
              </w:rPr>
              <w:sym w:font="Wingdings" w:char="F0E1"/>
            </w:r>
            <w:r w:rsidRPr="006E7621">
              <w:rPr>
                <w:rFonts w:eastAsia="Arial"/>
              </w:rPr>
              <w:t xml:space="preserve"> </w:t>
            </w:r>
            <w:r w:rsidR="00FE18D3" w:rsidRPr="00FE18D3">
              <w:t>3.2</w:t>
            </w:r>
          </w:p>
        </w:tc>
        <w:tc>
          <w:tcPr>
            <w:tcW w:w="1633" w:type="dxa"/>
          </w:tcPr>
          <w:p w14:paraId="465CB9A8" w14:textId="463E5A4F" w:rsidR="00FE18D3" w:rsidRPr="00FE18D3" w:rsidRDefault="001F6D1F" w:rsidP="00554FE8">
            <w:pPr>
              <w:pStyle w:val="TableBodyTextright"/>
            </w:pPr>
            <w:r w:rsidRPr="001F6D1F">
              <w:rPr>
                <w:rFonts w:eastAsia="Arial"/>
              </w:rPr>
              <w:sym w:font="Wingdings" w:char="F0E1"/>
            </w:r>
            <w:r w:rsidRPr="001F6D1F">
              <w:rPr>
                <w:rFonts w:eastAsia="Arial"/>
              </w:rPr>
              <w:t xml:space="preserve"> </w:t>
            </w:r>
            <w:r w:rsidR="00FE18D3" w:rsidRPr="00FE18D3">
              <w:t>13.4</w:t>
            </w:r>
          </w:p>
        </w:tc>
      </w:tr>
      <w:tr w:rsidR="00FE18D3" w14:paraId="32E9CB6D" w14:textId="77777777" w:rsidTr="00B30FC6">
        <w:trPr>
          <w:trHeight w:val="420"/>
        </w:trPr>
        <w:tc>
          <w:tcPr>
            <w:tcW w:w="4019" w:type="dxa"/>
          </w:tcPr>
          <w:p w14:paraId="55DD5BD9" w14:textId="77777777" w:rsidR="00FE18D3" w:rsidRPr="00FE18D3" w:rsidRDefault="00FE18D3" w:rsidP="00554FE8">
            <w:pPr>
              <w:pStyle w:val="TableBodyText"/>
            </w:pPr>
            <w:r w:rsidRPr="00FE18D3">
              <w:t>Qualified applicants per vacancy (no.)</w:t>
            </w:r>
          </w:p>
        </w:tc>
        <w:tc>
          <w:tcPr>
            <w:tcW w:w="1681" w:type="dxa"/>
          </w:tcPr>
          <w:p w14:paraId="28197DB5" w14:textId="77777777" w:rsidR="00FE18D3" w:rsidRPr="00FE18D3" w:rsidRDefault="00FE18D3" w:rsidP="00554FE8">
            <w:pPr>
              <w:pStyle w:val="TableBodyTextright"/>
            </w:pPr>
            <w:r w:rsidRPr="00FE18D3">
              <w:t>9.5</w:t>
            </w:r>
          </w:p>
        </w:tc>
        <w:tc>
          <w:tcPr>
            <w:tcW w:w="1683" w:type="dxa"/>
          </w:tcPr>
          <w:p w14:paraId="74F8557A" w14:textId="5DBA0690" w:rsidR="00FE18D3" w:rsidRPr="00FE18D3" w:rsidRDefault="006E7621" w:rsidP="00554FE8">
            <w:pPr>
              <w:pStyle w:val="TableBodyTextright"/>
            </w:pPr>
            <w:r w:rsidRPr="006E7621">
              <w:rPr>
                <w:rFonts w:eastAsia="Arial"/>
              </w:rPr>
              <w:sym w:font="Wingdings" w:char="F0E1"/>
            </w:r>
            <w:r w:rsidRPr="006E7621">
              <w:rPr>
                <w:rFonts w:eastAsia="Arial"/>
              </w:rPr>
              <w:t xml:space="preserve"> </w:t>
            </w:r>
            <w:r w:rsidR="00FE18D3" w:rsidRPr="00FE18D3">
              <w:t>0.8</w:t>
            </w:r>
          </w:p>
        </w:tc>
        <w:tc>
          <w:tcPr>
            <w:tcW w:w="1633" w:type="dxa"/>
          </w:tcPr>
          <w:p w14:paraId="75F42985" w14:textId="2AFBE736" w:rsidR="00FE18D3" w:rsidRPr="00FE18D3" w:rsidRDefault="001F6D1F" w:rsidP="00554FE8">
            <w:pPr>
              <w:pStyle w:val="TableBodyTextright"/>
            </w:pPr>
            <w:r w:rsidRPr="001F6D1F">
              <w:rPr>
                <w:rFonts w:eastAsia="Arial"/>
              </w:rPr>
              <w:sym w:font="Wingdings" w:char="F0E1"/>
            </w:r>
            <w:r w:rsidRPr="001F6D1F">
              <w:rPr>
                <w:rFonts w:eastAsia="Arial"/>
              </w:rPr>
              <w:t xml:space="preserve"> </w:t>
            </w:r>
            <w:r w:rsidR="00FE18D3" w:rsidRPr="00FE18D3">
              <w:t>3.4</w:t>
            </w:r>
          </w:p>
        </w:tc>
      </w:tr>
      <w:tr w:rsidR="00FE18D3" w14:paraId="3C0D109C" w14:textId="77777777" w:rsidTr="00B30FC6">
        <w:trPr>
          <w:cnfStyle w:val="000000010000" w:firstRow="0" w:lastRow="0" w:firstColumn="0" w:lastColumn="0" w:oddVBand="0" w:evenVBand="0" w:oddHBand="0" w:evenHBand="1" w:firstRowFirstColumn="0" w:firstRowLastColumn="0" w:lastRowFirstColumn="0" w:lastRowLastColumn="0"/>
          <w:trHeight w:val="420"/>
        </w:trPr>
        <w:tc>
          <w:tcPr>
            <w:tcW w:w="4019" w:type="dxa"/>
          </w:tcPr>
          <w:p w14:paraId="4E2DF508" w14:textId="77777777" w:rsidR="00FE18D3" w:rsidRPr="00FE18D3" w:rsidRDefault="00FE18D3" w:rsidP="00554FE8">
            <w:pPr>
              <w:pStyle w:val="TableBodyText"/>
            </w:pPr>
            <w:r w:rsidRPr="00FE18D3">
              <w:t>Suitable applicants per vacancy (no.)</w:t>
            </w:r>
          </w:p>
        </w:tc>
        <w:tc>
          <w:tcPr>
            <w:tcW w:w="1681" w:type="dxa"/>
          </w:tcPr>
          <w:p w14:paraId="541E04FA" w14:textId="77777777" w:rsidR="00FE18D3" w:rsidRPr="00FE18D3" w:rsidRDefault="00FE18D3" w:rsidP="00554FE8">
            <w:pPr>
              <w:pStyle w:val="TableBodyTextright"/>
            </w:pPr>
            <w:r w:rsidRPr="00FE18D3">
              <w:t>3.5</w:t>
            </w:r>
          </w:p>
        </w:tc>
        <w:tc>
          <w:tcPr>
            <w:tcW w:w="1683" w:type="dxa"/>
          </w:tcPr>
          <w:p w14:paraId="1EB1D931" w14:textId="755CBBD6" w:rsidR="00FE18D3" w:rsidRPr="00FE18D3" w:rsidRDefault="006E7621" w:rsidP="00554FE8">
            <w:pPr>
              <w:pStyle w:val="TableBodyTextright"/>
            </w:pPr>
            <w:r w:rsidRPr="006E7621">
              <w:rPr>
                <w:rFonts w:eastAsia="Arial"/>
              </w:rPr>
              <w:sym w:font="Wingdings" w:char="F0E1"/>
            </w:r>
            <w:r w:rsidRPr="006E7621">
              <w:rPr>
                <w:rFonts w:eastAsia="Arial"/>
              </w:rPr>
              <w:t xml:space="preserve"> </w:t>
            </w:r>
            <w:r w:rsidR="00FE18D3" w:rsidRPr="00FE18D3">
              <w:t>0.2</w:t>
            </w:r>
          </w:p>
        </w:tc>
        <w:tc>
          <w:tcPr>
            <w:tcW w:w="1633" w:type="dxa"/>
          </w:tcPr>
          <w:p w14:paraId="27E5F5A2" w14:textId="3735F150" w:rsidR="00FE18D3" w:rsidRPr="00FE18D3" w:rsidRDefault="001F6D1F" w:rsidP="00554FE8">
            <w:pPr>
              <w:pStyle w:val="TableBodyTextright"/>
            </w:pPr>
            <w:r w:rsidRPr="001F6D1F">
              <w:rPr>
                <w:rFonts w:eastAsia="Arial"/>
              </w:rPr>
              <w:sym w:font="Wingdings" w:char="F0E1"/>
            </w:r>
            <w:r w:rsidRPr="001F6D1F">
              <w:rPr>
                <w:rFonts w:eastAsia="Arial"/>
              </w:rPr>
              <w:t xml:space="preserve"> </w:t>
            </w:r>
            <w:r w:rsidR="00FE18D3" w:rsidRPr="00FE18D3">
              <w:t>0.8</w:t>
            </w:r>
          </w:p>
        </w:tc>
      </w:tr>
      <w:tr w:rsidR="00FE18D3" w14:paraId="767C8B32" w14:textId="77777777" w:rsidTr="00B30FC6">
        <w:trPr>
          <w:trHeight w:val="420"/>
        </w:trPr>
        <w:tc>
          <w:tcPr>
            <w:tcW w:w="4019" w:type="dxa"/>
          </w:tcPr>
          <w:p w14:paraId="5C42F275" w14:textId="77777777" w:rsidR="00FE18D3" w:rsidRPr="00FE18D3" w:rsidRDefault="00FE18D3" w:rsidP="00554FE8">
            <w:pPr>
              <w:pStyle w:val="TableBodyText"/>
            </w:pPr>
            <w:r w:rsidRPr="00FE18D3">
              <w:t xml:space="preserve">Suitability gap </w:t>
            </w:r>
          </w:p>
        </w:tc>
        <w:tc>
          <w:tcPr>
            <w:tcW w:w="1681" w:type="dxa"/>
          </w:tcPr>
          <w:p w14:paraId="0F5C5EC7" w14:textId="77777777" w:rsidR="00FE18D3" w:rsidRPr="00FE18D3" w:rsidRDefault="00FE18D3" w:rsidP="00554FE8">
            <w:pPr>
              <w:pStyle w:val="TableBodyTextright"/>
            </w:pPr>
            <w:r w:rsidRPr="00FE18D3">
              <w:t>63.4%</w:t>
            </w:r>
          </w:p>
        </w:tc>
        <w:tc>
          <w:tcPr>
            <w:tcW w:w="1683" w:type="dxa"/>
          </w:tcPr>
          <w:p w14:paraId="65ACBDD3" w14:textId="5641D215" w:rsidR="00FE18D3" w:rsidRPr="00FE18D3" w:rsidRDefault="006E7621" w:rsidP="00554FE8">
            <w:pPr>
              <w:pStyle w:val="TableBodyTextright"/>
            </w:pPr>
            <w:r w:rsidRPr="006E7621">
              <w:rPr>
                <w:rFonts w:eastAsia="Arial"/>
              </w:rPr>
              <w:sym w:font="Wingdings" w:char="F0E1"/>
            </w:r>
            <w:r w:rsidRPr="006E7621">
              <w:rPr>
                <w:rFonts w:eastAsia="Arial"/>
              </w:rPr>
              <w:t xml:space="preserve"> </w:t>
            </w:r>
            <w:r w:rsidR="00FE18D3" w:rsidRPr="00FE18D3">
              <w:t>1.0ppt</w:t>
            </w:r>
          </w:p>
        </w:tc>
        <w:tc>
          <w:tcPr>
            <w:tcW w:w="1633" w:type="dxa"/>
          </w:tcPr>
          <w:p w14:paraId="2EFB3712" w14:textId="4840A7CA" w:rsidR="00FE18D3" w:rsidRPr="00FE18D3" w:rsidRDefault="001F6D1F" w:rsidP="00554FE8">
            <w:pPr>
              <w:pStyle w:val="TableBodyTextright"/>
            </w:pPr>
            <w:r w:rsidRPr="001F6D1F">
              <w:rPr>
                <w:rFonts w:eastAsia="Arial"/>
              </w:rPr>
              <w:sym w:font="Wingdings" w:char="F0E1"/>
            </w:r>
            <w:r w:rsidRPr="001F6D1F">
              <w:rPr>
                <w:rFonts w:eastAsia="Arial"/>
              </w:rPr>
              <w:t xml:space="preserve"> </w:t>
            </w:r>
            <w:r w:rsidR="00FE18D3" w:rsidRPr="00FE18D3">
              <w:t>6.8ppt</w:t>
            </w:r>
          </w:p>
        </w:tc>
      </w:tr>
    </w:tbl>
    <w:p w14:paraId="2BF38D89" w14:textId="6D12712F" w:rsidR="00FE18D3" w:rsidRDefault="003C004C" w:rsidP="003C004C">
      <w:pPr>
        <w:pStyle w:val="Source"/>
      </w:pPr>
      <w:r w:rsidRPr="003C004C">
        <w:t>Source: Jobs and Skills Australia, SERA.</w:t>
      </w:r>
      <w:r>
        <w:br/>
      </w:r>
      <w:r w:rsidRPr="003C004C">
        <w:t>Note: The change from previous quarter refers to the change from September quarter 2024 to December quarter 2024. The change from the previous year refers to the change from December quarter 2023 to December quarter 2024.</w:t>
      </w:r>
    </w:p>
    <w:p w14:paraId="0B38CD8B" w14:textId="37FEC556" w:rsidR="001727C2" w:rsidRDefault="00886CF6" w:rsidP="001727C2">
      <w:pPr>
        <w:pStyle w:val="BodyText"/>
      </w:pPr>
      <w:r>
        <w:t xml:space="preserve">Over </w:t>
      </w:r>
      <w:r w:rsidR="001727C2" w:rsidRPr="001727C2">
        <w:t>the quarter, the suitability gap increased by 1.0 percentage point to 63.4%.</w:t>
      </w:r>
      <w:r w:rsidR="00F3688F" w:rsidRPr="184E073B">
        <w:rPr>
          <w:rStyle w:val="FootnoteReference"/>
        </w:rPr>
        <w:footnoteReference w:id="14"/>
      </w:r>
      <w:r w:rsidR="001727C2" w:rsidRPr="001727C2">
        <w:t xml:space="preserve"> The gap increased from 56.6% to 63.4% over the 12 months to </w:t>
      </w:r>
      <w:r>
        <w:t xml:space="preserve">the </w:t>
      </w:r>
      <w:r w:rsidR="001727C2" w:rsidRPr="001727C2">
        <w:t>quarter. The suitability gap captures the percentage of applicants who have the required qualifications but are deemed unsuitable by employers for the job advertised.</w:t>
      </w:r>
      <w:r w:rsidR="009F2669" w:rsidRPr="184E073B">
        <w:rPr>
          <w:rStyle w:val="FootnoteReference"/>
        </w:rPr>
        <w:footnoteReference w:id="15"/>
      </w:r>
      <w:r w:rsidR="001727C2" w:rsidRPr="001727C2">
        <w:t xml:space="preserve">  The rise in the suitability gap may indicate that employers have more choice and can scrutinise qualified applicants more when recruiting. During tighter labour market conditions last year, the suitability gap was much narrower.</w:t>
      </w:r>
    </w:p>
    <w:p w14:paraId="6B682D99" w14:textId="3A312A84" w:rsidR="00FE18D3" w:rsidRDefault="00FE18D3" w:rsidP="00FC4DA4">
      <w:pPr>
        <w:pStyle w:val="Heading2"/>
      </w:pPr>
      <w:bookmarkStart w:id="30" w:name="_Toc189836962"/>
      <w:r>
        <w:t>Vacancy fill rates are rising but are lower in regions</w:t>
      </w:r>
      <w:bookmarkEnd w:id="30"/>
      <w:r>
        <w:t xml:space="preserve"> </w:t>
      </w:r>
    </w:p>
    <w:p w14:paraId="39E71ADC" w14:textId="34BF4BF7" w:rsidR="00671EC1" w:rsidRPr="00671EC1" w:rsidRDefault="00085BF7" w:rsidP="00671EC1">
      <w:pPr>
        <w:pStyle w:val="BodyText"/>
      </w:pPr>
      <w:r>
        <w:t>M</w:t>
      </w:r>
      <w:r w:rsidR="00671EC1" w:rsidRPr="00671EC1">
        <w:t xml:space="preserve">etropolitan (metro) area fill rate increased by 0.9 percentage points to 70.6% over the quarter and 5.0 percentage points over the year (Table </w:t>
      </w:r>
      <w:r w:rsidR="001A287C">
        <w:t>9</w:t>
      </w:r>
      <w:r w:rsidR="00671EC1" w:rsidRPr="00671EC1">
        <w:t xml:space="preserve">). This was supported by improvements in the total number of applicants, qualified </w:t>
      </w:r>
      <w:r w:rsidR="007A483A" w:rsidRPr="00671EC1">
        <w:t>applicants,</w:t>
      </w:r>
      <w:r w:rsidR="00671EC1" w:rsidRPr="00671EC1">
        <w:t xml:space="preserve"> and suitable applicants per vacancy, in the quarter and over the year. </w:t>
      </w:r>
    </w:p>
    <w:p w14:paraId="07F5D755" w14:textId="68D1C1B6" w:rsidR="00B47EB0" w:rsidRDefault="00671EC1" w:rsidP="00671EC1">
      <w:pPr>
        <w:pStyle w:val="BodyText"/>
      </w:pPr>
      <w:r w:rsidRPr="00671EC1">
        <w:t xml:space="preserve">In the current quarter, the suitability gap for metro areas increased by 0.8 percentage points to 65.2% and by 6.3 percentage points from 58.9% in December quarter 2023. </w:t>
      </w:r>
    </w:p>
    <w:p w14:paraId="52013FE1" w14:textId="77777777" w:rsidR="00B47EB0" w:rsidRDefault="00B47EB0">
      <w:pPr>
        <w:spacing w:before="0" w:after="200" w:line="276" w:lineRule="auto"/>
      </w:pPr>
      <w:r>
        <w:br w:type="page"/>
      </w:r>
    </w:p>
    <w:p w14:paraId="75F9AD16" w14:textId="6396C324" w:rsidR="00FE18D3" w:rsidRPr="00DD4C71" w:rsidRDefault="0061776C" w:rsidP="00671EC1">
      <w:pPr>
        <w:pStyle w:val="Caption"/>
      </w:pPr>
      <w:r>
        <w:lastRenderedPageBreak/>
        <w:t xml:space="preserve">Table </w:t>
      </w:r>
      <w:r>
        <w:fldChar w:fldCharType="begin"/>
      </w:r>
      <w:r>
        <w:instrText xml:space="preserve"> SEQ Table \* ARABIC </w:instrText>
      </w:r>
      <w:r>
        <w:fldChar w:fldCharType="separate"/>
      </w:r>
      <w:r w:rsidR="004B52FB">
        <w:rPr>
          <w:noProof/>
        </w:rPr>
        <w:t>9</w:t>
      </w:r>
      <w:r>
        <w:fldChar w:fldCharType="end"/>
      </w:r>
      <w:r w:rsidR="00FE18D3" w:rsidRPr="45C8E9EF">
        <w:t>: Metropolitan snapshot</w:t>
      </w:r>
    </w:p>
    <w:tbl>
      <w:tblPr>
        <w:tblStyle w:val="CustomTablebasic"/>
        <w:tblW w:w="0" w:type="auto"/>
        <w:tblLayout w:type="fixed"/>
        <w:tblLook w:val="04A0" w:firstRow="1" w:lastRow="0" w:firstColumn="1" w:lastColumn="0" w:noHBand="0" w:noVBand="1"/>
      </w:tblPr>
      <w:tblGrid>
        <w:gridCol w:w="3686"/>
        <w:gridCol w:w="1370"/>
        <w:gridCol w:w="1370"/>
        <w:gridCol w:w="1371"/>
      </w:tblGrid>
      <w:tr w:rsidR="00FE18D3" w14:paraId="283A113B" w14:textId="77777777" w:rsidTr="00C339FF">
        <w:trPr>
          <w:cnfStyle w:val="100000000000" w:firstRow="1" w:lastRow="0" w:firstColumn="0" w:lastColumn="0" w:oddVBand="0" w:evenVBand="0" w:oddHBand="0" w:evenHBand="0" w:firstRowFirstColumn="0" w:firstRowLastColumn="0" w:lastRowFirstColumn="0" w:lastRowLastColumn="0"/>
          <w:trHeight w:val="705"/>
        </w:trPr>
        <w:tc>
          <w:tcPr>
            <w:tcW w:w="3686" w:type="dxa"/>
          </w:tcPr>
          <w:p w14:paraId="06721C0F" w14:textId="77777777" w:rsidR="00FE18D3" w:rsidRPr="00FE18D3" w:rsidRDefault="00FE18D3" w:rsidP="00FE18D3"/>
        </w:tc>
        <w:tc>
          <w:tcPr>
            <w:tcW w:w="1370" w:type="dxa"/>
          </w:tcPr>
          <w:p w14:paraId="62AB10B0" w14:textId="77777777" w:rsidR="00FE18D3" w:rsidRPr="00FE18D3" w:rsidRDefault="00FE18D3" w:rsidP="007113C4">
            <w:pPr>
              <w:pStyle w:val="TableHeading1"/>
            </w:pPr>
            <w:r w:rsidRPr="00FE18D3">
              <w:t>December quarter 2024</w:t>
            </w:r>
          </w:p>
        </w:tc>
        <w:tc>
          <w:tcPr>
            <w:tcW w:w="1370" w:type="dxa"/>
          </w:tcPr>
          <w:p w14:paraId="7F9536BA" w14:textId="298D090A" w:rsidR="00FE18D3" w:rsidRPr="00FE18D3" w:rsidRDefault="00FE18D3" w:rsidP="00C339FF">
            <w:pPr>
              <w:pStyle w:val="TableHeading1"/>
            </w:pPr>
            <w:r w:rsidRPr="00FE18D3">
              <w:t>Change over</w:t>
            </w:r>
            <w:r w:rsidR="00C339FF">
              <w:t xml:space="preserve"> </w:t>
            </w:r>
            <w:r w:rsidRPr="00FE18D3">
              <w:t>the quarter</w:t>
            </w:r>
          </w:p>
        </w:tc>
        <w:tc>
          <w:tcPr>
            <w:tcW w:w="1371" w:type="dxa"/>
          </w:tcPr>
          <w:p w14:paraId="1A6177B5" w14:textId="77777777" w:rsidR="00FE18D3" w:rsidRPr="00FE18D3" w:rsidRDefault="00FE18D3" w:rsidP="007113C4">
            <w:pPr>
              <w:pStyle w:val="TableHeading1"/>
            </w:pPr>
            <w:r w:rsidRPr="00FE18D3">
              <w:t>Change over 12 months</w:t>
            </w:r>
          </w:p>
        </w:tc>
      </w:tr>
      <w:tr w:rsidR="00FE18D3" w14:paraId="34A2E9F6" w14:textId="77777777" w:rsidTr="00C339FF">
        <w:trPr>
          <w:trHeight w:val="300"/>
        </w:trPr>
        <w:tc>
          <w:tcPr>
            <w:tcW w:w="3686" w:type="dxa"/>
          </w:tcPr>
          <w:p w14:paraId="56B3B9EE" w14:textId="77777777" w:rsidR="00FE18D3" w:rsidRPr="00FE18D3" w:rsidRDefault="00FE18D3" w:rsidP="007113C4">
            <w:pPr>
              <w:pStyle w:val="TableBodyText"/>
            </w:pPr>
            <w:r w:rsidRPr="00FE18D3">
              <w:t>Vacancy fill rate</w:t>
            </w:r>
          </w:p>
        </w:tc>
        <w:tc>
          <w:tcPr>
            <w:tcW w:w="1370" w:type="dxa"/>
          </w:tcPr>
          <w:p w14:paraId="47F0D3D3" w14:textId="77777777" w:rsidR="00FE18D3" w:rsidRPr="00FE18D3" w:rsidRDefault="00FE18D3" w:rsidP="007113C4">
            <w:pPr>
              <w:pStyle w:val="TableBodyTextright"/>
            </w:pPr>
            <w:r w:rsidRPr="00FE18D3">
              <w:t>70.6%</w:t>
            </w:r>
          </w:p>
        </w:tc>
        <w:tc>
          <w:tcPr>
            <w:tcW w:w="1370" w:type="dxa"/>
          </w:tcPr>
          <w:p w14:paraId="7CFB22DC" w14:textId="17B9C609" w:rsidR="00FE18D3" w:rsidRPr="00FE18D3" w:rsidRDefault="001F6D1F" w:rsidP="007113C4">
            <w:pPr>
              <w:pStyle w:val="TableBodyTextright"/>
            </w:pPr>
            <w:r w:rsidRPr="001F6D1F">
              <w:rPr>
                <w:rFonts w:eastAsia="Arial"/>
              </w:rPr>
              <w:sym w:font="Wingdings" w:char="F0E1"/>
            </w:r>
            <w:r w:rsidRPr="001F6D1F">
              <w:rPr>
                <w:rFonts w:eastAsia="Arial"/>
              </w:rPr>
              <w:t xml:space="preserve"> </w:t>
            </w:r>
            <w:r w:rsidR="00FE18D3" w:rsidRPr="00FE18D3">
              <w:t>0.9ppt</w:t>
            </w:r>
          </w:p>
        </w:tc>
        <w:tc>
          <w:tcPr>
            <w:tcW w:w="1371" w:type="dxa"/>
          </w:tcPr>
          <w:p w14:paraId="497550A0" w14:textId="531763F6" w:rsidR="00FE18D3" w:rsidRPr="00FE18D3" w:rsidRDefault="001F6D1F" w:rsidP="007113C4">
            <w:pPr>
              <w:pStyle w:val="TableBodyTextright"/>
            </w:pPr>
            <w:r w:rsidRPr="001F6D1F">
              <w:rPr>
                <w:rFonts w:eastAsia="Arial"/>
              </w:rPr>
              <w:sym w:font="Wingdings" w:char="F0E1"/>
            </w:r>
            <w:r w:rsidRPr="001F6D1F">
              <w:rPr>
                <w:rFonts w:eastAsia="Arial"/>
              </w:rPr>
              <w:t xml:space="preserve"> </w:t>
            </w:r>
            <w:r w:rsidR="00FE18D3" w:rsidRPr="00FE18D3">
              <w:t>5.0ppt</w:t>
            </w:r>
          </w:p>
        </w:tc>
      </w:tr>
      <w:tr w:rsidR="00FE18D3" w14:paraId="00694D31" w14:textId="77777777" w:rsidTr="00C339FF">
        <w:trPr>
          <w:cnfStyle w:val="000000010000" w:firstRow="0" w:lastRow="0" w:firstColumn="0" w:lastColumn="0" w:oddVBand="0" w:evenVBand="0" w:oddHBand="0" w:evenHBand="1" w:firstRowFirstColumn="0" w:firstRowLastColumn="0" w:lastRowFirstColumn="0" w:lastRowLastColumn="0"/>
          <w:trHeight w:val="390"/>
        </w:trPr>
        <w:tc>
          <w:tcPr>
            <w:tcW w:w="3686" w:type="dxa"/>
          </w:tcPr>
          <w:p w14:paraId="68F6420E" w14:textId="77777777" w:rsidR="00FE18D3" w:rsidRPr="00FE18D3" w:rsidRDefault="00FE18D3" w:rsidP="007113C4">
            <w:pPr>
              <w:pStyle w:val="TableBodyText"/>
            </w:pPr>
            <w:r w:rsidRPr="00FE18D3">
              <w:t>Applicants per vacancy (no.)</w:t>
            </w:r>
          </w:p>
        </w:tc>
        <w:tc>
          <w:tcPr>
            <w:tcW w:w="1370" w:type="dxa"/>
          </w:tcPr>
          <w:p w14:paraId="4A50FC0F" w14:textId="77777777" w:rsidR="00FE18D3" w:rsidRPr="00FE18D3" w:rsidRDefault="00FE18D3" w:rsidP="007113C4">
            <w:pPr>
              <w:pStyle w:val="TableBodyTextright"/>
            </w:pPr>
            <w:r w:rsidRPr="00FE18D3">
              <w:t>37.1</w:t>
            </w:r>
          </w:p>
        </w:tc>
        <w:tc>
          <w:tcPr>
            <w:tcW w:w="1370" w:type="dxa"/>
          </w:tcPr>
          <w:p w14:paraId="1FE2B7A6" w14:textId="34042D1A" w:rsidR="00FE18D3" w:rsidRPr="00FE18D3" w:rsidRDefault="001F6D1F" w:rsidP="007113C4">
            <w:pPr>
              <w:pStyle w:val="TableBodyTextright"/>
            </w:pPr>
            <w:r w:rsidRPr="001F6D1F">
              <w:rPr>
                <w:rFonts w:eastAsia="Arial"/>
              </w:rPr>
              <w:sym w:font="Wingdings" w:char="F0E1"/>
            </w:r>
            <w:r w:rsidRPr="001F6D1F">
              <w:rPr>
                <w:rFonts w:eastAsia="Arial"/>
              </w:rPr>
              <w:t xml:space="preserve"> </w:t>
            </w:r>
            <w:r w:rsidR="00FE18D3" w:rsidRPr="00FE18D3">
              <w:t>4.1</w:t>
            </w:r>
          </w:p>
        </w:tc>
        <w:tc>
          <w:tcPr>
            <w:tcW w:w="1371" w:type="dxa"/>
          </w:tcPr>
          <w:p w14:paraId="57AC19DE" w14:textId="47B4F7AC" w:rsidR="00FE18D3" w:rsidRPr="00FE18D3" w:rsidRDefault="001F6D1F" w:rsidP="007113C4">
            <w:pPr>
              <w:pStyle w:val="TableBodyTextright"/>
            </w:pPr>
            <w:r w:rsidRPr="001F6D1F">
              <w:rPr>
                <w:rFonts w:eastAsia="Arial"/>
              </w:rPr>
              <w:sym w:font="Wingdings" w:char="F0E1"/>
            </w:r>
            <w:r w:rsidRPr="001F6D1F">
              <w:rPr>
                <w:rFonts w:eastAsia="Arial"/>
              </w:rPr>
              <w:t xml:space="preserve"> </w:t>
            </w:r>
            <w:r w:rsidR="00FE18D3" w:rsidRPr="00FE18D3">
              <w:t>15.7</w:t>
            </w:r>
          </w:p>
        </w:tc>
      </w:tr>
      <w:tr w:rsidR="00FE18D3" w14:paraId="725C5B83" w14:textId="77777777" w:rsidTr="00C339FF">
        <w:trPr>
          <w:trHeight w:val="390"/>
        </w:trPr>
        <w:tc>
          <w:tcPr>
            <w:tcW w:w="3686" w:type="dxa"/>
          </w:tcPr>
          <w:p w14:paraId="62C307B9" w14:textId="77777777" w:rsidR="00FE18D3" w:rsidRPr="00FE18D3" w:rsidRDefault="00FE18D3" w:rsidP="007113C4">
            <w:pPr>
              <w:pStyle w:val="TableBodyText"/>
            </w:pPr>
            <w:r w:rsidRPr="00FE18D3">
              <w:t>Qualified applicants per vacancy (no.)</w:t>
            </w:r>
          </w:p>
        </w:tc>
        <w:tc>
          <w:tcPr>
            <w:tcW w:w="1370" w:type="dxa"/>
          </w:tcPr>
          <w:p w14:paraId="6F0C2384" w14:textId="77777777" w:rsidR="00FE18D3" w:rsidRPr="00FE18D3" w:rsidRDefault="00FE18D3" w:rsidP="007113C4">
            <w:pPr>
              <w:pStyle w:val="TableBodyTextright"/>
            </w:pPr>
            <w:r w:rsidRPr="00FE18D3">
              <w:t>11.2</w:t>
            </w:r>
          </w:p>
        </w:tc>
        <w:tc>
          <w:tcPr>
            <w:tcW w:w="1370" w:type="dxa"/>
          </w:tcPr>
          <w:p w14:paraId="3FBB68FA" w14:textId="13F767B4" w:rsidR="00FE18D3" w:rsidRPr="00FE18D3" w:rsidRDefault="001F6D1F" w:rsidP="007113C4">
            <w:pPr>
              <w:pStyle w:val="TableBodyTextright"/>
            </w:pPr>
            <w:r w:rsidRPr="001F6D1F">
              <w:rPr>
                <w:rFonts w:eastAsia="Arial"/>
              </w:rPr>
              <w:sym w:font="Wingdings" w:char="F0E1"/>
            </w:r>
            <w:r w:rsidRPr="001F6D1F">
              <w:rPr>
                <w:rFonts w:eastAsia="Arial"/>
              </w:rPr>
              <w:t xml:space="preserve"> </w:t>
            </w:r>
            <w:r w:rsidR="00FE18D3" w:rsidRPr="00FE18D3">
              <w:t>1.0</w:t>
            </w:r>
          </w:p>
        </w:tc>
        <w:tc>
          <w:tcPr>
            <w:tcW w:w="1371" w:type="dxa"/>
          </w:tcPr>
          <w:p w14:paraId="13B71990" w14:textId="72A225BA" w:rsidR="00FE18D3" w:rsidRPr="00FE18D3" w:rsidRDefault="001F6D1F" w:rsidP="007113C4">
            <w:pPr>
              <w:pStyle w:val="TableBodyTextright"/>
            </w:pPr>
            <w:r w:rsidRPr="001F6D1F">
              <w:rPr>
                <w:rFonts w:eastAsia="Arial"/>
              </w:rPr>
              <w:sym w:font="Wingdings" w:char="F0E1"/>
            </w:r>
            <w:r w:rsidRPr="001F6D1F">
              <w:rPr>
                <w:rFonts w:eastAsia="Arial"/>
              </w:rPr>
              <w:t xml:space="preserve"> </w:t>
            </w:r>
            <w:r w:rsidR="00FE18D3" w:rsidRPr="00FE18D3">
              <w:t>3.9</w:t>
            </w:r>
          </w:p>
        </w:tc>
      </w:tr>
      <w:tr w:rsidR="00FE18D3" w14:paraId="20D012E2" w14:textId="77777777" w:rsidTr="00C339FF">
        <w:trPr>
          <w:cnfStyle w:val="000000010000" w:firstRow="0" w:lastRow="0" w:firstColumn="0" w:lastColumn="0" w:oddVBand="0" w:evenVBand="0" w:oddHBand="0" w:evenHBand="1" w:firstRowFirstColumn="0" w:firstRowLastColumn="0" w:lastRowFirstColumn="0" w:lastRowLastColumn="0"/>
          <w:trHeight w:val="390"/>
        </w:trPr>
        <w:tc>
          <w:tcPr>
            <w:tcW w:w="3686" w:type="dxa"/>
          </w:tcPr>
          <w:p w14:paraId="5C2FA540" w14:textId="77777777" w:rsidR="00FE18D3" w:rsidRPr="00FE18D3" w:rsidRDefault="00FE18D3" w:rsidP="007113C4">
            <w:pPr>
              <w:pStyle w:val="TableBodyText"/>
            </w:pPr>
            <w:r w:rsidRPr="00FE18D3">
              <w:t>Suitable applicants per vacancy (no.)</w:t>
            </w:r>
          </w:p>
        </w:tc>
        <w:tc>
          <w:tcPr>
            <w:tcW w:w="1370" w:type="dxa"/>
          </w:tcPr>
          <w:p w14:paraId="2AE38169" w14:textId="77777777" w:rsidR="00FE18D3" w:rsidRPr="00FE18D3" w:rsidRDefault="00FE18D3" w:rsidP="007113C4">
            <w:pPr>
              <w:pStyle w:val="TableBodyTextright"/>
            </w:pPr>
            <w:r w:rsidRPr="00FE18D3">
              <w:t>3.9</w:t>
            </w:r>
          </w:p>
        </w:tc>
        <w:tc>
          <w:tcPr>
            <w:tcW w:w="1370" w:type="dxa"/>
          </w:tcPr>
          <w:p w14:paraId="74E867F7" w14:textId="2682F5DE" w:rsidR="00FE18D3" w:rsidRPr="00FE18D3" w:rsidRDefault="001F6D1F" w:rsidP="007113C4">
            <w:pPr>
              <w:pStyle w:val="TableBodyTextright"/>
            </w:pPr>
            <w:r w:rsidRPr="001F6D1F">
              <w:rPr>
                <w:rFonts w:eastAsia="Arial"/>
              </w:rPr>
              <w:sym w:font="Wingdings" w:char="F0E1"/>
            </w:r>
            <w:r w:rsidRPr="001F6D1F">
              <w:rPr>
                <w:rFonts w:eastAsia="Arial"/>
              </w:rPr>
              <w:t xml:space="preserve"> </w:t>
            </w:r>
            <w:r w:rsidR="00FE18D3" w:rsidRPr="00FE18D3">
              <w:t>0.3</w:t>
            </w:r>
          </w:p>
        </w:tc>
        <w:tc>
          <w:tcPr>
            <w:tcW w:w="1371" w:type="dxa"/>
          </w:tcPr>
          <w:p w14:paraId="12E9723C" w14:textId="77C4CEBA" w:rsidR="00FE18D3" w:rsidRPr="00FE18D3" w:rsidRDefault="001F6D1F" w:rsidP="007113C4">
            <w:pPr>
              <w:pStyle w:val="TableBodyTextright"/>
            </w:pPr>
            <w:r w:rsidRPr="001F6D1F">
              <w:rPr>
                <w:rFonts w:eastAsia="Arial"/>
              </w:rPr>
              <w:sym w:font="Wingdings" w:char="F0E1"/>
            </w:r>
            <w:r w:rsidRPr="001F6D1F">
              <w:rPr>
                <w:rFonts w:eastAsia="Arial"/>
              </w:rPr>
              <w:t xml:space="preserve"> </w:t>
            </w:r>
            <w:r w:rsidR="00FE18D3" w:rsidRPr="00FE18D3">
              <w:t>0.9</w:t>
            </w:r>
          </w:p>
        </w:tc>
      </w:tr>
      <w:tr w:rsidR="00FE18D3" w14:paraId="34E3574A" w14:textId="77777777" w:rsidTr="00C339FF">
        <w:trPr>
          <w:trHeight w:val="345"/>
        </w:trPr>
        <w:tc>
          <w:tcPr>
            <w:tcW w:w="3686" w:type="dxa"/>
          </w:tcPr>
          <w:p w14:paraId="69712C95" w14:textId="77777777" w:rsidR="00FE18D3" w:rsidRPr="00FE18D3" w:rsidRDefault="00FE18D3" w:rsidP="007113C4">
            <w:pPr>
              <w:pStyle w:val="TableBodyText"/>
            </w:pPr>
            <w:r w:rsidRPr="00FE18D3">
              <w:t>Suitability gap</w:t>
            </w:r>
          </w:p>
        </w:tc>
        <w:tc>
          <w:tcPr>
            <w:tcW w:w="1370" w:type="dxa"/>
          </w:tcPr>
          <w:p w14:paraId="35C85115" w14:textId="77777777" w:rsidR="00FE18D3" w:rsidRPr="00FE18D3" w:rsidRDefault="00FE18D3" w:rsidP="007113C4">
            <w:pPr>
              <w:pStyle w:val="TableBodyTextright"/>
            </w:pPr>
            <w:r w:rsidRPr="00FE18D3">
              <w:t>65.2%</w:t>
            </w:r>
          </w:p>
        </w:tc>
        <w:tc>
          <w:tcPr>
            <w:tcW w:w="1370" w:type="dxa"/>
          </w:tcPr>
          <w:p w14:paraId="60DB5D41" w14:textId="34AB703D" w:rsidR="00FE18D3" w:rsidRPr="00FE18D3" w:rsidRDefault="001F6D1F" w:rsidP="007113C4">
            <w:pPr>
              <w:pStyle w:val="TableBodyTextright"/>
            </w:pPr>
            <w:r w:rsidRPr="001F6D1F">
              <w:rPr>
                <w:rFonts w:eastAsia="Arial"/>
              </w:rPr>
              <w:sym w:font="Wingdings" w:char="F0E1"/>
            </w:r>
            <w:r w:rsidRPr="001F6D1F">
              <w:rPr>
                <w:rFonts w:eastAsia="Arial"/>
              </w:rPr>
              <w:t xml:space="preserve"> </w:t>
            </w:r>
            <w:r w:rsidR="00FE18D3" w:rsidRPr="00FE18D3">
              <w:t>0.8ppt</w:t>
            </w:r>
          </w:p>
        </w:tc>
        <w:tc>
          <w:tcPr>
            <w:tcW w:w="1371" w:type="dxa"/>
          </w:tcPr>
          <w:p w14:paraId="5A958384" w14:textId="598E1C11" w:rsidR="00FE18D3" w:rsidRPr="00FE18D3" w:rsidRDefault="001F6D1F" w:rsidP="007113C4">
            <w:pPr>
              <w:pStyle w:val="TableBodyTextright"/>
            </w:pPr>
            <w:r w:rsidRPr="001F6D1F">
              <w:rPr>
                <w:rFonts w:eastAsia="Arial"/>
              </w:rPr>
              <w:sym w:font="Wingdings" w:char="F0E1"/>
            </w:r>
            <w:r w:rsidRPr="001F6D1F">
              <w:rPr>
                <w:rFonts w:eastAsia="Arial"/>
              </w:rPr>
              <w:t xml:space="preserve"> </w:t>
            </w:r>
            <w:r w:rsidR="00FE18D3" w:rsidRPr="00FE18D3">
              <w:t>6.3ppt</w:t>
            </w:r>
          </w:p>
        </w:tc>
      </w:tr>
    </w:tbl>
    <w:p w14:paraId="109880C9" w14:textId="77777777" w:rsidR="00FE18D3" w:rsidRPr="009017FD" w:rsidRDefault="00FE18D3" w:rsidP="00FD5E3B">
      <w:pPr>
        <w:pStyle w:val="Source"/>
      </w:pPr>
      <w:r w:rsidRPr="00FE18D3">
        <w:rPr>
          <w:rFonts w:eastAsia="Arial"/>
        </w:rPr>
        <w:t>Source: Jobs and Skills Australia, SERA.</w:t>
      </w:r>
    </w:p>
    <w:p w14:paraId="73615278" w14:textId="4AC40908" w:rsidR="0052139C" w:rsidRDefault="0052139C" w:rsidP="0052139C">
      <w:pPr>
        <w:pStyle w:val="BodyText"/>
      </w:pPr>
      <w:r w:rsidRPr="0052139C">
        <w:t xml:space="preserve">The fill rate in regional areas increased by 1.0 percentage points to 63.9% in December quarter 2024 and by 5.0 percentage points compared to a year ago (Table </w:t>
      </w:r>
      <w:r w:rsidR="00BA7596">
        <w:t>10</w:t>
      </w:r>
      <w:r w:rsidRPr="0052139C">
        <w:t xml:space="preserve">). Total applicants, qualified applicants and suitable applicants also increased in regional areas. In the quarter, the suitability gap in regional areas increased by 0.8 percentage points to 56.1% and by 8.3 percentage points compared to </w:t>
      </w:r>
      <w:r w:rsidR="00357EE7">
        <w:t xml:space="preserve">a year ago. </w:t>
      </w:r>
    </w:p>
    <w:p w14:paraId="74A07217" w14:textId="00B55252" w:rsidR="00FE18D3" w:rsidRPr="00DD4C71" w:rsidRDefault="0061776C" w:rsidP="00FD5E3B">
      <w:pPr>
        <w:pStyle w:val="Caption"/>
      </w:pPr>
      <w:r>
        <w:t xml:space="preserve">Table </w:t>
      </w:r>
      <w:r>
        <w:fldChar w:fldCharType="begin"/>
      </w:r>
      <w:r>
        <w:instrText xml:space="preserve"> SEQ Table \* ARABIC </w:instrText>
      </w:r>
      <w:r>
        <w:fldChar w:fldCharType="separate"/>
      </w:r>
      <w:r w:rsidR="004B52FB">
        <w:rPr>
          <w:noProof/>
        </w:rPr>
        <w:t>10</w:t>
      </w:r>
      <w:r>
        <w:fldChar w:fldCharType="end"/>
      </w:r>
      <w:r w:rsidR="00FE18D3" w:rsidRPr="45C8E9EF">
        <w:t>: Regional snapshot</w:t>
      </w:r>
    </w:p>
    <w:tbl>
      <w:tblPr>
        <w:tblStyle w:val="CustomTablebasic"/>
        <w:tblW w:w="0" w:type="auto"/>
        <w:tblLayout w:type="fixed"/>
        <w:tblLook w:val="04A0" w:firstRow="1" w:lastRow="0" w:firstColumn="1" w:lastColumn="0" w:noHBand="0" w:noVBand="1"/>
      </w:tblPr>
      <w:tblGrid>
        <w:gridCol w:w="3686"/>
        <w:gridCol w:w="1370"/>
        <w:gridCol w:w="1370"/>
        <w:gridCol w:w="1371"/>
      </w:tblGrid>
      <w:tr w:rsidR="00FE18D3" w14:paraId="7EBF7BF4" w14:textId="77777777" w:rsidTr="00C92B05">
        <w:trPr>
          <w:cnfStyle w:val="100000000000" w:firstRow="1" w:lastRow="0" w:firstColumn="0" w:lastColumn="0" w:oddVBand="0" w:evenVBand="0" w:oddHBand="0" w:evenHBand="0" w:firstRowFirstColumn="0" w:firstRowLastColumn="0" w:lastRowFirstColumn="0" w:lastRowLastColumn="0"/>
          <w:trHeight w:val="690"/>
        </w:trPr>
        <w:tc>
          <w:tcPr>
            <w:tcW w:w="3686" w:type="dxa"/>
          </w:tcPr>
          <w:p w14:paraId="4A45C09C" w14:textId="77777777" w:rsidR="00FE18D3" w:rsidRPr="00FE18D3" w:rsidRDefault="00FE18D3" w:rsidP="00FE18D3"/>
        </w:tc>
        <w:tc>
          <w:tcPr>
            <w:tcW w:w="1370" w:type="dxa"/>
          </w:tcPr>
          <w:p w14:paraId="70FAFC02" w14:textId="77777777" w:rsidR="00FE18D3" w:rsidRPr="00FE18D3" w:rsidRDefault="00FE18D3" w:rsidP="00C92B05">
            <w:pPr>
              <w:pStyle w:val="TableHeading1"/>
            </w:pPr>
            <w:r w:rsidRPr="00FE18D3">
              <w:t>December quarter 2024</w:t>
            </w:r>
          </w:p>
        </w:tc>
        <w:tc>
          <w:tcPr>
            <w:tcW w:w="1370" w:type="dxa"/>
          </w:tcPr>
          <w:p w14:paraId="67A2C2AC" w14:textId="77777777" w:rsidR="00FE18D3" w:rsidRPr="00FE18D3" w:rsidRDefault="00FE18D3" w:rsidP="00C92B05">
            <w:pPr>
              <w:pStyle w:val="TableHeading1"/>
            </w:pPr>
            <w:r w:rsidRPr="00FE18D3">
              <w:t>Change over the quarter</w:t>
            </w:r>
          </w:p>
        </w:tc>
        <w:tc>
          <w:tcPr>
            <w:tcW w:w="1371" w:type="dxa"/>
          </w:tcPr>
          <w:p w14:paraId="6A133AB1" w14:textId="77777777" w:rsidR="00FE18D3" w:rsidRPr="00FE18D3" w:rsidRDefault="00FE18D3" w:rsidP="00C92B05">
            <w:pPr>
              <w:pStyle w:val="TableHeading1"/>
            </w:pPr>
            <w:r w:rsidRPr="00FE18D3">
              <w:t>Change over 12 months</w:t>
            </w:r>
          </w:p>
        </w:tc>
      </w:tr>
      <w:tr w:rsidR="00FE18D3" w14:paraId="14839D48" w14:textId="77777777" w:rsidTr="00C92B05">
        <w:trPr>
          <w:trHeight w:val="300"/>
        </w:trPr>
        <w:tc>
          <w:tcPr>
            <w:tcW w:w="3686" w:type="dxa"/>
          </w:tcPr>
          <w:p w14:paraId="13032FD0" w14:textId="77777777" w:rsidR="00FE18D3" w:rsidRPr="00C92B05" w:rsidRDefault="00FE18D3" w:rsidP="00C92B05">
            <w:pPr>
              <w:pStyle w:val="TableBodyText"/>
            </w:pPr>
            <w:r w:rsidRPr="00C92B05">
              <w:t>Vacancy fill rate</w:t>
            </w:r>
          </w:p>
        </w:tc>
        <w:tc>
          <w:tcPr>
            <w:tcW w:w="1370" w:type="dxa"/>
          </w:tcPr>
          <w:p w14:paraId="7C4DEEE3" w14:textId="77777777" w:rsidR="00FE18D3" w:rsidRPr="00C92B05" w:rsidRDefault="00FE18D3" w:rsidP="00C92B05">
            <w:pPr>
              <w:pStyle w:val="TableBodyTextright"/>
            </w:pPr>
            <w:r w:rsidRPr="00C92B05">
              <w:t>63.9%</w:t>
            </w:r>
          </w:p>
        </w:tc>
        <w:tc>
          <w:tcPr>
            <w:tcW w:w="1370" w:type="dxa"/>
          </w:tcPr>
          <w:p w14:paraId="54D280BC" w14:textId="4A48BA76" w:rsidR="00FE18D3" w:rsidRPr="00C92B05" w:rsidRDefault="001F6D1F" w:rsidP="00C92B05">
            <w:pPr>
              <w:pStyle w:val="TableBodyTextright"/>
            </w:pPr>
            <w:r w:rsidRPr="001F6D1F">
              <w:rPr>
                <w:rFonts w:eastAsia="Arial"/>
              </w:rPr>
              <w:sym w:font="Wingdings" w:char="F0E1"/>
            </w:r>
            <w:r w:rsidRPr="001F6D1F">
              <w:rPr>
                <w:rFonts w:eastAsia="Arial"/>
              </w:rPr>
              <w:t xml:space="preserve"> </w:t>
            </w:r>
            <w:r w:rsidR="00FE18D3" w:rsidRPr="00C92B05">
              <w:t>1.0ppt</w:t>
            </w:r>
          </w:p>
        </w:tc>
        <w:tc>
          <w:tcPr>
            <w:tcW w:w="1371" w:type="dxa"/>
          </w:tcPr>
          <w:p w14:paraId="2AA19952" w14:textId="6EA4FA7F" w:rsidR="00FE18D3" w:rsidRPr="00C92B05" w:rsidRDefault="001F6D1F" w:rsidP="00C92B05">
            <w:pPr>
              <w:pStyle w:val="TableBodyTextright"/>
            </w:pPr>
            <w:r w:rsidRPr="001F6D1F">
              <w:rPr>
                <w:rFonts w:eastAsia="Arial"/>
              </w:rPr>
              <w:sym w:font="Wingdings" w:char="F0E1"/>
            </w:r>
            <w:r w:rsidRPr="001F6D1F">
              <w:rPr>
                <w:rFonts w:eastAsia="Arial"/>
              </w:rPr>
              <w:t xml:space="preserve"> </w:t>
            </w:r>
            <w:r w:rsidR="00FE18D3" w:rsidRPr="00C92B05">
              <w:t>5.0ppt</w:t>
            </w:r>
          </w:p>
        </w:tc>
      </w:tr>
      <w:tr w:rsidR="00FE18D3" w14:paraId="3B84B935" w14:textId="77777777" w:rsidTr="00C92B05">
        <w:trPr>
          <w:cnfStyle w:val="000000010000" w:firstRow="0" w:lastRow="0" w:firstColumn="0" w:lastColumn="0" w:oddVBand="0" w:evenVBand="0" w:oddHBand="0" w:evenHBand="1" w:firstRowFirstColumn="0" w:firstRowLastColumn="0" w:lastRowFirstColumn="0" w:lastRowLastColumn="0"/>
          <w:trHeight w:val="300"/>
        </w:trPr>
        <w:tc>
          <w:tcPr>
            <w:tcW w:w="3686" w:type="dxa"/>
          </w:tcPr>
          <w:p w14:paraId="1835995E" w14:textId="77777777" w:rsidR="00FE18D3" w:rsidRPr="00C92B05" w:rsidRDefault="00FE18D3" w:rsidP="00C92B05">
            <w:pPr>
              <w:pStyle w:val="TableBodyText"/>
            </w:pPr>
            <w:r w:rsidRPr="00C92B05">
              <w:t>Applicants per vacancy (no.)</w:t>
            </w:r>
          </w:p>
        </w:tc>
        <w:tc>
          <w:tcPr>
            <w:tcW w:w="1370" w:type="dxa"/>
          </w:tcPr>
          <w:p w14:paraId="5B496631" w14:textId="77777777" w:rsidR="00FE18D3" w:rsidRPr="00C92B05" w:rsidRDefault="00FE18D3" w:rsidP="00C92B05">
            <w:pPr>
              <w:pStyle w:val="TableBodyTextright"/>
            </w:pPr>
            <w:r w:rsidRPr="00C92B05">
              <w:t>19.2</w:t>
            </w:r>
          </w:p>
        </w:tc>
        <w:tc>
          <w:tcPr>
            <w:tcW w:w="1370" w:type="dxa"/>
          </w:tcPr>
          <w:p w14:paraId="29E244BD" w14:textId="655B5A06" w:rsidR="00FE18D3" w:rsidRPr="00C92B05" w:rsidRDefault="001F6D1F" w:rsidP="00C92B05">
            <w:pPr>
              <w:pStyle w:val="TableBodyTextright"/>
            </w:pPr>
            <w:r w:rsidRPr="001F6D1F">
              <w:rPr>
                <w:rFonts w:eastAsia="Arial"/>
              </w:rPr>
              <w:sym w:font="Wingdings" w:char="F0E1"/>
            </w:r>
            <w:r w:rsidRPr="001F6D1F">
              <w:rPr>
                <w:rFonts w:eastAsia="Arial"/>
              </w:rPr>
              <w:t xml:space="preserve"> </w:t>
            </w:r>
            <w:r w:rsidR="00FE18D3" w:rsidRPr="00C92B05">
              <w:t>1.8</w:t>
            </w:r>
          </w:p>
        </w:tc>
        <w:tc>
          <w:tcPr>
            <w:tcW w:w="1371" w:type="dxa"/>
          </w:tcPr>
          <w:p w14:paraId="6873BF74" w14:textId="19318B8C" w:rsidR="00FE18D3" w:rsidRPr="00C92B05" w:rsidRDefault="001F6D1F" w:rsidP="00C92B05">
            <w:pPr>
              <w:pStyle w:val="TableBodyTextright"/>
            </w:pPr>
            <w:r w:rsidRPr="001F6D1F">
              <w:rPr>
                <w:rFonts w:eastAsia="Arial"/>
              </w:rPr>
              <w:sym w:font="Wingdings" w:char="F0E1"/>
            </w:r>
            <w:r w:rsidRPr="001F6D1F">
              <w:rPr>
                <w:rFonts w:eastAsia="Arial"/>
              </w:rPr>
              <w:t xml:space="preserve"> </w:t>
            </w:r>
            <w:r w:rsidR="00FE18D3" w:rsidRPr="00C92B05">
              <w:t>8.1</w:t>
            </w:r>
          </w:p>
        </w:tc>
      </w:tr>
      <w:tr w:rsidR="00FE18D3" w14:paraId="0F935AAC" w14:textId="77777777" w:rsidTr="00C92B05">
        <w:trPr>
          <w:trHeight w:val="300"/>
        </w:trPr>
        <w:tc>
          <w:tcPr>
            <w:tcW w:w="3686" w:type="dxa"/>
          </w:tcPr>
          <w:p w14:paraId="6DC1E797" w14:textId="77777777" w:rsidR="00FE18D3" w:rsidRPr="00C92B05" w:rsidRDefault="00FE18D3" w:rsidP="00C92B05">
            <w:pPr>
              <w:pStyle w:val="TableBodyText"/>
            </w:pPr>
            <w:r w:rsidRPr="00C92B05">
              <w:t>Qualified applicants per vacancy (no.)</w:t>
            </w:r>
          </w:p>
        </w:tc>
        <w:tc>
          <w:tcPr>
            <w:tcW w:w="1370" w:type="dxa"/>
          </w:tcPr>
          <w:p w14:paraId="42DE74AE" w14:textId="77777777" w:rsidR="00FE18D3" w:rsidRPr="00C92B05" w:rsidRDefault="00FE18D3" w:rsidP="00C92B05">
            <w:pPr>
              <w:pStyle w:val="TableBodyTextright"/>
            </w:pPr>
            <w:r w:rsidRPr="00C92B05">
              <w:t>5.7</w:t>
            </w:r>
          </w:p>
        </w:tc>
        <w:tc>
          <w:tcPr>
            <w:tcW w:w="1370" w:type="dxa"/>
          </w:tcPr>
          <w:p w14:paraId="6B2F158B" w14:textId="21BBA7AC" w:rsidR="00FE18D3" w:rsidRPr="00C92B05" w:rsidRDefault="001F6D1F" w:rsidP="00C92B05">
            <w:pPr>
              <w:pStyle w:val="TableBodyTextright"/>
            </w:pPr>
            <w:r w:rsidRPr="001F6D1F">
              <w:rPr>
                <w:rFonts w:eastAsia="Arial"/>
              </w:rPr>
              <w:sym w:font="Wingdings" w:char="F0E1"/>
            </w:r>
            <w:r w:rsidRPr="001F6D1F">
              <w:rPr>
                <w:rFonts w:eastAsia="Arial"/>
              </w:rPr>
              <w:t xml:space="preserve"> </w:t>
            </w:r>
            <w:r w:rsidR="00FE18D3" w:rsidRPr="00C92B05">
              <w:t>0.4</w:t>
            </w:r>
          </w:p>
        </w:tc>
        <w:tc>
          <w:tcPr>
            <w:tcW w:w="1371" w:type="dxa"/>
          </w:tcPr>
          <w:p w14:paraId="085A69A4" w14:textId="579CB0E7" w:rsidR="00FE18D3" w:rsidRPr="00C92B05" w:rsidRDefault="001F6D1F" w:rsidP="00C92B05">
            <w:pPr>
              <w:pStyle w:val="TableBodyTextright"/>
            </w:pPr>
            <w:r w:rsidRPr="001F6D1F">
              <w:rPr>
                <w:rFonts w:eastAsia="Arial"/>
              </w:rPr>
              <w:sym w:font="Wingdings" w:char="F0E1"/>
            </w:r>
            <w:r w:rsidRPr="001F6D1F">
              <w:rPr>
                <w:rFonts w:eastAsia="Arial"/>
              </w:rPr>
              <w:t xml:space="preserve"> </w:t>
            </w:r>
            <w:r w:rsidR="00FE18D3" w:rsidRPr="00C92B05">
              <w:t>2.1</w:t>
            </w:r>
          </w:p>
        </w:tc>
      </w:tr>
      <w:tr w:rsidR="00FE18D3" w14:paraId="6F08A3AB" w14:textId="77777777" w:rsidTr="00C92B05">
        <w:trPr>
          <w:cnfStyle w:val="000000010000" w:firstRow="0" w:lastRow="0" w:firstColumn="0" w:lastColumn="0" w:oddVBand="0" w:evenVBand="0" w:oddHBand="0" w:evenHBand="1" w:firstRowFirstColumn="0" w:firstRowLastColumn="0" w:lastRowFirstColumn="0" w:lastRowLastColumn="0"/>
          <w:trHeight w:val="300"/>
        </w:trPr>
        <w:tc>
          <w:tcPr>
            <w:tcW w:w="3686" w:type="dxa"/>
          </w:tcPr>
          <w:p w14:paraId="230A44C3" w14:textId="77777777" w:rsidR="00FE18D3" w:rsidRPr="00C92B05" w:rsidRDefault="00FE18D3" w:rsidP="00C92B05">
            <w:pPr>
              <w:pStyle w:val="TableBodyText"/>
            </w:pPr>
            <w:r w:rsidRPr="00C92B05">
              <w:t>Suitable applicants per vacancy (no.)</w:t>
            </w:r>
          </w:p>
        </w:tc>
        <w:tc>
          <w:tcPr>
            <w:tcW w:w="1370" w:type="dxa"/>
          </w:tcPr>
          <w:p w14:paraId="5BFCC33B" w14:textId="77777777" w:rsidR="00FE18D3" w:rsidRPr="00C92B05" w:rsidRDefault="00FE18D3" w:rsidP="00C92B05">
            <w:pPr>
              <w:pStyle w:val="TableBodyTextright"/>
            </w:pPr>
            <w:r w:rsidRPr="00C92B05">
              <w:t>2.5</w:t>
            </w:r>
          </w:p>
        </w:tc>
        <w:tc>
          <w:tcPr>
            <w:tcW w:w="1370" w:type="dxa"/>
          </w:tcPr>
          <w:p w14:paraId="0ADA98D6" w14:textId="53070C4A" w:rsidR="00FE18D3" w:rsidRPr="00C92B05" w:rsidRDefault="001F6D1F" w:rsidP="00C92B05">
            <w:pPr>
              <w:pStyle w:val="TableBodyTextright"/>
            </w:pPr>
            <w:r w:rsidRPr="001F6D1F">
              <w:rPr>
                <w:rFonts w:eastAsia="Arial"/>
              </w:rPr>
              <w:sym w:font="Wingdings" w:char="F0E1"/>
            </w:r>
            <w:r w:rsidRPr="001F6D1F">
              <w:rPr>
                <w:rFonts w:eastAsia="Arial"/>
              </w:rPr>
              <w:t xml:space="preserve"> </w:t>
            </w:r>
            <w:r w:rsidR="00FE18D3" w:rsidRPr="00C92B05">
              <w:t>0.1</w:t>
            </w:r>
          </w:p>
        </w:tc>
        <w:tc>
          <w:tcPr>
            <w:tcW w:w="1371" w:type="dxa"/>
          </w:tcPr>
          <w:p w14:paraId="7F25FA84" w14:textId="68ADC10D" w:rsidR="00FE18D3" w:rsidRPr="00C92B05" w:rsidRDefault="001F6D1F" w:rsidP="00C92B05">
            <w:pPr>
              <w:pStyle w:val="TableBodyTextright"/>
            </w:pPr>
            <w:r w:rsidRPr="001F6D1F">
              <w:rPr>
                <w:rFonts w:eastAsia="Arial"/>
              </w:rPr>
              <w:sym w:font="Wingdings" w:char="F0E1"/>
            </w:r>
            <w:r w:rsidRPr="001F6D1F">
              <w:rPr>
                <w:rFonts w:eastAsia="Arial"/>
              </w:rPr>
              <w:t xml:space="preserve"> </w:t>
            </w:r>
            <w:r w:rsidR="00FE18D3" w:rsidRPr="00C92B05">
              <w:t>0.6</w:t>
            </w:r>
          </w:p>
        </w:tc>
      </w:tr>
      <w:tr w:rsidR="00FE18D3" w14:paraId="64013C18" w14:textId="77777777" w:rsidTr="00C92B05">
        <w:trPr>
          <w:trHeight w:val="300"/>
        </w:trPr>
        <w:tc>
          <w:tcPr>
            <w:tcW w:w="3686" w:type="dxa"/>
          </w:tcPr>
          <w:p w14:paraId="397BD1EE" w14:textId="77777777" w:rsidR="00FE18D3" w:rsidRPr="00C92B05" w:rsidRDefault="00FE18D3" w:rsidP="00C92B05">
            <w:pPr>
              <w:pStyle w:val="TableBodyText"/>
            </w:pPr>
            <w:r w:rsidRPr="00C92B05">
              <w:t xml:space="preserve">Suitability gap </w:t>
            </w:r>
          </w:p>
        </w:tc>
        <w:tc>
          <w:tcPr>
            <w:tcW w:w="1370" w:type="dxa"/>
          </w:tcPr>
          <w:p w14:paraId="5E316636" w14:textId="77777777" w:rsidR="00FE18D3" w:rsidRPr="00C92B05" w:rsidRDefault="00FE18D3" w:rsidP="00C92B05">
            <w:pPr>
              <w:pStyle w:val="TableBodyTextright"/>
            </w:pPr>
            <w:r w:rsidRPr="00C92B05">
              <w:t>56.1%</w:t>
            </w:r>
          </w:p>
        </w:tc>
        <w:tc>
          <w:tcPr>
            <w:tcW w:w="1370" w:type="dxa"/>
          </w:tcPr>
          <w:p w14:paraId="282AFBC9" w14:textId="672F508A" w:rsidR="00FE18D3" w:rsidRPr="00C92B05" w:rsidRDefault="001F6D1F" w:rsidP="00C92B05">
            <w:pPr>
              <w:pStyle w:val="TableBodyTextright"/>
            </w:pPr>
            <w:r w:rsidRPr="001F6D1F">
              <w:rPr>
                <w:rFonts w:eastAsia="Arial"/>
              </w:rPr>
              <w:sym w:font="Wingdings" w:char="F0E1"/>
            </w:r>
            <w:r w:rsidRPr="001F6D1F">
              <w:rPr>
                <w:rFonts w:eastAsia="Arial"/>
              </w:rPr>
              <w:t xml:space="preserve"> </w:t>
            </w:r>
            <w:r w:rsidR="00FE18D3" w:rsidRPr="00C92B05">
              <w:t>0.8ppt</w:t>
            </w:r>
          </w:p>
        </w:tc>
        <w:tc>
          <w:tcPr>
            <w:tcW w:w="1371" w:type="dxa"/>
          </w:tcPr>
          <w:p w14:paraId="140A2384" w14:textId="5467E790" w:rsidR="00FE18D3" w:rsidRPr="00C92B05" w:rsidRDefault="001F6D1F" w:rsidP="00C92B05">
            <w:pPr>
              <w:pStyle w:val="TableBodyTextright"/>
            </w:pPr>
            <w:r w:rsidRPr="001F6D1F">
              <w:rPr>
                <w:rFonts w:eastAsia="Arial"/>
              </w:rPr>
              <w:sym w:font="Wingdings" w:char="F0E1"/>
            </w:r>
            <w:r w:rsidRPr="001F6D1F">
              <w:rPr>
                <w:rFonts w:eastAsia="Arial"/>
              </w:rPr>
              <w:t xml:space="preserve"> </w:t>
            </w:r>
            <w:r w:rsidR="00FE18D3" w:rsidRPr="00C92B05">
              <w:t>8.3ppt</w:t>
            </w:r>
          </w:p>
        </w:tc>
      </w:tr>
    </w:tbl>
    <w:p w14:paraId="1E6B46F4" w14:textId="77777777" w:rsidR="00FE18D3" w:rsidRPr="00FE18D3" w:rsidRDefault="00FE18D3" w:rsidP="00FD5E3B">
      <w:pPr>
        <w:pStyle w:val="Source"/>
      </w:pPr>
      <w:r w:rsidRPr="00FE18D3">
        <w:rPr>
          <w:rFonts w:eastAsia="Arial"/>
        </w:rPr>
        <w:t xml:space="preserve">Source: Jobs and Skills </w:t>
      </w:r>
      <w:r w:rsidRPr="00FD5E3B">
        <w:rPr>
          <w:rFonts w:eastAsia="Arial"/>
        </w:rPr>
        <w:t>Australia</w:t>
      </w:r>
      <w:r w:rsidRPr="00FE18D3">
        <w:rPr>
          <w:rFonts w:eastAsia="Arial"/>
        </w:rPr>
        <w:t xml:space="preserve">, </w:t>
      </w:r>
      <w:r w:rsidRPr="00FE18D3">
        <w:t>SERA.</w:t>
      </w:r>
    </w:p>
    <w:p w14:paraId="2447BA31" w14:textId="5633E6C5" w:rsidR="00FD5E3B" w:rsidRDefault="004364CC" w:rsidP="00FD5E3B">
      <w:pPr>
        <w:pStyle w:val="BodyText"/>
      </w:pPr>
      <w:r w:rsidRPr="004364CC">
        <w:t xml:space="preserve">In the current quarter and over the past 12 months, fill rates improved for </w:t>
      </w:r>
      <w:r w:rsidR="00180EBC">
        <w:t>Skill Level</w:t>
      </w:r>
      <w:r w:rsidRPr="004364CC">
        <w:t xml:space="preserve"> 1 to 3 occupations (Figure </w:t>
      </w:r>
      <w:r w:rsidR="00D5620F">
        <w:t>8</w:t>
      </w:r>
      <w:r w:rsidRPr="004364CC">
        <w:t xml:space="preserve">). The result was supported by increases in all the applicants per vacancy metrics for all the occupation groups. </w:t>
      </w:r>
      <w:r w:rsidR="00180EBC">
        <w:t>Skill Level</w:t>
      </w:r>
      <w:r w:rsidRPr="004364CC">
        <w:t xml:space="preserve"> 3 occupations had the largest increase in fill rates (up 1.4 percentage points) over the quarter. However, compared to other </w:t>
      </w:r>
      <w:r w:rsidR="00180EBC">
        <w:t>Skill Level</w:t>
      </w:r>
      <w:r w:rsidRPr="004364CC">
        <w:t xml:space="preserve"> occupation groups, the rate remained very low at 55.3%. This suggests that shortage pressures remain higher for </w:t>
      </w:r>
      <w:r w:rsidR="00180EBC">
        <w:t>Skill Level</w:t>
      </w:r>
      <w:r w:rsidRPr="004364CC">
        <w:t xml:space="preserve"> 3 occupations.</w:t>
      </w:r>
      <w:r w:rsidR="008A7A53" w:rsidRPr="008A7A53">
        <w:t xml:space="preserve"> </w:t>
      </w:r>
      <w:r w:rsidR="008A7A53" w:rsidRPr="000137D0">
        <w:rPr>
          <w:rStyle w:val="FootnoteReference"/>
        </w:rPr>
        <w:footnoteReference w:id="16"/>
      </w:r>
    </w:p>
    <w:p w14:paraId="0F3519A4" w14:textId="77777777" w:rsidR="008A7A53" w:rsidRDefault="008A7A53">
      <w:pPr>
        <w:spacing w:before="0" w:after="200" w:line="276" w:lineRule="auto"/>
        <w:rPr>
          <w:b/>
          <w:bCs/>
          <w:color w:val="012749"/>
          <w:sz w:val="18"/>
          <w:szCs w:val="18"/>
        </w:rPr>
      </w:pPr>
      <w:r>
        <w:br w:type="page"/>
      </w:r>
    </w:p>
    <w:p w14:paraId="1BB791E8" w14:textId="61BED910" w:rsidR="00FE18D3" w:rsidRPr="00FE18D3" w:rsidRDefault="00D175A5" w:rsidP="00FD5E3B">
      <w:pPr>
        <w:pStyle w:val="Caption"/>
      </w:pPr>
      <w:r>
        <w:lastRenderedPageBreak/>
        <w:t xml:space="preserve">Figure </w:t>
      </w:r>
      <w:r>
        <w:fldChar w:fldCharType="begin"/>
      </w:r>
      <w:r>
        <w:instrText xml:space="preserve"> SEQ Figure \* ARABIC </w:instrText>
      </w:r>
      <w:r>
        <w:fldChar w:fldCharType="separate"/>
      </w:r>
      <w:r w:rsidR="004B52FB">
        <w:rPr>
          <w:noProof/>
        </w:rPr>
        <w:t>8</w:t>
      </w:r>
      <w:r>
        <w:fldChar w:fldCharType="end"/>
      </w:r>
      <w:r w:rsidR="00FE18D3" w:rsidRPr="00FE18D3">
        <w:t xml:space="preserve">: Fill rate, by </w:t>
      </w:r>
      <w:r w:rsidR="00A67901">
        <w:t>Skill Level</w:t>
      </w:r>
      <w:r w:rsidR="00FE18D3" w:rsidRPr="00FE18D3">
        <w:t xml:space="preserve">, June 2022 to June 2024 </w:t>
      </w:r>
    </w:p>
    <w:p w14:paraId="14824562" w14:textId="6901651D" w:rsidR="00FE18D3" w:rsidRPr="00FE18D3" w:rsidRDefault="00FC4DA4" w:rsidP="00FE18D3">
      <w:pPr>
        <w:pStyle w:val="Source"/>
      </w:pPr>
      <w:r w:rsidRPr="00FC4DA4">
        <w:rPr>
          <w:noProof/>
        </w:rPr>
        <w:drawing>
          <wp:inline distT="0" distB="0" distL="0" distR="0" wp14:anchorId="7E3E84F5" wp14:editId="6BBDC0FD">
            <wp:extent cx="5731200" cy="2070000"/>
            <wp:effectExtent l="0" t="0" r="3175" b="6985"/>
            <wp:docPr id="1672359320" name="Chart 1" descr="Figure 5 shows the quarterly fill rate and total, qualified and suitable applicants per vacancy, by ANZSCO skill levels 1-4 from 2022 to 2024. The most notable growth in fill rates has been observed in the Skill Level 1 and 3 occupations, where the fill rates for both increased by 1.2 and 1.4 percentage points over the quarter. Despite the increase in fill rates for Skill Level 3 occupations, the fill rates remain very low at 55.3%, which is lower than the fill rates of the other skill levels analysed. Skill level 4 occupations had a decrease in their fill rates, by 0.1 percentage points, over the quarter. ">
              <a:extLst xmlns:a="http://schemas.openxmlformats.org/drawingml/2006/main">
                <a:ext uri="{FF2B5EF4-FFF2-40B4-BE49-F238E27FC236}">
                  <a16:creationId xmlns:a16="http://schemas.microsoft.com/office/drawing/2014/main" id="{30351ABA-7D0A-4983-AB45-190215FA3E43}"/>
                </a:ext>
                <a:ext uri="{147F2762-F138-4A5C-976F-8EAC2B608ADB}">
                  <a16:predDERef xmlns:a16="http://schemas.microsoft.com/office/drawing/2014/main" pred="{7DA80257-4A7D-4351-A93F-A03F897C64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CF7366">
        <w:br/>
      </w:r>
      <w:r w:rsidRPr="00FC4DA4">
        <w:rPr>
          <w:noProof/>
        </w:rPr>
        <w:drawing>
          <wp:inline distT="0" distB="0" distL="0" distR="0" wp14:anchorId="1D5C9EA9" wp14:editId="053F7065">
            <wp:extent cx="5731200" cy="2070000"/>
            <wp:effectExtent l="0" t="0" r="3175" b="6985"/>
            <wp:docPr id="559658194" name="Chart 1" descr="Figure 5 shows the quarterly fill rate and total, qualified and suitable applicants per vacancy, by ANZSCO skill levels 1-4 from 2022 to 2024. The most notable growth in fill rates has been observed in the Skill Level 1 and 3 occupations, where the fill rates for both increased by 1.2 and 1.4 percentage points over the quarter. Despite the increase in fill rates for Skill Level 3 occupations, the fill rates remain very low at 55.3%, which is lower than the fill rates of the other skill levels analysed. Skill level 4 occupations had a decrease in their fill rates, by 0.1 percentage points, over the quarter. ">
              <a:extLst xmlns:a="http://schemas.openxmlformats.org/drawingml/2006/main">
                <a:ext uri="{FF2B5EF4-FFF2-40B4-BE49-F238E27FC236}">
                  <a16:creationId xmlns:a16="http://schemas.microsoft.com/office/drawing/2014/main" id="{BEAEB503-8F6C-475A-856A-2DFA4237DF5A}"/>
                </a:ext>
                <a:ext uri="{147F2762-F138-4A5C-976F-8EAC2B608ADB}">
                  <a16:predDERef xmlns:a16="http://schemas.microsoft.com/office/drawing/2014/main" pred="{7DA80257-4A7D-4351-A93F-A03F897C64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CF7366">
        <w:br/>
      </w:r>
      <w:r w:rsidRPr="00FC4DA4">
        <w:rPr>
          <w:noProof/>
        </w:rPr>
        <w:drawing>
          <wp:inline distT="0" distB="0" distL="0" distR="0" wp14:anchorId="6DC7929A" wp14:editId="1C501BD4">
            <wp:extent cx="5731200" cy="2070000"/>
            <wp:effectExtent l="0" t="0" r="3175" b="6985"/>
            <wp:docPr id="813590127" name="Chart 1" descr="Figure 5 shows the quarterly fill rate and total, qualified and suitable applicants per vacancy, by ANZSCO skill levels 1-4 from 2022 to 2024. The most notable growth in fill rates has been observed in the Skill Level 1 and 3 occupations, where the fill rates for both increased by 1.2 and 1.4 percentage points over the quarter. Despite the increase in fill rates for Skill Level 3 occupations, the fill rates remain very low at 55.3%, which is lower than the fill rates of the other skill levels analysed. Skill level 4 occupations had a decrease in their fill rates, by 0.1 percentage points, over the quarter. ">
              <a:extLst xmlns:a="http://schemas.openxmlformats.org/drawingml/2006/main">
                <a:ext uri="{FF2B5EF4-FFF2-40B4-BE49-F238E27FC236}">
                  <a16:creationId xmlns:a16="http://schemas.microsoft.com/office/drawing/2014/main" id="{BCD01C71-5DFF-43D9-9808-C1D2A720292D}"/>
                </a:ext>
                <a:ext uri="{147F2762-F138-4A5C-976F-8EAC2B608ADB}">
                  <a16:predDERef xmlns:a16="http://schemas.microsoft.com/office/drawing/2014/main" pred="{7DA80257-4A7D-4351-A93F-A03F897C64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CF7366">
        <w:br/>
      </w:r>
      <w:r w:rsidRPr="00FC4DA4">
        <w:rPr>
          <w:noProof/>
        </w:rPr>
        <w:drawing>
          <wp:inline distT="0" distB="0" distL="0" distR="0" wp14:anchorId="48484D7C" wp14:editId="18D1741A">
            <wp:extent cx="5731200" cy="2242800"/>
            <wp:effectExtent l="0" t="0" r="3175" b="5715"/>
            <wp:docPr id="187992965" name="Chart 1" descr="Figure 5 shows the quarterly fill rate and total, qualified and suitable applicants per vacancy, by ANZSCO skill levels 1-4 from 2022 to 2024. The most notable growth in fill rates has been observed in the Skill Level 1 and 3 occupations, where the fill rates for both increased by 1.2 and 1.4 percentage points over the quarter. Despite the increase in fill rates for Skill Level 3 occupations, the fill rates remain very low at 55.3%, which is lower than the fill rates of the other skill levels analysed. Skill level 4 occupations had a decrease in their fill rates, by 0.1 percentage points, over the quarter. ">
              <a:extLst xmlns:a="http://schemas.openxmlformats.org/drawingml/2006/main">
                <a:ext uri="{FF2B5EF4-FFF2-40B4-BE49-F238E27FC236}">
                  <a16:creationId xmlns:a16="http://schemas.microsoft.com/office/drawing/2014/main" id="{928D7D9C-4CC9-4E23-B0CF-151468A63D41}"/>
                </a:ext>
                <a:ext uri="{147F2762-F138-4A5C-976F-8EAC2B608ADB}">
                  <a16:predDERef xmlns:a16="http://schemas.microsoft.com/office/drawing/2014/main" pred="{7DA80257-4A7D-4351-A93F-A03F897C64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br/>
      </w:r>
      <w:r w:rsidR="00FE18D3" w:rsidRPr="00BB26CB">
        <w:t>Source: Jobs and Skills Australia, S</w:t>
      </w:r>
      <w:r w:rsidR="00FE18D3">
        <w:t xml:space="preserve">ERA </w:t>
      </w:r>
    </w:p>
    <w:p w14:paraId="64AC816A" w14:textId="0AB84B48" w:rsidR="00FE18D3" w:rsidRPr="00FE18D3" w:rsidRDefault="00FE18D3" w:rsidP="00FE18D3"/>
    <w:tbl>
      <w:tblPr>
        <w:tblStyle w:val="CustomTablepulloutbox"/>
        <w:tblW w:w="0" w:type="auto"/>
        <w:tblLook w:val="04A0" w:firstRow="1" w:lastRow="0" w:firstColumn="1" w:lastColumn="0" w:noHBand="0" w:noVBand="1"/>
      </w:tblPr>
      <w:tblGrid>
        <w:gridCol w:w="8996"/>
      </w:tblGrid>
      <w:tr w:rsidR="00A7761E" w14:paraId="36DA9BDC" w14:textId="77777777" w:rsidTr="00ED0EA3">
        <w:tc>
          <w:tcPr>
            <w:tcW w:w="8996" w:type="dxa"/>
          </w:tcPr>
          <w:p w14:paraId="002A4BAE" w14:textId="64CC658E" w:rsidR="00A7761E" w:rsidRPr="00A7761E" w:rsidRDefault="00A7761E" w:rsidP="002A7210">
            <w:pPr>
              <w:pStyle w:val="Heading2"/>
            </w:pPr>
            <w:bookmarkStart w:id="31" w:name="_Toc189836963"/>
            <w:bookmarkStart w:id="32" w:name="_Toc151365204"/>
            <w:bookmarkStart w:id="33" w:name="_Toc152324321"/>
            <w:bookmarkStart w:id="34" w:name="_Toc166140515"/>
            <w:r w:rsidRPr="00A7761E">
              <w:lastRenderedPageBreak/>
              <w:t>In focus: Understanding dynamics in the labour market</w:t>
            </w:r>
            <w:bookmarkEnd w:id="31"/>
          </w:p>
          <w:p w14:paraId="71A61319" w14:textId="5E537300" w:rsidR="00A7761E" w:rsidRPr="00A7761E" w:rsidRDefault="00A7761E" w:rsidP="00DB4BF0">
            <w:pPr>
              <w:pStyle w:val="BodyText"/>
            </w:pPr>
            <w:r w:rsidRPr="00A7761E">
              <w:t xml:space="preserve">Analysing the interactions between various labour market indicators reveal additional insights on labour market dynamics. Figure </w:t>
            </w:r>
            <w:r w:rsidR="00D5620F">
              <w:t>9</w:t>
            </w:r>
            <w:r w:rsidR="00D5620F" w:rsidRPr="00A7761E">
              <w:t xml:space="preserve"> </w:t>
            </w:r>
            <w:r w:rsidRPr="00A7761E">
              <w:t>displays the unemployment rate, IVI vacancy rate, SERA vacancy fill rate and suitability gap from 2014 to 2024.</w:t>
            </w:r>
          </w:p>
          <w:p w14:paraId="0B378B77" w14:textId="426FC029" w:rsidR="00A7761E" w:rsidRPr="00A7761E" w:rsidRDefault="00A7761E" w:rsidP="00DB4BF0">
            <w:pPr>
              <w:pStyle w:val="BodyText"/>
            </w:pPr>
            <w:r w:rsidRPr="00A7761E">
              <w:t xml:space="preserve">The vacancy and unemployment rates exhibit an inverse relationship. Periods of high unemployment were typically accompanied by lower vacancy rates. This trend was particularly evident during the COVID-19 pandemic when economic disruptions led to a sharp increase in unemployment and a corresponding fall in vacancy rates. The pattern of movements in these metrics </w:t>
            </w:r>
            <w:r w:rsidR="00485B3D">
              <w:t>imply</w:t>
            </w:r>
            <w:r w:rsidRPr="00A7761E">
              <w:t xml:space="preserve"> that shortage pressures may be lower during periods of high unemployment and low vacancy rates. </w:t>
            </w:r>
          </w:p>
          <w:p w14:paraId="1AB1DA60" w14:textId="21656B01" w:rsidR="00936385" w:rsidRDefault="00A7761E" w:rsidP="00DB4BF0">
            <w:pPr>
              <w:pStyle w:val="BodyText"/>
            </w:pPr>
            <w:r w:rsidRPr="00A7761E">
              <w:t xml:space="preserve">The SERA vacancy fill rate, which measures the level at which vacancies are filled – an indicator of shortage pressure, </w:t>
            </w:r>
            <w:r w:rsidR="00414D21">
              <w:t xml:space="preserve">tends to </w:t>
            </w:r>
            <w:r w:rsidR="003050CA">
              <w:t xml:space="preserve">follow </w:t>
            </w:r>
            <w:r w:rsidR="00855C8E">
              <w:t>movements</w:t>
            </w:r>
            <w:r w:rsidRPr="00A7761E">
              <w:t xml:space="preserve"> </w:t>
            </w:r>
            <w:r w:rsidR="00B86152">
              <w:t xml:space="preserve">in </w:t>
            </w:r>
            <w:r w:rsidRPr="00A7761E">
              <w:t xml:space="preserve">the unemployment rate. During the early pandemic, </w:t>
            </w:r>
            <w:r w:rsidR="0057447A">
              <w:t xml:space="preserve">when the unemployment rate rose sharply, </w:t>
            </w:r>
            <w:r w:rsidRPr="00A7761E">
              <w:t xml:space="preserve">the fill rate </w:t>
            </w:r>
            <w:r w:rsidR="00972B1D">
              <w:t xml:space="preserve">increased rapidly </w:t>
            </w:r>
            <w:r w:rsidRPr="00A7761E">
              <w:t>from 58% in March 2020 to 65% in December 2020</w:t>
            </w:r>
            <w:r w:rsidR="00972B1D">
              <w:t>. This may be due to the larger</w:t>
            </w:r>
            <w:r w:rsidRPr="00A7761E">
              <w:t xml:space="preserve"> of job seekers</w:t>
            </w:r>
            <w:r w:rsidR="00276830">
              <w:t xml:space="preserve"> </w:t>
            </w:r>
            <w:r w:rsidR="00972B1D">
              <w:t>(</w:t>
            </w:r>
            <w:r w:rsidRPr="00A7761E">
              <w:t>as indicated by higher unemployment rates</w:t>
            </w:r>
            <w:r w:rsidR="00972B1D">
              <w:t>)</w:t>
            </w:r>
            <w:r w:rsidRPr="00A7761E">
              <w:t xml:space="preserve">. </w:t>
            </w:r>
          </w:p>
          <w:p w14:paraId="6CEE0CF3" w14:textId="1065B56A" w:rsidR="00A7761E" w:rsidRPr="00A7761E" w:rsidRDefault="00A714D0" w:rsidP="00DB4BF0">
            <w:pPr>
              <w:pStyle w:val="BodyText"/>
            </w:pPr>
            <w:r>
              <w:t>T</w:t>
            </w:r>
            <w:r w:rsidR="00A7761E" w:rsidRPr="00A7761E">
              <w:t>he gap between the unemployment and SERA fill rates appears to be growing wider in the post-COVID period. This may be due to a high labour force participation rate that occurred during tight labour market conditions</w:t>
            </w:r>
            <w:r w:rsidR="00CA226C">
              <w:t xml:space="preserve"> </w:t>
            </w:r>
            <w:r w:rsidR="005B29F8">
              <w:t xml:space="preserve">– </w:t>
            </w:r>
            <w:r w:rsidR="00CA226C">
              <w:t xml:space="preserve">following </w:t>
            </w:r>
            <w:r w:rsidR="00A74782">
              <w:t>the easing of COVID restrictions</w:t>
            </w:r>
            <w:r w:rsidR="005B29F8">
              <w:t xml:space="preserve"> — </w:t>
            </w:r>
            <w:r w:rsidR="00D3242E">
              <w:t xml:space="preserve">that was </w:t>
            </w:r>
            <w:r w:rsidR="00A7761E" w:rsidRPr="00A7761E">
              <w:t>particularly strong among young people and women entering or re-entering the labour market.</w:t>
            </w:r>
          </w:p>
          <w:p w14:paraId="3FFB9DDD" w14:textId="2C6FE0A9" w:rsidR="00A7761E" w:rsidRDefault="00A7761E" w:rsidP="00DB4BF0">
            <w:pPr>
              <w:pStyle w:val="BodyText"/>
            </w:pPr>
            <w:r w:rsidRPr="00A7761E">
              <w:t>The suitability gap</w:t>
            </w:r>
            <w:r w:rsidR="000B6588">
              <w:t>, which</w:t>
            </w:r>
            <w:r w:rsidRPr="00A7761E">
              <w:t xml:space="preserve"> indicates the mismatch between job requirements and job seekers' skills</w:t>
            </w:r>
            <w:r w:rsidR="006B6C77">
              <w:t>,</w:t>
            </w:r>
            <w:r w:rsidRPr="00A7761E">
              <w:t xml:space="preserve"> also tends to rise with the unemployment rate. Higher unemployment often reflects a lack of suitable skills among </w:t>
            </w:r>
            <w:r w:rsidR="005D36B7" w:rsidRPr="00A7761E">
              <w:t>applicants,</w:t>
            </w:r>
            <w:r w:rsidR="00B55886">
              <w:t xml:space="preserve"> but it can also reflect </w:t>
            </w:r>
            <w:r w:rsidR="00F71EEF">
              <w:t>challenges when recruiting</w:t>
            </w:r>
            <w:r w:rsidRPr="00A7761E">
              <w:t xml:space="preserve">. </w:t>
            </w:r>
            <w:r w:rsidR="005D36B7">
              <w:t>A</w:t>
            </w:r>
            <w:r w:rsidR="006F19F1">
              <w:t xml:space="preserve">fter the </w:t>
            </w:r>
            <w:r w:rsidR="00007C91">
              <w:t>post-C</w:t>
            </w:r>
            <w:r w:rsidR="00FA10C4">
              <w:t>OVID</w:t>
            </w:r>
            <w:r w:rsidR="00B81E1D">
              <w:t xml:space="preserve"> period</w:t>
            </w:r>
            <w:r w:rsidRPr="00A7761E">
              <w:t xml:space="preserve">, </w:t>
            </w:r>
            <w:r w:rsidR="00FD15B9">
              <w:t xml:space="preserve">during </w:t>
            </w:r>
            <w:r w:rsidRPr="00A7761E">
              <w:t xml:space="preserve">the </w:t>
            </w:r>
            <w:r w:rsidR="007C2245">
              <w:t xml:space="preserve">period of high vacancy rates and low </w:t>
            </w:r>
            <w:r w:rsidR="00FA10C4">
              <w:t>unemployment</w:t>
            </w:r>
            <w:r w:rsidR="007C2245">
              <w:t xml:space="preserve">, </w:t>
            </w:r>
            <w:r w:rsidRPr="00A7761E">
              <w:t xml:space="preserve">the suitability gap reduced. This was </w:t>
            </w:r>
            <w:r w:rsidR="00E6436E" w:rsidRPr="00A7761E">
              <w:t>due</w:t>
            </w:r>
            <w:r w:rsidRPr="00A7761E">
              <w:t xml:space="preserve"> to due to service delivery backlogs from COVID-19, which increased labour demand and led employers to be less critical of job seekers, rather than improvements in workforce skill alignment.</w:t>
            </w:r>
          </w:p>
          <w:p w14:paraId="1A36795D" w14:textId="248225D2" w:rsidR="00A7761E" w:rsidRDefault="003C0796" w:rsidP="00DB4BF0">
            <w:pPr>
              <w:pStyle w:val="BodyText"/>
            </w:pPr>
            <w:r w:rsidRPr="007802F4">
              <w:t xml:space="preserve">In late 2023-2024, the labour market showed significant adjustment from the pandemic effects. The unemployment rate </w:t>
            </w:r>
            <w:r w:rsidRPr="003C0796">
              <w:t xml:space="preserve">hovered between 3.6% and 4.2%, while job vacancy rates, elevated compared to </w:t>
            </w:r>
            <w:r w:rsidR="002E1C71">
              <w:t xml:space="preserve">the </w:t>
            </w:r>
            <w:r w:rsidRPr="003C0796">
              <w:t>pre-COVID period, trended down. Under the softening labour market conditions, the fill rate increased and so did the suitability gap.</w:t>
            </w:r>
          </w:p>
        </w:tc>
      </w:tr>
    </w:tbl>
    <w:bookmarkEnd w:id="32"/>
    <w:bookmarkEnd w:id="33"/>
    <w:bookmarkEnd w:id="34"/>
    <w:p w14:paraId="3092C64E" w14:textId="4BE962B7" w:rsidR="00FE18D3" w:rsidRPr="00FE18D3" w:rsidRDefault="00D175A5" w:rsidP="004C71C0">
      <w:pPr>
        <w:pStyle w:val="Caption"/>
      </w:pPr>
      <w:r>
        <w:lastRenderedPageBreak/>
        <w:t xml:space="preserve">Figure </w:t>
      </w:r>
      <w:r>
        <w:fldChar w:fldCharType="begin"/>
      </w:r>
      <w:r>
        <w:instrText xml:space="preserve"> SEQ Figure \* ARABIC </w:instrText>
      </w:r>
      <w:r>
        <w:fldChar w:fldCharType="separate"/>
      </w:r>
      <w:r w:rsidR="004B52FB">
        <w:rPr>
          <w:noProof/>
        </w:rPr>
        <w:t>9</w:t>
      </w:r>
      <w:r>
        <w:fldChar w:fldCharType="end"/>
      </w:r>
      <w:r w:rsidR="00FE18D3" w:rsidRPr="00FE18D3">
        <w:t>: Key labour market Indicators (2014–24)</w:t>
      </w:r>
      <w:r w:rsidR="003428F2" w:rsidRPr="003428F2">
        <w:t xml:space="preserve"> </w:t>
      </w:r>
      <w:r w:rsidR="003428F2" w:rsidRPr="00FE18D3">
        <w:rPr>
          <w:noProof/>
        </w:rPr>
        <w:drawing>
          <wp:inline distT="0" distB="0" distL="0" distR="0" wp14:anchorId="0DE75A2F" wp14:editId="538B3CD1">
            <wp:extent cx="5731510" cy="2764800"/>
            <wp:effectExtent l="0" t="0" r="2540" b="0"/>
            <wp:docPr id="1790003131" name="Chart 1">
              <a:extLst xmlns:a="http://schemas.openxmlformats.org/drawingml/2006/main">
                <a:ext uri="{FF2B5EF4-FFF2-40B4-BE49-F238E27FC236}">
                  <a16:creationId xmlns:a16="http://schemas.microsoft.com/office/drawing/2014/main" id="{B13D90C1-1742-4894-8B1B-174BD2E612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9CE7315" w14:textId="659E9FC6" w:rsidR="00FE18D3" w:rsidRDefault="00FE18D3" w:rsidP="00FD5E3B">
      <w:pPr>
        <w:pStyle w:val="Source"/>
      </w:pPr>
      <w:bookmarkStart w:id="35" w:name="_Ref173249958"/>
      <w:bookmarkStart w:id="36" w:name="_Ref173226377"/>
      <w:r w:rsidRPr="00B118B6">
        <w:t xml:space="preserve">Source: Jobs and Skills Australia, </w:t>
      </w:r>
      <w:r w:rsidR="00D06FBD" w:rsidRPr="00B118B6">
        <w:t>I</w:t>
      </w:r>
      <w:r w:rsidR="00D06FBD">
        <w:t>VI,</w:t>
      </w:r>
      <w:r>
        <w:t xml:space="preserve"> </w:t>
      </w:r>
      <w:r w:rsidRPr="00B118B6">
        <w:t>and SERA; A</w:t>
      </w:r>
      <w:r>
        <w:t>BS</w:t>
      </w:r>
      <w:r w:rsidRPr="00B118B6">
        <w:t xml:space="preserve">, Labour </w:t>
      </w:r>
      <w:r w:rsidRPr="00FD5E3B">
        <w:t>Force</w:t>
      </w:r>
      <w:r w:rsidRPr="00B118B6">
        <w:t xml:space="preserve"> Statistics 2024.</w:t>
      </w:r>
    </w:p>
    <w:p w14:paraId="378900A4" w14:textId="77777777" w:rsidR="00FE18D3" w:rsidRDefault="00FE18D3" w:rsidP="00FE18D3">
      <w:pPr>
        <w:pStyle w:val="Heading1"/>
        <w:sectPr w:rsidR="00FE18D3" w:rsidSect="00FE18D3">
          <w:headerReference w:type="default" r:id="rId30"/>
          <w:headerReference w:type="first" r:id="rId31"/>
          <w:footerReference w:type="first" r:id="rId32"/>
          <w:pgSz w:w="11906" w:h="16838"/>
          <w:pgMar w:top="1276" w:right="1440" w:bottom="1134" w:left="1440" w:header="0" w:footer="539" w:gutter="0"/>
          <w:pgNumType w:start="3"/>
          <w:cols w:space="708"/>
          <w:titlePg/>
          <w:docGrid w:linePitch="360"/>
        </w:sectPr>
      </w:pPr>
      <w:bookmarkStart w:id="37" w:name="_Toc151365205"/>
      <w:bookmarkStart w:id="38" w:name="_Toc189205688"/>
      <w:bookmarkEnd w:id="26"/>
      <w:bookmarkEnd w:id="27"/>
      <w:bookmarkEnd w:id="28"/>
      <w:bookmarkEnd w:id="29"/>
      <w:bookmarkEnd w:id="35"/>
      <w:bookmarkEnd w:id="36"/>
    </w:p>
    <w:p w14:paraId="1DEA6EB1" w14:textId="77777777" w:rsidR="00FE18D3" w:rsidRPr="002D355E" w:rsidRDefault="00FE18D3" w:rsidP="00FE18D3">
      <w:pPr>
        <w:pStyle w:val="Heading1"/>
      </w:pPr>
      <w:bookmarkStart w:id="39" w:name="_Toc189836964"/>
      <w:r w:rsidRPr="002D355E">
        <w:lastRenderedPageBreak/>
        <w:t>Jobs and Skills Australia resources</w:t>
      </w:r>
      <w:bookmarkStart w:id="40" w:name="_Hlk150771271"/>
      <w:bookmarkEnd w:id="37"/>
      <w:bookmarkEnd w:id="38"/>
      <w:bookmarkEnd w:id="39"/>
    </w:p>
    <w:p w14:paraId="722E7D06" w14:textId="1164682B" w:rsidR="00FE18D3" w:rsidRPr="002D355E" w:rsidRDefault="00FE18D3" w:rsidP="003428F2">
      <w:pPr>
        <w:pStyle w:val="BodyText"/>
      </w:pPr>
      <w:r w:rsidRPr="002D355E">
        <w:t xml:space="preserve">Key data, resources and reports can be found on the </w:t>
      </w:r>
      <w:hyperlink r:id="rId33" w:history="1">
        <w:r w:rsidRPr="00E27C44">
          <w:rPr>
            <w:rStyle w:val="Hyperlink"/>
          </w:rPr>
          <w:t>Jobs and Skills Australia</w:t>
        </w:r>
      </w:hyperlink>
      <w:r w:rsidRPr="002D355E">
        <w:t xml:space="preserve"> </w:t>
      </w:r>
      <w:r w:rsidR="00FB17D6" w:rsidRPr="002D355E">
        <w:t>website.</w:t>
      </w:r>
    </w:p>
    <w:tbl>
      <w:tblPr>
        <w:tblStyle w:val="CustomTableoption2"/>
        <w:tblW w:w="9006" w:type="dxa"/>
        <w:tblLayout w:type="fixed"/>
        <w:tblLook w:val="0420" w:firstRow="1" w:lastRow="0" w:firstColumn="0" w:lastColumn="0" w:noHBand="0" w:noVBand="1"/>
      </w:tblPr>
      <w:tblGrid>
        <w:gridCol w:w="4503"/>
        <w:gridCol w:w="4503"/>
      </w:tblGrid>
      <w:tr w:rsidR="00FE18D3" w:rsidRPr="002D355E" w14:paraId="1045266C" w14:textId="77777777" w:rsidTr="00E13720">
        <w:trPr>
          <w:cnfStyle w:val="100000000000" w:firstRow="1" w:lastRow="0" w:firstColumn="0" w:lastColumn="0" w:oddVBand="0" w:evenVBand="0" w:oddHBand="0" w:evenHBand="0" w:firstRowFirstColumn="0" w:firstRowLastColumn="0" w:lastRowFirstColumn="0" w:lastRowLastColumn="0"/>
          <w:trHeight w:val="400"/>
        </w:trPr>
        <w:tc>
          <w:tcPr>
            <w:tcW w:w="4503" w:type="dxa"/>
          </w:tcPr>
          <w:p w14:paraId="7C7F4A22" w14:textId="77777777" w:rsidR="00FE18D3" w:rsidRPr="00FE18D3" w:rsidRDefault="00FE18D3" w:rsidP="001A4FCA">
            <w:pPr>
              <w:pStyle w:val="TableHeading1"/>
            </w:pPr>
            <w:r w:rsidRPr="00FE18D3">
              <w:t>Resource</w:t>
            </w:r>
          </w:p>
        </w:tc>
        <w:tc>
          <w:tcPr>
            <w:tcW w:w="4503" w:type="dxa"/>
          </w:tcPr>
          <w:p w14:paraId="3A4BFD67" w14:textId="77777777" w:rsidR="00FE18D3" w:rsidRPr="00FE18D3" w:rsidRDefault="00FE18D3" w:rsidP="001A4FCA">
            <w:pPr>
              <w:pStyle w:val="TableHeading1"/>
            </w:pPr>
            <w:r w:rsidRPr="00FE18D3">
              <w:t>Publication notes</w:t>
            </w:r>
          </w:p>
        </w:tc>
      </w:tr>
      <w:tr w:rsidR="00FE18D3" w:rsidRPr="002D355E" w14:paraId="4205F86E" w14:textId="77777777" w:rsidTr="00E13720">
        <w:trPr>
          <w:trHeight w:val="400"/>
        </w:trPr>
        <w:tc>
          <w:tcPr>
            <w:tcW w:w="4503" w:type="dxa"/>
          </w:tcPr>
          <w:p w14:paraId="47DFB415" w14:textId="6CE91BBD" w:rsidR="00FE18D3" w:rsidRPr="00FE18D3" w:rsidRDefault="00FE18D3" w:rsidP="001A4FCA">
            <w:pPr>
              <w:pStyle w:val="TableBodyText"/>
            </w:pPr>
            <w:hyperlink r:id="rId34" w:history="1">
              <w:r w:rsidRPr="00FE18D3">
                <w:rPr>
                  <w:rStyle w:val="Hyperlink"/>
                </w:rPr>
                <w:t>Internet Vacancy Index</w:t>
              </w:r>
            </w:hyperlink>
            <w:r w:rsidRPr="00FE18D3">
              <w:t xml:space="preserve"> </w:t>
            </w:r>
          </w:p>
          <w:p w14:paraId="6C0C61F8" w14:textId="77777777" w:rsidR="00FE18D3" w:rsidRPr="00FE18D3" w:rsidRDefault="00FE18D3" w:rsidP="001A4FCA">
            <w:pPr>
              <w:pStyle w:val="TableBodyText"/>
            </w:pPr>
            <w:r w:rsidRPr="00FE18D3">
              <w:t>The Internet Vacancy Index (IVI) is a monthly count of online job advertisements compiled by Jobs and Skills Australia.</w:t>
            </w:r>
          </w:p>
        </w:tc>
        <w:tc>
          <w:tcPr>
            <w:tcW w:w="4503" w:type="dxa"/>
          </w:tcPr>
          <w:p w14:paraId="321746DA" w14:textId="77777777" w:rsidR="00FE18D3" w:rsidRPr="00FE18D3" w:rsidRDefault="00FE18D3" w:rsidP="001A4FCA">
            <w:pPr>
              <w:pStyle w:val="TableBodyText"/>
            </w:pPr>
            <w:r w:rsidRPr="00FE18D3">
              <w:t>The Vacancy Report is published on the third Wednesday of the month.</w:t>
            </w:r>
          </w:p>
        </w:tc>
      </w:tr>
      <w:tr w:rsidR="00FE18D3" w:rsidRPr="002D355E" w14:paraId="06D7CA7D" w14:textId="77777777" w:rsidTr="00E13720">
        <w:trPr>
          <w:cnfStyle w:val="000000010000" w:firstRow="0" w:lastRow="0" w:firstColumn="0" w:lastColumn="0" w:oddVBand="0" w:evenVBand="0" w:oddHBand="0" w:evenHBand="1" w:firstRowFirstColumn="0" w:firstRowLastColumn="0" w:lastRowFirstColumn="0" w:lastRowLastColumn="0"/>
          <w:trHeight w:val="400"/>
        </w:trPr>
        <w:tc>
          <w:tcPr>
            <w:tcW w:w="4503" w:type="dxa"/>
          </w:tcPr>
          <w:p w14:paraId="7A1868A0" w14:textId="59862D4F" w:rsidR="00FE18D3" w:rsidRPr="00FE18D3" w:rsidRDefault="00FE18D3" w:rsidP="001A4FCA">
            <w:pPr>
              <w:pStyle w:val="TableBodyText"/>
            </w:pPr>
            <w:hyperlink r:id="rId35" w:history="1">
              <w:r w:rsidRPr="00FE18D3">
                <w:rPr>
                  <w:rStyle w:val="Hyperlink"/>
                </w:rPr>
                <w:t>Recruitment Experiences and Outlook Survey</w:t>
              </w:r>
            </w:hyperlink>
          </w:p>
          <w:p w14:paraId="1572CC12" w14:textId="77777777" w:rsidR="00FE18D3" w:rsidRPr="00FE18D3" w:rsidRDefault="00FE18D3" w:rsidP="001A4FCA">
            <w:pPr>
              <w:pStyle w:val="TableBodyText"/>
            </w:pPr>
            <w:r w:rsidRPr="00FE18D3">
              <w:t>Survey of at least 1000 employers each month to find out about their experience when recruiting staff.</w:t>
            </w:r>
          </w:p>
        </w:tc>
        <w:tc>
          <w:tcPr>
            <w:tcW w:w="4503" w:type="dxa"/>
          </w:tcPr>
          <w:p w14:paraId="700B9173" w14:textId="77777777" w:rsidR="00FE18D3" w:rsidRPr="00FE18D3" w:rsidRDefault="00FE18D3" w:rsidP="001A4FCA">
            <w:pPr>
              <w:pStyle w:val="TableBodyText"/>
            </w:pPr>
            <w:r w:rsidRPr="00FE18D3">
              <w:t>The Recruitment Insights Report is published on the third Tuesday of the month, while regular special topic Spotlight reports are also published monthly.</w:t>
            </w:r>
          </w:p>
        </w:tc>
      </w:tr>
      <w:tr w:rsidR="00FE18D3" w:rsidRPr="002D355E" w14:paraId="30801970" w14:textId="77777777" w:rsidTr="00E13720">
        <w:trPr>
          <w:trHeight w:val="400"/>
        </w:trPr>
        <w:tc>
          <w:tcPr>
            <w:tcW w:w="4503" w:type="dxa"/>
          </w:tcPr>
          <w:p w14:paraId="1F7FCB7E" w14:textId="56BC6180" w:rsidR="00FE18D3" w:rsidRPr="00A627B5" w:rsidRDefault="00A627B5" w:rsidP="001A4FCA">
            <w:pPr>
              <w:pStyle w:val="TableBodyText"/>
              <w:rPr>
                <w:rStyle w:val="Hyperlink"/>
              </w:rPr>
            </w:pPr>
            <w:r>
              <w:fldChar w:fldCharType="begin"/>
            </w:r>
            <w:r>
              <w:instrText>HYPERLINK "https://www.jobsandskills.gov.au/data/occupation-shortages-analysis/occupation-shortage-list"</w:instrText>
            </w:r>
            <w:r>
              <w:fldChar w:fldCharType="separate"/>
            </w:r>
            <w:r w:rsidR="00FE18D3" w:rsidRPr="00A627B5">
              <w:rPr>
                <w:rStyle w:val="Hyperlink"/>
              </w:rPr>
              <w:t>Occupation Shortages Analysis</w:t>
            </w:r>
          </w:p>
          <w:p w14:paraId="04AE6F74" w14:textId="7D8C8321" w:rsidR="00FE18D3" w:rsidRPr="00FE18D3" w:rsidRDefault="00A627B5" w:rsidP="001A4FCA">
            <w:pPr>
              <w:pStyle w:val="TableBodyText"/>
            </w:pPr>
            <w:r>
              <w:fldChar w:fldCharType="end"/>
            </w:r>
            <w:r w:rsidR="00FE18D3" w:rsidRPr="00FE18D3">
              <w:t>Occupation shortage analysis including the annual Occupation Shortage List (OSL) and reports on occupation shortages.</w:t>
            </w:r>
          </w:p>
        </w:tc>
        <w:tc>
          <w:tcPr>
            <w:tcW w:w="4503" w:type="dxa"/>
          </w:tcPr>
          <w:p w14:paraId="32F65DFA" w14:textId="77777777" w:rsidR="00FE18D3" w:rsidRPr="00FE18D3" w:rsidRDefault="00FE18D3" w:rsidP="001A4FCA">
            <w:pPr>
              <w:pStyle w:val="TableBodyText"/>
            </w:pPr>
            <w:r w:rsidRPr="00FE18D3">
              <w:t>The OSL (previously the Skills Priority List) is released annually (around September), while the Occupation Shortage Quarterly provides quarterly insights.</w:t>
            </w:r>
          </w:p>
        </w:tc>
      </w:tr>
      <w:tr w:rsidR="00FE18D3" w:rsidRPr="002D355E" w14:paraId="10F9BA91" w14:textId="77777777" w:rsidTr="00E13720">
        <w:trPr>
          <w:cnfStyle w:val="000000010000" w:firstRow="0" w:lastRow="0" w:firstColumn="0" w:lastColumn="0" w:oddVBand="0" w:evenVBand="0" w:oddHBand="0" w:evenHBand="1" w:firstRowFirstColumn="0" w:firstRowLastColumn="0" w:lastRowFirstColumn="0" w:lastRowLastColumn="0"/>
          <w:trHeight w:val="415"/>
        </w:trPr>
        <w:tc>
          <w:tcPr>
            <w:tcW w:w="4503" w:type="dxa"/>
          </w:tcPr>
          <w:p w14:paraId="3D5C9A74" w14:textId="7C2C35A2" w:rsidR="00FE18D3" w:rsidRPr="00FE18D3" w:rsidRDefault="00FE18D3" w:rsidP="001A4FCA">
            <w:pPr>
              <w:pStyle w:val="TableBodyText"/>
              <w:rPr>
                <w:rStyle w:val="Hyperlink"/>
              </w:rPr>
            </w:pPr>
            <w:r w:rsidRPr="00FE18D3">
              <w:fldChar w:fldCharType="begin"/>
            </w:r>
            <w:r w:rsidRPr="00FE18D3">
              <w:instrText>HYPERLINK "https://www.jobsandskills.gov.au/data/small-area-labour-markets"</w:instrText>
            </w:r>
            <w:r w:rsidRPr="00FE18D3">
              <w:fldChar w:fldCharType="separate"/>
            </w:r>
            <w:r w:rsidRPr="00FE18D3">
              <w:rPr>
                <w:rStyle w:val="Hyperlink"/>
              </w:rPr>
              <w:t>Small Area Labour Markets (SALM)</w:t>
            </w:r>
          </w:p>
          <w:p w14:paraId="249E39E5" w14:textId="77777777" w:rsidR="00FE18D3" w:rsidRPr="00FE18D3" w:rsidRDefault="00FE18D3" w:rsidP="001A4FCA">
            <w:pPr>
              <w:pStyle w:val="TableBodyText"/>
            </w:pPr>
            <w:r w:rsidRPr="00FE18D3">
              <w:fldChar w:fldCharType="end"/>
            </w:r>
            <w:r w:rsidRPr="00FE18D3">
              <w:t>Estimates of unemployment and the unemployment rate at the Statistical Area Level 2 (SA2) and Local Government Area (LGA) level.</w:t>
            </w:r>
          </w:p>
        </w:tc>
        <w:tc>
          <w:tcPr>
            <w:tcW w:w="4503" w:type="dxa"/>
          </w:tcPr>
          <w:p w14:paraId="651FD34A" w14:textId="77777777" w:rsidR="00FE18D3" w:rsidRPr="00FE18D3" w:rsidRDefault="00FE18D3" w:rsidP="001A4FCA">
            <w:pPr>
              <w:pStyle w:val="TableBodyText"/>
            </w:pPr>
            <w:r w:rsidRPr="00FE18D3">
              <w:t>SALM data are released quarterly.</w:t>
            </w:r>
          </w:p>
        </w:tc>
      </w:tr>
      <w:tr w:rsidR="00FE18D3" w:rsidRPr="002D355E" w14:paraId="1DEBCE52" w14:textId="77777777" w:rsidTr="00E13720">
        <w:trPr>
          <w:trHeight w:val="400"/>
        </w:trPr>
        <w:tc>
          <w:tcPr>
            <w:tcW w:w="4503" w:type="dxa"/>
          </w:tcPr>
          <w:p w14:paraId="577709BE" w14:textId="2CB27624" w:rsidR="00FE18D3" w:rsidRPr="00FE18D3" w:rsidRDefault="00FE18D3" w:rsidP="001A4FCA">
            <w:pPr>
              <w:pStyle w:val="TableBodyText"/>
            </w:pPr>
            <w:hyperlink r:id="rId36" w:history="1">
              <w:r w:rsidRPr="00FE18D3">
                <w:rPr>
                  <w:rStyle w:val="Hyperlink"/>
                </w:rPr>
                <w:t>Jobs and Skills Atlas</w:t>
              </w:r>
            </w:hyperlink>
          </w:p>
          <w:p w14:paraId="0CBD994A" w14:textId="288570BD" w:rsidR="00FE18D3" w:rsidRPr="00FE18D3" w:rsidRDefault="00FE18D3" w:rsidP="001A4FCA">
            <w:pPr>
              <w:pStyle w:val="TableBodyText"/>
            </w:pPr>
            <w:r w:rsidRPr="00FE18D3">
              <w:t xml:space="preserve">Provides an overview of the labour market at national, </w:t>
            </w:r>
            <w:r w:rsidR="00C57662" w:rsidRPr="00FE18D3">
              <w:t>state,</w:t>
            </w:r>
            <w:r w:rsidRPr="00FE18D3">
              <w:t xml:space="preserve"> and regional level by occupations, </w:t>
            </w:r>
            <w:r w:rsidR="00C57662" w:rsidRPr="00FE18D3">
              <w:t>skills,</w:t>
            </w:r>
            <w:r w:rsidRPr="00FE18D3">
              <w:t xml:space="preserve"> and industries.</w:t>
            </w:r>
          </w:p>
        </w:tc>
        <w:tc>
          <w:tcPr>
            <w:tcW w:w="4503" w:type="dxa"/>
          </w:tcPr>
          <w:p w14:paraId="60AE6880" w14:textId="77777777" w:rsidR="00FE18D3" w:rsidRPr="00FE18D3" w:rsidRDefault="00FE18D3" w:rsidP="001A4FCA">
            <w:pPr>
              <w:pStyle w:val="TableBodyText"/>
            </w:pPr>
            <w:r w:rsidRPr="00FE18D3">
              <w:t>Atlas will be updated with the data for the previous month, by the last Friday of every month.</w:t>
            </w:r>
          </w:p>
        </w:tc>
      </w:tr>
      <w:tr w:rsidR="00FE18D3" w:rsidRPr="002D355E" w14:paraId="1A1B6F95" w14:textId="77777777" w:rsidTr="00E13720">
        <w:trPr>
          <w:cnfStyle w:val="000000010000" w:firstRow="0" w:lastRow="0" w:firstColumn="0" w:lastColumn="0" w:oddVBand="0" w:evenVBand="0" w:oddHBand="0" w:evenHBand="1" w:firstRowFirstColumn="0" w:firstRowLastColumn="0" w:lastRowFirstColumn="0" w:lastRowLastColumn="0"/>
          <w:trHeight w:val="400"/>
        </w:trPr>
        <w:tc>
          <w:tcPr>
            <w:tcW w:w="4503" w:type="dxa"/>
          </w:tcPr>
          <w:p w14:paraId="7A56CEC4" w14:textId="0977D297" w:rsidR="00FE18D3" w:rsidRPr="00FE18D3" w:rsidRDefault="00FE18D3" w:rsidP="001A4FCA">
            <w:pPr>
              <w:pStyle w:val="TableBodyText"/>
            </w:pPr>
            <w:hyperlink r:id="rId37" w:history="1">
              <w:r w:rsidRPr="00FE18D3">
                <w:rPr>
                  <w:rStyle w:val="Hyperlink"/>
                </w:rPr>
                <w:t>Employment Region Dashboards and Profile</w:t>
              </w:r>
            </w:hyperlink>
          </w:p>
          <w:p w14:paraId="6F473122" w14:textId="77777777" w:rsidR="00FE18D3" w:rsidRPr="00FE18D3" w:rsidRDefault="00FE18D3" w:rsidP="001A4FCA">
            <w:pPr>
              <w:pStyle w:val="TableBodyText"/>
            </w:pPr>
            <w:r w:rsidRPr="00FE18D3">
              <w:t>Monthly Labour Market Dashboards, Recruitment Trends and Employer Needs Profiles, and Industry Profiles.</w:t>
            </w:r>
          </w:p>
        </w:tc>
        <w:tc>
          <w:tcPr>
            <w:tcW w:w="4503" w:type="dxa"/>
          </w:tcPr>
          <w:p w14:paraId="1934CFFA" w14:textId="77777777" w:rsidR="00FE18D3" w:rsidRPr="00FE18D3" w:rsidRDefault="00FE18D3" w:rsidP="001A4FCA">
            <w:pPr>
              <w:pStyle w:val="TableBodyText"/>
            </w:pPr>
          </w:p>
        </w:tc>
      </w:tr>
      <w:tr w:rsidR="00FE18D3" w:rsidRPr="002D355E" w14:paraId="340253C8" w14:textId="77777777" w:rsidTr="00E13720">
        <w:trPr>
          <w:trHeight w:val="400"/>
        </w:trPr>
        <w:tc>
          <w:tcPr>
            <w:tcW w:w="4503" w:type="dxa"/>
          </w:tcPr>
          <w:p w14:paraId="29945EBA" w14:textId="4837580B" w:rsidR="00FE18D3" w:rsidRPr="00FE18D3" w:rsidRDefault="00FE18D3" w:rsidP="001A4FCA">
            <w:pPr>
              <w:pStyle w:val="TableBodyText"/>
            </w:pPr>
            <w:hyperlink r:id="rId38" w:history="1">
              <w:r w:rsidRPr="00FE18D3">
                <w:rPr>
                  <w:rStyle w:val="Hyperlink"/>
                </w:rPr>
                <w:t>Nowcast of Employment Region and Occupation (NERO)</w:t>
              </w:r>
            </w:hyperlink>
          </w:p>
          <w:p w14:paraId="3C02D6DE" w14:textId="77777777" w:rsidR="00FE18D3" w:rsidRPr="00FE18D3" w:rsidRDefault="00FE18D3" w:rsidP="001A4FCA">
            <w:pPr>
              <w:pStyle w:val="TableBodyText"/>
            </w:pPr>
            <w:r w:rsidRPr="00FE18D3">
              <w:t>Experimental dataset providing information on employment in 355 occupations across 88 regions in Australia.</w:t>
            </w:r>
          </w:p>
        </w:tc>
        <w:tc>
          <w:tcPr>
            <w:tcW w:w="4503" w:type="dxa"/>
          </w:tcPr>
          <w:p w14:paraId="53F9DF8F" w14:textId="77777777" w:rsidR="00FE18D3" w:rsidRPr="00FE18D3" w:rsidRDefault="00FE18D3" w:rsidP="001A4FCA">
            <w:pPr>
              <w:pStyle w:val="TableBodyText"/>
            </w:pPr>
            <w:r w:rsidRPr="00FE18D3">
              <w:t>NERO data will be updated monthly.</w:t>
            </w:r>
          </w:p>
        </w:tc>
      </w:tr>
      <w:tr w:rsidR="00FE18D3" w:rsidRPr="00B93C08" w14:paraId="4BEF97E4" w14:textId="77777777" w:rsidTr="00E13720">
        <w:trPr>
          <w:cnfStyle w:val="000000010000" w:firstRow="0" w:lastRow="0" w:firstColumn="0" w:lastColumn="0" w:oddVBand="0" w:evenVBand="0" w:oddHBand="0" w:evenHBand="1" w:firstRowFirstColumn="0" w:firstRowLastColumn="0" w:lastRowFirstColumn="0" w:lastRowLastColumn="0"/>
          <w:trHeight w:val="400"/>
        </w:trPr>
        <w:tc>
          <w:tcPr>
            <w:tcW w:w="4503" w:type="dxa"/>
          </w:tcPr>
          <w:p w14:paraId="5854E989" w14:textId="061318E6" w:rsidR="00FE18D3" w:rsidRPr="00FE18D3" w:rsidRDefault="00FE18D3" w:rsidP="001A4FCA">
            <w:pPr>
              <w:pStyle w:val="TableBodyText"/>
            </w:pPr>
            <w:hyperlink r:id="rId39" w:history="1">
              <w:r w:rsidRPr="00F1298D">
                <w:rPr>
                  <w:rStyle w:val="Hyperlink"/>
                </w:rPr>
                <w:t>International Labour Market Update</w:t>
              </w:r>
            </w:hyperlink>
          </w:p>
          <w:p w14:paraId="4C900A5B" w14:textId="77777777" w:rsidR="00FE18D3" w:rsidRPr="00FE18D3" w:rsidRDefault="00FE18D3" w:rsidP="001A4FCA">
            <w:pPr>
              <w:pStyle w:val="TableBodyText"/>
            </w:pPr>
            <w:r w:rsidRPr="00FE18D3">
              <w:t>Provides key labour market data for Australia and selected overseas countries and country groups.</w:t>
            </w:r>
          </w:p>
        </w:tc>
        <w:tc>
          <w:tcPr>
            <w:tcW w:w="4503" w:type="dxa"/>
          </w:tcPr>
          <w:p w14:paraId="4CEA19E1" w14:textId="339F544D" w:rsidR="00FE18D3" w:rsidRPr="00FE18D3" w:rsidRDefault="00FE18D3" w:rsidP="001A4FCA">
            <w:pPr>
              <w:pStyle w:val="TableBodyText"/>
            </w:pPr>
            <w:r w:rsidRPr="00FE18D3">
              <w:t xml:space="preserve">The </w:t>
            </w:r>
            <w:r w:rsidR="00F1298D">
              <w:t>November</w:t>
            </w:r>
            <w:r w:rsidRPr="00F1298D">
              <w:t xml:space="preserve"> 2024 report</w:t>
            </w:r>
            <w:r w:rsidRPr="00FE18D3">
              <w:t xml:space="preserve"> is currently available.</w:t>
            </w:r>
          </w:p>
        </w:tc>
      </w:tr>
    </w:tbl>
    <w:p w14:paraId="50F87139" w14:textId="1ED3777F" w:rsidR="00F81633" w:rsidRDefault="00F81633" w:rsidP="0014669D">
      <w:pPr>
        <w:pStyle w:val="BodyText"/>
      </w:pPr>
      <w:bookmarkStart w:id="41" w:name="_Appendix"/>
      <w:bookmarkStart w:id="42" w:name="_Appendix_A"/>
      <w:bookmarkEnd w:id="40"/>
      <w:bookmarkEnd w:id="41"/>
      <w:bookmarkEnd w:id="42"/>
    </w:p>
    <w:sectPr w:rsidR="00F81633" w:rsidSect="000F5CD2">
      <w:footerReference w:type="first" r:id="rId40"/>
      <w:pgSz w:w="11907" w:h="16839" w:code="9"/>
      <w:pgMar w:top="1270" w:right="1440" w:bottom="12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10A46" w14:textId="77777777" w:rsidR="00886C04" w:rsidRDefault="00886C04" w:rsidP="00E12845">
      <w:pPr>
        <w:spacing w:before="0" w:after="0"/>
      </w:pPr>
      <w:r>
        <w:separator/>
      </w:r>
    </w:p>
  </w:endnote>
  <w:endnote w:type="continuationSeparator" w:id="0">
    <w:p w14:paraId="6D03C624" w14:textId="77777777" w:rsidR="00886C04" w:rsidRDefault="00886C04" w:rsidP="00E12845">
      <w:pPr>
        <w:spacing w:before="0" w:after="0"/>
      </w:pPr>
      <w:r>
        <w:continuationSeparator/>
      </w:r>
    </w:p>
  </w:endnote>
  <w:endnote w:type="continuationNotice" w:id="1">
    <w:p w14:paraId="46C084B7" w14:textId="77777777" w:rsidR="00886C04" w:rsidRDefault="00886C0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Bold">
    <w:altName w:val="Arial"/>
    <w:panose1 w:val="020B07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7707227"/>
      <w:docPartObj>
        <w:docPartGallery w:val="Page Numbers (Bottom of Page)"/>
        <w:docPartUnique/>
      </w:docPartObj>
    </w:sdtPr>
    <w:sdtEndPr>
      <w:rPr>
        <w:noProof/>
      </w:rPr>
    </w:sdtEndPr>
    <w:sdtContent>
      <w:p w14:paraId="45585BBD" w14:textId="75AD3A24" w:rsidR="00BA4D1C" w:rsidRDefault="00BA4D1C">
        <w:pPr>
          <w:pStyle w:val="Footer"/>
        </w:pPr>
        <w:r w:rsidRPr="00835A0D">
          <w:t>Jobs and Skills Australia –</w:t>
        </w:r>
        <w:r>
          <w:t xml:space="preserve"> </w:t>
        </w:r>
        <w:fldSimple w:instr=" STYLEREF  Title  \* MERGEFORMAT ">
          <w:r w:rsidR="004B52FB">
            <w:rPr>
              <w:noProof/>
            </w:rPr>
            <w:t>Labour Market Update</w:t>
          </w:r>
        </w:fldSimple>
        <w:r w:rsidRPr="00A67B12">
          <w:t xml:space="preserve"> </w:t>
        </w:r>
        <w:r>
          <w:tab/>
        </w:r>
        <w:r>
          <w:fldChar w:fldCharType="begin"/>
        </w:r>
        <w:r>
          <w:instrText xml:space="preserve"> PAGE   \* MERGEFORMAT </w:instrText>
        </w:r>
        <w:r>
          <w:fldChar w:fldCharType="separate"/>
        </w:r>
        <w: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256760"/>
      <w:docPartObj>
        <w:docPartGallery w:val="Page Numbers (Bottom of Page)"/>
        <w:docPartUnique/>
      </w:docPartObj>
    </w:sdtPr>
    <w:sdtEndPr>
      <w:rPr>
        <w:noProof/>
      </w:rPr>
    </w:sdtEndPr>
    <w:sdtContent>
      <w:p w14:paraId="31B20BFA" w14:textId="64D13FBE" w:rsidR="000F5CD2" w:rsidRDefault="000F5CD2">
        <w:pPr>
          <w:pStyle w:val="Footer"/>
        </w:pPr>
        <w:r w:rsidRPr="00835A0D">
          <w:t>Jobs and Skills Australia –</w:t>
        </w:r>
        <w:r>
          <w:t xml:space="preserve"> </w:t>
        </w:r>
        <w:fldSimple w:instr=" STYLEREF  Title  \* MERGEFORMAT ">
          <w:r w:rsidR="004B52FB">
            <w:rPr>
              <w:noProof/>
            </w:rPr>
            <w:t>Labour Market Update</w:t>
          </w:r>
        </w:fldSimple>
        <w:r w:rsidRPr="00A67B12">
          <w:t xml:space="preserve"> </w:t>
        </w:r>
        <w:r>
          <w:tab/>
        </w:r>
        <w:r>
          <w:fldChar w:fldCharType="begin"/>
        </w:r>
        <w:r>
          <w:instrText xml:space="preserve"> PAGE   \* MERGEFORMAT </w:instrText>
        </w:r>
        <w:r>
          <w:fldChar w:fldCharType="separate"/>
        </w:r>
        <w: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6960270"/>
      <w:docPartObj>
        <w:docPartGallery w:val="Page Numbers (Bottom of Page)"/>
        <w:docPartUnique/>
      </w:docPartObj>
    </w:sdtPr>
    <w:sdtEndPr>
      <w:rPr>
        <w:noProof/>
      </w:rPr>
    </w:sdtEndPr>
    <w:sdtContent>
      <w:p w14:paraId="25E3B0BA" w14:textId="766F7C78" w:rsidR="00A67B12" w:rsidRPr="00576BAF" w:rsidRDefault="00A67B12" w:rsidP="00576BAF">
        <w:pPr>
          <w:pStyle w:val="Footer"/>
        </w:pPr>
        <w:r w:rsidRPr="00835A0D">
          <w:t>Jobs and Skills Australia –</w:t>
        </w:r>
        <w:r>
          <w:t xml:space="preserve"> </w:t>
        </w:r>
        <w:fldSimple w:instr=" STYLEREF  Title  \* MERGEFORMAT ">
          <w:r w:rsidR="004B52FB">
            <w:rPr>
              <w:noProof/>
            </w:rPr>
            <w:t>Labour Market Update</w:t>
          </w:r>
        </w:fldSimple>
        <w:r w:rsidRPr="00A67B12">
          <w:t xml:space="preserve"> </w:t>
        </w:r>
        <w:r>
          <w:tab/>
        </w:r>
        <w:r>
          <w:fldChar w:fldCharType="begin"/>
        </w:r>
        <w:r>
          <w:instrText xml:space="preserve"> PAGE   \* MERGEFORMAT </w:instrText>
        </w:r>
        <w:r>
          <w:fldChar w:fldCharType="separate"/>
        </w:r>
        <w:r>
          <w:t>3</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9FD43" w14:textId="77777777" w:rsidR="00FE18D3" w:rsidRPr="00B93C08" w:rsidRDefault="00FE18D3">
    <w:pPr>
      <w:pStyle w:val="Footer"/>
    </w:pPr>
    <w:r w:rsidRPr="00685DA5">
      <w:t>Jobs and Skills Australia – Labour Market Update</w:t>
    </w:r>
    <w:r>
      <w:ptab w:relativeTo="margin" w:alignment="center" w:leader="none"/>
    </w:r>
    <w:r>
      <w:ptab w:relativeTo="margin" w:alignment="right" w:leader="none"/>
    </w:r>
    <w: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34A6D" w14:textId="77777777" w:rsidR="00FC728C" w:rsidRDefault="00FC728C" w:rsidP="00FC728C">
    <w:pPr>
      <w:pStyle w:val="Footer"/>
    </w:pPr>
    <w:r>
      <w:t>Footer</w:t>
    </w:r>
    <w:r>
      <w:tab/>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sidR="00CC6CBC">
      <w:rPr>
        <w:rStyle w:val="PageNumber"/>
        <w:noProof/>
      </w:rPr>
      <w:t>3</w:t>
    </w:r>
    <w:r w:rsidRPr="00024595">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920C05" w14:textId="77777777" w:rsidR="00886C04" w:rsidRDefault="00886C04" w:rsidP="00E12845">
      <w:pPr>
        <w:spacing w:before="0" w:after="0"/>
      </w:pPr>
      <w:r>
        <w:separator/>
      </w:r>
    </w:p>
  </w:footnote>
  <w:footnote w:type="continuationSeparator" w:id="0">
    <w:p w14:paraId="5E39F55B" w14:textId="77777777" w:rsidR="00886C04" w:rsidRDefault="00886C04" w:rsidP="00E12845">
      <w:pPr>
        <w:spacing w:before="0" w:after="0"/>
      </w:pPr>
      <w:r>
        <w:continuationSeparator/>
      </w:r>
    </w:p>
  </w:footnote>
  <w:footnote w:type="continuationNotice" w:id="1">
    <w:p w14:paraId="74E317D7" w14:textId="77777777" w:rsidR="00886C04" w:rsidRDefault="00886C04">
      <w:pPr>
        <w:spacing w:before="0" w:after="0"/>
      </w:pPr>
    </w:p>
  </w:footnote>
  <w:footnote w:id="2">
    <w:p w14:paraId="37F689F4" w14:textId="77777777" w:rsidR="00D57A5A" w:rsidRDefault="00D57A5A" w:rsidP="00E13AA5">
      <w:pPr>
        <w:pStyle w:val="FootnoteText"/>
      </w:pPr>
      <w:r>
        <w:rPr>
          <w:rStyle w:val="FootnoteReference"/>
        </w:rPr>
        <w:footnoteRef/>
      </w:r>
      <w:r>
        <w:t xml:space="preserve"> The participation rate is, f</w:t>
      </w:r>
      <w:r w:rsidRPr="006D236B">
        <w:t xml:space="preserve">or any group, the labour force </w:t>
      </w:r>
      <w:r>
        <w:t>[</w:t>
      </w:r>
      <w:r w:rsidRPr="006D236B">
        <w:t>i.e. persons who are unemployed and employed</w:t>
      </w:r>
      <w:r>
        <w:t>]</w:t>
      </w:r>
      <w:r w:rsidRPr="006D236B">
        <w:t xml:space="preserve"> expressed as a percentage of the civilian population aged 15 years and over in the same group</w:t>
      </w:r>
      <w:r>
        <w:t>.</w:t>
      </w:r>
    </w:p>
  </w:footnote>
  <w:footnote w:id="3">
    <w:p w14:paraId="1C77F86B" w14:textId="77777777" w:rsidR="0085563F" w:rsidRDefault="0085563F" w:rsidP="00E13AA5">
      <w:pPr>
        <w:pStyle w:val="FootnoteText"/>
      </w:pPr>
      <w:r>
        <w:rPr>
          <w:rStyle w:val="FootnoteReference"/>
        </w:rPr>
        <w:footnoteRef/>
      </w:r>
      <w:r>
        <w:t xml:space="preserve"> The suitability gap is the difference between the average number of qualified applicants per vacancy and the average number of suitable applicants per vacancy. (That is an applicant may be qualified, but lack relevant experience and/or skills, and is therefore considered unsuitable).</w:t>
      </w:r>
    </w:p>
  </w:footnote>
  <w:footnote w:id="4">
    <w:p w14:paraId="2680A454" w14:textId="77777777" w:rsidR="00F81633" w:rsidRDefault="00F81633" w:rsidP="00F81633">
      <w:pPr>
        <w:pStyle w:val="Source"/>
        <w:spacing w:before="0" w:after="0"/>
      </w:pPr>
      <w:r>
        <w:rPr>
          <w:rStyle w:val="FootnoteReference"/>
        </w:rPr>
        <w:footnoteRef/>
      </w:r>
      <w:r>
        <w:t xml:space="preserve"> In this report, ‘December 2024’ refers to monthly results.</w:t>
      </w:r>
    </w:p>
  </w:footnote>
  <w:footnote w:id="5">
    <w:p w14:paraId="7AF7E222" w14:textId="77777777" w:rsidR="00CD6666" w:rsidRDefault="00CD6666" w:rsidP="00CD6666">
      <w:pPr>
        <w:pStyle w:val="FootnoteText"/>
      </w:pPr>
      <w:r>
        <w:rPr>
          <w:rStyle w:val="FootnoteReference"/>
        </w:rPr>
        <w:footnoteRef/>
      </w:r>
      <w:r>
        <w:t xml:space="preserve"> </w:t>
      </w:r>
      <w:r w:rsidRPr="000152C8">
        <w:rPr>
          <w:szCs w:val="18"/>
        </w:rPr>
        <w:t>The industry, occupation and skill level employment data in the analysis below are sourced from ABS, Labour Force, Australia, Detailed, November 2024 and trended by Jobs and Skills Australia, while total employment data have been trended by the ABS.</w:t>
      </w:r>
    </w:p>
  </w:footnote>
  <w:footnote w:id="6">
    <w:p w14:paraId="4E89FABE" w14:textId="77777777" w:rsidR="007728E2" w:rsidRPr="00B93C08" w:rsidRDefault="007728E2" w:rsidP="007728E2">
      <w:pPr>
        <w:pStyle w:val="FootnoteText"/>
        <w:rPr>
          <w:szCs w:val="18"/>
        </w:rPr>
      </w:pPr>
      <w:r w:rsidRPr="00E8129A">
        <w:rPr>
          <w:rStyle w:val="FootnoteReference"/>
          <w:szCs w:val="18"/>
        </w:rPr>
        <w:footnoteRef/>
      </w:r>
      <w:r w:rsidRPr="00E8129A">
        <w:rPr>
          <w:szCs w:val="18"/>
        </w:rPr>
        <w:t xml:space="preserve"> </w:t>
      </w:r>
      <w:r w:rsidRPr="000152C8">
        <w:rPr>
          <w:szCs w:val="18"/>
        </w:rPr>
        <w:t>Occupation group data are trended by Jobs and Skills Australia. Total employment data are trended by the ABS. Jobs and Skills Australia and ABS use trending methodologies, and occupation group data do not sum to total employment figures.</w:t>
      </w:r>
    </w:p>
  </w:footnote>
  <w:footnote w:id="7">
    <w:p w14:paraId="487FB391" w14:textId="677BA7BA" w:rsidR="00334E6C" w:rsidRDefault="00334E6C" w:rsidP="00334E6C">
      <w:pPr>
        <w:pStyle w:val="FootnoteText"/>
      </w:pPr>
      <w:r w:rsidRPr="000152C8">
        <w:rPr>
          <w:rStyle w:val="FootnoteReference"/>
          <w:szCs w:val="18"/>
        </w:rPr>
        <w:footnoteRef/>
      </w:r>
      <w:r w:rsidRPr="000152C8">
        <w:rPr>
          <w:szCs w:val="18"/>
        </w:rPr>
        <w:t xml:space="preserve"> Skill level 1 occupations are commensurate with a </w:t>
      </w:r>
      <w:proofErr w:type="gramStart"/>
      <w:r w:rsidRPr="000152C8">
        <w:rPr>
          <w:szCs w:val="18"/>
        </w:rPr>
        <w:t>Bachelor Degree</w:t>
      </w:r>
      <w:proofErr w:type="gramEnd"/>
      <w:r w:rsidRPr="000152C8">
        <w:rPr>
          <w:szCs w:val="18"/>
        </w:rPr>
        <w:t xml:space="preserve"> or higher; </w:t>
      </w:r>
      <w:r w:rsidR="0072683D">
        <w:rPr>
          <w:szCs w:val="18"/>
        </w:rPr>
        <w:t>S</w:t>
      </w:r>
      <w:r w:rsidRPr="000152C8">
        <w:rPr>
          <w:szCs w:val="18"/>
        </w:rPr>
        <w:t xml:space="preserve">kill </w:t>
      </w:r>
      <w:r w:rsidR="0072683D">
        <w:rPr>
          <w:szCs w:val="18"/>
        </w:rPr>
        <w:t>L</w:t>
      </w:r>
      <w:r w:rsidRPr="000152C8">
        <w:rPr>
          <w:szCs w:val="18"/>
        </w:rPr>
        <w:t xml:space="preserve">evel 2 occupations are commensurate with an Advanced Diploma or Diploma; </w:t>
      </w:r>
      <w:r w:rsidR="00E11821">
        <w:rPr>
          <w:szCs w:val="18"/>
        </w:rPr>
        <w:t>S</w:t>
      </w:r>
      <w:r w:rsidRPr="000152C8">
        <w:rPr>
          <w:szCs w:val="18"/>
        </w:rPr>
        <w:t xml:space="preserve">kill </w:t>
      </w:r>
      <w:r w:rsidR="00E11821">
        <w:rPr>
          <w:szCs w:val="18"/>
        </w:rPr>
        <w:t>L</w:t>
      </w:r>
      <w:r w:rsidRPr="000152C8">
        <w:rPr>
          <w:szCs w:val="18"/>
        </w:rPr>
        <w:t xml:space="preserve">evel 3 occupations are commensurate with a Certificate IV or III; </w:t>
      </w:r>
      <w:r w:rsidR="00E11821">
        <w:rPr>
          <w:szCs w:val="18"/>
        </w:rPr>
        <w:t>S</w:t>
      </w:r>
      <w:r w:rsidRPr="000152C8">
        <w:rPr>
          <w:szCs w:val="18"/>
        </w:rPr>
        <w:t xml:space="preserve">kill </w:t>
      </w:r>
      <w:r w:rsidR="00E11821">
        <w:rPr>
          <w:szCs w:val="18"/>
        </w:rPr>
        <w:t>L</w:t>
      </w:r>
      <w:r w:rsidRPr="000152C8">
        <w:rPr>
          <w:szCs w:val="18"/>
        </w:rPr>
        <w:t xml:space="preserve">evel 4 occupations are commensurate with a Certificate </w:t>
      </w:r>
      <w:proofErr w:type="spellStart"/>
      <w:r w:rsidRPr="000152C8">
        <w:rPr>
          <w:szCs w:val="18"/>
        </w:rPr>
        <w:t>ll</w:t>
      </w:r>
      <w:proofErr w:type="spellEnd"/>
      <w:r w:rsidRPr="000152C8">
        <w:rPr>
          <w:szCs w:val="18"/>
        </w:rPr>
        <w:t xml:space="preserve"> or </w:t>
      </w:r>
      <w:proofErr w:type="spellStart"/>
      <w:r w:rsidRPr="000152C8">
        <w:rPr>
          <w:szCs w:val="18"/>
        </w:rPr>
        <w:t>lll</w:t>
      </w:r>
      <w:proofErr w:type="spellEnd"/>
      <w:r w:rsidRPr="000152C8">
        <w:rPr>
          <w:szCs w:val="18"/>
        </w:rPr>
        <w:t>; and skill level 5 are commensurate with a Certificate I or secondary education.</w:t>
      </w:r>
    </w:p>
  </w:footnote>
  <w:footnote w:id="8">
    <w:p w14:paraId="069DE29B" w14:textId="2E0EBD86" w:rsidR="00FE18D3" w:rsidRPr="00B93C08" w:rsidRDefault="00FE18D3" w:rsidP="00FE18D3">
      <w:pPr>
        <w:pStyle w:val="FootnoteText"/>
        <w:rPr>
          <w:szCs w:val="18"/>
        </w:rPr>
      </w:pPr>
      <w:r w:rsidRPr="00B93C08">
        <w:rPr>
          <w:rStyle w:val="FootnoteReference"/>
          <w:szCs w:val="18"/>
        </w:rPr>
        <w:footnoteRef/>
      </w:r>
      <w:r w:rsidRPr="00B93C08">
        <w:rPr>
          <w:szCs w:val="18"/>
        </w:rPr>
        <w:t xml:space="preserve"> </w:t>
      </w:r>
      <w:r w:rsidR="00A67901">
        <w:rPr>
          <w:szCs w:val="18"/>
        </w:rPr>
        <w:t>Skill Level</w:t>
      </w:r>
      <w:r w:rsidRPr="000152C8">
        <w:rPr>
          <w:szCs w:val="18"/>
        </w:rPr>
        <w:t xml:space="preserve"> data are trended by Jobs and Skills Australia. Total employment data are trended by the ABS. Jobs and Skills Australia and ABS use different trending methodologies, and Skill Level data do not sum to total employment figures.</w:t>
      </w:r>
    </w:p>
  </w:footnote>
  <w:footnote w:id="9">
    <w:p w14:paraId="2DF59965" w14:textId="77777777" w:rsidR="0042122F" w:rsidRDefault="0042122F" w:rsidP="0042122F">
      <w:pPr>
        <w:pStyle w:val="FootnoteText"/>
      </w:pPr>
      <w:r>
        <w:rPr>
          <w:rStyle w:val="FootnoteReference"/>
        </w:rPr>
        <w:footnoteRef/>
      </w:r>
      <w:r w:rsidRPr="000152C8">
        <w:rPr>
          <w:szCs w:val="18"/>
        </w:rPr>
        <w:t xml:space="preserve"> The proportion of employers currently recruiting or who recruited in the past month.</w:t>
      </w:r>
    </w:p>
  </w:footnote>
  <w:footnote w:id="10">
    <w:p w14:paraId="2A35CEA1" w14:textId="74F5DF66" w:rsidR="00932556" w:rsidRDefault="00932556" w:rsidP="00932556">
      <w:pPr>
        <w:pStyle w:val="FootnoteText"/>
      </w:pPr>
      <w:r>
        <w:rPr>
          <w:rStyle w:val="FootnoteReference"/>
        </w:rPr>
        <w:footnoteRef/>
      </w:r>
      <w:r>
        <w:t xml:space="preserve"> </w:t>
      </w:r>
      <w:r w:rsidR="002F4A0B" w:rsidRPr="002F4A0B">
        <w:t>The percentage of employers recruiting during, or in the month before, the survey.</w:t>
      </w:r>
    </w:p>
  </w:footnote>
  <w:footnote w:id="11">
    <w:p w14:paraId="6340CC86" w14:textId="77777777" w:rsidR="00932556" w:rsidRDefault="00932556" w:rsidP="00932556">
      <w:pPr>
        <w:pStyle w:val="FootnoteText"/>
      </w:pPr>
      <w:r>
        <w:rPr>
          <w:rStyle w:val="FootnoteReference"/>
        </w:rPr>
        <w:footnoteRef/>
      </w:r>
      <w:r>
        <w:t xml:space="preserve"> </w:t>
      </w:r>
      <w:r w:rsidRPr="00393E63">
        <w:rPr>
          <w:szCs w:val="18"/>
        </w:rPr>
        <w:t>The percentage of recruiting employers who report they found it difficult to fill a vacancy.</w:t>
      </w:r>
    </w:p>
  </w:footnote>
  <w:footnote w:id="12">
    <w:p w14:paraId="7430BB68" w14:textId="77777777" w:rsidR="00FF4F1E" w:rsidRDefault="00FF4F1E" w:rsidP="00FF4F1E">
      <w:pPr>
        <w:pStyle w:val="FootnoteText"/>
      </w:pPr>
      <w:r>
        <w:rPr>
          <w:rStyle w:val="FootnoteReference"/>
        </w:rPr>
        <w:footnoteRef/>
      </w:r>
      <w:r>
        <w:t xml:space="preserve"> </w:t>
      </w:r>
      <w:r w:rsidRPr="000152C8">
        <w:rPr>
          <w:szCs w:val="18"/>
        </w:rPr>
        <w:t>Remoteness classifications from A</w:t>
      </w:r>
      <w:r>
        <w:rPr>
          <w:szCs w:val="18"/>
        </w:rPr>
        <w:t>BS</w:t>
      </w:r>
      <w:r w:rsidRPr="000152C8">
        <w:rPr>
          <w:szCs w:val="18"/>
        </w:rPr>
        <w:t>, Remoteness Areas, Australian Statistical Geography Standard (ASGS) Edition 3.</w:t>
      </w:r>
    </w:p>
  </w:footnote>
  <w:footnote w:id="13">
    <w:p w14:paraId="3F2F0189" w14:textId="77777777" w:rsidR="00554FE8" w:rsidRPr="00B93C08" w:rsidRDefault="00554FE8" w:rsidP="00554FE8">
      <w:pPr>
        <w:pStyle w:val="FootnoteText"/>
        <w:rPr>
          <w:szCs w:val="18"/>
        </w:rPr>
      </w:pPr>
      <w:r w:rsidRPr="00B93C08">
        <w:rPr>
          <w:rStyle w:val="FootnoteReference"/>
          <w:szCs w:val="18"/>
        </w:rPr>
        <w:footnoteRef/>
      </w:r>
      <w:r w:rsidRPr="00B93C08">
        <w:rPr>
          <w:szCs w:val="18"/>
        </w:rPr>
        <w:t xml:space="preserve"> </w:t>
      </w:r>
      <w:r>
        <w:rPr>
          <w:sz w:val="16"/>
          <w:szCs w:val="16"/>
        </w:rPr>
        <w:t>Th</w:t>
      </w:r>
      <w:r w:rsidRPr="00FB0FB1">
        <w:rPr>
          <w:sz w:val="16"/>
          <w:szCs w:val="16"/>
        </w:rPr>
        <w:t xml:space="preserve">e fill rate and other metrics </w:t>
      </w:r>
      <w:r>
        <w:rPr>
          <w:sz w:val="16"/>
          <w:szCs w:val="16"/>
        </w:rPr>
        <w:t xml:space="preserve">in the table are based on </w:t>
      </w:r>
      <w:r w:rsidRPr="00FB0FB1">
        <w:rPr>
          <w:sz w:val="16"/>
          <w:szCs w:val="16"/>
        </w:rPr>
        <w:t>using 12 months of data leading to the latest quarter. Using a rolling annual period</w:t>
      </w:r>
      <w:r>
        <w:rPr>
          <w:sz w:val="16"/>
          <w:szCs w:val="16"/>
        </w:rPr>
        <w:t>,</w:t>
      </w:r>
      <w:r w:rsidRPr="00FB0FB1">
        <w:rPr>
          <w:sz w:val="16"/>
          <w:szCs w:val="16"/>
        </w:rPr>
        <w:t xml:space="preserve"> as opposed to the latest quarter itself</w:t>
      </w:r>
      <w:r>
        <w:rPr>
          <w:sz w:val="16"/>
          <w:szCs w:val="16"/>
        </w:rPr>
        <w:t>,</w:t>
      </w:r>
      <w:r w:rsidRPr="00FB0FB1">
        <w:rPr>
          <w:sz w:val="16"/>
          <w:szCs w:val="16"/>
        </w:rPr>
        <w:t xml:space="preserve"> removes the impact of data volatility attributable to SERA sampling, where concentrations of sampling with respect to different occupational major groups can occur at different times of </w:t>
      </w:r>
      <w:r>
        <w:rPr>
          <w:sz w:val="16"/>
          <w:szCs w:val="16"/>
        </w:rPr>
        <w:t>a</w:t>
      </w:r>
      <w:r w:rsidRPr="00FB0FB1">
        <w:rPr>
          <w:sz w:val="16"/>
          <w:szCs w:val="16"/>
        </w:rPr>
        <w:t xml:space="preserve"> year.</w:t>
      </w:r>
    </w:p>
  </w:footnote>
  <w:footnote w:id="14">
    <w:p w14:paraId="4C1B5781" w14:textId="77777777" w:rsidR="00F3688F" w:rsidRDefault="00F3688F" w:rsidP="00F3688F">
      <w:pPr>
        <w:pStyle w:val="FootnoteText"/>
      </w:pPr>
      <w:r>
        <w:rPr>
          <w:rStyle w:val="FootnoteReference"/>
        </w:rPr>
        <w:footnoteRef/>
      </w:r>
      <w:r>
        <w:t xml:space="preserve"> </w:t>
      </w:r>
      <w:r>
        <w:rPr>
          <w:sz w:val="16"/>
          <w:szCs w:val="16"/>
        </w:rPr>
        <w:t xml:space="preserve">The </w:t>
      </w:r>
      <w:r w:rsidRPr="00236A7E">
        <w:rPr>
          <w:sz w:val="16"/>
          <w:szCs w:val="16"/>
        </w:rPr>
        <w:t xml:space="preserve">suitability gap </w:t>
      </w:r>
      <w:r>
        <w:rPr>
          <w:sz w:val="16"/>
          <w:szCs w:val="16"/>
        </w:rPr>
        <w:t xml:space="preserve">is </w:t>
      </w:r>
      <w:r w:rsidRPr="00236A7E">
        <w:rPr>
          <w:sz w:val="16"/>
          <w:szCs w:val="16"/>
        </w:rPr>
        <w:t xml:space="preserve">the difference between the number of qualified applicants </w:t>
      </w:r>
      <w:r>
        <w:rPr>
          <w:sz w:val="16"/>
          <w:szCs w:val="16"/>
        </w:rPr>
        <w:t xml:space="preserve">per vacancy </w:t>
      </w:r>
      <w:r w:rsidRPr="00236A7E">
        <w:rPr>
          <w:sz w:val="16"/>
          <w:szCs w:val="16"/>
        </w:rPr>
        <w:t>and suitable applicants</w:t>
      </w:r>
      <w:r>
        <w:rPr>
          <w:sz w:val="16"/>
          <w:szCs w:val="16"/>
        </w:rPr>
        <w:t xml:space="preserve"> per vacancy,</w:t>
      </w:r>
      <w:r w:rsidRPr="00236A7E">
        <w:rPr>
          <w:sz w:val="16"/>
          <w:szCs w:val="16"/>
        </w:rPr>
        <w:t xml:space="preserve"> as a </w:t>
      </w:r>
      <w:r>
        <w:rPr>
          <w:sz w:val="16"/>
          <w:szCs w:val="16"/>
        </w:rPr>
        <w:t xml:space="preserve">percentage </w:t>
      </w:r>
      <w:r w:rsidRPr="00236A7E">
        <w:rPr>
          <w:sz w:val="16"/>
          <w:szCs w:val="16"/>
        </w:rPr>
        <w:t xml:space="preserve">of the number of qualified applicants per vacancy. </w:t>
      </w:r>
    </w:p>
  </w:footnote>
  <w:footnote w:id="15">
    <w:p w14:paraId="62E7D264" w14:textId="77777777" w:rsidR="009F2669" w:rsidRDefault="009F2669" w:rsidP="009F2669">
      <w:pPr>
        <w:pStyle w:val="FootnoteText"/>
      </w:pPr>
      <w:r>
        <w:rPr>
          <w:rStyle w:val="FootnoteReference"/>
        </w:rPr>
        <w:footnoteRef/>
      </w:r>
      <w:r>
        <w:t xml:space="preserve"> </w:t>
      </w:r>
      <w:r w:rsidRPr="00031B05">
        <w:rPr>
          <w:sz w:val="16"/>
          <w:szCs w:val="16"/>
        </w:rPr>
        <w:t xml:space="preserve">The metric has several interpretations. </w:t>
      </w:r>
      <w:r>
        <w:rPr>
          <w:sz w:val="16"/>
          <w:szCs w:val="16"/>
        </w:rPr>
        <w:t>A</w:t>
      </w:r>
      <w:r w:rsidRPr="00031B05">
        <w:rPr>
          <w:sz w:val="16"/>
          <w:szCs w:val="16"/>
        </w:rPr>
        <w:t xml:space="preserve"> wide or widening gap may indicate</w:t>
      </w:r>
      <w:r>
        <w:rPr>
          <w:sz w:val="16"/>
          <w:szCs w:val="16"/>
        </w:rPr>
        <w:t xml:space="preserve"> </w:t>
      </w:r>
      <w:r w:rsidRPr="00031B05">
        <w:rPr>
          <w:sz w:val="16"/>
          <w:szCs w:val="16"/>
        </w:rPr>
        <w:t>that qualifications of applicants may not be equipping them with all skills and experiences needed, including the need for greater work experience and/or other soft or hard skills.</w:t>
      </w:r>
      <w:r>
        <w:rPr>
          <w:sz w:val="16"/>
          <w:szCs w:val="16"/>
        </w:rPr>
        <w:t xml:space="preserve"> It could also suggest </w:t>
      </w:r>
      <w:r w:rsidRPr="00031B05">
        <w:rPr>
          <w:sz w:val="16"/>
          <w:szCs w:val="16"/>
        </w:rPr>
        <w:t>slack in the labour market, allowing employers greater scrutiny of candidates that apply for vacant roles.</w:t>
      </w:r>
    </w:p>
  </w:footnote>
  <w:footnote w:id="16">
    <w:p w14:paraId="63EEBE4C" w14:textId="77777777" w:rsidR="008A7A53" w:rsidRDefault="008A7A53" w:rsidP="008A7A53">
      <w:r w:rsidRPr="00BF2061">
        <w:rPr>
          <w:rStyle w:val="FootnoteReference"/>
          <w:color w:val="000000"/>
          <w:sz w:val="16"/>
          <w:szCs w:val="16"/>
        </w:rPr>
        <w:footnoteRef/>
      </w:r>
      <w:r>
        <w:t xml:space="preserve"> </w:t>
      </w:r>
      <w:r w:rsidRPr="00BF2061">
        <w:rPr>
          <w:color w:val="000000"/>
          <w:sz w:val="16"/>
          <w:szCs w:val="16"/>
        </w:rPr>
        <w:t>Skill Level 3 occupations are generally those with Vocational Education and Training as the primary pathway to the labour market. These occupations typically require a Certificate III/IV.</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B9639" w14:textId="2608B6AF" w:rsidR="00A67B12" w:rsidRPr="0030592C" w:rsidRDefault="00A67B12" w:rsidP="00A67B12">
    <w:pPr>
      <w:pStyle w:val="Header"/>
    </w:pPr>
  </w:p>
  <w:p w14:paraId="250058C9" w14:textId="77777777" w:rsidR="00A67B12" w:rsidRDefault="00A67B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6ACD9" w14:textId="77777777" w:rsidR="00A67B12" w:rsidRPr="00A67B12" w:rsidRDefault="00A67B12" w:rsidP="00A67B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8F921" w14:textId="77777777" w:rsidR="00FE18D3" w:rsidRPr="00B93C08" w:rsidRDefault="00FE18D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FE18D3" w:rsidRPr="00B93C08" w14:paraId="1DCF3AC1" w14:textId="77777777">
      <w:trPr>
        <w:trHeight w:val="300"/>
      </w:trPr>
      <w:tc>
        <w:tcPr>
          <w:tcW w:w="3005" w:type="dxa"/>
        </w:tcPr>
        <w:p w14:paraId="180A10BE" w14:textId="77777777" w:rsidR="00FE18D3" w:rsidRPr="00B93C08" w:rsidRDefault="00FE18D3">
          <w:pPr>
            <w:pStyle w:val="Header"/>
            <w:ind w:left="-115"/>
          </w:pPr>
        </w:p>
      </w:tc>
      <w:tc>
        <w:tcPr>
          <w:tcW w:w="3005" w:type="dxa"/>
        </w:tcPr>
        <w:p w14:paraId="5530FE4C" w14:textId="77777777" w:rsidR="00FE18D3" w:rsidRPr="00B93C08" w:rsidRDefault="00FE18D3">
          <w:pPr>
            <w:pStyle w:val="Header"/>
            <w:jc w:val="center"/>
          </w:pPr>
        </w:p>
      </w:tc>
      <w:tc>
        <w:tcPr>
          <w:tcW w:w="3005" w:type="dxa"/>
        </w:tcPr>
        <w:p w14:paraId="53988911" w14:textId="77777777" w:rsidR="00FE18D3" w:rsidRPr="00B93C08" w:rsidRDefault="00FE18D3">
          <w:pPr>
            <w:pStyle w:val="Header"/>
            <w:ind w:right="-115"/>
            <w:jc w:val="right"/>
          </w:pPr>
        </w:p>
      </w:tc>
    </w:tr>
  </w:tbl>
  <w:p w14:paraId="320DAEF8" w14:textId="77777777" w:rsidR="00FE18D3" w:rsidRPr="00B93C08" w:rsidRDefault="00FE18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550B2"/>
    <w:multiLevelType w:val="multilevel"/>
    <w:tmpl w:val="9F703E2E"/>
    <w:numStyleLink w:val="ListBulletmaster"/>
  </w:abstractNum>
  <w:abstractNum w:abstractNumId="1" w15:restartNumberingAfterBreak="0">
    <w:nsid w:val="0F167765"/>
    <w:multiLevelType w:val="multilevel"/>
    <w:tmpl w:val="0D96AACA"/>
    <w:styleLink w:val="AppendixHeadingmaster"/>
    <w:lvl w:ilvl="0">
      <w:start w:val="1"/>
      <w:numFmt w:val="upperLetter"/>
      <w:pStyle w:val="AppendixHeading1"/>
      <w:lvlText w:val="Appendix %1"/>
      <w:lvlJc w:val="left"/>
      <w:pPr>
        <w:ind w:left="2268" w:hanging="2268"/>
      </w:pPr>
      <w:rPr>
        <w:rFonts w:ascii="Arial Bold" w:hAnsi="Arial Bold" w:hint="default"/>
        <w:b/>
        <w:i w:val="0"/>
        <w:color w:val="4B0985"/>
        <w:sz w:val="56"/>
      </w:rPr>
    </w:lvl>
    <w:lvl w:ilvl="1">
      <w:start w:val="1"/>
      <w:numFmt w:val="decimal"/>
      <w:pStyle w:val="AppendixHeading2"/>
      <w:lvlText w:val="%1.%2."/>
      <w:lvlJc w:val="left"/>
      <w:pPr>
        <w:ind w:left="1021" w:hanging="1021"/>
      </w:pPr>
      <w:rPr>
        <w:rFonts w:hint="default"/>
      </w:rPr>
    </w:lvl>
    <w:lvl w:ilvl="2">
      <w:start w:val="1"/>
      <w:numFmt w:val="non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4913431"/>
    <w:multiLevelType w:val="multilevel"/>
    <w:tmpl w:val="28F46D40"/>
    <w:numStyleLink w:val="ListNumbermaster"/>
  </w:abstractNum>
  <w:abstractNum w:abstractNumId="3" w15:restartNumberingAfterBreak="0">
    <w:nsid w:val="1A753D77"/>
    <w:multiLevelType w:val="multilevel"/>
    <w:tmpl w:val="113457F2"/>
    <w:styleLink w:val="Headingsmaster"/>
    <w:lvl w:ilvl="0">
      <w:start w:val="1"/>
      <w:numFmt w:val="decimal"/>
      <w:lvlText w:val="Chapter %1"/>
      <w:lvlJc w:val="left"/>
      <w:pPr>
        <w:ind w:left="0" w:firstLine="0"/>
      </w:pPr>
      <w:rPr>
        <w:rFonts w:hint="default"/>
      </w:rPr>
    </w:lvl>
    <w:lvl w:ilvl="1">
      <w:start w:val="1"/>
      <w:numFmt w:val="decimal"/>
      <w:lvlText w:val="%1.%2"/>
      <w:lvlJc w:val="left"/>
      <w:pPr>
        <w:ind w:left="1072" w:hanging="1072"/>
      </w:pPr>
      <w:rPr>
        <w:rFonts w:hint="default"/>
      </w:rPr>
    </w:lvl>
    <w:lvl w:ilvl="2">
      <w:start w:val="1"/>
      <w:numFmt w:val="decimal"/>
      <w:lvlText w:val="%1.%2.%3"/>
      <w:lvlJc w:val="left"/>
      <w:pPr>
        <w:ind w:left="1072" w:hanging="1072"/>
      </w:pPr>
      <w:rPr>
        <w:rFonts w:hint="default"/>
      </w:rPr>
    </w:lvl>
    <w:lvl w:ilvl="3">
      <w:start w:val="1"/>
      <w:numFmt w:val="decimal"/>
      <w:lvlText w:val="%1.%2.%3.%4"/>
      <w:lvlJc w:val="left"/>
      <w:pPr>
        <w:ind w:left="1072" w:hanging="1072"/>
      </w:pPr>
      <w:rPr>
        <w:rFonts w:hint="default"/>
      </w:rPr>
    </w:lvl>
    <w:lvl w:ilvl="4">
      <w:start w:val="1"/>
      <w:numFmt w:val="decimal"/>
      <w:lvlText w:val="%1.%2.%3.%4.%5"/>
      <w:lvlJc w:val="left"/>
      <w:pPr>
        <w:ind w:left="1072" w:hanging="107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F082FEE"/>
    <w:multiLevelType w:val="multilevel"/>
    <w:tmpl w:val="EAA2F742"/>
    <w:styleLink w:val="TableListNumbermaster"/>
    <w:lvl w:ilvl="0">
      <w:start w:val="1"/>
      <w:numFmt w:val="decimal"/>
      <w:pStyle w:val="TableListNumber"/>
      <w:lvlText w:val="%1."/>
      <w:lvlJc w:val="left"/>
      <w:pPr>
        <w:ind w:left="284" w:hanging="284"/>
      </w:pPr>
      <w:rPr>
        <w:rFonts w:hint="default"/>
        <w:color w:val="auto"/>
      </w:rPr>
    </w:lvl>
    <w:lvl w:ilvl="1">
      <w:start w:val="1"/>
      <w:numFmt w:val="lowerLetter"/>
      <w:pStyle w:val="TableListNumber2"/>
      <w:lvlText w:val="%2."/>
      <w:lvlJc w:val="left"/>
      <w:pPr>
        <w:ind w:left="567" w:hanging="283"/>
      </w:pPr>
      <w:rPr>
        <w:rFont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2695D78"/>
    <w:multiLevelType w:val="multilevel"/>
    <w:tmpl w:val="EAA2F742"/>
    <w:numStyleLink w:val="TableListNumbermaster"/>
  </w:abstractNum>
  <w:abstractNum w:abstractNumId="6" w15:restartNumberingAfterBreak="0">
    <w:nsid w:val="242839DB"/>
    <w:multiLevelType w:val="multilevel"/>
    <w:tmpl w:val="A1224394"/>
    <w:styleLink w:val="ListLegalmaster"/>
    <w:lvl w:ilvl="0">
      <w:start w:val="1"/>
      <w:numFmt w:val="decimal"/>
      <w:pStyle w:val="ListLegal"/>
      <w:lvlText w:val="%1."/>
      <w:lvlJc w:val="left"/>
      <w:pPr>
        <w:ind w:left="357" w:hanging="357"/>
      </w:pPr>
      <w:rPr>
        <w:rFonts w:ascii="Arial" w:hAnsi="Arial" w:hint="default"/>
        <w:b w:val="0"/>
        <w:i w:val="0"/>
        <w:color w:val="auto"/>
        <w:sz w:val="20"/>
      </w:rPr>
    </w:lvl>
    <w:lvl w:ilvl="1">
      <w:start w:val="1"/>
      <w:numFmt w:val="lowerLetter"/>
      <w:pStyle w:val="ListLegal2"/>
      <w:lvlText w:val="(%2)"/>
      <w:lvlJc w:val="left"/>
      <w:pPr>
        <w:tabs>
          <w:tab w:val="num" w:pos="720"/>
        </w:tabs>
        <w:ind w:left="714" w:hanging="357"/>
      </w:pPr>
      <w:rPr>
        <w:rFonts w:ascii="Arial" w:hAnsi="Arial" w:hint="default"/>
        <w:b w:val="0"/>
        <w:i w:val="0"/>
        <w:color w:val="auto"/>
        <w:sz w:val="20"/>
      </w:rPr>
    </w:lvl>
    <w:lvl w:ilvl="2">
      <w:start w:val="1"/>
      <w:numFmt w:val="lowerRoman"/>
      <w:pStyle w:val="ListLegal3"/>
      <w:lvlText w:val="(%3)"/>
      <w:lvlJc w:val="left"/>
      <w:pPr>
        <w:ind w:left="1435" w:hanging="721"/>
      </w:pPr>
      <w:rPr>
        <w:rFonts w:ascii="Arial" w:hAnsi="Arial" w:hint="default"/>
        <w:b w:val="0"/>
        <w:i w:val="0"/>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C0E4DE9"/>
    <w:multiLevelType w:val="multilevel"/>
    <w:tmpl w:val="56043EA4"/>
    <w:numStyleLink w:val="TableListBulletmaster"/>
  </w:abstractNum>
  <w:abstractNum w:abstractNumId="8" w15:restartNumberingAfterBreak="0">
    <w:nsid w:val="2D9328E2"/>
    <w:multiLevelType w:val="multilevel"/>
    <w:tmpl w:val="28F46D40"/>
    <w:styleLink w:val="ListNumbermaster"/>
    <w:lvl w:ilvl="0">
      <w:start w:val="1"/>
      <w:numFmt w:val="decimal"/>
      <w:pStyle w:val="ListNumber"/>
      <w:lvlText w:val="%1."/>
      <w:lvlJc w:val="left"/>
      <w:pPr>
        <w:ind w:left="360" w:hanging="360"/>
      </w:pPr>
      <w:rPr>
        <w:rFonts w:ascii="Arial" w:hAnsi="Arial" w:hint="default"/>
        <w:color w:val="auto"/>
        <w:sz w:val="20"/>
      </w:rPr>
    </w:lvl>
    <w:lvl w:ilvl="1">
      <w:start w:val="1"/>
      <w:numFmt w:val="lowerLetter"/>
      <w:pStyle w:val="ListNumber2"/>
      <w:lvlText w:val="%2."/>
      <w:lvlJc w:val="left"/>
      <w:pPr>
        <w:ind w:left="720" w:hanging="360"/>
      </w:pPr>
      <w:rPr>
        <w:rFonts w:ascii="Arial" w:hAnsi="Arial" w:hint="default"/>
        <w:color w:val="auto"/>
        <w:sz w:val="20"/>
      </w:rPr>
    </w:lvl>
    <w:lvl w:ilvl="2">
      <w:start w:val="1"/>
      <w:numFmt w:val="lowerRoman"/>
      <w:pStyle w:val="ListNumber3"/>
      <w:lvlText w:val="%3."/>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6B75813"/>
    <w:multiLevelType w:val="multilevel"/>
    <w:tmpl w:val="0D96AACA"/>
    <w:numStyleLink w:val="AppendixHeadingmaster"/>
  </w:abstractNum>
  <w:abstractNum w:abstractNumId="10" w15:restartNumberingAfterBreak="0">
    <w:nsid w:val="36FE67D6"/>
    <w:multiLevelType w:val="hybridMultilevel"/>
    <w:tmpl w:val="8398055E"/>
    <w:name w:val="ListBullets2"/>
    <w:lvl w:ilvl="0" w:tplc="0ED8DFAE">
      <w:start w:val="1"/>
      <w:numFmt w:val="bullet"/>
      <w:lvlText w:val="–"/>
      <w:lvlJc w:val="left"/>
      <w:pPr>
        <w:ind w:left="1060" w:hanging="360"/>
      </w:pPr>
      <w:rPr>
        <w:rFonts w:ascii="Arial Nova" w:hAnsi="Arial Nova"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1" w15:restartNumberingAfterBreak="0">
    <w:nsid w:val="47D50479"/>
    <w:multiLevelType w:val="multilevel"/>
    <w:tmpl w:val="28E66356"/>
    <w:styleLink w:val="ListAlphanumericmaster"/>
    <w:lvl w:ilvl="0">
      <w:start w:val="1"/>
      <w:numFmt w:val="lowerLetter"/>
      <w:lvlText w:val="%1)"/>
      <w:lvlJc w:val="left"/>
      <w:pPr>
        <w:ind w:left="357" w:hanging="357"/>
      </w:pPr>
      <w:rPr>
        <w:rFonts w:hint="default"/>
      </w:rPr>
    </w:lvl>
    <w:lvl w:ilvl="1">
      <w:start w:val="1"/>
      <w:numFmt w:val="lowerRoman"/>
      <w:lvlText w:val="%2)"/>
      <w:lvlJc w:val="left"/>
      <w:pPr>
        <w:ind w:left="714" w:hanging="357"/>
      </w:pPr>
      <w:rPr>
        <w:rFonts w:hint="default"/>
      </w:rPr>
    </w:lvl>
    <w:lvl w:ilvl="2">
      <w:start w:val="1"/>
      <w:numFmt w:val="lowerRoman"/>
      <w:lvlText w:val="(%3)"/>
      <w:lvlJc w:val="left"/>
      <w:pPr>
        <w:ind w:left="1361" w:hanging="45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7A51FC2"/>
    <w:multiLevelType w:val="multilevel"/>
    <w:tmpl w:val="56043EA4"/>
    <w:styleLink w:val="TableListBulletmaster"/>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7" w:hanging="283"/>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48E6CBA"/>
    <w:multiLevelType w:val="multilevel"/>
    <w:tmpl w:val="9F703E2E"/>
    <w:styleLink w:val="ListBulletmaster"/>
    <w:lvl w:ilvl="0">
      <w:start w:val="1"/>
      <w:numFmt w:val="bullet"/>
      <w:pStyle w:val="ListBullet"/>
      <w:lvlText w:val=""/>
      <w:lvlJc w:val="left"/>
      <w:pPr>
        <w:tabs>
          <w:tab w:val="num" w:pos="360"/>
        </w:tabs>
        <w:ind w:left="360" w:hanging="360"/>
      </w:pPr>
      <w:rPr>
        <w:rFonts w:ascii="Symbol" w:hAnsi="Symbol" w:hint="default"/>
        <w:color w:val="auto"/>
      </w:rPr>
    </w:lvl>
    <w:lvl w:ilvl="1">
      <w:start w:val="1"/>
      <w:numFmt w:val="bullet"/>
      <w:pStyle w:val="ListBullet2"/>
      <w:lvlText w:val=""/>
      <w:lvlJc w:val="left"/>
      <w:pPr>
        <w:ind w:left="714" w:hanging="357"/>
      </w:pPr>
      <w:rPr>
        <w:rFonts w:ascii="Symbol" w:hAnsi="Symbol" w:hint="default"/>
        <w:color w:val="auto"/>
      </w:rPr>
    </w:lvl>
    <w:lvl w:ilvl="2">
      <w:start w:val="1"/>
      <w:numFmt w:val="bullet"/>
      <w:pStyle w:val="ListBullet3"/>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6C3F031A"/>
    <w:multiLevelType w:val="multilevel"/>
    <w:tmpl w:val="A1224394"/>
    <w:numStyleLink w:val="ListLegalmaster"/>
  </w:abstractNum>
  <w:num w:numId="1" w16cid:durableId="328336156">
    <w:abstractNumId w:val="1"/>
  </w:num>
  <w:num w:numId="2" w16cid:durableId="290287643">
    <w:abstractNumId w:val="3"/>
  </w:num>
  <w:num w:numId="3" w16cid:durableId="1869679674">
    <w:abstractNumId w:val="13"/>
  </w:num>
  <w:num w:numId="4" w16cid:durableId="2032871560">
    <w:abstractNumId w:val="8"/>
  </w:num>
  <w:num w:numId="5" w16cid:durableId="310910324">
    <w:abstractNumId w:val="12"/>
  </w:num>
  <w:num w:numId="6" w16cid:durableId="753476416">
    <w:abstractNumId w:val="4"/>
  </w:num>
  <w:num w:numId="7" w16cid:durableId="1790736337">
    <w:abstractNumId w:val="11"/>
  </w:num>
  <w:num w:numId="8" w16cid:durableId="1926304350">
    <w:abstractNumId w:val="2"/>
  </w:num>
  <w:num w:numId="9" w16cid:durableId="107823657">
    <w:abstractNumId w:val="6"/>
  </w:num>
  <w:num w:numId="10" w16cid:durableId="2057582421">
    <w:abstractNumId w:val="14"/>
  </w:num>
  <w:num w:numId="11" w16cid:durableId="1320232845">
    <w:abstractNumId w:val="0"/>
  </w:num>
  <w:num w:numId="12" w16cid:durableId="1221482542">
    <w:abstractNumId w:val="7"/>
  </w:num>
  <w:num w:numId="13" w16cid:durableId="2087678997">
    <w:abstractNumId w:val="5"/>
  </w:num>
  <w:num w:numId="14" w16cid:durableId="1742405919">
    <w:abstractNumId w:val="9"/>
    <w:lvlOverride w:ilvl="0">
      <w:lvl w:ilvl="0">
        <w:start w:val="1"/>
        <w:numFmt w:val="upperLetter"/>
        <w:pStyle w:val="AppendixHeading1"/>
        <w:lvlText w:val="Appendix %1"/>
        <w:lvlJc w:val="left"/>
        <w:pPr>
          <w:ind w:left="2268" w:hanging="2268"/>
        </w:p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ocumentProtection w:formatting="1" w:enforcement="0"/>
  <w:defaultTabStop w:val="720"/>
  <w:defaultTableStyle w:val="CustomTable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wNzE3sTSzMDEyMjCyMDZU0lEKTi0uzszPAykwrgUA5MdhVywAAAA="/>
  </w:docVars>
  <w:rsids>
    <w:rsidRoot w:val="000C629D"/>
    <w:rsid w:val="00001E29"/>
    <w:rsid w:val="00004687"/>
    <w:rsid w:val="00005ECE"/>
    <w:rsid w:val="00007C91"/>
    <w:rsid w:val="00010BC1"/>
    <w:rsid w:val="00011665"/>
    <w:rsid w:val="0001365E"/>
    <w:rsid w:val="00013D0A"/>
    <w:rsid w:val="000159FB"/>
    <w:rsid w:val="00015EB6"/>
    <w:rsid w:val="00021086"/>
    <w:rsid w:val="0002213B"/>
    <w:rsid w:val="000246A1"/>
    <w:rsid w:val="00026C42"/>
    <w:rsid w:val="0002738A"/>
    <w:rsid w:val="00030C09"/>
    <w:rsid w:val="000362A7"/>
    <w:rsid w:val="00037FEF"/>
    <w:rsid w:val="00040873"/>
    <w:rsid w:val="000419F4"/>
    <w:rsid w:val="00041B44"/>
    <w:rsid w:val="0004223E"/>
    <w:rsid w:val="0004497B"/>
    <w:rsid w:val="00051941"/>
    <w:rsid w:val="000561C0"/>
    <w:rsid w:val="00056FD1"/>
    <w:rsid w:val="000634AB"/>
    <w:rsid w:val="000639DC"/>
    <w:rsid w:val="00063B52"/>
    <w:rsid w:val="00066B58"/>
    <w:rsid w:val="00067D62"/>
    <w:rsid w:val="000758B0"/>
    <w:rsid w:val="000803B6"/>
    <w:rsid w:val="00081158"/>
    <w:rsid w:val="0008156B"/>
    <w:rsid w:val="0008202E"/>
    <w:rsid w:val="000828E6"/>
    <w:rsid w:val="00085BF7"/>
    <w:rsid w:val="00085CAA"/>
    <w:rsid w:val="00087DC2"/>
    <w:rsid w:val="00093021"/>
    <w:rsid w:val="0009644B"/>
    <w:rsid w:val="00096924"/>
    <w:rsid w:val="00097C2B"/>
    <w:rsid w:val="000A24D7"/>
    <w:rsid w:val="000A4D2F"/>
    <w:rsid w:val="000A53F7"/>
    <w:rsid w:val="000B36DB"/>
    <w:rsid w:val="000B4AFA"/>
    <w:rsid w:val="000B5678"/>
    <w:rsid w:val="000B6588"/>
    <w:rsid w:val="000B6B4C"/>
    <w:rsid w:val="000C2F4D"/>
    <w:rsid w:val="000C3E1F"/>
    <w:rsid w:val="000C629D"/>
    <w:rsid w:val="000C6BC1"/>
    <w:rsid w:val="000D02FA"/>
    <w:rsid w:val="000D16B6"/>
    <w:rsid w:val="000D481C"/>
    <w:rsid w:val="000D6923"/>
    <w:rsid w:val="000D799B"/>
    <w:rsid w:val="000E6B0B"/>
    <w:rsid w:val="000F5CD2"/>
    <w:rsid w:val="00100DC9"/>
    <w:rsid w:val="00102FA5"/>
    <w:rsid w:val="00104750"/>
    <w:rsid w:val="00104F02"/>
    <w:rsid w:val="001057A3"/>
    <w:rsid w:val="00106417"/>
    <w:rsid w:val="001134AC"/>
    <w:rsid w:val="00113513"/>
    <w:rsid w:val="00114589"/>
    <w:rsid w:val="00116311"/>
    <w:rsid w:val="00121950"/>
    <w:rsid w:val="001228F4"/>
    <w:rsid w:val="001279F3"/>
    <w:rsid w:val="00127F9F"/>
    <w:rsid w:val="00130090"/>
    <w:rsid w:val="001304E1"/>
    <w:rsid w:val="00131C8E"/>
    <w:rsid w:val="001336B4"/>
    <w:rsid w:val="00133F5B"/>
    <w:rsid w:val="001346AE"/>
    <w:rsid w:val="00137E20"/>
    <w:rsid w:val="0014078B"/>
    <w:rsid w:val="001444B2"/>
    <w:rsid w:val="0014669D"/>
    <w:rsid w:val="001646CD"/>
    <w:rsid w:val="00164E5E"/>
    <w:rsid w:val="00172538"/>
    <w:rsid w:val="001727C2"/>
    <w:rsid w:val="00180EBC"/>
    <w:rsid w:val="00183E6D"/>
    <w:rsid w:val="0018409A"/>
    <w:rsid w:val="00186429"/>
    <w:rsid w:val="001873F9"/>
    <w:rsid w:val="001A01D2"/>
    <w:rsid w:val="001A02B6"/>
    <w:rsid w:val="001A0F0D"/>
    <w:rsid w:val="001A287C"/>
    <w:rsid w:val="001A4FCA"/>
    <w:rsid w:val="001A6CE7"/>
    <w:rsid w:val="001A74BD"/>
    <w:rsid w:val="001A7584"/>
    <w:rsid w:val="001A7E36"/>
    <w:rsid w:val="001B44CC"/>
    <w:rsid w:val="001B64F8"/>
    <w:rsid w:val="001C1CF7"/>
    <w:rsid w:val="001C2CF5"/>
    <w:rsid w:val="001C4183"/>
    <w:rsid w:val="001C441D"/>
    <w:rsid w:val="001C4AB1"/>
    <w:rsid w:val="001C4E1F"/>
    <w:rsid w:val="001C5196"/>
    <w:rsid w:val="001C570B"/>
    <w:rsid w:val="001C76CD"/>
    <w:rsid w:val="001D1E20"/>
    <w:rsid w:val="001D3759"/>
    <w:rsid w:val="001D450D"/>
    <w:rsid w:val="001D519D"/>
    <w:rsid w:val="001D62BE"/>
    <w:rsid w:val="001E6449"/>
    <w:rsid w:val="001F00AA"/>
    <w:rsid w:val="001F242B"/>
    <w:rsid w:val="001F45A9"/>
    <w:rsid w:val="001F60C9"/>
    <w:rsid w:val="001F6ACD"/>
    <w:rsid w:val="001F6D1F"/>
    <w:rsid w:val="001F74AB"/>
    <w:rsid w:val="001F7E2E"/>
    <w:rsid w:val="00200E7E"/>
    <w:rsid w:val="0020139C"/>
    <w:rsid w:val="0020248C"/>
    <w:rsid w:val="00203BC1"/>
    <w:rsid w:val="002108C7"/>
    <w:rsid w:val="00211E42"/>
    <w:rsid w:val="002148F8"/>
    <w:rsid w:val="0021561F"/>
    <w:rsid w:val="0021737D"/>
    <w:rsid w:val="002212AC"/>
    <w:rsid w:val="002257B9"/>
    <w:rsid w:val="00227452"/>
    <w:rsid w:val="0023348B"/>
    <w:rsid w:val="00235919"/>
    <w:rsid w:val="0023754A"/>
    <w:rsid w:val="00241524"/>
    <w:rsid w:val="00243BE7"/>
    <w:rsid w:val="00252C90"/>
    <w:rsid w:val="0025409D"/>
    <w:rsid w:val="00255021"/>
    <w:rsid w:val="00255C68"/>
    <w:rsid w:val="002579F6"/>
    <w:rsid w:val="00257FE0"/>
    <w:rsid w:val="00263025"/>
    <w:rsid w:val="00265233"/>
    <w:rsid w:val="0026547F"/>
    <w:rsid w:val="0027372E"/>
    <w:rsid w:val="002739A1"/>
    <w:rsid w:val="00276830"/>
    <w:rsid w:val="00276A1B"/>
    <w:rsid w:val="00281227"/>
    <w:rsid w:val="00281D65"/>
    <w:rsid w:val="00282E7F"/>
    <w:rsid w:val="00283417"/>
    <w:rsid w:val="00284560"/>
    <w:rsid w:val="0028539D"/>
    <w:rsid w:val="00285854"/>
    <w:rsid w:val="00290742"/>
    <w:rsid w:val="00290F67"/>
    <w:rsid w:val="0029121E"/>
    <w:rsid w:val="00291313"/>
    <w:rsid w:val="0029212C"/>
    <w:rsid w:val="0029241C"/>
    <w:rsid w:val="00294D94"/>
    <w:rsid w:val="0029770E"/>
    <w:rsid w:val="00297E59"/>
    <w:rsid w:val="002A13A9"/>
    <w:rsid w:val="002A1456"/>
    <w:rsid w:val="002A1D49"/>
    <w:rsid w:val="002A2B85"/>
    <w:rsid w:val="002A50F4"/>
    <w:rsid w:val="002A51E7"/>
    <w:rsid w:val="002A53C5"/>
    <w:rsid w:val="002A7210"/>
    <w:rsid w:val="002B1C24"/>
    <w:rsid w:val="002B23D0"/>
    <w:rsid w:val="002B3BCD"/>
    <w:rsid w:val="002B3F20"/>
    <w:rsid w:val="002B5387"/>
    <w:rsid w:val="002B5DE3"/>
    <w:rsid w:val="002C3508"/>
    <w:rsid w:val="002D4B7E"/>
    <w:rsid w:val="002D570A"/>
    <w:rsid w:val="002D7EA2"/>
    <w:rsid w:val="002E1C71"/>
    <w:rsid w:val="002E3943"/>
    <w:rsid w:val="002E4040"/>
    <w:rsid w:val="002E5BAA"/>
    <w:rsid w:val="002F467E"/>
    <w:rsid w:val="002F48F5"/>
    <w:rsid w:val="002F4A0B"/>
    <w:rsid w:val="002F70AA"/>
    <w:rsid w:val="0030050F"/>
    <w:rsid w:val="00300713"/>
    <w:rsid w:val="003026FC"/>
    <w:rsid w:val="00303496"/>
    <w:rsid w:val="003050CA"/>
    <w:rsid w:val="0030592C"/>
    <w:rsid w:val="00307477"/>
    <w:rsid w:val="0030776B"/>
    <w:rsid w:val="00312D82"/>
    <w:rsid w:val="00316B1F"/>
    <w:rsid w:val="00323771"/>
    <w:rsid w:val="003254F1"/>
    <w:rsid w:val="0032674E"/>
    <w:rsid w:val="00333A65"/>
    <w:rsid w:val="00334E6C"/>
    <w:rsid w:val="003365E9"/>
    <w:rsid w:val="003367F9"/>
    <w:rsid w:val="0033714C"/>
    <w:rsid w:val="003405F1"/>
    <w:rsid w:val="003428F2"/>
    <w:rsid w:val="00346CB8"/>
    <w:rsid w:val="00347B18"/>
    <w:rsid w:val="003531B8"/>
    <w:rsid w:val="003541FE"/>
    <w:rsid w:val="00355334"/>
    <w:rsid w:val="00356A76"/>
    <w:rsid w:val="00357970"/>
    <w:rsid w:val="00357B2B"/>
    <w:rsid w:val="00357EE7"/>
    <w:rsid w:val="003614AE"/>
    <w:rsid w:val="00364FF1"/>
    <w:rsid w:val="00372AA9"/>
    <w:rsid w:val="00376046"/>
    <w:rsid w:val="0037625E"/>
    <w:rsid w:val="00376759"/>
    <w:rsid w:val="0038233C"/>
    <w:rsid w:val="0038294E"/>
    <w:rsid w:val="00384297"/>
    <w:rsid w:val="00384DA2"/>
    <w:rsid w:val="003918A1"/>
    <w:rsid w:val="003930F7"/>
    <w:rsid w:val="00396898"/>
    <w:rsid w:val="00396D86"/>
    <w:rsid w:val="003973B4"/>
    <w:rsid w:val="0039758D"/>
    <w:rsid w:val="003A1AB1"/>
    <w:rsid w:val="003A62A4"/>
    <w:rsid w:val="003A78C0"/>
    <w:rsid w:val="003A7FC3"/>
    <w:rsid w:val="003B1504"/>
    <w:rsid w:val="003B4D15"/>
    <w:rsid w:val="003B4E58"/>
    <w:rsid w:val="003B5703"/>
    <w:rsid w:val="003B6168"/>
    <w:rsid w:val="003C004C"/>
    <w:rsid w:val="003C00C4"/>
    <w:rsid w:val="003C0796"/>
    <w:rsid w:val="003C580B"/>
    <w:rsid w:val="003C655D"/>
    <w:rsid w:val="003C7246"/>
    <w:rsid w:val="003D153D"/>
    <w:rsid w:val="003D2B56"/>
    <w:rsid w:val="003D2E4E"/>
    <w:rsid w:val="003D3E0A"/>
    <w:rsid w:val="003D5739"/>
    <w:rsid w:val="003D6336"/>
    <w:rsid w:val="003D6B5E"/>
    <w:rsid w:val="003D75B9"/>
    <w:rsid w:val="003E333F"/>
    <w:rsid w:val="003E6856"/>
    <w:rsid w:val="003F0B3B"/>
    <w:rsid w:val="003F0B9B"/>
    <w:rsid w:val="003F212D"/>
    <w:rsid w:val="003F3496"/>
    <w:rsid w:val="003F3639"/>
    <w:rsid w:val="003F4BD9"/>
    <w:rsid w:val="003F4D3C"/>
    <w:rsid w:val="003F56F4"/>
    <w:rsid w:val="00402E7E"/>
    <w:rsid w:val="004077A0"/>
    <w:rsid w:val="00414D21"/>
    <w:rsid w:val="00417A45"/>
    <w:rsid w:val="0042122F"/>
    <w:rsid w:val="00423D1E"/>
    <w:rsid w:val="0042412D"/>
    <w:rsid w:val="004276A6"/>
    <w:rsid w:val="004322F6"/>
    <w:rsid w:val="00434ACE"/>
    <w:rsid w:val="004364CC"/>
    <w:rsid w:val="00442162"/>
    <w:rsid w:val="00442E1C"/>
    <w:rsid w:val="00447FC7"/>
    <w:rsid w:val="00451CBA"/>
    <w:rsid w:val="00452A9D"/>
    <w:rsid w:val="00454B02"/>
    <w:rsid w:val="00455216"/>
    <w:rsid w:val="0045569A"/>
    <w:rsid w:val="0045782A"/>
    <w:rsid w:val="004658C1"/>
    <w:rsid w:val="0046645D"/>
    <w:rsid w:val="0046714E"/>
    <w:rsid w:val="00470C78"/>
    <w:rsid w:val="004714FB"/>
    <w:rsid w:val="00473427"/>
    <w:rsid w:val="00475689"/>
    <w:rsid w:val="00477F13"/>
    <w:rsid w:val="004819B0"/>
    <w:rsid w:val="00483001"/>
    <w:rsid w:val="00485B3D"/>
    <w:rsid w:val="00486277"/>
    <w:rsid w:val="0049342C"/>
    <w:rsid w:val="00494760"/>
    <w:rsid w:val="00494D04"/>
    <w:rsid w:val="004A12FB"/>
    <w:rsid w:val="004A22BE"/>
    <w:rsid w:val="004A37CA"/>
    <w:rsid w:val="004A5C0C"/>
    <w:rsid w:val="004A6730"/>
    <w:rsid w:val="004A69CF"/>
    <w:rsid w:val="004B2435"/>
    <w:rsid w:val="004B3039"/>
    <w:rsid w:val="004B52FB"/>
    <w:rsid w:val="004C2D7F"/>
    <w:rsid w:val="004C3F1D"/>
    <w:rsid w:val="004C71C0"/>
    <w:rsid w:val="004C7276"/>
    <w:rsid w:val="004D0703"/>
    <w:rsid w:val="004D3CB9"/>
    <w:rsid w:val="004D5D2D"/>
    <w:rsid w:val="004E0D0F"/>
    <w:rsid w:val="004E15F8"/>
    <w:rsid w:val="004E5A05"/>
    <w:rsid w:val="004F2A8D"/>
    <w:rsid w:val="004F4078"/>
    <w:rsid w:val="004F408C"/>
    <w:rsid w:val="004F5964"/>
    <w:rsid w:val="004F7496"/>
    <w:rsid w:val="005002B4"/>
    <w:rsid w:val="00500537"/>
    <w:rsid w:val="00500569"/>
    <w:rsid w:val="005012B2"/>
    <w:rsid w:val="00506B40"/>
    <w:rsid w:val="00507912"/>
    <w:rsid w:val="005151C1"/>
    <w:rsid w:val="00516026"/>
    <w:rsid w:val="00517725"/>
    <w:rsid w:val="00517B67"/>
    <w:rsid w:val="0052139C"/>
    <w:rsid w:val="00521928"/>
    <w:rsid w:val="00522770"/>
    <w:rsid w:val="00523EBD"/>
    <w:rsid w:val="00530DDD"/>
    <w:rsid w:val="00531BFC"/>
    <w:rsid w:val="00535FB3"/>
    <w:rsid w:val="0054188B"/>
    <w:rsid w:val="0054454E"/>
    <w:rsid w:val="00544654"/>
    <w:rsid w:val="00544EC5"/>
    <w:rsid w:val="00547911"/>
    <w:rsid w:val="00550A92"/>
    <w:rsid w:val="0055258F"/>
    <w:rsid w:val="00553049"/>
    <w:rsid w:val="005545C8"/>
    <w:rsid w:val="00554FE8"/>
    <w:rsid w:val="0056004D"/>
    <w:rsid w:val="00561238"/>
    <w:rsid w:val="00565188"/>
    <w:rsid w:val="00566665"/>
    <w:rsid w:val="005705D3"/>
    <w:rsid w:val="0057447A"/>
    <w:rsid w:val="00575DC6"/>
    <w:rsid w:val="00576B12"/>
    <w:rsid w:val="00576BAF"/>
    <w:rsid w:val="00576F12"/>
    <w:rsid w:val="005832F9"/>
    <w:rsid w:val="00592C0C"/>
    <w:rsid w:val="0059536F"/>
    <w:rsid w:val="005A172E"/>
    <w:rsid w:val="005A3E2B"/>
    <w:rsid w:val="005A4DCA"/>
    <w:rsid w:val="005A6EB7"/>
    <w:rsid w:val="005B058C"/>
    <w:rsid w:val="005B29F8"/>
    <w:rsid w:val="005B6A04"/>
    <w:rsid w:val="005C23ED"/>
    <w:rsid w:val="005C52F6"/>
    <w:rsid w:val="005C5A54"/>
    <w:rsid w:val="005C6892"/>
    <w:rsid w:val="005D1B10"/>
    <w:rsid w:val="005D1DC5"/>
    <w:rsid w:val="005D36B7"/>
    <w:rsid w:val="005D70A0"/>
    <w:rsid w:val="005E0550"/>
    <w:rsid w:val="005E26EF"/>
    <w:rsid w:val="005E5864"/>
    <w:rsid w:val="005E7671"/>
    <w:rsid w:val="005E7B9A"/>
    <w:rsid w:val="005F21F0"/>
    <w:rsid w:val="005F2BF2"/>
    <w:rsid w:val="005F34C4"/>
    <w:rsid w:val="005F4999"/>
    <w:rsid w:val="005F53E8"/>
    <w:rsid w:val="005F6231"/>
    <w:rsid w:val="005F63B9"/>
    <w:rsid w:val="00600004"/>
    <w:rsid w:val="00604F42"/>
    <w:rsid w:val="0060626A"/>
    <w:rsid w:val="0061776C"/>
    <w:rsid w:val="00631A6E"/>
    <w:rsid w:val="006328AE"/>
    <w:rsid w:val="00636D42"/>
    <w:rsid w:val="00640F8F"/>
    <w:rsid w:val="006462B9"/>
    <w:rsid w:val="00647E08"/>
    <w:rsid w:val="00666CDC"/>
    <w:rsid w:val="006678BE"/>
    <w:rsid w:val="00670134"/>
    <w:rsid w:val="00671EC1"/>
    <w:rsid w:val="006722C0"/>
    <w:rsid w:val="0067321B"/>
    <w:rsid w:val="00673B14"/>
    <w:rsid w:val="006771D2"/>
    <w:rsid w:val="00677C5A"/>
    <w:rsid w:val="006819D3"/>
    <w:rsid w:val="00683612"/>
    <w:rsid w:val="00683A94"/>
    <w:rsid w:val="0068443A"/>
    <w:rsid w:val="006851AE"/>
    <w:rsid w:val="00686262"/>
    <w:rsid w:val="0069066D"/>
    <w:rsid w:val="00690867"/>
    <w:rsid w:val="00690B2A"/>
    <w:rsid w:val="00693222"/>
    <w:rsid w:val="006975ED"/>
    <w:rsid w:val="006A338E"/>
    <w:rsid w:val="006A6958"/>
    <w:rsid w:val="006A763C"/>
    <w:rsid w:val="006B002E"/>
    <w:rsid w:val="006B139D"/>
    <w:rsid w:val="006B493D"/>
    <w:rsid w:val="006B6C77"/>
    <w:rsid w:val="006B71B6"/>
    <w:rsid w:val="006C06C2"/>
    <w:rsid w:val="006C22C4"/>
    <w:rsid w:val="006C2E59"/>
    <w:rsid w:val="006C2EED"/>
    <w:rsid w:val="006C3F05"/>
    <w:rsid w:val="006C4343"/>
    <w:rsid w:val="006C554D"/>
    <w:rsid w:val="006C7A9D"/>
    <w:rsid w:val="006D26D8"/>
    <w:rsid w:val="006D2D9C"/>
    <w:rsid w:val="006D2DCB"/>
    <w:rsid w:val="006D2EB5"/>
    <w:rsid w:val="006D4D79"/>
    <w:rsid w:val="006E0043"/>
    <w:rsid w:val="006E3153"/>
    <w:rsid w:val="006E4F12"/>
    <w:rsid w:val="006E7621"/>
    <w:rsid w:val="006E7EFF"/>
    <w:rsid w:val="006F0A66"/>
    <w:rsid w:val="006F19F1"/>
    <w:rsid w:val="006F2892"/>
    <w:rsid w:val="006F4D71"/>
    <w:rsid w:val="006F7EA7"/>
    <w:rsid w:val="00700AFA"/>
    <w:rsid w:val="00704634"/>
    <w:rsid w:val="00705C64"/>
    <w:rsid w:val="00706A82"/>
    <w:rsid w:val="00706D2D"/>
    <w:rsid w:val="007113C4"/>
    <w:rsid w:val="00713506"/>
    <w:rsid w:val="00715EE0"/>
    <w:rsid w:val="007247AF"/>
    <w:rsid w:val="0072683D"/>
    <w:rsid w:val="0073236F"/>
    <w:rsid w:val="00732448"/>
    <w:rsid w:val="00732A00"/>
    <w:rsid w:val="00735A9D"/>
    <w:rsid w:val="00735B41"/>
    <w:rsid w:val="007410A8"/>
    <w:rsid w:val="00741FFC"/>
    <w:rsid w:val="007433EF"/>
    <w:rsid w:val="00744829"/>
    <w:rsid w:val="0075027B"/>
    <w:rsid w:val="00750F61"/>
    <w:rsid w:val="0075216C"/>
    <w:rsid w:val="00753083"/>
    <w:rsid w:val="00754B9B"/>
    <w:rsid w:val="0076068C"/>
    <w:rsid w:val="00763DB2"/>
    <w:rsid w:val="007665C8"/>
    <w:rsid w:val="007728E2"/>
    <w:rsid w:val="00772C68"/>
    <w:rsid w:val="00776CCF"/>
    <w:rsid w:val="00777F0B"/>
    <w:rsid w:val="007815CA"/>
    <w:rsid w:val="00781F21"/>
    <w:rsid w:val="00782308"/>
    <w:rsid w:val="007835A9"/>
    <w:rsid w:val="00783BA9"/>
    <w:rsid w:val="007846B1"/>
    <w:rsid w:val="00785AB3"/>
    <w:rsid w:val="007860EA"/>
    <w:rsid w:val="00791CF2"/>
    <w:rsid w:val="007921B4"/>
    <w:rsid w:val="007961E3"/>
    <w:rsid w:val="007A08AF"/>
    <w:rsid w:val="007A11E9"/>
    <w:rsid w:val="007A171C"/>
    <w:rsid w:val="007A2401"/>
    <w:rsid w:val="007A26A2"/>
    <w:rsid w:val="007A3159"/>
    <w:rsid w:val="007A3188"/>
    <w:rsid w:val="007A3D97"/>
    <w:rsid w:val="007A3FD4"/>
    <w:rsid w:val="007A483A"/>
    <w:rsid w:val="007A4C1F"/>
    <w:rsid w:val="007B4EB1"/>
    <w:rsid w:val="007B607E"/>
    <w:rsid w:val="007C1A44"/>
    <w:rsid w:val="007C2245"/>
    <w:rsid w:val="007C401C"/>
    <w:rsid w:val="007C41BA"/>
    <w:rsid w:val="007C7033"/>
    <w:rsid w:val="007C7814"/>
    <w:rsid w:val="007D17AC"/>
    <w:rsid w:val="007D31D3"/>
    <w:rsid w:val="007D3F51"/>
    <w:rsid w:val="007D61DA"/>
    <w:rsid w:val="007E0784"/>
    <w:rsid w:val="007E24AE"/>
    <w:rsid w:val="007E7369"/>
    <w:rsid w:val="007F2B51"/>
    <w:rsid w:val="007F2DBC"/>
    <w:rsid w:val="0080135D"/>
    <w:rsid w:val="00801470"/>
    <w:rsid w:val="008053EC"/>
    <w:rsid w:val="00805616"/>
    <w:rsid w:val="00813600"/>
    <w:rsid w:val="008159B8"/>
    <w:rsid w:val="00816B85"/>
    <w:rsid w:val="008201DE"/>
    <w:rsid w:val="0082152E"/>
    <w:rsid w:val="0083238B"/>
    <w:rsid w:val="0083301E"/>
    <w:rsid w:val="008331A3"/>
    <w:rsid w:val="00835A0D"/>
    <w:rsid w:val="00836308"/>
    <w:rsid w:val="008364A9"/>
    <w:rsid w:val="00842341"/>
    <w:rsid w:val="00846FFB"/>
    <w:rsid w:val="0085563F"/>
    <w:rsid w:val="00855C8E"/>
    <w:rsid w:val="00856BBE"/>
    <w:rsid w:val="0086089B"/>
    <w:rsid w:val="008639BF"/>
    <w:rsid w:val="00866FD2"/>
    <w:rsid w:val="00867917"/>
    <w:rsid w:val="00874C59"/>
    <w:rsid w:val="00877C00"/>
    <w:rsid w:val="008802B1"/>
    <w:rsid w:val="0088201D"/>
    <w:rsid w:val="008829E4"/>
    <w:rsid w:val="00883084"/>
    <w:rsid w:val="00883D35"/>
    <w:rsid w:val="00886C04"/>
    <w:rsid w:val="00886CF6"/>
    <w:rsid w:val="00887E7D"/>
    <w:rsid w:val="00891728"/>
    <w:rsid w:val="00891E50"/>
    <w:rsid w:val="00897623"/>
    <w:rsid w:val="008976D2"/>
    <w:rsid w:val="00897837"/>
    <w:rsid w:val="008A19E4"/>
    <w:rsid w:val="008A22BF"/>
    <w:rsid w:val="008A7A53"/>
    <w:rsid w:val="008B24DA"/>
    <w:rsid w:val="008B3D48"/>
    <w:rsid w:val="008C1B7B"/>
    <w:rsid w:val="008C2CF3"/>
    <w:rsid w:val="008C4378"/>
    <w:rsid w:val="008C74E2"/>
    <w:rsid w:val="008D2957"/>
    <w:rsid w:val="008D51D3"/>
    <w:rsid w:val="008D7069"/>
    <w:rsid w:val="008E138E"/>
    <w:rsid w:val="008E275C"/>
    <w:rsid w:val="008E5AC0"/>
    <w:rsid w:val="008E67C3"/>
    <w:rsid w:val="008E73AE"/>
    <w:rsid w:val="008E75C4"/>
    <w:rsid w:val="008F39AB"/>
    <w:rsid w:val="00900E7E"/>
    <w:rsid w:val="009017A6"/>
    <w:rsid w:val="00902D27"/>
    <w:rsid w:val="00906F57"/>
    <w:rsid w:val="009076EA"/>
    <w:rsid w:val="00907BE5"/>
    <w:rsid w:val="00913103"/>
    <w:rsid w:val="009144E2"/>
    <w:rsid w:val="00914A55"/>
    <w:rsid w:val="00924A82"/>
    <w:rsid w:val="00924F93"/>
    <w:rsid w:val="00925D48"/>
    <w:rsid w:val="00925EE9"/>
    <w:rsid w:val="009279DF"/>
    <w:rsid w:val="00927DE1"/>
    <w:rsid w:val="00930BAA"/>
    <w:rsid w:val="00932556"/>
    <w:rsid w:val="00933166"/>
    <w:rsid w:val="00936385"/>
    <w:rsid w:val="00936AE6"/>
    <w:rsid w:val="009372CA"/>
    <w:rsid w:val="0094110E"/>
    <w:rsid w:val="00941D7B"/>
    <w:rsid w:val="00943508"/>
    <w:rsid w:val="009508E1"/>
    <w:rsid w:val="0095514B"/>
    <w:rsid w:val="00955CD9"/>
    <w:rsid w:val="00955EDA"/>
    <w:rsid w:val="009574A1"/>
    <w:rsid w:val="0096427B"/>
    <w:rsid w:val="00965B97"/>
    <w:rsid w:val="00967B66"/>
    <w:rsid w:val="00970D7D"/>
    <w:rsid w:val="00972B1D"/>
    <w:rsid w:val="0098079D"/>
    <w:rsid w:val="00983ABB"/>
    <w:rsid w:val="0098508D"/>
    <w:rsid w:val="0099253D"/>
    <w:rsid w:val="0099297A"/>
    <w:rsid w:val="009A2DF7"/>
    <w:rsid w:val="009A4CDD"/>
    <w:rsid w:val="009A755C"/>
    <w:rsid w:val="009B3208"/>
    <w:rsid w:val="009B3381"/>
    <w:rsid w:val="009C3CE4"/>
    <w:rsid w:val="009C4503"/>
    <w:rsid w:val="009C76A0"/>
    <w:rsid w:val="009D0209"/>
    <w:rsid w:val="009D4359"/>
    <w:rsid w:val="009D7CB5"/>
    <w:rsid w:val="009E4B27"/>
    <w:rsid w:val="009E5F2D"/>
    <w:rsid w:val="009E61A1"/>
    <w:rsid w:val="009F0153"/>
    <w:rsid w:val="009F0467"/>
    <w:rsid w:val="009F2669"/>
    <w:rsid w:val="009F3113"/>
    <w:rsid w:val="009F4EF7"/>
    <w:rsid w:val="009F53CE"/>
    <w:rsid w:val="009F6BB7"/>
    <w:rsid w:val="009F6F10"/>
    <w:rsid w:val="00A0115D"/>
    <w:rsid w:val="00A02E34"/>
    <w:rsid w:val="00A129E7"/>
    <w:rsid w:val="00A12E30"/>
    <w:rsid w:val="00A1478F"/>
    <w:rsid w:val="00A15AF2"/>
    <w:rsid w:val="00A15B04"/>
    <w:rsid w:val="00A21DAB"/>
    <w:rsid w:val="00A2247C"/>
    <w:rsid w:val="00A23E3A"/>
    <w:rsid w:val="00A24C42"/>
    <w:rsid w:val="00A30B2A"/>
    <w:rsid w:val="00A47212"/>
    <w:rsid w:val="00A50DD0"/>
    <w:rsid w:val="00A52B46"/>
    <w:rsid w:val="00A535D8"/>
    <w:rsid w:val="00A540C3"/>
    <w:rsid w:val="00A550D9"/>
    <w:rsid w:val="00A556F5"/>
    <w:rsid w:val="00A57568"/>
    <w:rsid w:val="00A6050E"/>
    <w:rsid w:val="00A621C8"/>
    <w:rsid w:val="00A62250"/>
    <w:rsid w:val="00A627B5"/>
    <w:rsid w:val="00A65247"/>
    <w:rsid w:val="00A66F34"/>
    <w:rsid w:val="00A67901"/>
    <w:rsid w:val="00A6790A"/>
    <w:rsid w:val="00A67B12"/>
    <w:rsid w:val="00A70B32"/>
    <w:rsid w:val="00A714D0"/>
    <w:rsid w:val="00A729B1"/>
    <w:rsid w:val="00A743D6"/>
    <w:rsid w:val="00A74782"/>
    <w:rsid w:val="00A7761E"/>
    <w:rsid w:val="00A82296"/>
    <w:rsid w:val="00A833CD"/>
    <w:rsid w:val="00A84D56"/>
    <w:rsid w:val="00A8616C"/>
    <w:rsid w:val="00A903DE"/>
    <w:rsid w:val="00A919DA"/>
    <w:rsid w:val="00A94797"/>
    <w:rsid w:val="00A947D2"/>
    <w:rsid w:val="00A97AAC"/>
    <w:rsid w:val="00A97B22"/>
    <w:rsid w:val="00AA1408"/>
    <w:rsid w:val="00AA3E90"/>
    <w:rsid w:val="00AA4745"/>
    <w:rsid w:val="00AA53FD"/>
    <w:rsid w:val="00AA5442"/>
    <w:rsid w:val="00AA620F"/>
    <w:rsid w:val="00AA6CDE"/>
    <w:rsid w:val="00AB0E79"/>
    <w:rsid w:val="00AB2AE4"/>
    <w:rsid w:val="00AB2FA0"/>
    <w:rsid w:val="00AB5180"/>
    <w:rsid w:val="00AB7642"/>
    <w:rsid w:val="00AC0C77"/>
    <w:rsid w:val="00AC0E18"/>
    <w:rsid w:val="00AC33C3"/>
    <w:rsid w:val="00AC4AFB"/>
    <w:rsid w:val="00AD7068"/>
    <w:rsid w:val="00AD78FD"/>
    <w:rsid w:val="00AE0185"/>
    <w:rsid w:val="00AE2838"/>
    <w:rsid w:val="00AE375D"/>
    <w:rsid w:val="00AE79AF"/>
    <w:rsid w:val="00AF10E1"/>
    <w:rsid w:val="00AF5323"/>
    <w:rsid w:val="00B011E1"/>
    <w:rsid w:val="00B03CEC"/>
    <w:rsid w:val="00B04777"/>
    <w:rsid w:val="00B11DB6"/>
    <w:rsid w:val="00B151BC"/>
    <w:rsid w:val="00B151F9"/>
    <w:rsid w:val="00B214CA"/>
    <w:rsid w:val="00B23167"/>
    <w:rsid w:val="00B25644"/>
    <w:rsid w:val="00B26E5C"/>
    <w:rsid w:val="00B30FC6"/>
    <w:rsid w:val="00B320F0"/>
    <w:rsid w:val="00B37102"/>
    <w:rsid w:val="00B42B34"/>
    <w:rsid w:val="00B4491F"/>
    <w:rsid w:val="00B47EB0"/>
    <w:rsid w:val="00B50821"/>
    <w:rsid w:val="00B53908"/>
    <w:rsid w:val="00B55886"/>
    <w:rsid w:val="00B61695"/>
    <w:rsid w:val="00B6561A"/>
    <w:rsid w:val="00B65D1C"/>
    <w:rsid w:val="00B708B8"/>
    <w:rsid w:val="00B70C2F"/>
    <w:rsid w:val="00B70CED"/>
    <w:rsid w:val="00B74938"/>
    <w:rsid w:val="00B76792"/>
    <w:rsid w:val="00B7724E"/>
    <w:rsid w:val="00B773AD"/>
    <w:rsid w:val="00B81E1D"/>
    <w:rsid w:val="00B82143"/>
    <w:rsid w:val="00B840FB"/>
    <w:rsid w:val="00B84E2A"/>
    <w:rsid w:val="00B85E05"/>
    <w:rsid w:val="00B86152"/>
    <w:rsid w:val="00B90259"/>
    <w:rsid w:val="00B91325"/>
    <w:rsid w:val="00B93003"/>
    <w:rsid w:val="00B94809"/>
    <w:rsid w:val="00B96396"/>
    <w:rsid w:val="00B976F5"/>
    <w:rsid w:val="00BA1751"/>
    <w:rsid w:val="00BA4D1C"/>
    <w:rsid w:val="00BA65E5"/>
    <w:rsid w:val="00BA7596"/>
    <w:rsid w:val="00BA7900"/>
    <w:rsid w:val="00BA7DE5"/>
    <w:rsid w:val="00BB1F62"/>
    <w:rsid w:val="00BB23E1"/>
    <w:rsid w:val="00BB2EAF"/>
    <w:rsid w:val="00BB3A57"/>
    <w:rsid w:val="00BB71FF"/>
    <w:rsid w:val="00BC1110"/>
    <w:rsid w:val="00BC1B34"/>
    <w:rsid w:val="00BC2D2C"/>
    <w:rsid w:val="00BC354E"/>
    <w:rsid w:val="00BC46B2"/>
    <w:rsid w:val="00BC5CB9"/>
    <w:rsid w:val="00BC6A73"/>
    <w:rsid w:val="00BC7ACC"/>
    <w:rsid w:val="00BD4075"/>
    <w:rsid w:val="00BD740E"/>
    <w:rsid w:val="00BE0D06"/>
    <w:rsid w:val="00BE6A67"/>
    <w:rsid w:val="00BE6A8F"/>
    <w:rsid w:val="00BE6F56"/>
    <w:rsid w:val="00BE778B"/>
    <w:rsid w:val="00BF0E94"/>
    <w:rsid w:val="00BF58B9"/>
    <w:rsid w:val="00BF7DDD"/>
    <w:rsid w:val="00C04227"/>
    <w:rsid w:val="00C06408"/>
    <w:rsid w:val="00C06911"/>
    <w:rsid w:val="00C06FD8"/>
    <w:rsid w:val="00C0785E"/>
    <w:rsid w:val="00C07F22"/>
    <w:rsid w:val="00C10933"/>
    <w:rsid w:val="00C12688"/>
    <w:rsid w:val="00C13883"/>
    <w:rsid w:val="00C13C84"/>
    <w:rsid w:val="00C144D8"/>
    <w:rsid w:val="00C15D5E"/>
    <w:rsid w:val="00C17A3C"/>
    <w:rsid w:val="00C21498"/>
    <w:rsid w:val="00C30242"/>
    <w:rsid w:val="00C31861"/>
    <w:rsid w:val="00C32B62"/>
    <w:rsid w:val="00C339FF"/>
    <w:rsid w:val="00C41409"/>
    <w:rsid w:val="00C4441F"/>
    <w:rsid w:val="00C44FE8"/>
    <w:rsid w:val="00C45D8C"/>
    <w:rsid w:val="00C57662"/>
    <w:rsid w:val="00C57B63"/>
    <w:rsid w:val="00C61CCE"/>
    <w:rsid w:val="00C637AE"/>
    <w:rsid w:val="00C64D20"/>
    <w:rsid w:val="00C70722"/>
    <w:rsid w:val="00C7129E"/>
    <w:rsid w:val="00C76581"/>
    <w:rsid w:val="00C817F3"/>
    <w:rsid w:val="00C870C7"/>
    <w:rsid w:val="00C902AA"/>
    <w:rsid w:val="00C9099A"/>
    <w:rsid w:val="00C92B05"/>
    <w:rsid w:val="00C93617"/>
    <w:rsid w:val="00C93A37"/>
    <w:rsid w:val="00C948E5"/>
    <w:rsid w:val="00C95913"/>
    <w:rsid w:val="00C97A82"/>
    <w:rsid w:val="00C97E06"/>
    <w:rsid w:val="00CA226C"/>
    <w:rsid w:val="00CA2EAA"/>
    <w:rsid w:val="00CA539A"/>
    <w:rsid w:val="00CA65C4"/>
    <w:rsid w:val="00CA7879"/>
    <w:rsid w:val="00CB0DEB"/>
    <w:rsid w:val="00CB1682"/>
    <w:rsid w:val="00CB346C"/>
    <w:rsid w:val="00CB577E"/>
    <w:rsid w:val="00CB764A"/>
    <w:rsid w:val="00CC5000"/>
    <w:rsid w:val="00CC559C"/>
    <w:rsid w:val="00CC6102"/>
    <w:rsid w:val="00CC66D2"/>
    <w:rsid w:val="00CC6CBC"/>
    <w:rsid w:val="00CD0711"/>
    <w:rsid w:val="00CD0773"/>
    <w:rsid w:val="00CD331E"/>
    <w:rsid w:val="00CD4AA7"/>
    <w:rsid w:val="00CD5D79"/>
    <w:rsid w:val="00CD6666"/>
    <w:rsid w:val="00CD71C0"/>
    <w:rsid w:val="00CE2519"/>
    <w:rsid w:val="00CE49B6"/>
    <w:rsid w:val="00CE4B20"/>
    <w:rsid w:val="00CE58D0"/>
    <w:rsid w:val="00CF015E"/>
    <w:rsid w:val="00CF07AC"/>
    <w:rsid w:val="00CF1A90"/>
    <w:rsid w:val="00CF2438"/>
    <w:rsid w:val="00CF6974"/>
    <w:rsid w:val="00CF7366"/>
    <w:rsid w:val="00CF7AFE"/>
    <w:rsid w:val="00CF7F95"/>
    <w:rsid w:val="00D01FC0"/>
    <w:rsid w:val="00D061BF"/>
    <w:rsid w:val="00D064E2"/>
    <w:rsid w:val="00D06FBD"/>
    <w:rsid w:val="00D079E7"/>
    <w:rsid w:val="00D10E16"/>
    <w:rsid w:val="00D1197F"/>
    <w:rsid w:val="00D12D0B"/>
    <w:rsid w:val="00D13649"/>
    <w:rsid w:val="00D15488"/>
    <w:rsid w:val="00D175A5"/>
    <w:rsid w:val="00D20F72"/>
    <w:rsid w:val="00D220D1"/>
    <w:rsid w:val="00D22652"/>
    <w:rsid w:val="00D26CA7"/>
    <w:rsid w:val="00D270D7"/>
    <w:rsid w:val="00D27C0C"/>
    <w:rsid w:val="00D30491"/>
    <w:rsid w:val="00D31BCC"/>
    <w:rsid w:val="00D31F3A"/>
    <w:rsid w:val="00D3242E"/>
    <w:rsid w:val="00D326C0"/>
    <w:rsid w:val="00D32F3C"/>
    <w:rsid w:val="00D33BDF"/>
    <w:rsid w:val="00D35137"/>
    <w:rsid w:val="00D362DD"/>
    <w:rsid w:val="00D37869"/>
    <w:rsid w:val="00D411F7"/>
    <w:rsid w:val="00D430E5"/>
    <w:rsid w:val="00D45550"/>
    <w:rsid w:val="00D45E2F"/>
    <w:rsid w:val="00D50DB0"/>
    <w:rsid w:val="00D5174A"/>
    <w:rsid w:val="00D523CD"/>
    <w:rsid w:val="00D537F0"/>
    <w:rsid w:val="00D5620F"/>
    <w:rsid w:val="00D57A5A"/>
    <w:rsid w:val="00D604B5"/>
    <w:rsid w:val="00D63BF7"/>
    <w:rsid w:val="00D6493D"/>
    <w:rsid w:val="00D77A68"/>
    <w:rsid w:val="00D819BE"/>
    <w:rsid w:val="00D84929"/>
    <w:rsid w:val="00D9037A"/>
    <w:rsid w:val="00D915FE"/>
    <w:rsid w:val="00D92686"/>
    <w:rsid w:val="00D940D2"/>
    <w:rsid w:val="00D96540"/>
    <w:rsid w:val="00D967D0"/>
    <w:rsid w:val="00D97204"/>
    <w:rsid w:val="00D9787C"/>
    <w:rsid w:val="00DA0740"/>
    <w:rsid w:val="00DA41AA"/>
    <w:rsid w:val="00DA42F4"/>
    <w:rsid w:val="00DB0F79"/>
    <w:rsid w:val="00DB1AC2"/>
    <w:rsid w:val="00DB4BF0"/>
    <w:rsid w:val="00DB587F"/>
    <w:rsid w:val="00DB76AD"/>
    <w:rsid w:val="00DB79D0"/>
    <w:rsid w:val="00DC1081"/>
    <w:rsid w:val="00DC4B59"/>
    <w:rsid w:val="00DC6B5B"/>
    <w:rsid w:val="00DC6D89"/>
    <w:rsid w:val="00DC7EAD"/>
    <w:rsid w:val="00DD0378"/>
    <w:rsid w:val="00DD106D"/>
    <w:rsid w:val="00DD34CE"/>
    <w:rsid w:val="00DD35E1"/>
    <w:rsid w:val="00DD7D92"/>
    <w:rsid w:val="00DE56E5"/>
    <w:rsid w:val="00DF0D08"/>
    <w:rsid w:val="00DF1D80"/>
    <w:rsid w:val="00DF465E"/>
    <w:rsid w:val="00DF6C5B"/>
    <w:rsid w:val="00E00CA5"/>
    <w:rsid w:val="00E03B0F"/>
    <w:rsid w:val="00E04189"/>
    <w:rsid w:val="00E07A09"/>
    <w:rsid w:val="00E11821"/>
    <w:rsid w:val="00E12845"/>
    <w:rsid w:val="00E13720"/>
    <w:rsid w:val="00E13AA5"/>
    <w:rsid w:val="00E1428C"/>
    <w:rsid w:val="00E16C87"/>
    <w:rsid w:val="00E234AE"/>
    <w:rsid w:val="00E236EE"/>
    <w:rsid w:val="00E23C2C"/>
    <w:rsid w:val="00E24AC0"/>
    <w:rsid w:val="00E2606C"/>
    <w:rsid w:val="00E26406"/>
    <w:rsid w:val="00E27C44"/>
    <w:rsid w:val="00E357CE"/>
    <w:rsid w:val="00E41E09"/>
    <w:rsid w:val="00E443F7"/>
    <w:rsid w:val="00E451B3"/>
    <w:rsid w:val="00E45514"/>
    <w:rsid w:val="00E5180D"/>
    <w:rsid w:val="00E536A9"/>
    <w:rsid w:val="00E57245"/>
    <w:rsid w:val="00E5749B"/>
    <w:rsid w:val="00E57FE1"/>
    <w:rsid w:val="00E60832"/>
    <w:rsid w:val="00E60C9B"/>
    <w:rsid w:val="00E618B5"/>
    <w:rsid w:val="00E632FB"/>
    <w:rsid w:val="00E63791"/>
    <w:rsid w:val="00E6436E"/>
    <w:rsid w:val="00E65BED"/>
    <w:rsid w:val="00E70E0F"/>
    <w:rsid w:val="00E71DEF"/>
    <w:rsid w:val="00E723EE"/>
    <w:rsid w:val="00E740D1"/>
    <w:rsid w:val="00E74956"/>
    <w:rsid w:val="00E75D44"/>
    <w:rsid w:val="00E77B5D"/>
    <w:rsid w:val="00E80AFF"/>
    <w:rsid w:val="00E8176A"/>
    <w:rsid w:val="00E83196"/>
    <w:rsid w:val="00E84F43"/>
    <w:rsid w:val="00E85CF8"/>
    <w:rsid w:val="00E950ED"/>
    <w:rsid w:val="00E95155"/>
    <w:rsid w:val="00E96368"/>
    <w:rsid w:val="00E96A72"/>
    <w:rsid w:val="00EA3987"/>
    <w:rsid w:val="00EA5D23"/>
    <w:rsid w:val="00EB2373"/>
    <w:rsid w:val="00EB45AE"/>
    <w:rsid w:val="00EC60D4"/>
    <w:rsid w:val="00EC61EA"/>
    <w:rsid w:val="00EC7DDF"/>
    <w:rsid w:val="00ED0EA3"/>
    <w:rsid w:val="00ED2C01"/>
    <w:rsid w:val="00ED4346"/>
    <w:rsid w:val="00ED4873"/>
    <w:rsid w:val="00EE0363"/>
    <w:rsid w:val="00EE2558"/>
    <w:rsid w:val="00EE46C2"/>
    <w:rsid w:val="00EF6511"/>
    <w:rsid w:val="00F01E93"/>
    <w:rsid w:val="00F0211A"/>
    <w:rsid w:val="00F05F96"/>
    <w:rsid w:val="00F066E8"/>
    <w:rsid w:val="00F06B6B"/>
    <w:rsid w:val="00F1056B"/>
    <w:rsid w:val="00F1097E"/>
    <w:rsid w:val="00F1298D"/>
    <w:rsid w:val="00F15017"/>
    <w:rsid w:val="00F16211"/>
    <w:rsid w:val="00F16E2B"/>
    <w:rsid w:val="00F23E37"/>
    <w:rsid w:val="00F2689D"/>
    <w:rsid w:val="00F27B0F"/>
    <w:rsid w:val="00F313FB"/>
    <w:rsid w:val="00F32810"/>
    <w:rsid w:val="00F3688F"/>
    <w:rsid w:val="00F4121F"/>
    <w:rsid w:val="00F51436"/>
    <w:rsid w:val="00F53107"/>
    <w:rsid w:val="00F55EA1"/>
    <w:rsid w:val="00F57022"/>
    <w:rsid w:val="00F602E0"/>
    <w:rsid w:val="00F607F1"/>
    <w:rsid w:val="00F62D6B"/>
    <w:rsid w:val="00F71EEF"/>
    <w:rsid w:val="00F72BBF"/>
    <w:rsid w:val="00F73732"/>
    <w:rsid w:val="00F765DE"/>
    <w:rsid w:val="00F81633"/>
    <w:rsid w:val="00F834CE"/>
    <w:rsid w:val="00F86C7F"/>
    <w:rsid w:val="00F90222"/>
    <w:rsid w:val="00F93306"/>
    <w:rsid w:val="00F93759"/>
    <w:rsid w:val="00F93C51"/>
    <w:rsid w:val="00FA10C4"/>
    <w:rsid w:val="00FA1DEB"/>
    <w:rsid w:val="00FA2674"/>
    <w:rsid w:val="00FA450C"/>
    <w:rsid w:val="00FA580A"/>
    <w:rsid w:val="00FB015F"/>
    <w:rsid w:val="00FB17D6"/>
    <w:rsid w:val="00FB30F4"/>
    <w:rsid w:val="00FB4E9E"/>
    <w:rsid w:val="00FB6136"/>
    <w:rsid w:val="00FC2F05"/>
    <w:rsid w:val="00FC3920"/>
    <w:rsid w:val="00FC4611"/>
    <w:rsid w:val="00FC4D24"/>
    <w:rsid w:val="00FC4DA4"/>
    <w:rsid w:val="00FC4E57"/>
    <w:rsid w:val="00FC556D"/>
    <w:rsid w:val="00FC728C"/>
    <w:rsid w:val="00FD1249"/>
    <w:rsid w:val="00FD15B9"/>
    <w:rsid w:val="00FD38FF"/>
    <w:rsid w:val="00FD3EE1"/>
    <w:rsid w:val="00FD50F9"/>
    <w:rsid w:val="00FD5E3B"/>
    <w:rsid w:val="00FD6019"/>
    <w:rsid w:val="00FD6818"/>
    <w:rsid w:val="00FE11A4"/>
    <w:rsid w:val="00FE18D3"/>
    <w:rsid w:val="00FE2E1A"/>
    <w:rsid w:val="00FE36BF"/>
    <w:rsid w:val="00FE3DF6"/>
    <w:rsid w:val="00FE5930"/>
    <w:rsid w:val="00FF339B"/>
    <w:rsid w:val="00FF3F97"/>
    <w:rsid w:val="00FF4F1E"/>
    <w:rsid w:val="00FF559C"/>
    <w:rsid w:val="00FF6497"/>
    <w:rsid w:val="00FF7D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D017F4"/>
  <w15:docId w15:val="{BF40AEC7-0989-476B-A753-7155787A9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4" w:qFormat="1"/>
    <w:lsdException w:name="heading 2" w:locked="0" w:uiPriority="4" w:qFormat="1"/>
    <w:lsdException w:name="heading 3" w:locked="0" w:uiPriority="4" w:qFormat="1"/>
    <w:lsdException w:name="heading 4" w:locked="0" w:uiPriority="4" w:qFormat="1"/>
    <w:lsdException w:name="heading 5" w:locked="0" w:uiPriority="4" w:qFormat="1"/>
    <w:lsdException w:name="heading 6" w:locked="0" w:uiPriority="9" w:qFormat="1"/>
    <w:lsdException w:name="heading 7" w:locked="0" w:semiHidden="1" w:uiPriority="9" w:qFormat="1"/>
    <w:lsdException w:name="heading 8" w:locked="0" w:semiHidden="1" w:uiPriority="9" w:qFormat="1"/>
    <w:lsdException w:name="heading 9" w:locked="0" w:semiHidden="1" w:uiPriority="9" w:qFormat="1"/>
    <w:lsdException w:name="index 1" w:locked="0" w:semiHidden="1"/>
    <w:lsdException w:name="index 2" w:locked="0" w:semiHidden="1"/>
    <w:lsdException w:name="index 3" w:locked="0" w:semiHidden="1"/>
    <w:lsdException w:name="index 4" w:locked="0" w:semiHidden="1"/>
    <w:lsdException w:name="index 5" w:locked="0" w:semiHidden="1"/>
    <w:lsdException w:name="index 6" w:locked="0" w:semiHidden="1"/>
    <w:lsdException w:name="index 7" w:locked="0" w:semiHidden="1"/>
    <w:lsdException w:name="index 8" w:locked="0" w:semiHidden="1"/>
    <w:lsdException w:name="index 9" w:locked="0" w:semiHidden="1"/>
    <w:lsdException w:name="toc 1" w:locked="0" w:uiPriority="39" w:unhideWhenUsed="1"/>
    <w:lsdException w:name="toc 2" w:locked="0" w:uiPriority="39" w:unhideWhenUsed="1"/>
    <w:lsdException w:name="toc 3" w:locked="0" w:uiPriority="39" w:unhideWhenUsed="1"/>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locked="0" w:semiHidden="1"/>
    <w:lsdException w:name="footnote text" w:locked="0" w:semiHidden="1"/>
    <w:lsdException w:name="annotation text" w:locked="0" w:semiHidden="1"/>
    <w:lsdException w:name="header" w:locked="0" w:unhideWhenUsed="1"/>
    <w:lsdException w:name="footer" w:locked="0" w:unhideWhenUsed="1"/>
    <w:lsdException w:name="index heading" w:locked="0" w:semiHidden="1"/>
    <w:lsdException w:name="caption" w:locked="0" w:uiPriority="35" w:unhideWhenUsed="1" w:qFormat="1"/>
    <w:lsdException w:name="table of figures" w:locked="0" w:unhideWhenUsed="1"/>
    <w:lsdException w:name="envelope address" w:locked="0" w:semiHidden="1"/>
    <w:lsdException w:name="envelope return" w:locked="0" w:semiHidden="1"/>
    <w:lsdException w:name="footnote reference" w:locked="0" w:semiHidden="1"/>
    <w:lsdException w:name="annotation reference" w:locked="0" w:semiHidden="1"/>
    <w:lsdException w:name="line number" w:locked="0" w:semiHidden="1"/>
    <w:lsdException w:name="page number" w:locked="0" w:unhideWhenUsed="1"/>
    <w:lsdException w:name="endnote reference" w:locked="0" w:semiHidden="1"/>
    <w:lsdException w:name="endnote text" w:locked="0" w:semiHidden="1"/>
    <w:lsdException w:name="table of authorities" w:semiHidden="1"/>
    <w:lsdException w:name="macro" w:locked="0" w:semiHidden="1"/>
    <w:lsdException w:name="toa heading" w:locked="0" w:semiHidden="1"/>
    <w:lsdException w:name="List" w:locked="0" w:semiHidden="1"/>
    <w:lsdException w:name="List Bullet" w:locked="0" w:semiHidden="1" w:uiPriority="0" w:unhideWhenUsed="1" w:qFormat="1"/>
    <w:lsdException w:name="List Number" w:locked="0" w:semiHidden="1" w:uiPriority="5" w:unhideWhenUsed="1" w:qFormat="1"/>
    <w:lsdException w:name="List 2" w:locked="0" w:semiHidden="1"/>
    <w:lsdException w:name="List 3" w:locked="0" w:semiHidden="1"/>
    <w:lsdException w:name="List 4" w:locked="0" w:semiHidden="1"/>
    <w:lsdException w:name="List 5" w:locked="0" w:semiHidden="1"/>
    <w:lsdException w:name="List Bullet 2" w:locked="0" w:semiHidden="1" w:uiPriority="0" w:unhideWhenUsed="1" w:qFormat="1"/>
    <w:lsdException w:name="List Bullet 3" w:locked="0" w:semiHidden="1" w:uiPriority="0" w:unhideWhenUsed="1" w:qFormat="1"/>
    <w:lsdException w:name="List Bullet 4" w:locked="0" w:semiHidden="1" w:uiPriority="0"/>
    <w:lsdException w:name="List Bullet 5" w:locked="0" w:semiHidden="1"/>
    <w:lsdException w:name="List Number 2" w:locked="0" w:semiHidden="1" w:uiPriority="5" w:unhideWhenUsed="1" w:qFormat="1"/>
    <w:lsdException w:name="List Number 3" w:locked="0" w:semiHidden="1" w:uiPriority="5" w:unhideWhenUsed="1" w:qFormat="1"/>
    <w:lsdException w:name="List Number 4" w:locked="0" w:semiHidden="1"/>
    <w:lsdException w:name="List Number 5" w:locked="0" w:semiHidden="1"/>
    <w:lsdException w:name="Title" w:locked="0" w:uiPriority="1"/>
    <w:lsdException w:name="Closing" w:locked="0" w:semiHidden="1"/>
    <w:lsdException w:name="Signature" w:locked="0" w:semiHidden="1" w:uiPriority="23"/>
    <w:lsdException w:name="Default Paragraph Font" w:locked="0" w:semiHidden="1" w:uiPriority="1" w:unhideWhenUsed="1"/>
    <w:lsdException w:name="Body Text" w:locked="0" w:uiPriority="0" w:unhideWhenUsed="1" w:qFormat="1"/>
    <w:lsdException w:name="Body Text Indent" w:locked="0" w:semiHidden="1"/>
    <w:lsdException w:name="List Continue" w:locked="0" w:semiHidden="1"/>
    <w:lsdException w:name="List Continue 2" w:locked="0" w:semiHidden="1"/>
    <w:lsdException w:name="List Continue 3" w:locked="0" w:semiHidden="1"/>
    <w:lsdException w:name="List Continue 4" w:locked="0" w:semiHidden="1"/>
    <w:lsdException w:name="List Continue 5" w:locked="0" w:semiHidden="1"/>
    <w:lsdException w:name="Message Header" w:locked="0" w:semiHidden="1"/>
    <w:lsdException w:name="Subtitle" w:locked="0" w:uiPriority="1"/>
    <w:lsdException w:name="Salutation" w:locked="0" w:semiHidden="1"/>
    <w:lsdException w:name="Date" w:locked="0" w:semiHidden="1"/>
    <w:lsdException w:name="Body Text First Indent" w:locked="0" w:semiHidden="1"/>
    <w:lsdException w:name="Body Text First Indent 2" w:locked="0" w:semiHidden="1"/>
    <w:lsdException w:name="Note Heading" w:locked="0" w:semiHidden="1"/>
    <w:lsdException w:name="Body Text 2" w:locked="0" w:semiHidden="1"/>
    <w:lsdException w:name="Body Text 3" w:locked="0" w:semiHidden="1"/>
    <w:lsdException w:name="Body Text Indent 2" w:locked="0" w:semiHidden="1"/>
    <w:lsdException w:name="Body Text Indent 3" w:locked="0" w:semiHidden="1"/>
    <w:lsdException w:name="Block Text" w:locked="0" w:semiHidden="1"/>
    <w:lsdException w:name="Hyperlink" w:locked="0" w:semiHidden="1" w:unhideWhenUsed="1" w:qFormat="1"/>
    <w:lsdException w:name="FollowedHyperlink" w:locked="0" w:semiHidden="1"/>
    <w:lsdException w:name="Strong" w:locked="0" w:semiHidden="1" w:uiPriority="22" w:qFormat="1"/>
    <w:lsdException w:name="Emphasis" w:locked="0" w:semiHidden="1" w:uiPriority="0" w:qFormat="1"/>
    <w:lsdException w:name="Document Map" w:locked="0" w:semiHidden="1"/>
    <w:lsdException w:name="Plain Text" w:locked="0" w:semiHidden="1"/>
    <w:lsdException w:name="E-mail Signature" w:locked="0" w:semiHidden="1"/>
    <w:lsdException w:name="HTML Top of Form" w:locked="0" w:semiHidden="1" w:unhideWhenUsed="1"/>
    <w:lsdException w:name="HTML Bottom of Form" w:locked="0" w:semiHidden="1" w:unhideWhenUsed="1"/>
    <w:lsdException w:name="Normal (Web)" w:locked="0" w:semiHidden="1"/>
    <w:lsdException w:name="HTML Acronym" w:locked="0" w:semiHidden="1"/>
    <w:lsdException w:name="HTML Address" w:locked="0" w:semiHidden="1"/>
    <w:lsdException w:name="HTML Cite" w:locked="0" w:semiHidden="1"/>
    <w:lsdException w:name="HTML Code" w:locked="0" w:semiHidden="1"/>
    <w:lsdException w:name="HTML Definition" w:locked="0" w:semiHidden="1"/>
    <w:lsdException w:name="HTML Keyboard" w:locked="0" w:semiHidden="1"/>
    <w:lsdException w:name="HTML Preformatted" w:locked="0" w:semiHidden="1"/>
    <w:lsdException w:name="HTML Sample" w:locked="0" w:semiHidden="1"/>
    <w:lsdException w:name="HTML Typewriter" w:locked="0" w:semiHidden="1"/>
    <w:lsdException w:name="HTML Variable" w:locked="0" w:semiHidden="1" w:unhideWhenUsed="1"/>
    <w:lsdException w:name="Normal Table" w:locked="0" w:semiHidden="1" w:unhideWhenUsed="1"/>
    <w:lsdException w:name="annotation subject" w:locked="0" w:semiHidden="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qFormat="1"/>
    <w:lsdException w:name="Intense Emphasis" w:locked="0" w:semiHidden="1" w:uiPriority="21" w:qFormat="1"/>
    <w:lsdException w:name="Subtle Reference" w:locked="0" w:semiHidden="1" w:qFormat="1"/>
    <w:lsdException w:name="Intense Reference" w:locked="0" w:semiHidden="1" w:qFormat="1"/>
    <w:lsdException w:name="Book Title" w:locked="0" w:semiHidden="1" w:qFormat="1"/>
    <w:lsdException w:name="Bibliography" w:locked="0" w:semiHidden="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097C2B"/>
    <w:pPr>
      <w:spacing w:before="40" w:after="40" w:line="240" w:lineRule="auto"/>
    </w:pPr>
    <w:rPr>
      <w:rFonts w:ascii="Arial" w:hAnsi="Arial"/>
      <w:sz w:val="22"/>
      <w:lang w:val="en-AU"/>
    </w:rPr>
  </w:style>
  <w:style w:type="paragraph" w:styleId="Heading1">
    <w:name w:val="heading 1"/>
    <w:basedOn w:val="BodyText"/>
    <w:next w:val="BodyText"/>
    <w:link w:val="Heading1Char"/>
    <w:uiPriority w:val="9"/>
    <w:qFormat/>
    <w:rsid w:val="00B320F0"/>
    <w:pPr>
      <w:keepNext/>
      <w:spacing w:before="0" w:after="400"/>
      <w:outlineLvl w:val="0"/>
    </w:pPr>
    <w:rPr>
      <w:rFonts w:eastAsia="Times New Roman" w:cs="Arial"/>
      <w:b/>
      <w:bCs/>
      <w:color w:val="4B0985"/>
      <w:sz w:val="48"/>
      <w:szCs w:val="32"/>
      <w:lang w:eastAsia="en-AU"/>
    </w:rPr>
  </w:style>
  <w:style w:type="paragraph" w:styleId="Heading2">
    <w:name w:val="heading 2"/>
    <w:basedOn w:val="Heading1"/>
    <w:next w:val="BodyText"/>
    <w:link w:val="Heading2Char"/>
    <w:uiPriority w:val="9"/>
    <w:qFormat/>
    <w:rsid w:val="00B96396"/>
    <w:pPr>
      <w:numPr>
        <w:ilvl w:val="1"/>
      </w:numPr>
      <w:tabs>
        <w:tab w:val="clear" w:pos="357"/>
        <w:tab w:val="clear" w:pos="714"/>
        <w:tab w:val="clear" w:pos="1429"/>
      </w:tabs>
      <w:spacing w:before="240" w:after="0"/>
      <w:outlineLvl w:val="1"/>
    </w:pPr>
    <w:rPr>
      <w:bCs w:val="0"/>
      <w:iCs/>
      <w:color w:val="2F005F"/>
      <w:sz w:val="32"/>
      <w:szCs w:val="28"/>
    </w:rPr>
  </w:style>
  <w:style w:type="paragraph" w:styleId="Heading3">
    <w:name w:val="heading 3"/>
    <w:basedOn w:val="Heading1"/>
    <w:next w:val="BodyText"/>
    <w:link w:val="Heading3Char"/>
    <w:uiPriority w:val="9"/>
    <w:qFormat/>
    <w:rsid w:val="00925D48"/>
    <w:pPr>
      <w:numPr>
        <w:ilvl w:val="2"/>
      </w:numPr>
      <w:tabs>
        <w:tab w:val="clear" w:pos="357"/>
        <w:tab w:val="clear" w:pos="714"/>
        <w:tab w:val="clear" w:pos="1429"/>
      </w:tabs>
      <w:spacing w:before="240" w:after="0"/>
      <w:outlineLvl w:val="2"/>
    </w:pPr>
    <w:rPr>
      <w:bCs w:val="0"/>
      <w:sz w:val="26"/>
      <w:szCs w:val="26"/>
    </w:rPr>
  </w:style>
  <w:style w:type="paragraph" w:styleId="Heading4">
    <w:name w:val="heading 4"/>
    <w:basedOn w:val="Heading1"/>
    <w:next w:val="BodyText"/>
    <w:link w:val="Heading4Char"/>
    <w:uiPriority w:val="9"/>
    <w:qFormat/>
    <w:rsid w:val="00925D48"/>
    <w:pPr>
      <w:numPr>
        <w:ilvl w:val="3"/>
      </w:numPr>
      <w:tabs>
        <w:tab w:val="clear" w:pos="357"/>
        <w:tab w:val="clear" w:pos="714"/>
        <w:tab w:val="clear" w:pos="1429"/>
      </w:tabs>
      <w:spacing w:before="240" w:after="0"/>
      <w:outlineLvl w:val="3"/>
    </w:pPr>
    <w:rPr>
      <w:bCs w:val="0"/>
      <w:color w:val="012749"/>
      <w:sz w:val="22"/>
      <w:szCs w:val="21"/>
    </w:rPr>
  </w:style>
  <w:style w:type="paragraph" w:styleId="Heading5">
    <w:name w:val="heading 5"/>
    <w:basedOn w:val="Normal"/>
    <w:next w:val="Normal"/>
    <w:link w:val="Heading5Char"/>
    <w:uiPriority w:val="9"/>
    <w:qFormat/>
    <w:rsid w:val="00925D48"/>
    <w:pPr>
      <w:tabs>
        <w:tab w:val="left" w:pos="1072"/>
      </w:tabs>
      <w:spacing w:before="240" w:after="0" w:line="276" w:lineRule="auto"/>
      <w:outlineLvl w:val="4"/>
    </w:pPr>
    <w:rPr>
      <w:rFonts w:eastAsia="Times New Roman" w:cs="Times New Roman"/>
      <w:bCs/>
      <w:iCs/>
      <w:color w:val="4B0885"/>
      <w:lang w:val="en-GB" w:eastAsia="en-AU"/>
    </w:rPr>
  </w:style>
  <w:style w:type="paragraph" w:styleId="Heading6">
    <w:name w:val="heading 6"/>
    <w:basedOn w:val="Normal"/>
    <w:next w:val="Normal"/>
    <w:link w:val="Heading6Char"/>
    <w:uiPriority w:val="9"/>
    <w:qFormat/>
    <w:rsid w:val="003C7246"/>
    <w:pPr>
      <w:keepNext/>
      <w:keepLines/>
      <w:spacing w:before="240" w:after="0" w:line="276" w:lineRule="auto"/>
      <w:outlineLvl w:val="5"/>
    </w:pPr>
    <w:rPr>
      <w:rFonts w:eastAsiaTheme="majorEastAsia" w:cstheme="majorBidi"/>
      <w:color w:val="4B0885"/>
      <w:sz w:val="19"/>
    </w:rPr>
  </w:style>
  <w:style w:type="paragraph" w:styleId="Heading7">
    <w:name w:val="heading 7"/>
    <w:basedOn w:val="Normal"/>
    <w:next w:val="Normal"/>
    <w:link w:val="Heading7Char"/>
    <w:uiPriority w:val="9"/>
    <w:unhideWhenUsed/>
    <w:rsid w:val="00FE18D3"/>
    <w:pPr>
      <w:keepNext/>
      <w:keepLines/>
      <w:spacing w:before="240" w:after="0" w:line="264" w:lineRule="auto"/>
      <w:outlineLvl w:val="6"/>
    </w:pPr>
    <w:rPr>
      <w:rFonts w:asciiTheme="majorHAnsi" w:eastAsiaTheme="majorEastAsia" w:hAnsiTheme="majorHAnsi" w:cstheme="majorBidi"/>
      <w:i/>
      <w:iCs/>
      <w:color w:val="243F60" w:themeColor="accent1" w:themeShade="7F"/>
      <w:szCs w:val="22"/>
    </w:rPr>
  </w:style>
  <w:style w:type="paragraph" w:styleId="Heading8">
    <w:name w:val="heading 8"/>
    <w:basedOn w:val="Normal"/>
    <w:next w:val="Normal"/>
    <w:link w:val="Heading8Char"/>
    <w:uiPriority w:val="9"/>
    <w:semiHidden/>
    <w:unhideWhenUsed/>
    <w:rsid w:val="00FE18D3"/>
    <w:pPr>
      <w:keepNext/>
      <w:keepLines/>
      <w:spacing w:before="240" w:after="0" w:line="264"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E18D3"/>
    <w:pPr>
      <w:keepNext/>
      <w:keepLines/>
      <w:spacing w:before="240" w:after="0" w:line="264"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D26D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6D8"/>
    <w:rPr>
      <w:rFonts w:ascii="Tahoma" w:hAnsi="Tahoma" w:cs="Tahoma"/>
      <w:sz w:val="16"/>
      <w:szCs w:val="16"/>
    </w:rPr>
  </w:style>
  <w:style w:type="paragraph" w:styleId="ListBullet">
    <w:name w:val="List Bullet"/>
    <w:basedOn w:val="Normal"/>
    <w:qFormat/>
    <w:rsid w:val="005002B4"/>
    <w:pPr>
      <w:numPr>
        <w:numId w:val="11"/>
      </w:numPr>
      <w:spacing w:before="120" w:after="120" w:line="276" w:lineRule="auto"/>
      <w:ind w:left="357" w:hanging="357"/>
    </w:pPr>
    <w:rPr>
      <w:rFonts w:eastAsia="Times New Roman" w:cs="Times New Roman"/>
      <w:szCs w:val="24"/>
      <w:lang w:eastAsia="en-GB"/>
    </w:rPr>
  </w:style>
  <w:style w:type="numbering" w:customStyle="1" w:styleId="ListBulletmaster">
    <w:name w:val="List Bullet (master)"/>
    <w:rsid w:val="006E4F12"/>
    <w:pPr>
      <w:numPr>
        <w:numId w:val="3"/>
      </w:numPr>
    </w:pPr>
  </w:style>
  <w:style w:type="paragraph" w:styleId="ListBullet2">
    <w:name w:val="List Bullet 2"/>
    <w:basedOn w:val="Normal"/>
    <w:qFormat/>
    <w:rsid w:val="005002B4"/>
    <w:pPr>
      <w:numPr>
        <w:ilvl w:val="1"/>
        <w:numId w:val="11"/>
      </w:numPr>
      <w:spacing w:before="120" w:after="120" w:line="276" w:lineRule="auto"/>
    </w:pPr>
    <w:rPr>
      <w:rFonts w:eastAsia="Times New Roman" w:cs="Times New Roman"/>
      <w:szCs w:val="24"/>
      <w:lang w:eastAsia="en-GB"/>
    </w:rPr>
  </w:style>
  <w:style w:type="paragraph" w:styleId="ListBullet3">
    <w:name w:val="List Bullet 3"/>
    <w:basedOn w:val="Normal"/>
    <w:qFormat/>
    <w:rsid w:val="005002B4"/>
    <w:pPr>
      <w:numPr>
        <w:ilvl w:val="2"/>
        <w:numId w:val="11"/>
      </w:numPr>
      <w:spacing w:before="120" w:after="120" w:line="276" w:lineRule="auto"/>
      <w:ind w:left="1071" w:hanging="357"/>
    </w:pPr>
    <w:rPr>
      <w:rFonts w:eastAsia="Times New Roman" w:cs="Times New Roman"/>
      <w:szCs w:val="24"/>
      <w:lang w:eastAsia="en-GB"/>
    </w:rPr>
  </w:style>
  <w:style w:type="numbering" w:customStyle="1" w:styleId="ListNumbermaster">
    <w:name w:val="List Number (master)"/>
    <w:rsid w:val="000419F4"/>
    <w:pPr>
      <w:numPr>
        <w:numId w:val="4"/>
      </w:numPr>
    </w:pPr>
  </w:style>
  <w:style w:type="paragraph" w:styleId="ListNumber2">
    <w:name w:val="List Number 2"/>
    <w:basedOn w:val="Normal"/>
    <w:uiPriority w:val="5"/>
    <w:qFormat/>
    <w:rsid w:val="005002B4"/>
    <w:pPr>
      <w:numPr>
        <w:ilvl w:val="1"/>
        <w:numId w:val="8"/>
      </w:numPr>
      <w:spacing w:before="120" w:after="120" w:line="276" w:lineRule="auto"/>
      <w:ind w:left="714" w:hanging="357"/>
    </w:pPr>
    <w:rPr>
      <w:rFonts w:eastAsia="Times New Roman" w:cs="Times New Roman"/>
      <w:szCs w:val="24"/>
      <w:lang w:eastAsia="en-GB"/>
    </w:rPr>
  </w:style>
  <w:style w:type="paragraph" w:styleId="ListNumber3">
    <w:name w:val="List Number 3"/>
    <w:basedOn w:val="Normal"/>
    <w:uiPriority w:val="5"/>
    <w:qFormat/>
    <w:rsid w:val="005002B4"/>
    <w:pPr>
      <w:numPr>
        <w:ilvl w:val="2"/>
        <w:numId w:val="8"/>
      </w:numPr>
      <w:spacing w:before="120" w:after="120" w:line="276" w:lineRule="auto"/>
      <w:ind w:left="1077" w:hanging="357"/>
    </w:pPr>
    <w:rPr>
      <w:rFonts w:eastAsia="Times New Roman" w:cs="Times New Roman"/>
      <w:szCs w:val="24"/>
      <w:lang w:eastAsia="en-GB"/>
    </w:rPr>
  </w:style>
  <w:style w:type="paragraph" w:styleId="ListNumber">
    <w:name w:val="List Number"/>
    <w:basedOn w:val="Normal"/>
    <w:uiPriority w:val="5"/>
    <w:qFormat/>
    <w:rsid w:val="005002B4"/>
    <w:pPr>
      <w:numPr>
        <w:numId w:val="8"/>
      </w:numPr>
      <w:spacing w:before="120" w:after="120" w:line="276" w:lineRule="auto"/>
      <w:ind w:left="357" w:hanging="357"/>
    </w:pPr>
    <w:rPr>
      <w:rFonts w:eastAsia="Times New Roman" w:cs="Times New Roman"/>
      <w:szCs w:val="24"/>
      <w:lang w:eastAsia="en-GB"/>
    </w:rPr>
  </w:style>
  <w:style w:type="paragraph" w:styleId="NoSpacing">
    <w:name w:val="No Spacing"/>
    <w:link w:val="NoSpacingChar"/>
    <w:uiPriority w:val="1"/>
    <w:qFormat/>
    <w:rsid w:val="006722C0"/>
    <w:pPr>
      <w:spacing w:after="0" w:line="240" w:lineRule="auto"/>
    </w:pPr>
    <w:rPr>
      <w:rFonts w:ascii="Arial" w:eastAsia="Times New Roman" w:hAnsi="Arial" w:cs="Times New Roman"/>
      <w:sz w:val="2"/>
      <w:szCs w:val="24"/>
      <w:lang w:val="en-AU" w:eastAsia="en-GB"/>
    </w:rPr>
  </w:style>
  <w:style w:type="paragraph" w:customStyle="1" w:styleId="TableHeading1">
    <w:name w:val="Table Heading 1"/>
    <w:basedOn w:val="Normal"/>
    <w:uiPriority w:val="13"/>
    <w:qFormat/>
    <w:rsid w:val="0082152E"/>
    <w:pPr>
      <w:spacing w:before="80" w:after="80"/>
    </w:pPr>
    <w:rPr>
      <w:rFonts w:eastAsia="Times New Roman" w:cs="Times New Roman"/>
      <w:bCs/>
      <w:sz w:val="20"/>
      <w:szCs w:val="24"/>
      <w:lang w:eastAsia="en-GB"/>
    </w:rPr>
  </w:style>
  <w:style w:type="paragraph" w:customStyle="1" w:styleId="TableListBullet">
    <w:name w:val="Table List Bullet"/>
    <w:basedOn w:val="Normal"/>
    <w:uiPriority w:val="15"/>
    <w:qFormat/>
    <w:rsid w:val="0082152E"/>
    <w:pPr>
      <w:numPr>
        <w:numId w:val="12"/>
      </w:numPr>
      <w:spacing w:before="80" w:after="80"/>
    </w:pPr>
    <w:rPr>
      <w:rFonts w:eastAsia="Times New Roman" w:cs="Times New Roman"/>
      <w:bCs/>
      <w:sz w:val="20"/>
      <w:szCs w:val="24"/>
      <w:lang w:eastAsia="en-GB"/>
    </w:rPr>
  </w:style>
  <w:style w:type="numbering" w:customStyle="1" w:styleId="TableListBulletmaster">
    <w:name w:val="Table List Bullet (master)"/>
    <w:rsid w:val="00CF6974"/>
    <w:pPr>
      <w:numPr>
        <w:numId w:val="5"/>
      </w:numPr>
    </w:pPr>
  </w:style>
  <w:style w:type="paragraph" w:customStyle="1" w:styleId="TableListBullet2">
    <w:name w:val="Table List Bullet 2"/>
    <w:basedOn w:val="TableListBullet"/>
    <w:uiPriority w:val="15"/>
    <w:qFormat/>
    <w:rsid w:val="00544654"/>
    <w:pPr>
      <w:numPr>
        <w:ilvl w:val="1"/>
      </w:numPr>
      <w:ind w:left="568" w:hanging="284"/>
    </w:pPr>
  </w:style>
  <w:style w:type="paragraph" w:customStyle="1" w:styleId="TableListNumber">
    <w:name w:val="Table List Number"/>
    <w:basedOn w:val="Normal"/>
    <w:uiPriority w:val="15"/>
    <w:qFormat/>
    <w:rsid w:val="0082152E"/>
    <w:pPr>
      <w:numPr>
        <w:numId w:val="13"/>
      </w:numPr>
      <w:spacing w:before="80" w:after="80"/>
    </w:pPr>
    <w:rPr>
      <w:rFonts w:eastAsia="Times New Roman" w:cs="Times New Roman"/>
      <w:bCs/>
      <w:sz w:val="20"/>
      <w:szCs w:val="24"/>
      <w:lang w:eastAsia="en-GB"/>
    </w:rPr>
  </w:style>
  <w:style w:type="numbering" w:customStyle="1" w:styleId="TableListNumbermaster">
    <w:name w:val="Table List Number (master)"/>
    <w:rsid w:val="00CF6974"/>
    <w:pPr>
      <w:numPr>
        <w:numId w:val="6"/>
      </w:numPr>
    </w:pPr>
  </w:style>
  <w:style w:type="paragraph" w:customStyle="1" w:styleId="TableListNumber2">
    <w:name w:val="Table List Number 2"/>
    <w:basedOn w:val="TableListNumber"/>
    <w:uiPriority w:val="15"/>
    <w:qFormat/>
    <w:rsid w:val="0082152E"/>
    <w:pPr>
      <w:numPr>
        <w:ilvl w:val="1"/>
      </w:numPr>
      <w:ind w:left="568" w:hanging="284"/>
    </w:pPr>
  </w:style>
  <w:style w:type="paragraph" w:customStyle="1" w:styleId="TableBodyText">
    <w:name w:val="Table Body Text"/>
    <w:basedOn w:val="Normal"/>
    <w:uiPriority w:val="14"/>
    <w:qFormat/>
    <w:rsid w:val="0082152E"/>
    <w:pPr>
      <w:spacing w:before="80" w:after="80"/>
    </w:pPr>
    <w:rPr>
      <w:rFonts w:eastAsia="Times New Roman" w:cs="Times New Roman"/>
      <w:bCs/>
      <w:sz w:val="20"/>
      <w:szCs w:val="24"/>
      <w:lang w:eastAsia="en-GB"/>
    </w:rPr>
  </w:style>
  <w:style w:type="paragraph" w:customStyle="1" w:styleId="TableBodyTextsmall">
    <w:name w:val="Table Body Text (small)"/>
    <w:basedOn w:val="TableBodyText"/>
    <w:uiPriority w:val="16"/>
    <w:semiHidden/>
    <w:qFormat/>
    <w:rsid w:val="00544654"/>
    <w:pPr>
      <w:spacing w:before="20" w:after="20"/>
    </w:pPr>
    <w:rPr>
      <w:sz w:val="15"/>
    </w:rPr>
  </w:style>
  <w:style w:type="character" w:customStyle="1" w:styleId="Characterbold">
    <w:name w:val="Character (bold)"/>
    <w:basedOn w:val="DefaultParagraphFont"/>
    <w:uiPriority w:val="2"/>
    <w:qFormat/>
    <w:rsid w:val="005012B2"/>
    <w:rPr>
      <w:b/>
      <w:lang w:val="en-AU"/>
    </w:rPr>
  </w:style>
  <w:style w:type="character" w:customStyle="1" w:styleId="Characteritalic">
    <w:name w:val="Character (italic)"/>
    <w:basedOn w:val="DefaultParagraphFont"/>
    <w:uiPriority w:val="2"/>
    <w:qFormat/>
    <w:rsid w:val="005012B2"/>
    <w:rPr>
      <w:i/>
      <w:lang w:val="en-AU"/>
    </w:rPr>
  </w:style>
  <w:style w:type="character" w:customStyle="1" w:styleId="Charactersubscript">
    <w:name w:val="Character (subscript)"/>
    <w:basedOn w:val="DefaultParagraphFont"/>
    <w:uiPriority w:val="3"/>
    <w:qFormat/>
    <w:rsid w:val="005012B2"/>
    <w:rPr>
      <w:vertAlign w:val="subscript"/>
      <w:lang w:val="en-AU"/>
    </w:rPr>
  </w:style>
  <w:style w:type="character" w:customStyle="1" w:styleId="Charactersuperscript">
    <w:name w:val="Character (superscript)"/>
    <w:basedOn w:val="DefaultParagraphFont"/>
    <w:uiPriority w:val="3"/>
    <w:qFormat/>
    <w:rsid w:val="005012B2"/>
    <w:rPr>
      <w:vertAlign w:val="superscript"/>
      <w:lang w:val="en-AU"/>
    </w:rPr>
  </w:style>
  <w:style w:type="paragraph" w:styleId="ListParagraph">
    <w:name w:val="List Paragraph"/>
    <w:aliases w:val="Recommendation,L,List Paragraph1,List Paragraph11,NFP GP Bulleted List,FooterText,numbered,Paragraphe de liste1,Bulletr List Paragraph,列出段落,列出段落1,List Paragraph2,List Paragraph21,Listeafsnit1,Parágrafo da Lista1,Párrafo de lista1,リスト段落1"/>
    <w:basedOn w:val="Normal"/>
    <w:uiPriority w:val="34"/>
    <w:qFormat/>
    <w:rsid w:val="0023754A"/>
    <w:pPr>
      <w:ind w:left="720"/>
      <w:contextualSpacing/>
    </w:pPr>
  </w:style>
  <w:style w:type="character" w:customStyle="1" w:styleId="Heading1Char">
    <w:name w:val="Heading 1 Char"/>
    <w:basedOn w:val="DefaultParagraphFont"/>
    <w:link w:val="Heading1"/>
    <w:uiPriority w:val="9"/>
    <w:rsid w:val="00B320F0"/>
    <w:rPr>
      <w:rFonts w:ascii="Arial" w:eastAsia="Times New Roman" w:hAnsi="Arial" w:cs="Arial"/>
      <w:b/>
      <w:bCs/>
      <w:color w:val="4B0985"/>
      <w:sz w:val="48"/>
      <w:szCs w:val="32"/>
      <w:lang w:val="en-AU" w:eastAsia="en-AU"/>
    </w:rPr>
  </w:style>
  <w:style w:type="character" w:customStyle="1" w:styleId="Heading2Char">
    <w:name w:val="Heading 2 Char"/>
    <w:basedOn w:val="DefaultParagraphFont"/>
    <w:link w:val="Heading2"/>
    <w:uiPriority w:val="9"/>
    <w:rsid w:val="00B96396"/>
    <w:rPr>
      <w:rFonts w:ascii="Arial" w:eastAsia="Times New Roman" w:hAnsi="Arial" w:cs="Arial"/>
      <w:b/>
      <w:iCs/>
      <w:color w:val="2F005F"/>
      <w:sz w:val="32"/>
      <w:szCs w:val="28"/>
      <w:lang w:val="en-AU" w:eastAsia="en-AU"/>
    </w:rPr>
  </w:style>
  <w:style w:type="character" w:customStyle="1" w:styleId="Heading3Char">
    <w:name w:val="Heading 3 Char"/>
    <w:basedOn w:val="DefaultParagraphFont"/>
    <w:link w:val="Heading3"/>
    <w:uiPriority w:val="9"/>
    <w:rsid w:val="00925D48"/>
    <w:rPr>
      <w:rFonts w:ascii="Arial" w:eastAsia="Times New Roman" w:hAnsi="Arial" w:cs="Arial"/>
      <w:b/>
      <w:color w:val="4B0985"/>
      <w:sz w:val="26"/>
      <w:szCs w:val="26"/>
      <w:lang w:val="en-AU" w:eastAsia="en-AU"/>
    </w:rPr>
  </w:style>
  <w:style w:type="character" w:customStyle="1" w:styleId="Heading4Char">
    <w:name w:val="Heading 4 Char"/>
    <w:basedOn w:val="DefaultParagraphFont"/>
    <w:link w:val="Heading4"/>
    <w:uiPriority w:val="9"/>
    <w:rsid w:val="00925D48"/>
    <w:rPr>
      <w:rFonts w:ascii="Arial" w:eastAsia="Times New Roman" w:hAnsi="Arial" w:cs="Arial"/>
      <w:b/>
      <w:color w:val="012749"/>
      <w:sz w:val="22"/>
      <w:szCs w:val="21"/>
      <w:lang w:val="en-AU" w:eastAsia="en-AU"/>
    </w:rPr>
  </w:style>
  <w:style w:type="character" w:customStyle="1" w:styleId="Heading5Char">
    <w:name w:val="Heading 5 Char"/>
    <w:basedOn w:val="DefaultParagraphFont"/>
    <w:link w:val="Heading5"/>
    <w:uiPriority w:val="9"/>
    <w:rsid w:val="00925D48"/>
    <w:rPr>
      <w:rFonts w:ascii="Arial" w:eastAsia="Times New Roman" w:hAnsi="Arial" w:cs="Times New Roman"/>
      <w:bCs/>
      <w:iCs/>
      <w:color w:val="4B0885"/>
      <w:sz w:val="22"/>
      <w:lang w:val="en-GB" w:eastAsia="en-AU"/>
    </w:rPr>
  </w:style>
  <w:style w:type="paragraph" w:customStyle="1" w:styleId="AppendixHeading1">
    <w:name w:val="Appendix Heading 1"/>
    <w:basedOn w:val="Heading1"/>
    <w:next w:val="BodyText"/>
    <w:uiPriority w:val="11"/>
    <w:qFormat/>
    <w:rsid w:val="009279DF"/>
    <w:pPr>
      <w:keepNext w:val="0"/>
      <w:numPr>
        <w:numId w:val="14"/>
      </w:numPr>
      <w:tabs>
        <w:tab w:val="left" w:pos="2268"/>
      </w:tabs>
      <w:suppressAutoHyphens/>
      <w:spacing w:after="800"/>
      <w:ind w:left="3402" w:hanging="3402"/>
    </w:pPr>
    <w:rPr>
      <w:szCs w:val="30"/>
    </w:rPr>
  </w:style>
  <w:style w:type="numbering" w:customStyle="1" w:styleId="AppendixHeadingmaster">
    <w:name w:val="Appendix Heading (master)"/>
    <w:uiPriority w:val="99"/>
    <w:rsid w:val="004A69CF"/>
    <w:pPr>
      <w:numPr>
        <w:numId w:val="1"/>
      </w:numPr>
    </w:pPr>
  </w:style>
  <w:style w:type="paragraph" w:styleId="BodyText">
    <w:name w:val="Body Text"/>
    <w:basedOn w:val="Normal"/>
    <w:link w:val="BodyTextChar"/>
    <w:qFormat/>
    <w:rsid w:val="00E77B5D"/>
    <w:pPr>
      <w:tabs>
        <w:tab w:val="left" w:pos="357"/>
        <w:tab w:val="left" w:pos="714"/>
        <w:tab w:val="left" w:pos="1072"/>
        <w:tab w:val="left" w:pos="1429"/>
      </w:tabs>
      <w:spacing w:before="120" w:after="120" w:line="276" w:lineRule="auto"/>
    </w:pPr>
  </w:style>
  <w:style w:type="character" w:customStyle="1" w:styleId="BodyTextChar">
    <w:name w:val="Body Text Char"/>
    <w:basedOn w:val="DefaultParagraphFont"/>
    <w:link w:val="BodyText"/>
    <w:rsid w:val="00E77B5D"/>
    <w:rPr>
      <w:rFonts w:ascii="Arial" w:hAnsi="Arial"/>
      <w:sz w:val="22"/>
      <w:lang w:val="en-AU"/>
    </w:rPr>
  </w:style>
  <w:style w:type="paragraph" w:customStyle="1" w:styleId="AppendixHeading2">
    <w:name w:val="Appendix Heading 2"/>
    <w:basedOn w:val="AppendixHeading1"/>
    <w:next w:val="BodyText"/>
    <w:uiPriority w:val="11"/>
    <w:qFormat/>
    <w:rsid w:val="00281D65"/>
    <w:pPr>
      <w:keepNext/>
      <w:numPr>
        <w:ilvl w:val="1"/>
      </w:numPr>
      <w:spacing w:after="120"/>
    </w:pPr>
    <w:rPr>
      <w:color w:val="012749"/>
      <w:sz w:val="28"/>
    </w:rPr>
  </w:style>
  <w:style w:type="paragraph" w:customStyle="1" w:styleId="AppendixHeading3">
    <w:name w:val="Appendix Heading 3"/>
    <w:basedOn w:val="Heading1"/>
    <w:next w:val="BodyText"/>
    <w:uiPriority w:val="11"/>
    <w:semiHidden/>
    <w:rsid w:val="000419F4"/>
    <w:pPr>
      <w:suppressAutoHyphens/>
      <w:spacing w:after="120" w:line="312" w:lineRule="auto"/>
    </w:pPr>
    <w:rPr>
      <w:b w:val="0"/>
      <w:color w:val="0C9FCD"/>
      <w:sz w:val="26"/>
      <w:szCs w:val="30"/>
    </w:rPr>
  </w:style>
  <w:style w:type="paragraph" w:customStyle="1" w:styleId="Heading1unnumbered">
    <w:name w:val="Heading 1 (unnumbered)"/>
    <w:basedOn w:val="Heading1"/>
    <w:next w:val="BodyText"/>
    <w:uiPriority w:val="10"/>
    <w:semiHidden/>
    <w:rsid w:val="00127F9F"/>
    <w:pPr>
      <w:spacing w:after="0"/>
    </w:pPr>
  </w:style>
  <w:style w:type="numbering" w:customStyle="1" w:styleId="Headingsmaster">
    <w:name w:val="Headings (master)"/>
    <w:uiPriority w:val="99"/>
    <w:rsid w:val="00E26406"/>
    <w:pPr>
      <w:numPr>
        <w:numId w:val="2"/>
      </w:numPr>
    </w:pPr>
  </w:style>
  <w:style w:type="paragraph" w:customStyle="1" w:styleId="Image">
    <w:name w:val="Image"/>
    <w:basedOn w:val="Normal"/>
    <w:next w:val="BodyText"/>
    <w:uiPriority w:val="19"/>
    <w:qFormat/>
    <w:rsid w:val="00891E50"/>
    <w:pPr>
      <w:spacing w:before="120" w:after="120" w:line="276" w:lineRule="auto"/>
    </w:pPr>
    <w:rPr>
      <w:rFonts w:eastAsia="Times New Roman" w:cs="Times New Roman"/>
      <w:szCs w:val="24"/>
      <w:lang w:eastAsia="en-AU"/>
    </w:rPr>
  </w:style>
  <w:style w:type="paragraph" w:customStyle="1" w:styleId="InstructionalText">
    <w:name w:val="Instructional Text"/>
    <w:basedOn w:val="Normal"/>
    <w:uiPriority w:val="40"/>
    <w:semiHidden/>
    <w:rsid w:val="000419F4"/>
    <w:pPr>
      <w:spacing w:after="80" w:line="288" w:lineRule="auto"/>
    </w:pPr>
    <w:rPr>
      <w:rFonts w:eastAsia="Times New Roman" w:cs="Times New Roman"/>
      <w:vanish/>
      <w:color w:val="FF0000"/>
      <w:sz w:val="16"/>
      <w:szCs w:val="24"/>
      <w:lang w:eastAsia="en-GB"/>
    </w:rPr>
  </w:style>
  <w:style w:type="paragraph" w:customStyle="1" w:styleId="Source">
    <w:name w:val="Source"/>
    <w:basedOn w:val="TableBodyText"/>
    <w:next w:val="BodyText"/>
    <w:qFormat/>
    <w:rsid w:val="002B3BCD"/>
    <w:pPr>
      <w:spacing w:line="200" w:lineRule="atLeast"/>
    </w:pPr>
    <w:rPr>
      <w:sz w:val="17"/>
    </w:rPr>
  </w:style>
  <w:style w:type="paragraph" w:customStyle="1" w:styleId="TableBodyTextright">
    <w:name w:val="Table Body Text (right)"/>
    <w:basedOn w:val="TableBodyText"/>
    <w:uiPriority w:val="14"/>
    <w:qFormat/>
    <w:rsid w:val="0082152E"/>
    <w:pPr>
      <w:jc w:val="right"/>
    </w:pPr>
  </w:style>
  <w:style w:type="table" w:styleId="TableGrid">
    <w:name w:val="Table Grid"/>
    <w:basedOn w:val="TableNormal"/>
    <w:uiPriority w:val="59"/>
    <w:locked/>
    <w:rsid w:val="00D32F3C"/>
    <w:pPr>
      <w:spacing w:after="0" w:line="240" w:lineRule="auto"/>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rPr>
        <w:tblHeader/>
      </w:trPr>
      <w:tcPr>
        <w:shd w:val="clear" w:color="auto" w:fill="F2F2F2" w:themeFill="background1" w:themeFillShade="F2"/>
      </w:tcPr>
    </w:tblStylePr>
  </w:style>
  <w:style w:type="paragraph" w:styleId="Quote">
    <w:name w:val="Quote"/>
    <w:basedOn w:val="Normal"/>
    <w:link w:val="QuoteChar"/>
    <w:uiPriority w:val="29"/>
    <w:qFormat/>
    <w:rsid w:val="00B96396"/>
    <w:pPr>
      <w:spacing w:before="120" w:after="120" w:line="23" w:lineRule="atLeast"/>
      <w:ind w:left="714" w:right="714"/>
      <w:jc w:val="center"/>
    </w:pPr>
    <w:rPr>
      <w:i/>
      <w:iCs/>
      <w:color w:val="0F2532"/>
    </w:rPr>
  </w:style>
  <w:style w:type="character" w:customStyle="1" w:styleId="QuoteChar">
    <w:name w:val="Quote Char"/>
    <w:basedOn w:val="DefaultParagraphFont"/>
    <w:link w:val="Quote"/>
    <w:uiPriority w:val="18"/>
    <w:rsid w:val="00B96396"/>
    <w:rPr>
      <w:rFonts w:ascii="Arial" w:hAnsi="Arial"/>
      <w:i/>
      <w:iCs/>
      <w:color w:val="0F2532"/>
      <w:sz w:val="22"/>
      <w:lang w:val="en-AU"/>
    </w:rPr>
  </w:style>
  <w:style w:type="paragraph" w:styleId="Header">
    <w:name w:val="header"/>
    <w:basedOn w:val="Normal"/>
    <w:link w:val="HeaderChar"/>
    <w:uiPriority w:val="99"/>
    <w:rsid w:val="004714FB"/>
    <w:pPr>
      <w:tabs>
        <w:tab w:val="right" w:pos="0"/>
        <w:tab w:val="center" w:pos="4680"/>
        <w:tab w:val="right" w:pos="9360"/>
      </w:tabs>
      <w:spacing w:line="276" w:lineRule="auto"/>
    </w:pPr>
    <w:rPr>
      <w:sz w:val="16"/>
    </w:rPr>
  </w:style>
  <w:style w:type="character" w:customStyle="1" w:styleId="HeaderChar">
    <w:name w:val="Header Char"/>
    <w:basedOn w:val="DefaultParagraphFont"/>
    <w:link w:val="Header"/>
    <w:uiPriority w:val="24"/>
    <w:semiHidden/>
    <w:rsid w:val="003F3496"/>
    <w:rPr>
      <w:rFonts w:ascii="Arial" w:hAnsi="Arial"/>
      <w:sz w:val="16"/>
      <w:lang w:val="en-AU"/>
    </w:rPr>
  </w:style>
  <w:style w:type="paragraph" w:styleId="Footer">
    <w:name w:val="footer"/>
    <w:basedOn w:val="Normal"/>
    <w:link w:val="FooterChar"/>
    <w:uiPriority w:val="99"/>
    <w:rsid w:val="004714FB"/>
    <w:pPr>
      <w:tabs>
        <w:tab w:val="right" w:pos="14629"/>
      </w:tabs>
      <w:spacing w:line="276" w:lineRule="auto"/>
    </w:pPr>
    <w:rPr>
      <w:sz w:val="16"/>
    </w:rPr>
  </w:style>
  <w:style w:type="character" w:customStyle="1" w:styleId="FooterChar">
    <w:name w:val="Footer Char"/>
    <w:basedOn w:val="DefaultParagraphFont"/>
    <w:link w:val="Footer"/>
    <w:uiPriority w:val="24"/>
    <w:semiHidden/>
    <w:rsid w:val="003F3496"/>
    <w:rPr>
      <w:rFonts w:ascii="Arial" w:hAnsi="Arial"/>
      <w:sz w:val="16"/>
      <w:lang w:val="en-AU"/>
    </w:rPr>
  </w:style>
  <w:style w:type="character" w:styleId="PageNumber">
    <w:name w:val="page number"/>
    <w:basedOn w:val="DefaultParagraphFont"/>
    <w:uiPriority w:val="24"/>
    <w:semiHidden/>
    <w:rsid w:val="005012B2"/>
    <w:rPr>
      <w:lang w:val="en-AU"/>
    </w:rPr>
  </w:style>
  <w:style w:type="table" w:styleId="LightShading">
    <w:name w:val="Light Shading"/>
    <w:basedOn w:val="TableNormal"/>
    <w:uiPriority w:val="60"/>
    <w:locked/>
    <w:rsid w:val="009076E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076E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itle">
    <w:name w:val="Title"/>
    <w:basedOn w:val="Normal"/>
    <w:next w:val="BodyText"/>
    <w:link w:val="TitleChar"/>
    <w:uiPriority w:val="1"/>
    <w:rsid w:val="00835A0D"/>
    <w:pPr>
      <w:spacing w:before="2600" w:after="400" w:line="276" w:lineRule="auto"/>
    </w:pPr>
    <w:rPr>
      <w:rFonts w:eastAsiaTheme="majorEastAsia" w:cs="Arial"/>
      <w:b/>
      <w:color w:val="FFFFFF" w:themeColor="background1"/>
      <w:kern w:val="28"/>
      <w:sz w:val="80"/>
      <w:szCs w:val="52"/>
    </w:rPr>
  </w:style>
  <w:style w:type="character" w:customStyle="1" w:styleId="TitleChar">
    <w:name w:val="Title Char"/>
    <w:basedOn w:val="DefaultParagraphFont"/>
    <w:link w:val="Title"/>
    <w:uiPriority w:val="24"/>
    <w:rsid w:val="00835A0D"/>
    <w:rPr>
      <w:rFonts w:ascii="Arial" w:eastAsiaTheme="majorEastAsia" w:hAnsi="Arial" w:cs="Arial"/>
      <w:b/>
      <w:color w:val="FFFFFF" w:themeColor="background1"/>
      <w:kern w:val="28"/>
      <w:sz w:val="80"/>
      <w:szCs w:val="52"/>
      <w:lang w:val="en-AU"/>
    </w:rPr>
  </w:style>
  <w:style w:type="paragraph" w:styleId="Subtitle">
    <w:name w:val="Subtitle"/>
    <w:basedOn w:val="Normal"/>
    <w:next w:val="BodyText"/>
    <w:link w:val="SubtitleChar"/>
    <w:uiPriority w:val="1"/>
    <w:rsid w:val="000803B6"/>
    <w:pPr>
      <w:numPr>
        <w:ilvl w:val="1"/>
      </w:numPr>
      <w:spacing w:before="480" w:after="240" w:line="276" w:lineRule="auto"/>
    </w:pPr>
    <w:rPr>
      <w:rFonts w:eastAsiaTheme="majorEastAsia" w:cstheme="majorBidi"/>
      <w:iCs/>
      <w:color w:val="FFFFFF" w:themeColor="background1"/>
      <w:sz w:val="48"/>
      <w:szCs w:val="24"/>
    </w:rPr>
  </w:style>
  <w:style w:type="character" w:customStyle="1" w:styleId="SubtitleChar">
    <w:name w:val="Subtitle Char"/>
    <w:basedOn w:val="DefaultParagraphFont"/>
    <w:link w:val="Subtitle"/>
    <w:uiPriority w:val="24"/>
    <w:rsid w:val="000803B6"/>
    <w:rPr>
      <w:rFonts w:ascii="Arial" w:eastAsiaTheme="majorEastAsia" w:hAnsi="Arial" w:cstheme="majorBidi"/>
      <w:iCs/>
      <w:color w:val="FFFFFF" w:themeColor="background1"/>
      <w:sz w:val="48"/>
      <w:szCs w:val="24"/>
      <w:lang w:val="en-AU"/>
    </w:rPr>
  </w:style>
  <w:style w:type="numbering" w:customStyle="1" w:styleId="ListAlphanumericmaster">
    <w:name w:val="List Alphanumeric (master)"/>
    <w:uiPriority w:val="99"/>
    <w:rsid w:val="003D2B56"/>
    <w:pPr>
      <w:numPr>
        <w:numId w:val="7"/>
      </w:numPr>
    </w:pPr>
  </w:style>
  <w:style w:type="paragraph" w:styleId="TOCHeading">
    <w:name w:val="TOC Heading"/>
    <w:basedOn w:val="Heading1"/>
    <w:next w:val="Normal"/>
    <w:uiPriority w:val="39"/>
    <w:qFormat/>
    <w:rsid w:val="00F55EA1"/>
    <w:pPr>
      <w:keepLines/>
      <w:spacing w:after="0"/>
      <w:outlineLvl w:val="9"/>
    </w:pPr>
    <w:rPr>
      <w:rFonts w:eastAsiaTheme="majorEastAsia" w:cstheme="majorBidi"/>
      <w:szCs w:val="28"/>
      <w:lang w:eastAsia="en-US"/>
    </w:rPr>
  </w:style>
  <w:style w:type="paragraph" w:styleId="TOC1">
    <w:name w:val="toc 1"/>
    <w:basedOn w:val="Normal"/>
    <w:next w:val="Normal"/>
    <w:autoRedefine/>
    <w:uiPriority w:val="39"/>
    <w:rsid w:val="007665C8"/>
    <w:pPr>
      <w:tabs>
        <w:tab w:val="left" w:pos="440"/>
        <w:tab w:val="right" w:leader="dot" w:pos="9017"/>
      </w:tabs>
      <w:spacing w:after="100" w:line="276" w:lineRule="auto"/>
      <w:ind w:right="851"/>
    </w:pPr>
    <w:rPr>
      <w:b/>
      <w:color w:val="4B0985"/>
    </w:rPr>
  </w:style>
  <w:style w:type="paragraph" w:styleId="TOC2">
    <w:name w:val="toc 2"/>
    <w:basedOn w:val="Normal"/>
    <w:next w:val="Normal"/>
    <w:autoRedefine/>
    <w:uiPriority w:val="39"/>
    <w:rsid w:val="007665C8"/>
    <w:pPr>
      <w:tabs>
        <w:tab w:val="right" w:leader="dot" w:pos="9017"/>
      </w:tabs>
      <w:spacing w:after="100" w:line="276" w:lineRule="auto"/>
      <w:ind w:right="851"/>
    </w:pPr>
    <w:rPr>
      <w:b/>
    </w:rPr>
  </w:style>
  <w:style w:type="character" w:styleId="Hyperlink">
    <w:name w:val="Hyperlink"/>
    <w:basedOn w:val="DefaultParagraphFont"/>
    <w:uiPriority w:val="99"/>
    <w:qFormat/>
    <w:rsid w:val="003E6856"/>
    <w:rPr>
      <w:color w:val="215E9E"/>
      <w:u w:val="single"/>
    </w:rPr>
  </w:style>
  <w:style w:type="paragraph" w:styleId="TOC3">
    <w:name w:val="toc 3"/>
    <w:basedOn w:val="Normal"/>
    <w:next w:val="Normal"/>
    <w:autoRedefine/>
    <w:uiPriority w:val="39"/>
    <w:rsid w:val="007665C8"/>
    <w:pPr>
      <w:tabs>
        <w:tab w:val="right" w:leader="dot" w:pos="9017"/>
      </w:tabs>
      <w:spacing w:after="100" w:line="276" w:lineRule="auto"/>
      <w:ind w:right="851"/>
    </w:pPr>
  </w:style>
  <w:style w:type="paragraph" w:styleId="Caption">
    <w:name w:val="caption"/>
    <w:basedOn w:val="Normal"/>
    <w:next w:val="BodyText"/>
    <w:uiPriority w:val="35"/>
    <w:qFormat/>
    <w:rsid w:val="00783BA9"/>
    <w:pPr>
      <w:spacing w:before="120" w:line="276" w:lineRule="auto"/>
    </w:pPr>
    <w:rPr>
      <w:b/>
      <w:bCs/>
      <w:color w:val="012749"/>
      <w:sz w:val="18"/>
      <w:szCs w:val="18"/>
    </w:rPr>
  </w:style>
  <w:style w:type="paragraph" w:customStyle="1" w:styleId="Footerlandscape">
    <w:name w:val="Footer (landscape)"/>
    <w:basedOn w:val="Footer"/>
    <w:uiPriority w:val="24"/>
    <w:semiHidden/>
    <w:rsid w:val="008331A3"/>
    <w:pPr>
      <w:tabs>
        <w:tab w:val="right" w:pos="13608"/>
      </w:tabs>
    </w:pPr>
  </w:style>
  <w:style w:type="paragraph" w:customStyle="1" w:styleId="Headerlandscape">
    <w:name w:val="Header (landscape)"/>
    <w:basedOn w:val="Header"/>
    <w:uiPriority w:val="24"/>
    <w:semiHidden/>
    <w:rsid w:val="005012B2"/>
    <w:pPr>
      <w:tabs>
        <w:tab w:val="clear" w:pos="9360"/>
        <w:tab w:val="right" w:pos="13608"/>
      </w:tabs>
    </w:pPr>
  </w:style>
  <w:style w:type="paragraph" w:customStyle="1" w:styleId="ListLegal">
    <w:name w:val="List Legal"/>
    <w:basedOn w:val="ListNumber"/>
    <w:uiPriority w:val="8"/>
    <w:semiHidden/>
    <w:qFormat/>
    <w:rsid w:val="00291313"/>
    <w:pPr>
      <w:numPr>
        <w:numId w:val="10"/>
      </w:numPr>
    </w:pPr>
  </w:style>
  <w:style w:type="numbering" w:customStyle="1" w:styleId="ListLegalmaster">
    <w:name w:val="List Legal (master)"/>
    <w:uiPriority w:val="99"/>
    <w:rsid w:val="00291313"/>
    <w:pPr>
      <w:numPr>
        <w:numId w:val="9"/>
      </w:numPr>
    </w:pPr>
  </w:style>
  <w:style w:type="paragraph" w:customStyle="1" w:styleId="ListLegal2">
    <w:name w:val="List Legal 2"/>
    <w:basedOn w:val="ListNumber2"/>
    <w:uiPriority w:val="8"/>
    <w:semiHidden/>
    <w:qFormat/>
    <w:rsid w:val="00291313"/>
    <w:pPr>
      <w:numPr>
        <w:numId w:val="10"/>
      </w:numPr>
      <w:tabs>
        <w:tab w:val="left" w:pos="1077"/>
      </w:tabs>
    </w:pPr>
  </w:style>
  <w:style w:type="paragraph" w:customStyle="1" w:styleId="ListLegal3">
    <w:name w:val="List Legal 3"/>
    <w:basedOn w:val="ListLegal2"/>
    <w:uiPriority w:val="8"/>
    <w:semiHidden/>
    <w:qFormat/>
    <w:rsid w:val="00291313"/>
    <w:pPr>
      <w:numPr>
        <w:ilvl w:val="2"/>
      </w:numPr>
      <w:tabs>
        <w:tab w:val="clear" w:pos="1077"/>
        <w:tab w:val="left" w:pos="1435"/>
      </w:tabs>
    </w:pPr>
  </w:style>
  <w:style w:type="paragraph" w:customStyle="1" w:styleId="DocumentDetails">
    <w:name w:val="Document Details"/>
    <w:basedOn w:val="Normal"/>
    <w:next w:val="BodyText"/>
    <w:uiPriority w:val="24"/>
    <w:rsid w:val="005E26EF"/>
    <w:pPr>
      <w:spacing w:before="480" w:after="240" w:line="276" w:lineRule="auto"/>
    </w:pPr>
    <w:rPr>
      <w:rFonts w:ascii="Arial Bold" w:hAnsi="Arial Bold"/>
      <w:b/>
      <w:color w:val="FFFFFF" w:themeColor="background1"/>
      <w:spacing w:val="-10"/>
      <w:sz w:val="28"/>
    </w:rPr>
  </w:style>
  <w:style w:type="paragraph" w:customStyle="1" w:styleId="SingleSpace">
    <w:name w:val="Single Space"/>
    <w:basedOn w:val="BodyText"/>
    <w:uiPriority w:val="21"/>
    <w:rsid w:val="00891E50"/>
    <w:pPr>
      <w:spacing w:before="0" w:after="0" w:line="240" w:lineRule="auto"/>
    </w:pPr>
    <w:rPr>
      <w:sz w:val="2"/>
    </w:rPr>
  </w:style>
  <w:style w:type="character" w:customStyle="1" w:styleId="Characteryellowhighlight">
    <w:name w:val="Character (yellow highlight)"/>
    <w:basedOn w:val="DefaultParagraphFont"/>
    <w:uiPriority w:val="2"/>
    <w:semiHidden/>
    <w:qFormat/>
    <w:rsid w:val="005012B2"/>
    <w:rPr>
      <w:bdr w:val="none" w:sz="0" w:space="0" w:color="auto"/>
      <w:shd w:val="clear" w:color="auto" w:fill="FFFF00"/>
      <w:lang w:val="en-AU"/>
    </w:rPr>
  </w:style>
  <w:style w:type="paragraph" w:styleId="TableofFigures">
    <w:name w:val="table of figures"/>
    <w:basedOn w:val="Normal"/>
    <w:next w:val="Normal"/>
    <w:uiPriority w:val="39"/>
    <w:semiHidden/>
    <w:rsid w:val="00891E50"/>
    <w:pPr>
      <w:spacing w:after="100" w:line="276" w:lineRule="auto"/>
      <w:ind w:right="851"/>
    </w:pPr>
  </w:style>
  <w:style w:type="paragraph" w:customStyle="1" w:styleId="BodyTextindent">
    <w:name w:val="Body Text (indent)"/>
    <w:basedOn w:val="BodyText"/>
    <w:semiHidden/>
    <w:qFormat/>
    <w:rsid w:val="00010BC1"/>
    <w:pPr>
      <w:ind w:left="357"/>
    </w:pPr>
  </w:style>
  <w:style w:type="paragraph" w:customStyle="1" w:styleId="BodyTextindent2">
    <w:name w:val="Body Text (indent 2)"/>
    <w:basedOn w:val="BodyText"/>
    <w:uiPriority w:val="1"/>
    <w:semiHidden/>
    <w:qFormat/>
    <w:rsid w:val="001C4183"/>
    <w:pPr>
      <w:ind w:left="714"/>
    </w:pPr>
  </w:style>
  <w:style w:type="paragraph" w:customStyle="1" w:styleId="BodyTextindent3">
    <w:name w:val="Body Text (indent 3)"/>
    <w:basedOn w:val="BodyText"/>
    <w:uiPriority w:val="1"/>
    <w:semiHidden/>
    <w:qFormat/>
    <w:rsid w:val="001C4183"/>
    <w:pPr>
      <w:ind w:left="1077"/>
    </w:pPr>
  </w:style>
  <w:style w:type="character" w:customStyle="1" w:styleId="Charactersourcecode">
    <w:name w:val="Character (source code)"/>
    <w:basedOn w:val="DefaultParagraphFont"/>
    <w:uiPriority w:val="3"/>
    <w:semiHidden/>
    <w:qFormat/>
    <w:rsid w:val="00CA539A"/>
    <w:rPr>
      <w:rFonts w:ascii="Courier New" w:hAnsi="Courier New"/>
    </w:rPr>
  </w:style>
  <w:style w:type="paragraph" w:customStyle="1" w:styleId="EndNoteBibliography">
    <w:name w:val="EndNote Bibliography"/>
    <w:basedOn w:val="BodyText"/>
    <w:link w:val="EndNoteBibliographyChar"/>
    <w:uiPriority w:val="23"/>
    <w:semiHidden/>
    <w:rsid w:val="00402E7E"/>
    <w:pPr>
      <w:ind w:left="720" w:hanging="720"/>
    </w:pPr>
    <w:rPr>
      <w:rFonts w:cs="Calibri"/>
      <w:noProof/>
      <w:szCs w:val="22"/>
    </w:rPr>
  </w:style>
  <w:style w:type="character" w:customStyle="1" w:styleId="EndNoteBibliographyChar">
    <w:name w:val="EndNote Bibliography Char"/>
    <w:basedOn w:val="BodyTextChar"/>
    <w:link w:val="EndNoteBibliography"/>
    <w:uiPriority w:val="23"/>
    <w:semiHidden/>
    <w:rsid w:val="009E61A1"/>
    <w:rPr>
      <w:rFonts w:ascii="Arial" w:hAnsi="Arial" w:cs="Calibri"/>
      <w:noProof/>
      <w:sz w:val="22"/>
      <w:szCs w:val="22"/>
      <w:lang w:val="en-AU"/>
    </w:rPr>
  </w:style>
  <w:style w:type="paragraph" w:customStyle="1" w:styleId="EndNoteBibliographyTitle">
    <w:name w:val="EndNote Bibliography Title"/>
    <w:basedOn w:val="Heading1"/>
    <w:next w:val="EndNoteBibliography"/>
    <w:link w:val="EndNoteBibliographyTitleChar4"/>
    <w:uiPriority w:val="23"/>
    <w:semiHidden/>
    <w:rsid w:val="00402E7E"/>
    <w:pPr>
      <w:spacing w:before="120" w:after="120"/>
    </w:pPr>
    <w:rPr>
      <w:rFonts w:cs="Calibri"/>
      <w:i/>
      <w:noProof/>
      <w:sz w:val="20"/>
    </w:rPr>
  </w:style>
  <w:style w:type="character" w:customStyle="1" w:styleId="EndNoteBibliographyTitleChar4">
    <w:name w:val="EndNote Bibliography Title Char4"/>
    <w:basedOn w:val="BodyTextChar"/>
    <w:link w:val="EndNoteBibliographyTitle"/>
    <w:uiPriority w:val="23"/>
    <w:semiHidden/>
    <w:rsid w:val="009E61A1"/>
    <w:rPr>
      <w:rFonts w:ascii="Arial" w:eastAsia="Times New Roman" w:hAnsi="Arial" w:cs="Calibri"/>
      <w:bCs/>
      <w:i/>
      <w:noProof/>
      <w:sz w:val="22"/>
      <w:szCs w:val="32"/>
      <w:lang w:val="en-AU" w:eastAsia="en-AU"/>
    </w:rPr>
  </w:style>
  <w:style w:type="character" w:styleId="PlaceholderText">
    <w:name w:val="Placeholder Text"/>
    <w:basedOn w:val="DefaultParagraphFont"/>
    <w:uiPriority w:val="99"/>
    <w:rsid w:val="00706D2D"/>
    <w:rPr>
      <w:color w:val="C00000"/>
    </w:rPr>
  </w:style>
  <w:style w:type="paragraph" w:styleId="TOC4">
    <w:name w:val="toc 4"/>
    <w:basedOn w:val="TOC1"/>
    <w:next w:val="Normal"/>
    <w:autoRedefine/>
    <w:uiPriority w:val="39"/>
    <w:rsid w:val="00D92686"/>
    <w:pPr>
      <w:tabs>
        <w:tab w:val="left" w:pos="1418"/>
      </w:tabs>
    </w:pPr>
    <w:rPr>
      <w:noProof/>
    </w:rPr>
  </w:style>
  <w:style w:type="paragraph" w:customStyle="1" w:styleId="BodyTextindent4">
    <w:name w:val="Body Text (indent 4)"/>
    <w:basedOn w:val="BodyText"/>
    <w:uiPriority w:val="1"/>
    <w:semiHidden/>
    <w:qFormat/>
    <w:rsid w:val="00291313"/>
    <w:pPr>
      <w:ind w:left="1435"/>
    </w:pPr>
  </w:style>
  <w:style w:type="paragraph" w:styleId="FootnoteText">
    <w:name w:val="footnote text"/>
    <w:basedOn w:val="Normal"/>
    <w:link w:val="FootnoteTextChar"/>
    <w:uiPriority w:val="99"/>
    <w:rsid w:val="00E23C2C"/>
    <w:pPr>
      <w:spacing w:before="0" w:after="80"/>
      <w:ind w:left="113" w:hanging="113"/>
    </w:pPr>
    <w:rPr>
      <w:sz w:val="18"/>
    </w:rPr>
  </w:style>
  <w:style w:type="character" w:customStyle="1" w:styleId="FootnoteTextChar">
    <w:name w:val="Footnote Text Char"/>
    <w:basedOn w:val="DefaultParagraphFont"/>
    <w:link w:val="FootnoteText"/>
    <w:uiPriority w:val="99"/>
    <w:semiHidden/>
    <w:rsid w:val="00E23C2C"/>
    <w:rPr>
      <w:rFonts w:ascii="Arial" w:hAnsi="Arial"/>
      <w:sz w:val="18"/>
      <w:lang w:val="en-AU"/>
    </w:rPr>
  </w:style>
  <w:style w:type="character" w:styleId="FootnoteReference">
    <w:name w:val="footnote reference"/>
    <w:basedOn w:val="DefaultParagraphFont"/>
    <w:uiPriority w:val="99"/>
    <w:rsid w:val="00600004"/>
    <w:rPr>
      <w:vertAlign w:val="superscript"/>
    </w:rPr>
  </w:style>
  <w:style w:type="table" w:customStyle="1" w:styleId="CustomTableoption1">
    <w:name w:val="Custom Table (option 1)"/>
    <w:basedOn w:val="TableNormal"/>
    <w:uiPriority w:val="99"/>
    <w:rsid w:val="001646CD"/>
    <w:pPr>
      <w:spacing w:after="0" w:line="240" w:lineRule="auto"/>
    </w:pPr>
    <w:rPr>
      <w:rFonts w:ascii="Arial" w:hAnsi="Arial"/>
      <w:sz w:val="22"/>
    </w:rPr>
    <w:tblPr>
      <w:tblStyleRowBandSize w:val="1"/>
      <w:tblStyleColBandSize w:val="1"/>
      <w:tblBorders>
        <w:bottom w:val="single" w:sz="4" w:space="0" w:color="2F005F"/>
      </w:tblBorders>
    </w:tblPr>
    <w:trPr>
      <w:cantSplit/>
    </w:trPr>
    <w:tblStylePr w:type="firstRow">
      <w:rPr>
        <w:b w:val="0"/>
        <w:color w:val="FFFFFF" w:themeColor="background1"/>
      </w:rPr>
      <w:tblPr/>
      <w:tcPr>
        <w:shd w:val="clear" w:color="auto" w:fill="2F005F"/>
      </w:tcPr>
    </w:tblStylePr>
    <w:tblStylePr w:type="lastRow">
      <w:rPr>
        <w:b/>
      </w:rPr>
      <w:tblPr/>
      <w:tcPr>
        <w:shd w:val="clear" w:color="auto" w:fill="4B0985"/>
      </w:tcPr>
    </w:tblStylePr>
    <w:tblStylePr w:type="firstCol">
      <w:rPr>
        <w:b w:val="0"/>
        <w:color w:val="FFFFFF" w:themeColor="background1"/>
      </w:rPr>
      <w:tblPr/>
      <w:tcPr>
        <w:shd w:val="clear" w:color="auto" w:fill="2F005F"/>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CustomTableoption2">
    <w:name w:val="Custom Table (option 2)"/>
    <w:basedOn w:val="TableNormal"/>
    <w:uiPriority w:val="99"/>
    <w:rsid w:val="001646CD"/>
    <w:pPr>
      <w:spacing w:after="0" w:line="240" w:lineRule="auto"/>
    </w:pPr>
    <w:rPr>
      <w:rFonts w:ascii="Arial" w:hAnsi="Arial"/>
      <w:sz w:val="22"/>
    </w:rPr>
    <w:tblPr>
      <w:tblStyleRowBandSize w:val="1"/>
      <w:tblStyleColBandSize w:val="1"/>
      <w:tblBorders>
        <w:bottom w:val="single" w:sz="4" w:space="0" w:color="012749"/>
      </w:tblBorders>
    </w:tblPr>
    <w:trPr>
      <w:cantSplit/>
    </w:trPr>
    <w:tblStylePr w:type="firstRow">
      <w:rPr>
        <w:b w:val="0"/>
        <w:color w:val="FFFFFF" w:themeColor="background1"/>
      </w:rPr>
      <w:tblPr/>
      <w:tcPr>
        <w:shd w:val="clear" w:color="auto" w:fill="012749"/>
      </w:tcPr>
    </w:tblStylePr>
    <w:tblStylePr w:type="lastRow">
      <w:rPr>
        <w:b/>
      </w:rPr>
      <w:tblPr/>
      <w:tcPr>
        <w:shd w:val="clear" w:color="auto" w:fill="4B0985"/>
      </w:tcPr>
    </w:tblStylePr>
    <w:tblStylePr w:type="firstCol">
      <w:rPr>
        <w:b w:val="0"/>
        <w:color w:val="auto"/>
      </w:rPr>
      <w:tblPr/>
      <w:tcPr>
        <w:shd w:val="clear" w:color="auto" w:fill="012749"/>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LargeSpace">
    <w:name w:val="Large Space"/>
    <w:basedOn w:val="SingleSpace"/>
    <w:uiPriority w:val="21"/>
    <w:rsid w:val="00A1478F"/>
    <w:pPr>
      <w:spacing w:after="6000"/>
    </w:pPr>
    <w:rPr>
      <w:sz w:val="96"/>
    </w:rPr>
  </w:style>
  <w:style w:type="table" w:customStyle="1" w:styleId="CustomTableplaceholder">
    <w:name w:val="Custom Table (placeholder)"/>
    <w:basedOn w:val="TableNormal"/>
    <w:uiPriority w:val="99"/>
    <w:rsid w:val="007C1A44"/>
    <w:pPr>
      <w:spacing w:after="0" w:line="240" w:lineRule="auto"/>
    </w:pPr>
    <w:rPr>
      <w:rFonts w:ascii="Arial" w:hAnsi="Arial"/>
    </w:rPr>
    <w:tblPr/>
  </w:style>
  <w:style w:type="paragraph" w:styleId="Signature">
    <w:name w:val="Signature"/>
    <w:basedOn w:val="Normal"/>
    <w:link w:val="SignatureChar"/>
    <w:uiPriority w:val="23"/>
    <w:semiHidden/>
    <w:rsid w:val="009E61A1"/>
    <w:pPr>
      <w:spacing w:before="360" w:after="360"/>
    </w:pPr>
    <w:rPr>
      <w:rFonts w:ascii="Segoe Script" w:hAnsi="Segoe Script"/>
      <w:color w:val="548DD4" w:themeColor="text2" w:themeTint="99"/>
      <w:sz w:val="24"/>
    </w:rPr>
  </w:style>
  <w:style w:type="character" w:customStyle="1" w:styleId="SignatureChar">
    <w:name w:val="Signature Char"/>
    <w:basedOn w:val="DefaultParagraphFont"/>
    <w:link w:val="Signature"/>
    <w:uiPriority w:val="23"/>
    <w:semiHidden/>
    <w:rsid w:val="009E61A1"/>
    <w:rPr>
      <w:rFonts w:ascii="Segoe Script" w:hAnsi="Segoe Script"/>
      <w:color w:val="548DD4" w:themeColor="text2" w:themeTint="99"/>
      <w:sz w:val="24"/>
      <w:lang w:val="en-AU"/>
    </w:rPr>
  </w:style>
  <w:style w:type="character" w:customStyle="1" w:styleId="NoSpacingChar">
    <w:name w:val="No Spacing Char"/>
    <w:basedOn w:val="DefaultParagraphFont"/>
    <w:link w:val="NoSpacing"/>
    <w:uiPriority w:val="1"/>
    <w:semiHidden/>
    <w:rsid w:val="00544EC5"/>
    <w:rPr>
      <w:rFonts w:ascii="Arial" w:eastAsia="Times New Roman" w:hAnsi="Arial" w:cs="Times New Roman"/>
      <w:sz w:val="2"/>
      <w:szCs w:val="24"/>
      <w:lang w:val="en-AU" w:eastAsia="en-GB"/>
    </w:rPr>
  </w:style>
  <w:style w:type="character" w:customStyle="1" w:styleId="Characterbolditalic">
    <w:name w:val="Character (bold italic)"/>
    <w:basedOn w:val="DefaultParagraphFont"/>
    <w:uiPriority w:val="2"/>
    <w:qFormat/>
    <w:rsid w:val="00137E20"/>
    <w:rPr>
      <w:b/>
      <w:i/>
    </w:rPr>
  </w:style>
  <w:style w:type="table" w:styleId="PlainTable4">
    <w:name w:val="Plain Table 4"/>
    <w:basedOn w:val="TableNormal"/>
    <w:uiPriority w:val="44"/>
    <w:locked/>
    <w:rsid w:val="00F23E37"/>
    <w:pPr>
      <w:spacing w:after="0" w:line="240" w:lineRule="auto"/>
    </w:pPr>
    <w:rPr>
      <w:rFonts w:ascii="Arial" w:hAnsi="Arial"/>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E41E09"/>
    <w:rPr>
      <w:color w:val="605E5C"/>
      <w:shd w:val="clear" w:color="auto" w:fill="E1DFDD"/>
    </w:rPr>
  </w:style>
  <w:style w:type="table" w:customStyle="1" w:styleId="CustomTablestandard">
    <w:name w:val="Custom Table (standard)"/>
    <w:basedOn w:val="TableNormal"/>
    <w:uiPriority w:val="99"/>
    <w:locked/>
    <w:rsid w:val="00DD34CE"/>
    <w:pPr>
      <w:spacing w:after="0" w:line="240" w:lineRule="auto"/>
    </w:pPr>
    <w:rPr>
      <w:rFonts w:ascii="Arial" w:hAnsi="Arial"/>
      <w:sz w:val="18"/>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rPr>
      <w:cantSplit/>
    </w:trPr>
    <w:tblStylePr w:type="firstRow">
      <w:rPr>
        <w:rFonts w:ascii="Arial" w:hAnsi="Arial"/>
        <w:b w:val="0"/>
        <w:color w:val="FFFFFF" w:themeColor="background1"/>
      </w:rPr>
      <w:tblPr/>
      <w:tcPr>
        <w:shd w:val="clear" w:color="auto" w:fill="404040" w:themeFill="text1" w:themeFillTint="BF"/>
      </w:tcPr>
    </w:tblStylePr>
  </w:style>
  <w:style w:type="table" w:customStyle="1" w:styleId="CustomTablebasic">
    <w:name w:val="Custom Table (basic)"/>
    <w:basedOn w:val="TableNormal"/>
    <w:uiPriority w:val="99"/>
    <w:rsid w:val="007A171C"/>
    <w:pPr>
      <w:spacing w:after="0" w:line="240" w:lineRule="auto"/>
    </w:pPr>
    <w:rPr>
      <w:rFonts w:ascii="Arial" w:hAnsi="Arial"/>
      <w:sz w:val="22"/>
    </w:rPr>
    <w:tblPr>
      <w:tblStyleRowBandSize w:val="1"/>
      <w:tblBorders>
        <w:bottom w:val="single" w:sz="4" w:space="0" w:color="2F005F"/>
      </w:tblBorders>
    </w:tblPr>
    <w:tblStylePr w:type="firstRow">
      <w:tblPr/>
      <w:tcPr>
        <w:tcBorders>
          <w:bottom w:val="nil"/>
        </w:tcBorders>
        <w:shd w:val="clear" w:color="auto" w:fill="2F005F"/>
      </w:tcPr>
    </w:tblStylePr>
    <w:tblStylePr w:type="band2Horz">
      <w:tblPr/>
      <w:tcPr>
        <w:shd w:val="clear" w:color="auto" w:fill="F2F2F2" w:themeFill="background1" w:themeFillShade="F2"/>
      </w:tcPr>
    </w:tblStylePr>
  </w:style>
  <w:style w:type="table" w:customStyle="1" w:styleId="CustomTablepulloutbox">
    <w:name w:val="Custom Table (pullout box)"/>
    <w:basedOn w:val="TableNormal"/>
    <w:uiPriority w:val="99"/>
    <w:rsid w:val="00AC33C3"/>
    <w:pPr>
      <w:spacing w:after="0" w:line="240" w:lineRule="auto"/>
    </w:pPr>
    <w:tblPr>
      <w:tblBorders>
        <w:left w:val="single" w:sz="24" w:space="0" w:color="4B0885"/>
      </w:tblBorders>
    </w:tblPr>
    <w:tcPr>
      <w:shd w:val="clear" w:color="auto" w:fill="F2F2F2" w:themeFill="background1" w:themeFillShade="F2"/>
      <w:tcMar>
        <w:top w:w="227" w:type="dxa"/>
        <w:left w:w="227" w:type="dxa"/>
        <w:bottom w:w="227" w:type="dxa"/>
        <w:right w:w="227" w:type="dxa"/>
      </w:tcMar>
    </w:tcPr>
  </w:style>
  <w:style w:type="table" w:customStyle="1" w:styleId="CustomTablekeythemes">
    <w:name w:val="Custom Table (key themes)"/>
    <w:basedOn w:val="TableNormal"/>
    <w:uiPriority w:val="99"/>
    <w:rsid w:val="006819D3"/>
    <w:pPr>
      <w:spacing w:after="0" w:line="240" w:lineRule="auto"/>
    </w:pPr>
    <w:tblPr>
      <w:tblBorders>
        <w:top w:val="double" w:sz="12" w:space="0" w:color="D9D9D9" w:themeColor="background1" w:themeShade="D9"/>
        <w:bottom w:val="double" w:sz="12" w:space="0" w:color="D9D9D9" w:themeColor="background1" w:themeShade="D9"/>
      </w:tblBorders>
    </w:tblPr>
    <w:tcPr>
      <w:shd w:val="clear" w:color="auto" w:fill="D9D9D9" w:themeFill="background1" w:themeFillShade="D9"/>
      <w:tcMar>
        <w:top w:w="227" w:type="dxa"/>
        <w:left w:w="227" w:type="dxa"/>
        <w:bottom w:w="227" w:type="dxa"/>
        <w:right w:w="227" w:type="dxa"/>
      </w:tcMar>
    </w:tcPr>
  </w:style>
  <w:style w:type="paragraph" w:customStyle="1" w:styleId="TableHeading1centre">
    <w:name w:val="Table Heading 1 (centre)"/>
    <w:basedOn w:val="TableHeading1"/>
    <w:uiPriority w:val="13"/>
    <w:qFormat/>
    <w:rsid w:val="005D70A0"/>
    <w:pPr>
      <w:jc w:val="center"/>
    </w:pPr>
    <w:rPr>
      <w:color w:val="FFFFFF" w:themeColor="background1"/>
    </w:rPr>
  </w:style>
  <w:style w:type="paragraph" w:customStyle="1" w:styleId="TableHeading1right">
    <w:name w:val="Table Heading 1 (right)"/>
    <w:basedOn w:val="TableHeading1"/>
    <w:uiPriority w:val="13"/>
    <w:qFormat/>
    <w:rsid w:val="005D70A0"/>
    <w:pPr>
      <w:jc w:val="right"/>
    </w:pPr>
    <w:rPr>
      <w:color w:val="FFFFFF" w:themeColor="background1"/>
    </w:rPr>
  </w:style>
  <w:style w:type="paragraph" w:customStyle="1" w:styleId="TableBodyTextcentre">
    <w:name w:val="Table Body Text (centre)"/>
    <w:basedOn w:val="TableBodyText"/>
    <w:uiPriority w:val="14"/>
    <w:qFormat/>
    <w:rsid w:val="005D70A0"/>
    <w:pPr>
      <w:jc w:val="center"/>
    </w:pPr>
  </w:style>
  <w:style w:type="character" w:customStyle="1" w:styleId="Heading6Char">
    <w:name w:val="Heading 6 Char"/>
    <w:basedOn w:val="DefaultParagraphFont"/>
    <w:link w:val="Heading6"/>
    <w:uiPriority w:val="9"/>
    <w:semiHidden/>
    <w:rsid w:val="0082152E"/>
    <w:rPr>
      <w:rFonts w:ascii="Arial" w:eastAsiaTheme="majorEastAsia" w:hAnsi="Arial" w:cstheme="majorBidi"/>
      <w:color w:val="4B0885"/>
      <w:sz w:val="19"/>
      <w:lang w:val="en-AU"/>
    </w:rPr>
  </w:style>
  <w:style w:type="paragraph" w:customStyle="1" w:styleId="Quotelarge">
    <w:name w:val="Quote (large)"/>
    <w:basedOn w:val="Quote"/>
    <w:uiPriority w:val="18"/>
    <w:qFormat/>
    <w:rsid w:val="00B74938"/>
    <w:rPr>
      <w:color w:val="4B0885"/>
      <w:sz w:val="28"/>
    </w:rPr>
  </w:style>
  <w:style w:type="paragraph" w:customStyle="1" w:styleId="BoxHeading">
    <w:name w:val="Box Heading"/>
    <w:basedOn w:val="BodyText"/>
    <w:uiPriority w:val="16"/>
    <w:qFormat/>
    <w:rsid w:val="00B96396"/>
    <w:pPr>
      <w:keepNext/>
    </w:pPr>
    <w:rPr>
      <w:b/>
      <w:color w:val="2F005F"/>
      <w:sz w:val="23"/>
      <w:lang w:eastAsia="en-GB"/>
    </w:rPr>
  </w:style>
  <w:style w:type="table" w:customStyle="1" w:styleId="CustomTablepulloutbox2">
    <w:name w:val="Custom Table (pullout box 2)"/>
    <w:basedOn w:val="CustomTablepulloutbox"/>
    <w:uiPriority w:val="99"/>
    <w:rsid w:val="00F4121F"/>
    <w:tblPr/>
    <w:tcPr>
      <w:shd w:val="clear" w:color="auto" w:fill="E0D1F5"/>
    </w:tcPr>
  </w:style>
  <w:style w:type="character" w:styleId="CommentReference">
    <w:name w:val="annotation reference"/>
    <w:basedOn w:val="DefaultParagraphFont"/>
    <w:uiPriority w:val="99"/>
    <w:semiHidden/>
    <w:unhideWhenUsed/>
    <w:rsid w:val="00D15488"/>
    <w:rPr>
      <w:sz w:val="16"/>
      <w:szCs w:val="16"/>
    </w:rPr>
  </w:style>
  <w:style w:type="paragraph" w:styleId="CommentText">
    <w:name w:val="annotation text"/>
    <w:basedOn w:val="Normal"/>
    <w:link w:val="CommentTextChar"/>
    <w:uiPriority w:val="99"/>
    <w:unhideWhenUsed/>
    <w:rsid w:val="00D15488"/>
    <w:pPr>
      <w:spacing w:before="0" w:after="100"/>
    </w:pPr>
    <w:rPr>
      <w:sz w:val="20"/>
    </w:rPr>
  </w:style>
  <w:style w:type="character" w:customStyle="1" w:styleId="CommentTextChar">
    <w:name w:val="Comment Text Char"/>
    <w:basedOn w:val="DefaultParagraphFont"/>
    <w:link w:val="CommentText"/>
    <w:uiPriority w:val="99"/>
    <w:rsid w:val="00D15488"/>
    <w:rPr>
      <w:rFonts w:ascii="Arial" w:hAnsi="Arial"/>
      <w:lang w:val="en-AU"/>
    </w:rPr>
  </w:style>
  <w:style w:type="character" w:customStyle="1" w:styleId="Heading7Char">
    <w:name w:val="Heading 7 Char"/>
    <w:basedOn w:val="DefaultParagraphFont"/>
    <w:link w:val="Heading7"/>
    <w:uiPriority w:val="9"/>
    <w:rsid w:val="00FE18D3"/>
    <w:rPr>
      <w:rFonts w:asciiTheme="majorHAnsi" w:eastAsiaTheme="majorEastAsia" w:hAnsiTheme="majorHAnsi" w:cstheme="majorBidi"/>
      <w:i/>
      <w:iCs/>
      <w:color w:val="243F60" w:themeColor="accent1" w:themeShade="7F"/>
      <w:sz w:val="22"/>
      <w:szCs w:val="22"/>
      <w:lang w:val="en-AU"/>
    </w:rPr>
  </w:style>
  <w:style w:type="character" w:customStyle="1" w:styleId="Heading8Char">
    <w:name w:val="Heading 8 Char"/>
    <w:basedOn w:val="DefaultParagraphFont"/>
    <w:link w:val="Heading8"/>
    <w:uiPriority w:val="9"/>
    <w:semiHidden/>
    <w:rsid w:val="00FE18D3"/>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FE18D3"/>
    <w:rPr>
      <w:rFonts w:asciiTheme="majorHAnsi" w:eastAsiaTheme="majorEastAsia" w:hAnsiTheme="majorHAnsi" w:cstheme="majorBidi"/>
      <w:i/>
      <w:iCs/>
      <w:color w:val="272727" w:themeColor="text1" w:themeTint="D8"/>
      <w:sz w:val="21"/>
      <w:szCs w:val="21"/>
      <w:lang w:val="en-AU"/>
    </w:rPr>
  </w:style>
  <w:style w:type="paragraph" w:styleId="CommentSubject">
    <w:name w:val="annotation subject"/>
    <w:basedOn w:val="CommentText"/>
    <w:next w:val="CommentText"/>
    <w:link w:val="CommentSubjectChar"/>
    <w:uiPriority w:val="99"/>
    <w:semiHidden/>
    <w:unhideWhenUsed/>
    <w:rsid w:val="00FE18D3"/>
    <w:rPr>
      <w:b/>
      <w:bCs/>
    </w:rPr>
  </w:style>
  <w:style w:type="character" w:customStyle="1" w:styleId="CommentSubjectChar">
    <w:name w:val="Comment Subject Char"/>
    <w:basedOn w:val="CommentTextChar"/>
    <w:link w:val="CommentSubject"/>
    <w:uiPriority w:val="99"/>
    <w:semiHidden/>
    <w:rsid w:val="00FE18D3"/>
    <w:rPr>
      <w:rFonts w:ascii="Arial" w:hAnsi="Arial"/>
      <w:b/>
      <w:bCs/>
      <w:lang w:val="en-AU"/>
    </w:rPr>
  </w:style>
  <w:style w:type="paragraph" w:styleId="TOC5">
    <w:name w:val="toc 5"/>
    <w:basedOn w:val="Normal"/>
    <w:next w:val="Normal"/>
    <w:autoRedefine/>
    <w:uiPriority w:val="39"/>
    <w:unhideWhenUsed/>
    <w:rsid w:val="00FE18D3"/>
    <w:pPr>
      <w:tabs>
        <w:tab w:val="right" w:leader="dot" w:pos="9016"/>
      </w:tabs>
      <w:spacing w:before="0" w:after="100" w:line="264" w:lineRule="auto"/>
      <w:ind w:left="220"/>
    </w:pPr>
    <w:rPr>
      <w:szCs w:val="22"/>
    </w:rPr>
  </w:style>
  <w:style w:type="paragraph" w:styleId="ListBullet4">
    <w:name w:val="List Bullet 4"/>
    <w:basedOn w:val="ListBullet3"/>
    <w:semiHidden/>
    <w:rsid w:val="00FE18D3"/>
    <w:pPr>
      <w:numPr>
        <w:ilvl w:val="0"/>
        <w:numId w:val="0"/>
      </w:numPr>
      <w:spacing w:before="0" w:after="100" w:line="240" w:lineRule="atLeast"/>
      <w:ind w:left="1360" w:hanging="340"/>
    </w:pPr>
    <w:rPr>
      <w:rFonts w:eastAsia="SimSun"/>
      <w:spacing w:val="-1"/>
      <w:szCs w:val="20"/>
      <w:lang w:val="en-GB"/>
    </w:rPr>
  </w:style>
  <w:style w:type="paragraph" w:styleId="MacroText">
    <w:name w:val="macro"/>
    <w:link w:val="MacroTextChar"/>
    <w:uiPriority w:val="99"/>
    <w:unhideWhenUsed/>
    <w:rsid w:val="00FE18D3"/>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hAnsi="Consolas"/>
      <w:lang w:val="en-AU"/>
    </w:rPr>
  </w:style>
  <w:style w:type="character" w:customStyle="1" w:styleId="MacroTextChar">
    <w:name w:val="Macro Text Char"/>
    <w:basedOn w:val="DefaultParagraphFont"/>
    <w:link w:val="MacroText"/>
    <w:uiPriority w:val="99"/>
    <w:rsid w:val="00FE18D3"/>
    <w:rPr>
      <w:rFonts w:ascii="Consolas" w:hAnsi="Consolas"/>
      <w:lang w:val="en-AU"/>
    </w:rPr>
  </w:style>
  <w:style w:type="paragraph" w:styleId="Index7">
    <w:name w:val="index 7"/>
    <w:basedOn w:val="Normal"/>
    <w:next w:val="Normal"/>
    <w:autoRedefine/>
    <w:uiPriority w:val="99"/>
    <w:semiHidden/>
    <w:unhideWhenUsed/>
    <w:rsid w:val="00FE18D3"/>
    <w:pPr>
      <w:spacing w:before="240" w:after="0"/>
      <w:ind w:left="1542" w:hanging="221"/>
    </w:pPr>
    <w:rPr>
      <w:szCs w:val="22"/>
    </w:rPr>
  </w:style>
  <w:style w:type="character" w:styleId="Emphasis">
    <w:name w:val="Emphasis"/>
    <w:basedOn w:val="DefaultParagraphFont"/>
    <w:qFormat/>
    <w:rsid w:val="00FE18D3"/>
    <w:rPr>
      <w:rFonts w:ascii="Arial" w:hAnsi="Arial"/>
      <w:i/>
      <w:iCs/>
      <w:sz w:val="22"/>
    </w:rPr>
  </w:style>
  <w:style w:type="character" w:styleId="Strong">
    <w:name w:val="Strong"/>
    <w:basedOn w:val="DefaultParagraphFont"/>
    <w:uiPriority w:val="22"/>
    <w:qFormat/>
    <w:rsid w:val="00FE18D3"/>
    <w:rPr>
      <w:rFonts w:ascii="Arial" w:hAnsi="Arial"/>
      <w:b/>
      <w:bCs/>
      <w:sz w:val="22"/>
    </w:rPr>
  </w:style>
  <w:style w:type="table" w:styleId="GridTable4-Accent1">
    <w:name w:val="Grid Table 4 Accent 1"/>
    <w:basedOn w:val="TableNormal"/>
    <w:uiPriority w:val="49"/>
    <w:locked/>
    <w:rsid w:val="00FE18D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FE18D3"/>
    <w:rPr>
      <w:color w:val="800080" w:themeColor="followedHyperlink"/>
      <w:u w:val="single"/>
    </w:rPr>
  </w:style>
  <w:style w:type="paragraph" w:styleId="Revision">
    <w:name w:val="Revision"/>
    <w:hidden/>
    <w:uiPriority w:val="99"/>
    <w:semiHidden/>
    <w:rsid w:val="00FE18D3"/>
    <w:pPr>
      <w:spacing w:after="0" w:line="240" w:lineRule="auto"/>
    </w:pPr>
    <w:rPr>
      <w:sz w:val="22"/>
      <w:szCs w:val="22"/>
      <w:lang w:val="en-AU"/>
    </w:rPr>
  </w:style>
  <w:style w:type="character" w:styleId="IntenseEmphasis">
    <w:name w:val="Intense Emphasis"/>
    <w:basedOn w:val="DefaultParagraphFont"/>
    <w:uiPriority w:val="21"/>
    <w:qFormat/>
    <w:rsid w:val="00FE18D3"/>
    <w:rPr>
      <w:i/>
      <w:iCs/>
      <w:color w:val="4F81BD" w:themeColor="accent1"/>
    </w:rPr>
  </w:style>
  <w:style w:type="character" w:styleId="Mention">
    <w:name w:val="Mention"/>
    <w:basedOn w:val="DefaultParagraphFont"/>
    <w:uiPriority w:val="99"/>
    <w:unhideWhenUsed/>
    <w:rsid w:val="00FE18D3"/>
    <w:rPr>
      <w:color w:val="2B579A"/>
      <w:shd w:val="clear" w:color="auto" w:fill="E1DFDD"/>
    </w:rPr>
  </w:style>
  <w:style w:type="table" w:styleId="GridTable3">
    <w:name w:val="Grid Table 3"/>
    <w:basedOn w:val="TableNormal"/>
    <w:uiPriority w:val="48"/>
    <w:locked/>
    <w:rsid w:val="00FE18D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3">
    <w:name w:val="Plain Table 3"/>
    <w:basedOn w:val="TableNormal"/>
    <w:uiPriority w:val="43"/>
    <w:locked/>
    <w:rsid w:val="006D2D9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locked/>
    <w:rsid w:val="006D2D9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2591990">
      <w:bodyDiv w:val="1"/>
      <w:marLeft w:val="0"/>
      <w:marRight w:val="0"/>
      <w:marTop w:val="0"/>
      <w:marBottom w:val="0"/>
      <w:divBdr>
        <w:top w:val="none" w:sz="0" w:space="0" w:color="auto"/>
        <w:left w:val="none" w:sz="0" w:space="0" w:color="auto"/>
        <w:bottom w:val="none" w:sz="0" w:space="0" w:color="auto"/>
        <w:right w:val="none" w:sz="0" w:space="0" w:color="auto"/>
      </w:divBdr>
    </w:div>
    <w:div w:id="562252493">
      <w:bodyDiv w:val="1"/>
      <w:marLeft w:val="0"/>
      <w:marRight w:val="0"/>
      <w:marTop w:val="0"/>
      <w:marBottom w:val="0"/>
      <w:divBdr>
        <w:top w:val="none" w:sz="0" w:space="0" w:color="auto"/>
        <w:left w:val="none" w:sz="0" w:space="0" w:color="auto"/>
        <w:bottom w:val="none" w:sz="0" w:space="0" w:color="auto"/>
        <w:right w:val="none" w:sz="0" w:space="0" w:color="auto"/>
      </w:divBdr>
    </w:div>
    <w:div w:id="714623433">
      <w:bodyDiv w:val="1"/>
      <w:marLeft w:val="0"/>
      <w:marRight w:val="0"/>
      <w:marTop w:val="0"/>
      <w:marBottom w:val="0"/>
      <w:divBdr>
        <w:top w:val="none" w:sz="0" w:space="0" w:color="auto"/>
        <w:left w:val="none" w:sz="0" w:space="0" w:color="auto"/>
        <w:bottom w:val="none" w:sz="0" w:space="0" w:color="auto"/>
        <w:right w:val="none" w:sz="0" w:space="0" w:color="auto"/>
      </w:divBdr>
    </w:div>
    <w:div w:id="891425776">
      <w:bodyDiv w:val="1"/>
      <w:marLeft w:val="0"/>
      <w:marRight w:val="0"/>
      <w:marTop w:val="0"/>
      <w:marBottom w:val="0"/>
      <w:divBdr>
        <w:top w:val="none" w:sz="0" w:space="0" w:color="auto"/>
        <w:left w:val="none" w:sz="0" w:space="0" w:color="auto"/>
        <w:bottom w:val="none" w:sz="0" w:space="0" w:color="auto"/>
        <w:right w:val="none" w:sz="0" w:space="0" w:color="auto"/>
      </w:divBdr>
    </w:div>
    <w:div w:id="1285455281">
      <w:bodyDiv w:val="1"/>
      <w:marLeft w:val="0"/>
      <w:marRight w:val="0"/>
      <w:marTop w:val="0"/>
      <w:marBottom w:val="0"/>
      <w:divBdr>
        <w:top w:val="none" w:sz="0" w:space="0" w:color="auto"/>
        <w:left w:val="none" w:sz="0" w:space="0" w:color="auto"/>
        <w:bottom w:val="none" w:sz="0" w:space="0" w:color="auto"/>
        <w:right w:val="none" w:sz="0" w:space="0" w:color="auto"/>
      </w:divBdr>
    </w:div>
    <w:div w:id="1470174321">
      <w:bodyDiv w:val="1"/>
      <w:marLeft w:val="0"/>
      <w:marRight w:val="0"/>
      <w:marTop w:val="0"/>
      <w:marBottom w:val="0"/>
      <w:divBdr>
        <w:top w:val="none" w:sz="0" w:space="0" w:color="auto"/>
        <w:left w:val="none" w:sz="0" w:space="0" w:color="auto"/>
        <w:bottom w:val="none" w:sz="0" w:space="0" w:color="auto"/>
        <w:right w:val="none" w:sz="0" w:space="0" w:color="auto"/>
      </w:divBdr>
    </w:div>
    <w:div w:id="1731272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hyperlink" Target="https://www.jobsandskills.gov.au/publications/international-labour-market-update-november-2024" TargetMode="External"/><Relationship Id="rId21" Type="http://schemas.openxmlformats.org/officeDocument/2006/relationships/chart" Target="charts/chart4.xml"/><Relationship Id="rId34" Type="http://schemas.openxmlformats.org/officeDocument/2006/relationships/hyperlink" Target="https://www.jobsandskills.gov.au/data/internet-vacancy-index" TargetMode="External"/><Relationship Id="rId42"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chart" Target="charts/chart3.xml"/><Relationship Id="rId29" Type="http://schemas.openxmlformats.org/officeDocument/2006/relationships/chart" Target="charts/chart1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chart" Target="charts/chart7.xml"/><Relationship Id="rId32" Type="http://schemas.openxmlformats.org/officeDocument/2006/relationships/footer" Target="footer4.xml"/><Relationship Id="rId37" Type="http://schemas.openxmlformats.org/officeDocument/2006/relationships/hyperlink" Target="https://www.jobsandskills.gov.au/data/employment-region-dashboards-and-profiles" TargetMode="External"/><Relationship Id="rId40"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hyperlink" Target="https://www.jobsandskills.gov.au/data/jobs-and-skills-atlas" TargetMode="Externa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header" Target="header3.xml"/><Relationship Id="rId35" Type="http://schemas.openxmlformats.org/officeDocument/2006/relationships/hyperlink" Target="https://www.jobsandskills.gov.au/data/recruitment-experiences-and-outlook-survey"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chart" Target="charts/chart8.xml"/><Relationship Id="rId33" Type="http://schemas.openxmlformats.org/officeDocument/2006/relationships/hyperlink" Target="https://www.jobsandskills.gov.au/" TargetMode="External"/><Relationship Id="rId38" Type="http://schemas.openxmlformats.org/officeDocument/2006/relationships/hyperlink" Target="https://www.jobsandskills.gov.au/data/nero"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ACCESS.application.enet\SPECIAL$\NSC%20-%20LMAAS\General%20work\Quarterly%20Labour%20Market%20Update\December%20quarter%202024\Chart%20and%20table%20data%20-%20LMAAS.xlsx" TargetMode="Externa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ACCESS.application.enet\SPECIAL$\NSC%20-%20LMAAS\General%20work\Quarterly%20Labour%20Market%20Update\December%20quarter%202024\Chart%20and%20table%20data%20-%20LMAAS.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EMP.application.enet\50038325\WF%20Branch\05%20Occupational%20and%20Industry%20Analysis\RT%20workings\Data%20-%20Industry%20Chartxlsx.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EMP.application.enet\50038325\LMM%20Branch\ERSA\6.%20Briefings%20and%20Requests\2024\Labour%20Market%20Updates\LMU%20-%20December%20Quarter%202024%20edition\REOS%20graphs%20and%20datafile.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EMP.application.enet\50038325\LMM%20Branch\ERSA\6.%20Briefings%20and%20Requests\2024\Labour%20Market%20Updates\LMU%20-%20December%20Quarter%202024%20edition\REOS%20graphs%20and%20datafile.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EMP.application.enet\50038325\LMM%20Branch\ERSA\6.%20Briefings%20and%20Requests\2024\Labour%20Market%20Updates\LMU%20-%20December%20Quarter%202024%20edition\REOS%20graphs%20and%20datafile.xlsx" TargetMode="Externa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'Figure 1'!$C$4</c:f>
              <c:strCache>
                <c:ptCount val="1"/>
                <c:pt idx="0">
                  <c:v>Annual change in employment (%)</c:v>
                </c:pt>
              </c:strCache>
            </c:strRef>
          </c:tx>
          <c:spPr>
            <a:solidFill>
              <a:schemeClr val="accent2"/>
            </a:solidFill>
            <a:ln>
              <a:noFill/>
            </a:ln>
            <a:effectLst/>
          </c:spPr>
          <c:invertIfNegative val="0"/>
          <c:cat>
            <c:numRef>
              <c:f>'Figure 1'!$A$5:$A$125</c:f>
              <c:numCache>
                <c:formatCode>mmm\-yy</c:formatCode>
                <c:ptCount val="121"/>
                <c:pt idx="0">
                  <c:v>41974</c:v>
                </c:pt>
                <c:pt idx="1">
                  <c:v>42005</c:v>
                </c:pt>
                <c:pt idx="2">
                  <c:v>42036</c:v>
                </c:pt>
                <c:pt idx="3">
                  <c:v>42064</c:v>
                </c:pt>
                <c:pt idx="4">
                  <c:v>42095</c:v>
                </c:pt>
                <c:pt idx="5">
                  <c:v>42125</c:v>
                </c:pt>
                <c:pt idx="6">
                  <c:v>42156</c:v>
                </c:pt>
                <c:pt idx="7">
                  <c:v>42186</c:v>
                </c:pt>
                <c:pt idx="8">
                  <c:v>42217</c:v>
                </c:pt>
                <c:pt idx="9">
                  <c:v>42248</c:v>
                </c:pt>
                <c:pt idx="10">
                  <c:v>42278</c:v>
                </c:pt>
                <c:pt idx="11">
                  <c:v>42309</c:v>
                </c:pt>
                <c:pt idx="12">
                  <c:v>42339</c:v>
                </c:pt>
                <c:pt idx="13">
                  <c:v>42370</c:v>
                </c:pt>
                <c:pt idx="14">
                  <c:v>42401</c:v>
                </c:pt>
                <c:pt idx="15">
                  <c:v>42430</c:v>
                </c:pt>
                <c:pt idx="16">
                  <c:v>42461</c:v>
                </c:pt>
                <c:pt idx="17">
                  <c:v>42491</c:v>
                </c:pt>
                <c:pt idx="18">
                  <c:v>42522</c:v>
                </c:pt>
                <c:pt idx="19">
                  <c:v>42552</c:v>
                </c:pt>
                <c:pt idx="20">
                  <c:v>42583</c:v>
                </c:pt>
                <c:pt idx="21">
                  <c:v>42614</c:v>
                </c:pt>
                <c:pt idx="22">
                  <c:v>42644</c:v>
                </c:pt>
                <c:pt idx="23">
                  <c:v>42675</c:v>
                </c:pt>
                <c:pt idx="24">
                  <c:v>42705</c:v>
                </c:pt>
                <c:pt idx="25">
                  <c:v>42736</c:v>
                </c:pt>
                <c:pt idx="26">
                  <c:v>42767</c:v>
                </c:pt>
                <c:pt idx="27">
                  <c:v>42795</c:v>
                </c:pt>
                <c:pt idx="28">
                  <c:v>42826</c:v>
                </c:pt>
                <c:pt idx="29">
                  <c:v>42856</c:v>
                </c:pt>
                <c:pt idx="30">
                  <c:v>42887</c:v>
                </c:pt>
                <c:pt idx="31">
                  <c:v>42917</c:v>
                </c:pt>
                <c:pt idx="32">
                  <c:v>42948</c:v>
                </c:pt>
                <c:pt idx="33">
                  <c:v>42979</c:v>
                </c:pt>
                <c:pt idx="34">
                  <c:v>43009</c:v>
                </c:pt>
                <c:pt idx="35">
                  <c:v>43040</c:v>
                </c:pt>
                <c:pt idx="36">
                  <c:v>43070</c:v>
                </c:pt>
                <c:pt idx="37">
                  <c:v>43101</c:v>
                </c:pt>
                <c:pt idx="38">
                  <c:v>43132</c:v>
                </c:pt>
                <c:pt idx="39">
                  <c:v>43160</c:v>
                </c:pt>
                <c:pt idx="40">
                  <c:v>43191</c:v>
                </c:pt>
                <c:pt idx="41">
                  <c:v>43221</c:v>
                </c:pt>
                <c:pt idx="42">
                  <c:v>43252</c:v>
                </c:pt>
                <c:pt idx="43">
                  <c:v>43282</c:v>
                </c:pt>
                <c:pt idx="44">
                  <c:v>43313</c:v>
                </c:pt>
                <c:pt idx="45">
                  <c:v>43344</c:v>
                </c:pt>
                <c:pt idx="46">
                  <c:v>43374</c:v>
                </c:pt>
                <c:pt idx="47">
                  <c:v>43405</c:v>
                </c:pt>
                <c:pt idx="48">
                  <c:v>43435</c:v>
                </c:pt>
                <c:pt idx="49">
                  <c:v>43466</c:v>
                </c:pt>
                <c:pt idx="50">
                  <c:v>43497</c:v>
                </c:pt>
                <c:pt idx="51">
                  <c:v>43525</c:v>
                </c:pt>
                <c:pt idx="52">
                  <c:v>43556</c:v>
                </c:pt>
                <c:pt idx="53">
                  <c:v>43586</c:v>
                </c:pt>
                <c:pt idx="54">
                  <c:v>43617</c:v>
                </c:pt>
                <c:pt idx="55">
                  <c:v>43647</c:v>
                </c:pt>
                <c:pt idx="56">
                  <c:v>43678</c:v>
                </c:pt>
                <c:pt idx="57">
                  <c:v>43709</c:v>
                </c:pt>
                <c:pt idx="58">
                  <c:v>43739</c:v>
                </c:pt>
                <c:pt idx="59">
                  <c:v>43770</c:v>
                </c:pt>
                <c:pt idx="60">
                  <c:v>43800</c:v>
                </c:pt>
                <c:pt idx="61">
                  <c:v>43831</c:v>
                </c:pt>
                <c:pt idx="62">
                  <c:v>43862</c:v>
                </c:pt>
                <c:pt idx="63">
                  <c:v>43891</c:v>
                </c:pt>
                <c:pt idx="64">
                  <c:v>43922</c:v>
                </c:pt>
                <c:pt idx="65">
                  <c:v>43952</c:v>
                </c:pt>
                <c:pt idx="66">
                  <c:v>43983</c:v>
                </c:pt>
                <c:pt idx="67">
                  <c:v>44013</c:v>
                </c:pt>
                <c:pt idx="68">
                  <c:v>44044</c:v>
                </c:pt>
                <c:pt idx="69">
                  <c:v>44075</c:v>
                </c:pt>
                <c:pt idx="70">
                  <c:v>44105</c:v>
                </c:pt>
                <c:pt idx="71">
                  <c:v>44136</c:v>
                </c:pt>
                <c:pt idx="72">
                  <c:v>44166</c:v>
                </c:pt>
                <c:pt idx="73">
                  <c:v>44197</c:v>
                </c:pt>
                <c:pt idx="74">
                  <c:v>44228</c:v>
                </c:pt>
                <c:pt idx="75">
                  <c:v>44256</c:v>
                </c:pt>
                <c:pt idx="76">
                  <c:v>44287</c:v>
                </c:pt>
                <c:pt idx="77">
                  <c:v>44317</c:v>
                </c:pt>
                <c:pt idx="78">
                  <c:v>44348</c:v>
                </c:pt>
                <c:pt idx="79">
                  <c:v>44378</c:v>
                </c:pt>
                <c:pt idx="80">
                  <c:v>44409</c:v>
                </c:pt>
                <c:pt idx="81">
                  <c:v>44440</c:v>
                </c:pt>
                <c:pt idx="82">
                  <c:v>44470</c:v>
                </c:pt>
                <c:pt idx="83">
                  <c:v>44501</c:v>
                </c:pt>
                <c:pt idx="84">
                  <c:v>44531</c:v>
                </c:pt>
                <c:pt idx="85">
                  <c:v>44562</c:v>
                </c:pt>
                <c:pt idx="86">
                  <c:v>44593</c:v>
                </c:pt>
                <c:pt idx="87">
                  <c:v>44621</c:v>
                </c:pt>
                <c:pt idx="88">
                  <c:v>44652</c:v>
                </c:pt>
                <c:pt idx="89">
                  <c:v>44682</c:v>
                </c:pt>
                <c:pt idx="90">
                  <c:v>44713</c:v>
                </c:pt>
                <c:pt idx="91">
                  <c:v>44743</c:v>
                </c:pt>
                <c:pt idx="92">
                  <c:v>44774</c:v>
                </c:pt>
                <c:pt idx="93">
                  <c:v>44805</c:v>
                </c:pt>
                <c:pt idx="94">
                  <c:v>44835</c:v>
                </c:pt>
                <c:pt idx="95">
                  <c:v>44866</c:v>
                </c:pt>
                <c:pt idx="96">
                  <c:v>44896</c:v>
                </c:pt>
                <c:pt idx="97">
                  <c:v>44927</c:v>
                </c:pt>
                <c:pt idx="98">
                  <c:v>44958</c:v>
                </c:pt>
                <c:pt idx="99">
                  <c:v>44986</c:v>
                </c:pt>
                <c:pt idx="100">
                  <c:v>45017</c:v>
                </c:pt>
                <c:pt idx="101">
                  <c:v>45047</c:v>
                </c:pt>
                <c:pt idx="102">
                  <c:v>45078</c:v>
                </c:pt>
                <c:pt idx="103">
                  <c:v>45108</c:v>
                </c:pt>
                <c:pt idx="104">
                  <c:v>45139</c:v>
                </c:pt>
                <c:pt idx="105">
                  <c:v>45170</c:v>
                </c:pt>
                <c:pt idx="106">
                  <c:v>45200</c:v>
                </c:pt>
                <c:pt idx="107">
                  <c:v>45231</c:v>
                </c:pt>
                <c:pt idx="108">
                  <c:v>45261</c:v>
                </c:pt>
                <c:pt idx="109">
                  <c:v>45292</c:v>
                </c:pt>
                <c:pt idx="110">
                  <c:v>45323</c:v>
                </c:pt>
                <c:pt idx="111">
                  <c:v>45352</c:v>
                </c:pt>
                <c:pt idx="112">
                  <c:v>45383</c:v>
                </c:pt>
                <c:pt idx="113">
                  <c:v>45413</c:v>
                </c:pt>
                <c:pt idx="114">
                  <c:v>45444</c:v>
                </c:pt>
                <c:pt idx="115">
                  <c:v>45474</c:v>
                </c:pt>
                <c:pt idx="116">
                  <c:v>45505</c:v>
                </c:pt>
                <c:pt idx="117">
                  <c:v>45536</c:v>
                </c:pt>
                <c:pt idx="118">
                  <c:v>45566</c:v>
                </c:pt>
                <c:pt idx="119">
                  <c:v>45597</c:v>
                </c:pt>
                <c:pt idx="120">
                  <c:v>45627</c:v>
                </c:pt>
              </c:numCache>
            </c:numRef>
          </c:cat>
          <c:val>
            <c:numRef>
              <c:f>'Figure 1'!$C$5:$C$245</c:f>
              <c:numCache>
                <c:formatCode>0.0%</c:formatCode>
                <c:ptCount val="241"/>
                <c:pt idx="0">
                  <c:v>1.5675819242641768E-2</c:v>
                </c:pt>
                <c:pt idx="1">
                  <c:v>1.3545859653843778E-2</c:v>
                </c:pt>
                <c:pt idx="2">
                  <c:v>1.6747405698545582E-2</c:v>
                </c:pt>
                <c:pt idx="3">
                  <c:v>1.3999314247036449E-2</c:v>
                </c:pt>
                <c:pt idx="4">
                  <c:v>1.3368453398266911E-2</c:v>
                </c:pt>
                <c:pt idx="5">
                  <c:v>1.9166695584351755E-2</c:v>
                </c:pt>
                <c:pt idx="6">
                  <c:v>1.7260201059141018E-2</c:v>
                </c:pt>
                <c:pt idx="7">
                  <c:v>1.8619382602227157E-2</c:v>
                </c:pt>
                <c:pt idx="8">
                  <c:v>1.8589743979412609E-2</c:v>
                </c:pt>
                <c:pt idx="9">
                  <c:v>2.0498032904497105E-2</c:v>
                </c:pt>
                <c:pt idx="10">
                  <c:v>2.7591559686735913E-2</c:v>
                </c:pt>
                <c:pt idx="11">
                  <c:v>3.0445618404435104E-2</c:v>
                </c:pt>
                <c:pt idx="12">
                  <c:v>2.6582692716906799E-2</c:v>
                </c:pt>
                <c:pt idx="13">
                  <c:v>2.6256620947484106E-2</c:v>
                </c:pt>
                <c:pt idx="14">
                  <c:v>2.1660996520778891E-2</c:v>
                </c:pt>
                <c:pt idx="15">
                  <c:v>2.1237460557264724E-2</c:v>
                </c:pt>
                <c:pt idx="16">
                  <c:v>2.1907133648427675E-2</c:v>
                </c:pt>
                <c:pt idx="17">
                  <c:v>1.775250828415352E-2</c:v>
                </c:pt>
                <c:pt idx="18">
                  <c:v>2.011155448891936E-2</c:v>
                </c:pt>
                <c:pt idx="19">
                  <c:v>1.993497465643795E-2</c:v>
                </c:pt>
                <c:pt idx="20">
                  <c:v>1.6252740341417535E-2</c:v>
                </c:pt>
                <c:pt idx="21">
                  <c:v>1.3449134225186486E-2</c:v>
                </c:pt>
                <c:pt idx="22">
                  <c:v>8.4562861092164036E-3</c:v>
                </c:pt>
                <c:pt idx="23">
                  <c:v>7.8793807084999289E-3</c:v>
                </c:pt>
                <c:pt idx="24">
                  <c:v>9.1592568836196455E-3</c:v>
                </c:pt>
                <c:pt idx="25">
                  <c:v>1.0691445151481431E-2</c:v>
                </c:pt>
                <c:pt idx="26">
                  <c:v>7.4497570513139509E-3</c:v>
                </c:pt>
                <c:pt idx="27">
                  <c:v>1.1235822390359343E-2</c:v>
                </c:pt>
                <c:pt idx="28">
                  <c:v>1.547922582888394E-2</c:v>
                </c:pt>
                <c:pt idx="29">
                  <c:v>1.8696340092138761E-2</c:v>
                </c:pt>
                <c:pt idx="30">
                  <c:v>1.962462880600065E-2</c:v>
                </c:pt>
                <c:pt idx="31">
                  <c:v>1.9558299691418386E-2</c:v>
                </c:pt>
                <c:pt idx="32">
                  <c:v>2.7275317642424357E-2</c:v>
                </c:pt>
                <c:pt idx="33">
                  <c:v>3.1783333857592168E-2</c:v>
                </c:pt>
                <c:pt idx="34">
                  <c:v>3.0469194436484985E-2</c:v>
                </c:pt>
                <c:pt idx="35">
                  <c:v>3.1782834264273384E-2</c:v>
                </c:pt>
                <c:pt idx="36">
                  <c:v>3.1584373420592483E-2</c:v>
                </c:pt>
                <c:pt idx="37">
                  <c:v>3.3161963346357133E-2</c:v>
                </c:pt>
                <c:pt idx="38">
                  <c:v>3.383381843844617E-2</c:v>
                </c:pt>
                <c:pt idx="39">
                  <c:v>3.0390560880815612E-2</c:v>
                </c:pt>
                <c:pt idx="40">
                  <c:v>2.7040788469347848E-2</c:v>
                </c:pt>
                <c:pt idx="41">
                  <c:v>2.3656530432325799E-2</c:v>
                </c:pt>
                <c:pt idx="42">
                  <c:v>2.665331179038815E-2</c:v>
                </c:pt>
                <c:pt idx="43">
                  <c:v>2.3533187862188464E-2</c:v>
                </c:pt>
                <c:pt idx="44">
                  <c:v>2.4730499962839485E-2</c:v>
                </c:pt>
                <c:pt idx="45">
                  <c:v>2.2687848851994749E-2</c:v>
                </c:pt>
                <c:pt idx="46">
                  <c:v>2.4305003777586057E-2</c:v>
                </c:pt>
                <c:pt idx="47">
                  <c:v>2.2369821948573267E-2</c:v>
                </c:pt>
                <c:pt idx="48">
                  <c:v>2.1880954203854473E-2</c:v>
                </c:pt>
                <c:pt idx="49">
                  <c:v>2.2576906052811197E-2</c:v>
                </c:pt>
                <c:pt idx="50">
                  <c:v>2.4399085020038264E-2</c:v>
                </c:pt>
                <c:pt idx="51">
                  <c:v>2.4653738932709991E-2</c:v>
                </c:pt>
                <c:pt idx="52">
                  <c:v>2.6158701861587228E-2</c:v>
                </c:pt>
                <c:pt idx="53">
                  <c:v>2.7302254190194511E-2</c:v>
                </c:pt>
                <c:pt idx="54">
                  <c:v>2.2623807613033384E-2</c:v>
                </c:pt>
                <c:pt idx="55">
                  <c:v>2.4931492860928418E-2</c:v>
                </c:pt>
                <c:pt idx="56">
                  <c:v>2.3537664681648741E-2</c:v>
                </c:pt>
                <c:pt idx="57">
                  <c:v>2.3881731554125256E-2</c:v>
                </c:pt>
                <c:pt idx="58">
                  <c:v>1.8144141814419541E-2</c:v>
                </c:pt>
                <c:pt idx="59">
                  <c:v>1.8210017226526317E-2</c:v>
                </c:pt>
                <c:pt idx="60">
                  <c:v>2.0011595236813302E-2</c:v>
                </c:pt>
                <c:pt idx="61">
                  <c:v>1.7090156740276131E-2</c:v>
                </c:pt>
                <c:pt idx="62">
                  <c:v>1.6101144772150182E-2</c:v>
                </c:pt>
                <c:pt idx="63">
                  <c:v>1.3968688903266482E-2</c:v>
                </c:pt>
                <c:pt idx="64">
                  <c:v>-3.4289894599185876E-2</c:v>
                </c:pt>
                <c:pt idx="65">
                  <c:v>-5.7886133663657607E-2</c:v>
                </c:pt>
                <c:pt idx="66">
                  <c:v>-4.0901048912026748E-2</c:v>
                </c:pt>
                <c:pt idx="67">
                  <c:v>-3.2883254834785158E-2</c:v>
                </c:pt>
                <c:pt idx="68">
                  <c:v>-2.5797758856707927E-2</c:v>
                </c:pt>
                <c:pt idx="69">
                  <c:v>-2.9801479185460521E-2</c:v>
                </c:pt>
                <c:pt idx="70">
                  <c:v>-1.5171814553001475E-2</c:v>
                </c:pt>
                <c:pt idx="71">
                  <c:v>-1.0225266238099218E-2</c:v>
                </c:pt>
                <c:pt idx="72">
                  <c:v>-9.794967635221221E-3</c:v>
                </c:pt>
                <c:pt idx="73">
                  <c:v>-7.7211940421890984E-3</c:v>
                </c:pt>
                <c:pt idx="74">
                  <c:v>-2.9969692149491981E-3</c:v>
                </c:pt>
                <c:pt idx="75">
                  <c:v>2.4115795823819275E-3</c:v>
                </c:pt>
                <c:pt idx="76">
                  <c:v>4.8698828812128815E-2</c:v>
                </c:pt>
                <c:pt idx="77">
                  <c:v>8.175843376141248E-2</c:v>
                </c:pt>
                <c:pt idx="78">
                  <c:v>6.3636377653335185E-2</c:v>
                </c:pt>
                <c:pt idx="79">
                  <c:v>5.3765561947956196E-2</c:v>
                </c:pt>
                <c:pt idx="80">
                  <c:v>3.1688615795001304E-2</c:v>
                </c:pt>
                <c:pt idx="81">
                  <c:v>2.4365899906355355E-2</c:v>
                </c:pt>
                <c:pt idx="82">
                  <c:v>9.4340037907089738E-3</c:v>
                </c:pt>
                <c:pt idx="83">
                  <c:v>3.1321139349248489E-2</c:v>
                </c:pt>
                <c:pt idx="84">
                  <c:v>3.4034448987987784E-2</c:v>
                </c:pt>
                <c:pt idx="85">
                  <c:v>3.4660270682306871E-2</c:v>
                </c:pt>
                <c:pt idx="86">
                  <c:v>3.7293257385694119E-2</c:v>
                </c:pt>
                <c:pt idx="87">
                  <c:v>3.374701792845456E-2</c:v>
                </c:pt>
                <c:pt idx="88">
                  <c:v>3.851023887296464E-2</c:v>
                </c:pt>
                <c:pt idx="89">
                  <c:v>3.4079442465249472E-2</c:v>
                </c:pt>
                <c:pt idx="90">
                  <c:v>3.9886026753092066E-2</c:v>
                </c:pt>
                <c:pt idx="91">
                  <c:v>3.8609196396663256E-2</c:v>
                </c:pt>
                <c:pt idx="92">
                  <c:v>5.4554971389374582E-2</c:v>
                </c:pt>
                <c:pt idx="93">
                  <c:v>6.5510338983980398E-2</c:v>
                </c:pt>
                <c:pt idx="94">
                  <c:v>7.2795865692235243E-2</c:v>
                </c:pt>
                <c:pt idx="95">
                  <c:v>4.8101094747095174E-2</c:v>
                </c:pt>
                <c:pt idx="96">
                  <c:v>4.0914089217647213E-2</c:v>
                </c:pt>
                <c:pt idx="97">
                  <c:v>3.8175618520636903E-2</c:v>
                </c:pt>
                <c:pt idx="98">
                  <c:v>3.5045281649610203E-2</c:v>
                </c:pt>
                <c:pt idx="99">
                  <c:v>4.0472474812915424E-2</c:v>
                </c:pt>
                <c:pt idx="100">
                  <c:v>3.5411529858096237E-2</c:v>
                </c:pt>
                <c:pt idx="101">
                  <c:v>3.8856234454410651E-2</c:v>
                </c:pt>
                <c:pt idx="102">
                  <c:v>3.26886385879629E-2</c:v>
                </c:pt>
                <c:pt idx="103">
                  <c:v>3.1959094584278709E-2</c:v>
                </c:pt>
                <c:pt idx="104">
                  <c:v>3.1650808584836335E-2</c:v>
                </c:pt>
                <c:pt idx="105">
                  <c:v>3.0777566917882443E-2</c:v>
                </c:pt>
                <c:pt idx="106">
                  <c:v>3.1999726143467203E-2</c:v>
                </c:pt>
                <c:pt idx="107">
                  <c:v>3.0464390529160838E-2</c:v>
                </c:pt>
                <c:pt idx="108">
                  <c:v>2.700653467735557E-2</c:v>
                </c:pt>
                <c:pt idx="109">
                  <c:v>2.5389556919339792E-2</c:v>
                </c:pt>
                <c:pt idx="110">
                  <c:v>3.0128279631587013E-2</c:v>
                </c:pt>
                <c:pt idx="111">
                  <c:v>2.2146613572984971E-2</c:v>
                </c:pt>
                <c:pt idx="112">
                  <c:v>2.4783644188840173E-2</c:v>
                </c:pt>
                <c:pt idx="113">
                  <c:v>2.0477559964864372E-2</c:v>
                </c:pt>
                <c:pt idx="114">
                  <c:v>2.1644447921981932E-2</c:v>
                </c:pt>
                <c:pt idx="115">
                  <c:v>2.6541965424068226E-2</c:v>
                </c:pt>
                <c:pt idx="116">
                  <c:v>2.4402752666981102E-2</c:v>
                </c:pt>
                <c:pt idx="117">
                  <c:v>2.8749525527444576E-2</c:v>
                </c:pt>
                <c:pt idx="118">
                  <c:v>2.491512474108078E-2</c:v>
                </c:pt>
                <c:pt idx="119">
                  <c:v>2.347597652749769E-2</c:v>
                </c:pt>
                <c:pt idx="120">
                  <c:v>3.1425144247103506E-2</c:v>
                </c:pt>
              </c:numCache>
            </c:numRef>
          </c:val>
          <c:extLst>
            <c:ext xmlns:c16="http://schemas.microsoft.com/office/drawing/2014/chart" uri="{C3380CC4-5D6E-409C-BE32-E72D297353CC}">
              <c16:uniqueId val="{00000000-9AAC-485B-8287-174A23737C50}"/>
            </c:ext>
          </c:extLst>
        </c:ser>
        <c:dLbls>
          <c:showLegendKey val="0"/>
          <c:showVal val="0"/>
          <c:showCatName val="0"/>
          <c:showSerName val="0"/>
          <c:showPercent val="0"/>
          <c:showBubbleSize val="0"/>
        </c:dLbls>
        <c:gapWidth val="100"/>
        <c:axId val="1932666672"/>
        <c:axId val="1654456912"/>
      </c:barChart>
      <c:lineChart>
        <c:grouping val="standard"/>
        <c:varyColors val="0"/>
        <c:ser>
          <c:idx val="0"/>
          <c:order val="0"/>
          <c:tx>
            <c:strRef>
              <c:f>'Figure 1'!$B$4</c:f>
              <c:strCache>
                <c:ptCount val="1"/>
                <c:pt idx="0">
                  <c:v>Annual change in the civilian population aged 15 years and over (%)</c:v>
                </c:pt>
              </c:strCache>
            </c:strRef>
          </c:tx>
          <c:spPr>
            <a:ln w="28575" cap="rnd">
              <a:solidFill>
                <a:schemeClr val="accent1"/>
              </a:solidFill>
              <a:round/>
            </a:ln>
            <a:effectLst/>
          </c:spPr>
          <c:marker>
            <c:symbol val="none"/>
          </c:marker>
          <c:cat>
            <c:numRef>
              <c:f>'Figure 1'!$A$5:$A$125</c:f>
              <c:numCache>
                <c:formatCode>mmm\-yy</c:formatCode>
                <c:ptCount val="121"/>
                <c:pt idx="0">
                  <c:v>41974</c:v>
                </c:pt>
                <c:pt idx="1">
                  <c:v>42005</c:v>
                </c:pt>
                <c:pt idx="2">
                  <c:v>42036</c:v>
                </c:pt>
                <c:pt idx="3">
                  <c:v>42064</c:v>
                </c:pt>
                <c:pt idx="4">
                  <c:v>42095</c:v>
                </c:pt>
                <c:pt idx="5">
                  <c:v>42125</c:v>
                </c:pt>
                <c:pt idx="6">
                  <c:v>42156</c:v>
                </c:pt>
                <c:pt idx="7">
                  <c:v>42186</c:v>
                </c:pt>
                <c:pt idx="8">
                  <c:v>42217</c:v>
                </c:pt>
                <c:pt idx="9">
                  <c:v>42248</c:v>
                </c:pt>
                <c:pt idx="10">
                  <c:v>42278</c:v>
                </c:pt>
                <c:pt idx="11">
                  <c:v>42309</c:v>
                </c:pt>
                <c:pt idx="12">
                  <c:v>42339</c:v>
                </c:pt>
                <c:pt idx="13">
                  <c:v>42370</c:v>
                </c:pt>
                <c:pt idx="14">
                  <c:v>42401</c:v>
                </c:pt>
                <c:pt idx="15">
                  <c:v>42430</c:v>
                </c:pt>
                <c:pt idx="16">
                  <c:v>42461</c:v>
                </c:pt>
                <c:pt idx="17">
                  <c:v>42491</c:v>
                </c:pt>
                <c:pt idx="18">
                  <c:v>42522</c:v>
                </c:pt>
                <c:pt idx="19">
                  <c:v>42552</c:v>
                </c:pt>
                <c:pt idx="20">
                  <c:v>42583</c:v>
                </c:pt>
                <c:pt idx="21">
                  <c:v>42614</c:v>
                </c:pt>
                <c:pt idx="22">
                  <c:v>42644</c:v>
                </c:pt>
                <c:pt idx="23">
                  <c:v>42675</c:v>
                </c:pt>
                <c:pt idx="24">
                  <c:v>42705</c:v>
                </c:pt>
                <c:pt idx="25">
                  <c:v>42736</c:v>
                </c:pt>
                <c:pt idx="26">
                  <c:v>42767</c:v>
                </c:pt>
                <c:pt idx="27">
                  <c:v>42795</c:v>
                </c:pt>
                <c:pt idx="28">
                  <c:v>42826</c:v>
                </c:pt>
                <c:pt idx="29">
                  <c:v>42856</c:v>
                </c:pt>
                <c:pt idx="30">
                  <c:v>42887</c:v>
                </c:pt>
                <c:pt idx="31">
                  <c:v>42917</c:v>
                </c:pt>
                <c:pt idx="32">
                  <c:v>42948</c:v>
                </c:pt>
                <c:pt idx="33">
                  <c:v>42979</c:v>
                </c:pt>
                <c:pt idx="34">
                  <c:v>43009</c:v>
                </c:pt>
                <c:pt idx="35">
                  <c:v>43040</c:v>
                </c:pt>
                <c:pt idx="36">
                  <c:v>43070</c:v>
                </c:pt>
                <c:pt idx="37">
                  <c:v>43101</c:v>
                </c:pt>
                <c:pt idx="38">
                  <c:v>43132</c:v>
                </c:pt>
                <c:pt idx="39">
                  <c:v>43160</c:v>
                </c:pt>
                <c:pt idx="40">
                  <c:v>43191</c:v>
                </c:pt>
                <c:pt idx="41">
                  <c:v>43221</c:v>
                </c:pt>
                <c:pt idx="42">
                  <c:v>43252</c:v>
                </c:pt>
                <c:pt idx="43">
                  <c:v>43282</c:v>
                </c:pt>
                <c:pt idx="44">
                  <c:v>43313</c:v>
                </c:pt>
                <c:pt idx="45">
                  <c:v>43344</c:v>
                </c:pt>
                <c:pt idx="46">
                  <c:v>43374</c:v>
                </c:pt>
                <c:pt idx="47">
                  <c:v>43405</c:v>
                </c:pt>
                <c:pt idx="48">
                  <c:v>43435</c:v>
                </c:pt>
                <c:pt idx="49">
                  <c:v>43466</c:v>
                </c:pt>
                <c:pt idx="50">
                  <c:v>43497</c:v>
                </c:pt>
                <c:pt idx="51">
                  <c:v>43525</c:v>
                </c:pt>
                <c:pt idx="52">
                  <c:v>43556</c:v>
                </c:pt>
                <c:pt idx="53">
                  <c:v>43586</c:v>
                </c:pt>
                <c:pt idx="54">
                  <c:v>43617</c:v>
                </c:pt>
                <c:pt idx="55">
                  <c:v>43647</c:v>
                </c:pt>
                <c:pt idx="56">
                  <c:v>43678</c:v>
                </c:pt>
                <c:pt idx="57">
                  <c:v>43709</c:v>
                </c:pt>
                <c:pt idx="58">
                  <c:v>43739</c:v>
                </c:pt>
                <c:pt idx="59">
                  <c:v>43770</c:v>
                </c:pt>
                <c:pt idx="60">
                  <c:v>43800</c:v>
                </c:pt>
                <c:pt idx="61">
                  <c:v>43831</c:v>
                </c:pt>
                <c:pt idx="62">
                  <c:v>43862</c:v>
                </c:pt>
                <c:pt idx="63">
                  <c:v>43891</c:v>
                </c:pt>
                <c:pt idx="64">
                  <c:v>43922</c:v>
                </c:pt>
                <c:pt idx="65">
                  <c:v>43952</c:v>
                </c:pt>
                <c:pt idx="66">
                  <c:v>43983</c:v>
                </c:pt>
                <c:pt idx="67">
                  <c:v>44013</c:v>
                </c:pt>
                <c:pt idx="68">
                  <c:v>44044</c:v>
                </c:pt>
                <c:pt idx="69">
                  <c:v>44075</c:v>
                </c:pt>
                <c:pt idx="70">
                  <c:v>44105</c:v>
                </c:pt>
                <c:pt idx="71">
                  <c:v>44136</c:v>
                </c:pt>
                <c:pt idx="72">
                  <c:v>44166</c:v>
                </c:pt>
                <c:pt idx="73">
                  <c:v>44197</c:v>
                </c:pt>
                <c:pt idx="74">
                  <c:v>44228</c:v>
                </c:pt>
                <c:pt idx="75">
                  <c:v>44256</c:v>
                </c:pt>
                <c:pt idx="76">
                  <c:v>44287</c:v>
                </c:pt>
                <c:pt idx="77">
                  <c:v>44317</c:v>
                </c:pt>
                <c:pt idx="78">
                  <c:v>44348</c:v>
                </c:pt>
                <c:pt idx="79">
                  <c:v>44378</c:v>
                </c:pt>
                <c:pt idx="80">
                  <c:v>44409</c:v>
                </c:pt>
                <c:pt idx="81">
                  <c:v>44440</c:v>
                </c:pt>
                <c:pt idx="82">
                  <c:v>44470</c:v>
                </c:pt>
                <c:pt idx="83">
                  <c:v>44501</c:v>
                </c:pt>
                <c:pt idx="84">
                  <c:v>44531</c:v>
                </c:pt>
                <c:pt idx="85">
                  <c:v>44562</c:v>
                </c:pt>
                <c:pt idx="86">
                  <c:v>44593</c:v>
                </c:pt>
                <c:pt idx="87">
                  <c:v>44621</c:v>
                </c:pt>
                <c:pt idx="88">
                  <c:v>44652</c:v>
                </c:pt>
                <c:pt idx="89">
                  <c:v>44682</c:v>
                </c:pt>
                <c:pt idx="90">
                  <c:v>44713</c:v>
                </c:pt>
                <c:pt idx="91">
                  <c:v>44743</c:v>
                </c:pt>
                <c:pt idx="92">
                  <c:v>44774</c:v>
                </c:pt>
                <c:pt idx="93">
                  <c:v>44805</c:v>
                </c:pt>
                <c:pt idx="94">
                  <c:v>44835</c:v>
                </c:pt>
                <c:pt idx="95">
                  <c:v>44866</c:v>
                </c:pt>
                <c:pt idx="96">
                  <c:v>44896</c:v>
                </c:pt>
                <c:pt idx="97">
                  <c:v>44927</c:v>
                </c:pt>
                <c:pt idx="98">
                  <c:v>44958</c:v>
                </c:pt>
                <c:pt idx="99">
                  <c:v>44986</c:v>
                </c:pt>
                <c:pt idx="100">
                  <c:v>45017</c:v>
                </c:pt>
                <c:pt idx="101">
                  <c:v>45047</c:v>
                </c:pt>
                <c:pt idx="102">
                  <c:v>45078</c:v>
                </c:pt>
                <c:pt idx="103">
                  <c:v>45108</c:v>
                </c:pt>
                <c:pt idx="104">
                  <c:v>45139</c:v>
                </c:pt>
                <c:pt idx="105">
                  <c:v>45170</c:v>
                </c:pt>
                <c:pt idx="106">
                  <c:v>45200</c:v>
                </c:pt>
                <c:pt idx="107">
                  <c:v>45231</c:v>
                </c:pt>
                <c:pt idx="108">
                  <c:v>45261</c:v>
                </c:pt>
                <c:pt idx="109">
                  <c:v>45292</c:v>
                </c:pt>
                <c:pt idx="110">
                  <c:v>45323</c:v>
                </c:pt>
                <c:pt idx="111">
                  <c:v>45352</c:v>
                </c:pt>
                <c:pt idx="112">
                  <c:v>45383</c:v>
                </c:pt>
                <c:pt idx="113">
                  <c:v>45413</c:v>
                </c:pt>
                <c:pt idx="114">
                  <c:v>45444</c:v>
                </c:pt>
                <c:pt idx="115">
                  <c:v>45474</c:v>
                </c:pt>
                <c:pt idx="116">
                  <c:v>45505</c:v>
                </c:pt>
                <c:pt idx="117">
                  <c:v>45536</c:v>
                </c:pt>
                <c:pt idx="118">
                  <c:v>45566</c:v>
                </c:pt>
                <c:pt idx="119">
                  <c:v>45597</c:v>
                </c:pt>
                <c:pt idx="120">
                  <c:v>45627</c:v>
                </c:pt>
              </c:numCache>
            </c:numRef>
          </c:cat>
          <c:val>
            <c:numRef>
              <c:f>'Figure 1'!$B$5:$B$245</c:f>
              <c:numCache>
                <c:formatCode>0.0%</c:formatCode>
                <c:ptCount val="241"/>
                <c:pt idx="0">
                  <c:v>1.5111429080325593E-2</c:v>
                </c:pt>
                <c:pt idx="1">
                  <c:v>1.4963078201369624E-2</c:v>
                </c:pt>
                <c:pt idx="2">
                  <c:v>1.4815177170650581E-2</c:v>
                </c:pt>
                <c:pt idx="3">
                  <c:v>1.4667878326877113E-2</c:v>
                </c:pt>
                <c:pt idx="4">
                  <c:v>1.469898562030149E-2</c:v>
                </c:pt>
                <c:pt idx="5">
                  <c:v>1.4730033089231662E-2</c:v>
                </c:pt>
                <c:pt idx="6">
                  <c:v>1.4760966659294352E-2</c:v>
                </c:pt>
                <c:pt idx="7">
                  <c:v>1.474576514726423E-2</c:v>
                </c:pt>
                <c:pt idx="8">
                  <c:v>1.4730445696716471E-2</c:v>
                </c:pt>
                <c:pt idx="9">
                  <c:v>1.471526661855211E-2</c:v>
                </c:pt>
                <c:pt idx="10">
                  <c:v>1.4730208665106799E-2</c:v>
                </c:pt>
                <c:pt idx="11">
                  <c:v>1.4744958239871485E-2</c:v>
                </c:pt>
                <c:pt idx="12">
                  <c:v>1.4759834586950901E-2</c:v>
                </c:pt>
                <c:pt idx="13">
                  <c:v>1.4899180674640928E-2</c:v>
                </c:pt>
                <c:pt idx="14">
                  <c:v>1.5037996037055945E-2</c:v>
                </c:pt>
                <c:pt idx="15">
                  <c:v>1.5176485240404547E-2</c:v>
                </c:pt>
                <c:pt idx="16">
                  <c:v>1.5306403602934429E-2</c:v>
                </c:pt>
                <c:pt idx="17">
                  <c:v>1.5436113709722135E-2</c:v>
                </c:pt>
                <c:pt idx="18">
                  <c:v>1.5565563468027812E-2</c:v>
                </c:pt>
                <c:pt idx="19">
                  <c:v>1.5866941513566171E-2</c:v>
                </c:pt>
                <c:pt idx="20">
                  <c:v>1.6147801351298598E-2</c:v>
                </c:pt>
                <c:pt idx="21">
                  <c:v>1.6427819462816573E-2</c:v>
                </c:pt>
                <c:pt idx="22">
                  <c:v>1.6547057219186041E-2</c:v>
                </c:pt>
                <c:pt idx="23">
                  <c:v>1.6666288109875242E-2</c:v>
                </c:pt>
                <c:pt idx="24">
                  <c:v>1.6784992890459767E-2</c:v>
                </c:pt>
                <c:pt idx="25">
                  <c:v>1.695133355075985E-2</c:v>
                </c:pt>
                <c:pt idx="26">
                  <c:v>1.7117069862595813E-2</c:v>
                </c:pt>
                <c:pt idx="27">
                  <c:v>1.7282296983690913E-2</c:v>
                </c:pt>
                <c:pt idx="28">
                  <c:v>1.7298020192811365E-2</c:v>
                </c:pt>
                <c:pt idx="29">
                  <c:v>1.7313861384161786E-2</c:v>
                </c:pt>
                <c:pt idx="30">
                  <c:v>1.7329462197690462E-2</c:v>
                </c:pt>
                <c:pt idx="31">
                  <c:v>1.7198242157842249E-2</c:v>
                </c:pt>
                <c:pt idx="32">
                  <c:v>1.7087435856042707E-2</c:v>
                </c:pt>
                <c:pt idx="33">
                  <c:v>1.6976957921488373E-2</c:v>
                </c:pt>
                <c:pt idx="34">
                  <c:v>1.6733823313336255E-2</c:v>
                </c:pt>
                <c:pt idx="35">
                  <c:v>1.649102959258545E-2</c:v>
                </c:pt>
                <c:pt idx="36">
                  <c:v>1.6249094793121283E-2</c:v>
                </c:pt>
                <c:pt idx="37">
                  <c:v>1.6199945445707957E-2</c:v>
                </c:pt>
                <c:pt idx="38">
                  <c:v>1.6151184913025297E-2</c:v>
                </c:pt>
                <c:pt idx="39">
                  <c:v>1.6102396120877122E-2</c:v>
                </c:pt>
                <c:pt idx="40">
                  <c:v>1.6116189412720236E-2</c:v>
                </c:pt>
                <c:pt idx="41">
                  <c:v>1.61296969896213E-2</c:v>
                </c:pt>
                <c:pt idx="42">
                  <c:v>1.6143478448865187E-2</c:v>
                </c:pt>
                <c:pt idx="43">
                  <c:v>1.6265269411977902E-2</c:v>
                </c:pt>
                <c:pt idx="44">
                  <c:v>1.6386775126687732E-2</c:v>
                </c:pt>
                <c:pt idx="45">
                  <c:v>1.6507893347835777E-2</c:v>
                </c:pt>
                <c:pt idx="46">
                  <c:v>1.6644983952739917E-2</c:v>
                </c:pt>
                <c:pt idx="47">
                  <c:v>1.6781751270490801E-2</c:v>
                </c:pt>
                <c:pt idx="48">
                  <c:v>1.691829583408647E-2</c:v>
                </c:pt>
                <c:pt idx="49">
                  <c:v>1.6843279596814857E-2</c:v>
                </c:pt>
                <c:pt idx="50">
                  <c:v>1.6768634162744323E-2</c:v>
                </c:pt>
                <c:pt idx="51">
                  <c:v>1.669415411547049E-2</c:v>
                </c:pt>
                <c:pt idx="52">
                  <c:v>1.6502354271944339E-2</c:v>
                </c:pt>
                <c:pt idx="53">
                  <c:v>1.6311298612739254E-2</c:v>
                </c:pt>
                <c:pt idx="54">
                  <c:v>1.6120387665055504E-2</c:v>
                </c:pt>
                <c:pt idx="55">
                  <c:v>1.6111976182990363E-2</c:v>
                </c:pt>
                <c:pt idx="56">
                  <c:v>1.6103492195889801E-2</c:v>
                </c:pt>
                <c:pt idx="57">
                  <c:v>1.6095131411695551E-2</c:v>
                </c:pt>
                <c:pt idx="58">
                  <c:v>1.6176304653355157E-2</c:v>
                </c:pt>
                <c:pt idx="59">
                  <c:v>1.6257442349064257E-2</c:v>
                </c:pt>
                <c:pt idx="60">
                  <c:v>1.6338248650210618E-2</c:v>
                </c:pt>
                <c:pt idx="61">
                  <c:v>1.6182538437378838E-2</c:v>
                </c:pt>
                <c:pt idx="62">
                  <c:v>1.6027364407296744E-2</c:v>
                </c:pt>
                <c:pt idx="63">
                  <c:v>1.5872722122449928E-2</c:v>
                </c:pt>
                <c:pt idx="64">
                  <c:v>1.5241561032567181E-2</c:v>
                </c:pt>
                <c:pt idx="65">
                  <c:v>1.4611381745233446E-2</c:v>
                </c:pt>
                <c:pt idx="66">
                  <c:v>1.3982674042690543E-2</c:v>
                </c:pt>
                <c:pt idx="67">
                  <c:v>1.2314013986603083E-2</c:v>
                </c:pt>
                <c:pt idx="68">
                  <c:v>1.0650246989523762E-2</c:v>
                </c:pt>
                <c:pt idx="69">
                  <c:v>8.9915416664297435E-3</c:v>
                </c:pt>
                <c:pt idx="70">
                  <c:v>7.8435182128361453E-3</c:v>
                </c:pt>
                <c:pt idx="71">
                  <c:v>6.6982268372255014E-3</c:v>
                </c:pt>
                <c:pt idx="72">
                  <c:v>5.5557557044889792E-3</c:v>
                </c:pt>
                <c:pt idx="73">
                  <c:v>4.2820612067468377E-3</c:v>
                </c:pt>
                <c:pt idx="74">
                  <c:v>3.0123095730789627E-3</c:v>
                </c:pt>
                <c:pt idx="75">
                  <c:v>1.7465781157006515E-3</c:v>
                </c:pt>
                <c:pt idx="76">
                  <c:v>1.8670322212374804E-3</c:v>
                </c:pt>
                <c:pt idx="77">
                  <c:v>1.9876895466743702E-3</c:v>
                </c:pt>
                <c:pt idx="78">
                  <c:v>2.1079736539593233E-3</c:v>
                </c:pt>
                <c:pt idx="79">
                  <c:v>2.5635856742255883E-3</c:v>
                </c:pt>
                <c:pt idx="80">
                  <c:v>3.0196228434289586E-3</c:v>
                </c:pt>
                <c:pt idx="81">
                  <c:v>3.4755057747563908E-3</c:v>
                </c:pt>
                <c:pt idx="82">
                  <c:v>4.4275891452951101E-3</c:v>
                </c:pt>
                <c:pt idx="83">
                  <c:v>5.3795775966163813E-3</c:v>
                </c:pt>
                <c:pt idx="84">
                  <c:v>6.3313737739463301E-3</c:v>
                </c:pt>
                <c:pt idx="85">
                  <c:v>8.1362603983858844E-3</c:v>
                </c:pt>
                <c:pt idx="86">
                  <c:v>9.9401523038486605E-3</c:v>
                </c:pt>
                <c:pt idx="87">
                  <c:v>1.1742855718672061E-2</c:v>
                </c:pt>
                <c:pt idx="88">
                  <c:v>1.2863555133309574E-2</c:v>
                </c:pt>
                <c:pt idx="89">
                  <c:v>1.3982855795142121E-2</c:v>
                </c:pt>
                <c:pt idx="90">
                  <c:v>1.5101436738164827E-2</c:v>
                </c:pt>
                <c:pt idx="91">
                  <c:v>1.7088362961669913E-2</c:v>
                </c:pt>
                <c:pt idx="92">
                  <c:v>1.9074073412874988E-2</c:v>
                </c:pt>
                <c:pt idx="93">
                  <c:v>2.1058572771500746E-2</c:v>
                </c:pt>
                <c:pt idx="94">
                  <c:v>2.2367659629067647E-2</c:v>
                </c:pt>
                <c:pt idx="95">
                  <c:v>2.367392557274943E-2</c:v>
                </c:pt>
                <c:pt idx="96">
                  <c:v>2.4977671730850873E-2</c:v>
                </c:pt>
                <c:pt idx="97">
                  <c:v>2.5845300895965838E-2</c:v>
                </c:pt>
                <c:pt idx="98">
                  <c:v>2.6709305295567184E-2</c:v>
                </c:pt>
                <c:pt idx="99">
                  <c:v>2.7569708586171804E-2</c:v>
                </c:pt>
                <c:pt idx="100">
                  <c:v>2.8180344274080532E-2</c:v>
                </c:pt>
                <c:pt idx="101">
                  <c:v>2.8788962693128872E-2</c:v>
                </c:pt>
                <c:pt idx="102">
                  <c:v>2.9395756838887906E-2</c:v>
                </c:pt>
                <c:pt idx="103">
                  <c:v>2.9681264294527339E-2</c:v>
                </c:pt>
                <c:pt idx="104">
                  <c:v>2.9965436565924548E-2</c:v>
                </c:pt>
                <c:pt idx="105">
                  <c:v>3.0248379230625393E-2</c:v>
                </c:pt>
                <c:pt idx="106">
                  <c:v>2.9873854833594296E-2</c:v>
                </c:pt>
                <c:pt idx="107">
                  <c:v>2.9501098832245762E-2</c:v>
                </c:pt>
                <c:pt idx="108">
                  <c:v>2.9130003129555101E-2</c:v>
                </c:pt>
                <c:pt idx="109">
                  <c:v>2.8503029608802005E-2</c:v>
                </c:pt>
                <c:pt idx="110">
                  <c:v>2.7879727680164907E-2</c:v>
                </c:pt>
                <c:pt idx="111">
                  <c:v>2.7260019024511143E-2</c:v>
                </c:pt>
                <c:pt idx="112">
                  <c:v>2.6388022484264893E-2</c:v>
                </c:pt>
                <c:pt idx="113">
                  <c:v>2.5519672645960834E-2</c:v>
                </c:pt>
                <c:pt idx="114">
                  <c:v>2.4655211334349249E-2</c:v>
                </c:pt>
                <c:pt idx="115">
                  <c:v>2.434757905302154E-2</c:v>
                </c:pt>
                <c:pt idx="116">
                  <c:v>2.4041639577251528E-2</c:v>
                </c:pt>
                <c:pt idx="117">
                  <c:v>2.3737334499809897E-2</c:v>
                </c:pt>
                <c:pt idx="118">
                  <c:v>2.3680041787209741E-2</c:v>
                </c:pt>
                <c:pt idx="119">
                  <c:v>2.3622925516413231E-2</c:v>
                </c:pt>
                <c:pt idx="120">
                  <c:v>2.3566075173831132E-2</c:v>
                </c:pt>
              </c:numCache>
            </c:numRef>
          </c:val>
          <c:smooth val="0"/>
          <c:extLst>
            <c:ext xmlns:c16="http://schemas.microsoft.com/office/drawing/2014/chart" uri="{C3380CC4-5D6E-409C-BE32-E72D297353CC}">
              <c16:uniqueId val="{00000001-9AAC-485B-8287-174A23737C50}"/>
            </c:ext>
          </c:extLst>
        </c:ser>
        <c:dLbls>
          <c:showLegendKey val="0"/>
          <c:showVal val="0"/>
          <c:showCatName val="0"/>
          <c:showSerName val="0"/>
          <c:showPercent val="0"/>
          <c:showBubbleSize val="0"/>
        </c:dLbls>
        <c:marker val="1"/>
        <c:smooth val="0"/>
        <c:axId val="1932666672"/>
        <c:axId val="1654456912"/>
      </c:lineChart>
      <c:dateAx>
        <c:axId val="1932666672"/>
        <c:scaling>
          <c:orientation val="minMax"/>
        </c:scaling>
        <c:delete val="0"/>
        <c:axPos val="b"/>
        <c:numFmt formatCode="mmm\-yy" sourceLinked="1"/>
        <c:majorTickMark val="out"/>
        <c:minorTickMark val="none"/>
        <c:tickLblPos val="low"/>
        <c:spPr>
          <a:noFill/>
          <a:ln w="9525" cap="flat" cmpd="sng" algn="ctr">
            <a:solidFill>
              <a:schemeClr val="tx1"/>
            </a:solidFill>
            <a:round/>
          </a:ln>
          <a:effectLst/>
        </c:spPr>
        <c:txPr>
          <a:bodyPr rot="-27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54456912"/>
        <c:crosses val="autoZero"/>
        <c:auto val="1"/>
        <c:lblOffset val="100"/>
        <c:baseTimeUnit val="months"/>
        <c:majorUnit val="6"/>
        <c:majorTimeUnit val="months"/>
      </c:dateAx>
      <c:valAx>
        <c:axId val="1654456912"/>
        <c:scaling>
          <c:orientation val="minMax"/>
          <c:max val="8.0000000000000016E-2"/>
        </c:scaling>
        <c:delete val="0"/>
        <c:axPos val="l"/>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3266667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900" b="1" i="0" u="none" strike="noStrike" kern="1200" spc="0" baseline="0">
                <a:solidFill>
                  <a:schemeClr val="tx1"/>
                </a:solidFill>
                <a:latin typeface="Arial" panose="020B0604020202020204" pitchFamily="34" charset="0"/>
                <a:ea typeface="+mn-ea"/>
                <a:cs typeface="Arial" panose="020B0604020202020204" pitchFamily="34" charset="0"/>
              </a:defRPr>
            </a:pPr>
            <a:r>
              <a:rPr lang="en-US" sz="900" b="1"/>
              <a:t>Skill Level 3</a:t>
            </a:r>
          </a:p>
        </c:rich>
      </c:tx>
      <c:layout>
        <c:manualLayout>
          <c:xMode val="edge"/>
          <c:yMode val="edge"/>
          <c:x val="0.43626182738238051"/>
          <c:y val="3.0774620493702463E-2"/>
        </c:manualLayout>
      </c:layout>
      <c:overlay val="0"/>
      <c:spPr>
        <a:noFill/>
        <a:ln>
          <a:noFill/>
        </a:ln>
        <a:effectLst/>
      </c:spPr>
      <c:txPr>
        <a:bodyPr rot="0" spcFirstLastPara="1" vertOverflow="ellipsis" vert="horz" wrap="square" anchor="ctr" anchorCtr="1"/>
        <a:lstStyle/>
        <a:p>
          <a:pPr>
            <a:defRPr lang="en-US" sz="9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3.4833274343025203E-2"/>
          <c:y val="6.5846733946989019E-2"/>
          <c:w val="0.91124137115700488"/>
          <c:h val="0.8472219141621381"/>
        </c:manualLayout>
      </c:layout>
      <c:barChart>
        <c:barDir val="col"/>
        <c:grouping val="clustered"/>
        <c:varyColors val="0"/>
        <c:ser>
          <c:idx val="1"/>
          <c:order val="1"/>
          <c:tx>
            <c:strRef>
              <c:f>'fig5'!$U$4</c:f>
              <c:strCache>
                <c:ptCount val="1"/>
                <c:pt idx="0">
                  <c:v>Applicants per Vacancy </c:v>
                </c:pt>
              </c:strCache>
            </c:strRef>
          </c:tx>
          <c:spPr>
            <a:solidFill>
              <a:srgbClr val="6929C4"/>
            </a:solidFill>
            <a:ln w="25400">
              <a:noFill/>
            </a:ln>
            <a:effectLst/>
          </c:spPr>
          <c:invertIfNegative val="0"/>
          <c:dLbls>
            <c:spPr>
              <a:noFill/>
              <a:ln>
                <a:noFill/>
              </a:ln>
              <a:effectLst/>
            </c:spPr>
            <c:txPr>
              <a:bodyPr rot="0" spcFirstLastPara="1" vertOverflow="ellipsis" vert="horz" wrap="square" anchor="ctr" anchorCtr="1"/>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'fig5'!$S$5:$S$13</c:f>
              <c:numCache>
                <c:formatCode>mmm\-yy</c:formatCode>
                <c:ptCount val="9"/>
                <c:pt idx="0">
                  <c:v>44896</c:v>
                </c:pt>
                <c:pt idx="1">
                  <c:v>44986</c:v>
                </c:pt>
                <c:pt idx="2">
                  <c:v>45078</c:v>
                </c:pt>
                <c:pt idx="3">
                  <c:v>45170</c:v>
                </c:pt>
                <c:pt idx="4">
                  <c:v>45261</c:v>
                </c:pt>
                <c:pt idx="5">
                  <c:v>45352</c:v>
                </c:pt>
                <c:pt idx="6">
                  <c:v>45444</c:v>
                </c:pt>
                <c:pt idx="7">
                  <c:v>45536</c:v>
                </c:pt>
                <c:pt idx="8">
                  <c:v>45627</c:v>
                </c:pt>
              </c:numCache>
            </c:numRef>
          </c:cat>
          <c:val>
            <c:numRef>
              <c:f>'fig5'!$U$5:$U$13</c:f>
              <c:numCache>
                <c:formatCode>0.0</c:formatCode>
                <c:ptCount val="9"/>
                <c:pt idx="0">
                  <c:v>8.2240640182909406</c:v>
                </c:pt>
                <c:pt idx="1">
                  <c:v>8.6147361848267252</c:v>
                </c:pt>
                <c:pt idx="2">
                  <c:v>9.1816071946620248</c:v>
                </c:pt>
                <c:pt idx="3">
                  <c:v>9.9662818955042525</c:v>
                </c:pt>
                <c:pt idx="4">
                  <c:v>10.670112496199453</c:v>
                </c:pt>
                <c:pt idx="5">
                  <c:v>12.656500308071472</c:v>
                </c:pt>
                <c:pt idx="6">
                  <c:v>13.996487530734106</c:v>
                </c:pt>
                <c:pt idx="7">
                  <c:v>16.729914529914531</c:v>
                </c:pt>
                <c:pt idx="8">
                  <c:v>18.13177998472116</c:v>
                </c:pt>
              </c:numCache>
            </c:numRef>
          </c:val>
          <c:extLst>
            <c:ext xmlns:c16="http://schemas.microsoft.com/office/drawing/2014/chart" uri="{C3380CC4-5D6E-409C-BE32-E72D297353CC}">
              <c16:uniqueId val="{00000000-63C4-4224-96EA-0F2BAFC7A54A}"/>
            </c:ext>
          </c:extLst>
        </c:ser>
        <c:ser>
          <c:idx val="2"/>
          <c:order val="2"/>
          <c:tx>
            <c:strRef>
              <c:f>'fig5'!$V$4</c:f>
              <c:strCache>
                <c:ptCount val="1"/>
                <c:pt idx="0">
                  <c:v>Qualified applicants per vacancy </c:v>
                </c:pt>
              </c:strCache>
            </c:strRef>
          </c:tx>
          <c:spPr>
            <a:solidFill>
              <a:srgbClr val="009D9A"/>
            </a:solidFill>
            <a:ln w="12700">
              <a:noFill/>
            </a:ln>
            <a:effectLst/>
          </c:spPr>
          <c:invertIfNegative val="0"/>
          <c:dLbls>
            <c:dLbl>
              <c:idx val="0"/>
              <c:layout>
                <c:manualLayout>
                  <c:x val="4.4321329639889096E-3"/>
                  <c:y val="1.84105553850873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C4-4224-96EA-0F2BAFC7A54A}"/>
                </c:ext>
              </c:extLst>
            </c:dLbl>
            <c:dLbl>
              <c:idx val="1"/>
              <c:layout>
                <c:manualLayout>
                  <c:x val="-2.0313708085926636E-17"/>
                  <c:y val="1.84105553850873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C4-4224-96EA-0F2BAFC7A54A}"/>
                </c:ext>
              </c:extLst>
            </c:dLbl>
            <c:dLbl>
              <c:idx val="2"/>
              <c:layout>
                <c:manualLayout>
                  <c:x val="4.43213296398892E-3"/>
                  <c:y val="1.2273703590058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C4-4224-96EA-0F2BAFC7A54A}"/>
                </c:ext>
              </c:extLst>
            </c:dLbl>
            <c:dLbl>
              <c:idx val="3"/>
              <c:layout>
                <c:manualLayout>
                  <c:x val="4.43213296398892E-3"/>
                  <c:y val="1.22737035900581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3C4-4224-96EA-0F2BAFC7A54A}"/>
                </c:ext>
              </c:extLst>
            </c:dLbl>
            <c:dLbl>
              <c:idx val="4"/>
              <c:layout>
                <c:manualLayout>
                  <c:x val="4.43213296398892E-3"/>
                  <c:y val="1.8410555385087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3C4-4224-96EA-0F2BAFC7A54A}"/>
                </c:ext>
              </c:extLst>
            </c:dLbl>
            <c:dLbl>
              <c:idx val="5"/>
              <c:layout>
                <c:manualLayout>
                  <c:x val="4.43213296398892E-3"/>
                  <c:y val="1.8410555385087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3C4-4224-96EA-0F2BAFC7A54A}"/>
                </c:ext>
              </c:extLst>
            </c:dLbl>
            <c:dLbl>
              <c:idx val="6"/>
              <c:layout>
                <c:manualLayout>
                  <c:x val="4.43213296398892E-3"/>
                  <c:y val="1.2273703590058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3C4-4224-96EA-0F2BAFC7A54A}"/>
                </c:ext>
              </c:extLst>
            </c:dLbl>
            <c:dLbl>
              <c:idx val="7"/>
              <c:layout>
                <c:manualLayout>
                  <c:x val="6.6481994459833792E-3"/>
                  <c:y val="1.2273703590058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3C4-4224-96EA-0F2BAFC7A54A}"/>
                </c:ext>
              </c:extLst>
            </c:dLbl>
            <c:dLbl>
              <c:idx val="8"/>
              <c:layout>
                <c:manualLayout>
                  <c:x val="6.6481994459833792E-3"/>
                  <c:y val="1.8410555385087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3C4-4224-96EA-0F2BAFC7A54A}"/>
                </c:ext>
              </c:extLst>
            </c:dLbl>
            <c:spPr>
              <a:noFill/>
              <a:ln>
                <a:noFill/>
              </a:ln>
              <a:effectLst/>
            </c:spPr>
            <c:txPr>
              <a:bodyPr rot="0" spcFirstLastPara="1" vertOverflow="ellipsis" vert="horz" wrap="square" anchor="ctr" anchorCtr="1"/>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'fig5'!$S$5:$S$13</c:f>
              <c:numCache>
                <c:formatCode>mmm\-yy</c:formatCode>
                <c:ptCount val="9"/>
                <c:pt idx="0">
                  <c:v>44896</c:v>
                </c:pt>
                <c:pt idx="1">
                  <c:v>44986</c:v>
                </c:pt>
                <c:pt idx="2">
                  <c:v>45078</c:v>
                </c:pt>
                <c:pt idx="3">
                  <c:v>45170</c:v>
                </c:pt>
                <c:pt idx="4">
                  <c:v>45261</c:v>
                </c:pt>
                <c:pt idx="5">
                  <c:v>45352</c:v>
                </c:pt>
                <c:pt idx="6">
                  <c:v>45444</c:v>
                </c:pt>
                <c:pt idx="7">
                  <c:v>45536</c:v>
                </c:pt>
                <c:pt idx="8">
                  <c:v>45627</c:v>
                </c:pt>
              </c:numCache>
            </c:numRef>
          </c:cat>
          <c:val>
            <c:numRef>
              <c:f>'fig5'!$V$5:$V$13</c:f>
              <c:numCache>
                <c:formatCode>0.0</c:formatCode>
                <c:ptCount val="9"/>
                <c:pt idx="0">
                  <c:v>2.4460726846424383</c:v>
                </c:pt>
                <c:pt idx="1">
                  <c:v>2.4935773924213231</c:v>
                </c:pt>
                <c:pt idx="2">
                  <c:v>2.6173546248870143</c:v>
                </c:pt>
                <c:pt idx="3">
                  <c:v>2.631946649730073</c:v>
                </c:pt>
                <c:pt idx="4">
                  <c:v>2.7697749196141479</c:v>
                </c:pt>
                <c:pt idx="5">
                  <c:v>3.1330935251798562</c:v>
                </c:pt>
                <c:pt idx="6">
                  <c:v>3.3171460590212924</c:v>
                </c:pt>
                <c:pt idx="7">
                  <c:v>4.0128865979381443</c:v>
                </c:pt>
                <c:pt idx="8">
                  <c:v>4.4833264717990939</c:v>
                </c:pt>
              </c:numCache>
            </c:numRef>
          </c:val>
          <c:extLst>
            <c:ext xmlns:c16="http://schemas.microsoft.com/office/drawing/2014/chart" uri="{C3380CC4-5D6E-409C-BE32-E72D297353CC}">
              <c16:uniqueId val="{0000000A-63C4-4224-96EA-0F2BAFC7A54A}"/>
            </c:ext>
          </c:extLst>
        </c:ser>
        <c:ser>
          <c:idx val="3"/>
          <c:order val="3"/>
          <c:tx>
            <c:strRef>
              <c:f>'fig5'!$W$4</c:f>
              <c:strCache>
                <c:ptCount val="1"/>
                <c:pt idx="0">
                  <c:v>Suitable applicants per vacancy</c:v>
                </c:pt>
              </c:strCache>
            </c:strRef>
          </c:tx>
          <c:spPr>
            <a:solidFill>
              <a:srgbClr val="012749"/>
            </a:solidFill>
            <a:ln>
              <a:noFill/>
            </a:ln>
            <a:effectLst/>
          </c:spPr>
          <c:invertIfNegative val="0"/>
          <c:dLbls>
            <c:dLbl>
              <c:idx val="0"/>
              <c:layout>
                <c:manualLayout>
                  <c:x val="8.8637424477065029E-3"/>
                  <c:y val="2.30383214985515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3C4-4224-96EA-0F2BAFC7A54A}"/>
                </c:ext>
              </c:extLst>
            </c:dLbl>
            <c:dLbl>
              <c:idx val="1"/>
              <c:layout>
                <c:manualLayout>
                  <c:x val="8.8637424477065029E-3"/>
                  <c:y val="2.30383214985514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3C4-4224-96EA-0F2BAFC7A54A}"/>
                </c:ext>
              </c:extLst>
            </c:dLbl>
            <c:dLbl>
              <c:idx val="2"/>
              <c:layout>
                <c:manualLayout>
                  <c:x val="6.647675965712042E-3"/>
                  <c:y val="2.30383214985514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3C4-4224-96EA-0F2BAFC7A54A}"/>
                </c:ext>
              </c:extLst>
            </c:dLbl>
            <c:dLbl>
              <c:idx val="3"/>
              <c:layout>
                <c:manualLayout>
                  <c:x val="8.8637424477065029E-3"/>
                  <c:y val="1.69014697035222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3C4-4224-96EA-0F2BAFC7A54A}"/>
                </c:ext>
              </c:extLst>
            </c:dLbl>
            <c:dLbl>
              <c:idx val="4"/>
              <c:layout>
                <c:manualLayout>
                  <c:x val="1.1080332409972299E-2"/>
                  <c:y val="2.30383214985514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3C4-4224-96EA-0F2BAFC7A54A}"/>
                </c:ext>
              </c:extLst>
            </c:dLbl>
            <c:dLbl>
              <c:idx val="5"/>
              <c:layout>
                <c:manualLayout>
                  <c:x val="1.108015791654852E-2"/>
                  <c:y val="2.30383214985514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3C4-4224-96EA-0F2BAFC7A54A}"/>
                </c:ext>
              </c:extLst>
            </c:dLbl>
            <c:dLbl>
              <c:idx val="6"/>
              <c:layout>
                <c:manualLayout>
                  <c:x val="6.6481994459832985E-3"/>
                  <c:y val="1.69014697035224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3C4-4224-96EA-0F2BAFC7A54A}"/>
                </c:ext>
              </c:extLst>
            </c:dLbl>
            <c:dLbl>
              <c:idx val="7"/>
              <c:layout>
                <c:manualLayout>
                  <c:x val="1.1079808929700962E-2"/>
                  <c:y val="1.74044982640439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3C4-4224-96EA-0F2BAFC7A54A}"/>
                </c:ext>
              </c:extLst>
            </c:dLbl>
            <c:dLbl>
              <c:idx val="8"/>
              <c:layout>
                <c:manualLayout>
                  <c:x val="8.8637424477065029E-3"/>
                  <c:y val="2.30383214985515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3C4-4224-96EA-0F2BAFC7A54A}"/>
                </c:ext>
              </c:extLst>
            </c:dLbl>
            <c:spPr>
              <a:noFill/>
              <a:ln>
                <a:noFill/>
              </a:ln>
              <a:effectLst/>
            </c:spPr>
            <c:txPr>
              <a:bodyPr rot="0" spcFirstLastPara="1" vertOverflow="ellipsis" vert="horz" wrap="square" anchor="ctr" anchorCtr="1"/>
              <a:lstStyle/>
              <a:p>
                <a:pPr>
                  <a:defRPr lang="en-US"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'fig5'!$S$5:$S$13</c:f>
              <c:numCache>
                <c:formatCode>mmm\-yy</c:formatCode>
                <c:ptCount val="9"/>
                <c:pt idx="0">
                  <c:v>44896</c:v>
                </c:pt>
                <c:pt idx="1">
                  <c:v>44986</c:v>
                </c:pt>
                <c:pt idx="2">
                  <c:v>45078</c:v>
                </c:pt>
                <c:pt idx="3">
                  <c:v>45170</c:v>
                </c:pt>
                <c:pt idx="4">
                  <c:v>45261</c:v>
                </c:pt>
                <c:pt idx="5">
                  <c:v>45352</c:v>
                </c:pt>
                <c:pt idx="6">
                  <c:v>45444</c:v>
                </c:pt>
                <c:pt idx="7">
                  <c:v>45536</c:v>
                </c:pt>
                <c:pt idx="8">
                  <c:v>45627</c:v>
                </c:pt>
              </c:numCache>
            </c:numRef>
          </c:cat>
          <c:val>
            <c:numRef>
              <c:f>'fig5'!$W$5:$W$13</c:f>
              <c:numCache>
                <c:formatCode>0.0</c:formatCode>
                <c:ptCount val="9"/>
                <c:pt idx="0">
                  <c:v>1.3329522720777365</c:v>
                </c:pt>
                <c:pt idx="1">
                  <c:v>1.3808929128941618</c:v>
                </c:pt>
                <c:pt idx="2">
                  <c:v>1.4456048738033072</c:v>
                </c:pt>
                <c:pt idx="3">
                  <c:v>1.5258201701093561</c:v>
                </c:pt>
                <c:pt idx="4">
                  <c:v>1.5335968379446641</c:v>
                </c:pt>
                <c:pt idx="5">
                  <c:v>1.737215033887862</c:v>
                </c:pt>
                <c:pt idx="6">
                  <c:v>1.8640674394099053</c:v>
                </c:pt>
                <c:pt idx="7">
                  <c:v>2.0246153846153847</c:v>
                </c:pt>
                <c:pt idx="8">
                  <c:v>2.096638655462185</c:v>
                </c:pt>
              </c:numCache>
            </c:numRef>
          </c:val>
          <c:extLst>
            <c:ext xmlns:c16="http://schemas.microsoft.com/office/drawing/2014/chart" uri="{C3380CC4-5D6E-409C-BE32-E72D297353CC}">
              <c16:uniqueId val="{00000014-63C4-4224-96EA-0F2BAFC7A54A}"/>
            </c:ext>
          </c:extLst>
        </c:ser>
        <c:dLbls>
          <c:showLegendKey val="0"/>
          <c:showVal val="0"/>
          <c:showCatName val="0"/>
          <c:showSerName val="0"/>
          <c:showPercent val="0"/>
          <c:showBubbleSize val="0"/>
        </c:dLbls>
        <c:gapWidth val="110"/>
        <c:axId val="574728255"/>
        <c:axId val="574724895"/>
      </c:barChart>
      <c:lineChart>
        <c:grouping val="standard"/>
        <c:varyColors val="0"/>
        <c:ser>
          <c:idx val="0"/>
          <c:order val="0"/>
          <c:tx>
            <c:strRef>
              <c:f>'fig5'!$T$4</c:f>
              <c:strCache>
                <c:ptCount val="1"/>
                <c:pt idx="0">
                  <c:v>Fill Rate</c:v>
                </c:pt>
              </c:strCache>
            </c:strRef>
          </c:tx>
          <c:spPr>
            <a:ln w="25400" cap="rnd">
              <a:noFill/>
              <a:round/>
            </a:ln>
            <a:effectLst/>
          </c:spPr>
          <c:marker>
            <c:symbol val="dash"/>
            <c:size val="17"/>
            <c:spPr>
              <a:solidFill>
                <a:srgbClr val="EE538B"/>
              </a:solidFill>
              <a:ln w="9525">
                <a:solidFill>
                  <a:srgbClr val="EE538B"/>
                </a:solidFill>
              </a:ln>
              <a:effectLst/>
            </c:spPr>
          </c:marker>
          <c:dLbls>
            <c:dLbl>
              <c:idx val="0"/>
              <c:layout>
                <c:manualLayout>
                  <c:x val="-5.3476183261077476E-2"/>
                  <c:y val="-4.7382090465476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3C4-4224-96EA-0F2BAFC7A54A}"/>
                </c:ext>
              </c:extLst>
            </c:dLbl>
            <c:dLbl>
              <c:idx val="1"/>
              <c:layout>
                <c:manualLayout>
                  <c:x val="-4.9337966832358249E-2"/>
                  <c:y val="-4.7382090465476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3C4-4224-96EA-0F2BAFC7A54A}"/>
                </c:ext>
              </c:extLst>
            </c:dLbl>
            <c:dLbl>
              <c:idx val="2"/>
              <c:layout>
                <c:manualLayout>
                  <c:x val="-5.3476183261077469E-2"/>
                  <c:y val="-4.7382090465476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3C4-4224-96EA-0F2BAFC7A54A}"/>
                </c:ext>
              </c:extLst>
            </c:dLbl>
            <c:dLbl>
              <c:idx val="3"/>
              <c:layout>
                <c:manualLayout>
                  <c:x val="-5.3476183261077469E-2"/>
                  <c:y val="-4.7382090465476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3C4-4224-96EA-0F2BAFC7A54A}"/>
                </c:ext>
              </c:extLst>
            </c:dLbl>
            <c:dLbl>
              <c:idx val="4"/>
              <c:layout>
                <c:manualLayout>
                  <c:x val="-5.3476183261077545E-2"/>
                  <c:y val="-4.7382090465476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3C4-4224-96EA-0F2BAFC7A54A}"/>
                </c:ext>
              </c:extLst>
            </c:dLbl>
            <c:dLbl>
              <c:idx val="5"/>
              <c:layout>
                <c:manualLayout>
                  <c:x val="-5.3476183261077469E-2"/>
                  <c:y val="-4.7382090465476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3C4-4224-96EA-0F2BAFC7A54A}"/>
                </c:ext>
              </c:extLst>
            </c:dLbl>
            <c:dLbl>
              <c:idx val="6"/>
              <c:layout>
                <c:manualLayout>
                  <c:x val="-5.3476183261077469E-2"/>
                  <c:y val="-4.7382090465476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63C4-4224-96EA-0F2BAFC7A54A}"/>
                </c:ext>
              </c:extLst>
            </c:dLbl>
            <c:dLbl>
              <c:idx val="7"/>
              <c:layout>
                <c:manualLayout>
                  <c:x val="-5.3476183261077621E-2"/>
                  <c:y val="-4.7382090465476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63C4-4224-96EA-0F2BAFC7A54A}"/>
                </c:ext>
              </c:extLst>
            </c:dLbl>
            <c:dLbl>
              <c:idx val="8"/>
              <c:layout>
                <c:manualLayout>
                  <c:x val="-5.3476183261077469E-2"/>
                  <c:y val="-4.7382090465476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63C4-4224-96EA-0F2BAFC7A54A}"/>
                </c:ext>
              </c:extLst>
            </c:dLbl>
            <c:spPr>
              <a:noFill/>
              <a:ln>
                <a:noFill/>
              </a:ln>
              <a:effectLst/>
            </c:spPr>
            <c:txPr>
              <a:bodyPr rot="0" spcFirstLastPara="1" vertOverflow="ellipsis" vert="horz" wrap="square" anchor="ctr" anchorCtr="1"/>
              <a:lstStyle/>
              <a:p>
                <a:pPr>
                  <a:defRPr lang="en-US"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'fig5'!$S$5:$S$13</c:f>
              <c:numCache>
                <c:formatCode>mmm\-yy</c:formatCode>
                <c:ptCount val="9"/>
                <c:pt idx="0">
                  <c:v>44896</c:v>
                </c:pt>
                <c:pt idx="1">
                  <c:v>44986</c:v>
                </c:pt>
                <c:pt idx="2">
                  <c:v>45078</c:v>
                </c:pt>
                <c:pt idx="3">
                  <c:v>45170</c:v>
                </c:pt>
                <c:pt idx="4">
                  <c:v>45261</c:v>
                </c:pt>
                <c:pt idx="5">
                  <c:v>45352</c:v>
                </c:pt>
                <c:pt idx="6">
                  <c:v>45444</c:v>
                </c:pt>
                <c:pt idx="7">
                  <c:v>45536</c:v>
                </c:pt>
                <c:pt idx="8">
                  <c:v>45627</c:v>
                </c:pt>
              </c:numCache>
            </c:numRef>
          </c:cat>
          <c:val>
            <c:numRef>
              <c:f>'fig5'!$T$5:$T$13</c:f>
              <c:numCache>
                <c:formatCode>0.0%</c:formatCode>
                <c:ptCount val="9"/>
                <c:pt idx="0">
                  <c:v>0.43612460703058015</c:v>
                </c:pt>
                <c:pt idx="1">
                  <c:v>0.44864189822041833</c:v>
                </c:pt>
                <c:pt idx="2">
                  <c:v>0.46098056280823907</c:v>
                </c:pt>
                <c:pt idx="3">
                  <c:v>0.47144592952612396</c:v>
                </c:pt>
                <c:pt idx="4">
                  <c:v>0.4828215262997872</c:v>
                </c:pt>
                <c:pt idx="5">
                  <c:v>0.49753542821934688</c:v>
                </c:pt>
                <c:pt idx="6">
                  <c:v>0.51879171057253248</c:v>
                </c:pt>
                <c:pt idx="7">
                  <c:v>0.5394871794871795</c:v>
                </c:pt>
                <c:pt idx="8">
                  <c:v>0.55309396485867079</c:v>
                </c:pt>
              </c:numCache>
            </c:numRef>
          </c:val>
          <c:smooth val="0"/>
          <c:extLst>
            <c:ext xmlns:c16="http://schemas.microsoft.com/office/drawing/2014/chart" uri="{C3380CC4-5D6E-409C-BE32-E72D297353CC}">
              <c16:uniqueId val="{0000001E-63C4-4224-96EA-0F2BAFC7A54A}"/>
            </c:ext>
          </c:extLst>
        </c:ser>
        <c:dLbls>
          <c:showLegendKey val="0"/>
          <c:showVal val="0"/>
          <c:showCatName val="0"/>
          <c:showSerName val="0"/>
          <c:showPercent val="0"/>
          <c:showBubbleSize val="0"/>
        </c:dLbls>
        <c:marker val="1"/>
        <c:smooth val="0"/>
        <c:axId val="685136015"/>
        <c:axId val="685136975"/>
        <c:extLst/>
      </c:lineChart>
      <c:catAx>
        <c:axId val="574728255"/>
        <c:scaling>
          <c:orientation val="minMax"/>
        </c:scaling>
        <c:delete val="0"/>
        <c:axPos val="b"/>
        <c:numFmt formatCode="mmm\-yy" sourceLinked="1"/>
        <c:majorTickMark val="out"/>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lang="en-US"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74724895"/>
        <c:crossesAt val="0"/>
        <c:auto val="0"/>
        <c:lblAlgn val="ctr"/>
        <c:lblOffset val="100"/>
        <c:tickLblSkip val="1"/>
        <c:noMultiLvlLbl val="0"/>
      </c:catAx>
      <c:valAx>
        <c:axId val="574724895"/>
        <c:scaling>
          <c:orientation val="minMax"/>
          <c:max val="40"/>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lang="en-US"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crossAx val="574728255"/>
        <c:crosses val="autoZero"/>
        <c:crossBetween val="between"/>
      </c:valAx>
      <c:valAx>
        <c:axId val="685136975"/>
        <c:scaling>
          <c:orientation val="minMax"/>
          <c:max val="0.8"/>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lang="en-US"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crossAx val="685136015"/>
        <c:crosses val="max"/>
        <c:crossBetween val="between"/>
      </c:valAx>
      <c:dateAx>
        <c:axId val="685136015"/>
        <c:scaling>
          <c:orientation val="minMax"/>
        </c:scaling>
        <c:delete val="1"/>
        <c:axPos val="b"/>
        <c:numFmt formatCode="mmm\-yy" sourceLinked="1"/>
        <c:majorTickMark val="out"/>
        <c:minorTickMark val="none"/>
        <c:tickLblPos val="nextTo"/>
        <c:crossAx val="685136975"/>
        <c:crosses val="autoZero"/>
        <c:auto val="1"/>
        <c:lblOffset val="100"/>
        <c:baseTimeUnit val="months"/>
      </c:dateAx>
      <c:spPr>
        <a:noFill/>
        <a:ln>
          <a:noFill/>
        </a:ln>
        <a:effectLst/>
      </c:spPr>
    </c:plotArea>
    <c:plotVisOnly val="1"/>
    <c:dispBlanksAs val="gap"/>
    <c:showDLblsOverMax val="0"/>
  </c:chart>
  <c:spPr>
    <a:solidFill>
      <a:schemeClr val="bg1"/>
    </a:solidFill>
    <a:ln w="9525" cap="flat" cmpd="sng" algn="ctr">
      <a:noFill/>
      <a:round/>
    </a:ln>
    <a:effectLst/>
  </c:spPr>
  <c:txPr>
    <a:bodyPr/>
    <a:lstStyle/>
    <a:p>
      <a:pPr algn="ctr">
        <a:defRPr lang="en-US"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9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900" b="1"/>
              <a:t>Skill Level 4</a:t>
            </a:r>
          </a:p>
        </c:rich>
      </c:tx>
      <c:layout>
        <c:manualLayout>
          <c:xMode val="edge"/>
          <c:yMode val="edge"/>
          <c:x val="0.44443706613158424"/>
          <c:y val="1.0685207886188233E-2"/>
        </c:manualLayout>
      </c:layout>
      <c:overlay val="0"/>
      <c:spPr>
        <a:noFill/>
        <a:ln>
          <a:noFill/>
        </a:ln>
        <a:effectLst/>
      </c:spPr>
      <c:txPr>
        <a:bodyPr rot="0" spcFirstLastPara="1" vertOverflow="ellipsis" vert="horz" wrap="square" anchor="ctr" anchorCtr="1"/>
        <a:lstStyle/>
        <a:p>
          <a:pPr>
            <a:defRPr lang="en-US" sz="9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3.8291130958508314E-2"/>
          <c:y val="0.10828410679761037"/>
          <c:w val="0.90765208470368197"/>
          <c:h val="0.65055292047712387"/>
        </c:manualLayout>
      </c:layout>
      <c:barChart>
        <c:barDir val="col"/>
        <c:grouping val="clustered"/>
        <c:varyColors val="0"/>
        <c:ser>
          <c:idx val="1"/>
          <c:order val="1"/>
          <c:tx>
            <c:strRef>
              <c:f>'fig5'!$U$22</c:f>
              <c:strCache>
                <c:ptCount val="1"/>
                <c:pt idx="0">
                  <c:v>Applicants per Vacancy </c:v>
                </c:pt>
              </c:strCache>
            </c:strRef>
          </c:tx>
          <c:spPr>
            <a:solidFill>
              <a:srgbClr val="6929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'fig5'!$S$23:$S$31</c:f>
              <c:numCache>
                <c:formatCode>mmm\-yy</c:formatCode>
                <c:ptCount val="9"/>
                <c:pt idx="0">
                  <c:v>44896</c:v>
                </c:pt>
                <c:pt idx="1">
                  <c:v>44986</c:v>
                </c:pt>
                <c:pt idx="2">
                  <c:v>45078</c:v>
                </c:pt>
                <c:pt idx="3">
                  <c:v>45170</c:v>
                </c:pt>
                <c:pt idx="4">
                  <c:v>45261</c:v>
                </c:pt>
                <c:pt idx="5">
                  <c:v>45352</c:v>
                </c:pt>
                <c:pt idx="6">
                  <c:v>45444</c:v>
                </c:pt>
                <c:pt idx="7">
                  <c:v>45536</c:v>
                </c:pt>
                <c:pt idx="8">
                  <c:v>45627</c:v>
                </c:pt>
              </c:numCache>
            </c:numRef>
          </c:cat>
          <c:val>
            <c:numRef>
              <c:f>'fig5'!$U$23:$U$31</c:f>
              <c:numCache>
                <c:formatCode>0.0</c:formatCode>
                <c:ptCount val="9"/>
                <c:pt idx="0">
                  <c:v>13.544900577293136</c:v>
                </c:pt>
                <c:pt idx="1">
                  <c:v>14.772984886649875</c:v>
                </c:pt>
                <c:pt idx="2">
                  <c:v>15.90479173191356</c:v>
                </c:pt>
                <c:pt idx="3">
                  <c:v>17.680285343709468</c:v>
                </c:pt>
                <c:pt idx="4">
                  <c:v>19.063600782778867</c:v>
                </c:pt>
                <c:pt idx="5">
                  <c:v>23.647159479808352</c:v>
                </c:pt>
                <c:pt idx="6">
                  <c:v>27.379464285714285</c:v>
                </c:pt>
                <c:pt idx="7">
                  <c:v>32.83314794215795</c:v>
                </c:pt>
                <c:pt idx="8">
                  <c:v>37.07340946166395</c:v>
                </c:pt>
              </c:numCache>
            </c:numRef>
          </c:val>
          <c:extLst>
            <c:ext xmlns:c16="http://schemas.microsoft.com/office/drawing/2014/chart" uri="{C3380CC4-5D6E-409C-BE32-E72D297353CC}">
              <c16:uniqueId val="{00000000-B82A-4CD7-9A8A-DA04B2E2D5D7}"/>
            </c:ext>
          </c:extLst>
        </c:ser>
        <c:ser>
          <c:idx val="2"/>
          <c:order val="2"/>
          <c:tx>
            <c:strRef>
              <c:f>'fig5'!$V$22</c:f>
              <c:strCache>
                <c:ptCount val="1"/>
                <c:pt idx="0">
                  <c:v>Qualified applicants per vacancy </c:v>
                </c:pt>
              </c:strCache>
            </c:strRef>
          </c:tx>
          <c:spPr>
            <a:solidFill>
              <a:srgbClr val="009D9A"/>
            </a:solidFill>
            <a:ln>
              <a:noFill/>
            </a:ln>
            <a:effectLst/>
          </c:spPr>
          <c:invertIfNegative val="0"/>
          <c:dLbls>
            <c:dLbl>
              <c:idx val="0"/>
              <c:layout>
                <c:manualLayout>
                  <c:x val="4.4321329639889096E-3"/>
                  <c:y val="1.69923534409514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2A-4CD7-9A8A-DA04B2E2D5D7}"/>
                </c:ext>
              </c:extLst>
            </c:dLbl>
            <c:dLbl>
              <c:idx val="1"/>
              <c:layout>
                <c:manualLayout>
                  <c:x val="4.43213296398892E-3"/>
                  <c:y val="1.13282356273010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2A-4CD7-9A8A-DA04B2E2D5D7}"/>
                </c:ext>
              </c:extLst>
            </c:dLbl>
            <c:dLbl>
              <c:idx val="2"/>
              <c:layout>
                <c:manualLayout>
                  <c:x val="4.43213296398892E-3"/>
                  <c:y val="1.13282356273010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2A-4CD7-9A8A-DA04B2E2D5D7}"/>
                </c:ext>
              </c:extLst>
            </c:dLbl>
            <c:dLbl>
              <c:idx val="3"/>
              <c:layout>
                <c:manualLayout>
                  <c:x val="6.6481994459833792E-3"/>
                  <c:y val="1.13282356273009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2A-4CD7-9A8A-DA04B2E2D5D7}"/>
                </c:ext>
              </c:extLst>
            </c:dLbl>
            <c:dLbl>
              <c:idx val="4"/>
              <c:layout>
                <c:manualLayout>
                  <c:x val="6.6481994459833792E-3"/>
                  <c:y val="1.13282356273010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2A-4CD7-9A8A-DA04B2E2D5D7}"/>
                </c:ext>
              </c:extLst>
            </c:dLbl>
            <c:dLbl>
              <c:idx val="5"/>
              <c:layout>
                <c:manualLayout>
                  <c:x val="6.6481994459833792E-3"/>
                  <c:y val="1.13282356273010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82A-4CD7-9A8A-DA04B2E2D5D7}"/>
                </c:ext>
              </c:extLst>
            </c:dLbl>
            <c:dLbl>
              <c:idx val="6"/>
              <c:layout>
                <c:manualLayout>
                  <c:x val="6.6481994459833792E-3"/>
                  <c:y val="1.13282356273010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82A-4CD7-9A8A-DA04B2E2D5D7}"/>
                </c:ext>
              </c:extLst>
            </c:dLbl>
            <c:dLbl>
              <c:idx val="7"/>
              <c:layout>
                <c:manualLayout>
                  <c:x val="6.6481994459833792E-3"/>
                  <c:y val="1.13282356273010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82A-4CD7-9A8A-DA04B2E2D5D7}"/>
                </c:ext>
              </c:extLst>
            </c:dLbl>
            <c:dLbl>
              <c:idx val="8"/>
              <c:layout>
                <c:manualLayout>
                  <c:x val="4.43213296398892E-3"/>
                  <c:y val="1.13282356273010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82A-4CD7-9A8A-DA04B2E2D5D7}"/>
                </c:ext>
              </c:extLst>
            </c:dLbl>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'fig5'!$S$23:$S$31</c:f>
              <c:numCache>
                <c:formatCode>mmm\-yy</c:formatCode>
                <c:ptCount val="9"/>
                <c:pt idx="0">
                  <c:v>44896</c:v>
                </c:pt>
                <c:pt idx="1">
                  <c:v>44986</c:v>
                </c:pt>
                <c:pt idx="2">
                  <c:v>45078</c:v>
                </c:pt>
                <c:pt idx="3">
                  <c:v>45170</c:v>
                </c:pt>
                <c:pt idx="4">
                  <c:v>45261</c:v>
                </c:pt>
                <c:pt idx="5">
                  <c:v>45352</c:v>
                </c:pt>
                <c:pt idx="6">
                  <c:v>45444</c:v>
                </c:pt>
                <c:pt idx="7">
                  <c:v>45536</c:v>
                </c:pt>
                <c:pt idx="8">
                  <c:v>45627</c:v>
                </c:pt>
              </c:numCache>
            </c:numRef>
          </c:cat>
          <c:val>
            <c:numRef>
              <c:f>'fig5'!$V$23:$V$31</c:f>
              <c:numCache>
                <c:formatCode>0.0</c:formatCode>
                <c:ptCount val="9"/>
                <c:pt idx="0">
                  <c:v>4.0431266846361185</c:v>
                </c:pt>
                <c:pt idx="1">
                  <c:v>4.5969251336898393</c:v>
                </c:pt>
                <c:pt idx="2">
                  <c:v>4.8846675712347354</c:v>
                </c:pt>
                <c:pt idx="3">
                  <c:v>5.4670744872256209</c:v>
                </c:pt>
                <c:pt idx="4">
                  <c:v>5.7113325950535252</c:v>
                </c:pt>
                <c:pt idx="5">
                  <c:v>6.8820312499999998</c:v>
                </c:pt>
                <c:pt idx="6">
                  <c:v>7.6808149405772497</c:v>
                </c:pt>
                <c:pt idx="7">
                  <c:v>7.9583869583869582</c:v>
                </c:pt>
                <c:pt idx="8">
                  <c:v>9.0152671755725198</c:v>
                </c:pt>
              </c:numCache>
            </c:numRef>
          </c:val>
          <c:extLst>
            <c:ext xmlns:c16="http://schemas.microsoft.com/office/drawing/2014/chart" uri="{C3380CC4-5D6E-409C-BE32-E72D297353CC}">
              <c16:uniqueId val="{0000000A-B82A-4CD7-9A8A-DA04B2E2D5D7}"/>
            </c:ext>
          </c:extLst>
        </c:ser>
        <c:ser>
          <c:idx val="3"/>
          <c:order val="3"/>
          <c:tx>
            <c:strRef>
              <c:f>'fig5'!$W$22</c:f>
              <c:strCache>
                <c:ptCount val="1"/>
                <c:pt idx="0">
                  <c:v>Suitable applicants per vacancy</c:v>
                </c:pt>
              </c:strCache>
            </c:strRef>
          </c:tx>
          <c:spPr>
            <a:solidFill>
              <a:srgbClr val="012749"/>
            </a:solidFill>
            <a:ln>
              <a:noFill/>
            </a:ln>
            <a:effectLst/>
          </c:spPr>
          <c:invertIfNegative val="0"/>
          <c:dLbls>
            <c:dLbl>
              <c:idx val="0"/>
              <c:layout>
                <c:manualLayout>
                  <c:x val="1.3296398891966758E-2"/>
                  <c:y val="1.5501843068257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82A-4CD7-9A8A-DA04B2E2D5D7}"/>
                </c:ext>
              </c:extLst>
            </c:dLbl>
            <c:dLbl>
              <c:idx val="1"/>
              <c:layout>
                <c:manualLayout>
                  <c:x val="1.3296398891966758E-2"/>
                  <c:y val="1.55129929064729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82A-4CD7-9A8A-DA04B2E2D5D7}"/>
                </c:ext>
              </c:extLst>
            </c:dLbl>
            <c:dLbl>
              <c:idx val="2"/>
              <c:layout>
                <c:manualLayout>
                  <c:x val="1.3296398891966758E-2"/>
                  <c:y val="1.99849700180849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82A-4CD7-9A8A-DA04B2E2D5D7}"/>
                </c:ext>
              </c:extLst>
            </c:dLbl>
            <c:dLbl>
              <c:idx val="3"/>
              <c:layout>
                <c:manualLayout>
                  <c:x val="1.3296398891966679E-2"/>
                  <c:y val="2.25797603676770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82A-4CD7-9A8A-DA04B2E2D5D7}"/>
                </c:ext>
              </c:extLst>
            </c:dLbl>
            <c:dLbl>
              <c:idx val="4"/>
              <c:layout>
                <c:manualLayout>
                  <c:x val="1.3296486138678648E-2"/>
                  <c:y val="2.3430939017074864E-2"/>
                </c:manualLayout>
              </c:layout>
              <c:spPr>
                <a:noFill/>
                <a:ln>
                  <a:noFill/>
                </a:ln>
                <a:effectLst/>
              </c:spPr>
              <c:txPr>
                <a:bodyPr rot="0" spcFirstLastPara="1" vertOverflow="ellipsis" vert="horz" wrap="square" lIns="38100" tIns="19050" rIns="38100" bIns="19050" anchor="ctr" anchorCtr="1">
                  <a:noAutofit/>
                </a:bodyPr>
                <a:lstStyle/>
                <a:p>
                  <a:pPr>
                    <a:defRPr lang="en-US"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4.7628113104104169E-2"/>
                      <c:h val="7.6356683363862865E-2"/>
                    </c:manualLayout>
                  </c15:layout>
                </c:ext>
                <c:ext xmlns:c16="http://schemas.microsoft.com/office/drawing/2014/chart" uri="{C3380CC4-5D6E-409C-BE32-E72D297353CC}">
                  <c16:uniqueId val="{0000000F-B82A-4CD7-9A8A-DA04B2E2D5D7}"/>
                </c:ext>
              </c:extLst>
            </c:dLbl>
            <c:dLbl>
              <c:idx val="5"/>
              <c:layout>
                <c:manualLayout>
                  <c:x val="1.3296398891966758E-2"/>
                  <c:y val="1.57132440008294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82A-4CD7-9A8A-DA04B2E2D5D7}"/>
                </c:ext>
              </c:extLst>
            </c:dLbl>
            <c:dLbl>
              <c:idx val="6"/>
              <c:layout>
                <c:manualLayout>
                  <c:x val="1.3296398891966758E-2"/>
                  <c:y val="2.44047658868468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82A-4CD7-9A8A-DA04B2E2D5D7}"/>
                </c:ext>
              </c:extLst>
            </c:dLbl>
            <c:dLbl>
              <c:idx val="7"/>
              <c:layout>
                <c:manualLayout>
                  <c:x val="8.864265927977677E-3"/>
                  <c:y val="1.82348914117256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82A-4CD7-9A8A-DA04B2E2D5D7}"/>
                </c:ext>
              </c:extLst>
            </c:dLbl>
            <c:dLbl>
              <c:idx val="8"/>
              <c:layout>
                <c:manualLayout>
                  <c:x val="8.86426592797784E-3"/>
                  <c:y val="2.26702970539897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82A-4CD7-9A8A-DA04B2E2D5D7}"/>
                </c:ext>
              </c:extLst>
            </c:dLbl>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'fig5'!$S$23:$S$31</c:f>
              <c:numCache>
                <c:formatCode>mmm\-yy</c:formatCode>
                <c:ptCount val="9"/>
                <c:pt idx="0">
                  <c:v>44896</c:v>
                </c:pt>
                <c:pt idx="1">
                  <c:v>44986</c:v>
                </c:pt>
                <c:pt idx="2">
                  <c:v>45078</c:v>
                </c:pt>
                <c:pt idx="3">
                  <c:v>45170</c:v>
                </c:pt>
                <c:pt idx="4">
                  <c:v>45261</c:v>
                </c:pt>
                <c:pt idx="5">
                  <c:v>45352</c:v>
                </c:pt>
                <c:pt idx="6">
                  <c:v>45444</c:v>
                </c:pt>
                <c:pt idx="7">
                  <c:v>45536</c:v>
                </c:pt>
                <c:pt idx="8">
                  <c:v>45627</c:v>
                </c:pt>
              </c:numCache>
            </c:numRef>
          </c:cat>
          <c:val>
            <c:numRef>
              <c:f>'fig5'!$W$23:$W$31</c:f>
              <c:numCache>
                <c:formatCode>0.0</c:formatCode>
                <c:ptCount val="9"/>
                <c:pt idx="0">
                  <c:v>2.5317511225144322</c:v>
                </c:pt>
                <c:pt idx="1">
                  <c:v>2.8167506297229221</c:v>
                </c:pt>
                <c:pt idx="2">
                  <c:v>3.0548073911681803</c:v>
                </c:pt>
                <c:pt idx="3">
                  <c:v>3.1929312581063556</c:v>
                </c:pt>
                <c:pt idx="4">
                  <c:v>3.2247227658186564</c:v>
                </c:pt>
                <c:pt idx="5">
                  <c:v>3.6806981519507187</c:v>
                </c:pt>
                <c:pt idx="6">
                  <c:v>3.8247767857142856</c:v>
                </c:pt>
                <c:pt idx="7">
                  <c:v>4.0993696700037079</c:v>
                </c:pt>
                <c:pt idx="8">
                  <c:v>4.6199021207177813</c:v>
                </c:pt>
              </c:numCache>
            </c:numRef>
          </c:val>
          <c:extLst>
            <c:ext xmlns:c16="http://schemas.microsoft.com/office/drawing/2014/chart" uri="{C3380CC4-5D6E-409C-BE32-E72D297353CC}">
              <c16:uniqueId val="{00000014-B82A-4CD7-9A8A-DA04B2E2D5D7}"/>
            </c:ext>
          </c:extLst>
        </c:ser>
        <c:dLbls>
          <c:dLblPos val="ctr"/>
          <c:showLegendKey val="0"/>
          <c:showVal val="1"/>
          <c:showCatName val="0"/>
          <c:showSerName val="0"/>
          <c:showPercent val="0"/>
          <c:showBubbleSize val="0"/>
        </c:dLbls>
        <c:gapWidth val="110"/>
        <c:axId val="574728255"/>
        <c:axId val="574724895"/>
      </c:barChart>
      <c:lineChart>
        <c:grouping val="standard"/>
        <c:varyColors val="0"/>
        <c:ser>
          <c:idx val="0"/>
          <c:order val="0"/>
          <c:tx>
            <c:strRef>
              <c:f>'fig5'!$T$22</c:f>
              <c:strCache>
                <c:ptCount val="1"/>
                <c:pt idx="0">
                  <c:v>Fill Rate</c:v>
                </c:pt>
              </c:strCache>
            </c:strRef>
          </c:tx>
          <c:spPr>
            <a:ln w="25400" cap="rnd">
              <a:noFill/>
              <a:round/>
            </a:ln>
            <a:effectLst/>
          </c:spPr>
          <c:marker>
            <c:symbol val="dash"/>
            <c:size val="17"/>
            <c:spPr>
              <a:solidFill>
                <a:srgbClr val="EE538B"/>
              </a:solidFill>
              <a:ln w="9525">
                <a:solidFill>
                  <a:srgbClr val="EE538B"/>
                </a:solidFill>
              </a:ln>
              <a:effectLst/>
            </c:spPr>
          </c:marker>
          <c:dLbls>
            <c:dLbl>
              <c:idx val="0"/>
              <c:layout>
                <c:manualLayout>
                  <c:x val="-5.3637105676203674E-2"/>
                  <c:y val="-4.7395150578614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82A-4CD7-9A8A-DA04B2E2D5D7}"/>
                </c:ext>
              </c:extLst>
            </c:dLbl>
            <c:dLbl>
              <c:idx val="1"/>
              <c:layout>
                <c:manualLayout>
                  <c:x val="-5.3637105676203695E-2"/>
                  <c:y val="-4.73951505786142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82A-4CD7-9A8A-DA04B2E2D5D7}"/>
                </c:ext>
              </c:extLst>
            </c:dLbl>
            <c:dLbl>
              <c:idx val="2"/>
              <c:layout>
                <c:manualLayout>
                  <c:x val="-5.1561771028491771E-2"/>
                  <c:y val="-4.73951505786142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B82A-4CD7-9A8A-DA04B2E2D5D7}"/>
                </c:ext>
              </c:extLst>
            </c:dLbl>
            <c:dLbl>
              <c:idx val="3"/>
              <c:layout>
                <c:manualLayout>
                  <c:x val="-5.3637105676203674E-2"/>
                  <c:y val="-4.73951505786142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82A-4CD7-9A8A-DA04B2E2D5D7}"/>
                </c:ext>
              </c:extLst>
            </c:dLbl>
            <c:dLbl>
              <c:idx val="4"/>
              <c:layout>
                <c:manualLayout>
                  <c:x val="-5.363710567620375E-2"/>
                  <c:y val="-5.29078297406870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B82A-4CD7-9A8A-DA04B2E2D5D7}"/>
                </c:ext>
              </c:extLst>
            </c:dLbl>
            <c:dLbl>
              <c:idx val="5"/>
              <c:layout>
                <c:manualLayout>
                  <c:x val="-5.3637105676203674E-2"/>
                  <c:y val="-4.73951505786142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B82A-4CD7-9A8A-DA04B2E2D5D7}"/>
                </c:ext>
              </c:extLst>
            </c:dLbl>
            <c:dLbl>
              <c:idx val="6"/>
              <c:layout>
                <c:manualLayout>
                  <c:x val="-5.3637105676203674E-2"/>
                  <c:y val="-4.73951505786142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B82A-4CD7-9A8A-DA04B2E2D5D7}"/>
                </c:ext>
              </c:extLst>
            </c:dLbl>
            <c:dLbl>
              <c:idx val="7"/>
              <c:layout>
                <c:manualLayout>
                  <c:x val="-5.3637105676203674E-2"/>
                  <c:y val="-5.29078297406870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B82A-4CD7-9A8A-DA04B2E2D5D7}"/>
                </c:ext>
              </c:extLst>
            </c:dLbl>
            <c:dLbl>
              <c:idx val="8"/>
              <c:layout>
                <c:manualLayout>
                  <c:x val="-5.3637105676203826E-2"/>
                  <c:y val="-4.73951505786142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B82A-4CD7-9A8A-DA04B2E2D5D7}"/>
                </c:ext>
              </c:extLst>
            </c:dLbl>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'fig5'!$S$23:$S$31</c:f>
              <c:numCache>
                <c:formatCode>mmm\-yy</c:formatCode>
                <c:ptCount val="9"/>
                <c:pt idx="0">
                  <c:v>44896</c:v>
                </c:pt>
                <c:pt idx="1">
                  <c:v>44986</c:v>
                </c:pt>
                <c:pt idx="2">
                  <c:v>45078</c:v>
                </c:pt>
                <c:pt idx="3">
                  <c:v>45170</c:v>
                </c:pt>
                <c:pt idx="4">
                  <c:v>45261</c:v>
                </c:pt>
                <c:pt idx="5">
                  <c:v>45352</c:v>
                </c:pt>
                <c:pt idx="6">
                  <c:v>45444</c:v>
                </c:pt>
                <c:pt idx="7">
                  <c:v>45536</c:v>
                </c:pt>
                <c:pt idx="8">
                  <c:v>45627</c:v>
                </c:pt>
              </c:numCache>
            </c:numRef>
          </c:cat>
          <c:val>
            <c:numRef>
              <c:f>'fig5'!$T$23:$T$31</c:f>
              <c:numCache>
                <c:formatCode>0.0%</c:formatCode>
                <c:ptCount val="9"/>
                <c:pt idx="0">
                  <c:v>0.64336112892880049</c:v>
                </c:pt>
                <c:pt idx="1">
                  <c:v>0.6520780856423174</c:v>
                </c:pt>
                <c:pt idx="2">
                  <c:v>0.66833698715941126</c:v>
                </c:pt>
                <c:pt idx="3">
                  <c:v>0.66958495460440981</c:v>
                </c:pt>
                <c:pt idx="4">
                  <c:v>0.69765166340508811</c:v>
                </c:pt>
                <c:pt idx="5">
                  <c:v>0.70978781656399725</c:v>
                </c:pt>
                <c:pt idx="6">
                  <c:v>0.73028273809523814</c:v>
                </c:pt>
                <c:pt idx="7">
                  <c:v>0.74675565443084913</c:v>
                </c:pt>
                <c:pt idx="8">
                  <c:v>0.74592169657422513</c:v>
                </c:pt>
              </c:numCache>
            </c:numRef>
          </c:val>
          <c:smooth val="0"/>
          <c:extLst>
            <c:ext xmlns:c16="http://schemas.microsoft.com/office/drawing/2014/chart" uri="{C3380CC4-5D6E-409C-BE32-E72D297353CC}">
              <c16:uniqueId val="{0000001E-B82A-4CD7-9A8A-DA04B2E2D5D7}"/>
            </c:ext>
          </c:extLst>
        </c:ser>
        <c:dLbls>
          <c:dLblPos val="ctr"/>
          <c:showLegendKey val="0"/>
          <c:showVal val="1"/>
          <c:showCatName val="0"/>
          <c:showSerName val="0"/>
          <c:showPercent val="0"/>
          <c:showBubbleSize val="0"/>
        </c:dLbls>
        <c:marker val="1"/>
        <c:smooth val="0"/>
        <c:axId val="685136015"/>
        <c:axId val="685136975"/>
        <c:extLst/>
      </c:lineChart>
      <c:catAx>
        <c:axId val="574728255"/>
        <c:scaling>
          <c:orientation val="minMax"/>
        </c:scaling>
        <c:delete val="0"/>
        <c:axPos val="b"/>
        <c:numFmt formatCode="mmm\-yy" sourceLinked="1"/>
        <c:majorTickMark val="none"/>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lang="en-US"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74724895"/>
        <c:crossesAt val="0"/>
        <c:auto val="0"/>
        <c:lblAlgn val="ctr"/>
        <c:lblOffset val="100"/>
        <c:tickLblSkip val="1"/>
        <c:noMultiLvlLbl val="0"/>
      </c:catAx>
      <c:valAx>
        <c:axId val="574724895"/>
        <c:scaling>
          <c:orientation val="minMax"/>
          <c:max val="50"/>
          <c:min val="0"/>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lang="en-US"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crossAx val="574728255"/>
        <c:crosses val="autoZero"/>
        <c:crossBetween val="between"/>
      </c:valAx>
      <c:valAx>
        <c:axId val="685136975"/>
        <c:scaling>
          <c:orientation val="minMax"/>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lang="en-US"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crossAx val="685136015"/>
        <c:crosses val="max"/>
        <c:crossBetween val="between"/>
      </c:valAx>
      <c:dateAx>
        <c:axId val="685136015"/>
        <c:scaling>
          <c:orientation val="minMax"/>
        </c:scaling>
        <c:delete val="1"/>
        <c:axPos val="b"/>
        <c:numFmt formatCode="mmm\-yy" sourceLinked="1"/>
        <c:majorTickMark val="out"/>
        <c:minorTickMark val="none"/>
        <c:tickLblPos val="nextTo"/>
        <c:crossAx val="685136975"/>
        <c:crosses val="autoZero"/>
        <c:auto val="1"/>
        <c:lblOffset val="100"/>
        <c:baseTimeUnit val="months"/>
      </c:dateAx>
      <c:spPr>
        <a:noFill/>
        <a:ln>
          <a:noFill/>
        </a:ln>
        <a:effectLst/>
      </c:spPr>
    </c:plotArea>
    <c:legend>
      <c:legendPos val="b"/>
      <c:layout>
        <c:manualLayout>
          <c:xMode val="edge"/>
          <c:yMode val="edge"/>
          <c:x val="4.7783977141361483E-2"/>
          <c:y val="0.87001920002140776"/>
          <c:w val="0.93988928392261228"/>
          <c:h val="0.1299807999785923"/>
        </c:manualLayout>
      </c:layout>
      <c:overlay val="0"/>
      <c:spPr>
        <a:noFill/>
        <a:ln>
          <a:noFill/>
        </a:ln>
        <a:effectLst/>
      </c:spPr>
      <c:txPr>
        <a:bodyPr rot="0" spcFirstLastPara="1" vertOverflow="ellipsis" vert="horz" wrap="square" anchor="ctr" anchorCtr="1"/>
        <a:lstStyle/>
        <a:p>
          <a:pPr>
            <a:defRPr lang="en-US"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lgn="ctr">
        <a:defRPr lang="en-US"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358842608666824E-2"/>
          <c:y val="6.0491514257928904E-2"/>
          <c:w val="0.85971749879526727"/>
          <c:h val="0.7008555272611956"/>
        </c:manualLayout>
      </c:layout>
      <c:barChart>
        <c:barDir val="col"/>
        <c:grouping val="clustered"/>
        <c:varyColors val="0"/>
        <c:ser>
          <c:idx val="1"/>
          <c:order val="1"/>
          <c:tx>
            <c:strRef>
              <c:f>'Figure 7'!$M$2</c:f>
              <c:strCache>
                <c:ptCount val="1"/>
                <c:pt idx="0">
                  <c:v>Vacancy rate, IVI (%)</c:v>
                </c:pt>
              </c:strCache>
            </c:strRef>
          </c:tx>
          <c:spPr>
            <a:solidFill>
              <a:srgbClr val="D5A3F9"/>
            </a:solidFill>
            <a:ln>
              <a:noFill/>
            </a:ln>
            <a:effectLst/>
          </c:spPr>
          <c:invertIfNegative val="0"/>
          <c:cat>
            <c:numRef>
              <c:f>'Figure 7'!$K$99:$K$230</c:f>
              <c:numCache>
                <c:formatCode>mmm\-yyyy</c:formatCode>
                <c:ptCount val="132"/>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pt idx="57">
                  <c:v>43374</c:v>
                </c:pt>
                <c:pt idx="58">
                  <c:v>43405</c:v>
                </c:pt>
                <c:pt idx="59">
                  <c:v>43435</c:v>
                </c:pt>
                <c:pt idx="60">
                  <c:v>43466</c:v>
                </c:pt>
                <c:pt idx="61">
                  <c:v>43497</c:v>
                </c:pt>
                <c:pt idx="62">
                  <c:v>43525</c:v>
                </c:pt>
                <c:pt idx="63">
                  <c:v>43556</c:v>
                </c:pt>
                <c:pt idx="64">
                  <c:v>43586</c:v>
                </c:pt>
                <c:pt idx="65">
                  <c:v>43617</c:v>
                </c:pt>
                <c:pt idx="66">
                  <c:v>43647</c:v>
                </c:pt>
                <c:pt idx="67">
                  <c:v>43678</c:v>
                </c:pt>
                <c:pt idx="68">
                  <c:v>43709</c:v>
                </c:pt>
                <c:pt idx="69">
                  <c:v>43739</c:v>
                </c:pt>
                <c:pt idx="70">
                  <c:v>43770</c:v>
                </c:pt>
                <c:pt idx="71">
                  <c:v>43800</c:v>
                </c:pt>
                <c:pt idx="72">
                  <c:v>43831</c:v>
                </c:pt>
                <c:pt idx="73">
                  <c:v>43862</c:v>
                </c:pt>
                <c:pt idx="74">
                  <c:v>43891</c:v>
                </c:pt>
                <c:pt idx="75">
                  <c:v>43922</c:v>
                </c:pt>
                <c:pt idx="76">
                  <c:v>43952</c:v>
                </c:pt>
                <c:pt idx="77">
                  <c:v>43983</c:v>
                </c:pt>
                <c:pt idx="78">
                  <c:v>44013</c:v>
                </c:pt>
                <c:pt idx="79">
                  <c:v>44044</c:v>
                </c:pt>
                <c:pt idx="80">
                  <c:v>44075</c:v>
                </c:pt>
                <c:pt idx="81">
                  <c:v>44105</c:v>
                </c:pt>
                <c:pt idx="82">
                  <c:v>44136</c:v>
                </c:pt>
                <c:pt idx="83">
                  <c:v>44166</c:v>
                </c:pt>
                <c:pt idx="84">
                  <c:v>44197</c:v>
                </c:pt>
                <c:pt idx="85">
                  <c:v>44228</c:v>
                </c:pt>
                <c:pt idx="86">
                  <c:v>44256</c:v>
                </c:pt>
                <c:pt idx="87">
                  <c:v>44287</c:v>
                </c:pt>
                <c:pt idx="88">
                  <c:v>44317</c:v>
                </c:pt>
                <c:pt idx="89">
                  <c:v>44348</c:v>
                </c:pt>
                <c:pt idx="90">
                  <c:v>44378</c:v>
                </c:pt>
                <c:pt idx="91">
                  <c:v>44409</c:v>
                </c:pt>
                <c:pt idx="92">
                  <c:v>44440</c:v>
                </c:pt>
                <c:pt idx="93">
                  <c:v>44470</c:v>
                </c:pt>
                <c:pt idx="94">
                  <c:v>44501</c:v>
                </c:pt>
                <c:pt idx="95">
                  <c:v>44531</c:v>
                </c:pt>
                <c:pt idx="96">
                  <c:v>44562</c:v>
                </c:pt>
                <c:pt idx="97">
                  <c:v>44593</c:v>
                </c:pt>
                <c:pt idx="98">
                  <c:v>44621</c:v>
                </c:pt>
                <c:pt idx="99">
                  <c:v>44652</c:v>
                </c:pt>
                <c:pt idx="100">
                  <c:v>44682</c:v>
                </c:pt>
                <c:pt idx="101">
                  <c:v>44713</c:v>
                </c:pt>
                <c:pt idx="102">
                  <c:v>44743</c:v>
                </c:pt>
                <c:pt idx="103">
                  <c:v>44774</c:v>
                </c:pt>
                <c:pt idx="104">
                  <c:v>44805</c:v>
                </c:pt>
                <c:pt idx="105">
                  <c:v>44835</c:v>
                </c:pt>
                <c:pt idx="106">
                  <c:v>44866</c:v>
                </c:pt>
                <c:pt idx="107">
                  <c:v>44896</c:v>
                </c:pt>
                <c:pt idx="108">
                  <c:v>44927</c:v>
                </c:pt>
                <c:pt idx="109">
                  <c:v>44958</c:v>
                </c:pt>
                <c:pt idx="110">
                  <c:v>44986</c:v>
                </c:pt>
                <c:pt idx="111">
                  <c:v>45017</c:v>
                </c:pt>
                <c:pt idx="112">
                  <c:v>45047</c:v>
                </c:pt>
                <c:pt idx="113">
                  <c:v>45078</c:v>
                </c:pt>
                <c:pt idx="114">
                  <c:v>45108</c:v>
                </c:pt>
                <c:pt idx="115">
                  <c:v>45139</c:v>
                </c:pt>
                <c:pt idx="116">
                  <c:v>45170</c:v>
                </c:pt>
                <c:pt idx="117">
                  <c:v>45200</c:v>
                </c:pt>
                <c:pt idx="118">
                  <c:v>45231</c:v>
                </c:pt>
                <c:pt idx="119">
                  <c:v>45261</c:v>
                </c:pt>
                <c:pt idx="120">
                  <c:v>45292</c:v>
                </c:pt>
                <c:pt idx="121">
                  <c:v>45323</c:v>
                </c:pt>
                <c:pt idx="122">
                  <c:v>45352</c:v>
                </c:pt>
                <c:pt idx="123">
                  <c:v>45383</c:v>
                </c:pt>
                <c:pt idx="124">
                  <c:v>45413</c:v>
                </c:pt>
                <c:pt idx="125">
                  <c:v>45444</c:v>
                </c:pt>
                <c:pt idx="126">
                  <c:v>45474</c:v>
                </c:pt>
                <c:pt idx="127">
                  <c:v>45505</c:v>
                </c:pt>
                <c:pt idx="128">
                  <c:v>45536</c:v>
                </c:pt>
                <c:pt idx="129">
                  <c:v>45566</c:v>
                </c:pt>
                <c:pt idx="130">
                  <c:v>45597</c:v>
                </c:pt>
                <c:pt idx="131">
                  <c:v>45627</c:v>
                </c:pt>
              </c:numCache>
            </c:numRef>
          </c:cat>
          <c:val>
            <c:numRef>
              <c:f>'Figure 7'!$M$99:$M$230</c:f>
              <c:numCache>
                <c:formatCode>0.0%</c:formatCode>
                <c:ptCount val="132"/>
                <c:pt idx="0">
                  <c:v>1.1799515682096931E-2</c:v>
                </c:pt>
                <c:pt idx="1">
                  <c:v>1.1871563739384481E-2</c:v>
                </c:pt>
                <c:pt idx="2">
                  <c:v>1.1935341596273304E-2</c:v>
                </c:pt>
                <c:pt idx="3">
                  <c:v>1.2091935787762962E-2</c:v>
                </c:pt>
                <c:pt idx="4">
                  <c:v>1.2297942891332774E-2</c:v>
                </c:pt>
                <c:pt idx="5">
                  <c:v>1.2459115945619629E-2</c:v>
                </c:pt>
                <c:pt idx="6">
                  <c:v>1.2569662366322631E-2</c:v>
                </c:pt>
                <c:pt idx="7">
                  <c:v>1.2633020297936125E-2</c:v>
                </c:pt>
                <c:pt idx="8">
                  <c:v>1.2592131202561432E-2</c:v>
                </c:pt>
                <c:pt idx="9">
                  <c:v>1.2527888087749947E-2</c:v>
                </c:pt>
                <c:pt idx="10">
                  <c:v>1.2473403150758827E-2</c:v>
                </c:pt>
                <c:pt idx="11">
                  <c:v>1.2416208414692667E-2</c:v>
                </c:pt>
                <c:pt idx="12">
                  <c:v>1.2468193563833618E-2</c:v>
                </c:pt>
                <c:pt idx="13">
                  <c:v>1.2555174414550929E-2</c:v>
                </c:pt>
                <c:pt idx="14">
                  <c:v>1.2573753744237299E-2</c:v>
                </c:pt>
                <c:pt idx="15">
                  <c:v>1.2491226868440427E-2</c:v>
                </c:pt>
                <c:pt idx="16">
                  <c:v>1.2347296293414505E-2</c:v>
                </c:pt>
                <c:pt idx="17">
                  <c:v>1.2303199249938257E-2</c:v>
                </c:pt>
                <c:pt idx="18">
                  <c:v>1.2307928545330336E-2</c:v>
                </c:pt>
                <c:pt idx="19">
                  <c:v>1.2518420024397682E-2</c:v>
                </c:pt>
                <c:pt idx="20">
                  <c:v>1.2706808991268349E-2</c:v>
                </c:pt>
                <c:pt idx="21">
                  <c:v>1.2839022632047357E-2</c:v>
                </c:pt>
                <c:pt idx="22">
                  <c:v>1.2929594551067281E-2</c:v>
                </c:pt>
                <c:pt idx="23">
                  <c:v>1.2955459733735632E-2</c:v>
                </c:pt>
                <c:pt idx="24">
                  <c:v>1.2855419436368396E-2</c:v>
                </c:pt>
                <c:pt idx="25">
                  <c:v>1.287070765479268E-2</c:v>
                </c:pt>
                <c:pt idx="26">
                  <c:v>1.2895869107142325E-2</c:v>
                </c:pt>
                <c:pt idx="27">
                  <c:v>1.2981439415486453E-2</c:v>
                </c:pt>
                <c:pt idx="28">
                  <c:v>1.3054687943027922E-2</c:v>
                </c:pt>
                <c:pt idx="29">
                  <c:v>1.3053041854092775E-2</c:v>
                </c:pt>
                <c:pt idx="30">
                  <c:v>1.2985516187076863E-2</c:v>
                </c:pt>
                <c:pt idx="31">
                  <c:v>1.2979683931080338E-2</c:v>
                </c:pt>
                <c:pt idx="32">
                  <c:v>1.292981986259728E-2</c:v>
                </c:pt>
                <c:pt idx="33">
                  <c:v>1.286017002786749E-2</c:v>
                </c:pt>
                <c:pt idx="34">
                  <c:v>1.2776096989848128E-2</c:v>
                </c:pt>
                <c:pt idx="35">
                  <c:v>1.2742342500973667E-2</c:v>
                </c:pt>
                <c:pt idx="36">
                  <c:v>1.2784762037753156E-2</c:v>
                </c:pt>
                <c:pt idx="37">
                  <c:v>1.2890089573716391E-2</c:v>
                </c:pt>
                <c:pt idx="38">
                  <c:v>1.301967481877358E-2</c:v>
                </c:pt>
                <c:pt idx="39">
                  <c:v>1.3245539866884912E-2</c:v>
                </c:pt>
                <c:pt idx="40">
                  <c:v>1.3470579043664478E-2</c:v>
                </c:pt>
                <c:pt idx="41">
                  <c:v>1.358663547492996E-2</c:v>
                </c:pt>
                <c:pt idx="42">
                  <c:v>1.3612200104106402E-2</c:v>
                </c:pt>
                <c:pt idx="43">
                  <c:v>1.3568789445531004E-2</c:v>
                </c:pt>
                <c:pt idx="44">
                  <c:v>1.3530341068937074E-2</c:v>
                </c:pt>
                <c:pt idx="45">
                  <c:v>1.3532119939788888E-2</c:v>
                </c:pt>
                <c:pt idx="46">
                  <c:v>1.3468915052725636E-2</c:v>
                </c:pt>
                <c:pt idx="47">
                  <c:v>1.346921838804333E-2</c:v>
                </c:pt>
                <c:pt idx="48">
                  <c:v>1.3599547640651976E-2</c:v>
                </c:pt>
                <c:pt idx="49">
                  <c:v>1.3888385353314865E-2</c:v>
                </c:pt>
                <c:pt idx="50">
                  <c:v>1.4120976785501307E-2</c:v>
                </c:pt>
                <c:pt idx="51">
                  <c:v>1.4196546186952468E-2</c:v>
                </c:pt>
                <c:pt idx="52">
                  <c:v>1.417854860242365E-2</c:v>
                </c:pt>
                <c:pt idx="53">
                  <c:v>1.4021469038592461E-2</c:v>
                </c:pt>
                <c:pt idx="54">
                  <c:v>1.3933858048945846E-2</c:v>
                </c:pt>
                <c:pt idx="55">
                  <c:v>1.3751234949461589E-2</c:v>
                </c:pt>
                <c:pt idx="56">
                  <c:v>1.3587390970032672E-2</c:v>
                </c:pt>
                <c:pt idx="57">
                  <c:v>1.3424779813144862E-2</c:v>
                </c:pt>
                <c:pt idx="58">
                  <c:v>1.339853266784794E-2</c:v>
                </c:pt>
                <c:pt idx="59">
                  <c:v>1.3500494821047591E-2</c:v>
                </c:pt>
                <c:pt idx="60">
                  <c:v>1.3483970865971882E-2</c:v>
                </c:pt>
                <c:pt idx="61">
                  <c:v>1.3416960164903896E-2</c:v>
                </c:pt>
                <c:pt idx="62">
                  <c:v>1.3218740073807413E-2</c:v>
                </c:pt>
                <c:pt idx="63">
                  <c:v>1.3025260282250877E-2</c:v>
                </c:pt>
                <c:pt idx="64">
                  <c:v>1.2941262536789894E-2</c:v>
                </c:pt>
                <c:pt idx="65">
                  <c:v>1.28803252124398E-2</c:v>
                </c:pt>
                <c:pt idx="66">
                  <c:v>1.2768731355370766E-2</c:v>
                </c:pt>
                <c:pt idx="67">
                  <c:v>1.2527677206847491E-2</c:v>
                </c:pt>
                <c:pt idx="68">
                  <c:v>1.2282063564960673E-2</c:v>
                </c:pt>
                <c:pt idx="69">
                  <c:v>1.2056770456449333E-2</c:v>
                </c:pt>
                <c:pt idx="70">
                  <c:v>1.1727005371892968E-2</c:v>
                </c:pt>
                <c:pt idx="71">
                  <c:v>1.1237992064242414E-2</c:v>
                </c:pt>
                <c:pt idx="72">
                  <c:v>1.0506743087343317E-2</c:v>
                </c:pt>
                <c:pt idx="73">
                  <c:v>9.6574534568986854E-3</c:v>
                </c:pt>
                <c:pt idx="74">
                  <c:v>8.7982512547034267E-3</c:v>
                </c:pt>
                <c:pt idx="75">
                  <c:v>8.5737287212464212E-3</c:v>
                </c:pt>
                <c:pt idx="76">
                  <c:v>8.6876265135520728E-3</c:v>
                </c:pt>
                <c:pt idx="77">
                  <c:v>8.8801381545843688E-3</c:v>
                </c:pt>
                <c:pt idx="78">
                  <c:v>9.4561540714636627E-3</c:v>
                </c:pt>
                <c:pt idx="79">
                  <c:v>1.0222731088168265E-2</c:v>
                </c:pt>
                <c:pt idx="80">
                  <c:v>1.1136935803053589E-2</c:v>
                </c:pt>
                <c:pt idx="81">
                  <c:v>1.1910387274393025E-2</c:v>
                </c:pt>
                <c:pt idx="82">
                  <c:v>1.2639132900824569E-2</c:v>
                </c:pt>
                <c:pt idx="83">
                  <c:v>1.3363664821581E-2</c:v>
                </c:pt>
                <c:pt idx="84">
                  <c:v>1.418309174027747E-2</c:v>
                </c:pt>
                <c:pt idx="85">
                  <c:v>1.5169387920508794E-2</c:v>
                </c:pt>
                <c:pt idx="86">
                  <c:v>1.6076048466985442E-2</c:v>
                </c:pt>
                <c:pt idx="87">
                  <c:v>1.6810621236790776E-2</c:v>
                </c:pt>
                <c:pt idx="88">
                  <c:v>1.7027966372888535E-2</c:v>
                </c:pt>
                <c:pt idx="89">
                  <c:v>1.6923226988835284E-2</c:v>
                </c:pt>
                <c:pt idx="90">
                  <c:v>1.6883155782164649E-2</c:v>
                </c:pt>
                <c:pt idx="91">
                  <c:v>1.730880505386273E-2</c:v>
                </c:pt>
                <c:pt idx="92">
                  <c:v>1.7944763365446759E-2</c:v>
                </c:pt>
                <c:pt idx="93">
                  <c:v>1.8515841090445233E-2</c:v>
                </c:pt>
                <c:pt idx="94">
                  <c:v>1.8663033035626494E-2</c:v>
                </c:pt>
                <c:pt idx="95">
                  <c:v>1.9083832006515478E-2</c:v>
                </c:pt>
                <c:pt idx="96">
                  <c:v>1.9440066181668395E-2</c:v>
                </c:pt>
                <c:pt idx="97">
                  <c:v>1.9802198726233587E-2</c:v>
                </c:pt>
                <c:pt idx="98">
                  <c:v>2.0350224089253254E-2</c:v>
                </c:pt>
                <c:pt idx="99">
                  <c:v>2.0830650809945409E-2</c:v>
                </c:pt>
                <c:pt idx="100">
                  <c:v>2.1160184057437696E-2</c:v>
                </c:pt>
                <c:pt idx="101">
                  <c:v>2.1224292693711698E-2</c:v>
                </c:pt>
                <c:pt idx="102">
                  <c:v>2.1148457433108347E-2</c:v>
                </c:pt>
                <c:pt idx="103">
                  <c:v>2.0677074719445066E-2</c:v>
                </c:pt>
                <c:pt idx="104">
                  <c:v>2.0205490042415807E-2</c:v>
                </c:pt>
                <c:pt idx="105">
                  <c:v>1.9812109309675138E-2</c:v>
                </c:pt>
                <c:pt idx="106">
                  <c:v>1.9522404224639266E-2</c:v>
                </c:pt>
                <c:pt idx="107">
                  <c:v>1.9489842601719841E-2</c:v>
                </c:pt>
                <c:pt idx="108">
                  <c:v>1.9545164764748966E-2</c:v>
                </c:pt>
                <c:pt idx="109">
                  <c:v>1.9680299289392047E-2</c:v>
                </c:pt>
                <c:pt idx="110">
                  <c:v>1.968908892660769E-2</c:v>
                </c:pt>
                <c:pt idx="111">
                  <c:v>1.9701453346049318E-2</c:v>
                </c:pt>
                <c:pt idx="112">
                  <c:v>1.9557698744024434E-2</c:v>
                </c:pt>
                <c:pt idx="113">
                  <c:v>1.9426037670292624E-2</c:v>
                </c:pt>
                <c:pt idx="114">
                  <c:v>1.9189845018416345E-2</c:v>
                </c:pt>
                <c:pt idx="115">
                  <c:v>1.8742110561181139E-2</c:v>
                </c:pt>
                <c:pt idx="116">
                  <c:v>1.834496515395994E-2</c:v>
                </c:pt>
                <c:pt idx="117">
                  <c:v>1.7851539564428805E-2</c:v>
                </c:pt>
                <c:pt idx="118">
                  <c:v>1.7511742144866713E-2</c:v>
                </c:pt>
                <c:pt idx="119">
                  <c:v>1.7411327951354572E-2</c:v>
                </c:pt>
                <c:pt idx="120">
                  <c:v>1.7184467694549111E-2</c:v>
                </c:pt>
                <c:pt idx="121">
                  <c:v>1.6852615993798267E-2</c:v>
                </c:pt>
                <c:pt idx="122">
                  <c:v>1.6551452910638198E-2</c:v>
                </c:pt>
                <c:pt idx="123">
                  <c:v>1.6155945215783892E-2</c:v>
                </c:pt>
                <c:pt idx="124">
                  <c:v>1.5757316531395508E-2</c:v>
                </c:pt>
                <c:pt idx="125">
                  <c:v>1.5355304135897309E-2</c:v>
                </c:pt>
                <c:pt idx="126">
                  <c:v>1.5088149770385841E-2</c:v>
                </c:pt>
                <c:pt idx="127">
                  <c:v>1.5037310768361966E-2</c:v>
                </c:pt>
                <c:pt idx="128">
                  <c:v>1.4990998022819895E-2</c:v>
                </c:pt>
                <c:pt idx="129">
                  <c:v>1.4856992678342965E-2</c:v>
                </c:pt>
                <c:pt idx="130">
                  <c:v>1.4587231700364987E-2</c:v>
                </c:pt>
                <c:pt idx="131">
                  <c:v>1.4235683776253278E-2</c:v>
                </c:pt>
              </c:numCache>
            </c:numRef>
          </c:val>
          <c:extLst>
            <c:ext xmlns:c16="http://schemas.microsoft.com/office/drawing/2014/chart" uri="{C3380CC4-5D6E-409C-BE32-E72D297353CC}">
              <c16:uniqueId val="{00000000-FADB-41D0-B42F-349FBCDDADF7}"/>
            </c:ext>
          </c:extLst>
        </c:ser>
        <c:dLbls>
          <c:showLegendKey val="0"/>
          <c:showVal val="0"/>
          <c:showCatName val="0"/>
          <c:showSerName val="0"/>
          <c:showPercent val="0"/>
          <c:showBubbleSize val="0"/>
        </c:dLbls>
        <c:gapWidth val="0"/>
        <c:overlap val="18"/>
        <c:axId val="1220623743"/>
        <c:axId val="1220626143"/>
      </c:barChart>
      <c:lineChart>
        <c:grouping val="standard"/>
        <c:varyColors val="0"/>
        <c:ser>
          <c:idx val="0"/>
          <c:order val="0"/>
          <c:tx>
            <c:strRef>
              <c:f>'Figure 7'!$L$2</c:f>
              <c:strCache>
                <c:ptCount val="1"/>
                <c:pt idx="0">
                  <c:v>Unemployment rate (%)</c:v>
                </c:pt>
              </c:strCache>
            </c:strRef>
          </c:tx>
          <c:spPr>
            <a:ln w="22225" cap="rnd">
              <a:solidFill>
                <a:srgbClr val="009D9A"/>
              </a:solidFill>
              <a:round/>
            </a:ln>
            <a:effectLst/>
          </c:spPr>
          <c:marker>
            <c:symbol val="none"/>
          </c:marker>
          <c:cat>
            <c:numRef>
              <c:f>'Figure 7'!$K$99:$K$230</c:f>
              <c:numCache>
                <c:formatCode>mmm\-yyyy</c:formatCode>
                <c:ptCount val="132"/>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pt idx="57">
                  <c:v>43374</c:v>
                </c:pt>
                <c:pt idx="58">
                  <c:v>43405</c:v>
                </c:pt>
                <c:pt idx="59">
                  <c:v>43435</c:v>
                </c:pt>
                <c:pt idx="60">
                  <c:v>43466</c:v>
                </c:pt>
                <c:pt idx="61">
                  <c:v>43497</c:v>
                </c:pt>
                <c:pt idx="62">
                  <c:v>43525</c:v>
                </c:pt>
                <c:pt idx="63">
                  <c:v>43556</c:v>
                </c:pt>
                <c:pt idx="64">
                  <c:v>43586</c:v>
                </c:pt>
                <c:pt idx="65">
                  <c:v>43617</c:v>
                </c:pt>
                <c:pt idx="66">
                  <c:v>43647</c:v>
                </c:pt>
                <c:pt idx="67">
                  <c:v>43678</c:v>
                </c:pt>
                <c:pt idx="68">
                  <c:v>43709</c:v>
                </c:pt>
                <c:pt idx="69">
                  <c:v>43739</c:v>
                </c:pt>
                <c:pt idx="70">
                  <c:v>43770</c:v>
                </c:pt>
                <c:pt idx="71">
                  <c:v>43800</c:v>
                </c:pt>
                <c:pt idx="72">
                  <c:v>43831</c:v>
                </c:pt>
                <c:pt idx="73">
                  <c:v>43862</c:v>
                </c:pt>
                <c:pt idx="74">
                  <c:v>43891</c:v>
                </c:pt>
                <c:pt idx="75">
                  <c:v>43922</c:v>
                </c:pt>
                <c:pt idx="76">
                  <c:v>43952</c:v>
                </c:pt>
                <c:pt idx="77">
                  <c:v>43983</c:v>
                </c:pt>
                <c:pt idx="78">
                  <c:v>44013</c:v>
                </c:pt>
                <c:pt idx="79">
                  <c:v>44044</c:v>
                </c:pt>
                <c:pt idx="80">
                  <c:v>44075</c:v>
                </c:pt>
                <c:pt idx="81">
                  <c:v>44105</c:v>
                </c:pt>
                <c:pt idx="82">
                  <c:v>44136</c:v>
                </c:pt>
                <c:pt idx="83">
                  <c:v>44166</c:v>
                </c:pt>
                <c:pt idx="84">
                  <c:v>44197</c:v>
                </c:pt>
                <c:pt idx="85">
                  <c:v>44228</c:v>
                </c:pt>
                <c:pt idx="86">
                  <c:v>44256</c:v>
                </c:pt>
                <c:pt idx="87">
                  <c:v>44287</c:v>
                </c:pt>
                <c:pt idx="88">
                  <c:v>44317</c:v>
                </c:pt>
                <c:pt idx="89">
                  <c:v>44348</c:v>
                </c:pt>
                <c:pt idx="90">
                  <c:v>44378</c:v>
                </c:pt>
                <c:pt idx="91">
                  <c:v>44409</c:v>
                </c:pt>
                <c:pt idx="92">
                  <c:v>44440</c:v>
                </c:pt>
                <c:pt idx="93">
                  <c:v>44470</c:v>
                </c:pt>
                <c:pt idx="94">
                  <c:v>44501</c:v>
                </c:pt>
                <c:pt idx="95">
                  <c:v>44531</c:v>
                </c:pt>
                <c:pt idx="96">
                  <c:v>44562</c:v>
                </c:pt>
                <c:pt idx="97">
                  <c:v>44593</c:v>
                </c:pt>
                <c:pt idx="98">
                  <c:v>44621</c:v>
                </c:pt>
                <c:pt idx="99">
                  <c:v>44652</c:v>
                </c:pt>
                <c:pt idx="100">
                  <c:v>44682</c:v>
                </c:pt>
                <c:pt idx="101">
                  <c:v>44713</c:v>
                </c:pt>
                <c:pt idx="102">
                  <c:v>44743</c:v>
                </c:pt>
                <c:pt idx="103">
                  <c:v>44774</c:v>
                </c:pt>
                <c:pt idx="104">
                  <c:v>44805</c:v>
                </c:pt>
                <c:pt idx="105">
                  <c:v>44835</c:v>
                </c:pt>
                <c:pt idx="106">
                  <c:v>44866</c:v>
                </c:pt>
                <c:pt idx="107">
                  <c:v>44896</c:v>
                </c:pt>
                <c:pt idx="108">
                  <c:v>44927</c:v>
                </c:pt>
                <c:pt idx="109">
                  <c:v>44958</c:v>
                </c:pt>
                <c:pt idx="110">
                  <c:v>44986</c:v>
                </c:pt>
                <c:pt idx="111">
                  <c:v>45017</c:v>
                </c:pt>
                <c:pt idx="112">
                  <c:v>45047</c:v>
                </c:pt>
                <c:pt idx="113">
                  <c:v>45078</c:v>
                </c:pt>
                <c:pt idx="114">
                  <c:v>45108</c:v>
                </c:pt>
                <c:pt idx="115">
                  <c:v>45139</c:v>
                </c:pt>
                <c:pt idx="116">
                  <c:v>45170</c:v>
                </c:pt>
                <c:pt idx="117">
                  <c:v>45200</c:v>
                </c:pt>
                <c:pt idx="118">
                  <c:v>45231</c:v>
                </c:pt>
                <c:pt idx="119">
                  <c:v>45261</c:v>
                </c:pt>
                <c:pt idx="120">
                  <c:v>45292</c:v>
                </c:pt>
                <c:pt idx="121">
                  <c:v>45323</c:v>
                </c:pt>
                <c:pt idx="122">
                  <c:v>45352</c:v>
                </c:pt>
                <c:pt idx="123">
                  <c:v>45383</c:v>
                </c:pt>
                <c:pt idx="124">
                  <c:v>45413</c:v>
                </c:pt>
                <c:pt idx="125">
                  <c:v>45444</c:v>
                </c:pt>
                <c:pt idx="126">
                  <c:v>45474</c:v>
                </c:pt>
                <c:pt idx="127">
                  <c:v>45505</c:v>
                </c:pt>
                <c:pt idx="128">
                  <c:v>45536</c:v>
                </c:pt>
                <c:pt idx="129">
                  <c:v>45566</c:v>
                </c:pt>
                <c:pt idx="130">
                  <c:v>45597</c:v>
                </c:pt>
                <c:pt idx="131">
                  <c:v>45627</c:v>
                </c:pt>
              </c:numCache>
            </c:numRef>
          </c:cat>
          <c:val>
            <c:numRef>
              <c:f>'Figure 7'!$L$99:$L$230</c:f>
              <c:numCache>
                <c:formatCode>0.0%</c:formatCode>
                <c:ptCount val="132"/>
                <c:pt idx="0">
                  <c:v>5.9000000000000004E-2</c:v>
                </c:pt>
                <c:pt idx="1">
                  <c:v>5.9000000000000004E-2</c:v>
                </c:pt>
                <c:pt idx="2">
                  <c:v>5.9000000000000004E-2</c:v>
                </c:pt>
                <c:pt idx="3">
                  <c:v>5.7999999999999996E-2</c:v>
                </c:pt>
                <c:pt idx="4">
                  <c:v>5.9000000000000004E-2</c:v>
                </c:pt>
                <c:pt idx="5">
                  <c:v>0.06</c:v>
                </c:pt>
                <c:pt idx="6">
                  <c:v>6.2E-2</c:v>
                </c:pt>
                <c:pt idx="7">
                  <c:v>6.0999999999999999E-2</c:v>
                </c:pt>
                <c:pt idx="8">
                  <c:v>6.2E-2</c:v>
                </c:pt>
                <c:pt idx="9">
                  <c:v>6.4000000000000001E-2</c:v>
                </c:pt>
                <c:pt idx="10">
                  <c:v>6.3E-2</c:v>
                </c:pt>
                <c:pt idx="11">
                  <c:v>6.0999999999999999E-2</c:v>
                </c:pt>
                <c:pt idx="12">
                  <c:v>6.3E-2</c:v>
                </c:pt>
                <c:pt idx="13">
                  <c:v>6.2E-2</c:v>
                </c:pt>
                <c:pt idx="14">
                  <c:v>6.0999999999999999E-2</c:v>
                </c:pt>
                <c:pt idx="15">
                  <c:v>6.0999999999999999E-2</c:v>
                </c:pt>
                <c:pt idx="16">
                  <c:v>5.9000000000000004E-2</c:v>
                </c:pt>
                <c:pt idx="17">
                  <c:v>0.06</c:v>
                </c:pt>
                <c:pt idx="18">
                  <c:v>6.3E-2</c:v>
                </c:pt>
                <c:pt idx="19">
                  <c:v>6.0999999999999999E-2</c:v>
                </c:pt>
                <c:pt idx="20">
                  <c:v>6.2E-2</c:v>
                </c:pt>
                <c:pt idx="21">
                  <c:v>5.9000000000000004E-2</c:v>
                </c:pt>
                <c:pt idx="22">
                  <c:v>5.7999999999999996E-2</c:v>
                </c:pt>
                <c:pt idx="23">
                  <c:v>5.7000000000000002E-2</c:v>
                </c:pt>
                <c:pt idx="24">
                  <c:v>0.06</c:v>
                </c:pt>
                <c:pt idx="25">
                  <c:v>5.7000000000000002E-2</c:v>
                </c:pt>
                <c:pt idx="26">
                  <c:v>5.7000000000000002E-2</c:v>
                </c:pt>
                <c:pt idx="27">
                  <c:v>5.5999999999999994E-2</c:v>
                </c:pt>
                <c:pt idx="28">
                  <c:v>5.7000000000000002E-2</c:v>
                </c:pt>
                <c:pt idx="29">
                  <c:v>5.7000000000000002E-2</c:v>
                </c:pt>
                <c:pt idx="30">
                  <c:v>5.7000000000000002E-2</c:v>
                </c:pt>
                <c:pt idx="31">
                  <c:v>5.5999999999999994E-2</c:v>
                </c:pt>
                <c:pt idx="32">
                  <c:v>5.7000000000000002E-2</c:v>
                </c:pt>
                <c:pt idx="33">
                  <c:v>5.5999999999999994E-2</c:v>
                </c:pt>
                <c:pt idx="34">
                  <c:v>5.7999999999999996E-2</c:v>
                </c:pt>
                <c:pt idx="35">
                  <c:v>5.7999999999999996E-2</c:v>
                </c:pt>
                <c:pt idx="36">
                  <c:v>5.7000000000000002E-2</c:v>
                </c:pt>
                <c:pt idx="37">
                  <c:v>5.9000000000000004E-2</c:v>
                </c:pt>
                <c:pt idx="38">
                  <c:v>5.7999999999999996E-2</c:v>
                </c:pt>
                <c:pt idx="39">
                  <c:v>5.5999999999999994E-2</c:v>
                </c:pt>
                <c:pt idx="40">
                  <c:v>5.5E-2</c:v>
                </c:pt>
                <c:pt idx="41">
                  <c:v>5.5999999999999994E-2</c:v>
                </c:pt>
                <c:pt idx="42">
                  <c:v>5.5999999999999994E-2</c:v>
                </c:pt>
                <c:pt idx="43">
                  <c:v>5.5E-2</c:v>
                </c:pt>
                <c:pt idx="44">
                  <c:v>5.5E-2</c:v>
                </c:pt>
                <c:pt idx="45">
                  <c:v>5.4000000000000006E-2</c:v>
                </c:pt>
                <c:pt idx="46">
                  <c:v>5.5E-2</c:v>
                </c:pt>
                <c:pt idx="47">
                  <c:v>5.5999999999999994E-2</c:v>
                </c:pt>
                <c:pt idx="48">
                  <c:v>5.5E-2</c:v>
                </c:pt>
                <c:pt idx="49">
                  <c:v>5.5999999999999994E-2</c:v>
                </c:pt>
                <c:pt idx="50">
                  <c:v>5.5E-2</c:v>
                </c:pt>
                <c:pt idx="51">
                  <c:v>5.5E-2</c:v>
                </c:pt>
                <c:pt idx="52">
                  <c:v>5.4000000000000006E-2</c:v>
                </c:pt>
                <c:pt idx="53">
                  <c:v>5.2999999999999999E-2</c:v>
                </c:pt>
                <c:pt idx="54">
                  <c:v>5.2999999999999999E-2</c:v>
                </c:pt>
                <c:pt idx="55">
                  <c:v>5.2999999999999999E-2</c:v>
                </c:pt>
                <c:pt idx="56">
                  <c:v>0.05</c:v>
                </c:pt>
                <c:pt idx="57">
                  <c:v>0.05</c:v>
                </c:pt>
                <c:pt idx="58">
                  <c:v>5.0999999999999997E-2</c:v>
                </c:pt>
                <c:pt idx="59">
                  <c:v>0.05</c:v>
                </c:pt>
                <c:pt idx="60">
                  <c:v>0.05</c:v>
                </c:pt>
                <c:pt idx="61">
                  <c:v>0.05</c:v>
                </c:pt>
                <c:pt idx="62">
                  <c:v>5.0999999999999997E-2</c:v>
                </c:pt>
                <c:pt idx="63">
                  <c:v>5.2000000000000005E-2</c:v>
                </c:pt>
                <c:pt idx="64">
                  <c:v>5.2000000000000005E-2</c:v>
                </c:pt>
                <c:pt idx="65">
                  <c:v>5.2999999999999999E-2</c:v>
                </c:pt>
                <c:pt idx="66">
                  <c:v>5.2999999999999999E-2</c:v>
                </c:pt>
                <c:pt idx="67">
                  <c:v>5.2999999999999999E-2</c:v>
                </c:pt>
                <c:pt idx="68">
                  <c:v>5.2000000000000005E-2</c:v>
                </c:pt>
                <c:pt idx="69">
                  <c:v>5.2999999999999999E-2</c:v>
                </c:pt>
                <c:pt idx="70">
                  <c:v>5.2000000000000005E-2</c:v>
                </c:pt>
                <c:pt idx="71">
                  <c:v>0.05</c:v>
                </c:pt>
                <c:pt idx="72">
                  <c:v>5.2000000000000005E-2</c:v>
                </c:pt>
                <c:pt idx="73">
                  <c:v>5.0999999999999997E-2</c:v>
                </c:pt>
                <c:pt idx="74">
                  <c:v>5.2000000000000005E-2</c:v>
                </c:pt>
                <c:pt idx="75">
                  <c:v>6.3E-2</c:v>
                </c:pt>
                <c:pt idx="76">
                  <c:v>7.0000000000000007E-2</c:v>
                </c:pt>
                <c:pt idx="77">
                  <c:v>7.400000000000001E-2</c:v>
                </c:pt>
                <c:pt idx="78">
                  <c:v>7.4999999999999997E-2</c:v>
                </c:pt>
                <c:pt idx="79">
                  <c:v>6.8000000000000005E-2</c:v>
                </c:pt>
                <c:pt idx="80">
                  <c:v>6.9000000000000006E-2</c:v>
                </c:pt>
                <c:pt idx="81">
                  <c:v>7.0000000000000007E-2</c:v>
                </c:pt>
                <c:pt idx="82">
                  <c:v>6.8000000000000005E-2</c:v>
                </c:pt>
                <c:pt idx="83">
                  <c:v>6.5000000000000002E-2</c:v>
                </c:pt>
                <c:pt idx="84">
                  <c:v>6.3E-2</c:v>
                </c:pt>
                <c:pt idx="85">
                  <c:v>5.7999999999999996E-2</c:v>
                </c:pt>
                <c:pt idx="86">
                  <c:v>5.7000000000000002E-2</c:v>
                </c:pt>
                <c:pt idx="87">
                  <c:v>5.5E-2</c:v>
                </c:pt>
                <c:pt idx="88">
                  <c:v>5.0999999999999997E-2</c:v>
                </c:pt>
                <c:pt idx="89">
                  <c:v>0.05</c:v>
                </c:pt>
                <c:pt idx="90">
                  <c:v>4.8000000000000001E-2</c:v>
                </c:pt>
                <c:pt idx="91">
                  <c:v>4.5999999999999999E-2</c:v>
                </c:pt>
                <c:pt idx="92">
                  <c:v>4.7E-2</c:v>
                </c:pt>
                <c:pt idx="93">
                  <c:v>5.2999999999999999E-2</c:v>
                </c:pt>
                <c:pt idx="94">
                  <c:v>4.5999999999999999E-2</c:v>
                </c:pt>
                <c:pt idx="95">
                  <c:v>4.2000000000000003E-2</c:v>
                </c:pt>
                <c:pt idx="96">
                  <c:v>4.2000000000000003E-2</c:v>
                </c:pt>
                <c:pt idx="97">
                  <c:v>0.04</c:v>
                </c:pt>
                <c:pt idx="98">
                  <c:v>0.04</c:v>
                </c:pt>
                <c:pt idx="99">
                  <c:v>3.9E-2</c:v>
                </c:pt>
                <c:pt idx="100">
                  <c:v>3.9E-2</c:v>
                </c:pt>
                <c:pt idx="101">
                  <c:v>3.6000000000000004E-2</c:v>
                </c:pt>
                <c:pt idx="102">
                  <c:v>3.5000000000000003E-2</c:v>
                </c:pt>
                <c:pt idx="103">
                  <c:v>3.5000000000000003E-2</c:v>
                </c:pt>
                <c:pt idx="104">
                  <c:v>3.6000000000000004E-2</c:v>
                </c:pt>
                <c:pt idx="105">
                  <c:v>3.5000000000000003E-2</c:v>
                </c:pt>
                <c:pt idx="106">
                  <c:v>3.5000000000000003E-2</c:v>
                </c:pt>
                <c:pt idx="107">
                  <c:v>3.5000000000000003E-2</c:v>
                </c:pt>
                <c:pt idx="108">
                  <c:v>3.7000000000000005E-2</c:v>
                </c:pt>
                <c:pt idx="109">
                  <c:v>3.6000000000000004E-2</c:v>
                </c:pt>
                <c:pt idx="110">
                  <c:v>3.6000000000000004E-2</c:v>
                </c:pt>
                <c:pt idx="111">
                  <c:v>3.7000000000000005E-2</c:v>
                </c:pt>
                <c:pt idx="112">
                  <c:v>3.6000000000000004E-2</c:v>
                </c:pt>
                <c:pt idx="113">
                  <c:v>3.5000000000000003E-2</c:v>
                </c:pt>
                <c:pt idx="114">
                  <c:v>3.7000000000000005E-2</c:v>
                </c:pt>
                <c:pt idx="115">
                  <c:v>3.7000000000000005E-2</c:v>
                </c:pt>
                <c:pt idx="116">
                  <c:v>3.6000000000000004E-2</c:v>
                </c:pt>
                <c:pt idx="117">
                  <c:v>3.7999999999999999E-2</c:v>
                </c:pt>
                <c:pt idx="118">
                  <c:v>3.9E-2</c:v>
                </c:pt>
                <c:pt idx="119">
                  <c:v>3.9E-2</c:v>
                </c:pt>
                <c:pt idx="120">
                  <c:v>4.0999999999999995E-2</c:v>
                </c:pt>
                <c:pt idx="121">
                  <c:v>3.7000000000000005E-2</c:v>
                </c:pt>
                <c:pt idx="122">
                  <c:v>3.9E-2</c:v>
                </c:pt>
                <c:pt idx="123">
                  <c:v>4.0999999999999995E-2</c:v>
                </c:pt>
                <c:pt idx="124">
                  <c:v>0.04</c:v>
                </c:pt>
                <c:pt idx="125">
                  <c:v>4.0999999999999995E-2</c:v>
                </c:pt>
                <c:pt idx="126">
                  <c:v>4.2000000000000003E-2</c:v>
                </c:pt>
                <c:pt idx="127">
                  <c:v>4.0999999999999995E-2</c:v>
                </c:pt>
                <c:pt idx="128">
                  <c:v>4.0999999999999995E-2</c:v>
                </c:pt>
                <c:pt idx="129">
                  <c:v>4.0999999999999995E-2</c:v>
                </c:pt>
                <c:pt idx="130">
                  <c:v>3.9E-2</c:v>
                </c:pt>
                <c:pt idx="131">
                  <c:v>0.04</c:v>
                </c:pt>
              </c:numCache>
            </c:numRef>
          </c:val>
          <c:smooth val="0"/>
          <c:extLst>
            <c:ext xmlns:c16="http://schemas.microsoft.com/office/drawing/2014/chart" uri="{C3380CC4-5D6E-409C-BE32-E72D297353CC}">
              <c16:uniqueId val="{00000001-FADB-41D0-B42F-349FBCDDADF7}"/>
            </c:ext>
          </c:extLst>
        </c:ser>
        <c:dLbls>
          <c:showLegendKey val="0"/>
          <c:showVal val="0"/>
          <c:showCatName val="0"/>
          <c:showSerName val="0"/>
          <c:showPercent val="0"/>
          <c:showBubbleSize val="0"/>
        </c:dLbls>
        <c:marker val="1"/>
        <c:smooth val="0"/>
        <c:axId val="1220623743"/>
        <c:axId val="1220626143"/>
      </c:lineChart>
      <c:lineChart>
        <c:grouping val="standard"/>
        <c:varyColors val="0"/>
        <c:ser>
          <c:idx val="2"/>
          <c:order val="2"/>
          <c:tx>
            <c:strRef>
              <c:f>'Figure 7'!$N$2</c:f>
              <c:strCache>
                <c:ptCount val="1"/>
                <c:pt idx="0">
                  <c:v>SERA Fill rates (%, right axis)</c:v>
                </c:pt>
              </c:strCache>
            </c:strRef>
          </c:tx>
          <c:spPr>
            <a:ln w="22225" cap="rnd">
              <a:solidFill>
                <a:srgbClr val="D2DE5A"/>
              </a:solidFill>
              <a:round/>
            </a:ln>
            <a:effectLst/>
          </c:spPr>
          <c:marker>
            <c:symbol val="none"/>
          </c:marker>
          <c:cat>
            <c:numRef>
              <c:f>'Figure 7'!$K$99:$K$230</c:f>
              <c:numCache>
                <c:formatCode>mmm\-yyyy</c:formatCode>
                <c:ptCount val="132"/>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pt idx="57">
                  <c:v>43374</c:v>
                </c:pt>
                <c:pt idx="58">
                  <c:v>43405</c:v>
                </c:pt>
                <c:pt idx="59">
                  <c:v>43435</c:v>
                </c:pt>
                <c:pt idx="60">
                  <c:v>43466</c:v>
                </c:pt>
                <c:pt idx="61">
                  <c:v>43497</c:v>
                </c:pt>
                <c:pt idx="62">
                  <c:v>43525</c:v>
                </c:pt>
                <c:pt idx="63">
                  <c:v>43556</c:v>
                </c:pt>
                <c:pt idx="64">
                  <c:v>43586</c:v>
                </c:pt>
                <c:pt idx="65">
                  <c:v>43617</c:v>
                </c:pt>
                <c:pt idx="66">
                  <c:v>43647</c:v>
                </c:pt>
                <c:pt idx="67">
                  <c:v>43678</c:v>
                </c:pt>
                <c:pt idx="68">
                  <c:v>43709</c:v>
                </c:pt>
                <c:pt idx="69">
                  <c:v>43739</c:v>
                </c:pt>
                <c:pt idx="70">
                  <c:v>43770</c:v>
                </c:pt>
                <c:pt idx="71">
                  <c:v>43800</c:v>
                </c:pt>
                <c:pt idx="72">
                  <c:v>43831</c:v>
                </c:pt>
                <c:pt idx="73">
                  <c:v>43862</c:v>
                </c:pt>
                <c:pt idx="74">
                  <c:v>43891</c:v>
                </c:pt>
                <c:pt idx="75">
                  <c:v>43922</c:v>
                </c:pt>
                <c:pt idx="76">
                  <c:v>43952</c:v>
                </c:pt>
                <c:pt idx="77">
                  <c:v>43983</c:v>
                </c:pt>
                <c:pt idx="78">
                  <c:v>44013</c:v>
                </c:pt>
                <c:pt idx="79">
                  <c:v>44044</c:v>
                </c:pt>
                <c:pt idx="80">
                  <c:v>44075</c:v>
                </c:pt>
                <c:pt idx="81">
                  <c:v>44105</c:v>
                </c:pt>
                <c:pt idx="82">
                  <c:v>44136</c:v>
                </c:pt>
                <c:pt idx="83">
                  <c:v>44166</c:v>
                </c:pt>
                <c:pt idx="84">
                  <c:v>44197</c:v>
                </c:pt>
                <c:pt idx="85">
                  <c:v>44228</c:v>
                </c:pt>
                <c:pt idx="86">
                  <c:v>44256</c:v>
                </c:pt>
                <c:pt idx="87">
                  <c:v>44287</c:v>
                </c:pt>
                <c:pt idx="88">
                  <c:v>44317</c:v>
                </c:pt>
                <c:pt idx="89">
                  <c:v>44348</c:v>
                </c:pt>
                <c:pt idx="90">
                  <c:v>44378</c:v>
                </c:pt>
                <c:pt idx="91">
                  <c:v>44409</c:v>
                </c:pt>
                <c:pt idx="92">
                  <c:v>44440</c:v>
                </c:pt>
                <c:pt idx="93">
                  <c:v>44470</c:v>
                </c:pt>
                <c:pt idx="94">
                  <c:v>44501</c:v>
                </c:pt>
                <c:pt idx="95">
                  <c:v>44531</c:v>
                </c:pt>
                <c:pt idx="96">
                  <c:v>44562</c:v>
                </c:pt>
                <c:pt idx="97">
                  <c:v>44593</c:v>
                </c:pt>
                <c:pt idx="98">
                  <c:v>44621</c:v>
                </c:pt>
                <c:pt idx="99">
                  <c:v>44652</c:v>
                </c:pt>
                <c:pt idx="100">
                  <c:v>44682</c:v>
                </c:pt>
                <c:pt idx="101">
                  <c:v>44713</c:v>
                </c:pt>
                <c:pt idx="102">
                  <c:v>44743</c:v>
                </c:pt>
                <c:pt idx="103">
                  <c:v>44774</c:v>
                </c:pt>
                <c:pt idx="104">
                  <c:v>44805</c:v>
                </c:pt>
                <c:pt idx="105">
                  <c:v>44835</c:v>
                </c:pt>
                <c:pt idx="106">
                  <c:v>44866</c:v>
                </c:pt>
                <c:pt idx="107">
                  <c:v>44896</c:v>
                </c:pt>
                <c:pt idx="108">
                  <c:v>44927</c:v>
                </c:pt>
                <c:pt idx="109">
                  <c:v>44958</c:v>
                </c:pt>
                <c:pt idx="110">
                  <c:v>44986</c:v>
                </c:pt>
                <c:pt idx="111">
                  <c:v>45017</c:v>
                </c:pt>
                <c:pt idx="112">
                  <c:v>45047</c:v>
                </c:pt>
                <c:pt idx="113">
                  <c:v>45078</c:v>
                </c:pt>
                <c:pt idx="114">
                  <c:v>45108</c:v>
                </c:pt>
                <c:pt idx="115">
                  <c:v>45139</c:v>
                </c:pt>
                <c:pt idx="116">
                  <c:v>45170</c:v>
                </c:pt>
                <c:pt idx="117">
                  <c:v>45200</c:v>
                </c:pt>
                <c:pt idx="118">
                  <c:v>45231</c:v>
                </c:pt>
                <c:pt idx="119">
                  <c:v>45261</c:v>
                </c:pt>
                <c:pt idx="120">
                  <c:v>45292</c:v>
                </c:pt>
                <c:pt idx="121">
                  <c:v>45323</c:v>
                </c:pt>
                <c:pt idx="122">
                  <c:v>45352</c:v>
                </c:pt>
                <c:pt idx="123">
                  <c:v>45383</c:v>
                </c:pt>
                <c:pt idx="124">
                  <c:v>45413</c:v>
                </c:pt>
                <c:pt idx="125">
                  <c:v>45444</c:v>
                </c:pt>
                <c:pt idx="126">
                  <c:v>45474</c:v>
                </c:pt>
                <c:pt idx="127">
                  <c:v>45505</c:v>
                </c:pt>
                <c:pt idx="128">
                  <c:v>45536</c:v>
                </c:pt>
                <c:pt idx="129">
                  <c:v>45566</c:v>
                </c:pt>
                <c:pt idx="130">
                  <c:v>45597</c:v>
                </c:pt>
                <c:pt idx="131">
                  <c:v>45627</c:v>
                </c:pt>
              </c:numCache>
            </c:numRef>
          </c:cat>
          <c:val>
            <c:numRef>
              <c:f>'Figure 7'!$N$99:$N$230</c:f>
              <c:numCache>
                <c:formatCode>0%</c:formatCode>
                <c:ptCount val="132"/>
                <c:pt idx="0">
                  <c:v>#N/A</c:v>
                </c:pt>
                <c:pt idx="1">
                  <c:v>#N/A</c:v>
                </c:pt>
                <c:pt idx="2">
                  <c:v>0.73003694231315719</c:v>
                </c:pt>
                <c:pt idx="3">
                  <c:v>#N/A</c:v>
                </c:pt>
                <c:pt idx="4">
                  <c:v>#N/A</c:v>
                </c:pt>
                <c:pt idx="5">
                  <c:v>0.73372693726937266</c:v>
                </c:pt>
                <c:pt idx="6">
                  <c:v>#N/A</c:v>
                </c:pt>
                <c:pt idx="7">
                  <c:v>#N/A</c:v>
                </c:pt>
                <c:pt idx="8">
                  <c:v>0.74542502951593859</c:v>
                </c:pt>
                <c:pt idx="9">
                  <c:v>#N/A</c:v>
                </c:pt>
                <c:pt idx="10">
                  <c:v>#N/A</c:v>
                </c:pt>
                <c:pt idx="11">
                  <c:v>0.74534847051403341</c:v>
                </c:pt>
                <c:pt idx="12">
                  <c:v>#N/A</c:v>
                </c:pt>
                <c:pt idx="13">
                  <c:v>#N/A</c:v>
                </c:pt>
                <c:pt idx="14">
                  <c:v>0.73455668604651159</c:v>
                </c:pt>
                <c:pt idx="15">
                  <c:v>#N/A</c:v>
                </c:pt>
                <c:pt idx="16">
                  <c:v>#N/A</c:v>
                </c:pt>
                <c:pt idx="17">
                  <c:v>0.72836706210746682</c:v>
                </c:pt>
                <c:pt idx="18">
                  <c:v>#N/A</c:v>
                </c:pt>
                <c:pt idx="19">
                  <c:v>#N/A</c:v>
                </c:pt>
                <c:pt idx="20">
                  <c:v>0.69670113244707044</c:v>
                </c:pt>
                <c:pt idx="21">
                  <c:v>#N/A</c:v>
                </c:pt>
                <c:pt idx="22">
                  <c:v>#N/A</c:v>
                </c:pt>
                <c:pt idx="23">
                  <c:v>0.69524858401510381</c:v>
                </c:pt>
                <c:pt idx="24">
                  <c:v>#N/A</c:v>
                </c:pt>
                <c:pt idx="25">
                  <c:v>#N/A</c:v>
                </c:pt>
                <c:pt idx="26">
                  <c:v>0.6916471506635441</c:v>
                </c:pt>
                <c:pt idx="27">
                  <c:v>#N/A</c:v>
                </c:pt>
                <c:pt idx="28">
                  <c:v>#N/A</c:v>
                </c:pt>
                <c:pt idx="29">
                  <c:v>0.68342328450269851</c:v>
                </c:pt>
                <c:pt idx="30">
                  <c:v>#N/A</c:v>
                </c:pt>
                <c:pt idx="31">
                  <c:v>#N/A</c:v>
                </c:pt>
                <c:pt idx="32">
                  <c:v>0.67477203647416417</c:v>
                </c:pt>
                <c:pt idx="33">
                  <c:v>#N/A</c:v>
                </c:pt>
                <c:pt idx="34">
                  <c:v>#N/A</c:v>
                </c:pt>
                <c:pt idx="35">
                  <c:v>0.65372696134398955</c:v>
                </c:pt>
                <c:pt idx="36">
                  <c:v>#N/A</c:v>
                </c:pt>
                <c:pt idx="37">
                  <c:v>#N/A</c:v>
                </c:pt>
                <c:pt idx="38">
                  <c:v>0.65079620395689242</c:v>
                </c:pt>
                <c:pt idx="39">
                  <c:v>#N/A</c:v>
                </c:pt>
                <c:pt idx="40">
                  <c:v>#N/A</c:v>
                </c:pt>
                <c:pt idx="41">
                  <c:v>0.65254787406686143</c:v>
                </c:pt>
                <c:pt idx="42">
                  <c:v>#N/A</c:v>
                </c:pt>
                <c:pt idx="43">
                  <c:v>#N/A</c:v>
                </c:pt>
                <c:pt idx="44">
                  <c:v>0.66118150403159459</c:v>
                </c:pt>
                <c:pt idx="45">
                  <c:v>#N/A</c:v>
                </c:pt>
                <c:pt idx="46">
                  <c:v>#N/A</c:v>
                </c:pt>
                <c:pt idx="47">
                  <c:v>0.63142243515612095</c:v>
                </c:pt>
                <c:pt idx="48">
                  <c:v>#N/A</c:v>
                </c:pt>
                <c:pt idx="49">
                  <c:v>#N/A</c:v>
                </c:pt>
                <c:pt idx="50">
                  <c:v>0.61746287350152085</c:v>
                </c:pt>
                <c:pt idx="51">
                  <c:v>#N/A</c:v>
                </c:pt>
                <c:pt idx="52">
                  <c:v>#N/A</c:v>
                </c:pt>
                <c:pt idx="53">
                  <c:v>0.60277056277056273</c:v>
                </c:pt>
                <c:pt idx="54">
                  <c:v>#N/A</c:v>
                </c:pt>
                <c:pt idx="55">
                  <c:v>#N/A</c:v>
                </c:pt>
                <c:pt idx="56">
                  <c:v>0.57453966005665724</c:v>
                </c:pt>
                <c:pt idx="57">
                  <c:v>#N/A</c:v>
                </c:pt>
                <c:pt idx="58">
                  <c:v>#N/A</c:v>
                </c:pt>
                <c:pt idx="59">
                  <c:v>0.56983655274888556</c:v>
                </c:pt>
                <c:pt idx="60">
                  <c:v>#N/A</c:v>
                </c:pt>
                <c:pt idx="61">
                  <c:v>#N/A</c:v>
                </c:pt>
                <c:pt idx="62">
                  <c:v>0.56542932133483315</c:v>
                </c:pt>
                <c:pt idx="63">
                  <c:v>#N/A</c:v>
                </c:pt>
                <c:pt idx="64">
                  <c:v>#N/A</c:v>
                </c:pt>
                <c:pt idx="65">
                  <c:v>0.55322485787100573</c:v>
                </c:pt>
                <c:pt idx="66">
                  <c:v>#N/A</c:v>
                </c:pt>
                <c:pt idx="67">
                  <c:v>#N/A</c:v>
                </c:pt>
                <c:pt idx="68">
                  <c:v>0.56547483488954675</c:v>
                </c:pt>
                <c:pt idx="69">
                  <c:v>#N/A</c:v>
                </c:pt>
                <c:pt idx="70">
                  <c:v>#N/A</c:v>
                </c:pt>
                <c:pt idx="71">
                  <c:v>0.60359408033826634</c:v>
                </c:pt>
                <c:pt idx="72">
                  <c:v>#N/A</c:v>
                </c:pt>
                <c:pt idx="73">
                  <c:v>#N/A</c:v>
                </c:pt>
                <c:pt idx="74">
                  <c:v>0.59874339568756252</c:v>
                </c:pt>
                <c:pt idx="75">
                  <c:v>#N/A</c:v>
                </c:pt>
                <c:pt idx="76">
                  <c:v>#N/A</c:v>
                </c:pt>
                <c:pt idx="77">
                  <c:v>0.60385780328391514</c:v>
                </c:pt>
                <c:pt idx="78">
                  <c:v>#N/A</c:v>
                </c:pt>
                <c:pt idx="79">
                  <c:v>#N/A</c:v>
                </c:pt>
                <c:pt idx="80">
                  <c:v>0.63867466438160525</c:v>
                </c:pt>
                <c:pt idx="81">
                  <c:v>#N/A</c:v>
                </c:pt>
                <c:pt idx="82">
                  <c:v>#N/A</c:v>
                </c:pt>
                <c:pt idx="83">
                  <c:v>0.64784983891301307</c:v>
                </c:pt>
                <c:pt idx="84">
                  <c:v>#N/A</c:v>
                </c:pt>
                <c:pt idx="85">
                  <c:v>#N/A</c:v>
                </c:pt>
                <c:pt idx="86">
                  <c:v>0.62122715034717302</c:v>
                </c:pt>
                <c:pt idx="87">
                  <c:v>#N/A</c:v>
                </c:pt>
                <c:pt idx="88">
                  <c:v>#N/A</c:v>
                </c:pt>
                <c:pt idx="89">
                  <c:v>0.60747767857142854</c:v>
                </c:pt>
                <c:pt idx="90">
                  <c:v>#N/A</c:v>
                </c:pt>
                <c:pt idx="91">
                  <c:v>#N/A</c:v>
                </c:pt>
                <c:pt idx="92">
                  <c:v>0.60845015576323991</c:v>
                </c:pt>
                <c:pt idx="93">
                  <c:v>#N/A</c:v>
                </c:pt>
                <c:pt idx="94">
                  <c:v>#N/A</c:v>
                </c:pt>
                <c:pt idx="95">
                  <c:v>0.59665212358650166</c:v>
                </c:pt>
                <c:pt idx="96">
                  <c:v>#N/A</c:v>
                </c:pt>
                <c:pt idx="97">
                  <c:v>#N/A</c:v>
                </c:pt>
                <c:pt idx="98">
                  <c:v>0.597111858190709</c:v>
                </c:pt>
                <c:pt idx="99">
                  <c:v>#N/A</c:v>
                </c:pt>
                <c:pt idx="100">
                  <c:v>#N/A</c:v>
                </c:pt>
                <c:pt idx="101">
                  <c:v>0.5951591277962035</c:v>
                </c:pt>
                <c:pt idx="102">
                  <c:v>#N/A</c:v>
                </c:pt>
                <c:pt idx="103">
                  <c:v>#N/A</c:v>
                </c:pt>
                <c:pt idx="104">
                  <c:v>0.58049609242269795</c:v>
                </c:pt>
                <c:pt idx="105">
                  <c:v>#N/A</c:v>
                </c:pt>
                <c:pt idx="106">
                  <c:v>#N/A</c:v>
                </c:pt>
                <c:pt idx="107">
                  <c:v>0.58494758036520167</c:v>
                </c:pt>
                <c:pt idx="108">
                  <c:v>#N/A</c:v>
                </c:pt>
                <c:pt idx="109">
                  <c:v>#N/A</c:v>
                </c:pt>
                <c:pt idx="110">
                  <c:v>0.60165916760404947</c:v>
                </c:pt>
                <c:pt idx="111">
                  <c:v>#N/A</c:v>
                </c:pt>
                <c:pt idx="112">
                  <c:v>#N/A</c:v>
                </c:pt>
                <c:pt idx="113">
                  <c:v>0.61367775005058345</c:v>
                </c:pt>
                <c:pt idx="114">
                  <c:v>#N/A</c:v>
                </c:pt>
                <c:pt idx="115">
                  <c:v>#N/A</c:v>
                </c:pt>
                <c:pt idx="116">
                  <c:v>0.62063436737539213</c:v>
                </c:pt>
                <c:pt idx="117">
                  <c:v>#N/A</c:v>
                </c:pt>
                <c:pt idx="118">
                  <c:v>#N/A</c:v>
                </c:pt>
                <c:pt idx="119">
                  <c:v>0.63456130483689543</c:v>
                </c:pt>
                <c:pt idx="120">
                  <c:v>#N/A</c:v>
                </c:pt>
                <c:pt idx="121">
                  <c:v>#N/A</c:v>
                </c:pt>
                <c:pt idx="122">
                  <c:v>0.6446894365182303</c:v>
                </c:pt>
                <c:pt idx="123">
                  <c:v>#N/A</c:v>
                </c:pt>
                <c:pt idx="124">
                  <c:v>#N/A</c:v>
                </c:pt>
                <c:pt idx="125">
                  <c:v>0.6607582863047452</c:v>
                </c:pt>
                <c:pt idx="126">
                  <c:v>#N/A</c:v>
                </c:pt>
                <c:pt idx="127">
                  <c:v>#N/A</c:v>
                </c:pt>
                <c:pt idx="128">
                  <c:v>0.68056096610829764</c:v>
                </c:pt>
                <c:pt idx="129">
                  <c:v>#N/A</c:v>
                </c:pt>
                <c:pt idx="130">
                  <c:v>#N/A</c:v>
                </c:pt>
                <c:pt idx="131">
                  <c:v>0.68919848641210868</c:v>
                </c:pt>
              </c:numCache>
            </c:numRef>
          </c:val>
          <c:smooth val="0"/>
          <c:extLst>
            <c:ext xmlns:c16="http://schemas.microsoft.com/office/drawing/2014/chart" uri="{C3380CC4-5D6E-409C-BE32-E72D297353CC}">
              <c16:uniqueId val="{00000002-FADB-41D0-B42F-349FBCDDADF7}"/>
            </c:ext>
          </c:extLst>
        </c:ser>
        <c:ser>
          <c:idx val="3"/>
          <c:order val="3"/>
          <c:tx>
            <c:strRef>
              <c:f>'Figure 7'!$O$2</c:f>
              <c:strCache>
                <c:ptCount val="1"/>
                <c:pt idx="0">
                  <c:v>Suitability gap (%, right axis)</c:v>
                </c:pt>
              </c:strCache>
            </c:strRef>
          </c:tx>
          <c:spPr>
            <a:ln w="22225" cap="rnd">
              <a:solidFill>
                <a:srgbClr val="4B0985"/>
              </a:solidFill>
              <a:round/>
            </a:ln>
            <a:effectLst/>
          </c:spPr>
          <c:marker>
            <c:symbol val="none"/>
          </c:marker>
          <c:cat>
            <c:numRef>
              <c:f>'Figure 7'!$K$99:$K$230</c:f>
              <c:numCache>
                <c:formatCode>mmm\-yyyy</c:formatCode>
                <c:ptCount val="132"/>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pt idx="57">
                  <c:v>43374</c:v>
                </c:pt>
                <c:pt idx="58">
                  <c:v>43405</c:v>
                </c:pt>
                <c:pt idx="59">
                  <c:v>43435</c:v>
                </c:pt>
                <c:pt idx="60">
                  <c:v>43466</c:v>
                </c:pt>
                <c:pt idx="61">
                  <c:v>43497</c:v>
                </c:pt>
                <c:pt idx="62">
                  <c:v>43525</c:v>
                </c:pt>
                <c:pt idx="63">
                  <c:v>43556</c:v>
                </c:pt>
                <c:pt idx="64">
                  <c:v>43586</c:v>
                </c:pt>
                <c:pt idx="65">
                  <c:v>43617</c:v>
                </c:pt>
                <c:pt idx="66">
                  <c:v>43647</c:v>
                </c:pt>
                <c:pt idx="67">
                  <c:v>43678</c:v>
                </c:pt>
                <c:pt idx="68">
                  <c:v>43709</c:v>
                </c:pt>
                <c:pt idx="69">
                  <c:v>43739</c:v>
                </c:pt>
                <c:pt idx="70">
                  <c:v>43770</c:v>
                </c:pt>
                <c:pt idx="71">
                  <c:v>43800</c:v>
                </c:pt>
                <c:pt idx="72">
                  <c:v>43831</c:v>
                </c:pt>
                <c:pt idx="73">
                  <c:v>43862</c:v>
                </c:pt>
                <c:pt idx="74">
                  <c:v>43891</c:v>
                </c:pt>
                <c:pt idx="75">
                  <c:v>43922</c:v>
                </c:pt>
                <c:pt idx="76">
                  <c:v>43952</c:v>
                </c:pt>
                <c:pt idx="77">
                  <c:v>43983</c:v>
                </c:pt>
                <c:pt idx="78">
                  <c:v>44013</c:v>
                </c:pt>
                <c:pt idx="79">
                  <c:v>44044</c:v>
                </c:pt>
                <c:pt idx="80">
                  <c:v>44075</c:v>
                </c:pt>
                <c:pt idx="81">
                  <c:v>44105</c:v>
                </c:pt>
                <c:pt idx="82">
                  <c:v>44136</c:v>
                </c:pt>
                <c:pt idx="83">
                  <c:v>44166</c:v>
                </c:pt>
                <c:pt idx="84">
                  <c:v>44197</c:v>
                </c:pt>
                <c:pt idx="85">
                  <c:v>44228</c:v>
                </c:pt>
                <c:pt idx="86">
                  <c:v>44256</c:v>
                </c:pt>
                <c:pt idx="87">
                  <c:v>44287</c:v>
                </c:pt>
                <c:pt idx="88">
                  <c:v>44317</c:v>
                </c:pt>
                <c:pt idx="89">
                  <c:v>44348</c:v>
                </c:pt>
                <c:pt idx="90">
                  <c:v>44378</c:v>
                </c:pt>
                <c:pt idx="91">
                  <c:v>44409</c:v>
                </c:pt>
                <c:pt idx="92">
                  <c:v>44440</c:v>
                </c:pt>
                <c:pt idx="93">
                  <c:v>44470</c:v>
                </c:pt>
                <c:pt idx="94">
                  <c:v>44501</c:v>
                </c:pt>
                <c:pt idx="95">
                  <c:v>44531</c:v>
                </c:pt>
                <c:pt idx="96">
                  <c:v>44562</c:v>
                </c:pt>
                <c:pt idx="97">
                  <c:v>44593</c:v>
                </c:pt>
                <c:pt idx="98">
                  <c:v>44621</c:v>
                </c:pt>
                <c:pt idx="99">
                  <c:v>44652</c:v>
                </c:pt>
                <c:pt idx="100">
                  <c:v>44682</c:v>
                </c:pt>
                <c:pt idx="101">
                  <c:v>44713</c:v>
                </c:pt>
                <c:pt idx="102">
                  <c:v>44743</c:v>
                </c:pt>
                <c:pt idx="103">
                  <c:v>44774</c:v>
                </c:pt>
                <c:pt idx="104">
                  <c:v>44805</c:v>
                </c:pt>
                <c:pt idx="105">
                  <c:v>44835</c:v>
                </c:pt>
                <c:pt idx="106">
                  <c:v>44866</c:v>
                </c:pt>
                <c:pt idx="107">
                  <c:v>44896</c:v>
                </c:pt>
                <c:pt idx="108">
                  <c:v>44927</c:v>
                </c:pt>
                <c:pt idx="109">
                  <c:v>44958</c:v>
                </c:pt>
                <c:pt idx="110">
                  <c:v>44986</c:v>
                </c:pt>
                <c:pt idx="111">
                  <c:v>45017</c:v>
                </c:pt>
                <c:pt idx="112">
                  <c:v>45047</c:v>
                </c:pt>
                <c:pt idx="113">
                  <c:v>45078</c:v>
                </c:pt>
                <c:pt idx="114">
                  <c:v>45108</c:v>
                </c:pt>
                <c:pt idx="115">
                  <c:v>45139</c:v>
                </c:pt>
                <c:pt idx="116">
                  <c:v>45170</c:v>
                </c:pt>
                <c:pt idx="117">
                  <c:v>45200</c:v>
                </c:pt>
                <c:pt idx="118">
                  <c:v>45231</c:v>
                </c:pt>
                <c:pt idx="119">
                  <c:v>45261</c:v>
                </c:pt>
                <c:pt idx="120">
                  <c:v>45292</c:v>
                </c:pt>
                <c:pt idx="121">
                  <c:v>45323</c:v>
                </c:pt>
                <c:pt idx="122">
                  <c:v>45352</c:v>
                </c:pt>
                <c:pt idx="123">
                  <c:v>45383</c:v>
                </c:pt>
                <c:pt idx="124">
                  <c:v>45413</c:v>
                </c:pt>
                <c:pt idx="125">
                  <c:v>45444</c:v>
                </c:pt>
                <c:pt idx="126">
                  <c:v>45474</c:v>
                </c:pt>
                <c:pt idx="127">
                  <c:v>45505</c:v>
                </c:pt>
                <c:pt idx="128">
                  <c:v>45536</c:v>
                </c:pt>
                <c:pt idx="129">
                  <c:v>45566</c:v>
                </c:pt>
                <c:pt idx="130">
                  <c:v>45597</c:v>
                </c:pt>
                <c:pt idx="131">
                  <c:v>45627</c:v>
                </c:pt>
              </c:numCache>
            </c:numRef>
          </c:cat>
          <c:val>
            <c:numRef>
              <c:f>'Figure 7'!$O$99:$O$230</c:f>
              <c:numCache>
                <c:formatCode>0%</c:formatCode>
                <c:ptCount val="132"/>
                <c:pt idx="0">
                  <c:v>#N/A</c:v>
                </c:pt>
                <c:pt idx="1">
                  <c:v>#N/A</c:v>
                </c:pt>
                <c:pt idx="2">
                  <c:v>0.73490997398188951</c:v>
                </c:pt>
                <c:pt idx="3">
                  <c:v>#N/A</c:v>
                </c:pt>
                <c:pt idx="4">
                  <c:v>#N/A</c:v>
                </c:pt>
                <c:pt idx="5">
                  <c:v>0.75075022404765202</c:v>
                </c:pt>
                <c:pt idx="6">
                  <c:v>#N/A</c:v>
                </c:pt>
                <c:pt idx="7">
                  <c:v>#N/A</c:v>
                </c:pt>
                <c:pt idx="8">
                  <c:v>0.751723477093444</c:v>
                </c:pt>
                <c:pt idx="9">
                  <c:v>#N/A</c:v>
                </c:pt>
                <c:pt idx="10">
                  <c:v>#N/A</c:v>
                </c:pt>
                <c:pt idx="11">
                  <c:v>0.76030964074759444</c:v>
                </c:pt>
                <c:pt idx="12">
                  <c:v>#N/A</c:v>
                </c:pt>
                <c:pt idx="13">
                  <c:v>#N/A</c:v>
                </c:pt>
                <c:pt idx="14">
                  <c:v>0.74860501668239054</c:v>
                </c:pt>
                <c:pt idx="15">
                  <c:v>#N/A</c:v>
                </c:pt>
                <c:pt idx="16">
                  <c:v>#N/A</c:v>
                </c:pt>
                <c:pt idx="17">
                  <c:v>0.74645204268014165</c:v>
                </c:pt>
                <c:pt idx="18">
                  <c:v>#N/A</c:v>
                </c:pt>
                <c:pt idx="19">
                  <c:v>#N/A</c:v>
                </c:pt>
                <c:pt idx="20">
                  <c:v>0.73848270414845596</c:v>
                </c:pt>
                <c:pt idx="21">
                  <c:v>#N/A</c:v>
                </c:pt>
                <c:pt idx="22">
                  <c:v>#N/A</c:v>
                </c:pt>
                <c:pt idx="23">
                  <c:v>0.73028120652794815</c:v>
                </c:pt>
                <c:pt idx="24">
                  <c:v>#N/A</c:v>
                </c:pt>
                <c:pt idx="25">
                  <c:v>#N/A</c:v>
                </c:pt>
                <c:pt idx="26">
                  <c:v>0.75479026188859644</c:v>
                </c:pt>
                <c:pt idx="27">
                  <c:v>#N/A</c:v>
                </c:pt>
                <c:pt idx="28">
                  <c:v>#N/A</c:v>
                </c:pt>
                <c:pt idx="29">
                  <c:v>0.71240147867529968</c:v>
                </c:pt>
                <c:pt idx="30">
                  <c:v>#N/A</c:v>
                </c:pt>
                <c:pt idx="31">
                  <c:v>#N/A</c:v>
                </c:pt>
                <c:pt idx="32">
                  <c:v>0.72547715305102622</c:v>
                </c:pt>
                <c:pt idx="33">
                  <c:v>#N/A</c:v>
                </c:pt>
                <c:pt idx="34">
                  <c:v>#N/A</c:v>
                </c:pt>
                <c:pt idx="35">
                  <c:v>0.71288392032032533</c:v>
                </c:pt>
                <c:pt idx="36">
                  <c:v>#N/A</c:v>
                </c:pt>
                <c:pt idx="37">
                  <c:v>#N/A</c:v>
                </c:pt>
                <c:pt idx="38">
                  <c:v>0.71436238854103418</c:v>
                </c:pt>
                <c:pt idx="39">
                  <c:v>#N/A</c:v>
                </c:pt>
                <c:pt idx="40">
                  <c:v>#N/A</c:v>
                </c:pt>
                <c:pt idx="41">
                  <c:v>0.7012308958681267</c:v>
                </c:pt>
                <c:pt idx="42">
                  <c:v>#N/A</c:v>
                </c:pt>
                <c:pt idx="43">
                  <c:v>#N/A</c:v>
                </c:pt>
                <c:pt idx="44">
                  <c:v>0.69646476036428628</c:v>
                </c:pt>
                <c:pt idx="45">
                  <c:v>#N/A</c:v>
                </c:pt>
                <c:pt idx="46">
                  <c:v>#N/A</c:v>
                </c:pt>
                <c:pt idx="47">
                  <c:v>0.70270426342692216</c:v>
                </c:pt>
                <c:pt idx="48">
                  <c:v>#N/A</c:v>
                </c:pt>
                <c:pt idx="49">
                  <c:v>#N/A</c:v>
                </c:pt>
                <c:pt idx="50">
                  <c:v>0.69427428683606673</c:v>
                </c:pt>
                <c:pt idx="51">
                  <c:v>#N/A</c:v>
                </c:pt>
                <c:pt idx="52">
                  <c:v>#N/A</c:v>
                </c:pt>
                <c:pt idx="53">
                  <c:v>0.7049290713699129</c:v>
                </c:pt>
                <c:pt idx="54">
                  <c:v>#N/A</c:v>
                </c:pt>
                <c:pt idx="55">
                  <c:v>#N/A</c:v>
                </c:pt>
                <c:pt idx="56">
                  <c:v>0.69537544564780895</c:v>
                </c:pt>
                <c:pt idx="57">
                  <c:v>#N/A</c:v>
                </c:pt>
                <c:pt idx="58">
                  <c:v>#N/A</c:v>
                </c:pt>
                <c:pt idx="59">
                  <c:v>0.68874234027800141</c:v>
                </c:pt>
                <c:pt idx="60">
                  <c:v>#N/A</c:v>
                </c:pt>
                <c:pt idx="61">
                  <c:v>#N/A</c:v>
                </c:pt>
                <c:pt idx="62">
                  <c:v>0.69385088155906538</c:v>
                </c:pt>
                <c:pt idx="63">
                  <c:v>#N/A</c:v>
                </c:pt>
                <c:pt idx="64">
                  <c:v>#N/A</c:v>
                </c:pt>
                <c:pt idx="65">
                  <c:v>0.70075766632647918</c:v>
                </c:pt>
                <c:pt idx="66">
                  <c:v>#N/A</c:v>
                </c:pt>
                <c:pt idx="67">
                  <c:v>#N/A</c:v>
                </c:pt>
                <c:pt idx="68">
                  <c:v>0.66753152984436059</c:v>
                </c:pt>
                <c:pt idx="69">
                  <c:v>#N/A</c:v>
                </c:pt>
                <c:pt idx="70">
                  <c:v>#N/A</c:v>
                </c:pt>
                <c:pt idx="71">
                  <c:v>0.6330020008055659</c:v>
                </c:pt>
                <c:pt idx="72">
                  <c:v>#N/A</c:v>
                </c:pt>
                <c:pt idx="73">
                  <c:v>#N/A</c:v>
                </c:pt>
                <c:pt idx="74">
                  <c:v>0.57756342946659944</c:v>
                </c:pt>
                <c:pt idx="75">
                  <c:v>#N/A</c:v>
                </c:pt>
                <c:pt idx="76">
                  <c:v>#N/A</c:v>
                </c:pt>
                <c:pt idx="77">
                  <c:v>0.57047923614014595</c:v>
                </c:pt>
                <c:pt idx="78">
                  <c:v>#N/A</c:v>
                </c:pt>
                <c:pt idx="79">
                  <c:v>#N/A</c:v>
                </c:pt>
                <c:pt idx="80">
                  <c:v>0.57468212382999417</c:v>
                </c:pt>
                <c:pt idx="81">
                  <c:v>#N/A</c:v>
                </c:pt>
                <c:pt idx="82">
                  <c:v>#N/A</c:v>
                </c:pt>
                <c:pt idx="83">
                  <c:v>0.59840097516981328</c:v>
                </c:pt>
                <c:pt idx="84">
                  <c:v>#N/A</c:v>
                </c:pt>
                <c:pt idx="85">
                  <c:v>#N/A</c:v>
                </c:pt>
                <c:pt idx="86">
                  <c:v>0.58235244534710384</c:v>
                </c:pt>
                <c:pt idx="87">
                  <c:v>#N/A</c:v>
                </c:pt>
                <c:pt idx="88">
                  <c:v>#N/A</c:v>
                </c:pt>
                <c:pt idx="89">
                  <c:v>0.55489845649844938</c:v>
                </c:pt>
                <c:pt idx="90">
                  <c:v>#N/A</c:v>
                </c:pt>
                <c:pt idx="91">
                  <c:v>#N/A</c:v>
                </c:pt>
                <c:pt idx="92">
                  <c:v>0.54354238724426363</c:v>
                </c:pt>
                <c:pt idx="93">
                  <c:v>#N/A</c:v>
                </c:pt>
                <c:pt idx="94">
                  <c:v>#N/A</c:v>
                </c:pt>
                <c:pt idx="95">
                  <c:v>0.52369756925030397</c:v>
                </c:pt>
                <c:pt idx="96">
                  <c:v>#N/A</c:v>
                </c:pt>
                <c:pt idx="97">
                  <c:v>#N/A</c:v>
                </c:pt>
                <c:pt idx="98">
                  <c:v>0.53534481310117799</c:v>
                </c:pt>
                <c:pt idx="99">
                  <c:v>#N/A</c:v>
                </c:pt>
                <c:pt idx="100">
                  <c:v>#N/A</c:v>
                </c:pt>
                <c:pt idx="101">
                  <c:v>0.5373729723667785</c:v>
                </c:pt>
                <c:pt idx="102">
                  <c:v>#N/A</c:v>
                </c:pt>
                <c:pt idx="103">
                  <c:v>#N/A</c:v>
                </c:pt>
                <c:pt idx="104">
                  <c:v>0.54341484785402661</c:v>
                </c:pt>
                <c:pt idx="105">
                  <c:v>#N/A</c:v>
                </c:pt>
                <c:pt idx="106">
                  <c:v>#N/A</c:v>
                </c:pt>
                <c:pt idx="107">
                  <c:v>0.53471552704899294</c:v>
                </c:pt>
                <c:pt idx="108">
                  <c:v>#N/A</c:v>
                </c:pt>
                <c:pt idx="109">
                  <c:v>#N/A</c:v>
                </c:pt>
                <c:pt idx="110">
                  <c:v>0.52296730960005777</c:v>
                </c:pt>
                <c:pt idx="111">
                  <c:v>#N/A</c:v>
                </c:pt>
                <c:pt idx="112">
                  <c:v>#N/A</c:v>
                </c:pt>
                <c:pt idx="113">
                  <c:v>0.53185179673640315</c:v>
                </c:pt>
                <c:pt idx="114">
                  <c:v>#N/A</c:v>
                </c:pt>
                <c:pt idx="115">
                  <c:v>#N/A</c:v>
                </c:pt>
                <c:pt idx="116">
                  <c:v>0.54388417855936966</c:v>
                </c:pt>
                <c:pt idx="117">
                  <c:v>#N/A</c:v>
                </c:pt>
                <c:pt idx="118">
                  <c:v>#N/A</c:v>
                </c:pt>
                <c:pt idx="119">
                  <c:v>0.56664128032132588</c:v>
                </c:pt>
                <c:pt idx="120">
                  <c:v>#N/A</c:v>
                </c:pt>
                <c:pt idx="121">
                  <c:v>#N/A</c:v>
                </c:pt>
                <c:pt idx="122">
                  <c:v>0.58772470761664386</c:v>
                </c:pt>
                <c:pt idx="123">
                  <c:v>#N/A</c:v>
                </c:pt>
                <c:pt idx="124">
                  <c:v>#N/A</c:v>
                </c:pt>
                <c:pt idx="125">
                  <c:v>0.60529726858683086</c:v>
                </c:pt>
                <c:pt idx="126">
                  <c:v>#N/A</c:v>
                </c:pt>
                <c:pt idx="127">
                  <c:v>#N/A</c:v>
                </c:pt>
                <c:pt idx="128">
                  <c:v>0.61887988027752594</c:v>
                </c:pt>
                <c:pt idx="129">
                  <c:v>#N/A</c:v>
                </c:pt>
                <c:pt idx="130">
                  <c:v>#N/A</c:v>
                </c:pt>
                <c:pt idx="131">
                  <c:v>0.63366216051638047</c:v>
                </c:pt>
              </c:numCache>
            </c:numRef>
          </c:val>
          <c:smooth val="0"/>
          <c:extLst>
            <c:ext xmlns:c16="http://schemas.microsoft.com/office/drawing/2014/chart" uri="{C3380CC4-5D6E-409C-BE32-E72D297353CC}">
              <c16:uniqueId val="{00000003-FADB-41D0-B42F-349FBCDDADF7}"/>
            </c:ext>
          </c:extLst>
        </c:ser>
        <c:dLbls>
          <c:showLegendKey val="0"/>
          <c:showVal val="0"/>
          <c:showCatName val="0"/>
          <c:showSerName val="0"/>
          <c:showPercent val="0"/>
          <c:showBubbleSize val="0"/>
        </c:dLbls>
        <c:marker val="1"/>
        <c:smooth val="0"/>
        <c:axId val="1468491743"/>
        <c:axId val="1468509503"/>
      </c:lineChart>
      <c:dateAx>
        <c:axId val="1220623743"/>
        <c:scaling>
          <c:orientation val="minMax"/>
          <c:min val="41974"/>
        </c:scaling>
        <c:delete val="0"/>
        <c:axPos val="b"/>
        <c:numFmt formatCode="mmm\-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0626143"/>
        <c:crosses val="autoZero"/>
        <c:auto val="1"/>
        <c:lblOffset val="100"/>
        <c:baseTimeUnit val="months"/>
        <c:majorUnit val="12"/>
        <c:majorTimeUnit val="months"/>
        <c:minorUnit val="3"/>
        <c:minorTimeUnit val="months"/>
      </c:dateAx>
      <c:valAx>
        <c:axId val="1220626143"/>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0623743"/>
        <c:crosses val="autoZero"/>
        <c:crossBetween val="between"/>
      </c:valAx>
      <c:valAx>
        <c:axId val="1468509503"/>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68491743"/>
        <c:crosses val="max"/>
        <c:crossBetween val="between"/>
      </c:valAx>
      <c:dateAx>
        <c:axId val="1468491743"/>
        <c:scaling>
          <c:orientation val="minMax"/>
        </c:scaling>
        <c:delete val="1"/>
        <c:axPos val="b"/>
        <c:numFmt formatCode="mmm\-yyyy" sourceLinked="1"/>
        <c:majorTickMark val="out"/>
        <c:minorTickMark val="none"/>
        <c:tickLblPos val="nextTo"/>
        <c:crossAx val="1468509503"/>
        <c:crosses val="autoZero"/>
        <c:auto val="1"/>
        <c:lblOffset val="100"/>
        <c:baseTimeUnit val="months"/>
      </c:dateAx>
      <c:spPr>
        <a:noFill/>
        <a:ln>
          <a:noFill/>
        </a:ln>
        <a:effectLst/>
      </c:spPr>
    </c:plotArea>
    <c:legend>
      <c:legendPos val="b"/>
      <c:layout>
        <c:manualLayout>
          <c:xMode val="edge"/>
          <c:yMode val="edge"/>
          <c:x val="1.8898510165732938E-2"/>
          <c:y val="0.48080468202344273"/>
          <c:w val="0.35965321529579475"/>
          <c:h val="0.1312900017932540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'Figure 2'!$B$4</c:f>
              <c:strCache>
                <c:ptCount val="1"/>
                <c:pt idx="0">
                  <c:v>Annual change in employment (%)</c:v>
                </c:pt>
              </c:strCache>
            </c:strRef>
          </c:tx>
          <c:spPr>
            <a:solidFill>
              <a:schemeClr val="accent1"/>
            </a:solidFill>
            <a:ln>
              <a:noFill/>
            </a:ln>
            <a:effectLst/>
          </c:spPr>
          <c:invertIfNegative val="0"/>
          <c:cat>
            <c:numRef>
              <c:f>'Figure 2'!$A$5:$A$65</c:f>
              <c:numCache>
                <c:formatCode>mmm\-yy</c:formatCode>
                <c:ptCount val="61"/>
                <c:pt idx="0">
                  <c:v>43800</c:v>
                </c:pt>
                <c:pt idx="1">
                  <c:v>43831</c:v>
                </c:pt>
                <c:pt idx="2">
                  <c:v>43862</c:v>
                </c:pt>
                <c:pt idx="3">
                  <c:v>43891</c:v>
                </c:pt>
                <c:pt idx="4">
                  <c:v>43922</c:v>
                </c:pt>
                <c:pt idx="5">
                  <c:v>43952</c:v>
                </c:pt>
                <c:pt idx="6">
                  <c:v>43983</c:v>
                </c:pt>
                <c:pt idx="7">
                  <c:v>44013</c:v>
                </c:pt>
                <c:pt idx="8">
                  <c:v>44044</c:v>
                </c:pt>
                <c:pt idx="9">
                  <c:v>44075</c:v>
                </c:pt>
                <c:pt idx="10">
                  <c:v>44105</c:v>
                </c:pt>
                <c:pt idx="11">
                  <c:v>44136</c:v>
                </c:pt>
                <c:pt idx="12">
                  <c:v>44166</c:v>
                </c:pt>
                <c:pt idx="13">
                  <c:v>44197</c:v>
                </c:pt>
                <c:pt idx="14">
                  <c:v>44228</c:v>
                </c:pt>
                <c:pt idx="15">
                  <c:v>44256</c:v>
                </c:pt>
                <c:pt idx="16">
                  <c:v>44287</c:v>
                </c:pt>
                <c:pt idx="17">
                  <c:v>44317</c:v>
                </c:pt>
                <c:pt idx="18">
                  <c:v>44348</c:v>
                </c:pt>
                <c:pt idx="19">
                  <c:v>44378</c:v>
                </c:pt>
                <c:pt idx="20">
                  <c:v>44409</c:v>
                </c:pt>
                <c:pt idx="21">
                  <c:v>44440</c:v>
                </c:pt>
                <c:pt idx="22">
                  <c:v>44470</c:v>
                </c:pt>
                <c:pt idx="23">
                  <c:v>44501</c:v>
                </c:pt>
                <c:pt idx="24">
                  <c:v>44531</c:v>
                </c:pt>
                <c:pt idx="25">
                  <c:v>44562</c:v>
                </c:pt>
                <c:pt idx="26">
                  <c:v>44593</c:v>
                </c:pt>
                <c:pt idx="27">
                  <c:v>44621</c:v>
                </c:pt>
                <c:pt idx="28">
                  <c:v>44652</c:v>
                </c:pt>
                <c:pt idx="29">
                  <c:v>44682</c:v>
                </c:pt>
                <c:pt idx="30">
                  <c:v>44713</c:v>
                </c:pt>
                <c:pt idx="31">
                  <c:v>44743</c:v>
                </c:pt>
                <c:pt idx="32">
                  <c:v>44774</c:v>
                </c:pt>
                <c:pt idx="33">
                  <c:v>44805</c:v>
                </c:pt>
                <c:pt idx="34">
                  <c:v>44835</c:v>
                </c:pt>
                <c:pt idx="35">
                  <c:v>44866</c:v>
                </c:pt>
                <c:pt idx="36">
                  <c:v>44896</c:v>
                </c:pt>
                <c:pt idx="37">
                  <c:v>44927</c:v>
                </c:pt>
                <c:pt idx="38">
                  <c:v>44958</c:v>
                </c:pt>
                <c:pt idx="39">
                  <c:v>44986</c:v>
                </c:pt>
                <c:pt idx="40">
                  <c:v>45017</c:v>
                </c:pt>
                <c:pt idx="41">
                  <c:v>45047</c:v>
                </c:pt>
                <c:pt idx="42">
                  <c:v>45078</c:v>
                </c:pt>
                <c:pt idx="43">
                  <c:v>45108</c:v>
                </c:pt>
                <c:pt idx="44">
                  <c:v>45139</c:v>
                </c:pt>
                <c:pt idx="45">
                  <c:v>45170</c:v>
                </c:pt>
                <c:pt idx="46">
                  <c:v>45200</c:v>
                </c:pt>
                <c:pt idx="47">
                  <c:v>45231</c:v>
                </c:pt>
                <c:pt idx="48">
                  <c:v>45261</c:v>
                </c:pt>
                <c:pt idx="49">
                  <c:v>45292</c:v>
                </c:pt>
                <c:pt idx="50">
                  <c:v>45323</c:v>
                </c:pt>
                <c:pt idx="51">
                  <c:v>45352</c:v>
                </c:pt>
                <c:pt idx="52">
                  <c:v>45383</c:v>
                </c:pt>
                <c:pt idx="53">
                  <c:v>45413</c:v>
                </c:pt>
                <c:pt idx="54">
                  <c:v>45444</c:v>
                </c:pt>
                <c:pt idx="55">
                  <c:v>45474</c:v>
                </c:pt>
                <c:pt idx="56">
                  <c:v>45505</c:v>
                </c:pt>
                <c:pt idx="57">
                  <c:v>45536</c:v>
                </c:pt>
                <c:pt idx="58">
                  <c:v>45566</c:v>
                </c:pt>
                <c:pt idx="59">
                  <c:v>45597</c:v>
                </c:pt>
                <c:pt idx="60">
                  <c:v>45627</c:v>
                </c:pt>
              </c:numCache>
            </c:numRef>
          </c:cat>
          <c:val>
            <c:numRef>
              <c:f>'Figure 2'!$B$5:$B$65</c:f>
              <c:numCache>
                <c:formatCode>0.0%</c:formatCode>
                <c:ptCount val="61"/>
                <c:pt idx="0">
                  <c:v>2.0011595236813302E-2</c:v>
                </c:pt>
                <c:pt idx="1">
                  <c:v>1.7090156740276131E-2</c:v>
                </c:pt>
                <c:pt idx="2">
                  <c:v>1.6101144772150182E-2</c:v>
                </c:pt>
                <c:pt idx="3">
                  <c:v>1.3968688903266482E-2</c:v>
                </c:pt>
                <c:pt idx="4">
                  <c:v>-3.4289894599185876E-2</c:v>
                </c:pt>
                <c:pt idx="5">
                  <c:v>-5.7886133663657607E-2</c:v>
                </c:pt>
                <c:pt idx="6">
                  <c:v>-4.0901048912026748E-2</c:v>
                </c:pt>
                <c:pt idx="7">
                  <c:v>-3.2883254834785158E-2</c:v>
                </c:pt>
                <c:pt idx="8">
                  <c:v>-2.5797758856707927E-2</c:v>
                </c:pt>
                <c:pt idx="9">
                  <c:v>-2.9801479185460521E-2</c:v>
                </c:pt>
                <c:pt idx="10">
                  <c:v>-1.5171814553001475E-2</c:v>
                </c:pt>
                <c:pt idx="11">
                  <c:v>-1.0225266238099218E-2</c:v>
                </c:pt>
                <c:pt idx="12">
                  <c:v>-9.794967635221221E-3</c:v>
                </c:pt>
                <c:pt idx="13">
                  <c:v>-7.7211940421890984E-3</c:v>
                </c:pt>
                <c:pt idx="14">
                  <c:v>-2.9969692149491981E-3</c:v>
                </c:pt>
                <c:pt idx="15">
                  <c:v>2.4115795823819275E-3</c:v>
                </c:pt>
                <c:pt idx="16">
                  <c:v>4.8698828812128815E-2</c:v>
                </c:pt>
                <c:pt idx="17">
                  <c:v>8.175843376141248E-2</c:v>
                </c:pt>
                <c:pt idx="18">
                  <c:v>6.3636377653335185E-2</c:v>
                </c:pt>
                <c:pt idx="19">
                  <c:v>5.3765561947956196E-2</c:v>
                </c:pt>
                <c:pt idx="20">
                  <c:v>3.1688615795001304E-2</c:v>
                </c:pt>
                <c:pt idx="21">
                  <c:v>2.4365899906355355E-2</c:v>
                </c:pt>
                <c:pt idx="22">
                  <c:v>9.4340037907089738E-3</c:v>
                </c:pt>
                <c:pt idx="23">
                  <c:v>3.1321139349248489E-2</c:v>
                </c:pt>
                <c:pt idx="24">
                  <c:v>3.4034448987987784E-2</c:v>
                </c:pt>
                <c:pt idx="25">
                  <c:v>3.4660270682306871E-2</c:v>
                </c:pt>
                <c:pt idx="26">
                  <c:v>3.7293257385694119E-2</c:v>
                </c:pt>
                <c:pt idx="27">
                  <c:v>3.374701792845456E-2</c:v>
                </c:pt>
                <c:pt idx="28">
                  <c:v>3.851023887296464E-2</c:v>
                </c:pt>
                <c:pt idx="29">
                  <c:v>3.4079442465249472E-2</c:v>
                </c:pt>
                <c:pt idx="30">
                  <c:v>3.9886026753092066E-2</c:v>
                </c:pt>
                <c:pt idx="31">
                  <c:v>3.8609196396663256E-2</c:v>
                </c:pt>
                <c:pt idx="32">
                  <c:v>5.4554971389374582E-2</c:v>
                </c:pt>
                <c:pt idx="33">
                  <c:v>6.5510338983980398E-2</c:v>
                </c:pt>
                <c:pt idx="34">
                  <c:v>7.2795865692235243E-2</c:v>
                </c:pt>
                <c:pt idx="35">
                  <c:v>4.8101094747095174E-2</c:v>
                </c:pt>
                <c:pt idx="36">
                  <c:v>4.0914089217647213E-2</c:v>
                </c:pt>
                <c:pt idx="37">
                  <c:v>3.8175618520636903E-2</c:v>
                </c:pt>
                <c:pt idx="38">
                  <c:v>3.5045281649610203E-2</c:v>
                </c:pt>
                <c:pt idx="39">
                  <c:v>4.0472474812915424E-2</c:v>
                </c:pt>
                <c:pt idx="40">
                  <c:v>3.5411529858096237E-2</c:v>
                </c:pt>
                <c:pt idx="41">
                  <c:v>3.8856234454410651E-2</c:v>
                </c:pt>
                <c:pt idx="42">
                  <c:v>3.26886385879629E-2</c:v>
                </c:pt>
                <c:pt idx="43">
                  <c:v>3.1959094584278709E-2</c:v>
                </c:pt>
                <c:pt idx="44">
                  <c:v>3.1650808584836335E-2</c:v>
                </c:pt>
                <c:pt idx="45">
                  <c:v>3.0777566917882443E-2</c:v>
                </c:pt>
                <c:pt idx="46">
                  <c:v>3.1999726143467203E-2</c:v>
                </c:pt>
                <c:pt idx="47">
                  <c:v>3.0464390529160838E-2</c:v>
                </c:pt>
                <c:pt idx="48">
                  <c:v>2.700653467735557E-2</c:v>
                </c:pt>
                <c:pt idx="49">
                  <c:v>2.5389556919339792E-2</c:v>
                </c:pt>
                <c:pt idx="50">
                  <c:v>3.0128279631587013E-2</c:v>
                </c:pt>
                <c:pt idx="51">
                  <c:v>2.2146613572984971E-2</c:v>
                </c:pt>
                <c:pt idx="52">
                  <c:v>2.4783644188840173E-2</c:v>
                </c:pt>
                <c:pt idx="53">
                  <c:v>2.0477559964864372E-2</c:v>
                </c:pt>
                <c:pt idx="54">
                  <c:v>2.1644447921981932E-2</c:v>
                </c:pt>
                <c:pt idx="55">
                  <c:v>2.6541965424068226E-2</c:v>
                </c:pt>
                <c:pt idx="56">
                  <c:v>2.4402752666981102E-2</c:v>
                </c:pt>
                <c:pt idx="57">
                  <c:v>2.8749525527444576E-2</c:v>
                </c:pt>
                <c:pt idx="58">
                  <c:v>2.491512474108078E-2</c:v>
                </c:pt>
                <c:pt idx="59">
                  <c:v>2.347597652749769E-2</c:v>
                </c:pt>
                <c:pt idx="60">
                  <c:v>3.1425144247103506E-2</c:v>
                </c:pt>
              </c:numCache>
            </c:numRef>
          </c:val>
          <c:extLst>
            <c:ext xmlns:c16="http://schemas.microsoft.com/office/drawing/2014/chart" uri="{C3380CC4-5D6E-409C-BE32-E72D297353CC}">
              <c16:uniqueId val="{00000000-EE83-4E7E-9ABA-60AFF9792D7D}"/>
            </c:ext>
          </c:extLst>
        </c:ser>
        <c:dLbls>
          <c:showLegendKey val="0"/>
          <c:showVal val="0"/>
          <c:showCatName val="0"/>
          <c:showSerName val="0"/>
          <c:showPercent val="0"/>
          <c:showBubbleSize val="0"/>
        </c:dLbls>
        <c:gapWidth val="100"/>
        <c:axId val="1932666672"/>
        <c:axId val="1654456912"/>
      </c:barChart>
      <c:lineChart>
        <c:grouping val="standard"/>
        <c:varyColors val="0"/>
        <c:ser>
          <c:idx val="1"/>
          <c:order val="1"/>
          <c:tx>
            <c:strRef>
              <c:f>'Figure 2'!$C$4</c:f>
              <c:strCache>
                <c:ptCount val="1"/>
                <c:pt idx="0">
                  <c:v>Annual change in aggregate hours worked (%)</c:v>
                </c:pt>
              </c:strCache>
            </c:strRef>
          </c:tx>
          <c:spPr>
            <a:ln w="28575" cap="rnd">
              <a:solidFill>
                <a:schemeClr val="accent2"/>
              </a:solidFill>
              <a:round/>
            </a:ln>
            <a:effectLst/>
          </c:spPr>
          <c:marker>
            <c:symbol val="none"/>
          </c:marker>
          <c:cat>
            <c:numRef>
              <c:f>'Figure 2'!$A$5:$A$65</c:f>
              <c:numCache>
                <c:formatCode>mmm\-yy</c:formatCode>
                <c:ptCount val="61"/>
                <c:pt idx="0">
                  <c:v>43800</c:v>
                </c:pt>
                <c:pt idx="1">
                  <c:v>43831</c:v>
                </c:pt>
                <c:pt idx="2">
                  <c:v>43862</c:v>
                </c:pt>
                <c:pt idx="3">
                  <c:v>43891</c:v>
                </c:pt>
                <c:pt idx="4">
                  <c:v>43922</c:v>
                </c:pt>
                <c:pt idx="5">
                  <c:v>43952</c:v>
                </c:pt>
                <c:pt idx="6">
                  <c:v>43983</c:v>
                </c:pt>
                <c:pt idx="7">
                  <c:v>44013</c:v>
                </c:pt>
                <c:pt idx="8">
                  <c:v>44044</c:v>
                </c:pt>
                <c:pt idx="9">
                  <c:v>44075</c:v>
                </c:pt>
                <c:pt idx="10">
                  <c:v>44105</c:v>
                </c:pt>
                <c:pt idx="11">
                  <c:v>44136</c:v>
                </c:pt>
                <c:pt idx="12">
                  <c:v>44166</c:v>
                </c:pt>
                <c:pt idx="13">
                  <c:v>44197</c:v>
                </c:pt>
                <c:pt idx="14">
                  <c:v>44228</c:v>
                </c:pt>
                <c:pt idx="15">
                  <c:v>44256</c:v>
                </c:pt>
                <c:pt idx="16">
                  <c:v>44287</c:v>
                </c:pt>
                <c:pt idx="17">
                  <c:v>44317</c:v>
                </c:pt>
                <c:pt idx="18">
                  <c:v>44348</c:v>
                </c:pt>
                <c:pt idx="19">
                  <c:v>44378</c:v>
                </c:pt>
                <c:pt idx="20">
                  <c:v>44409</c:v>
                </c:pt>
                <c:pt idx="21">
                  <c:v>44440</c:v>
                </c:pt>
                <c:pt idx="22">
                  <c:v>44470</c:v>
                </c:pt>
                <c:pt idx="23">
                  <c:v>44501</c:v>
                </c:pt>
                <c:pt idx="24">
                  <c:v>44531</c:v>
                </c:pt>
                <c:pt idx="25">
                  <c:v>44562</c:v>
                </c:pt>
                <c:pt idx="26">
                  <c:v>44593</c:v>
                </c:pt>
                <c:pt idx="27">
                  <c:v>44621</c:v>
                </c:pt>
                <c:pt idx="28">
                  <c:v>44652</c:v>
                </c:pt>
                <c:pt idx="29">
                  <c:v>44682</c:v>
                </c:pt>
                <c:pt idx="30">
                  <c:v>44713</c:v>
                </c:pt>
                <c:pt idx="31">
                  <c:v>44743</c:v>
                </c:pt>
                <c:pt idx="32">
                  <c:v>44774</c:v>
                </c:pt>
                <c:pt idx="33">
                  <c:v>44805</c:v>
                </c:pt>
                <c:pt idx="34">
                  <c:v>44835</c:v>
                </c:pt>
                <c:pt idx="35">
                  <c:v>44866</c:v>
                </c:pt>
                <c:pt idx="36">
                  <c:v>44896</c:v>
                </c:pt>
                <c:pt idx="37">
                  <c:v>44927</c:v>
                </c:pt>
                <c:pt idx="38">
                  <c:v>44958</c:v>
                </c:pt>
                <c:pt idx="39">
                  <c:v>44986</c:v>
                </c:pt>
                <c:pt idx="40">
                  <c:v>45017</c:v>
                </c:pt>
                <c:pt idx="41">
                  <c:v>45047</c:v>
                </c:pt>
                <c:pt idx="42">
                  <c:v>45078</c:v>
                </c:pt>
                <c:pt idx="43">
                  <c:v>45108</c:v>
                </c:pt>
                <c:pt idx="44">
                  <c:v>45139</c:v>
                </c:pt>
                <c:pt idx="45">
                  <c:v>45170</c:v>
                </c:pt>
                <c:pt idx="46">
                  <c:v>45200</c:v>
                </c:pt>
                <c:pt idx="47">
                  <c:v>45231</c:v>
                </c:pt>
                <c:pt idx="48">
                  <c:v>45261</c:v>
                </c:pt>
                <c:pt idx="49">
                  <c:v>45292</c:v>
                </c:pt>
                <c:pt idx="50">
                  <c:v>45323</c:v>
                </c:pt>
                <c:pt idx="51">
                  <c:v>45352</c:v>
                </c:pt>
                <c:pt idx="52">
                  <c:v>45383</c:v>
                </c:pt>
                <c:pt idx="53">
                  <c:v>45413</c:v>
                </c:pt>
                <c:pt idx="54">
                  <c:v>45444</c:v>
                </c:pt>
                <c:pt idx="55">
                  <c:v>45474</c:v>
                </c:pt>
                <c:pt idx="56">
                  <c:v>45505</c:v>
                </c:pt>
                <c:pt idx="57">
                  <c:v>45536</c:v>
                </c:pt>
                <c:pt idx="58">
                  <c:v>45566</c:v>
                </c:pt>
                <c:pt idx="59">
                  <c:v>45597</c:v>
                </c:pt>
                <c:pt idx="60">
                  <c:v>45627</c:v>
                </c:pt>
              </c:numCache>
            </c:numRef>
          </c:cat>
          <c:val>
            <c:numRef>
              <c:f>'Figure 2'!$C$5:$C$65</c:f>
              <c:numCache>
                <c:formatCode>0.0%</c:formatCode>
                <c:ptCount val="61"/>
                <c:pt idx="0">
                  <c:v>2.0386795049147869E-2</c:v>
                </c:pt>
                <c:pt idx="1">
                  <c:v>9.3339600710641447E-3</c:v>
                </c:pt>
                <c:pt idx="2">
                  <c:v>2.722481948201599E-4</c:v>
                </c:pt>
                <c:pt idx="3">
                  <c:v>-7.3829224585379022E-3</c:v>
                </c:pt>
                <c:pt idx="4">
                  <c:v>-0.10340457975315734</c:v>
                </c:pt>
                <c:pt idx="5">
                  <c:v>-9.3254405656865755E-2</c:v>
                </c:pt>
                <c:pt idx="6">
                  <c:v>-5.8944473420525619E-2</c:v>
                </c:pt>
                <c:pt idx="7">
                  <c:v>-5.0021139275361171E-2</c:v>
                </c:pt>
                <c:pt idx="8">
                  <c:v>-4.9995024932429119E-2</c:v>
                </c:pt>
                <c:pt idx="9">
                  <c:v>-5.0674783233750062E-2</c:v>
                </c:pt>
                <c:pt idx="10">
                  <c:v>-3.613482776304329E-2</c:v>
                </c:pt>
                <c:pt idx="11">
                  <c:v>-1.4231852386891106E-2</c:v>
                </c:pt>
                <c:pt idx="12">
                  <c:v>-1.7161992244674865E-2</c:v>
                </c:pt>
                <c:pt idx="13">
                  <c:v>-5.2031416419177384E-2</c:v>
                </c:pt>
                <c:pt idx="14">
                  <c:v>-3.749007393006851E-3</c:v>
                </c:pt>
                <c:pt idx="15">
                  <c:v>2.0424995478298253E-2</c:v>
                </c:pt>
                <c:pt idx="16">
                  <c:v>0.11768350532563007</c:v>
                </c:pt>
                <c:pt idx="17">
                  <c:v>0.12797179088749522</c:v>
                </c:pt>
                <c:pt idx="18">
                  <c:v>6.8613567992400329E-2</c:v>
                </c:pt>
                <c:pt idx="19">
                  <c:v>5.5582840166152322E-2</c:v>
                </c:pt>
                <c:pt idx="20">
                  <c:v>1.0800778015922625E-2</c:v>
                </c:pt>
                <c:pt idx="21">
                  <c:v>2.318479449123104E-2</c:v>
                </c:pt>
                <c:pt idx="22">
                  <c:v>9.7949254531545082E-3</c:v>
                </c:pt>
                <c:pt idx="23">
                  <c:v>2.9826636406920383E-2</c:v>
                </c:pt>
                <c:pt idx="24">
                  <c:v>4.331265632813415E-2</c:v>
                </c:pt>
                <c:pt idx="25">
                  <c:v>7.7022002933933844E-3</c:v>
                </c:pt>
                <c:pt idx="26">
                  <c:v>3.4394704280359636E-2</c:v>
                </c:pt>
                <c:pt idx="27">
                  <c:v>7.3602141323679069E-3</c:v>
                </c:pt>
                <c:pt idx="28">
                  <c:v>2.9366685062047471E-2</c:v>
                </c:pt>
                <c:pt idx="29">
                  <c:v>2.473262331461433E-2</c:v>
                </c:pt>
                <c:pt idx="30">
                  <c:v>4.4610595137680141E-2</c:v>
                </c:pt>
                <c:pt idx="31">
                  <c:v>4.2773685393572361E-2</c:v>
                </c:pt>
                <c:pt idx="32">
                  <c:v>9.8268359655382734E-2</c:v>
                </c:pt>
                <c:pt idx="33">
                  <c:v>8.684048056540089E-2</c:v>
                </c:pt>
                <c:pt idx="34">
                  <c:v>0.10244263260721682</c:v>
                </c:pt>
                <c:pt idx="35">
                  <c:v>6.16781316487151E-2</c:v>
                </c:pt>
                <c:pt idx="36">
                  <c:v>4.2475719160191307E-2</c:v>
                </c:pt>
                <c:pt idx="37">
                  <c:v>0.10418251946518903</c:v>
                </c:pt>
                <c:pt idx="38">
                  <c:v>5.84859113443384E-2</c:v>
                </c:pt>
                <c:pt idx="39">
                  <c:v>6.6391896298865563E-2</c:v>
                </c:pt>
                <c:pt idx="40">
                  <c:v>8.3906232862010252E-2</c:v>
                </c:pt>
                <c:pt idx="41">
                  <c:v>5.0412275469342412E-2</c:v>
                </c:pt>
                <c:pt idx="42">
                  <c:v>4.8331705777155551E-2</c:v>
                </c:pt>
                <c:pt idx="43">
                  <c:v>5.1347812762782774E-2</c:v>
                </c:pt>
                <c:pt idx="44">
                  <c:v>3.1828390938634675E-2</c:v>
                </c:pt>
                <c:pt idx="45">
                  <c:v>2.6275294549522953E-2</c:v>
                </c:pt>
                <c:pt idx="46">
                  <c:v>1.188565004379369E-2</c:v>
                </c:pt>
                <c:pt idx="47">
                  <c:v>9.8107329809727778E-3</c:v>
                </c:pt>
                <c:pt idx="48">
                  <c:v>7.2718976367705628E-3</c:v>
                </c:pt>
                <c:pt idx="49">
                  <c:v>1.9767570828526431E-3</c:v>
                </c:pt>
                <c:pt idx="50">
                  <c:v>3.0854244961911808E-3</c:v>
                </c:pt>
                <c:pt idx="51">
                  <c:v>9.8558322084898609E-3</c:v>
                </c:pt>
                <c:pt idx="52">
                  <c:v>-1.457282114062527E-2</c:v>
                </c:pt>
                <c:pt idx="53">
                  <c:v>-7.9956467010415077E-4</c:v>
                </c:pt>
                <c:pt idx="54">
                  <c:v>-4.4565958739191982E-4</c:v>
                </c:pt>
                <c:pt idx="55">
                  <c:v>2.9186689101182773E-3</c:v>
                </c:pt>
                <c:pt idx="56">
                  <c:v>1.4807632633042422E-2</c:v>
                </c:pt>
                <c:pt idx="57">
                  <c:v>2.1389239647472549E-2</c:v>
                </c:pt>
                <c:pt idx="58">
                  <c:v>2.2256030955087359E-2</c:v>
                </c:pt>
                <c:pt idx="59">
                  <c:v>2.1035846610088213E-2</c:v>
                </c:pt>
                <c:pt idx="60">
                  <c:v>3.1931422206643488E-2</c:v>
                </c:pt>
              </c:numCache>
            </c:numRef>
          </c:val>
          <c:smooth val="0"/>
          <c:extLst>
            <c:ext xmlns:c16="http://schemas.microsoft.com/office/drawing/2014/chart" uri="{C3380CC4-5D6E-409C-BE32-E72D297353CC}">
              <c16:uniqueId val="{00000001-EE83-4E7E-9ABA-60AFF9792D7D}"/>
            </c:ext>
          </c:extLst>
        </c:ser>
        <c:dLbls>
          <c:showLegendKey val="0"/>
          <c:showVal val="0"/>
          <c:showCatName val="0"/>
          <c:showSerName val="0"/>
          <c:showPercent val="0"/>
          <c:showBubbleSize val="0"/>
        </c:dLbls>
        <c:marker val="1"/>
        <c:smooth val="0"/>
        <c:axId val="1932666672"/>
        <c:axId val="1654456912"/>
      </c:lineChart>
      <c:dateAx>
        <c:axId val="1932666672"/>
        <c:scaling>
          <c:orientation val="minMax"/>
        </c:scaling>
        <c:delete val="0"/>
        <c:axPos val="b"/>
        <c:numFmt formatCode="mmm\-yy"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54456912"/>
        <c:crosses val="autoZero"/>
        <c:auto val="1"/>
        <c:lblOffset val="100"/>
        <c:baseTimeUnit val="months"/>
        <c:majorUnit val="3"/>
        <c:majorTimeUnit val="months"/>
      </c:dateAx>
      <c:valAx>
        <c:axId val="1654456912"/>
        <c:scaling>
          <c:orientation val="minMax"/>
        </c:scaling>
        <c:delete val="0"/>
        <c:axPos val="l"/>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3266667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503347784909312E-2"/>
          <c:y val="8.6674067715714724E-3"/>
          <c:w val="0.59054822094606596"/>
          <c:h val="0.84130149133670684"/>
        </c:manualLayout>
      </c:layout>
      <c:barChart>
        <c:barDir val="bar"/>
        <c:grouping val="clustered"/>
        <c:varyColors val="0"/>
        <c:ser>
          <c:idx val="0"/>
          <c:order val="0"/>
          <c:tx>
            <c:strRef>
              <c:f>Sheet1!$B$1</c:f>
              <c:strCache>
                <c:ptCount val="1"/>
                <c:pt idx="0">
                  <c:v>Annual employment change ('000)</c:v>
                </c:pt>
              </c:strCache>
            </c:strRef>
          </c:tx>
          <c:spPr>
            <a:solidFill>
              <a:srgbClr val="44117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Manufacturing</c:v>
                </c:pt>
                <c:pt idx="1">
                  <c:v>Financial and Insurance Services</c:v>
                </c:pt>
                <c:pt idx="2">
                  <c:v>Professional, Scientific and Technical Services</c:v>
                </c:pt>
                <c:pt idx="3">
                  <c:v>Information Media and Telecommunications</c:v>
                </c:pt>
                <c:pt idx="4">
                  <c:v>Wholesale Trade</c:v>
                </c:pt>
                <c:pt idx="5">
                  <c:v>Agriculture, Forestry and Fishing</c:v>
                </c:pt>
                <c:pt idx="6">
                  <c:v>Administrative and Support Services</c:v>
                </c:pt>
                <c:pt idx="7">
                  <c:v>Mining</c:v>
                </c:pt>
                <c:pt idx="8">
                  <c:v>Arts and Recreation Services</c:v>
                </c:pt>
                <c:pt idx="9">
                  <c:v>Rental, Hiring and Real Estate Services</c:v>
                </c:pt>
                <c:pt idx="10">
                  <c:v>Electricity, Gas, Water and Waste Services</c:v>
                </c:pt>
                <c:pt idx="11">
                  <c:v>Transport, Postal and Warehousing</c:v>
                </c:pt>
                <c:pt idx="12">
                  <c:v>Other Services</c:v>
                </c:pt>
                <c:pt idx="13">
                  <c:v>Retail Trade</c:v>
                </c:pt>
                <c:pt idx="14">
                  <c:v>Construction</c:v>
                </c:pt>
                <c:pt idx="15">
                  <c:v>Public Administration and Safety</c:v>
                </c:pt>
                <c:pt idx="16">
                  <c:v>Accommodation and Food Services</c:v>
                </c:pt>
                <c:pt idx="17">
                  <c:v>Education and Training</c:v>
                </c:pt>
                <c:pt idx="18">
                  <c:v>Health Care and Social Assistance</c:v>
                </c:pt>
              </c:strCache>
            </c:strRef>
          </c:cat>
          <c:val>
            <c:numRef>
              <c:f>Sheet1!$B$2:$B$20</c:f>
              <c:numCache>
                <c:formatCode>General</c:formatCode>
                <c:ptCount val="19"/>
                <c:pt idx="0">
                  <c:v>-16.399999999999999</c:v>
                </c:pt>
                <c:pt idx="1">
                  <c:v>-7.8</c:v>
                </c:pt>
                <c:pt idx="2">
                  <c:v>-7.2</c:v>
                </c:pt>
                <c:pt idx="3">
                  <c:v>-2.2999999999999998</c:v>
                </c:pt>
                <c:pt idx="4">
                  <c:v>-1.7</c:v>
                </c:pt>
                <c:pt idx="5">
                  <c:v>0</c:v>
                </c:pt>
                <c:pt idx="6">
                  <c:v>3</c:v>
                </c:pt>
                <c:pt idx="7">
                  <c:v>4.7</c:v>
                </c:pt>
                <c:pt idx="8">
                  <c:v>10.1</c:v>
                </c:pt>
                <c:pt idx="9">
                  <c:v>14.1</c:v>
                </c:pt>
                <c:pt idx="10">
                  <c:v>14.4</c:v>
                </c:pt>
                <c:pt idx="11">
                  <c:v>14.5</c:v>
                </c:pt>
                <c:pt idx="12">
                  <c:v>20.7</c:v>
                </c:pt>
                <c:pt idx="13">
                  <c:v>25.2</c:v>
                </c:pt>
                <c:pt idx="14">
                  <c:v>31.7</c:v>
                </c:pt>
                <c:pt idx="15">
                  <c:v>34.6</c:v>
                </c:pt>
                <c:pt idx="16">
                  <c:v>42.7</c:v>
                </c:pt>
                <c:pt idx="17">
                  <c:v>54.9</c:v>
                </c:pt>
                <c:pt idx="18">
                  <c:v>70.2</c:v>
                </c:pt>
              </c:numCache>
            </c:numRef>
          </c:val>
          <c:extLst>
            <c:ext xmlns:c16="http://schemas.microsoft.com/office/drawing/2014/chart" uri="{C3380CC4-5D6E-409C-BE32-E72D297353CC}">
              <c16:uniqueId val="{00000000-11AB-44DA-8249-4EC5C72E7450}"/>
            </c:ext>
          </c:extLst>
        </c:ser>
        <c:dLbls>
          <c:showLegendKey val="0"/>
          <c:showVal val="0"/>
          <c:showCatName val="0"/>
          <c:showSerName val="0"/>
          <c:showPercent val="0"/>
          <c:showBubbleSize val="0"/>
        </c:dLbls>
        <c:gapWidth val="182"/>
        <c:axId val="809945024"/>
        <c:axId val="812499152"/>
      </c:barChart>
      <c:catAx>
        <c:axId val="809945024"/>
        <c:scaling>
          <c:orientation val="minMax"/>
        </c:scaling>
        <c:delete val="0"/>
        <c:axPos val="l"/>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12499152"/>
        <c:crosses val="autoZero"/>
        <c:auto val="1"/>
        <c:lblAlgn val="ctr"/>
        <c:lblOffset val="100"/>
        <c:noMultiLvlLbl val="0"/>
      </c:catAx>
      <c:valAx>
        <c:axId val="812499152"/>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09945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12007168458781"/>
          <c:y val="4.6296296296296294E-2"/>
          <c:w val="0.83690591397849445"/>
          <c:h val="0.85818638888888887"/>
        </c:manualLayout>
      </c:layout>
      <c:lineChart>
        <c:grouping val="standard"/>
        <c:varyColors val="0"/>
        <c:ser>
          <c:idx val="0"/>
          <c:order val="0"/>
          <c:tx>
            <c:strRef>
              <c:f>'ERSA - Fig.4'!$B$3</c:f>
              <c:strCache>
                <c:ptCount val="1"/>
                <c:pt idx="0">
                  <c:v>Recruitment rate</c:v>
                </c:pt>
              </c:strCache>
            </c:strRef>
          </c:tx>
          <c:spPr>
            <a:ln w="28575" cap="rnd">
              <a:solidFill>
                <a:schemeClr val="accent1"/>
              </a:solidFill>
              <a:round/>
            </a:ln>
            <a:effectLst/>
          </c:spPr>
          <c:marker>
            <c:symbol val="none"/>
          </c:marker>
          <c:dPt>
            <c:idx val="3"/>
            <c:marker>
              <c:symbol val="none"/>
            </c:marker>
            <c:bubble3D val="0"/>
            <c:extLst>
              <c:ext xmlns:c16="http://schemas.microsoft.com/office/drawing/2014/chart" uri="{C3380CC4-5D6E-409C-BE32-E72D297353CC}">
                <c16:uniqueId val="{00000000-F3B1-415E-94DA-B8D3F108045B}"/>
              </c:ext>
            </c:extLst>
          </c:dPt>
          <c:dPt>
            <c:idx val="4"/>
            <c:marker>
              <c:symbol val="circle"/>
              <c:size val="10"/>
              <c:spPr>
                <a:solidFill>
                  <a:schemeClr val="accent1"/>
                </a:solidFill>
                <a:ln w="9525">
                  <a:solidFill>
                    <a:schemeClr val="accent1"/>
                  </a:solidFill>
                </a:ln>
                <a:effectLst/>
              </c:spPr>
            </c:marker>
            <c:bubble3D val="0"/>
            <c:extLst>
              <c:ext xmlns:c16="http://schemas.microsoft.com/office/drawing/2014/chart" uri="{C3380CC4-5D6E-409C-BE32-E72D297353CC}">
                <c16:uniqueId val="{00000001-F3B1-415E-94DA-B8D3F108045B}"/>
              </c:ext>
            </c:extLst>
          </c:dPt>
          <c:dPt>
            <c:idx val="8"/>
            <c:marker>
              <c:symbol val="circle"/>
              <c:size val="10"/>
              <c:spPr>
                <a:solidFill>
                  <a:schemeClr val="accent1"/>
                </a:solidFill>
                <a:ln w="9525">
                  <a:solidFill>
                    <a:schemeClr val="accent1"/>
                  </a:solidFill>
                </a:ln>
                <a:effectLst/>
              </c:spPr>
            </c:marker>
            <c:bubble3D val="0"/>
            <c:extLst>
              <c:ext xmlns:c16="http://schemas.microsoft.com/office/drawing/2014/chart" uri="{C3380CC4-5D6E-409C-BE32-E72D297353CC}">
                <c16:uniqueId val="{00000002-F3B1-415E-94DA-B8D3F108045B}"/>
              </c:ext>
            </c:extLst>
          </c:dPt>
          <c:dPt>
            <c:idx val="11"/>
            <c:marker>
              <c:symbol val="none"/>
            </c:marker>
            <c:bubble3D val="0"/>
            <c:extLst>
              <c:ext xmlns:c16="http://schemas.microsoft.com/office/drawing/2014/chart" uri="{C3380CC4-5D6E-409C-BE32-E72D297353CC}">
                <c16:uniqueId val="{00000003-F3B1-415E-94DA-B8D3F108045B}"/>
              </c:ext>
            </c:extLst>
          </c:dPt>
          <c:dPt>
            <c:idx val="12"/>
            <c:marker>
              <c:symbol val="circle"/>
              <c:size val="10"/>
              <c:spPr>
                <a:solidFill>
                  <a:schemeClr val="accent1"/>
                </a:solidFill>
                <a:ln w="9525">
                  <a:solidFill>
                    <a:schemeClr val="accent1"/>
                  </a:solidFill>
                </a:ln>
                <a:effectLst/>
              </c:spPr>
            </c:marker>
            <c:bubble3D val="0"/>
            <c:extLst>
              <c:ext xmlns:c16="http://schemas.microsoft.com/office/drawing/2014/chart" uri="{C3380CC4-5D6E-409C-BE32-E72D297353CC}">
                <c16:uniqueId val="{00000004-F3B1-415E-94DA-B8D3F108045B}"/>
              </c:ext>
            </c:extLst>
          </c:dPt>
          <c:dLbls>
            <c:dLbl>
              <c:idx val="4"/>
              <c:layout>
                <c:manualLayout>
                  <c:x val="-3.80479344055503E-2"/>
                  <c:y val="-5.54857735787231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B1-415E-94DA-B8D3F108045B}"/>
                </c:ext>
              </c:extLst>
            </c:dLbl>
            <c:dLbl>
              <c:idx val="8"/>
              <c:layout>
                <c:manualLayout>
                  <c:x val="-4.2100598271659732E-2"/>
                  <c:y val="-6.16073928871464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B1-415E-94DA-B8D3F108045B}"/>
                </c:ext>
              </c:extLst>
            </c:dLbl>
            <c:dLbl>
              <c:idx val="12"/>
              <c:layout>
                <c:manualLayout>
                  <c:x val="-4.0050457269000465E-2"/>
                  <c:y val="-6.01095880436168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3B1-415E-94DA-B8D3F108045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noFill/>
                      <a:round/>
                    </a:ln>
                    <a:effectLst/>
                  </c:spPr>
                </c15:leaderLines>
              </c:ext>
            </c:extLst>
          </c:dLbls>
          <c:cat>
            <c:numRef>
              <c:f>'ERSA - Fig.4'!$A$5:$A$17</c:f>
              <c:numCache>
                <c:formatCode>mmm\-yy</c:formatCode>
                <c:ptCount val="13"/>
                <c:pt idx="0">
                  <c:v>44531</c:v>
                </c:pt>
                <c:pt idx="1">
                  <c:v>44621</c:v>
                </c:pt>
                <c:pt idx="2">
                  <c:v>44713</c:v>
                </c:pt>
                <c:pt idx="3">
                  <c:v>44805</c:v>
                </c:pt>
                <c:pt idx="4">
                  <c:v>44896</c:v>
                </c:pt>
                <c:pt idx="5">
                  <c:v>44986</c:v>
                </c:pt>
                <c:pt idx="6">
                  <c:v>45078</c:v>
                </c:pt>
                <c:pt idx="7">
                  <c:v>45170</c:v>
                </c:pt>
                <c:pt idx="8">
                  <c:v>45261</c:v>
                </c:pt>
                <c:pt idx="9">
                  <c:v>45352</c:v>
                </c:pt>
                <c:pt idx="10">
                  <c:v>45444</c:v>
                </c:pt>
                <c:pt idx="11">
                  <c:v>45536</c:v>
                </c:pt>
                <c:pt idx="12">
                  <c:v>45627</c:v>
                </c:pt>
              </c:numCache>
            </c:numRef>
          </c:cat>
          <c:val>
            <c:numRef>
              <c:f>'ERSA - Fig.4'!$B$5:$B$17</c:f>
              <c:numCache>
                <c:formatCode>0%</c:formatCode>
                <c:ptCount val="13"/>
                <c:pt idx="0">
                  <c:v>0.48</c:v>
                </c:pt>
                <c:pt idx="1">
                  <c:v>0.53</c:v>
                </c:pt>
                <c:pt idx="2">
                  <c:v>0.57999999999999996</c:v>
                </c:pt>
                <c:pt idx="3">
                  <c:v>0.56999999999999995</c:v>
                </c:pt>
                <c:pt idx="4">
                  <c:v>0.56000000000000005</c:v>
                </c:pt>
                <c:pt idx="5">
                  <c:v>0.55000000000000004</c:v>
                </c:pt>
                <c:pt idx="6">
                  <c:v>0.5</c:v>
                </c:pt>
                <c:pt idx="7">
                  <c:v>0.48</c:v>
                </c:pt>
                <c:pt idx="8">
                  <c:v>0.5</c:v>
                </c:pt>
                <c:pt idx="9">
                  <c:v>0.49</c:v>
                </c:pt>
                <c:pt idx="10">
                  <c:v>0.45</c:v>
                </c:pt>
                <c:pt idx="11">
                  <c:v>0.44</c:v>
                </c:pt>
                <c:pt idx="12">
                  <c:v>0.43</c:v>
                </c:pt>
              </c:numCache>
            </c:numRef>
          </c:val>
          <c:smooth val="0"/>
          <c:extLst>
            <c:ext xmlns:c16="http://schemas.microsoft.com/office/drawing/2014/chart" uri="{C3380CC4-5D6E-409C-BE32-E72D297353CC}">
              <c16:uniqueId val="{00000005-F3B1-415E-94DA-B8D3F108045B}"/>
            </c:ext>
          </c:extLst>
        </c:ser>
        <c:dLbls>
          <c:showLegendKey val="0"/>
          <c:showVal val="0"/>
          <c:showCatName val="0"/>
          <c:showSerName val="0"/>
          <c:showPercent val="0"/>
          <c:showBubbleSize val="0"/>
        </c:dLbls>
        <c:smooth val="0"/>
        <c:axId val="347802271"/>
        <c:axId val="347802751"/>
      </c:lineChart>
      <c:dateAx>
        <c:axId val="347802271"/>
        <c:scaling>
          <c:orientation val="minMax"/>
        </c:scaling>
        <c:delete val="0"/>
        <c:axPos val="b"/>
        <c:numFmt formatCode="mmm\-yy"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47802751"/>
        <c:crosses val="autoZero"/>
        <c:auto val="1"/>
        <c:lblOffset val="100"/>
        <c:baseTimeUnit val="months"/>
        <c:majorUnit val="12"/>
        <c:majorTimeUnit val="months"/>
      </c:dateAx>
      <c:valAx>
        <c:axId val="347802751"/>
        <c:scaling>
          <c:orientation val="minMax"/>
          <c:max val="0.8"/>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Percentage of all employers (%)</a:t>
                </a:r>
              </a:p>
            </c:rich>
          </c:tx>
          <c:layout>
            <c:manualLayout>
              <c:xMode val="edge"/>
              <c:yMode val="edge"/>
              <c:x val="3.4868848347230277E-3"/>
              <c:y val="0.2190367394871318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47802271"/>
        <c:crosses val="autoZero"/>
        <c:crossBetween val="midCat"/>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 5'!$G$1</c:f>
              <c:strCache>
                <c:ptCount val="1"/>
                <c:pt idx="0">
                  <c:v>Seasonally adjusted job advertisements (LHS)</c:v>
                </c:pt>
              </c:strCache>
            </c:strRef>
          </c:tx>
          <c:spPr>
            <a:solidFill>
              <a:srgbClr val="6929C4"/>
            </a:solidFill>
            <a:ln>
              <a:noFill/>
            </a:ln>
            <a:effectLst/>
          </c:spPr>
          <c:invertIfNegative val="0"/>
          <c:cat>
            <c:numRef>
              <c:f>'Fig 5'!$F$2:$F$229</c:f>
              <c:numCache>
                <c:formatCode>mmm\-yy</c:formatCode>
                <c:ptCount val="228"/>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pt idx="36">
                  <c:v>39814</c:v>
                </c:pt>
                <c:pt idx="37">
                  <c:v>39845</c:v>
                </c:pt>
                <c:pt idx="38">
                  <c:v>39873</c:v>
                </c:pt>
                <c:pt idx="39">
                  <c:v>39904</c:v>
                </c:pt>
                <c:pt idx="40">
                  <c:v>39934</c:v>
                </c:pt>
                <c:pt idx="41">
                  <c:v>39965</c:v>
                </c:pt>
                <c:pt idx="42">
                  <c:v>39995</c:v>
                </c:pt>
                <c:pt idx="43">
                  <c:v>40026</c:v>
                </c:pt>
                <c:pt idx="44">
                  <c:v>40057</c:v>
                </c:pt>
                <c:pt idx="45">
                  <c:v>40087</c:v>
                </c:pt>
                <c:pt idx="46">
                  <c:v>40118</c:v>
                </c:pt>
                <c:pt idx="47">
                  <c:v>40148</c:v>
                </c:pt>
                <c:pt idx="48">
                  <c:v>40179</c:v>
                </c:pt>
                <c:pt idx="49">
                  <c:v>40210</c:v>
                </c:pt>
                <c:pt idx="50">
                  <c:v>40238</c:v>
                </c:pt>
                <c:pt idx="51">
                  <c:v>40269</c:v>
                </c:pt>
                <c:pt idx="52">
                  <c:v>40299</c:v>
                </c:pt>
                <c:pt idx="53">
                  <c:v>40330</c:v>
                </c:pt>
                <c:pt idx="54">
                  <c:v>40360</c:v>
                </c:pt>
                <c:pt idx="55">
                  <c:v>40391</c:v>
                </c:pt>
                <c:pt idx="56">
                  <c:v>40422</c:v>
                </c:pt>
                <c:pt idx="57">
                  <c:v>40452</c:v>
                </c:pt>
                <c:pt idx="58">
                  <c:v>40483</c:v>
                </c:pt>
                <c:pt idx="59">
                  <c:v>40513</c:v>
                </c:pt>
                <c:pt idx="60">
                  <c:v>40544</c:v>
                </c:pt>
                <c:pt idx="61">
                  <c:v>40575</c:v>
                </c:pt>
                <c:pt idx="62">
                  <c:v>40603</c:v>
                </c:pt>
                <c:pt idx="63">
                  <c:v>40634</c:v>
                </c:pt>
                <c:pt idx="64">
                  <c:v>40664</c:v>
                </c:pt>
                <c:pt idx="65">
                  <c:v>40695</c:v>
                </c:pt>
                <c:pt idx="66">
                  <c:v>40725</c:v>
                </c:pt>
                <c:pt idx="67">
                  <c:v>40756</c:v>
                </c:pt>
                <c:pt idx="68">
                  <c:v>40787</c:v>
                </c:pt>
                <c:pt idx="69">
                  <c:v>40817</c:v>
                </c:pt>
                <c:pt idx="70">
                  <c:v>40848</c:v>
                </c:pt>
                <c:pt idx="71">
                  <c:v>40878</c:v>
                </c:pt>
                <c:pt idx="72">
                  <c:v>40909</c:v>
                </c:pt>
                <c:pt idx="73">
                  <c:v>40940</c:v>
                </c:pt>
                <c:pt idx="74">
                  <c:v>40969</c:v>
                </c:pt>
                <c:pt idx="75">
                  <c:v>41000</c:v>
                </c:pt>
                <c:pt idx="76">
                  <c:v>41030</c:v>
                </c:pt>
                <c:pt idx="77">
                  <c:v>41061</c:v>
                </c:pt>
                <c:pt idx="78">
                  <c:v>41091</c:v>
                </c:pt>
                <c:pt idx="79">
                  <c:v>41122</c:v>
                </c:pt>
                <c:pt idx="80">
                  <c:v>41153</c:v>
                </c:pt>
                <c:pt idx="81">
                  <c:v>41183</c:v>
                </c:pt>
                <c:pt idx="82">
                  <c:v>41214</c:v>
                </c:pt>
                <c:pt idx="83">
                  <c:v>41244</c:v>
                </c:pt>
                <c:pt idx="84">
                  <c:v>41275</c:v>
                </c:pt>
                <c:pt idx="85">
                  <c:v>41306</c:v>
                </c:pt>
                <c:pt idx="86">
                  <c:v>41334</c:v>
                </c:pt>
                <c:pt idx="87">
                  <c:v>41365</c:v>
                </c:pt>
                <c:pt idx="88">
                  <c:v>41395</c:v>
                </c:pt>
                <c:pt idx="89">
                  <c:v>41426</c:v>
                </c:pt>
                <c:pt idx="90">
                  <c:v>41456</c:v>
                </c:pt>
                <c:pt idx="91">
                  <c:v>41487</c:v>
                </c:pt>
                <c:pt idx="92">
                  <c:v>41518</c:v>
                </c:pt>
                <c:pt idx="93">
                  <c:v>41548</c:v>
                </c:pt>
                <c:pt idx="94">
                  <c:v>41579</c:v>
                </c:pt>
                <c:pt idx="95">
                  <c:v>41609</c:v>
                </c:pt>
                <c:pt idx="96">
                  <c:v>41640</c:v>
                </c:pt>
                <c:pt idx="97">
                  <c:v>41671</c:v>
                </c:pt>
                <c:pt idx="98">
                  <c:v>41699</c:v>
                </c:pt>
                <c:pt idx="99">
                  <c:v>41730</c:v>
                </c:pt>
                <c:pt idx="100">
                  <c:v>41760</c:v>
                </c:pt>
                <c:pt idx="101">
                  <c:v>41791</c:v>
                </c:pt>
                <c:pt idx="102">
                  <c:v>41821</c:v>
                </c:pt>
                <c:pt idx="103">
                  <c:v>41852</c:v>
                </c:pt>
                <c:pt idx="104">
                  <c:v>41883</c:v>
                </c:pt>
                <c:pt idx="105">
                  <c:v>41913</c:v>
                </c:pt>
                <c:pt idx="106">
                  <c:v>41944</c:v>
                </c:pt>
                <c:pt idx="107">
                  <c:v>41974</c:v>
                </c:pt>
                <c:pt idx="108">
                  <c:v>42005</c:v>
                </c:pt>
                <c:pt idx="109">
                  <c:v>42036</c:v>
                </c:pt>
                <c:pt idx="110">
                  <c:v>42064</c:v>
                </c:pt>
                <c:pt idx="111">
                  <c:v>42095</c:v>
                </c:pt>
                <c:pt idx="112">
                  <c:v>42125</c:v>
                </c:pt>
                <c:pt idx="113">
                  <c:v>42156</c:v>
                </c:pt>
                <c:pt idx="114">
                  <c:v>42186</c:v>
                </c:pt>
                <c:pt idx="115">
                  <c:v>42217</c:v>
                </c:pt>
                <c:pt idx="116">
                  <c:v>42248</c:v>
                </c:pt>
                <c:pt idx="117">
                  <c:v>42278</c:v>
                </c:pt>
                <c:pt idx="118">
                  <c:v>42309</c:v>
                </c:pt>
                <c:pt idx="119">
                  <c:v>42339</c:v>
                </c:pt>
                <c:pt idx="120">
                  <c:v>42370</c:v>
                </c:pt>
                <c:pt idx="121">
                  <c:v>42401</c:v>
                </c:pt>
                <c:pt idx="122">
                  <c:v>42430</c:v>
                </c:pt>
                <c:pt idx="123">
                  <c:v>42461</c:v>
                </c:pt>
                <c:pt idx="124">
                  <c:v>42491</c:v>
                </c:pt>
                <c:pt idx="125">
                  <c:v>42522</c:v>
                </c:pt>
                <c:pt idx="126">
                  <c:v>42552</c:v>
                </c:pt>
                <c:pt idx="127">
                  <c:v>42583</c:v>
                </c:pt>
                <c:pt idx="128">
                  <c:v>42614</c:v>
                </c:pt>
                <c:pt idx="129">
                  <c:v>42644</c:v>
                </c:pt>
                <c:pt idx="130">
                  <c:v>42675</c:v>
                </c:pt>
                <c:pt idx="131">
                  <c:v>42705</c:v>
                </c:pt>
                <c:pt idx="132">
                  <c:v>42736</c:v>
                </c:pt>
                <c:pt idx="133">
                  <c:v>42767</c:v>
                </c:pt>
                <c:pt idx="134">
                  <c:v>42795</c:v>
                </c:pt>
                <c:pt idx="135">
                  <c:v>42826</c:v>
                </c:pt>
                <c:pt idx="136">
                  <c:v>42856</c:v>
                </c:pt>
                <c:pt idx="137">
                  <c:v>42887</c:v>
                </c:pt>
                <c:pt idx="138">
                  <c:v>42917</c:v>
                </c:pt>
                <c:pt idx="139">
                  <c:v>42948</c:v>
                </c:pt>
                <c:pt idx="140">
                  <c:v>42979</c:v>
                </c:pt>
                <c:pt idx="141">
                  <c:v>43009</c:v>
                </c:pt>
                <c:pt idx="142">
                  <c:v>43040</c:v>
                </c:pt>
                <c:pt idx="143">
                  <c:v>43070</c:v>
                </c:pt>
                <c:pt idx="144">
                  <c:v>43101</c:v>
                </c:pt>
                <c:pt idx="145">
                  <c:v>43132</c:v>
                </c:pt>
                <c:pt idx="146">
                  <c:v>43160</c:v>
                </c:pt>
                <c:pt idx="147">
                  <c:v>43191</c:v>
                </c:pt>
                <c:pt idx="148">
                  <c:v>43221</c:v>
                </c:pt>
                <c:pt idx="149">
                  <c:v>43252</c:v>
                </c:pt>
                <c:pt idx="150">
                  <c:v>43282</c:v>
                </c:pt>
                <c:pt idx="151">
                  <c:v>43313</c:v>
                </c:pt>
                <c:pt idx="152">
                  <c:v>43344</c:v>
                </c:pt>
                <c:pt idx="153">
                  <c:v>43374</c:v>
                </c:pt>
                <c:pt idx="154">
                  <c:v>43405</c:v>
                </c:pt>
                <c:pt idx="155">
                  <c:v>43435</c:v>
                </c:pt>
                <c:pt idx="156">
                  <c:v>43466</c:v>
                </c:pt>
                <c:pt idx="157">
                  <c:v>43497</c:v>
                </c:pt>
                <c:pt idx="158">
                  <c:v>43525</c:v>
                </c:pt>
                <c:pt idx="159">
                  <c:v>43556</c:v>
                </c:pt>
                <c:pt idx="160">
                  <c:v>43586</c:v>
                </c:pt>
                <c:pt idx="161">
                  <c:v>43617</c:v>
                </c:pt>
                <c:pt idx="162">
                  <c:v>43647</c:v>
                </c:pt>
                <c:pt idx="163">
                  <c:v>43678</c:v>
                </c:pt>
                <c:pt idx="164">
                  <c:v>43709</c:v>
                </c:pt>
                <c:pt idx="165">
                  <c:v>43739</c:v>
                </c:pt>
                <c:pt idx="166">
                  <c:v>43770</c:v>
                </c:pt>
                <c:pt idx="167">
                  <c:v>43800</c:v>
                </c:pt>
                <c:pt idx="168">
                  <c:v>43831</c:v>
                </c:pt>
                <c:pt idx="169">
                  <c:v>43862</c:v>
                </c:pt>
                <c:pt idx="170">
                  <c:v>43891</c:v>
                </c:pt>
                <c:pt idx="171">
                  <c:v>43922</c:v>
                </c:pt>
                <c:pt idx="172">
                  <c:v>43952</c:v>
                </c:pt>
                <c:pt idx="173">
                  <c:v>43983</c:v>
                </c:pt>
                <c:pt idx="174">
                  <c:v>44013</c:v>
                </c:pt>
                <c:pt idx="175">
                  <c:v>44044</c:v>
                </c:pt>
                <c:pt idx="176">
                  <c:v>44075</c:v>
                </c:pt>
                <c:pt idx="177">
                  <c:v>44105</c:v>
                </c:pt>
                <c:pt idx="178">
                  <c:v>44136</c:v>
                </c:pt>
                <c:pt idx="179">
                  <c:v>44166</c:v>
                </c:pt>
                <c:pt idx="180">
                  <c:v>44197</c:v>
                </c:pt>
                <c:pt idx="181">
                  <c:v>44228</c:v>
                </c:pt>
                <c:pt idx="182">
                  <c:v>44256</c:v>
                </c:pt>
                <c:pt idx="183">
                  <c:v>44287</c:v>
                </c:pt>
                <c:pt idx="184">
                  <c:v>44317</c:v>
                </c:pt>
                <c:pt idx="185">
                  <c:v>44348</c:v>
                </c:pt>
                <c:pt idx="186">
                  <c:v>44378</c:v>
                </c:pt>
                <c:pt idx="187">
                  <c:v>44409</c:v>
                </c:pt>
                <c:pt idx="188">
                  <c:v>44440</c:v>
                </c:pt>
                <c:pt idx="189">
                  <c:v>44470</c:v>
                </c:pt>
                <c:pt idx="190">
                  <c:v>44501</c:v>
                </c:pt>
                <c:pt idx="191">
                  <c:v>44531</c:v>
                </c:pt>
                <c:pt idx="192">
                  <c:v>44562</c:v>
                </c:pt>
                <c:pt idx="193">
                  <c:v>44593</c:v>
                </c:pt>
                <c:pt idx="194">
                  <c:v>44621</c:v>
                </c:pt>
                <c:pt idx="195">
                  <c:v>44652</c:v>
                </c:pt>
                <c:pt idx="196">
                  <c:v>44682</c:v>
                </c:pt>
                <c:pt idx="197">
                  <c:v>44713</c:v>
                </c:pt>
                <c:pt idx="198">
                  <c:v>44743</c:v>
                </c:pt>
                <c:pt idx="199">
                  <c:v>44774</c:v>
                </c:pt>
                <c:pt idx="200">
                  <c:v>44805</c:v>
                </c:pt>
                <c:pt idx="201">
                  <c:v>44835</c:v>
                </c:pt>
                <c:pt idx="202">
                  <c:v>44866</c:v>
                </c:pt>
                <c:pt idx="203">
                  <c:v>44896</c:v>
                </c:pt>
                <c:pt idx="204">
                  <c:v>44927</c:v>
                </c:pt>
                <c:pt idx="205">
                  <c:v>44958</c:v>
                </c:pt>
                <c:pt idx="206">
                  <c:v>44986</c:v>
                </c:pt>
                <c:pt idx="207">
                  <c:v>45017</c:v>
                </c:pt>
                <c:pt idx="208">
                  <c:v>45047</c:v>
                </c:pt>
                <c:pt idx="209">
                  <c:v>45078</c:v>
                </c:pt>
                <c:pt idx="210">
                  <c:v>45108</c:v>
                </c:pt>
                <c:pt idx="211">
                  <c:v>45139</c:v>
                </c:pt>
                <c:pt idx="212">
                  <c:v>45170</c:v>
                </c:pt>
                <c:pt idx="213">
                  <c:v>45200</c:v>
                </c:pt>
                <c:pt idx="214">
                  <c:v>45231</c:v>
                </c:pt>
                <c:pt idx="215">
                  <c:v>45261</c:v>
                </c:pt>
                <c:pt idx="216">
                  <c:v>45292</c:v>
                </c:pt>
                <c:pt idx="217">
                  <c:v>45323</c:v>
                </c:pt>
                <c:pt idx="218">
                  <c:v>45352</c:v>
                </c:pt>
                <c:pt idx="219">
                  <c:v>45383</c:v>
                </c:pt>
                <c:pt idx="220">
                  <c:v>45413</c:v>
                </c:pt>
                <c:pt idx="221">
                  <c:v>45444</c:v>
                </c:pt>
                <c:pt idx="222">
                  <c:v>45474</c:v>
                </c:pt>
                <c:pt idx="223">
                  <c:v>45505</c:v>
                </c:pt>
                <c:pt idx="224">
                  <c:v>45536</c:v>
                </c:pt>
                <c:pt idx="225">
                  <c:v>45566</c:v>
                </c:pt>
                <c:pt idx="226">
                  <c:v>45597</c:v>
                </c:pt>
                <c:pt idx="227">
                  <c:v>45627</c:v>
                </c:pt>
              </c:numCache>
            </c:numRef>
          </c:cat>
          <c:val>
            <c:numRef>
              <c:f>'Fig 5'!$G$2:$G$229</c:f>
              <c:numCache>
                <c:formatCode>0</c:formatCode>
                <c:ptCount val="228"/>
                <c:pt idx="0">
                  <c:v>212.03108499999999</c:v>
                </c:pt>
                <c:pt idx="1">
                  <c:v>216.405013</c:v>
                </c:pt>
                <c:pt idx="2">
                  <c:v>220.77367100000001</c:v>
                </c:pt>
                <c:pt idx="3">
                  <c:v>221.434078</c:v>
                </c:pt>
                <c:pt idx="4">
                  <c:v>218.571665</c:v>
                </c:pt>
                <c:pt idx="5">
                  <c:v>237.58506599999998</c:v>
                </c:pt>
                <c:pt idx="6">
                  <c:v>219.70116000000002</c:v>
                </c:pt>
                <c:pt idx="7">
                  <c:v>226.51124100000001</c:v>
                </c:pt>
                <c:pt idx="8">
                  <c:v>220.04203099999998</c:v>
                </c:pt>
                <c:pt idx="9">
                  <c:v>238.693645</c:v>
                </c:pt>
                <c:pt idx="10">
                  <c:v>238.47262499999999</c:v>
                </c:pt>
                <c:pt idx="11">
                  <c:v>233.312918</c:v>
                </c:pt>
                <c:pt idx="12">
                  <c:v>249.47810800000002</c:v>
                </c:pt>
                <c:pt idx="13">
                  <c:v>256.632272</c:v>
                </c:pt>
                <c:pt idx="14">
                  <c:v>266.50259600000004</c:v>
                </c:pt>
                <c:pt idx="15">
                  <c:v>266.18651</c:v>
                </c:pt>
                <c:pt idx="16">
                  <c:v>271.68798700000002</c:v>
                </c:pt>
                <c:pt idx="17">
                  <c:v>268.85751400000004</c:v>
                </c:pt>
                <c:pt idx="18">
                  <c:v>282.05690600000003</c:v>
                </c:pt>
                <c:pt idx="19">
                  <c:v>281.39677599999999</c:v>
                </c:pt>
                <c:pt idx="20">
                  <c:v>285.68112199999996</c:v>
                </c:pt>
                <c:pt idx="21">
                  <c:v>283.95899900000001</c:v>
                </c:pt>
                <c:pt idx="22">
                  <c:v>294.51764899999995</c:v>
                </c:pt>
                <c:pt idx="23">
                  <c:v>300.42555300000004</c:v>
                </c:pt>
                <c:pt idx="24">
                  <c:v>305.84696500000001</c:v>
                </c:pt>
                <c:pt idx="25">
                  <c:v>306.13877600000001</c:v>
                </c:pt>
                <c:pt idx="26">
                  <c:v>301.21006800000004</c:v>
                </c:pt>
                <c:pt idx="27">
                  <c:v>306.43492200000003</c:v>
                </c:pt>
                <c:pt idx="28">
                  <c:v>299.57233399999996</c:v>
                </c:pt>
                <c:pt idx="29">
                  <c:v>301.52142599999996</c:v>
                </c:pt>
                <c:pt idx="30">
                  <c:v>288.16682700000001</c:v>
                </c:pt>
                <c:pt idx="31">
                  <c:v>273.33591999999999</c:v>
                </c:pt>
                <c:pt idx="32">
                  <c:v>260.531746</c:v>
                </c:pt>
                <c:pt idx="33">
                  <c:v>251.36141899999998</c:v>
                </c:pt>
                <c:pt idx="34">
                  <c:v>234.20498999999998</c:v>
                </c:pt>
                <c:pt idx="35">
                  <c:v>216.68144099999998</c:v>
                </c:pt>
                <c:pt idx="36">
                  <c:v>196.27972</c:v>
                </c:pt>
                <c:pt idx="37">
                  <c:v>182.00081499999999</c:v>
                </c:pt>
                <c:pt idx="38">
                  <c:v>160.62365400000002</c:v>
                </c:pt>
                <c:pt idx="39">
                  <c:v>164.45925500000001</c:v>
                </c:pt>
                <c:pt idx="40">
                  <c:v>156.863463</c:v>
                </c:pt>
                <c:pt idx="41">
                  <c:v>171.864327</c:v>
                </c:pt>
                <c:pt idx="42">
                  <c:v>158.65343299999998</c:v>
                </c:pt>
                <c:pt idx="43">
                  <c:v>165.161057</c:v>
                </c:pt>
                <c:pt idx="44">
                  <c:v>165.97273800000002</c:v>
                </c:pt>
                <c:pt idx="45">
                  <c:v>166.36429899999999</c:v>
                </c:pt>
                <c:pt idx="46">
                  <c:v>169.92787799999999</c:v>
                </c:pt>
                <c:pt idx="47">
                  <c:v>170.82981599999999</c:v>
                </c:pt>
                <c:pt idx="48">
                  <c:v>183.51672500000001</c:v>
                </c:pt>
                <c:pt idx="49">
                  <c:v>188.55554999999998</c:v>
                </c:pt>
                <c:pt idx="50">
                  <c:v>176.84207599999999</c:v>
                </c:pt>
                <c:pt idx="51">
                  <c:v>170.81855300000001</c:v>
                </c:pt>
                <c:pt idx="52">
                  <c:v>186.25150299999999</c:v>
                </c:pt>
                <c:pt idx="53">
                  <c:v>184.90741800000001</c:v>
                </c:pt>
                <c:pt idx="54">
                  <c:v>191.038489</c:v>
                </c:pt>
                <c:pt idx="55">
                  <c:v>192.10850399999998</c:v>
                </c:pt>
                <c:pt idx="56">
                  <c:v>200.46757399999998</c:v>
                </c:pt>
                <c:pt idx="57">
                  <c:v>204.915886</c:v>
                </c:pt>
                <c:pt idx="58">
                  <c:v>205.87580499999999</c:v>
                </c:pt>
                <c:pt idx="59">
                  <c:v>210.67159700000002</c:v>
                </c:pt>
                <c:pt idx="60">
                  <c:v>212.78493</c:v>
                </c:pt>
                <c:pt idx="61">
                  <c:v>213.21554900000001</c:v>
                </c:pt>
                <c:pt idx="62">
                  <c:v>215.36200600000001</c:v>
                </c:pt>
                <c:pt idx="63">
                  <c:v>213.81211999999999</c:v>
                </c:pt>
                <c:pt idx="64">
                  <c:v>208.87197399999999</c:v>
                </c:pt>
                <c:pt idx="65">
                  <c:v>202.911597</c:v>
                </c:pt>
                <c:pt idx="66">
                  <c:v>208.20718400000001</c:v>
                </c:pt>
                <c:pt idx="67">
                  <c:v>202.65554900000001</c:v>
                </c:pt>
                <c:pt idx="68">
                  <c:v>196.21053700000002</c:v>
                </c:pt>
                <c:pt idx="69">
                  <c:v>196.14844099999999</c:v>
                </c:pt>
                <c:pt idx="70">
                  <c:v>196.37965</c:v>
                </c:pt>
                <c:pt idx="71">
                  <c:v>198.12576899999999</c:v>
                </c:pt>
                <c:pt idx="72">
                  <c:v>190.17823000000001</c:v>
                </c:pt>
                <c:pt idx="73">
                  <c:v>193.70940900000002</c:v>
                </c:pt>
                <c:pt idx="74">
                  <c:v>192.52454699999998</c:v>
                </c:pt>
                <c:pt idx="75">
                  <c:v>187.64858100000001</c:v>
                </c:pt>
                <c:pt idx="76">
                  <c:v>181.256315</c:v>
                </c:pt>
                <c:pt idx="77">
                  <c:v>177.64556099999999</c:v>
                </c:pt>
                <c:pt idx="78">
                  <c:v>168.98592000000002</c:v>
                </c:pt>
                <c:pt idx="79">
                  <c:v>168.71549400000001</c:v>
                </c:pt>
                <c:pt idx="80">
                  <c:v>168.177425</c:v>
                </c:pt>
                <c:pt idx="81">
                  <c:v>159.48296100000002</c:v>
                </c:pt>
                <c:pt idx="82">
                  <c:v>154.84449699999999</c:v>
                </c:pt>
                <c:pt idx="83">
                  <c:v>151.07079999999999</c:v>
                </c:pt>
                <c:pt idx="84">
                  <c:v>148.86717100000001</c:v>
                </c:pt>
                <c:pt idx="85">
                  <c:v>144.84523100000001</c:v>
                </c:pt>
                <c:pt idx="86">
                  <c:v>150.69961499999999</c:v>
                </c:pt>
                <c:pt idx="87">
                  <c:v>139.54557800000001</c:v>
                </c:pt>
                <c:pt idx="88">
                  <c:v>142.51417699999999</c:v>
                </c:pt>
                <c:pt idx="89">
                  <c:v>139.77492999999998</c:v>
                </c:pt>
                <c:pt idx="90">
                  <c:v>142.025656</c:v>
                </c:pt>
                <c:pt idx="91">
                  <c:v>140.08190599999998</c:v>
                </c:pt>
                <c:pt idx="92">
                  <c:v>139.11652799999999</c:v>
                </c:pt>
                <c:pt idx="93">
                  <c:v>139.890287</c:v>
                </c:pt>
                <c:pt idx="94">
                  <c:v>140.94567999999998</c:v>
                </c:pt>
                <c:pt idx="95">
                  <c:v>138.64732800000002</c:v>
                </c:pt>
                <c:pt idx="96">
                  <c:v>149.609005</c:v>
                </c:pt>
                <c:pt idx="97">
                  <c:v>147.141075</c:v>
                </c:pt>
                <c:pt idx="98">
                  <c:v>144.83994300000001</c:v>
                </c:pt>
                <c:pt idx="99">
                  <c:v>143.787003</c:v>
                </c:pt>
                <c:pt idx="100">
                  <c:v>151.605671</c:v>
                </c:pt>
                <c:pt idx="101">
                  <c:v>155.83851999999999</c:v>
                </c:pt>
                <c:pt idx="102">
                  <c:v>151.57436999999999</c:v>
                </c:pt>
                <c:pt idx="103">
                  <c:v>156.66130200000001</c:v>
                </c:pt>
                <c:pt idx="104">
                  <c:v>154.335522</c:v>
                </c:pt>
                <c:pt idx="105">
                  <c:v>157.007206</c:v>
                </c:pt>
                <c:pt idx="106">
                  <c:v>151.74070499999999</c:v>
                </c:pt>
                <c:pt idx="107">
                  <c:v>149.58035100000001</c:v>
                </c:pt>
                <c:pt idx="108">
                  <c:v>156.488474</c:v>
                </c:pt>
                <c:pt idx="109">
                  <c:v>154.50965400000001</c:v>
                </c:pt>
                <c:pt idx="110">
                  <c:v>158.05623800000001</c:v>
                </c:pt>
                <c:pt idx="111">
                  <c:v>158.35594399999999</c:v>
                </c:pt>
                <c:pt idx="112">
                  <c:v>150.95915199999999</c:v>
                </c:pt>
                <c:pt idx="113">
                  <c:v>151.95112599999999</c:v>
                </c:pt>
                <c:pt idx="114">
                  <c:v>156.998672</c:v>
                </c:pt>
                <c:pt idx="115">
                  <c:v>154.505349</c:v>
                </c:pt>
                <c:pt idx="116">
                  <c:v>163.22542100000001</c:v>
                </c:pt>
                <c:pt idx="117">
                  <c:v>159.660965</c:v>
                </c:pt>
                <c:pt idx="118">
                  <c:v>164.99848800000001</c:v>
                </c:pt>
                <c:pt idx="119">
                  <c:v>164.33373399999999</c:v>
                </c:pt>
                <c:pt idx="120">
                  <c:v>162.89489</c:v>
                </c:pt>
                <c:pt idx="121">
                  <c:v>161.37707800000001</c:v>
                </c:pt>
                <c:pt idx="122">
                  <c:v>162.62740199999999</c:v>
                </c:pt>
                <c:pt idx="123">
                  <c:v>165.25025399999998</c:v>
                </c:pt>
                <c:pt idx="124">
                  <c:v>166.11718400000001</c:v>
                </c:pt>
                <c:pt idx="125">
                  <c:v>173.21238600000001</c:v>
                </c:pt>
                <c:pt idx="126">
                  <c:v>164.35617999999999</c:v>
                </c:pt>
                <c:pt idx="127">
                  <c:v>165.66426300000001</c:v>
                </c:pt>
                <c:pt idx="128">
                  <c:v>162.95622500000002</c:v>
                </c:pt>
                <c:pt idx="129">
                  <c:v>163.20918700000001</c:v>
                </c:pt>
                <c:pt idx="130">
                  <c:v>162.056759</c:v>
                </c:pt>
                <c:pt idx="131">
                  <c:v>163.29176199999998</c:v>
                </c:pt>
                <c:pt idx="132">
                  <c:v>162.253851</c:v>
                </c:pt>
                <c:pt idx="133">
                  <c:v>165.805769</c:v>
                </c:pt>
                <c:pt idx="134">
                  <c:v>165.25582999999997</c:v>
                </c:pt>
                <c:pt idx="135">
                  <c:v>170.36308700000001</c:v>
                </c:pt>
                <c:pt idx="136">
                  <c:v>173.689976</c:v>
                </c:pt>
                <c:pt idx="137">
                  <c:v>177.17415599999998</c:v>
                </c:pt>
                <c:pt idx="138">
                  <c:v>176.34978700000002</c:v>
                </c:pt>
                <c:pt idx="139">
                  <c:v>175.51498000000001</c:v>
                </c:pt>
                <c:pt idx="140">
                  <c:v>175.55377999999999</c:v>
                </c:pt>
                <c:pt idx="141">
                  <c:v>177.19735399999999</c:v>
                </c:pt>
                <c:pt idx="142">
                  <c:v>178.23325399999999</c:v>
                </c:pt>
                <c:pt idx="143">
                  <c:v>174.26040400000002</c:v>
                </c:pt>
                <c:pt idx="144">
                  <c:v>178.387665</c:v>
                </c:pt>
                <c:pt idx="145">
                  <c:v>181.244809</c:v>
                </c:pt>
                <c:pt idx="146">
                  <c:v>189.84421399999999</c:v>
                </c:pt>
                <c:pt idx="147">
                  <c:v>186.96186399999999</c:v>
                </c:pt>
                <c:pt idx="148">
                  <c:v>186.99786900000001</c:v>
                </c:pt>
                <c:pt idx="149">
                  <c:v>182.96744799999999</c:v>
                </c:pt>
                <c:pt idx="150">
                  <c:v>184.71446599999999</c:v>
                </c:pt>
                <c:pt idx="151">
                  <c:v>185.30092400000001</c:v>
                </c:pt>
                <c:pt idx="152">
                  <c:v>179.33953299999999</c:v>
                </c:pt>
                <c:pt idx="153">
                  <c:v>177.51050899999998</c:v>
                </c:pt>
                <c:pt idx="154">
                  <c:v>177.30434500000001</c:v>
                </c:pt>
                <c:pt idx="155">
                  <c:v>178.28199699999999</c:v>
                </c:pt>
                <c:pt idx="156">
                  <c:v>185.04031499999999</c:v>
                </c:pt>
                <c:pt idx="157">
                  <c:v>181.70522599999998</c:v>
                </c:pt>
                <c:pt idx="158">
                  <c:v>172.54503599999998</c:v>
                </c:pt>
                <c:pt idx="159">
                  <c:v>175.58549500000001</c:v>
                </c:pt>
                <c:pt idx="160">
                  <c:v>177.66045499999998</c:v>
                </c:pt>
                <c:pt idx="161">
                  <c:v>171.968368</c:v>
                </c:pt>
                <c:pt idx="162">
                  <c:v>174.19737400000002</c:v>
                </c:pt>
                <c:pt idx="163">
                  <c:v>168.645715</c:v>
                </c:pt>
                <c:pt idx="164">
                  <c:v>169.98311799999999</c:v>
                </c:pt>
                <c:pt idx="165">
                  <c:v>162.317215</c:v>
                </c:pt>
                <c:pt idx="166">
                  <c:v>155.64951300000001</c:v>
                </c:pt>
                <c:pt idx="167">
                  <c:v>164.25125599999998</c:v>
                </c:pt>
                <c:pt idx="168">
                  <c:v>167.76429899999999</c:v>
                </c:pt>
                <c:pt idx="169">
                  <c:v>160.17089300000001</c:v>
                </c:pt>
                <c:pt idx="170">
                  <c:v>117.867603</c:v>
                </c:pt>
                <c:pt idx="171">
                  <c:v>67.474425499999995</c:v>
                </c:pt>
                <c:pt idx="172">
                  <c:v>90.24172440000001</c:v>
                </c:pt>
                <c:pt idx="173">
                  <c:v>120.010599</c:v>
                </c:pt>
                <c:pt idx="174">
                  <c:v>134.49933900000002</c:v>
                </c:pt>
                <c:pt idx="175">
                  <c:v>135.980344</c:v>
                </c:pt>
                <c:pt idx="176">
                  <c:v>151.20912300000001</c:v>
                </c:pt>
                <c:pt idx="177">
                  <c:v>160.28205499999999</c:v>
                </c:pt>
                <c:pt idx="178">
                  <c:v>175.93446700000001</c:v>
                </c:pt>
                <c:pt idx="179">
                  <c:v>185.134241</c:v>
                </c:pt>
                <c:pt idx="180">
                  <c:v>189.101798</c:v>
                </c:pt>
                <c:pt idx="181">
                  <c:v>202.76826699999998</c:v>
                </c:pt>
                <c:pt idx="182">
                  <c:v>228.095112</c:v>
                </c:pt>
                <c:pt idx="183">
                  <c:v>231.229715</c:v>
                </c:pt>
                <c:pt idx="184">
                  <c:v>235.182188</c:v>
                </c:pt>
                <c:pt idx="185">
                  <c:v>231.77836499999998</c:v>
                </c:pt>
                <c:pt idx="186">
                  <c:v>230.02202499999999</c:v>
                </c:pt>
                <c:pt idx="187">
                  <c:v>210.526556</c:v>
                </c:pt>
                <c:pt idx="188">
                  <c:v>235.446664</c:v>
                </c:pt>
                <c:pt idx="189">
                  <c:v>254.784324</c:v>
                </c:pt>
                <c:pt idx="190">
                  <c:v>261.51788199999999</c:v>
                </c:pt>
                <c:pt idx="191">
                  <c:v>258.58073100000001</c:v>
                </c:pt>
                <c:pt idx="192">
                  <c:v>268.66194199999995</c:v>
                </c:pt>
                <c:pt idx="193">
                  <c:v>277.53413399999999</c:v>
                </c:pt>
                <c:pt idx="194">
                  <c:v>283.70142200000004</c:v>
                </c:pt>
                <c:pt idx="195">
                  <c:v>290.251395</c:v>
                </c:pt>
                <c:pt idx="196">
                  <c:v>295.336885</c:v>
                </c:pt>
                <c:pt idx="197">
                  <c:v>305.08811200000002</c:v>
                </c:pt>
                <c:pt idx="198">
                  <c:v>294.813061</c:v>
                </c:pt>
                <c:pt idx="199">
                  <c:v>295.23299800000001</c:v>
                </c:pt>
                <c:pt idx="200">
                  <c:v>281.450534</c:v>
                </c:pt>
                <c:pt idx="201">
                  <c:v>285.39629400000001</c:v>
                </c:pt>
                <c:pt idx="202">
                  <c:v>276.57417599999997</c:v>
                </c:pt>
                <c:pt idx="203">
                  <c:v>276.023864</c:v>
                </c:pt>
                <c:pt idx="204">
                  <c:v>281.31538</c:v>
                </c:pt>
                <c:pt idx="205">
                  <c:v>283.24497100000002</c:v>
                </c:pt>
                <c:pt idx="206">
                  <c:v>282.19928700000003</c:v>
                </c:pt>
                <c:pt idx="207">
                  <c:v>291.90150699999998</c:v>
                </c:pt>
                <c:pt idx="208">
                  <c:v>282.53029700000002</c:v>
                </c:pt>
                <c:pt idx="209">
                  <c:v>278.33954199999999</c:v>
                </c:pt>
                <c:pt idx="210">
                  <c:v>283.88262400000002</c:v>
                </c:pt>
                <c:pt idx="211">
                  <c:v>275.255268</c:v>
                </c:pt>
                <c:pt idx="212">
                  <c:v>267.58289500000001</c:v>
                </c:pt>
                <c:pt idx="213">
                  <c:v>258.69963200000001</c:v>
                </c:pt>
                <c:pt idx="214">
                  <c:v>258.10247399999997</c:v>
                </c:pt>
                <c:pt idx="215">
                  <c:v>259.84920499999998</c:v>
                </c:pt>
                <c:pt idx="216">
                  <c:v>253.92868900000002</c:v>
                </c:pt>
                <c:pt idx="217">
                  <c:v>246.782645</c:v>
                </c:pt>
                <c:pt idx="218">
                  <c:v>246.49639199999999</c:v>
                </c:pt>
                <c:pt idx="219">
                  <c:v>239.53169599999998</c:v>
                </c:pt>
                <c:pt idx="220">
                  <c:v>238.783682</c:v>
                </c:pt>
                <c:pt idx="221">
                  <c:v>227.991051</c:v>
                </c:pt>
                <c:pt idx="222">
                  <c:v>218.60215500000001</c:v>
                </c:pt>
                <c:pt idx="223">
                  <c:v>228.07418200000001</c:v>
                </c:pt>
                <c:pt idx="224">
                  <c:v>230.36392000000001</c:v>
                </c:pt>
                <c:pt idx="225">
                  <c:v>224.55409800000001</c:v>
                </c:pt>
                <c:pt idx="226">
                  <c:v>220.05875700000001</c:v>
                </c:pt>
                <c:pt idx="227">
                  <c:v>214.62228500000001</c:v>
                </c:pt>
              </c:numCache>
            </c:numRef>
          </c:val>
          <c:extLst>
            <c:ext xmlns:c16="http://schemas.microsoft.com/office/drawing/2014/chart" uri="{C3380CC4-5D6E-409C-BE32-E72D297353CC}">
              <c16:uniqueId val="{00000000-3164-493A-8F9C-BC6D649C342C}"/>
            </c:ext>
          </c:extLst>
        </c:ser>
        <c:dLbls>
          <c:showLegendKey val="0"/>
          <c:showVal val="0"/>
          <c:showCatName val="0"/>
          <c:showSerName val="0"/>
          <c:showPercent val="0"/>
          <c:showBubbleSize val="0"/>
        </c:dLbls>
        <c:gapWidth val="150"/>
        <c:axId val="202094063"/>
        <c:axId val="202095023"/>
      </c:barChart>
      <c:lineChart>
        <c:grouping val="standard"/>
        <c:varyColors val="0"/>
        <c:ser>
          <c:idx val="1"/>
          <c:order val="1"/>
          <c:tx>
            <c:strRef>
              <c:f>'Fig 5'!$H$1</c:f>
              <c:strCache>
                <c:ptCount val="1"/>
                <c:pt idx="0">
                  <c:v>Seasonally adjusted unemployment rate (RHS)</c:v>
                </c:pt>
              </c:strCache>
            </c:strRef>
          </c:tx>
          <c:spPr>
            <a:ln w="28575" cap="rnd">
              <a:solidFill>
                <a:srgbClr val="009D9A"/>
              </a:solidFill>
              <a:round/>
            </a:ln>
            <a:effectLst/>
          </c:spPr>
          <c:marker>
            <c:symbol val="none"/>
          </c:marker>
          <c:cat>
            <c:numRef>
              <c:f>'Fig 5'!$F$2:$F$229</c:f>
              <c:numCache>
                <c:formatCode>mmm\-yy</c:formatCode>
                <c:ptCount val="228"/>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pt idx="36">
                  <c:v>39814</c:v>
                </c:pt>
                <c:pt idx="37">
                  <c:v>39845</c:v>
                </c:pt>
                <c:pt idx="38">
                  <c:v>39873</c:v>
                </c:pt>
                <c:pt idx="39">
                  <c:v>39904</c:v>
                </c:pt>
                <c:pt idx="40">
                  <c:v>39934</c:v>
                </c:pt>
                <c:pt idx="41">
                  <c:v>39965</c:v>
                </c:pt>
                <c:pt idx="42">
                  <c:v>39995</c:v>
                </c:pt>
                <c:pt idx="43">
                  <c:v>40026</c:v>
                </c:pt>
                <c:pt idx="44">
                  <c:v>40057</c:v>
                </c:pt>
                <c:pt idx="45">
                  <c:v>40087</c:v>
                </c:pt>
                <c:pt idx="46">
                  <c:v>40118</c:v>
                </c:pt>
                <c:pt idx="47">
                  <c:v>40148</c:v>
                </c:pt>
                <c:pt idx="48">
                  <c:v>40179</c:v>
                </c:pt>
                <c:pt idx="49">
                  <c:v>40210</c:v>
                </c:pt>
                <c:pt idx="50">
                  <c:v>40238</c:v>
                </c:pt>
                <c:pt idx="51">
                  <c:v>40269</c:v>
                </c:pt>
                <c:pt idx="52">
                  <c:v>40299</c:v>
                </c:pt>
                <c:pt idx="53">
                  <c:v>40330</c:v>
                </c:pt>
                <c:pt idx="54">
                  <c:v>40360</c:v>
                </c:pt>
                <c:pt idx="55">
                  <c:v>40391</c:v>
                </c:pt>
                <c:pt idx="56">
                  <c:v>40422</c:v>
                </c:pt>
                <c:pt idx="57">
                  <c:v>40452</c:v>
                </c:pt>
                <c:pt idx="58">
                  <c:v>40483</c:v>
                </c:pt>
                <c:pt idx="59">
                  <c:v>40513</c:v>
                </c:pt>
                <c:pt idx="60">
                  <c:v>40544</c:v>
                </c:pt>
                <c:pt idx="61">
                  <c:v>40575</c:v>
                </c:pt>
                <c:pt idx="62">
                  <c:v>40603</c:v>
                </c:pt>
                <c:pt idx="63">
                  <c:v>40634</c:v>
                </c:pt>
                <c:pt idx="64">
                  <c:v>40664</c:v>
                </c:pt>
                <c:pt idx="65">
                  <c:v>40695</c:v>
                </c:pt>
                <c:pt idx="66">
                  <c:v>40725</c:v>
                </c:pt>
                <c:pt idx="67">
                  <c:v>40756</c:v>
                </c:pt>
                <c:pt idx="68">
                  <c:v>40787</c:v>
                </c:pt>
                <c:pt idx="69">
                  <c:v>40817</c:v>
                </c:pt>
                <c:pt idx="70">
                  <c:v>40848</c:v>
                </c:pt>
                <c:pt idx="71">
                  <c:v>40878</c:v>
                </c:pt>
                <c:pt idx="72">
                  <c:v>40909</c:v>
                </c:pt>
                <c:pt idx="73">
                  <c:v>40940</c:v>
                </c:pt>
                <c:pt idx="74">
                  <c:v>40969</c:v>
                </c:pt>
                <c:pt idx="75">
                  <c:v>41000</c:v>
                </c:pt>
                <c:pt idx="76">
                  <c:v>41030</c:v>
                </c:pt>
                <c:pt idx="77">
                  <c:v>41061</c:v>
                </c:pt>
                <c:pt idx="78">
                  <c:v>41091</c:v>
                </c:pt>
                <c:pt idx="79">
                  <c:v>41122</c:v>
                </c:pt>
                <c:pt idx="80">
                  <c:v>41153</c:v>
                </c:pt>
                <c:pt idx="81">
                  <c:v>41183</c:v>
                </c:pt>
                <c:pt idx="82">
                  <c:v>41214</c:v>
                </c:pt>
                <c:pt idx="83">
                  <c:v>41244</c:v>
                </c:pt>
                <c:pt idx="84">
                  <c:v>41275</c:v>
                </c:pt>
                <c:pt idx="85">
                  <c:v>41306</c:v>
                </c:pt>
                <c:pt idx="86">
                  <c:v>41334</c:v>
                </c:pt>
                <c:pt idx="87">
                  <c:v>41365</c:v>
                </c:pt>
                <c:pt idx="88">
                  <c:v>41395</c:v>
                </c:pt>
                <c:pt idx="89">
                  <c:v>41426</c:v>
                </c:pt>
                <c:pt idx="90">
                  <c:v>41456</c:v>
                </c:pt>
                <c:pt idx="91">
                  <c:v>41487</c:v>
                </c:pt>
                <c:pt idx="92">
                  <c:v>41518</c:v>
                </c:pt>
                <c:pt idx="93">
                  <c:v>41548</c:v>
                </c:pt>
                <c:pt idx="94">
                  <c:v>41579</c:v>
                </c:pt>
                <c:pt idx="95">
                  <c:v>41609</c:v>
                </c:pt>
                <c:pt idx="96">
                  <c:v>41640</c:v>
                </c:pt>
                <c:pt idx="97">
                  <c:v>41671</c:v>
                </c:pt>
                <c:pt idx="98">
                  <c:v>41699</c:v>
                </c:pt>
                <c:pt idx="99">
                  <c:v>41730</c:v>
                </c:pt>
                <c:pt idx="100">
                  <c:v>41760</c:v>
                </c:pt>
                <c:pt idx="101">
                  <c:v>41791</c:v>
                </c:pt>
                <c:pt idx="102">
                  <c:v>41821</c:v>
                </c:pt>
                <c:pt idx="103">
                  <c:v>41852</c:v>
                </c:pt>
                <c:pt idx="104">
                  <c:v>41883</c:v>
                </c:pt>
                <c:pt idx="105">
                  <c:v>41913</c:v>
                </c:pt>
                <c:pt idx="106">
                  <c:v>41944</c:v>
                </c:pt>
                <c:pt idx="107">
                  <c:v>41974</c:v>
                </c:pt>
                <c:pt idx="108">
                  <c:v>42005</c:v>
                </c:pt>
                <c:pt idx="109">
                  <c:v>42036</c:v>
                </c:pt>
                <c:pt idx="110">
                  <c:v>42064</c:v>
                </c:pt>
                <c:pt idx="111">
                  <c:v>42095</c:v>
                </c:pt>
                <c:pt idx="112">
                  <c:v>42125</c:v>
                </c:pt>
                <c:pt idx="113">
                  <c:v>42156</c:v>
                </c:pt>
                <c:pt idx="114">
                  <c:v>42186</c:v>
                </c:pt>
                <c:pt idx="115">
                  <c:v>42217</c:v>
                </c:pt>
                <c:pt idx="116">
                  <c:v>42248</c:v>
                </c:pt>
                <c:pt idx="117">
                  <c:v>42278</c:v>
                </c:pt>
                <c:pt idx="118">
                  <c:v>42309</c:v>
                </c:pt>
                <c:pt idx="119">
                  <c:v>42339</c:v>
                </c:pt>
                <c:pt idx="120">
                  <c:v>42370</c:v>
                </c:pt>
                <c:pt idx="121">
                  <c:v>42401</c:v>
                </c:pt>
                <c:pt idx="122">
                  <c:v>42430</c:v>
                </c:pt>
                <c:pt idx="123">
                  <c:v>42461</c:v>
                </c:pt>
                <c:pt idx="124">
                  <c:v>42491</c:v>
                </c:pt>
                <c:pt idx="125">
                  <c:v>42522</c:v>
                </c:pt>
                <c:pt idx="126">
                  <c:v>42552</c:v>
                </c:pt>
                <c:pt idx="127">
                  <c:v>42583</c:v>
                </c:pt>
                <c:pt idx="128">
                  <c:v>42614</c:v>
                </c:pt>
                <c:pt idx="129">
                  <c:v>42644</c:v>
                </c:pt>
                <c:pt idx="130">
                  <c:v>42675</c:v>
                </c:pt>
                <c:pt idx="131">
                  <c:v>42705</c:v>
                </c:pt>
                <c:pt idx="132">
                  <c:v>42736</c:v>
                </c:pt>
                <c:pt idx="133">
                  <c:v>42767</c:v>
                </c:pt>
                <c:pt idx="134">
                  <c:v>42795</c:v>
                </c:pt>
                <c:pt idx="135">
                  <c:v>42826</c:v>
                </c:pt>
                <c:pt idx="136">
                  <c:v>42856</c:v>
                </c:pt>
                <c:pt idx="137">
                  <c:v>42887</c:v>
                </c:pt>
                <c:pt idx="138">
                  <c:v>42917</c:v>
                </c:pt>
                <c:pt idx="139">
                  <c:v>42948</c:v>
                </c:pt>
                <c:pt idx="140">
                  <c:v>42979</c:v>
                </c:pt>
                <c:pt idx="141">
                  <c:v>43009</c:v>
                </c:pt>
                <c:pt idx="142">
                  <c:v>43040</c:v>
                </c:pt>
                <c:pt idx="143">
                  <c:v>43070</c:v>
                </c:pt>
                <c:pt idx="144">
                  <c:v>43101</c:v>
                </c:pt>
                <c:pt idx="145">
                  <c:v>43132</c:v>
                </c:pt>
                <c:pt idx="146">
                  <c:v>43160</c:v>
                </c:pt>
                <c:pt idx="147">
                  <c:v>43191</c:v>
                </c:pt>
                <c:pt idx="148">
                  <c:v>43221</c:v>
                </c:pt>
                <c:pt idx="149">
                  <c:v>43252</c:v>
                </c:pt>
                <c:pt idx="150">
                  <c:v>43282</c:v>
                </c:pt>
                <c:pt idx="151">
                  <c:v>43313</c:v>
                </c:pt>
                <c:pt idx="152">
                  <c:v>43344</c:v>
                </c:pt>
                <c:pt idx="153">
                  <c:v>43374</c:v>
                </c:pt>
                <c:pt idx="154">
                  <c:v>43405</c:v>
                </c:pt>
                <c:pt idx="155">
                  <c:v>43435</c:v>
                </c:pt>
                <c:pt idx="156">
                  <c:v>43466</c:v>
                </c:pt>
                <c:pt idx="157">
                  <c:v>43497</c:v>
                </c:pt>
                <c:pt idx="158">
                  <c:v>43525</c:v>
                </c:pt>
                <c:pt idx="159">
                  <c:v>43556</c:v>
                </c:pt>
                <c:pt idx="160">
                  <c:v>43586</c:v>
                </c:pt>
                <c:pt idx="161">
                  <c:v>43617</c:v>
                </c:pt>
                <c:pt idx="162">
                  <c:v>43647</c:v>
                </c:pt>
                <c:pt idx="163">
                  <c:v>43678</c:v>
                </c:pt>
                <c:pt idx="164">
                  <c:v>43709</c:v>
                </c:pt>
                <c:pt idx="165">
                  <c:v>43739</c:v>
                </c:pt>
                <c:pt idx="166">
                  <c:v>43770</c:v>
                </c:pt>
                <c:pt idx="167">
                  <c:v>43800</c:v>
                </c:pt>
                <c:pt idx="168">
                  <c:v>43831</c:v>
                </c:pt>
                <c:pt idx="169">
                  <c:v>43862</c:v>
                </c:pt>
                <c:pt idx="170">
                  <c:v>43891</c:v>
                </c:pt>
                <c:pt idx="171">
                  <c:v>43922</c:v>
                </c:pt>
                <c:pt idx="172">
                  <c:v>43952</c:v>
                </c:pt>
                <c:pt idx="173">
                  <c:v>43983</c:v>
                </c:pt>
                <c:pt idx="174">
                  <c:v>44013</c:v>
                </c:pt>
                <c:pt idx="175">
                  <c:v>44044</c:v>
                </c:pt>
                <c:pt idx="176">
                  <c:v>44075</c:v>
                </c:pt>
                <c:pt idx="177">
                  <c:v>44105</c:v>
                </c:pt>
                <c:pt idx="178">
                  <c:v>44136</c:v>
                </c:pt>
                <c:pt idx="179">
                  <c:v>44166</c:v>
                </c:pt>
                <c:pt idx="180">
                  <c:v>44197</c:v>
                </c:pt>
                <c:pt idx="181">
                  <c:v>44228</c:v>
                </c:pt>
                <c:pt idx="182">
                  <c:v>44256</c:v>
                </c:pt>
                <c:pt idx="183">
                  <c:v>44287</c:v>
                </c:pt>
                <c:pt idx="184">
                  <c:v>44317</c:v>
                </c:pt>
                <c:pt idx="185">
                  <c:v>44348</c:v>
                </c:pt>
                <c:pt idx="186">
                  <c:v>44378</c:v>
                </c:pt>
                <c:pt idx="187">
                  <c:v>44409</c:v>
                </c:pt>
                <c:pt idx="188">
                  <c:v>44440</c:v>
                </c:pt>
                <c:pt idx="189">
                  <c:v>44470</c:v>
                </c:pt>
                <c:pt idx="190">
                  <c:v>44501</c:v>
                </c:pt>
                <c:pt idx="191">
                  <c:v>44531</c:v>
                </c:pt>
                <c:pt idx="192">
                  <c:v>44562</c:v>
                </c:pt>
                <c:pt idx="193">
                  <c:v>44593</c:v>
                </c:pt>
                <c:pt idx="194">
                  <c:v>44621</c:v>
                </c:pt>
                <c:pt idx="195">
                  <c:v>44652</c:v>
                </c:pt>
                <c:pt idx="196">
                  <c:v>44682</c:v>
                </c:pt>
                <c:pt idx="197">
                  <c:v>44713</c:v>
                </c:pt>
                <c:pt idx="198">
                  <c:v>44743</c:v>
                </c:pt>
                <c:pt idx="199">
                  <c:v>44774</c:v>
                </c:pt>
                <c:pt idx="200">
                  <c:v>44805</c:v>
                </c:pt>
                <c:pt idx="201">
                  <c:v>44835</c:v>
                </c:pt>
                <c:pt idx="202">
                  <c:v>44866</c:v>
                </c:pt>
                <c:pt idx="203">
                  <c:v>44896</c:v>
                </c:pt>
                <c:pt idx="204">
                  <c:v>44927</c:v>
                </c:pt>
                <c:pt idx="205">
                  <c:v>44958</c:v>
                </c:pt>
                <c:pt idx="206">
                  <c:v>44986</c:v>
                </c:pt>
                <c:pt idx="207">
                  <c:v>45017</c:v>
                </c:pt>
                <c:pt idx="208">
                  <c:v>45047</c:v>
                </c:pt>
                <c:pt idx="209">
                  <c:v>45078</c:v>
                </c:pt>
                <c:pt idx="210">
                  <c:v>45108</c:v>
                </c:pt>
                <c:pt idx="211">
                  <c:v>45139</c:v>
                </c:pt>
                <c:pt idx="212">
                  <c:v>45170</c:v>
                </c:pt>
                <c:pt idx="213">
                  <c:v>45200</c:v>
                </c:pt>
                <c:pt idx="214">
                  <c:v>45231</c:v>
                </c:pt>
                <c:pt idx="215">
                  <c:v>45261</c:v>
                </c:pt>
                <c:pt idx="216">
                  <c:v>45292</c:v>
                </c:pt>
                <c:pt idx="217">
                  <c:v>45323</c:v>
                </c:pt>
                <c:pt idx="218">
                  <c:v>45352</c:v>
                </c:pt>
                <c:pt idx="219">
                  <c:v>45383</c:v>
                </c:pt>
                <c:pt idx="220">
                  <c:v>45413</c:v>
                </c:pt>
                <c:pt idx="221">
                  <c:v>45444</c:v>
                </c:pt>
                <c:pt idx="222">
                  <c:v>45474</c:v>
                </c:pt>
                <c:pt idx="223">
                  <c:v>45505</c:v>
                </c:pt>
                <c:pt idx="224">
                  <c:v>45536</c:v>
                </c:pt>
                <c:pt idx="225">
                  <c:v>45566</c:v>
                </c:pt>
                <c:pt idx="226">
                  <c:v>45597</c:v>
                </c:pt>
                <c:pt idx="227">
                  <c:v>45627</c:v>
                </c:pt>
              </c:numCache>
            </c:numRef>
          </c:cat>
          <c:val>
            <c:numRef>
              <c:f>'Fig 5'!$H$2:$H$229</c:f>
              <c:numCache>
                <c:formatCode>0.0%</c:formatCode>
                <c:ptCount val="228"/>
                <c:pt idx="0">
                  <c:v>5.1613942000000003E-2</c:v>
                </c:pt>
                <c:pt idx="1">
                  <c:v>5.1026904999999997E-2</c:v>
                </c:pt>
                <c:pt idx="2">
                  <c:v>4.8665154000000002E-2</c:v>
                </c:pt>
                <c:pt idx="3">
                  <c:v>4.9647259999999999E-2</c:v>
                </c:pt>
                <c:pt idx="4">
                  <c:v>4.7976058000000002E-2</c:v>
                </c:pt>
                <c:pt idx="5">
                  <c:v>4.8075625000000004E-2</c:v>
                </c:pt>
                <c:pt idx="6">
                  <c:v>4.6559977999999995E-2</c:v>
                </c:pt>
                <c:pt idx="7">
                  <c:v>4.7118118000000007E-2</c:v>
                </c:pt>
                <c:pt idx="8">
                  <c:v>4.6653567E-2</c:v>
                </c:pt>
                <c:pt idx="9">
                  <c:v>4.4626039999999999E-2</c:v>
                </c:pt>
                <c:pt idx="10">
                  <c:v>4.5144554000000003E-2</c:v>
                </c:pt>
                <c:pt idx="11">
                  <c:v>4.5673813000000001E-2</c:v>
                </c:pt>
                <c:pt idx="12">
                  <c:v>4.5529765999999999E-2</c:v>
                </c:pt>
                <c:pt idx="13">
                  <c:v>4.6337384999999995E-2</c:v>
                </c:pt>
                <c:pt idx="14">
                  <c:v>4.4591397999999997E-2</c:v>
                </c:pt>
                <c:pt idx="15">
                  <c:v>4.3852715E-2</c:v>
                </c:pt>
                <c:pt idx="16">
                  <c:v>4.2639249000000004E-2</c:v>
                </c:pt>
                <c:pt idx="17">
                  <c:v>4.3235866999999997E-2</c:v>
                </c:pt>
                <c:pt idx="18">
                  <c:v>4.2525272000000003E-2</c:v>
                </c:pt>
                <c:pt idx="19">
                  <c:v>4.2986791999999996E-2</c:v>
                </c:pt>
                <c:pt idx="20">
                  <c:v>4.2127233000000007E-2</c:v>
                </c:pt>
                <c:pt idx="21">
                  <c:v>4.3255738000000002E-2</c:v>
                </c:pt>
                <c:pt idx="22">
                  <c:v>4.4262332000000001E-2</c:v>
                </c:pt>
                <c:pt idx="23">
                  <c:v>4.3077689000000002E-2</c:v>
                </c:pt>
                <c:pt idx="24">
                  <c:v>4.2213852999999996E-2</c:v>
                </c:pt>
                <c:pt idx="25">
                  <c:v>3.9782874000000003E-2</c:v>
                </c:pt>
                <c:pt idx="26">
                  <c:v>4.0566351E-2</c:v>
                </c:pt>
                <c:pt idx="27">
                  <c:v>4.2647978999999996E-2</c:v>
                </c:pt>
                <c:pt idx="28">
                  <c:v>4.2659380000000004E-2</c:v>
                </c:pt>
                <c:pt idx="29">
                  <c:v>4.2430513999999996E-2</c:v>
                </c:pt>
                <c:pt idx="30">
                  <c:v>4.2495613000000002E-2</c:v>
                </c:pt>
                <c:pt idx="31">
                  <c:v>4.0151085000000003E-2</c:v>
                </c:pt>
                <c:pt idx="32">
                  <c:v>4.2885441999999996E-2</c:v>
                </c:pt>
                <c:pt idx="33">
                  <c:v>4.2894214E-2</c:v>
                </c:pt>
                <c:pt idx="34">
                  <c:v>4.4623087999999998E-2</c:v>
                </c:pt>
                <c:pt idx="35">
                  <c:v>4.5694737999999999E-2</c:v>
                </c:pt>
                <c:pt idx="36">
                  <c:v>4.9072490000000003E-2</c:v>
                </c:pt>
                <c:pt idx="37">
                  <c:v>5.3013115999999999E-2</c:v>
                </c:pt>
                <c:pt idx="38">
                  <c:v>5.7107368999999998E-2</c:v>
                </c:pt>
                <c:pt idx="39">
                  <c:v>5.5121705E-2</c:v>
                </c:pt>
                <c:pt idx="40">
                  <c:v>5.8115401999999997E-2</c:v>
                </c:pt>
                <c:pt idx="41">
                  <c:v>5.8610664999999999E-2</c:v>
                </c:pt>
                <c:pt idx="42">
                  <c:v>5.6716106000000002E-2</c:v>
                </c:pt>
                <c:pt idx="43">
                  <c:v>5.7145939999999999E-2</c:v>
                </c:pt>
                <c:pt idx="44">
                  <c:v>5.6609792999999999E-2</c:v>
                </c:pt>
                <c:pt idx="45">
                  <c:v>5.6228186999999999E-2</c:v>
                </c:pt>
                <c:pt idx="46">
                  <c:v>5.5579973999999997E-2</c:v>
                </c:pt>
                <c:pt idx="47">
                  <c:v>5.4905847000000001E-2</c:v>
                </c:pt>
                <c:pt idx="48">
                  <c:v>5.2652959999999999E-2</c:v>
                </c:pt>
                <c:pt idx="49">
                  <c:v>5.2966927000000004E-2</c:v>
                </c:pt>
                <c:pt idx="50">
                  <c:v>5.4221202000000003E-2</c:v>
                </c:pt>
                <c:pt idx="51">
                  <c:v>5.4977473000000006E-2</c:v>
                </c:pt>
                <c:pt idx="52">
                  <c:v>5.2293050000000001E-2</c:v>
                </c:pt>
                <c:pt idx="53">
                  <c:v>5.14381E-2</c:v>
                </c:pt>
                <c:pt idx="54">
                  <c:v>5.2867623000000002E-2</c:v>
                </c:pt>
                <c:pt idx="55">
                  <c:v>5.0321626000000001E-2</c:v>
                </c:pt>
                <c:pt idx="56">
                  <c:v>5.0532226999999999E-2</c:v>
                </c:pt>
                <c:pt idx="57">
                  <c:v>5.2839031000000002E-2</c:v>
                </c:pt>
                <c:pt idx="58">
                  <c:v>5.1086387999999996E-2</c:v>
                </c:pt>
                <c:pt idx="59">
                  <c:v>4.8763313999999995E-2</c:v>
                </c:pt>
                <c:pt idx="60">
                  <c:v>5.0026101000000003E-2</c:v>
                </c:pt>
                <c:pt idx="61">
                  <c:v>4.9705711E-2</c:v>
                </c:pt>
                <c:pt idx="62">
                  <c:v>4.9260339E-2</c:v>
                </c:pt>
                <c:pt idx="63">
                  <c:v>4.9584383000000003E-2</c:v>
                </c:pt>
                <c:pt idx="64">
                  <c:v>5.0130388000000005E-2</c:v>
                </c:pt>
                <c:pt idx="65">
                  <c:v>4.9165750000000001E-2</c:v>
                </c:pt>
                <c:pt idx="66">
                  <c:v>5.0913402000000003E-2</c:v>
                </c:pt>
                <c:pt idx="67">
                  <c:v>5.2701244000000001E-2</c:v>
                </c:pt>
                <c:pt idx="68">
                  <c:v>5.220379E-2</c:v>
                </c:pt>
                <c:pt idx="69">
                  <c:v>5.1868794999999995E-2</c:v>
                </c:pt>
                <c:pt idx="70">
                  <c:v>5.2307310999999995E-2</c:v>
                </c:pt>
                <c:pt idx="71">
                  <c:v>5.1962847999999999E-2</c:v>
                </c:pt>
                <c:pt idx="72">
                  <c:v>5.0470900999999999E-2</c:v>
                </c:pt>
                <c:pt idx="73">
                  <c:v>5.1906194000000003E-2</c:v>
                </c:pt>
                <c:pt idx="74">
                  <c:v>5.1827132000000005E-2</c:v>
                </c:pt>
                <c:pt idx="75">
                  <c:v>4.9935060000000003E-2</c:v>
                </c:pt>
                <c:pt idx="76">
                  <c:v>5.2002184999999999E-2</c:v>
                </c:pt>
                <c:pt idx="77">
                  <c:v>5.1624236999999996E-2</c:v>
                </c:pt>
                <c:pt idx="78">
                  <c:v>5.1805944999999999E-2</c:v>
                </c:pt>
                <c:pt idx="79">
                  <c:v>5.1568831000000002E-2</c:v>
                </c:pt>
                <c:pt idx="80">
                  <c:v>5.4866764999999998E-2</c:v>
                </c:pt>
                <c:pt idx="81">
                  <c:v>5.4097033999999995E-2</c:v>
                </c:pt>
                <c:pt idx="82">
                  <c:v>5.2564726999999999E-2</c:v>
                </c:pt>
                <c:pt idx="83">
                  <c:v>5.4318494000000002E-2</c:v>
                </c:pt>
                <c:pt idx="84">
                  <c:v>5.3889256999999996E-2</c:v>
                </c:pt>
                <c:pt idx="85">
                  <c:v>5.3932402000000004E-2</c:v>
                </c:pt>
                <c:pt idx="86">
                  <c:v>5.6399698999999998E-2</c:v>
                </c:pt>
                <c:pt idx="87">
                  <c:v>5.5873788000000001E-2</c:v>
                </c:pt>
                <c:pt idx="88">
                  <c:v>5.6095943000000002E-2</c:v>
                </c:pt>
                <c:pt idx="89">
                  <c:v>5.6952854999999997E-2</c:v>
                </c:pt>
                <c:pt idx="90">
                  <c:v>5.6338803999999999E-2</c:v>
                </c:pt>
                <c:pt idx="91">
                  <c:v>5.8435147E-2</c:v>
                </c:pt>
                <c:pt idx="92">
                  <c:v>5.7042380000000004E-2</c:v>
                </c:pt>
                <c:pt idx="93">
                  <c:v>5.8227190000000005E-2</c:v>
                </c:pt>
                <c:pt idx="94">
                  <c:v>5.7962613999999996E-2</c:v>
                </c:pt>
                <c:pt idx="95">
                  <c:v>5.9001982000000001E-2</c:v>
                </c:pt>
                <c:pt idx="96">
                  <c:v>5.9452432999999999E-2</c:v>
                </c:pt>
                <c:pt idx="97">
                  <c:v>5.8757529000000003E-2</c:v>
                </c:pt>
                <c:pt idx="98">
                  <c:v>5.8746135999999997E-2</c:v>
                </c:pt>
                <c:pt idx="99">
                  <c:v>5.8026676000000006E-2</c:v>
                </c:pt>
                <c:pt idx="100">
                  <c:v>5.9298533000000007E-2</c:v>
                </c:pt>
                <c:pt idx="101">
                  <c:v>6.0489543E-2</c:v>
                </c:pt>
                <c:pt idx="102">
                  <c:v>6.1764548000000002E-2</c:v>
                </c:pt>
                <c:pt idx="103">
                  <c:v>6.1046660000000003E-2</c:v>
                </c:pt>
                <c:pt idx="104">
                  <c:v>6.2389485999999994E-2</c:v>
                </c:pt>
                <c:pt idx="105">
                  <c:v>6.3573709000000006E-2</c:v>
                </c:pt>
                <c:pt idx="106">
                  <c:v>6.2965517999999998E-2</c:v>
                </c:pt>
                <c:pt idx="107">
                  <c:v>6.1048663999999996E-2</c:v>
                </c:pt>
                <c:pt idx="108">
                  <c:v>6.3498058999999996E-2</c:v>
                </c:pt>
                <c:pt idx="109">
                  <c:v>6.1523314999999995E-2</c:v>
                </c:pt>
                <c:pt idx="110">
                  <c:v>6.1028494999999995E-2</c:v>
                </c:pt>
                <c:pt idx="111">
                  <c:v>6.1103853E-2</c:v>
                </c:pt>
                <c:pt idx="112">
                  <c:v>5.9309860999999998E-2</c:v>
                </c:pt>
                <c:pt idx="113">
                  <c:v>6.0084472E-2</c:v>
                </c:pt>
                <c:pt idx="114">
                  <c:v>6.2797220000000001E-2</c:v>
                </c:pt>
                <c:pt idx="115">
                  <c:v>6.0895708E-2</c:v>
                </c:pt>
                <c:pt idx="116">
                  <c:v>6.1763070000000003E-2</c:v>
                </c:pt>
                <c:pt idx="117">
                  <c:v>5.9125914999999994E-2</c:v>
                </c:pt>
                <c:pt idx="118">
                  <c:v>5.8502898999999997E-2</c:v>
                </c:pt>
                <c:pt idx="119">
                  <c:v>5.7396702000000001E-2</c:v>
                </c:pt>
                <c:pt idx="120">
                  <c:v>6.0387472999999997E-2</c:v>
                </c:pt>
                <c:pt idx="121">
                  <c:v>5.6923437E-2</c:v>
                </c:pt>
                <c:pt idx="122">
                  <c:v>5.6525923000000006E-2</c:v>
                </c:pt>
                <c:pt idx="123">
                  <c:v>5.6432664E-2</c:v>
                </c:pt>
                <c:pt idx="124">
                  <c:v>5.7215822999999999E-2</c:v>
                </c:pt>
                <c:pt idx="125">
                  <c:v>5.6964654000000003E-2</c:v>
                </c:pt>
                <c:pt idx="126">
                  <c:v>5.6992440999999998E-2</c:v>
                </c:pt>
                <c:pt idx="127">
                  <c:v>5.6174779000000001E-2</c:v>
                </c:pt>
                <c:pt idx="128">
                  <c:v>5.6669847000000002E-2</c:v>
                </c:pt>
                <c:pt idx="129">
                  <c:v>5.5982125000000001E-2</c:v>
                </c:pt>
                <c:pt idx="130">
                  <c:v>5.7666250999999995E-2</c:v>
                </c:pt>
                <c:pt idx="131">
                  <c:v>5.8342353999999999E-2</c:v>
                </c:pt>
                <c:pt idx="132">
                  <c:v>5.6802507999999995E-2</c:v>
                </c:pt>
                <c:pt idx="133">
                  <c:v>5.8904142000000007E-2</c:v>
                </c:pt>
                <c:pt idx="134">
                  <c:v>5.8451186000000002E-2</c:v>
                </c:pt>
                <c:pt idx="135">
                  <c:v>5.6053898999999997E-2</c:v>
                </c:pt>
                <c:pt idx="136">
                  <c:v>5.5479865999999996E-2</c:v>
                </c:pt>
                <c:pt idx="137">
                  <c:v>5.6244778999999995E-2</c:v>
                </c:pt>
                <c:pt idx="138">
                  <c:v>5.6131107E-2</c:v>
                </c:pt>
                <c:pt idx="139">
                  <c:v>5.5325468999999995E-2</c:v>
                </c:pt>
                <c:pt idx="140">
                  <c:v>5.4672211999999998E-2</c:v>
                </c:pt>
                <c:pt idx="141">
                  <c:v>5.4058564999999996E-2</c:v>
                </c:pt>
                <c:pt idx="142">
                  <c:v>5.4534114000000002E-2</c:v>
                </c:pt>
                <c:pt idx="143">
                  <c:v>5.6133514000000002E-2</c:v>
                </c:pt>
                <c:pt idx="144">
                  <c:v>5.5189573999999998E-2</c:v>
                </c:pt>
                <c:pt idx="145">
                  <c:v>5.5779285999999997E-2</c:v>
                </c:pt>
                <c:pt idx="146">
                  <c:v>5.5292149999999998E-2</c:v>
                </c:pt>
                <c:pt idx="147">
                  <c:v>5.5388576000000002E-2</c:v>
                </c:pt>
                <c:pt idx="148">
                  <c:v>5.4370607000000001E-2</c:v>
                </c:pt>
                <c:pt idx="149">
                  <c:v>5.3438557999999997E-2</c:v>
                </c:pt>
                <c:pt idx="150">
                  <c:v>5.3062868999999999E-2</c:v>
                </c:pt>
                <c:pt idx="151">
                  <c:v>5.2470001000000002E-2</c:v>
                </c:pt>
                <c:pt idx="152">
                  <c:v>5.0242500000000002E-2</c:v>
                </c:pt>
                <c:pt idx="153">
                  <c:v>5.0056692E-2</c:v>
                </c:pt>
                <c:pt idx="154">
                  <c:v>5.1076055000000002E-2</c:v>
                </c:pt>
                <c:pt idx="155">
                  <c:v>5.0143890000000003E-2</c:v>
                </c:pt>
                <c:pt idx="156">
                  <c:v>5.0413100999999995E-2</c:v>
                </c:pt>
                <c:pt idx="157">
                  <c:v>4.9866267000000006E-2</c:v>
                </c:pt>
                <c:pt idx="158">
                  <c:v>5.0876669000000006E-2</c:v>
                </c:pt>
                <c:pt idx="159">
                  <c:v>5.2128617999999995E-2</c:v>
                </c:pt>
                <c:pt idx="160">
                  <c:v>5.1983305E-2</c:v>
                </c:pt>
                <c:pt idx="161">
                  <c:v>5.2626150999999996E-2</c:v>
                </c:pt>
                <c:pt idx="162">
                  <c:v>5.2914535000000006E-2</c:v>
                </c:pt>
                <c:pt idx="163">
                  <c:v>5.2619794999999997E-2</c:v>
                </c:pt>
                <c:pt idx="164">
                  <c:v>5.2369548999999994E-2</c:v>
                </c:pt>
                <c:pt idx="165">
                  <c:v>5.3065214999999999E-2</c:v>
                </c:pt>
                <c:pt idx="166">
                  <c:v>5.1667414000000002E-2</c:v>
                </c:pt>
                <c:pt idx="167">
                  <c:v>5.0350723999999999E-2</c:v>
                </c:pt>
                <c:pt idx="168">
                  <c:v>5.2384218000000003E-2</c:v>
                </c:pt>
                <c:pt idx="169">
                  <c:v>5.1055914000000001E-2</c:v>
                </c:pt>
                <c:pt idx="170">
                  <c:v>5.1932976999999998E-2</c:v>
                </c:pt>
                <c:pt idx="171">
                  <c:v>6.2936417000000008E-2</c:v>
                </c:pt>
                <c:pt idx="172">
                  <c:v>6.9893983000000007E-2</c:v>
                </c:pt>
                <c:pt idx="173">
                  <c:v>7.4341902000000001E-2</c:v>
                </c:pt>
                <c:pt idx="174">
                  <c:v>7.4658060999999998E-2</c:v>
                </c:pt>
                <c:pt idx="175">
                  <c:v>6.8001299000000001E-2</c:v>
                </c:pt>
                <c:pt idx="176">
                  <c:v>6.9426040000000008E-2</c:v>
                </c:pt>
                <c:pt idx="177">
                  <c:v>6.9577919000000002E-2</c:v>
                </c:pt>
                <c:pt idx="178">
                  <c:v>6.7981706000000003E-2</c:v>
                </c:pt>
                <c:pt idx="179">
                  <c:v>6.5470168999999995E-2</c:v>
                </c:pt>
                <c:pt idx="180">
                  <c:v>6.2664882000000005E-2</c:v>
                </c:pt>
                <c:pt idx="181">
                  <c:v>5.8378804999999999E-2</c:v>
                </c:pt>
                <c:pt idx="182">
                  <c:v>5.6609659E-2</c:v>
                </c:pt>
                <c:pt idx="183">
                  <c:v>5.4603586999999995E-2</c:v>
                </c:pt>
                <c:pt idx="184">
                  <c:v>5.1063520000000001E-2</c:v>
                </c:pt>
                <c:pt idx="185">
                  <c:v>5.0366897000000001E-2</c:v>
                </c:pt>
                <c:pt idx="186">
                  <c:v>4.7447346000000001E-2</c:v>
                </c:pt>
                <c:pt idx="187">
                  <c:v>4.5760997999999997E-2</c:v>
                </c:pt>
                <c:pt idx="188">
                  <c:v>4.7289141E-2</c:v>
                </c:pt>
                <c:pt idx="189">
                  <c:v>5.2446280999999997E-2</c:v>
                </c:pt>
                <c:pt idx="190">
                  <c:v>4.6225229E-2</c:v>
                </c:pt>
                <c:pt idx="191">
                  <c:v>4.1964307999999999E-2</c:v>
                </c:pt>
                <c:pt idx="192">
                  <c:v>4.1595080999999999E-2</c:v>
                </c:pt>
                <c:pt idx="193">
                  <c:v>4.0222281000000006E-2</c:v>
                </c:pt>
                <c:pt idx="194">
                  <c:v>3.9686571000000004E-2</c:v>
                </c:pt>
                <c:pt idx="195">
                  <c:v>3.8499825000000001E-2</c:v>
                </c:pt>
                <c:pt idx="196">
                  <c:v>3.9346011E-2</c:v>
                </c:pt>
                <c:pt idx="197">
                  <c:v>3.6216092999999998E-2</c:v>
                </c:pt>
                <c:pt idx="198">
                  <c:v>3.4637949000000001E-2</c:v>
                </c:pt>
                <c:pt idx="199">
                  <c:v>3.5286767999999996E-2</c:v>
                </c:pt>
                <c:pt idx="200">
                  <c:v>3.6282043999999999E-2</c:v>
                </c:pt>
                <c:pt idx="201">
                  <c:v>3.4423752000000002E-2</c:v>
                </c:pt>
                <c:pt idx="202">
                  <c:v>3.5061654999999997E-2</c:v>
                </c:pt>
                <c:pt idx="203">
                  <c:v>3.5100174000000005E-2</c:v>
                </c:pt>
                <c:pt idx="204">
                  <c:v>3.6531227999999999E-2</c:v>
                </c:pt>
                <c:pt idx="205">
                  <c:v>3.5972809000000001E-2</c:v>
                </c:pt>
                <c:pt idx="206">
                  <c:v>3.5743711999999997E-2</c:v>
                </c:pt>
                <c:pt idx="207">
                  <c:v>3.7016260000000002E-2</c:v>
                </c:pt>
                <c:pt idx="208">
                  <c:v>3.5848222999999999E-2</c:v>
                </c:pt>
                <c:pt idx="209">
                  <c:v>3.5402171000000003E-2</c:v>
                </c:pt>
                <c:pt idx="210">
                  <c:v>3.7310204E-2</c:v>
                </c:pt>
                <c:pt idx="211">
                  <c:v>3.6800696000000001E-2</c:v>
                </c:pt>
                <c:pt idx="212">
                  <c:v>3.5977137999999999E-2</c:v>
                </c:pt>
                <c:pt idx="213">
                  <c:v>3.7858641999999998E-2</c:v>
                </c:pt>
                <c:pt idx="214">
                  <c:v>3.9210276999999995E-2</c:v>
                </c:pt>
                <c:pt idx="215">
                  <c:v>3.9705164000000001E-2</c:v>
                </c:pt>
                <c:pt idx="216">
                  <c:v>4.0838549000000002E-2</c:v>
                </c:pt>
                <c:pt idx="217">
                  <c:v>3.7251824999999995E-2</c:v>
                </c:pt>
                <c:pt idx="218">
                  <c:v>3.8735826000000001E-2</c:v>
                </c:pt>
                <c:pt idx="219">
                  <c:v>4.0834352000000004E-2</c:v>
                </c:pt>
                <c:pt idx="220">
                  <c:v>4.0060314000000007E-2</c:v>
                </c:pt>
                <c:pt idx="221">
                  <c:v>4.0673336999999997E-2</c:v>
                </c:pt>
                <c:pt idx="222">
                  <c:v>4.2208724999999996E-2</c:v>
                </c:pt>
                <c:pt idx="223">
                  <c:v>4.1312622E-2</c:v>
                </c:pt>
                <c:pt idx="224">
                  <c:v>4.0678273999999993E-2</c:v>
                </c:pt>
                <c:pt idx="225">
                  <c:v>4.1059422999999998E-2</c:v>
                </c:pt>
                <c:pt idx="226">
                  <c:v>3.9266100999999998E-2</c:v>
                </c:pt>
                <c:pt idx="227">
                  <c:v>3.9774992000000002E-2</c:v>
                </c:pt>
              </c:numCache>
            </c:numRef>
          </c:val>
          <c:smooth val="0"/>
          <c:extLst>
            <c:ext xmlns:c16="http://schemas.microsoft.com/office/drawing/2014/chart" uri="{C3380CC4-5D6E-409C-BE32-E72D297353CC}">
              <c16:uniqueId val="{00000001-3164-493A-8F9C-BC6D649C342C}"/>
            </c:ext>
          </c:extLst>
        </c:ser>
        <c:dLbls>
          <c:showLegendKey val="0"/>
          <c:showVal val="0"/>
          <c:showCatName val="0"/>
          <c:showSerName val="0"/>
          <c:showPercent val="0"/>
          <c:showBubbleSize val="0"/>
        </c:dLbls>
        <c:marker val="1"/>
        <c:smooth val="0"/>
        <c:axId val="135221919"/>
        <c:axId val="135217599"/>
      </c:lineChart>
      <c:dateAx>
        <c:axId val="202094063"/>
        <c:scaling>
          <c:orientation val="minMax"/>
          <c:min val="39052"/>
        </c:scaling>
        <c:delete val="0"/>
        <c:axPos val="b"/>
        <c:numFmt formatCode="mmm\-yy" sourceLinked="1"/>
        <c:majorTickMark val="out"/>
        <c:minorTickMark val="none"/>
        <c:tickLblPos val="nextTo"/>
        <c:spPr>
          <a:noFill/>
          <a:ln w="9525" cap="flat" cmpd="sng" algn="ctr">
            <a:solidFill>
              <a:schemeClr val="tx1"/>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095023"/>
        <c:crosses val="autoZero"/>
        <c:auto val="1"/>
        <c:lblOffset val="100"/>
        <c:baseTimeUnit val="months"/>
        <c:majorUnit val="12"/>
        <c:majorTimeUnit val="months"/>
      </c:dateAx>
      <c:valAx>
        <c:axId val="20209502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Job advertisements ('000s)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094063"/>
        <c:crosses val="autoZero"/>
        <c:crossBetween val="between"/>
      </c:valAx>
      <c:valAx>
        <c:axId val="135217599"/>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Unemployment rate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221919"/>
        <c:crosses val="max"/>
        <c:crossBetween val="between"/>
        <c:majorUnit val="2.0000000000000004E-2"/>
      </c:valAx>
      <c:dateAx>
        <c:axId val="135221919"/>
        <c:scaling>
          <c:orientation val="minMax"/>
        </c:scaling>
        <c:delete val="1"/>
        <c:axPos val="b"/>
        <c:numFmt formatCode="mmm\-yy" sourceLinked="1"/>
        <c:majorTickMark val="out"/>
        <c:minorTickMark val="none"/>
        <c:tickLblPos val="nextTo"/>
        <c:crossAx val="135217599"/>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68064516129033"/>
          <c:y val="5.0925925925925923E-2"/>
          <c:w val="0.86776379928315417"/>
          <c:h val="0.71108548420548245"/>
        </c:manualLayout>
      </c:layout>
      <c:barChart>
        <c:barDir val="col"/>
        <c:grouping val="clustered"/>
        <c:varyColors val="0"/>
        <c:ser>
          <c:idx val="0"/>
          <c:order val="0"/>
          <c:tx>
            <c:strRef>
              <c:f>'ERSA - Fig.8'!$B$3</c:f>
              <c:strCache>
                <c:ptCount val="1"/>
                <c:pt idx="0">
                  <c:v>Dec Qtr 2023</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'ERSA - Fig.8'!$A$4:$A$9</c:f>
              <c:strCache>
                <c:ptCount val="6"/>
                <c:pt idx="0">
                  <c:v>New South Wales</c:v>
                </c:pt>
                <c:pt idx="1">
                  <c:v>Victoria</c:v>
                </c:pt>
                <c:pt idx="2">
                  <c:v>Queensland</c:v>
                </c:pt>
                <c:pt idx="3">
                  <c:v>South Australia</c:v>
                </c:pt>
                <c:pt idx="4">
                  <c:v>Western Australia</c:v>
                </c:pt>
                <c:pt idx="5">
                  <c:v>Tasmania</c:v>
                </c:pt>
              </c:strCache>
            </c:strRef>
          </c:cat>
          <c:val>
            <c:numRef>
              <c:f>'ERSA - Fig.8'!$B$4:$B$9</c:f>
              <c:numCache>
                <c:formatCode>0%</c:formatCode>
                <c:ptCount val="6"/>
                <c:pt idx="0">
                  <c:v>0.49</c:v>
                </c:pt>
                <c:pt idx="1">
                  <c:v>0.47</c:v>
                </c:pt>
                <c:pt idx="2">
                  <c:v>0.55000000000000004</c:v>
                </c:pt>
                <c:pt idx="3">
                  <c:v>0.46</c:v>
                </c:pt>
                <c:pt idx="4">
                  <c:v>0.49</c:v>
                </c:pt>
                <c:pt idx="5">
                  <c:v>0.49</c:v>
                </c:pt>
              </c:numCache>
            </c:numRef>
          </c:val>
          <c:extLst>
            <c:ext xmlns:c16="http://schemas.microsoft.com/office/drawing/2014/chart" uri="{C3380CC4-5D6E-409C-BE32-E72D297353CC}">
              <c16:uniqueId val="{00000000-1781-48B9-AFAA-89B5D8B6C5BF}"/>
            </c:ext>
          </c:extLst>
        </c:ser>
        <c:ser>
          <c:idx val="1"/>
          <c:order val="1"/>
          <c:tx>
            <c:strRef>
              <c:f>'ERSA - Fig.8'!$C$3</c:f>
              <c:strCache>
                <c:ptCount val="1"/>
                <c:pt idx="0">
                  <c:v>Mar Qtr 2024</c:v>
                </c:pt>
              </c:strCache>
            </c:strRef>
          </c:tx>
          <c:spPr>
            <a:solidFill>
              <a:schemeClr val="accent2"/>
            </a:solidFill>
            <a:ln>
              <a:noFill/>
            </a:ln>
            <a:effectLst/>
          </c:spPr>
          <c:invertIfNegative val="0"/>
          <c:cat>
            <c:strRef>
              <c:f>'ERSA - Fig.8'!$A$4:$A$9</c:f>
              <c:strCache>
                <c:ptCount val="6"/>
                <c:pt idx="0">
                  <c:v>New South Wales</c:v>
                </c:pt>
                <c:pt idx="1">
                  <c:v>Victoria</c:v>
                </c:pt>
                <c:pt idx="2">
                  <c:v>Queensland</c:v>
                </c:pt>
                <c:pt idx="3">
                  <c:v>South Australia</c:v>
                </c:pt>
                <c:pt idx="4">
                  <c:v>Western Australia</c:v>
                </c:pt>
                <c:pt idx="5">
                  <c:v>Tasmania</c:v>
                </c:pt>
              </c:strCache>
            </c:strRef>
          </c:cat>
          <c:val>
            <c:numRef>
              <c:f>'ERSA - Fig.8'!$C$4:$C$9</c:f>
              <c:numCache>
                <c:formatCode>0%</c:formatCode>
                <c:ptCount val="6"/>
                <c:pt idx="0">
                  <c:v>0.45</c:v>
                </c:pt>
                <c:pt idx="1">
                  <c:v>0.46</c:v>
                </c:pt>
                <c:pt idx="2">
                  <c:v>0.56000000000000005</c:v>
                </c:pt>
                <c:pt idx="3">
                  <c:v>0.45</c:v>
                </c:pt>
                <c:pt idx="4">
                  <c:v>0.52</c:v>
                </c:pt>
                <c:pt idx="5">
                  <c:v>0.5</c:v>
                </c:pt>
              </c:numCache>
            </c:numRef>
          </c:val>
          <c:extLst>
            <c:ext xmlns:c16="http://schemas.microsoft.com/office/drawing/2014/chart" uri="{C3380CC4-5D6E-409C-BE32-E72D297353CC}">
              <c16:uniqueId val="{00000001-1781-48B9-AFAA-89B5D8B6C5BF}"/>
            </c:ext>
          </c:extLst>
        </c:ser>
        <c:ser>
          <c:idx val="2"/>
          <c:order val="2"/>
          <c:tx>
            <c:strRef>
              <c:f>'ERSA - Fig.8'!$D$3</c:f>
              <c:strCache>
                <c:ptCount val="1"/>
                <c:pt idx="0">
                  <c:v>Jun Qtr 2024</c:v>
                </c:pt>
              </c:strCache>
            </c:strRef>
          </c:tx>
          <c:spPr>
            <a:solidFill>
              <a:schemeClr val="accent3"/>
            </a:solidFill>
            <a:ln>
              <a:noFill/>
            </a:ln>
            <a:effectLst/>
          </c:spPr>
          <c:invertIfNegative val="0"/>
          <c:cat>
            <c:strRef>
              <c:f>'ERSA - Fig.8'!$A$4:$A$9</c:f>
              <c:strCache>
                <c:ptCount val="6"/>
                <c:pt idx="0">
                  <c:v>New South Wales</c:v>
                </c:pt>
                <c:pt idx="1">
                  <c:v>Victoria</c:v>
                </c:pt>
                <c:pt idx="2">
                  <c:v>Queensland</c:v>
                </c:pt>
                <c:pt idx="3">
                  <c:v>South Australia</c:v>
                </c:pt>
                <c:pt idx="4">
                  <c:v>Western Australia</c:v>
                </c:pt>
                <c:pt idx="5">
                  <c:v>Tasmania</c:v>
                </c:pt>
              </c:strCache>
            </c:strRef>
          </c:cat>
          <c:val>
            <c:numRef>
              <c:f>'ERSA - Fig.8'!$D$4:$D$9</c:f>
              <c:numCache>
                <c:formatCode>0%</c:formatCode>
                <c:ptCount val="6"/>
                <c:pt idx="0">
                  <c:v>0.44</c:v>
                </c:pt>
                <c:pt idx="1">
                  <c:v>0.42</c:v>
                </c:pt>
                <c:pt idx="2">
                  <c:v>0.48</c:v>
                </c:pt>
                <c:pt idx="3">
                  <c:v>0.46</c:v>
                </c:pt>
                <c:pt idx="4">
                  <c:v>0.48</c:v>
                </c:pt>
                <c:pt idx="5">
                  <c:v>0.44</c:v>
                </c:pt>
              </c:numCache>
            </c:numRef>
          </c:val>
          <c:extLst>
            <c:ext xmlns:c16="http://schemas.microsoft.com/office/drawing/2014/chart" uri="{C3380CC4-5D6E-409C-BE32-E72D297353CC}">
              <c16:uniqueId val="{00000002-1781-48B9-AFAA-89B5D8B6C5BF}"/>
            </c:ext>
          </c:extLst>
        </c:ser>
        <c:ser>
          <c:idx val="3"/>
          <c:order val="3"/>
          <c:tx>
            <c:strRef>
              <c:f>'ERSA - Fig.8'!$E$3</c:f>
              <c:strCache>
                <c:ptCount val="1"/>
                <c:pt idx="0">
                  <c:v>Sept Qtr 2024</c:v>
                </c:pt>
              </c:strCache>
            </c:strRef>
          </c:tx>
          <c:spPr>
            <a:solidFill>
              <a:schemeClr val="accent4"/>
            </a:solidFill>
            <a:ln>
              <a:noFill/>
            </a:ln>
            <a:effectLst/>
          </c:spPr>
          <c:invertIfNegative val="0"/>
          <c:cat>
            <c:strRef>
              <c:f>'ERSA - Fig.8'!$A$4:$A$9</c:f>
              <c:strCache>
                <c:ptCount val="6"/>
                <c:pt idx="0">
                  <c:v>New South Wales</c:v>
                </c:pt>
                <c:pt idx="1">
                  <c:v>Victoria</c:v>
                </c:pt>
                <c:pt idx="2">
                  <c:v>Queensland</c:v>
                </c:pt>
                <c:pt idx="3">
                  <c:v>South Australia</c:v>
                </c:pt>
                <c:pt idx="4">
                  <c:v>Western Australia</c:v>
                </c:pt>
                <c:pt idx="5">
                  <c:v>Tasmania</c:v>
                </c:pt>
              </c:strCache>
            </c:strRef>
          </c:cat>
          <c:val>
            <c:numRef>
              <c:f>'ERSA - Fig.8'!$E$4:$E$9</c:f>
              <c:numCache>
                <c:formatCode>0%</c:formatCode>
                <c:ptCount val="6"/>
                <c:pt idx="0">
                  <c:v>0.44</c:v>
                </c:pt>
                <c:pt idx="1">
                  <c:v>0.37</c:v>
                </c:pt>
                <c:pt idx="2">
                  <c:v>0.52</c:v>
                </c:pt>
                <c:pt idx="3">
                  <c:v>0.36</c:v>
                </c:pt>
                <c:pt idx="4">
                  <c:v>0.51</c:v>
                </c:pt>
                <c:pt idx="5">
                  <c:v>0.43</c:v>
                </c:pt>
              </c:numCache>
            </c:numRef>
          </c:val>
          <c:extLst>
            <c:ext xmlns:c16="http://schemas.microsoft.com/office/drawing/2014/chart" uri="{C3380CC4-5D6E-409C-BE32-E72D297353CC}">
              <c16:uniqueId val="{00000003-1781-48B9-AFAA-89B5D8B6C5BF}"/>
            </c:ext>
          </c:extLst>
        </c:ser>
        <c:ser>
          <c:idx val="4"/>
          <c:order val="4"/>
          <c:tx>
            <c:strRef>
              <c:f>'ERSA - Fig.8'!$F$3</c:f>
              <c:strCache>
                <c:ptCount val="1"/>
                <c:pt idx="0">
                  <c:v>Dec Qtr 2024</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'ERSA - Fig.8'!$A$4:$A$9</c:f>
              <c:strCache>
                <c:ptCount val="6"/>
                <c:pt idx="0">
                  <c:v>New South Wales</c:v>
                </c:pt>
                <c:pt idx="1">
                  <c:v>Victoria</c:v>
                </c:pt>
                <c:pt idx="2">
                  <c:v>Queensland</c:v>
                </c:pt>
                <c:pt idx="3">
                  <c:v>South Australia</c:v>
                </c:pt>
                <c:pt idx="4">
                  <c:v>Western Australia</c:v>
                </c:pt>
                <c:pt idx="5">
                  <c:v>Tasmania</c:v>
                </c:pt>
              </c:strCache>
            </c:strRef>
          </c:cat>
          <c:val>
            <c:numRef>
              <c:f>'ERSA - Fig.8'!$F$4:$F$9</c:f>
              <c:numCache>
                <c:formatCode>0%</c:formatCode>
                <c:ptCount val="6"/>
                <c:pt idx="0">
                  <c:v>0.39</c:v>
                </c:pt>
                <c:pt idx="1">
                  <c:v>0.39</c:v>
                </c:pt>
                <c:pt idx="2">
                  <c:v>0.49</c:v>
                </c:pt>
                <c:pt idx="3">
                  <c:v>0.39</c:v>
                </c:pt>
                <c:pt idx="4">
                  <c:v>0.54</c:v>
                </c:pt>
                <c:pt idx="5">
                  <c:v>0.48</c:v>
                </c:pt>
              </c:numCache>
            </c:numRef>
          </c:val>
          <c:extLst>
            <c:ext xmlns:c16="http://schemas.microsoft.com/office/drawing/2014/chart" uri="{C3380CC4-5D6E-409C-BE32-E72D297353CC}">
              <c16:uniqueId val="{00000004-1781-48B9-AFAA-89B5D8B6C5BF}"/>
            </c:ext>
          </c:extLst>
        </c:ser>
        <c:dLbls>
          <c:showLegendKey val="0"/>
          <c:showVal val="0"/>
          <c:showCatName val="0"/>
          <c:showSerName val="0"/>
          <c:showPercent val="0"/>
          <c:showBubbleSize val="0"/>
        </c:dLbls>
        <c:gapWidth val="225"/>
        <c:overlap val="-20"/>
        <c:axId val="1472992752"/>
        <c:axId val="1472991792"/>
      </c:barChart>
      <c:catAx>
        <c:axId val="147299275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72991792"/>
        <c:crosses val="autoZero"/>
        <c:auto val="1"/>
        <c:lblAlgn val="ctr"/>
        <c:lblOffset val="100"/>
        <c:noMultiLvlLbl val="0"/>
      </c:catAx>
      <c:valAx>
        <c:axId val="1472991792"/>
        <c:scaling>
          <c:orientation val="minMax"/>
          <c:max val="0.70000000000000007"/>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Proportion of all employers</a:t>
                </a:r>
              </a:p>
            </c:rich>
          </c:tx>
          <c:layout>
            <c:manualLayout>
              <c:xMode val="edge"/>
              <c:yMode val="edge"/>
              <c:x val="2.7777777777777779E-3"/>
              <c:y val="0.1319247594050743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7299275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'ERSA - Fig.9'!$B$3</c:f>
              <c:strCache>
                <c:ptCount val="1"/>
                <c:pt idx="0">
                  <c:v>Dec Qtr 2023</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'ERSA - Fig.9'!$A$4:$A$9</c:f>
              <c:strCache>
                <c:ptCount val="6"/>
                <c:pt idx="0">
                  <c:v>New South Wales</c:v>
                </c:pt>
                <c:pt idx="1">
                  <c:v>Victoria</c:v>
                </c:pt>
                <c:pt idx="2">
                  <c:v>Queensland</c:v>
                </c:pt>
                <c:pt idx="3">
                  <c:v>South Australia</c:v>
                </c:pt>
                <c:pt idx="4">
                  <c:v>Western Australia</c:v>
                </c:pt>
                <c:pt idx="5">
                  <c:v>Tasmania*</c:v>
                </c:pt>
              </c:strCache>
            </c:strRef>
          </c:cat>
          <c:val>
            <c:numRef>
              <c:f>'ERSA - Fig.9'!$B$4:$B$9</c:f>
              <c:numCache>
                <c:formatCode>0%</c:formatCode>
                <c:ptCount val="6"/>
                <c:pt idx="0">
                  <c:v>0.6</c:v>
                </c:pt>
                <c:pt idx="1">
                  <c:v>0.52</c:v>
                </c:pt>
                <c:pt idx="2">
                  <c:v>0.52</c:v>
                </c:pt>
                <c:pt idx="3">
                  <c:v>0.6</c:v>
                </c:pt>
                <c:pt idx="4">
                  <c:v>0.56999999999999995</c:v>
                </c:pt>
                <c:pt idx="5">
                  <c:v>0.43</c:v>
                </c:pt>
              </c:numCache>
            </c:numRef>
          </c:val>
          <c:extLst>
            <c:ext xmlns:c16="http://schemas.microsoft.com/office/drawing/2014/chart" uri="{C3380CC4-5D6E-409C-BE32-E72D297353CC}">
              <c16:uniqueId val="{00000000-2F8E-485C-9FD2-30210186C7DC}"/>
            </c:ext>
          </c:extLst>
        </c:ser>
        <c:ser>
          <c:idx val="1"/>
          <c:order val="1"/>
          <c:tx>
            <c:strRef>
              <c:f>'ERSA - Fig.9'!$C$3</c:f>
              <c:strCache>
                <c:ptCount val="1"/>
                <c:pt idx="0">
                  <c:v>Mar Qtr 2024</c:v>
                </c:pt>
              </c:strCache>
            </c:strRef>
          </c:tx>
          <c:spPr>
            <a:solidFill>
              <a:schemeClr val="accent2"/>
            </a:solidFill>
            <a:ln>
              <a:noFill/>
            </a:ln>
            <a:effectLst/>
          </c:spPr>
          <c:invertIfNegative val="0"/>
          <c:cat>
            <c:strRef>
              <c:f>'ERSA - Fig.9'!$A$4:$A$9</c:f>
              <c:strCache>
                <c:ptCount val="6"/>
                <c:pt idx="0">
                  <c:v>New South Wales</c:v>
                </c:pt>
                <c:pt idx="1">
                  <c:v>Victoria</c:v>
                </c:pt>
                <c:pt idx="2">
                  <c:v>Queensland</c:v>
                </c:pt>
                <c:pt idx="3">
                  <c:v>South Australia</c:v>
                </c:pt>
                <c:pt idx="4">
                  <c:v>Western Australia</c:v>
                </c:pt>
                <c:pt idx="5">
                  <c:v>Tasmania*</c:v>
                </c:pt>
              </c:strCache>
            </c:strRef>
          </c:cat>
          <c:val>
            <c:numRef>
              <c:f>'ERSA - Fig.9'!$C$4:$C$9</c:f>
              <c:numCache>
                <c:formatCode>0%</c:formatCode>
                <c:ptCount val="6"/>
                <c:pt idx="0">
                  <c:v>0.52</c:v>
                </c:pt>
                <c:pt idx="1">
                  <c:v>0.52</c:v>
                </c:pt>
                <c:pt idx="2">
                  <c:v>0.56000000000000005</c:v>
                </c:pt>
                <c:pt idx="3">
                  <c:v>0.51</c:v>
                </c:pt>
                <c:pt idx="4">
                  <c:v>0.54</c:v>
                </c:pt>
                <c:pt idx="5">
                  <c:v>0.51</c:v>
                </c:pt>
              </c:numCache>
            </c:numRef>
          </c:val>
          <c:extLst>
            <c:ext xmlns:c16="http://schemas.microsoft.com/office/drawing/2014/chart" uri="{C3380CC4-5D6E-409C-BE32-E72D297353CC}">
              <c16:uniqueId val="{00000001-2F8E-485C-9FD2-30210186C7DC}"/>
            </c:ext>
          </c:extLst>
        </c:ser>
        <c:ser>
          <c:idx val="2"/>
          <c:order val="2"/>
          <c:tx>
            <c:strRef>
              <c:f>'ERSA - Fig.9'!$D$3</c:f>
              <c:strCache>
                <c:ptCount val="1"/>
                <c:pt idx="0">
                  <c:v>Jun Qtr 2024</c:v>
                </c:pt>
              </c:strCache>
            </c:strRef>
          </c:tx>
          <c:spPr>
            <a:solidFill>
              <a:schemeClr val="accent3"/>
            </a:solidFill>
            <a:ln>
              <a:noFill/>
            </a:ln>
            <a:effectLst/>
          </c:spPr>
          <c:invertIfNegative val="0"/>
          <c:cat>
            <c:strRef>
              <c:f>'ERSA - Fig.9'!$A$4:$A$9</c:f>
              <c:strCache>
                <c:ptCount val="6"/>
                <c:pt idx="0">
                  <c:v>New South Wales</c:v>
                </c:pt>
                <c:pt idx="1">
                  <c:v>Victoria</c:v>
                </c:pt>
                <c:pt idx="2">
                  <c:v>Queensland</c:v>
                </c:pt>
                <c:pt idx="3">
                  <c:v>South Australia</c:v>
                </c:pt>
                <c:pt idx="4">
                  <c:v>Western Australia</c:v>
                </c:pt>
                <c:pt idx="5">
                  <c:v>Tasmania*</c:v>
                </c:pt>
              </c:strCache>
            </c:strRef>
          </c:cat>
          <c:val>
            <c:numRef>
              <c:f>'ERSA - Fig.9'!$D$4:$D$9</c:f>
              <c:numCache>
                <c:formatCode>0%</c:formatCode>
                <c:ptCount val="6"/>
                <c:pt idx="0">
                  <c:v>0.57999999999999996</c:v>
                </c:pt>
                <c:pt idx="1">
                  <c:v>0.57999999999999996</c:v>
                </c:pt>
                <c:pt idx="2">
                  <c:v>0.48</c:v>
                </c:pt>
                <c:pt idx="3">
                  <c:v>0.55000000000000004</c:v>
                </c:pt>
                <c:pt idx="4">
                  <c:v>0.51</c:v>
                </c:pt>
                <c:pt idx="5">
                  <c:v>0.61</c:v>
                </c:pt>
              </c:numCache>
            </c:numRef>
          </c:val>
          <c:extLst>
            <c:ext xmlns:c16="http://schemas.microsoft.com/office/drawing/2014/chart" uri="{C3380CC4-5D6E-409C-BE32-E72D297353CC}">
              <c16:uniqueId val="{00000002-2F8E-485C-9FD2-30210186C7DC}"/>
            </c:ext>
          </c:extLst>
        </c:ser>
        <c:ser>
          <c:idx val="3"/>
          <c:order val="3"/>
          <c:tx>
            <c:strRef>
              <c:f>'ERSA - Fig.9'!$E$3</c:f>
              <c:strCache>
                <c:ptCount val="1"/>
                <c:pt idx="0">
                  <c:v>Sept Qtr 2024</c:v>
                </c:pt>
              </c:strCache>
            </c:strRef>
          </c:tx>
          <c:spPr>
            <a:solidFill>
              <a:schemeClr val="accent4"/>
            </a:solidFill>
            <a:ln>
              <a:noFill/>
            </a:ln>
            <a:effectLst/>
          </c:spPr>
          <c:invertIfNegative val="0"/>
          <c:cat>
            <c:strRef>
              <c:f>'ERSA - Fig.9'!$A$4:$A$9</c:f>
              <c:strCache>
                <c:ptCount val="6"/>
                <c:pt idx="0">
                  <c:v>New South Wales</c:v>
                </c:pt>
                <c:pt idx="1">
                  <c:v>Victoria</c:v>
                </c:pt>
                <c:pt idx="2">
                  <c:v>Queensland</c:v>
                </c:pt>
                <c:pt idx="3">
                  <c:v>South Australia</c:v>
                </c:pt>
                <c:pt idx="4">
                  <c:v>Western Australia</c:v>
                </c:pt>
                <c:pt idx="5">
                  <c:v>Tasmania*</c:v>
                </c:pt>
              </c:strCache>
            </c:strRef>
          </c:cat>
          <c:val>
            <c:numRef>
              <c:f>'ERSA - Fig.9'!$E$4:$E$9</c:f>
              <c:numCache>
                <c:formatCode>0%</c:formatCode>
                <c:ptCount val="6"/>
                <c:pt idx="0">
                  <c:v>0.48</c:v>
                </c:pt>
                <c:pt idx="1">
                  <c:v>0.48</c:v>
                </c:pt>
                <c:pt idx="2">
                  <c:v>0.54</c:v>
                </c:pt>
                <c:pt idx="3">
                  <c:v>0.51</c:v>
                </c:pt>
                <c:pt idx="4">
                  <c:v>0.49</c:v>
                </c:pt>
                <c:pt idx="5">
                  <c:v>0.49</c:v>
                </c:pt>
              </c:numCache>
            </c:numRef>
          </c:val>
          <c:extLst>
            <c:ext xmlns:c16="http://schemas.microsoft.com/office/drawing/2014/chart" uri="{C3380CC4-5D6E-409C-BE32-E72D297353CC}">
              <c16:uniqueId val="{00000003-2F8E-485C-9FD2-30210186C7DC}"/>
            </c:ext>
          </c:extLst>
        </c:ser>
        <c:ser>
          <c:idx val="4"/>
          <c:order val="4"/>
          <c:tx>
            <c:strRef>
              <c:f>'ERSA - Fig.9'!$F$3</c:f>
              <c:strCache>
                <c:ptCount val="1"/>
                <c:pt idx="0">
                  <c:v>Dec Qtr 2024</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'ERSA - Fig.9'!$A$4:$A$9</c:f>
              <c:strCache>
                <c:ptCount val="6"/>
                <c:pt idx="0">
                  <c:v>New South Wales</c:v>
                </c:pt>
                <c:pt idx="1">
                  <c:v>Victoria</c:v>
                </c:pt>
                <c:pt idx="2">
                  <c:v>Queensland</c:v>
                </c:pt>
                <c:pt idx="3">
                  <c:v>South Australia</c:v>
                </c:pt>
                <c:pt idx="4">
                  <c:v>Western Australia</c:v>
                </c:pt>
                <c:pt idx="5">
                  <c:v>Tasmania*</c:v>
                </c:pt>
              </c:strCache>
            </c:strRef>
          </c:cat>
          <c:val>
            <c:numRef>
              <c:f>'ERSA - Fig.9'!$F$4:$F$9</c:f>
              <c:numCache>
                <c:formatCode>0%</c:formatCode>
                <c:ptCount val="6"/>
                <c:pt idx="0">
                  <c:v>0.5</c:v>
                </c:pt>
                <c:pt idx="1">
                  <c:v>0.43</c:v>
                </c:pt>
                <c:pt idx="2">
                  <c:v>0.59</c:v>
                </c:pt>
                <c:pt idx="3">
                  <c:v>0.52</c:v>
                </c:pt>
                <c:pt idx="4">
                  <c:v>0.49</c:v>
                </c:pt>
                <c:pt idx="5">
                  <c:v>0.37</c:v>
                </c:pt>
              </c:numCache>
            </c:numRef>
          </c:val>
          <c:extLst>
            <c:ext xmlns:c16="http://schemas.microsoft.com/office/drawing/2014/chart" uri="{C3380CC4-5D6E-409C-BE32-E72D297353CC}">
              <c16:uniqueId val="{00000004-2F8E-485C-9FD2-30210186C7DC}"/>
            </c:ext>
          </c:extLst>
        </c:ser>
        <c:dLbls>
          <c:showLegendKey val="0"/>
          <c:showVal val="0"/>
          <c:showCatName val="0"/>
          <c:showSerName val="0"/>
          <c:showPercent val="0"/>
          <c:showBubbleSize val="0"/>
        </c:dLbls>
        <c:gapWidth val="225"/>
        <c:overlap val="-20"/>
        <c:axId val="1670438879"/>
        <c:axId val="1670440799"/>
      </c:barChart>
      <c:catAx>
        <c:axId val="1670438879"/>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70440799"/>
        <c:crosses val="autoZero"/>
        <c:auto val="1"/>
        <c:lblAlgn val="ctr"/>
        <c:lblOffset val="100"/>
        <c:noMultiLvlLbl val="0"/>
      </c:catAx>
      <c:valAx>
        <c:axId val="1670440799"/>
        <c:scaling>
          <c:orientation val="minMax"/>
          <c:max val="0.9"/>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Percentage of recruiting employers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70438879"/>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9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900" b="1">
                <a:latin typeface="Arial" panose="020B0604020202020204" pitchFamily="34" charset="0"/>
                <a:cs typeface="Arial" panose="020B0604020202020204" pitchFamily="34" charset="0"/>
              </a:rPr>
              <a:t>Skill Level 1</a:t>
            </a:r>
          </a:p>
        </c:rich>
      </c:tx>
      <c:layout>
        <c:manualLayout>
          <c:xMode val="edge"/>
          <c:yMode val="edge"/>
          <c:x val="0.43869343697766677"/>
          <c:y val="0"/>
        </c:manualLayout>
      </c:layout>
      <c:overlay val="0"/>
      <c:spPr>
        <a:noFill/>
        <a:ln>
          <a:noFill/>
        </a:ln>
        <a:effectLst/>
      </c:spPr>
      <c:txPr>
        <a:bodyPr rot="0" spcFirstLastPara="1" vertOverflow="ellipsis" vert="horz" wrap="square" anchor="ctr" anchorCtr="1"/>
        <a:lstStyle/>
        <a:p>
          <a:pPr>
            <a:defRPr lang="en-US" sz="9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4.2654727986167693E-2"/>
          <c:y val="8.9206987727387679E-2"/>
          <c:w val="0.89926747487766079"/>
          <c:h val="0.80082845850587725"/>
        </c:manualLayout>
      </c:layout>
      <c:barChart>
        <c:barDir val="col"/>
        <c:grouping val="clustered"/>
        <c:varyColors val="0"/>
        <c:ser>
          <c:idx val="1"/>
          <c:order val="1"/>
          <c:tx>
            <c:strRef>
              <c:f>skill!$I$2</c:f>
              <c:strCache>
                <c:ptCount val="1"/>
                <c:pt idx="0">
                  <c:v>Applicants per Vacancy </c:v>
                </c:pt>
              </c:strCache>
            </c:strRef>
          </c:tx>
          <c:spPr>
            <a:solidFill>
              <a:srgbClr val="6929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skill!$A$7:$A$15</c:f>
              <c:numCache>
                <c:formatCode>mmm\-yy</c:formatCode>
                <c:ptCount val="9"/>
                <c:pt idx="0">
                  <c:v>44896</c:v>
                </c:pt>
                <c:pt idx="1">
                  <c:v>44986</c:v>
                </c:pt>
                <c:pt idx="2">
                  <c:v>45078</c:v>
                </c:pt>
                <c:pt idx="3">
                  <c:v>45170</c:v>
                </c:pt>
                <c:pt idx="4">
                  <c:v>45261</c:v>
                </c:pt>
                <c:pt idx="5">
                  <c:v>45352</c:v>
                </c:pt>
                <c:pt idx="6">
                  <c:v>45444</c:v>
                </c:pt>
                <c:pt idx="7">
                  <c:v>45536</c:v>
                </c:pt>
                <c:pt idx="8">
                  <c:v>45627</c:v>
                </c:pt>
              </c:numCache>
            </c:numRef>
          </c:cat>
          <c:val>
            <c:numRef>
              <c:f>skill!$I$7:$I$15</c:f>
              <c:numCache>
                <c:formatCode>0.0</c:formatCode>
                <c:ptCount val="9"/>
                <c:pt idx="0">
                  <c:v>15.488070636858914</c:v>
                </c:pt>
                <c:pt idx="1">
                  <c:v>16.718251735134121</c:v>
                </c:pt>
                <c:pt idx="2">
                  <c:v>18.530522230063514</c:v>
                </c:pt>
                <c:pt idx="3">
                  <c:v>19.428338171262698</c:v>
                </c:pt>
                <c:pt idx="4">
                  <c:v>20.754176610978519</c:v>
                </c:pt>
                <c:pt idx="5">
                  <c:v>23.144454799627212</c:v>
                </c:pt>
                <c:pt idx="6">
                  <c:v>26.928397070789259</c:v>
                </c:pt>
                <c:pt idx="7">
                  <c:v>31.024588538568313</c:v>
                </c:pt>
                <c:pt idx="8">
                  <c:v>34.319886611426078</c:v>
                </c:pt>
              </c:numCache>
            </c:numRef>
          </c:val>
          <c:extLst>
            <c:ext xmlns:c16="http://schemas.microsoft.com/office/drawing/2014/chart" uri="{C3380CC4-5D6E-409C-BE32-E72D297353CC}">
              <c16:uniqueId val="{00000000-6DEA-4698-BCA0-DB2EA2EF90E8}"/>
            </c:ext>
          </c:extLst>
        </c:ser>
        <c:ser>
          <c:idx val="2"/>
          <c:order val="2"/>
          <c:tx>
            <c:strRef>
              <c:f>skill!$J$2</c:f>
              <c:strCache>
                <c:ptCount val="1"/>
                <c:pt idx="0">
                  <c:v>Qualified applicants per vacancy </c:v>
                </c:pt>
              </c:strCache>
            </c:strRef>
          </c:tx>
          <c:spPr>
            <a:solidFill>
              <a:srgbClr val="009D9A"/>
            </a:solidFill>
            <a:ln>
              <a:noFill/>
            </a:ln>
            <a:effectLst/>
          </c:spPr>
          <c:invertIfNegative val="0"/>
          <c:dLbls>
            <c:dLbl>
              <c:idx val="0"/>
              <c:layout>
                <c:manualLayout>
                  <c:x val="6.6481994459833792E-3"/>
                  <c:y val="1.2273703590058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DEA-4698-BCA0-DB2EA2EF90E8}"/>
                </c:ext>
              </c:extLst>
            </c:dLbl>
            <c:dLbl>
              <c:idx val="1"/>
              <c:layout>
                <c:manualLayout>
                  <c:x val="6.6481994459833792E-3"/>
                  <c:y val="1.84105553850873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DEA-4698-BCA0-DB2EA2EF90E8}"/>
                </c:ext>
              </c:extLst>
            </c:dLbl>
            <c:dLbl>
              <c:idx val="2"/>
              <c:layout>
                <c:manualLayout>
                  <c:x val="4.4321329639888793E-3"/>
                  <c:y val="1.2273703590058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DEA-4698-BCA0-DB2EA2EF90E8}"/>
                </c:ext>
              </c:extLst>
            </c:dLbl>
            <c:dLbl>
              <c:idx val="3"/>
              <c:layout>
                <c:manualLayout>
                  <c:x val="6.648286692695269E-3"/>
                  <c:y val="1.2273945198396688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3.7950225750867012E-2"/>
                      <c:h val="7.4839149248718859E-2"/>
                    </c:manualLayout>
                  </c15:layout>
                </c:ext>
                <c:ext xmlns:c16="http://schemas.microsoft.com/office/drawing/2014/chart" uri="{C3380CC4-5D6E-409C-BE32-E72D297353CC}">
                  <c16:uniqueId val="{00000004-6DEA-4698-BCA0-DB2EA2EF90E8}"/>
                </c:ext>
              </c:extLst>
            </c:dLbl>
            <c:dLbl>
              <c:idx val="4"/>
              <c:layout>
                <c:manualLayout>
                  <c:x val="4.43213296398892E-3"/>
                  <c:y val="1.2273703590058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DEA-4698-BCA0-DB2EA2EF90E8}"/>
                </c:ext>
              </c:extLst>
            </c:dLbl>
            <c:dLbl>
              <c:idx val="5"/>
              <c:layout>
                <c:manualLayout>
                  <c:x val="6.6481994459832985E-3"/>
                  <c:y val="1.2273703590058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DEA-4698-BCA0-DB2EA2EF90E8}"/>
                </c:ext>
              </c:extLst>
            </c:dLbl>
            <c:dLbl>
              <c:idx val="6"/>
              <c:layout>
                <c:manualLayout>
                  <c:x val="1.1080332409972299E-2"/>
                  <c:y val="1.8410555385087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DEA-4698-BCA0-DB2EA2EF90E8}"/>
                </c:ext>
              </c:extLst>
            </c:dLbl>
            <c:dLbl>
              <c:idx val="7"/>
              <c:layout>
                <c:manualLayout>
                  <c:x val="1.1080332409972299E-2"/>
                  <c:y val="1.2273703590058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DEA-4698-BCA0-DB2EA2EF90E8}"/>
                </c:ext>
              </c:extLst>
            </c:dLbl>
            <c:dLbl>
              <c:idx val="8"/>
              <c:layout>
                <c:manualLayout>
                  <c:x val="1.1080332409972299E-2"/>
                  <c:y val="1.2273703590058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DEA-4698-BCA0-DB2EA2EF90E8}"/>
                </c:ext>
              </c:extLst>
            </c:dLbl>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skill!$A$7:$A$15</c:f>
              <c:numCache>
                <c:formatCode>mmm\-yy</c:formatCode>
                <c:ptCount val="9"/>
                <c:pt idx="0">
                  <c:v>44896</c:v>
                </c:pt>
                <c:pt idx="1">
                  <c:v>44986</c:v>
                </c:pt>
                <c:pt idx="2">
                  <c:v>45078</c:v>
                </c:pt>
                <c:pt idx="3">
                  <c:v>45170</c:v>
                </c:pt>
                <c:pt idx="4">
                  <c:v>45261</c:v>
                </c:pt>
                <c:pt idx="5">
                  <c:v>45352</c:v>
                </c:pt>
                <c:pt idx="6">
                  <c:v>45444</c:v>
                </c:pt>
                <c:pt idx="7">
                  <c:v>45536</c:v>
                </c:pt>
                <c:pt idx="8">
                  <c:v>45627</c:v>
                </c:pt>
              </c:numCache>
            </c:numRef>
          </c:cat>
          <c:val>
            <c:numRef>
              <c:f>skill!$J$7:$J$15</c:f>
              <c:numCache>
                <c:formatCode>0.0</c:formatCode>
                <c:ptCount val="9"/>
                <c:pt idx="0">
                  <c:v>6.545948041876696</c:v>
                </c:pt>
                <c:pt idx="1">
                  <c:v>6.7569457936662136</c:v>
                </c:pt>
                <c:pt idx="2">
                  <c:v>7.6439060205580027</c:v>
                </c:pt>
                <c:pt idx="3">
                  <c:v>7.8388814913448739</c:v>
                </c:pt>
                <c:pt idx="4">
                  <c:v>8.2558139534883725</c:v>
                </c:pt>
                <c:pt idx="5">
                  <c:v>9.0835473039699774</c:v>
                </c:pt>
                <c:pt idx="6">
                  <c:v>10.087359792924936</c:v>
                </c:pt>
                <c:pt idx="7">
                  <c:v>11.41000211014982</c:v>
                </c:pt>
                <c:pt idx="8">
                  <c:v>12.304775280898877</c:v>
                </c:pt>
              </c:numCache>
            </c:numRef>
          </c:val>
          <c:extLst>
            <c:ext xmlns:c16="http://schemas.microsoft.com/office/drawing/2014/chart" uri="{C3380CC4-5D6E-409C-BE32-E72D297353CC}">
              <c16:uniqueId val="{0000000A-6DEA-4698-BCA0-DB2EA2EF90E8}"/>
            </c:ext>
          </c:extLst>
        </c:ser>
        <c:ser>
          <c:idx val="3"/>
          <c:order val="3"/>
          <c:tx>
            <c:strRef>
              <c:f>'I:\LMAA Branch\Workforce Analysis\01. Skill Shortage Research\2024-25\06. Projects\Occupation Shortage Report_Quarterly\September 2024\Excel Workbook\[OSR - Workbook template FR.xlsx]F5- Sk. Fill + Apps'!$E$3</c:f>
              <c:strCache>
                <c:ptCount val="1"/>
                <c:pt idx="0">
                  <c:v>Suitable applicants per vacancy</c:v>
                </c:pt>
              </c:strCache>
            </c:strRef>
          </c:tx>
          <c:spPr>
            <a:solidFill>
              <a:srgbClr val="012749"/>
            </a:solidFill>
            <a:ln>
              <a:noFill/>
            </a:ln>
            <a:effectLst/>
          </c:spPr>
          <c:invertIfNegative val="0"/>
          <c:dLbls>
            <c:dLbl>
              <c:idx val="0"/>
              <c:layout>
                <c:manualLayout>
                  <c:x val="6.6481994459833792E-3"/>
                  <c:y val="1.8410555385087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DEA-4698-BCA0-DB2EA2EF90E8}"/>
                </c:ext>
              </c:extLst>
            </c:dLbl>
            <c:dLbl>
              <c:idx val="1"/>
              <c:layout>
                <c:manualLayout>
                  <c:x val="6.6481994459833792E-3"/>
                  <c:y val="1.2273703590058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DEA-4698-BCA0-DB2EA2EF90E8}"/>
                </c:ext>
              </c:extLst>
            </c:dLbl>
            <c:dLbl>
              <c:idx val="2"/>
              <c:layout>
                <c:manualLayout>
                  <c:x val="6.6481994459833792E-3"/>
                  <c:y val="1.84105553850873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DEA-4698-BCA0-DB2EA2EF90E8}"/>
                </c:ext>
              </c:extLst>
            </c:dLbl>
            <c:dLbl>
              <c:idx val="3"/>
              <c:layout>
                <c:manualLayout>
                  <c:x val="6.6481994459833792E-3"/>
                  <c:y val="1.8410555385087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DEA-4698-BCA0-DB2EA2EF90E8}"/>
                </c:ext>
              </c:extLst>
            </c:dLbl>
            <c:dLbl>
              <c:idx val="4"/>
              <c:layout>
                <c:manualLayout>
                  <c:x val="6.6481994459833792E-3"/>
                  <c:y val="1.2273703590058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DEA-4698-BCA0-DB2EA2EF90E8}"/>
                </c:ext>
              </c:extLst>
            </c:dLbl>
            <c:dLbl>
              <c:idx val="5"/>
              <c:layout>
                <c:manualLayout>
                  <c:x val="6.6481994459833792E-3"/>
                  <c:y val="1.2273703590058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DEA-4698-BCA0-DB2EA2EF90E8}"/>
                </c:ext>
              </c:extLst>
            </c:dLbl>
            <c:dLbl>
              <c:idx val="6"/>
              <c:layout>
                <c:manualLayout>
                  <c:x val="6.6481994459833792E-3"/>
                  <c:y val="1.22737035900581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DEA-4698-BCA0-DB2EA2EF90E8}"/>
                </c:ext>
              </c:extLst>
            </c:dLbl>
            <c:dLbl>
              <c:idx val="7"/>
              <c:layout>
                <c:manualLayout>
                  <c:x val="6.648199445983217E-3"/>
                  <c:y val="1.2273703590058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DEA-4698-BCA0-DB2EA2EF90E8}"/>
                </c:ext>
              </c:extLst>
            </c:dLbl>
            <c:dLbl>
              <c:idx val="8"/>
              <c:layout>
                <c:manualLayout>
                  <c:x val="1.1080506903395916E-2"/>
                  <c:y val="1.8411038601764223E-2"/>
                </c:manualLayout>
              </c:layout>
              <c:spPr>
                <a:noFill/>
                <a:ln>
                  <a:noFill/>
                </a:ln>
                <a:effectLst/>
              </c:spPr>
              <c:txPr>
                <a:bodyPr rot="0" spcFirstLastPara="1" vertOverflow="ellipsis" vert="horz" wrap="square" lIns="38100" tIns="19050" rIns="38100" bIns="19050" anchor="ctr" anchorCtr="1">
                  <a:noAutofit/>
                </a:bodyPr>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4.8194909154361247E-2"/>
                      <c:h val="6.9366720384253899E-2"/>
                    </c:manualLayout>
                  </c15:layout>
                </c:ext>
                <c:ext xmlns:c16="http://schemas.microsoft.com/office/drawing/2014/chart" uri="{C3380CC4-5D6E-409C-BE32-E72D297353CC}">
                  <c16:uniqueId val="{00000013-6DEA-4698-BCA0-DB2EA2EF90E8}"/>
                </c:ext>
              </c:extLst>
            </c:dLbl>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skill!$A$7:$A$15</c:f>
              <c:numCache>
                <c:formatCode>mmm\-yy</c:formatCode>
                <c:ptCount val="9"/>
                <c:pt idx="0">
                  <c:v>44896</c:v>
                </c:pt>
                <c:pt idx="1">
                  <c:v>44986</c:v>
                </c:pt>
                <c:pt idx="2">
                  <c:v>45078</c:v>
                </c:pt>
                <c:pt idx="3">
                  <c:v>45170</c:v>
                </c:pt>
                <c:pt idx="4">
                  <c:v>45261</c:v>
                </c:pt>
                <c:pt idx="5">
                  <c:v>45352</c:v>
                </c:pt>
                <c:pt idx="6">
                  <c:v>45444</c:v>
                </c:pt>
                <c:pt idx="7">
                  <c:v>45536</c:v>
                </c:pt>
                <c:pt idx="8">
                  <c:v>45627</c:v>
                </c:pt>
              </c:numCache>
            </c:numRef>
          </c:cat>
          <c:val>
            <c:numRef>
              <c:f>skill!$K$7:$K$15</c:f>
              <c:numCache>
                <c:formatCode>0.0</c:formatCode>
                <c:ptCount val="9"/>
                <c:pt idx="0">
                  <c:v>2.4433590080781515</c:v>
                </c:pt>
                <c:pt idx="1">
                  <c:v>2.6666666666666665</c:v>
                </c:pt>
                <c:pt idx="2">
                  <c:v>2.8246294989414253</c:v>
                </c:pt>
                <c:pt idx="3">
                  <c:v>2.7971698113207548</c:v>
                </c:pt>
                <c:pt idx="4">
                  <c:v>2.8099871488892969</c:v>
                </c:pt>
                <c:pt idx="5">
                  <c:v>2.8533084808946878</c:v>
                </c:pt>
                <c:pt idx="6">
                  <c:v>2.9989829129373473</c:v>
                </c:pt>
                <c:pt idx="7">
                  <c:v>3.3450327186198692</c:v>
                </c:pt>
                <c:pt idx="8">
                  <c:v>3.4849542084605321</c:v>
                </c:pt>
              </c:numCache>
            </c:numRef>
          </c:val>
          <c:extLst>
            <c:ext xmlns:c16="http://schemas.microsoft.com/office/drawing/2014/chart" uri="{C3380CC4-5D6E-409C-BE32-E72D297353CC}">
              <c16:uniqueId val="{00000014-6DEA-4698-BCA0-DB2EA2EF90E8}"/>
            </c:ext>
          </c:extLst>
        </c:ser>
        <c:dLbls>
          <c:showLegendKey val="0"/>
          <c:showVal val="0"/>
          <c:showCatName val="0"/>
          <c:showSerName val="0"/>
          <c:showPercent val="0"/>
          <c:showBubbleSize val="0"/>
        </c:dLbls>
        <c:gapWidth val="110"/>
        <c:axId val="574728255"/>
        <c:axId val="574724895"/>
      </c:barChart>
      <c:lineChart>
        <c:grouping val="standard"/>
        <c:varyColors val="0"/>
        <c:ser>
          <c:idx val="0"/>
          <c:order val="0"/>
          <c:tx>
            <c:strRef>
              <c:f>skill!$H$2</c:f>
              <c:strCache>
                <c:ptCount val="1"/>
                <c:pt idx="0">
                  <c:v>Fill Rate</c:v>
                </c:pt>
              </c:strCache>
            </c:strRef>
          </c:tx>
          <c:spPr>
            <a:ln w="25400" cap="rnd">
              <a:noFill/>
              <a:round/>
            </a:ln>
            <a:effectLst/>
          </c:spPr>
          <c:marker>
            <c:symbol val="dash"/>
            <c:size val="17"/>
            <c:spPr>
              <a:solidFill>
                <a:srgbClr val="EE538B"/>
              </a:solidFill>
              <a:ln w="9525">
                <a:solidFill>
                  <a:srgbClr val="EE538B"/>
                </a:solidFill>
              </a:ln>
              <a:effectLst/>
            </c:spPr>
          </c:marker>
          <c:dLbls>
            <c:dLbl>
              <c:idx val="0"/>
              <c:layout>
                <c:manualLayout>
                  <c:x val="-5.5083204113552303E-2"/>
                  <c:y val="-4.86145338702890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DEA-4698-BCA0-DB2EA2EF90E8}"/>
                </c:ext>
              </c:extLst>
            </c:dLbl>
            <c:dLbl>
              <c:idx val="1"/>
              <c:layout>
                <c:manualLayout>
                  <c:x val="-5.5083204113552303E-2"/>
                  <c:y val="-4.86145338702891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DEA-4698-BCA0-DB2EA2EF90E8}"/>
                </c:ext>
              </c:extLst>
            </c:dLbl>
            <c:dLbl>
              <c:idx val="2"/>
              <c:layout>
                <c:manualLayout>
                  <c:x val="-5.5083204113552303E-2"/>
                  <c:y val="-4.86145338702891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DEA-4698-BCA0-DB2EA2EF90E8}"/>
                </c:ext>
              </c:extLst>
            </c:dLbl>
            <c:dLbl>
              <c:idx val="3"/>
              <c:layout>
                <c:manualLayout>
                  <c:x val="-5.082062951849689E-2"/>
                  <c:y val="-5.99235528128958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DEA-4698-BCA0-DB2EA2EF90E8}"/>
                </c:ext>
              </c:extLst>
            </c:dLbl>
            <c:dLbl>
              <c:idx val="4"/>
              <c:layout>
                <c:manualLayout>
                  <c:x val="-5.5083204113552379E-2"/>
                  <c:y val="-4.86145338702891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DEA-4698-BCA0-DB2EA2EF90E8}"/>
                </c:ext>
              </c:extLst>
            </c:dLbl>
            <c:dLbl>
              <c:idx val="5"/>
              <c:layout>
                <c:manualLayout>
                  <c:x val="-5.5083204113552379E-2"/>
                  <c:y val="-4.86145338702891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DEA-4698-BCA0-DB2EA2EF90E8}"/>
                </c:ext>
              </c:extLst>
            </c:dLbl>
            <c:dLbl>
              <c:idx val="6"/>
              <c:layout>
                <c:manualLayout>
                  <c:x val="-5.5083204113552303E-2"/>
                  <c:y val="-5.42690433415925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6DEA-4698-BCA0-DB2EA2EF90E8}"/>
                </c:ext>
              </c:extLst>
            </c:dLbl>
            <c:dLbl>
              <c:idx val="7"/>
              <c:layout>
                <c:manualLayout>
                  <c:x val="-5.5083204113552303E-2"/>
                  <c:y val="-5.42690433415924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6DEA-4698-BCA0-DB2EA2EF90E8}"/>
                </c:ext>
              </c:extLst>
            </c:dLbl>
            <c:dLbl>
              <c:idx val="8"/>
              <c:layout>
                <c:manualLayout>
                  <c:x val="-5.5083204113552303E-2"/>
                  <c:y val="-4.86145338702891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6DEA-4698-BCA0-DB2EA2EF90E8}"/>
                </c:ext>
              </c:extLst>
            </c:dLbl>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numRef>
              <c:f>'[1]F5- Sk. Fill + Apps'!$A$4:$A$12</c:f>
              <c:numCache>
                <c:formatCode>General</c:formatCode>
                <c:ptCount val="9"/>
                <c:pt idx="0">
                  <c:v>44896</c:v>
                </c:pt>
                <c:pt idx="1">
                  <c:v>44986</c:v>
                </c:pt>
                <c:pt idx="2">
                  <c:v>45078</c:v>
                </c:pt>
                <c:pt idx="3">
                  <c:v>45170</c:v>
                </c:pt>
                <c:pt idx="4">
                  <c:v>45261</c:v>
                </c:pt>
                <c:pt idx="5">
                  <c:v>45352</c:v>
                </c:pt>
                <c:pt idx="6">
                  <c:v>45444</c:v>
                </c:pt>
                <c:pt idx="7">
                  <c:v>45536</c:v>
                </c:pt>
                <c:pt idx="8">
                  <c:v>45627</c:v>
                </c:pt>
              </c:numCache>
            </c:numRef>
          </c:cat>
          <c:val>
            <c:numRef>
              <c:f>skill!$H$7:$H$15</c:f>
              <c:numCache>
                <c:formatCode>0.0%</c:formatCode>
                <c:ptCount val="9"/>
                <c:pt idx="0">
                  <c:v>0.60886718016156305</c:v>
                </c:pt>
                <c:pt idx="1">
                  <c:v>0.6280247608328644</c:v>
                </c:pt>
                <c:pt idx="2">
                  <c:v>0.63814396612561752</c:v>
                </c:pt>
                <c:pt idx="3">
                  <c:v>0.64296081277213357</c:v>
                </c:pt>
                <c:pt idx="4">
                  <c:v>0.65063337617036898</c:v>
                </c:pt>
                <c:pt idx="5">
                  <c:v>0.6594594594594595</c:v>
                </c:pt>
                <c:pt idx="6">
                  <c:v>0.67270138323840523</c:v>
                </c:pt>
                <c:pt idx="7">
                  <c:v>0.69720404521118384</c:v>
                </c:pt>
                <c:pt idx="8">
                  <c:v>0.70933275185346711</c:v>
                </c:pt>
              </c:numCache>
            </c:numRef>
          </c:val>
          <c:smooth val="0"/>
          <c:extLst>
            <c:ext xmlns:c16="http://schemas.microsoft.com/office/drawing/2014/chart" uri="{C3380CC4-5D6E-409C-BE32-E72D297353CC}">
              <c16:uniqueId val="{0000001E-6DEA-4698-BCA0-DB2EA2EF90E8}"/>
            </c:ext>
          </c:extLst>
        </c:ser>
        <c:dLbls>
          <c:showLegendKey val="0"/>
          <c:showVal val="0"/>
          <c:showCatName val="0"/>
          <c:showSerName val="0"/>
          <c:showPercent val="0"/>
          <c:showBubbleSize val="0"/>
        </c:dLbls>
        <c:marker val="1"/>
        <c:smooth val="0"/>
        <c:axId val="685136015"/>
        <c:axId val="685136975"/>
        <c:extLst/>
      </c:lineChart>
      <c:catAx>
        <c:axId val="574728255"/>
        <c:scaling>
          <c:orientation val="minMax"/>
        </c:scaling>
        <c:delete val="0"/>
        <c:axPos val="b"/>
        <c:numFmt formatCode="mmm\-yy"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8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en-US"/>
          </a:p>
        </c:txPr>
        <c:crossAx val="574724895"/>
        <c:crossesAt val="0"/>
        <c:auto val="0"/>
        <c:lblAlgn val="ctr"/>
        <c:lblOffset val="100"/>
        <c:tickLblSkip val="1"/>
        <c:tickMarkSkip val="1"/>
        <c:noMultiLvlLbl val="0"/>
      </c:catAx>
      <c:valAx>
        <c:axId val="574724895"/>
        <c:scaling>
          <c:orientation val="minMax"/>
          <c:max val="50"/>
          <c:min val="0"/>
        </c:scaling>
        <c:delete val="0"/>
        <c:axPos val="l"/>
        <c:numFmt formatCode="0" sourceLinked="0"/>
        <c:majorTickMark val="out"/>
        <c:minorTickMark val="none"/>
        <c:tickLblPos val="nextTo"/>
        <c:spPr>
          <a:solidFill>
            <a:schemeClr val="bg1"/>
          </a:solidFill>
          <a:ln>
            <a:noFill/>
          </a:ln>
          <a:effectLst/>
        </c:spPr>
        <c:txPr>
          <a:bodyPr rot="-60000000" spcFirstLastPara="1" vertOverflow="ellipsis" vert="horz" wrap="square" anchor="ctr" anchorCtr="1"/>
          <a:lstStyle/>
          <a:p>
            <a:pPr>
              <a:defRPr lang="en-US"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crossAx val="574728255"/>
        <c:crosses val="autoZero"/>
        <c:crossBetween val="between"/>
      </c:valAx>
      <c:valAx>
        <c:axId val="685136975"/>
        <c:scaling>
          <c:orientation val="minMax"/>
          <c:min val="0"/>
        </c:scaling>
        <c:delete val="0"/>
        <c:axPos val="r"/>
        <c:numFmt formatCode="0%" sourceLinked="0"/>
        <c:majorTickMark val="out"/>
        <c:minorTickMark val="none"/>
        <c:tickLblPos val="nextTo"/>
        <c:spPr>
          <a:noFill/>
          <a:ln>
            <a:solidFill>
              <a:schemeClr val="bg1"/>
            </a:solidFill>
          </a:ln>
          <a:effectLst/>
        </c:spPr>
        <c:txPr>
          <a:bodyPr rot="-60000000" spcFirstLastPara="1" vertOverflow="ellipsis" vert="horz" wrap="square" anchor="ctr" anchorCtr="1"/>
          <a:lstStyle/>
          <a:p>
            <a:pPr>
              <a:defRPr lang="en-US"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crossAx val="685136015"/>
        <c:crosses val="max"/>
        <c:crossBetween val="between"/>
      </c:valAx>
      <c:catAx>
        <c:axId val="685136015"/>
        <c:scaling>
          <c:orientation val="minMax"/>
        </c:scaling>
        <c:delete val="1"/>
        <c:axPos val="b"/>
        <c:numFmt formatCode="General" sourceLinked="1"/>
        <c:majorTickMark val="out"/>
        <c:minorTickMark val="none"/>
        <c:tickLblPos val="nextTo"/>
        <c:crossAx val="685136975"/>
        <c:crossesAt val="0"/>
        <c:auto val="1"/>
        <c:lblAlgn val="ctr"/>
        <c:lblOffset val="100"/>
        <c:noMultiLvlLbl val="1"/>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lgn="ctr">
        <a:defRPr lang="en-US" sz="800" b="0" i="0" u="none" strike="noStrike" kern="1200" baseline="0">
          <a:solidFill>
            <a:schemeClr val="tx1"/>
          </a:solidFill>
          <a:latin typeface="+mn-lt"/>
          <a:ea typeface="+mn-ea"/>
          <a:cs typeface="+mn-cs"/>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9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900" b="1"/>
              <a:t>Skill Level 2</a:t>
            </a:r>
          </a:p>
        </c:rich>
      </c:tx>
      <c:layout>
        <c:manualLayout>
          <c:xMode val="edge"/>
          <c:yMode val="edge"/>
          <c:x val="0.44096117608836904"/>
          <c:y val="5.2657984318701051E-3"/>
        </c:manualLayout>
      </c:layout>
      <c:overlay val="0"/>
      <c:spPr>
        <a:noFill/>
        <a:ln>
          <a:noFill/>
        </a:ln>
        <a:effectLst/>
      </c:spPr>
      <c:txPr>
        <a:bodyPr rot="0" spcFirstLastPara="1" vertOverflow="ellipsis" vert="horz" wrap="square" anchor="ctr" anchorCtr="1"/>
        <a:lstStyle/>
        <a:p>
          <a:pPr>
            <a:defRPr lang="en-US" sz="9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3.8291130958508314E-2"/>
          <c:y val="0.14616574422043843"/>
          <c:w val="0.89815633227543878"/>
          <c:h val="0.66162698344406068"/>
        </c:manualLayout>
      </c:layout>
      <c:barChart>
        <c:barDir val="col"/>
        <c:grouping val="clustered"/>
        <c:varyColors val="0"/>
        <c:ser>
          <c:idx val="1"/>
          <c:order val="1"/>
          <c:tx>
            <c:strRef>
              <c:f>'fig5'!$C$22</c:f>
              <c:strCache>
                <c:ptCount val="1"/>
                <c:pt idx="0">
                  <c:v>Applicants per Vacancy </c:v>
                </c:pt>
              </c:strCache>
            </c:strRef>
          </c:tx>
          <c:spPr>
            <a:solidFill>
              <a:srgbClr val="6929C4"/>
            </a:solidFill>
            <a:ln>
              <a:noFill/>
            </a:ln>
            <a:effectLst/>
          </c:spPr>
          <c:invertIfNegative val="0"/>
          <c:dLbls>
            <c:dLbl>
              <c:idx val="4"/>
              <c:dLblPos val="outEnd"/>
              <c:showLegendKey val="0"/>
              <c:showVal val="1"/>
              <c:showCatName val="0"/>
              <c:showSerName val="0"/>
              <c:showPercent val="0"/>
              <c:showBubbleSize val="0"/>
              <c:extLst>
                <c:ext xmlns:c15="http://schemas.microsoft.com/office/drawing/2012/chart" uri="{CE6537A1-D6FC-4f65-9D91-7224C49458BB}">
                  <c15:layout>
                    <c:manualLayout>
                      <c:w val="5.645368290182564E-2"/>
                      <c:h val="8.5944918131014528E-2"/>
                    </c:manualLayout>
                  </c15:layout>
                </c:ext>
                <c:ext xmlns:c16="http://schemas.microsoft.com/office/drawing/2014/chart" uri="{C3380CC4-5D6E-409C-BE32-E72D297353CC}">
                  <c16:uniqueId val="{00000000-274C-4BAA-B777-3232F0939161}"/>
                </c:ext>
              </c:extLst>
            </c:dLbl>
            <c:spPr>
              <a:noFill/>
              <a:ln>
                <a:noFill/>
              </a:ln>
              <a:effectLst/>
            </c:spPr>
            <c:txPr>
              <a:bodyPr rot="0" spcFirstLastPara="1" vertOverflow="ellipsis" vert="horz" wrap="square" anchor="ctr" anchorCtr="1"/>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'fig5'!$A$23:$A$31</c:f>
              <c:numCache>
                <c:formatCode>mmm\-yy</c:formatCode>
                <c:ptCount val="9"/>
                <c:pt idx="0">
                  <c:v>44896</c:v>
                </c:pt>
                <c:pt idx="1">
                  <c:v>44986</c:v>
                </c:pt>
                <c:pt idx="2">
                  <c:v>45078</c:v>
                </c:pt>
                <c:pt idx="3">
                  <c:v>45170</c:v>
                </c:pt>
                <c:pt idx="4">
                  <c:v>45261</c:v>
                </c:pt>
                <c:pt idx="5">
                  <c:v>45352</c:v>
                </c:pt>
                <c:pt idx="6">
                  <c:v>45444</c:v>
                </c:pt>
                <c:pt idx="7">
                  <c:v>45536</c:v>
                </c:pt>
                <c:pt idx="8">
                  <c:v>45627</c:v>
                </c:pt>
              </c:numCache>
            </c:numRef>
          </c:cat>
          <c:val>
            <c:numRef>
              <c:f>'fig5'!$C$23:$C$31</c:f>
              <c:numCache>
                <c:formatCode>0.0</c:formatCode>
                <c:ptCount val="9"/>
                <c:pt idx="0">
                  <c:v>16.99878197320341</c:v>
                </c:pt>
                <c:pt idx="1">
                  <c:v>17.873508353221958</c:v>
                </c:pt>
                <c:pt idx="2">
                  <c:v>19.657006748709804</c:v>
                </c:pt>
                <c:pt idx="3">
                  <c:v>20.16809116809117</c:v>
                </c:pt>
                <c:pt idx="4">
                  <c:v>22.064822460776217</c:v>
                </c:pt>
                <c:pt idx="5">
                  <c:v>24.782942430703624</c:v>
                </c:pt>
                <c:pt idx="6">
                  <c:v>27.311267605633802</c:v>
                </c:pt>
                <c:pt idx="7">
                  <c:v>33.01658986175115</c:v>
                </c:pt>
                <c:pt idx="8">
                  <c:v>37.033468559837729</c:v>
                </c:pt>
              </c:numCache>
            </c:numRef>
          </c:val>
          <c:extLst>
            <c:ext xmlns:c16="http://schemas.microsoft.com/office/drawing/2014/chart" uri="{C3380CC4-5D6E-409C-BE32-E72D297353CC}">
              <c16:uniqueId val="{00000001-274C-4BAA-B777-3232F0939161}"/>
            </c:ext>
          </c:extLst>
        </c:ser>
        <c:ser>
          <c:idx val="2"/>
          <c:order val="2"/>
          <c:tx>
            <c:strRef>
              <c:f>'fig5'!$D$22</c:f>
              <c:strCache>
                <c:ptCount val="1"/>
                <c:pt idx="0">
                  <c:v>Qualified applicants per vacancy </c:v>
                </c:pt>
              </c:strCache>
            </c:strRef>
          </c:tx>
          <c:spPr>
            <a:solidFill>
              <a:srgbClr val="009D9A"/>
            </a:solidFill>
            <a:ln>
              <a:noFill/>
            </a:ln>
            <a:effectLst/>
          </c:spPr>
          <c:invertIfNegative val="0"/>
          <c:dLbls>
            <c:dLbl>
              <c:idx val="0"/>
              <c:layout>
                <c:manualLayout>
                  <c:x val="4.4321329639889096E-3"/>
                  <c:y val="1.2273703590058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74C-4BAA-B777-3232F0939161}"/>
                </c:ext>
              </c:extLst>
            </c:dLbl>
            <c:dLbl>
              <c:idx val="1"/>
              <c:layout>
                <c:manualLayout>
                  <c:x val="6.6481994459833592E-3"/>
                  <c:y val="1.2273703590058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4C-4BAA-B777-3232F0939161}"/>
                </c:ext>
              </c:extLst>
            </c:dLbl>
            <c:dLbl>
              <c:idx val="2"/>
              <c:layout>
                <c:manualLayout>
                  <c:x val="6.6481994459833792E-3"/>
                  <c:y val="1.22737035900581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74C-4BAA-B777-3232F0939161}"/>
                </c:ext>
              </c:extLst>
            </c:dLbl>
            <c:dLbl>
              <c:idx val="3"/>
              <c:layout>
                <c:manualLayout>
                  <c:x val="6.6481994459833792E-3"/>
                  <c:y val="1.2273703590058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74C-4BAA-B777-3232F0939161}"/>
                </c:ext>
              </c:extLst>
            </c:dLbl>
            <c:dLbl>
              <c:idx val="4"/>
              <c:layout>
                <c:manualLayout>
                  <c:x val="4.43213296398892E-3"/>
                  <c:y val="1.22737035900581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74C-4BAA-B777-3232F0939161}"/>
                </c:ext>
              </c:extLst>
            </c:dLbl>
            <c:dLbl>
              <c:idx val="5"/>
              <c:layout>
                <c:manualLayout>
                  <c:x val="6.6481994459832985E-3"/>
                  <c:y val="2.45474071801165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74C-4BAA-B777-3232F0939161}"/>
                </c:ext>
              </c:extLst>
            </c:dLbl>
            <c:dLbl>
              <c:idx val="6"/>
              <c:layout>
                <c:manualLayout>
                  <c:x val="6.6481994459832985E-3"/>
                  <c:y val="1.2273703590058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74C-4BAA-B777-3232F0939161}"/>
                </c:ext>
              </c:extLst>
            </c:dLbl>
            <c:dLbl>
              <c:idx val="7"/>
              <c:layout>
                <c:manualLayout>
                  <c:x val="6.648199445983217E-3"/>
                  <c:y val="1.2273703590058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74C-4BAA-B777-3232F0939161}"/>
                </c:ext>
              </c:extLst>
            </c:dLbl>
            <c:dLbl>
              <c:idx val="8"/>
              <c:layout>
                <c:manualLayout>
                  <c:x val="8.86426592797784E-3"/>
                  <c:y val="1.2273703590058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74C-4BAA-B777-3232F0939161}"/>
                </c:ext>
              </c:extLst>
            </c:dLbl>
            <c:spPr>
              <a:noFill/>
              <a:ln>
                <a:noFill/>
              </a:ln>
              <a:effectLst/>
            </c:spPr>
            <c:txPr>
              <a:bodyPr rot="0" spcFirstLastPara="1" vertOverflow="ellipsis" vert="horz" wrap="square" anchor="ctr" anchorCtr="1"/>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'fig5'!$A$23:$A$31</c:f>
              <c:numCache>
                <c:formatCode>mmm\-yy</c:formatCode>
                <c:ptCount val="9"/>
                <c:pt idx="0">
                  <c:v>44896</c:v>
                </c:pt>
                <c:pt idx="1">
                  <c:v>44986</c:v>
                </c:pt>
                <c:pt idx="2">
                  <c:v>45078</c:v>
                </c:pt>
                <c:pt idx="3">
                  <c:v>45170</c:v>
                </c:pt>
                <c:pt idx="4">
                  <c:v>45261</c:v>
                </c:pt>
                <c:pt idx="5">
                  <c:v>45352</c:v>
                </c:pt>
                <c:pt idx="6">
                  <c:v>45444</c:v>
                </c:pt>
                <c:pt idx="7">
                  <c:v>45536</c:v>
                </c:pt>
                <c:pt idx="8">
                  <c:v>45627</c:v>
                </c:pt>
              </c:numCache>
            </c:numRef>
          </c:cat>
          <c:val>
            <c:numRef>
              <c:f>'fig5'!$D$23:$D$31</c:f>
              <c:numCache>
                <c:formatCode>0.0</c:formatCode>
                <c:ptCount val="9"/>
                <c:pt idx="0">
                  <c:v>5.5567360815979603</c:v>
                </c:pt>
                <c:pt idx="1">
                  <c:v>5.5996614473127382</c:v>
                </c:pt>
                <c:pt idx="2">
                  <c:v>5.9355961705831159</c:v>
                </c:pt>
                <c:pt idx="3">
                  <c:v>6.046342571558383</c:v>
                </c:pt>
                <c:pt idx="4">
                  <c:v>6.437178888369921</c:v>
                </c:pt>
                <c:pt idx="5">
                  <c:v>7.2081120231772093</c:v>
                </c:pt>
                <c:pt idx="6">
                  <c:v>7.6257278983589201</c:v>
                </c:pt>
                <c:pt idx="7">
                  <c:v>9.4253535882661073</c:v>
                </c:pt>
                <c:pt idx="8">
                  <c:v>10.425192193968066</c:v>
                </c:pt>
              </c:numCache>
            </c:numRef>
          </c:val>
          <c:extLst>
            <c:ext xmlns:c16="http://schemas.microsoft.com/office/drawing/2014/chart" uri="{C3380CC4-5D6E-409C-BE32-E72D297353CC}">
              <c16:uniqueId val="{0000000B-274C-4BAA-B777-3232F0939161}"/>
            </c:ext>
          </c:extLst>
        </c:ser>
        <c:ser>
          <c:idx val="3"/>
          <c:order val="3"/>
          <c:tx>
            <c:strRef>
              <c:f>'fig5'!$E$22</c:f>
              <c:strCache>
                <c:ptCount val="1"/>
                <c:pt idx="0">
                  <c:v>Suitable applicants per vacancy</c:v>
                </c:pt>
              </c:strCache>
            </c:strRef>
          </c:tx>
          <c:spPr>
            <a:solidFill>
              <a:srgbClr val="012749"/>
            </a:solidFill>
            <a:ln>
              <a:noFill/>
            </a:ln>
            <a:effectLst/>
          </c:spPr>
          <c:invertIfNegative val="0"/>
          <c:dLbls>
            <c:dLbl>
              <c:idx val="0"/>
              <c:layout>
                <c:manualLayout>
                  <c:x val="6.6481994459833792E-3"/>
                  <c:y val="2.4663862399219121E-2"/>
                </c:manualLayout>
              </c:layout>
              <c:spPr>
                <a:noFill/>
                <a:ln>
                  <a:noFill/>
                </a:ln>
                <a:effectLst/>
              </c:spPr>
              <c:txPr>
                <a:bodyPr rot="0" spcFirstLastPara="1" vertOverflow="ellipsis" vert="horz" wrap="square" anchor="ctr" anchorCtr="1"/>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74C-4BAA-B777-3232F0939161}"/>
                </c:ext>
              </c:extLst>
            </c:dLbl>
            <c:dLbl>
              <c:idx val="1"/>
              <c:layout>
                <c:manualLayout>
                  <c:x val="6.6481994459833792E-3"/>
                  <c:y val="1.93890691555545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74C-4BAA-B777-3232F0939161}"/>
                </c:ext>
              </c:extLst>
            </c:dLbl>
            <c:dLbl>
              <c:idx val="2"/>
              <c:layout>
                <c:manualLayout>
                  <c:x val="6.6481994459834199E-3"/>
                  <c:y val="1.79244394082528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74C-4BAA-B777-3232F0939161}"/>
                </c:ext>
              </c:extLst>
            </c:dLbl>
            <c:dLbl>
              <c:idx val="3"/>
              <c:layout>
                <c:manualLayout>
                  <c:x val="6.6481994459832985E-3"/>
                  <c:y val="2.438359672669023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74C-4BAA-B777-3232F0939161}"/>
                </c:ext>
              </c:extLst>
            </c:dLbl>
            <c:dLbl>
              <c:idx val="4"/>
              <c:layout>
                <c:manualLayout>
                  <c:x val="4.4321329639888385E-3"/>
                  <c:y val="2.48122099189886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74C-4BAA-B777-3232F0939161}"/>
                </c:ext>
              </c:extLst>
            </c:dLbl>
            <c:dLbl>
              <c:idx val="5"/>
              <c:layout>
                <c:manualLayout>
                  <c:x val="6.6481994459833792E-3"/>
                  <c:y val="2.24850384036453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74C-4BAA-B777-3232F0939161}"/>
                </c:ext>
              </c:extLst>
            </c:dLbl>
            <c:dLbl>
              <c:idx val="6"/>
              <c:layout>
                <c:manualLayout>
                  <c:x val="6.6481994459833792E-3"/>
                  <c:y val="1.78698359237772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74C-4BAA-B777-3232F0939161}"/>
                </c:ext>
              </c:extLst>
            </c:dLbl>
            <c:dLbl>
              <c:idx val="7"/>
              <c:layout>
                <c:manualLayout>
                  <c:x val="6.648199445983217E-3"/>
                  <c:y val="1.48448995271724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74C-4BAA-B777-3232F0939161}"/>
                </c:ext>
              </c:extLst>
            </c:dLbl>
            <c:dLbl>
              <c:idx val="8"/>
              <c:layout>
                <c:manualLayout>
                  <c:x val="6.648199445983217E-3"/>
                  <c:y val="1.28419664019444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74C-4BAA-B777-3232F0939161}"/>
                </c:ext>
              </c:extLst>
            </c:dLbl>
            <c:spPr>
              <a:noFill/>
              <a:ln>
                <a:noFill/>
              </a:ln>
              <a:effectLst/>
            </c:spPr>
            <c:txPr>
              <a:bodyPr rot="0" spcFirstLastPara="1" vertOverflow="ellipsis" vert="horz" wrap="square" anchor="ctr" anchorCtr="1"/>
              <a:lstStyle/>
              <a:p>
                <a:pPr>
                  <a:defRPr lang="en-US"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'fig5'!$A$23:$A$31</c:f>
              <c:numCache>
                <c:formatCode>mmm\-yy</c:formatCode>
                <c:ptCount val="9"/>
                <c:pt idx="0">
                  <c:v>44896</c:v>
                </c:pt>
                <c:pt idx="1">
                  <c:v>44986</c:v>
                </c:pt>
                <c:pt idx="2">
                  <c:v>45078</c:v>
                </c:pt>
                <c:pt idx="3">
                  <c:v>45170</c:v>
                </c:pt>
                <c:pt idx="4">
                  <c:v>45261</c:v>
                </c:pt>
                <c:pt idx="5">
                  <c:v>45352</c:v>
                </c:pt>
                <c:pt idx="6">
                  <c:v>45444</c:v>
                </c:pt>
                <c:pt idx="7">
                  <c:v>45536</c:v>
                </c:pt>
                <c:pt idx="8">
                  <c:v>45627</c:v>
                </c:pt>
              </c:numCache>
            </c:numRef>
          </c:cat>
          <c:val>
            <c:numRef>
              <c:f>'fig5'!$E$23:$E$31</c:f>
              <c:numCache>
                <c:formatCode>0.0</c:formatCode>
                <c:ptCount val="9"/>
                <c:pt idx="0">
                  <c:v>2.7645148193260254</c:v>
                </c:pt>
                <c:pt idx="1">
                  <c:v>2.8166268894192523</c:v>
                </c:pt>
                <c:pt idx="2">
                  <c:v>3.0464470027788804</c:v>
                </c:pt>
                <c:pt idx="3">
                  <c:v>3.0659340659340661</c:v>
                </c:pt>
                <c:pt idx="4">
                  <c:v>3.1445086705202314</c:v>
                </c:pt>
                <c:pt idx="5">
                  <c:v>3.2695095948827291</c:v>
                </c:pt>
                <c:pt idx="6">
                  <c:v>3.3615023474178405</c:v>
                </c:pt>
                <c:pt idx="7">
                  <c:v>3.7626728110599079</c:v>
                </c:pt>
                <c:pt idx="8">
                  <c:v>3.9599391480730222</c:v>
                </c:pt>
              </c:numCache>
            </c:numRef>
          </c:val>
          <c:extLst>
            <c:ext xmlns:c16="http://schemas.microsoft.com/office/drawing/2014/chart" uri="{C3380CC4-5D6E-409C-BE32-E72D297353CC}">
              <c16:uniqueId val="{00000015-274C-4BAA-B777-3232F0939161}"/>
            </c:ext>
          </c:extLst>
        </c:ser>
        <c:dLbls>
          <c:dLblPos val="ctr"/>
          <c:showLegendKey val="0"/>
          <c:showVal val="1"/>
          <c:showCatName val="0"/>
          <c:showSerName val="0"/>
          <c:showPercent val="0"/>
          <c:showBubbleSize val="0"/>
        </c:dLbls>
        <c:gapWidth val="110"/>
        <c:axId val="574728255"/>
        <c:axId val="574724895"/>
      </c:barChart>
      <c:lineChart>
        <c:grouping val="standard"/>
        <c:varyColors val="0"/>
        <c:ser>
          <c:idx val="0"/>
          <c:order val="0"/>
          <c:tx>
            <c:strRef>
              <c:f>'fig5'!$B$22</c:f>
              <c:strCache>
                <c:ptCount val="1"/>
                <c:pt idx="0">
                  <c:v>Fill Rate</c:v>
                </c:pt>
              </c:strCache>
            </c:strRef>
          </c:tx>
          <c:spPr>
            <a:ln w="25400" cap="rnd">
              <a:noFill/>
              <a:round/>
            </a:ln>
            <a:effectLst/>
          </c:spPr>
          <c:marker>
            <c:symbol val="dash"/>
            <c:size val="17"/>
            <c:spPr>
              <a:solidFill>
                <a:srgbClr val="EE538B"/>
              </a:solidFill>
              <a:ln w="9525">
                <a:solidFill>
                  <a:srgbClr val="EE538B"/>
                </a:solidFill>
              </a:ln>
              <a:effectLst/>
            </c:spPr>
          </c:marker>
          <c:dLbls>
            <c:dLbl>
              <c:idx val="0"/>
              <c:layout>
                <c:manualLayout>
                  <c:x val="-5.4353395100060452E-2"/>
                  <c:y val="-4.86282823244379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74C-4BAA-B777-3232F0939161}"/>
                </c:ext>
              </c:extLst>
            </c:dLbl>
            <c:dLbl>
              <c:idx val="1"/>
              <c:layout>
                <c:manualLayout>
                  <c:x val="-5.4353395100060459E-2"/>
                  <c:y val="-4.86282823244379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74C-4BAA-B777-3232F0939161}"/>
                </c:ext>
              </c:extLst>
            </c:dLbl>
            <c:dLbl>
              <c:idx val="2"/>
              <c:layout>
                <c:manualLayout>
                  <c:x val="-5.4353395100060445E-2"/>
                  <c:y val="-4.86282823244379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274C-4BAA-B777-3232F0939161}"/>
                </c:ext>
              </c:extLst>
            </c:dLbl>
            <c:dLbl>
              <c:idx val="3"/>
              <c:layout>
                <c:manualLayout>
                  <c:x val="-5.4353395100060445E-2"/>
                  <c:y val="-5.42843909217230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274C-4BAA-B777-3232F0939161}"/>
                </c:ext>
              </c:extLst>
            </c:dLbl>
            <c:dLbl>
              <c:idx val="4"/>
              <c:layout>
                <c:manualLayout>
                  <c:x val="-5.4353395100060445E-2"/>
                  <c:y val="-4.86282823244379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274C-4BAA-B777-3232F0939161}"/>
                </c:ext>
              </c:extLst>
            </c:dLbl>
            <c:dLbl>
              <c:idx val="5"/>
              <c:layout>
                <c:manualLayout>
                  <c:x val="-5.4353395100060445E-2"/>
                  <c:y val="-4.86282823244379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274C-4BAA-B777-3232F0939161}"/>
                </c:ext>
              </c:extLst>
            </c:dLbl>
            <c:dLbl>
              <c:idx val="6"/>
              <c:layout>
                <c:manualLayout>
                  <c:x val="-5.4353395100060521E-2"/>
                  <c:y val="-4.86282823244379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274C-4BAA-B777-3232F0939161}"/>
                </c:ext>
              </c:extLst>
            </c:dLbl>
            <c:dLbl>
              <c:idx val="7"/>
              <c:layout>
                <c:manualLayout>
                  <c:x val="-5.4353395100060445E-2"/>
                  <c:y val="-5.42843909217230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274C-4BAA-B777-3232F0939161}"/>
                </c:ext>
              </c:extLst>
            </c:dLbl>
            <c:dLbl>
              <c:idx val="8"/>
              <c:layout>
                <c:manualLayout>
                  <c:x val="-5.4353395100060445E-2"/>
                  <c:y val="-4.86282823244379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274C-4BAA-B777-3232F0939161}"/>
                </c:ext>
              </c:extLst>
            </c:dLbl>
            <c:spPr>
              <a:noFill/>
              <a:ln>
                <a:noFill/>
              </a:ln>
              <a:effectLst/>
            </c:spPr>
            <c:txPr>
              <a:bodyPr rot="0" spcFirstLastPara="1" vertOverflow="ellipsis" vert="horz" wrap="square" anchor="ctr" anchorCtr="1"/>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'fig5'!$A$23:$A$31</c:f>
              <c:numCache>
                <c:formatCode>mmm\-yy</c:formatCode>
                <c:ptCount val="9"/>
                <c:pt idx="0">
                  <c:v>44896</c:v>
                </c:pt>
                <c:pt idx="1">
                  <c:v>44986</c:v>
                </c:pt>
                <c:pt idx="2">
                  <c:v>45078</c:v>
                </c:pt>
                <c:pt idx="3">
                  <c:v>45170</c:v>
                </c:pt>
                <c:pt idx="4">
                  <c:v>45261</c:v>
                </c:pt>
                <c:pt idx="5">
                  <c:v>45352</c:v>
                </c:pt>
                <c:pt idx="6">
                  <c:v>45444</c:v>
                </c:pt>
                <c:pt idx="7">
                  <c:v>45536</c:v>
                </c:pt>
                <c:pt idx="8">
                  <c:v>45627</c:v>
                </c:pt>
              </c:numCache>
            </c:numRef>
          </c:cat>
          <c:val>
            <c:numRef>
              <c:f>'fig5'!$B$23:$B$31</c:f>
              <c:numCache>
                <c:formatCode>0.0%</c:formatCode>
                <c:ptCount val="9"/>
                <c:pt idx="0">
                  <c:v>0.67072675598863174</c:v>
                </c:pt>
                <c:pt idx="1">
                  <c:v>0.67700875099443114</c:v>
                </c:pt>
                <c:pt idx="2">
                  <c:v>0.69829297340214369</c:v>
                </c:pt>
                <c:pt idx="3">
                  <c:v>0.70899470899470896</c:v>
                </c:pt>
                <c:pt idx="4">
                  <c:v>0.72460776218001655</c:v>
                </c:pt>
                <c:pt idx="5">
                  <c:v>0.73347547974413652</c:v>
                </c:pt>
                <c:pt idx="6">
                  <c:v>0.73521126760563382</c:v>
                </c:pt>
                <c:pt idx="7">
                  <c:v>0.74976958525345627</c:v>
                </c:pt>
                <c:pt idx="8">
                  <c:v>0.75253549695740363</c:v>
                </c:pt>
              </c:numCache>
            </c:numRef>
          </c:val>
          <c:smooth val="0"/>
          <c:extLst>
            <c:ext xmlns:c16="http://schemas.microsoft.com/office/drawing/2014/chart" uri="{C3380CC4-5D6E-409C-BE32-E72D297353CC}">
              <c16:uniqueId val="{0000001F-274C-4BAA-B777-3232F0939161}"/>
            </c:ext>
          </c:extLst>
        </c:ser>
        <c:dLbls>
          <c:dLblPos val="ctr"/>
          <c:showLegendKey val="0"/>
          <c:showVal val="1"/>
          <c:showCatName val="0"/>
          <c:showSerName val="0"/>
          <c:showPercent val="0"/>
          <c:showBubbleSize val="0"/>
        </c:dLbls>
        <c:marker val="1"/>
        <c:smooth val="0"/>
        <c:axId val="685136015"/>
        <c:axId val="685136975"/>
        <c:extLst/>
      </c:lineChart>
      <c:catAx>
        <c:axId val="574728255"/>
        <c:scaling>
          <c:orientation val="minMax"/>
        </c:scaling>
        <c:delete val="0"/>
        <c:axPos val="b"/>
        <c:numFmt formatCode="mmm\-yy" sourceLinked="1"/>
        <c:majorTickMark val="out"/>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74724895"/>
        <c:crossesAt val="0"/>
        <c:auto val="0"/>
        <c:lblAlgn val="ctr"/>
        <c:lblOffset val="100"/>
        <c:tickLblSkip val="1"/>
        <c:noMultiLvlLbl val="0"/>
      </c:catAx>
      <c:valAx>
        <c:axId val="574724895"/>
        <c:scaling>
          <c:orientation val="minMax"/>
          <c:max val="50"/>
          <c:min val="0"/>
        </c:scaling>
        <c:delete val="0"/>
        <c:axPos val="l"/>
        <c:numFmt formatCode="0" sourceLinked="0"/>
        <c:majorTickMark val="out"/>
        <c:minorTickMark val="none"/>
        <c:tickLblPos val="nextTo"/>
        <c:spPr>
          <a:solidFill>
            <a:schemeClr val="bg1"/>
          </a:solidFill>
          <a:ln>
            <a:noFill/>
          </a:ln>
          <a:effectLst/>
        </c:spPr>
        <c:txPr>
          <a:bodyPr rot="-60000000" spcFirstLastPara="1" vertOverflow="ellipsis" vert="horz" wrap="square" anchor="ctr" anchorCtr="1"/>
          <a:lstStyle/>
          <a:p>
            <a:pPr>
              <a:defRPr lang="en-US"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crossAx val="574728255"/>
        <c:crosses val="autoZero"/>
        <c:crossBetween val="between"/>
      </c:valAx>
      <c:valAx>
        <c:axId val="685136975"/>
        <c:scaling>
          <c:orientation val="minMax"/>
          <c:max val="0.8"/>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lang="en-US"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crossAx val="685136015"/>
        <c:crosses val="max"/>
        <c:crossBetween val="between"/>
      </c:valAx>
      <c:dateAx>
        <c:axId val="685136015"/>
        <c:scaling>
          <c:orientation val="minMax"/>
        </c:scaling>
        <c:delete val="1"/>
        <c:axPos val="b"/>
        <c:numFmt formatCode="mmm\-yy" sourceLinked="1"/>
        <c:majorTickMark val="out"/>
        <c:minorTickMark val="none"/>
        <c:tickLblPos val="nextTo"/>
        <c:crossAx val="685136975"/>
        <c:crosses val="autoZero"/>
        <c:auto val="1"/>
        <c:lblOffset val="100"/>
        <c:baseTimeUnit val="months"/>
      </c:dateAx>
      <c:spPr>
        <a:noFill/>
        <a:ln>
          <a:noFill/>
        </a:ln>
        <a:effectLst/>
      </c:spPr>
    </c:plotArea>
    <c:plotVisOnly val="1"/>
    <c:dispBlanksAs val="gap"/>
    <c:showDLblsOverMax val="0"/>
  </c:chart>
  <c:spPr>
    <a:solidFill>
      <a:schemeClr val="bg1"/>
    </a:solidFill>
    <a:ln w="9525" cap="flat" cmpd="sng" algn="ctr">
      <a:noFill/>
      <a:round/>
    </a:ln>
    <a:effectLst/>
  </c:spPr>
  <c:txPr>
    <a:bodyPr/>
    <a:lstStyle/>
    <a:p>
      <a:pPr algn="ctr">
        <a:defRPr lang="en-US"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0.53623</cdr:x>
      <cdr:y>0.0526</cdr:y>
    </cdr:from>
    <cdr:to>
      <cdr:x>0.73171</cdr:x>
      <cdr:y>0.75347</cdr:y>
    </cdr:to>
    <cdr:grpSp>
      <cdr:nvGrpSpPr>
        <cdr:cNvPr id="2" name="Group 1"/>
        <cdr:cNvGrpSpPr/>
      </cdr:nvGrpSpPr>
      <cdr:grpSpPr>
        <a:xfrm xmlns:a="http://schemas.openxmlformats.org/drawingml/2006/main">
          <a:off x="3073420" y="161321"/>
          <a:ext cx="1120395" cy="2149603"/>
          <a:chOff x="-3963465" y="-1276350"/>
          <a:chExt cx="1120743" cy="2792730"/>
        </a:xfrm>
      </cdr:grpSpPr>
      <cdr:grpSp>
        <cdr:nvGrpSpPr>
          <cdr:cNvPr id="3" name="Group 2"/>
          <cdr:cNvGrpSpPr/>
        </cdr:nvGrpSpPr>
        <cdr:grpSpPr>
          <a:xfrm xmlns:a="http://schemas.openxmlformats.org/drawingml/2006/main">
            <a:off x="-3963465" y="-1276350"/>
            <a:ext cx="1107102" cy="2792730"/>
            <a:chOff x="0" y="0"/>
            <a:chExt cx="1106805" cy="2792730"/>
          </a:xfrm>
        </cdr:grpSpPr>
        <cdr:cxnSp macro="">
          <cdr:nvCxnSpPr>
            <cdr:cNvPr id="5" name="Straight Connector 4"/>
            <cdr:cNvCxnSpPr/>
          </cdr:nvCxnSpPr>
          <cdr:spPr>
            <a:xfrm xmlns:a="http://schemas.openxmlformats.org/drawingml/2006/main" flipH="1" flipV="1">
              <a:off x="0" y="19050"/>
              <a:ext cx="11430" cy="2773680"/>
            </a:xfrm>
            <a:prstGeom xmlns:a="http://schemas.openxmlformats.org/drawingml/2006/main" prst="line">
              <a:avLst/>
            </a:prstGeom>
            <a:ln xmlns:a="http://schemas.openxmlformats.org/drawingml/2006/mai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6" name="Straight Connector 5"/>
            <cdr:cNvCxnSpPr/>
          </cdr:nvCxnSpPr>
          <cdr:spPr>
            <a:xfrm xmlns:a="http://schemas.openxmlformats.org/drawingml/2006/main" flipH="1" flipV="1">
              <a:off x="1095375" y="0"/>
              <a:ext cx="11430" cy="2773680"/>
            </a:xfrm>
            <a:prstGeom xmlns:a="http://schemas.openxmlformats.org/drawingml/2006/main" prst="line">
              <a:avLst/>
            </a:prstGeom>
            <a:noFill xmlns:a="http://schemas.openxmlformats.org/drawingml/2006/main"/>
            <a:ln xmlns:a="http://schemas.openxmlformats.org/drawingml/2006/main" w="6350" cap="flat" cmpd="sng" algn="ctr">
              <a:solidFill>
                <a:sysClr val="windowText" lastClr="000000"/>
              </a:solidFill>
              <a:prstDash val="sysDash"/>
              <a:miter lim="800000"/>
            </a:ln>
            <a:effectLst xmlns:a="http://schemas.openxmlformats.org/drawingml/2006/main"/>
          </cdr:spPr>
        </cdr:cxnSp>
        <cdr:cxnSp macro="">
          <cdr:nvCxnSpPr>
            <cdr:cNvPr id="7" name="Straight Arrow Connector 6"/>
            <cdr:cNvCxnSpPr/>
          </cdr:nvCxnSpPr>
          <cdr:spPr>
            <a:xfrm xmlns:a="http://schemas.openxmlformats.org/drawingml/2006/main">
              <a:off x="0" y="1628775"/>
              <a:ext cx="1101090" cy="0"/>
            </a:xfrm>
            <a:prstGeom xmlns:a="http://schemas.openxmlformats.org/drawingml/2006/main" prst="straightConnector1">
              <a:avLst/>
            </a:prstGeom>
            <a:ln xmlns:a="http://schemas.openxmlformats.org/drawingml/2006/main">
              <a:solidFill>
                <a:schemeClr val="tx1"/>
              </a:solidFill>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sp macro="" textlink="">
        <cdr:nvSpPr>
          <cdr:cNvPr id="4" name="TextBox 11">
            <a:extLst xmlns:a="http://schemas.openxmlformats.org/drawingml/2006/main">
              <a:ext uri="{FF2B5EF4-FFF2-40B4-BE49-F238E27FC236}">
                <a16:creationId xmlns:a16="http://schemas.microsoft.com/office/drawing/2014/main" id="{CE40D100-78E7-4171-859D-D4C619F42900}"/>
              </a:ext>
            </a:extLst>
          </cdr:cNvPr>
          <cdr:cNvSpPr txBox="1"/>
        </cdr:nvSpPr>
        <cdr:spPr>
          <a:xfrm xmlns:a="http://schemas.openxmlformats.org/drawingml/2006/main">
            <a:off x="-3953937" y="381000"/>
            <a:ext cx="1111215" cy="235048"/>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txBody>
          <a:bodyPr xmlns:a="http://schemas.openxmlformats.org/drawingml/2006/main" wrap="square" rtlCol="0" anchor="t"/>
          <a:lstStyle xmlns:a="http://schemas.openxmlformats.org/drawingml/2006/main"/>
          <a:p xmlns:a="http://schemas.openxmlformats.org/drawingml/2006/main">
            <a:pPr>
              <a:lnSpc>
                <a:spcPct val="110000"/>
              </a:lnSpc>
              <a:spcAft>
                <a:spcPts val="500"/>
              </a:spcAft>
            </a:pPr>
            <a:r>
              <a:rPr lang="en-AU" sz="900" kern="1200">
                <a:solidFill>
                  <a:srgbClr val="000000"/>
                </a:solidFill>
                <a:effectLst/>
                <a:latin typeface="Arial" panose="020B0604020202020204" pitchFamily="34" charset="0"/>
                <a:ea typeface="Arial" panose="020B0604020202020204" pitchFamily="34" charset="0"/>
                <a:cs typeface="Arial" panose="020B0604020202020204" pitchFamily="34" charset="0"/>
              </a:rPr>
              <a:t>COVID-19 period </a:t>
            </a:r>
            <a:endParaRPr lang="en-AU" sz="1100">
              <a:effectLst/>
              <a:latin typeface="Arial" panose="020B0604020202020204" pitchFamily="34" charset="0"/>
              <a:ea typeface="Arial" panose="020B0604020202020204" pitchFamily="34" charset="0"/>
              <a:cs typeface="Arial" panose="020B0604020202020204" pitchFamily="34" charset="0"/>
            </a:endParaRPr>
          </a:p>
        </cdr:txBody>
      </cdr:sp>
    </cdr:grpSp>
  </cdr:relSizeAnchor>
</c:userShape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5BBE2E515E547ED82721B8EC8957CAF"/>
        <w:category>
          <w:name w:val="General"/>
          <w:gallery w:val="placeholder"/>
        </w:category>
        <w:types>
          <w:type w:val="bbPlcHdr"/>
        </w:types>
        <w:behaviors>
          <w:behavior w:val="content"/>
        </w:behaviors>
        <w:guid w:val="{0573574F-1AD0-4B80-85AA-4AA2D123457E}"/>
      </w:docPartPr>
      <w:docPartBody>
        <w:p w:rsidR="00F9490D" w:rsidRDefault="00F9490D" w:rsidP="00F9490D">
          <w:pPr>
            <w:pStyle w:val="85BBE2E515E547ED82721B8EC8957CAF"/>
          </w:pPr>
          <w:r w:rsidRPr="004C16A2">
            <w:rPr>
              <w:rStyle w:val="PlaceholderText"/>
            </w:rPr>
            <w:t>[Title]</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C5A51" w:rsidRDefault="00BC5A51">
      <w:pPr>
        <w:spacing w:after="0" w:line="240" w:lineRule="auto"/>
      </w:pPr>
      <w:r>
        <w:separator/>
      </w:r>
    </w:p>
  </w:endnote>
  <w:endnote w:type="continuationSeparator" w:id="0">
    <w:p w:rsidR="00BC5A51" w:rsidRDefault="00BC5A51">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Bold">
    <w:altName w:val="Arial"/>
    <w:panose1 w:val="020B07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C5A51" w:rsidRDefault="00BC5A51">
      <w:pPr>
        <w:spacing w:after="0" w:line="240" w:lineRule="auto"/>
      </w:pPr>
      <w:r>
        <w:separator/>
      </w:r>
    </w:p>
  </w:footnote>
  <w:footnote w:type="continuationSeparator" w:id="0">
    <w:p w:rsidR="00BC5A51" w:rsidRDefault="00BC5A51">
      <w:pPr>
        <w:spacing w:after="0" w:line="240" w:lineRule="auto"/>
      </w:pPr>
      <w:r>
        <w:continuationSeparator/>
      </w:r>
    </w:p>
  </w:footnote>
</w:footnote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550B2"/>
    <w:multiLevelType w:val="multilevel"/>
    <w:tmpl w:val="9F703E2E"/>
    <w:numStyleLink w:val="ListBulletmaster"/>
  </w:abstractNum>
  <w:abstractNum w:abstractNumId="1" w15:restartNumberingAfterBreak="0">
    <w:nsid w:val="17A434C9"/>
    <w:multiLevelType w:val="multilevel"/>
    <w:tmpl w:val="113457F2"/>
    <w:numStyleLink w:val="Headingsmaster"/>
  </w:abstractNum>
  <w:abstractNum w:abstractNumId="2" w15:restartNumberingAfterBreak="0">
    <w:nsid w:val="1A753D77"/>
    <w:multiLevelType w:val="multilevel"/>
    <w:tmpl w:val="113457F2"/>
    <w:styleLink w:val="Headingsmaster"/>
    <w:lvl w:ilvl="0">
      <w:start w:val="1"/>
      <w:numFmt w:val="decimal"/>
      <w:pStyle w:val="Heading1"/>
      <w:lvlText w:val="Chapter %1"/>
      <w:lvlJc w:val="left"/>
      <w:pPr>
        <w:ind w:left="0" w:firstLine="0"/>
      </w:pPr>
      <w:rPr>
        <w:rFonts w:hint="default"/>
      </w:rPr>
    </w:lvl>
    <w:lvl w:ilvl="1">
      <w:start w:val="1"/>
      <w:numFmt w:val="decimal"/>
      <w:pStyle w:val="Heading2"/>
      <w:lvlText w:val="%1.%2"/>
      <w:lvlJc w:val="left"/>
      <w:pPr>
        <w:ind w:left="1072" w:hanging="1072"/>
      </w:pPr>
      <w:rPr>
        <w:rFonts w:hint="default"/>
      </w:rPr>
    </w:lvl>
    <w:lvl w:ilvl="2">
      <w:start w:val="1"/>
      <w:numFmt w:val="decimal"/>
      <w:pStyle w:val="Heading3"/>
      <w:lvlText w:val="%1.%2.%3"/>
      <w:lvlJc w:val="left"/>
      <w:pPr>
        <w:ind w:left="1072" w:hanging="1072"/>
      </w:pPr>
      <w:rPr>
        <w:rFonts w:hint="default"/>
      </w:rPr>
    </w:lvl>
    <w:lvl w:ilvl="3">
      <w:start w:val="1"/>
      <w:numFmt w:val="decimal"/>
      <w:pStyle w:val="Heading4"/>
      <w:lvlText w:val="%1.%2.%3.%4"/>
      <w:lvlJc w:val="left"/>
      <w:pPr>
        <w:ind w:left="1072" w:hanging="1072"/>
      </w:pPr>
      <w:rPr>
        <w:rFonts w:hint="default"/>
      </w:rPr>
    </w:lvl>
    <w:lvl w:ilvl="4">
      <w:start w:val="1"/>
      <w:numFmt w:val="decimal"/>
      <w:pStyle w:val="Heading5"/>
      <w:lvlText w:val="%1.%2.%3.%4.%5"/>
      <w:lvlJc w:val="left"/>
      <w:pPr>
        <w:ind w:left="1072" w:hanging="107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11066B6"/>
    <w:multiLevelType w:val="multilevel"/>
    <w:tmpl w:val="113457F2"/>
    <w:numStyleLink w:val="Headingsmaster"/>
  </w:abstractNum>
  <w:abstractNum w:abstractNumId="4" w15:restartNumberingAfterBreak="0">
    <w:nsid w:val="4D2C5E75"/>
    <w:multiLevelType w:val="multilevel"/>
    <w:tmpl w:val="0C56A4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1F55EB9"/>
    <w:multiLevelType w:val="multilevel"/>
    <w:tmpl w:val="4E5A47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48E6CBA"/>
    <w:multiLevelType w:val="multilevel"/>
    <w:tmpl w:val="9F703E2E"/>
    <w:styleLink w:val="ListBulletmaster"/>
    <w:lvl w:ilvl="0">
      <w:start w:val="1"/>
      <w:numFmt w:val="bullet"/>
      <w:pStyle w:val="ListBullet"/>
      <w:lvlText w:val=""/>
      <w:lvlJc w:val="left"/>
      <w:pPr>
        <w:tabs>
          <w:tab w:val="num" w:pos="360"/>
        </w:tabs>
        <w:ind w:left="360" w:hanging="360"/>
      </w:pPr>
      <w:rPr>
        <w:rFonts w:ascii="Symbol" w:hAnsi="Symbol" w:hint="default"/>
        <w:color w:val="auto"/>
      </w:rPr>
    </w:lvl>
    <w:lvl w:ilvl="1">
      <w:start w:val="1"/>
      <w:numFmt w:val="bullet"/>
      <w:pStyle w:val="ListBullet2"/>
      <w:lvlText w:val=""/>
      <w:lvlJc w:val="left"/>
      <w:pPr>
        <w:ind w:left="714" w:hanging="357"/>
      </w:pPr>
      <w:rPr>
        <w:rFonts w:ascii="Symbol" w:hAnsi="Symbol" w:hint="default"/>
        <w:color w:val="auto"/>
      </w:rPr>
    </w:lvl>
    <w:lvl w:ilvl="2">
      <w:start w:val="1"/>
      <w:numFmt w:val="bullet"/>
      <w:pStyle w:val="ListBullet3"/>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90287643">
    <w:abstractNumId w:val="2"/>
  </w:num>
  <w:num w:numId="2" w16cid:durableId="1869679674">
    <w:abstractNumId w:val="6"/>
  </w:num>
  <w:num w:numId="3" w16cid:durableId="1320232845">
    <w:abstractNumId w:val="0"/>
  </w:num>
  <w:num w:numId="4" w16cid:durableId="1442914095">
    <w:abstractNumId w:val="1"/>
  </w:num>
  <w:num w:numId="5" w16cid:durableId="1349261214">
    <w:abstractNumId w:val="3"/>
  </w:num>
  <w:num w:numId="6" w16cid:durableId="1421415029">
    <w:abstractNumId w:val="5"/>
  </w:num>
  <w:num w:numId="7" w16cid:durableId="10790551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47986171">
    <w:abstractNumId w:val="4"/>
  </w:num>
  <w:num w:numId="9" w16cid:durableId="12515071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1551318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25E"/>
    <w:rsid w:val="000058F9"/>
    <w:rsid w:val="00100B87"/>
    <w:rsid w:val="00131C8E"/>
    <w:rsid w:val="00183E6D"/>
    <w:rsid w:val="00200E7E"/>
    <w:rsid w:val="002E5BAA"/>
    <w:rsid w:val="00331155"/>
    <w:rsid w:val="00374CA2"/>
    <w:rsid w:val="003B4E58"/>
    <w:rsid w:val="00553049"/>
    <w:rsid w:val="0056433F"/>
    <w:rsid w:val="006B71B6"/>
    <w:rsid w:val="006C554D"/>
    <w:rsid w:val="006D604D"/>
    <w:rsid w:val="007322A5"/>
    <w:rsid w:val="008251A2"/>
    <w:rsid w:val="00930BAA"/>
    <w:rsid w:val="00966319"/>
    <w:rsid w:val="0098508D"/>
    <w:rsid w:val="00A20A66"/>
    <w:rsid w:val="00B71434"/>
    <w:rsid w:val="00BA525E"/>
    <w:rsid w:val="00BC5A51"/>
    <w:rsid w:val="00C13883"/>
    <w:rsid w:val="00D537F0"/>
    <w:rsid w:val="00DB79D0"/>
    <w:rsid w:val="00E44172"/>
    <w:rsid w:val="00E810C1"/>
    <w:rsid w:val="00E83196"/>
    <w:rsid w:val="00E97852"/>
    <w:rsid w:val="00E97ECE"/>
    <w:rsid w:val="00EF5829"/>
    <w:rsid w:val="00F9490D"/>
    <w:rsid w:val="00FD12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qFormat="1"/>
    <w:lsdException w:name="List Bullet 3" w:semiHidden="1" w:uiPriority="4"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BodyText"/>
    <w:next w:val="BodyText"/>
    <w:link w:val="Heading1Char"/>
    <w:uiPriority w:val="9"/>
    <w:qFormat/>
    <w:rsid w:val="00EF5829"/>
    <w:pPr>
      <w:keepNext/>
      <w:pageBreakBefore/>
      <w:numPr>
        <w:numId w:val="5"/>
      </w:numPr>
      <w:pBdr>
        <w:top w:val="single" w:sz="6" w:space="31" w:color="FFFFFF" w:themeColor="background1"/>
      </w:pBdr>
      <w:spacing w:before="240" w:after="3000"/>
      <w:outlineLvl w:val="0"/>
    </w:pPr>
    <w:rPr>
      <w:rFonts w:eastAsia="Times New Roman" w:cs="Arial"/>
      <w:b/>
      <w:bCs/>
      <w:color w:val="4B0985"/>
      <w:sz w:val="56"/>
      <w:szCs w:val="32"/>
      <w:lang w:eastAsia="en-AU"/>
    </w:rPr>
  </w:style>
  <w:style w:type="paragraph" w:styleId="Heading2">
    <w:name w:val="heading 2"/>
    <w:basedOn w:val="Heading1"/>
    <w:next w:val="BodyText"/>
    <w:link w:val="Heading2Char"/>
    <w:uiPriority w:val="9"/>
    <w:qFormat/>
    <w:rsid w:val="00EF5829"/>
    <w:pPr>
      <w:pageBreakBefore w:val="0"/>
      <w:numPr>
        <w:ilvl w:val="1"/>
      </w:numPr>
      <w:pBdr>
        <w:top w:val="none" w:sz="0" w:space="0" w:color="auto"/>
      </w:pBdr>
      <w:tabs>
        <w:tab w:val="clear" w:pos="357"/>
        <w:tab w:val="clear" w:pos="714"/>
        <w:tab w:val="clear" w:pos="1429"/>
      </w:tabs>
      <w:spacing w:after="0"/>
      <w:outlineLvl w:val="1"/>
    </w:pPr>
    <w:rPr>
      <w:bCs w:val="0"/>
      <w:iCs/>
      <w:color w:val="012749"/>
      <w:sz w:val="32"/>
      <w:szCs w:val="28"/>
    </w:rPr>
  </w:style>
  <w:style w:type="paragraph" w:styleId="Heading3">
    <w:name w:val="heading 3"/>
    <w:basedOn w:val="Heading1"/>
    <w:next w:val="BodyText"/>
    <w:link w:val="Heading3Char"/>
    <w:uiPriority w:val="9"/>
    <w:qFormat/>
    <w:rsid w:val="00EF5829"/>
    <w:pPr>
      <w:pageBreakBefore w:val="0"/>
      <w:numPr>
        <w:ilvl w:val="2"/>
      </w:numPr>
      <w:pBdr>
        <w:top w:val="none" w:sz="0" w:space="0" w:color="auto"/>
      </w:pBdr>
      <w:tabs>
        <w:tab w:val="clear" w:pos="357"/>
        <w:tab w:val="clear" w:pos="714"/>
        <w:tab w:val="clear" w:pos="1429"/>
      </w:tabs>
      <w:spacing w:after="0"/>
      <w:outlineLvl w:val="2"/>
    </w:pPr>
    <w:rPr>
      <w:bCs w:val="0"/>
      <w:sz w:val="26"/>
      <w:szCs w:val="26"/>
    </w:rPr>
  </w:style>
  <w:style w:type="paragraph" w:styleId="Heading4">
    <w:name w:val="heading 4"/>
    <w:basedOn w:val="Heading1"/>
    <w:next w:val="BodyText"/>
    <w:link w:val="Heading4Char"/>
    <w:uiPriority w:val="9"/>
    <w:qFormat/>
    <w:rsid w:val="00EF5829"/>
    <w:pPr>
      <w:pageBreakBefore w:val="0"/>
      <w:numPr>
        <w:ilvl w:val="3"/>
      </w:numPr>
      <w:pBdr>
        <w:top w:val="none" w:sz="0" w:space="0" w:color="auto"/>
      </w:pBdr>
      <w:tabs>
        <w:tab w:val="clear" w:pos="357"/>
        <w:tab w:val="clear" w:pos="714"/>
        <w:tab w:val="clear" w:pos="1429"/>
      </w:tabs>
      <w:spacing w:after="0"/>
      <w:outlineLvl w:val="3"/>
    </w:pPr>
    <w:rPr>
      <w:bCs w:val="0"/>
      <w:color w:val="012749"/>
      <w:sz w:val="22"/>
      <w:szCs w:val="21"/>
    </w:rPr>
  </w:style>
  <w:style w:type="paragraph" w:styleId="Heading5">
    <w:name w:val="heading 5"/>
    <w:basedOn w:val="Normal"/>
    <w:next w:val="Normal"/>
    <w:link w:val="Heading5Char"/>
    <w:uiPriority w:val="9"/>
    <w:qFormat/>
    <w:rsid w:val="00EF5829"/>
    <w:pPr>
      <w:numPr>
        <w:ilvl w:val="4"/>
        <w:numId w:val="5"/>
      </w:numPr>
      <w:tabs>
        <w:tab w:val="left" w:pos="1072"/>
      </w:tabs>
      <w:spacing w:before="240" w:after="0" w:line="276" w:lineRule="auto"/>
      <w:outlineLvl w:val="4"/>
    </w:pPr>
    <w:rPr>
      <w:rFonts w:ascii="Arial" w:eastAsia="Times New Roman" w:hAnsi="Arial" w:cs="Times New Roman"/>
      <w:bCs/>
      <w:iCs/>
      <w:color w:val="4B0885"/>
      <w:kern w:val="0"/>
      <w:sz w:val="19"/>
      <w:szCs w:val="20"/>
      <w:lang w:val="en-GB"/>
      <w14:ligatures w14:val="none"/>
    </w:rPr>
  </w:style>
  <w:style w:type="paragraph" w:styleId="Heading6">
    <w:name w:val="heading 6"/>
    <w:basedOn w:val="Normal"/>
    <w:next w:val="Normal"/>
    <w:link w:val="Heading6Char"/>
    <w:uiPriority w:val="9"/>
    <w:qFormat/>
    <w:rsid w:val="00EF5829"/>
    <w:pPr>
      <w:keepNext/>
      <w:keepLines/>
      <w:spacing w:before="240" w:after="0" w:line="276" w:lineRule="auto"/>
      <w:outlineLvl w:val="5"/>
    </w:pPr>
    <w:rPr>
      <w:rFonts w:ascii="Arial" w:eastAsiaTheme="majorEastAsia" w:hAnsi="Arial" w:cstheme="majorBidi"/>
      <w:color w:val="4B0885"/>
      <w:kern w:val="0"/>
      <w:sz w:val="19"/>
      <w:szCs w:val="20"/>
      <w:lang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9490D"/>
    <w:rPr>
      <w:color w:val="C00000"/>
    </w:rPr>
  </w:style>
  <w:style w:type="table" w:customStyle="1" w:styleId="CustomTablepulloutbox2">
    <w:name w:val="Custom Table (pullout box 2)"/>
    <w:basedOn w:val="CustomTablepulloutbox"/>
    <w:uiPriority w:val="99"/>
    <w:rsid w:val="00A20A66"/>
    <w:tblPr/>
    <w:tcPr>
      <w:shd w:val="clear" w:color="auto" w:fill="E0D1F5"/>
    </w:tcPr>
  </w:style>
  <w:style w:type="character" w:customStyle="1" w:styleId="Heading1Char">
    <w:name w:val="Heading 1 Char"/>
    <w:basedOn w:val="DefaultParagraphFont"/>
    <w:link w:val="Heading1"/>
    <w:uiPriority w:val="9"/>
    <w:rsid w:val="00EF5829"/>
    <w:rPr>
      <w:rFonts w:ascii="Arial" w:eastAsia="Times New Roman" w:hAnsi="Arial" w:cs="Arial"/>
      <w:b/>
      <w:bCs/>
      <w:color w:val="4B0985"/>
      <w:kern w:val="0"/>
      <w:sz w:val="56"/>
      <w:szCs w:val="32"/>
      <w14:ligatures w14:val="none"/>
    </w:rPr>
  </w:style>
  <w:style w:type="character" w:customStyle="1" w:styleId="Heading2Char">
    <w:name w:val="Heading 2 Char"/>
    <w:basedOn w:val="DefaultParagraphFont"/>
    <w:link w:val="Heading2"/>
    <w:uiPriority w:val="9"/>
    <w:rsid w:val="00331155"/>
    <w:rPr>
      <w:rFonts w:ascii="Arial" w:eastAsia="Times New Roman" w:hAnsi="Arial" w:cs="Arial"/>
      <w:b/>
      <w:iCs/>
      <w:color w:val="012749"/>
      <w:kern w:val="0"/>
      <w:sz w:val="32"/>
      <w:szCs w:val="28"/>
      <w14:ligatures w14:val="none"/>
    </w:rPr>
  </w:style>
  <w:style w:type="character" w:customStyle="1" w:styleId="Heading3Char">
    <w:name w:val="Heading 3 Char"/>
    <w:basedOn w:val="DefaultParagraphFont"/>
    <w:link w:val="Heading3"/>
    <w:uiPriority w:val="9"/>
    <w:rsid w:val="00331155"/>
    <w:rPr>
      <w:rFonts w:ascii="Arial" w:eastAsia="Times New Roman" w:hAnsi="Arial" w:cs="Arial"/>
      <w:b/>
      <w:color w:val="4B0985"/>
      <w:kern w:val="0"/>
      <w:sz w:val="26"/>
      <w:szCs w:val="26"/>
      <w14:ligatures w14:val="none"/>
    </w:rPr>
  </w:style>
  <w:style w:type="paragraph" w:styleId="ListBullet">
    <w:name w:val="List Bullet"/>
    <w:basedOn w:val="Normal"/>
    <w:uiPriority w:val="4"/>
    <w:qFormat/>
    <w:rsid w:val="00EF5829"/>
    <w:pPr>
      <w:numPr>
        <w:numId w:val="3"/>
      </w:numPr>
      <w:spacing w:before="120" w:after="120" w:line="276" w:lineRule="auto"/>
      <w:ind w:left="357" w:hanging="357"/>
    </w:pPr>
    <w:rPr>
      <w:rFonts w:ascii="Arial" w:eastAsia="Times New Roman" w:hAnsi="Arial" w:cs="Times New Roman"/>
      <w:kern w:val="0"/>
      <w:sz w:val="22"/>
      <w:lang w:eastAsia="en-GB"/>
      <w14:ligatures w14:val="none"/>
    </w:rPr>
  </w:style>
  <w:style w:type="numbering" w:customStyle="1" w:styleId="ListBulletmaster">
    <w:name w:val="List Bullet (master)"/>
    <w:rsid w:val="00EF5829"/>
    <w:pPr>
      <w:numPr>
        <w:numId w:val="2"/>
      </w:numPr>
    </w:pPr>
  </w:style>
  <w:style w:type="paragraph" w:styleId="ListBullet2">
    <w:name w:val="List Bullet 2"/>
    <w:basedOn w:val="Normal"/>
    <w:uiPriority w:val="4"/>
    <w:qFormat/>
    <w:rsid w:val="00EF5829"/>
    <w:pPr>
      <w:numPr>
        <w:ilvl w:val="1"/>
        <w:numId w:val="3"/>
      </w:numPr>
      <w:spacing w:before="120" w:after="120" w:line="276" w:lineRule="auto"/>
    </w:pPr>
    <w:rPr>
      <w:rFonts w:ascii="Arial" w:eastAsia="Times New Roman" w:hAnsi="Arial" w:cs="Times New Roman"/>
      <w:kern w:val="0"/>
      <w:sz w:val="22"/>
      <w:lang w:eastAsia="en-GB"/>
      <w14:ligatures w14:val="none"/>
    </w:rPr>
  </w:style>
  <w:style w:type="paragraph" w:styleId="ListBullet3">
    <w:name w:val="List Bullet 3"/>
    <w:basedOn w:val="Normal"/>
    <w:uiPriority w:val="4"/>
    <w:qFormat/>
    <w:rsid w:val="00EF5829"/>
    <w:pPr>
      <w:numPr>
        <w:ilvl w:val="2"/>
        <w:numId w:val="3"/>
      </w:numPr>
      <w:spacing w:before="120" w:after="120" w:line="276" w:lineRule="auto"/>
      <w:ind w:left="1071" w:hanging="357"/>
    </w:pPr>
    <w:rPr>
      <w:rFonts w:ascii="Arial" w:eastAsia="Times New Roman" w:hAnsi="Arial" w:cs="Times New Roman"/>
      <w:kern w:val="0"/>
      <w:sz w:val="22"/>
      <w:lang w:eastAsia="en-GB"/>
      <w14:ligatures w14:val="none"/>
    </w:rPr>
  </w:style>
  <w:style w:type="numbering" w:customStyle="1" w:styleId="Headingsmaster">
    <w:name w:val="Headings (master)"/>
    <w:uiPriority w:val="99"/>
    <w:rsid w:val="00EF5829"/>
    <w:pPr>
      <w:numPr>
        <w:numId w:val="1"/>
      </w:numPr>
    </w:pPr>
  </w:style>
  <w:style w:type="table" w:customStyle="1" w:styleId="CustomTablekeythemes">
    <w:name w:val="Custom Table (key themes)"/>
    <w:basedOn w:val="TableNormal"/>
    <w:uiPriority w:val="99"/>
    <w:rsid w:val="00EF5829"/>
    <w:pPr>
      <w:spacing w:after="0" w:line="240" w:lineRule="auto"/>
    </w:pPr>
    <w:rPr>
      <w:rFonts w:eastAsiaTheme="minorHAnsi"/>
      <w:kern w:val="0"/>
      <w:sz w:val="20"/>
      <w:szCs w:val="20"/>
      <w:lang w:val="en-US" w:eastAsia="en-US"/>
      <w14:ligatures w14:val="none"/>
    </w:rPr>
    <w:tblPr>
      <w:tblBorders>
        <w:top w:val="double" w:sz="12" w:space="0" w:color="D9D9D9" w:themeColor="background1" w:themeShade="D9"/>
        <w:bottom w:val="double" w:sz="12" w:space="0" w:color="D9D9D9" w:themeColor="background1" w:themeShade="D9"/>
      </w:tblBorders>
    </w:tblPr>
    <w:tcPr>
      <w:shd w:val="clear" w:color="auto" w:fill="D9D9D9" w:themeFill="background1" w:themeFillShade="D9"/>
      <w:tcMar>
        <w:top w:w="227" w:type="dxa"/>
        <w:left w:w="227" w:type="dxa"/>
        <w:bottom w:w="227" w:type="dxa"/>
        <w:right w:w="227" w:type="dxa"/>
      </w:tcMar>
    </w:tcPr>
  </w:style>
  <w:style w:type="paragraph" w:styleId="BodyText">
    <w:name w:val="Body Text"/>
    <w:basedOn w:val="Normal"/>
    <w:link w:val="BodyTextChar"/>
    <w:qFormat/>
    <w:rsid w:val="00A20A66"/>
    <w:pPr>
      <w:tabs>
        <w:tab w:val="left" w:pos="357"/>
        <w:tab w:val="left" w:pos="714"/>
        <w:tab w:val="left" w:pos="1072"/>
        <w:tab w:val="left" w:pos="1429"/>
      </w:tabs>
      <w:spacing w:before="120" w:after="120" w:line="276" w:lineRule="auto"/>
    </w:pPr>
    <w:rPr>
      <w:rFonts w:ascii="Arial" w:eastAsiaTheme="minorHAnsi" w:hAnsi="Arial"/>
      <w:kern w:val="0"/>
      <w:sz w:val="22"/>
      <w:szCs w:val="20"/>
      <w:lang w:eastAsia="en-US"/>
      <w14:ligatures w14:val="none"/>
    </w:rPr>
  </w:style>
  <w:style w:type="character" w:customStyle="1" w:styleId="BodyTextChar">
    <w:name w:val="Body Text Char"/>
    <w:basedOn w:val="DefaultParagraphFont"/>
    <w:link w:val="BodyText"/>
    <w:rsid w:val="00A20A66"/>
    <w:rPr>
      <w:rFonts w:ascii="Arial" w:eastAsiaTheme="minorHAnsi" w:hAnsi="Arial"/>
      <w:kern w:val="0"/>
      <w:sz w:val="22"/>
      <w:szCs w:val="20"/>
      <w:lang w:eastAsia="en-US"/>
      <w14:ligatures w14:val="none"/>
    </w:rPr>
  </w:style>
  <w:style w:type="paragraph" w:styleId="Header">
    <w:name w:val="header"/>
    <w:basedOn w:val="Normal"/>
    <w:link w:val="HeaderChar"/>
    <w:uiPriority w:val="24"/>
    <w:rsid w:val="00EF5829"/>
    <w:pPr>
      <w:tabs>
        <w:tab w:val="right" w:pos="0"/>
        <w:tab w:val="center" w:pos="4680"/>
        <w:tab w:val="right" w:pos="9360"/>
      </w:tabs>
      <w:spacing w:before="40" w:after="40" w:line="276" w:lineRule="auto"/>
    </w:pPr>
    <w:rPr>
      <w:rFonts w:ascii="Arial" w:eastAsiaTheme="minorHAnsi" w:hAnsi="Arial"/>
      <w:kern w:val="0"/>
      <w:sz w:val="16"/>
      <w:szCs w:val="20"/>
      <w:lang w:eastAsia="en-US"/>
      <w14:ligatures w14:val="none"/>
    </w:rPr>
  </w:style>
  <w:style w:type="character" w:customStyle="1" w:styleId="HeaderChar">
    <w:name w:val="Header Char"/>
    <w:basedOn w:val="DefaultParagraphFont"/>
    <w:link w:val="Header"/>
    <w:uiPriority w:val="24"/>
    <w:rsid w:val="00EF5829"/>
    <w:rPr>
      <w:rFonts w:ascii="Arial" w:eastAsiaTheme="minorHAnsi" w:hAnsi="Arial"/>
      <w:kern w:val="0"/>
      <w:sz w:val="16"/>
      <w:szCs w:val="20"/>
      <w:lang w:eastAsia="en-US"/>
      <w14:ligatures w14:val="none"/>
    </w:rPr>
  </w:style>
  <w:style w:type="character" w:customStyle="1" w:styleId="Heading4Char">
    <w:name w:val="Heading 4 Char"/>
    <w:basedOn w:val="DefaultParagraphFont"/>
    <w:link w:val="Heading4"/>
    <w:uiPriority w:val="9"/>
    <w:rsid w:val="00EF5829"/>
    <w:rPr>
      <w:rFonts w:ascii="Arial" w:eastAsia="Times New Roman" w:hAnsi="Arial" w:cs="Arial"/>
      <w:b/>
      <w:color w:val="012749"/>
      <w:kern w:val="0"/>
      <w:sz w:val="22"/>
      <w:szCs w:val="21"/>
      <w14:ligatures w14:val="none"/>
    </w:rPr>
  </w:style>
  <w:style w:type="character" w:customStyle="1" w:styleId="Heading5Char">
    <w:name w:val="Heading 5 Char"/>
    <w:basedOn w:val="DefaultParagraphFont"/>
    <w:link w:val="Heading5"/>
    <w:uiPriority w:val="9"/>
    <w:rsid w:val="00EF5829"/>
    <w:rPr>
      <w:rFonts w:ascii="Arial" w:eastAsia="Times New Roman" w:hAnsi="Arial" w:cs="Times New Roman"/>
      <w:bCs/>
      <w:iCs/>
      <w:color w:val="4B0885"/>
      <w:kern w:val="0"/>
      <w:sz w:val="19"/>
      <w:szCs w:val="20"/>
      <w:lang w:val="en-GB"/>
      <w14:ligatures w14:val="none"/>
    </w:rPr>
  </w:style>
  <w:style w:type="character" w:customStyle="1" w:styleId="Heading6Char">
    <w:name w:val="Heading 6 Char"/>
    <w:basedOn w:val="DefaultParagraphFont"/>
    <w:link w:val="Heading6"/>
    <w:uiPriority w:val="9"/>
    <w:rsid w:val="00EF5829"/>
    <w:rPr>
      <w:rFonts w:ascii="Arial" w:eastAsiaTheme="majorEastAsia" w:hAnsi="Arial" w:cstheme="majorBidi"/>
      <w:color w:val="4B0885"/>
      <w:kern w:val="0"/>
      <w:sz w:val="19"/>
      <w:szCs w:val="20"/>
      <w:lang w:eastAsia="en-US"/>
      <w14:ligatures w14:val="none"/>
    </w:rPr>
  </w:style>
  <w:style w:type="table" w:customStyle="1" w:styleId="CustomTablepulloutbox">
    <w:name w:val="Custom Table (pullout box)"/>
    <w:basedOn w:val="TableNormal"/>
    <w:uiPriority w:val="99"/>
    <w:rsid w:val="00A20A66"/>
    <w:pPr>
      <w:spacing w:after="0" w:line="240" w:lineRule="auto"/>
    </w:pPr>
    <w:rPr>
      <w:rFonts w:eastAsiaTheme="minorHAnsi"/>
      <w:kern w:val="0"/>
      <w:sz w:val="20"/>
      <w:szCs w:val="20"/>
      <w:lang w:val="en-US" w:eastAsia="en-US"/>
      <w14:ligatures w14:val="none"/>
    </w:rPr>
    <w:tblPr>
      <w:tblBorders>
        <w:left w:val="single" w:sz="24" w:space="0" w:color="4B0885"/>
      </w:tblBorders>
    </w:tblPr>
    <w:tcPr>
      <w:shd w:val="clear" w:color="auto" w:fill="F2F2F2" w:themeFill="background1" w:themeFillShade="F2"/>
      <w:tcMar>
        <w:top w:w="227" w:type="dxa"/>
        <w:left w:w="227" w:type="dxa"/>
        <w:bottom w:w="227" w:type="dxa"/>
        <w:right w:w="227" w:type="dxa"/>
      </w:tcMar>
    </w:tcPr>
  </w:style>
  <w:style w:type="paragraph" w:customStyle="1" w:styleId="85BBE2E515E547ED82721B8EC8957CAF">
    <w:name w:val="85BBE2E515E547ED82721B8EC8957CAF"/>
    <w:rsid w:val="00F949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New JSA purple fix">
    <a:dk1>
      <a:sysClr val="windowText" lastClr="000000"/>
    </a:dk1>
    <a:lt1>
      <a:sysClr val="window" lastClr="FFFFFF"/>
    </a:lt1>
    <a:dk2>
      <a:srgbClr val="4B0885"/>
    </a:dk2>
    <a:lt2>
      <a:srgbClr val="D2DE5A"/>
    </a:lt2>
    <a:accent1>
      <a:srgbClr val="6929C4"/>
    </a:accent1>
    <a:accent2>
      <a:srgbClr val="009D9A"/>
    </a:accent2>
    <a:accent3>
      <a:srgbClr val="012749"/>
    </a:accent3>
    <a:accent4>
      <a:srgbClr val="EE538B"/>
    </a:accent4>
    <a:accent5>
      <a:srgbClr val="1192E8"/>
    </a:accent5>
    <a:accent6>
      <a:srgbClr val="9F1853"/>
    </a:accent6>
    <a:hlink>
      <a:srgbClr val="013D74"/>
    </a:hlink>
    <a:folHlink>
      <a:srgbClr val="4B088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New JSA purple fix">
    <a:dk1>
      <a:sysClr val="windowText" lastClr="000000"/>
    </a:dk1>
    <a:lt1>
      <a:sysClr val="window" lastClr="FFFFFF"/>
    </a:lt1>
    <a:dk2>
      <a:srgbClr val="4B0885"/>
    </a:dk2>
    <a:lt2>
      <a:srgbClr val="D2DE5A"/>
    </a:lt2>
    <a:accent1>
      <a:srgbClr val="6929C4"/>
    </a:accent1>
    <a:accent2>
      <a:srgbClr val="009D9A"/>
    </a:accent2>
    <a:accent3>
      <a:srgbClr val="012749"/>
    </a:accent3>
    <a:accent4>
      <a:srgbClr val="EE538B"/>
    </a:accent4>
    <a:accent5>
      <a:srgbClr val="1192E8"/>
    </a:accent5>
    <a:accent6>
      <a:srgbClr val="9F1853"/>
    </a:accent6>
    <a:hlink>
      <a:srgbClr val="013D74"/>
    </a:hlink>
    <a:folHlink>
      <a:srgbClr val="4B088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New JSA purple fix">
    <a:dk1>
      <a:sysClr val="windowText" lastClr="000000"/>
    </a:dk1>
    <a:lt1>
      <a:sysClr val="window" lastClr="FFFFFF"/>
    </a:lt1>
    <a:dk2>
      <a:srgbClr val="4B0885"/>
    </a:dk2>
    <a:lt2>
      <a:srgbClr val="D2DE5A"/>
    </a:lt2>
    <a:accent1>
      <a:srgbClr val="6929C4"/>
    </a:accent1>
    <a:accent2>
      <a:srgbClr val="009D9A"/>
    </a:accent2>
    <a:accent3>
      <a:srgbClr val="012749"/>
    </a:accent3>
    <a:accent4>
      <a:srgbClr val="EE538B"/>
    </a:accent4>
    <a:accent5>
      <a:srgbClr val="1192E8"/>
    </a:accent5>
    <a:accent6>
      <a:srgbClr val="9F1853"/>
    </a:accent6>
    <a:hlink>
      <a:srgbClr val="013D74"/>
    </a:hlink>
    <a:folHlink>
      <a:srgbClr val="4B088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New JSA purple fix">
    <a:dk1>
      <a:sysClr val="windowText" lastClr="000000"/>
    </a:dk1>
    <a:lt1>
      <a:sysClr val="window" lastClr="FFFFFF"/>
    </a:lt1>
    <a:dk2>
      <a:srgbClr val="4B0885"/>
    </a:dk2>
    <a:lt2>
      <a:srgbClr val="D2DE5A"/>
    </a:lt2>
    <a:accent1>
      <a:srgbClr val="6929C4"/>
    </a:accent1>
    <a:accent2>
      <a:srgbClr val="009D9A"/>
    </a:accent2>
    <a:accent3>
      <a:srgbClr val="012749"/>
    </a:accent3>
    <a:accent4>
      <a:srgbClr val="EE538B"/>
    </a:accent4>
    <a:accent5>
      <a:srgbClr val="1192E8"/>
    </a:accent5>
    <a:accent6>
      <a:srgbClr val="9F1853"/>
    </a:accent6>
    <a:hlink>
      <a:srgbClr val="013D74"/>
    </a:hlink>
    <a:folHlink>
      <a:srgbClr val="4B088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New JSA purple fix">
    <a:dk1>
      <a:sysClr val="windowText" lastClr="000000"/>
    </a:dk1>
    <a:lt1>
      <a:sysClr val="window" lastClr="FFFFFF"/>
    </a:lt1>
    <a:dk2>
      <a:srgbClr val="4B0885"/>
    </a:dk2>
    <a:lt2>
      <a:srgbClr val="D2DE5A"/>
    </a:lt2>
    <a:accent1>
      <a:srgbClr val="6929C4"/>
    </a:accent1>
    <a:accent2>
      <a:srgbClr val="009D9A"/>
    </a:accent2>
    <a:accent3>
      <a:srgbClr val="012749"/>
    </a:accent3>
    <a:accent4>
      <a:srgbClr val="EE538B"/>
    </a:accent4>
    <a:accent5>
      <a:srgbClr val="1192E8"/>
    </a:accent5>
    <a:accent6>
      <a:srgbClr val="9F1853"/>
    </a:accent6>
    <a:hlink>
      <a:srgbClr val="013D74"/>
    </a:hlink>
    <a:folHlink>
      <a:srgbClr val="4B088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2d48ace-a41b-4367-83ff-bc8f447feadc">
      <Terms xmlns="http://schemas.microsoft.com/office/infopath/2007/PartnerControls"/>
    </lcf76f155ced4ddcb4097134ff3c332f>
    <TaxCatchAll xmlns="8caa48d6-bac7-4de2-9192-623c90410be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5B27383F1EAB14AB424D9ABC6742A92" ma:contentTypeVersion="18" ma:contentTypeDescription="Create a new document." ma:contentTypeScope="" ma:versionID="a864dc20287ecaa146a900c7b54418ea">
  <xsd:schema xmlns:xsd="http://www.w3.org/2001/XMLSchema" xmlns:xs="http://www.w3.org/2001/XMLSchema" xmlns:p="http://schemas.microsoft.com/office/2006/metadata/properties" xmlns:ns2="72d48ace-a41b-4367-83ff-bc8f447feadc" xmlns:ns3="8caa48d6-bac7-4de2-9192-623c90410bed" targetNamespace="http://schemas.microsoft.com/office/2006/metadata/properties" ma:root="true" ma:fieldsID="367975ad405346363782cdc2d8aeacb1" ns2:_="" ns3:_="">
    <xsd:import namespace="72d48ace-a41b-4367-83ff-bc8f447feadc"/>
    <xsd:import namespace="8caa48d6-bac7-4de2-9192-623c90410b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d48ace-a41b-4367-83ff-bc8f447fea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aa48d6-bac7-4de2-9192-623c90410be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e157d9a-11f3-4a5c-b970-a6c69b8dac5e}" ma:internalName="TaxCatchAll" ma:showField="CatchAllData" ma:web="8caa48d6-bac7-4de2-9192-623c90410b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82D10-4BE8-46F5-AB3D-A190D07974C1}">
  <ds:schemaRefs>
    <ds:schemaRef ds:uri="http://schemas.microsoft.com/office/2006/metadata/properties"/>
    <ds:schemaRef ds:uri="http://schemas.microsoft.com/office/infopath/2007/PartnerControls"/>
    <ds:schemaRef ds:uri="88bdf61f-9621-4102-acf0-32ab8de1ada4"/>
    <ds:schemaRef ds:uri="2346c79d-bae1-4214-a8f2-95f62bc64ea6"/>
  </ds:schemaRefs>
</ds:datastoreItem>
</file>

<file path=customXml/itemProps2.xml><?xml version="1.0" encoding="utf-8"?>
<ds:datastoreItem xmlns:ds="http://schemas.openxmlformats.org/officeDocument/2006/customXml" ds:itemID="{A55A4668-93F0-4A51-9EF3-DA6E28784F8C}">
  <ds:schemaRefs>
    <ds:schemaRef ds:uri="http://schemas.microsoft.com/sharepoint/v3/contenttype/forms"/>
  </ds:schemaRefs>
</ds:datastoreItem>
</file>

<file path=customXml/itemProps3.xml><?xml version="1.0" encoding="utf-8"?>
<ds:datastoreItem xmlns:ds="http://schemas.openxmlformats.org/officeDocument/2006/customXml" ds:itemID="{353F4C03-9E0B-40F5-BFAC-DA900050A9F9}"/>
</file>

<file path=customXml/itemProps4.xml><?xml version="1.0" encoding="utf-8"?>
<ds:datastoreItem xmlns:ds="http://schemas.openxmlformats.org/officeDocument/2006/customXml" ds:itemID="{38144F5A-3C7F-42D8-939D-C2DE9E746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18</Pages>
  <Words>4647</Words>
  <Characters>25425</Characters>
  <Application>Microsoft Office Word</Application>
  <DocSecurity>0</DocSecurity>
  <Lines>941</Lines>
  <Paragraphs>733</Paragraphs>
  <ScaleCrop>false</ScaleCrop>
  <HeadingPairs>
    <vt:vector size="2" baseType="variant">
      <vt:variant>
        <vt:lpstr>Title</vt:lpstr>
      </vt:variant>
      <vt:variant>
        <vt:i4>1</vt:i4>
      </vt:variant>
    </vt:vector>
  </HeadingPairs>
  <TitlesOfParts>
    <vt:vector size="1" baseType="lpstr">
      <vt:lpstr>Labour Market Update</vt:lpstr>
    </vt:vector>
  </TitlesOfParts>
  <Company/>
  <LinksUpToDate>false</LinksUpToDate>
  <CharactersWithSpaces>29339</CharactersWithSpaces>
  <SharedDoc>false</SharedDoc>
  <HLinks>
    <vt:vector size="126" baseType="variant">
      <vt:variant>
        <vt:i4>3145835</vt:i4>
      </vt:variant>
      <vt:variant>
        <vt:i4>159</vt:i4>
      </vt:variant>
      <vt:variant>
        <vt:i4>0</vt:i4>
      </vt:variant>
      <vt:variant>
        <vt:i4>5</vt:i4>
      </vt:variant>
      <vt:variant>
        <vt:lpwstr>https://www.jobsandskills.gov.au/publications/international-labour-market-update-november-2024</vt:lpwstr>
      </vt:variant>
      <vt:variant>
        <vt:lpwstr/>
      </vt:variant>
      <vt:variant>
        <vt:i4>6488186</vt:i4>
      </vt:variant>
      <vt:variant>
        <vt:i4>156</vt:i4>
      </vt:variant>
      <vt:variant>
        <vt:i4>0</vt:i4>
      </vt:variant>
      <vt:variant>
        <vt:i4>5</vt:i4>
      </vt:variant>
      <vt:variant>
        <vt:lpwstr>https://www.jobsandskills.gov.au/data/nero</vt:lpwstr>
      </vt:variant>
      <vt:variant>
        <vt:lpwstr/>
      </vt:variant>
      <vt:variant>
        <vt:i4>2490422</vt:i4>
      </vt:variant>
      <vt:variant>
        <vt:i4>153</vt:i4>
      </vt:variant>
      <vt:variant>
        <vt:i4>0</vt:i4>
      </vt:variant>
      <vt:variant>
        <vt:i4>5</vt:i4>
      </vt:variant>
      <vt:variant>
        <vt:lpwstr>https://www.jobsandskills.gov.au/data/employment-region-dashboards-and-profiles</vt:lpwstr>
      </vt:variant>
      <vt:variant>
        <vt:lpwstr/>
      </vt:variant>
      <vt:variant>
        <vt:i4>4063353</vt:i4>
      </vt:variant>
      <vt:variant>
        <vt:i4>150</vt:i4>
      </vt:variant>
      <vt:variant>
        <vt:i4>0</vt:i4>
      </vt:variant>
      <vt:variant>
        <vt:i4>5</vt:i4>
      </vt:variant>
      <vt:variant>
        <vt:lpwstr>https://www.jobsandskills.gov.au/data/jobs-and-skills-atlas</vt:lpwstr>
      </vt:variant>
      <vt:variant>
        <vt:lpwstr/>
      </vt:variant>
      <vt:variant>
        <vt:i4>8257591</vt:i4>
      </vt:variant>
      <vt:variant>
        <vt:i4>147</vt:i4>
      </vt:variant>
      <vt:variant>
        <vt:i4>0</vt:i4>
      </vt:variant>
      <vt:variant>
        <vt:i4>5</vt:i4>
      </vt:variant>
      <vt:variant>
        <vt:lpwstr>https://www.jobsandskills.gov.au/data/small-area-labour-markets</vt:lpwstr>
      </vt:variant>
      <vt:variant>
        <vt:lpwstr/>
      </vt:variant>
      <vt:variant>
        <vt:i4>1376342</vt:i4>
      </vt:variant>
      <vt:variant>
        <vt:i4>144</vt:i4>
      </vt:variant>
      <vt:variant>
        <vt:i4>0</vt:i4>
      </vt:variant>
      <vt:variant>
        <vt:i4>5</vt:i4>
      </vt:variant>
      <vt:variant>
        <vt:lpwstr>https://www.jobsandskills.gov.au/data/occupation-shortages-analysis/occupation-shortage-list</vt:lpwstr>
      </vt:variant>
      <vt:variant>
        <vt:lpwstr/>
      </vt:variant>
      <vt:variant>
        <vt:i4>589835</vt:i4>
      </vt:variant>
      <vt:variant>
        <vt:i4>141</vt:i4>
      </vt:variant>
      <vt:variant>
        <vt:i4>0</vt:i4>
      </vt:variant>
      <vt:variant>
        <vt:i4>5</vt:i4>
      </vt:variant>
      <vt:variant>
        <vt:lpwstr>https://www.jobsandskills.gov.au/data/recruitment-experiences-and-outlook-survey</vt:lpwstr>
      </vt:variant>
      <vt:variant>
        <vt:lpwstr/>
      </vt:variant>
      <vt:variant>
        <vt:i4>983044</vt:i4>
      </vt:variant>
      <vt:variant>
        <vt:i4>138</vt:i4>
      </vt:variant>
      <vt:variant>
        <vt:i4>0</vt:i4>
      </vt:variant>
      <vt:variant>
        <vt:i4>5</vt:i4>
      </vt:variant>
      <vt:variant>
        <vt:lpwstr>https://www.jobsandskills.gov.au/data/internet-vacancy-index</vt:lpwstr>
      </vt:variant>
      <vt:variant>
        <vt:lpwstr/>
      </vt:variant>
      <vt:variant>
        <vt:i4>5636169</vt:i4>
      </vt:variant>
      <vt:variant>
        <vt:i4>135</vt:i4>
      </vt:variant>
      <vt:variant>
        <vt:i4>0</vt:i4>
      </vt:variant>
      <vt:variant>
        <vt:i4>5</vt:i4>
      </vt:variant>
      <vt:variant>
        <vt:lpwstr>https://www.jobsandskills.gov.au/</vt:lpwstr>
      </vt:variant>
      <vt:variant>
        <vt:lpwstr/>
      </vt:variant>
      <vt:variant>
        <vt:i4>1507378</vt:i4>
      </vt:variant>
      <vt:variant>
        <vt:i4>71</vt:i4>
      </vt:variant>
      <vt:variant>
        <vt:i4>0</vt:i4>
      </vt:variant>
      <vt:variant>
        <vt:i4>5</vt:i4>
      </vt:variant>
      <vt:variant>
        <vt:lpwstr/>
      </vt:variant>
      <vt:variant>
        <vt:lpwstr>_Toc189836964</vt:lpwstr>
      </vt:variant>
      <vt:variant>
        <vt:i4>1507378</vt:i4>
      </vt:variant>
      <vt:variant>
        <vt:i4>65</vt:i4>
      </vt:variant>
      <vt:variant>
        <vt:i4>0</vt:i4>
      </vt:variant>
      <vt:variant>
        <vt:i4>5</vt:i4>
      </vt:variant>
      <vt:variant>
        <vt:lpwstr/>
      </vt:variant>
      <vt:variant>
        <vt:lpwstr>_Toc189836963</vt:lpwstr>
      </vt:variant>
      <vt:variant>
        <vt:i4>1507378</vt:i4>
      </vt:variant>
      <vt:variant>
        <vt:i4>59</vt:i4>
      </vt:variant>
      <vt:variant>
        <vt:i4>0</vt:i4>
      </vt:variant>
      <vt:variant>
        <vt:i4>5</vt:i4>
      </vt:variant>
      <vt:variant>
        <vt:lpwstr/>
      </vt:variant>
      <vt:variant>
        <vt:lpwstr>_Toc189836962</vt:lpwstr>
      </vt:variant>
      <vt:variant>
        <vt:i4>1507378</vt:i4>
      </vt:variant>
      <vt:variant>
        <vt:i4>53</vt:i4>
      </vt:variant>
      <vt:variant>
        <vt:i4>0</vt:i4>
      </vt:variant>
      <vt:variant>
        <vt:i4>5</vt:i4>
      </vt:variant>
      <vt:variant>
        <vt:lpwstr/>
      </vt:variant>
      <vt:variant>
        <vt:lpwstr>_Toc189836961</vt:lpwstr>
      </vt:variant>
      <vt:variant>
        <vt:i4>1507378</vt:i4>
      </vt:variant>
      <vt:variant>
        <vt:i4>47</vt:i4>
      </vt:variant>
      <vt:variant>
        <vt:i4>0</vt:i4>
      </vt:variant>
      <vt:variant>
        <vt:i4>5</vt:i4>
      </vt:variant>
      <vt:variant>
        <vt:lpwstr/>
      </vt:variant>
      <vt:variant>
        <vt:lpwstr>_Toc189836960</vt:lpwstr>
      </vt:variant>
      <vt:variant>
        <vt:i4>1310770</vt:i4>
      </vt:variant>
      <vt:variant>
        <vt:i4>41</vt:i4>
      </vt:variant>
      <vt:variant>
        <vt:i4>0</vt:i4>
      </vt:variant>
      <vt:variant>
        <vt:i4>5</vt:i4>
      </vt:variant>
      <vt:variant>
        <vt:lpwstr/>
      </vt:variant>
      <vt:variant>
        <vt:lpwstr>_Toc189836959</vt:lpwstr>
      </vt:variant>
      <vt:variant>
        <vt:i4>1310770</vt:i4>
      </vt:variant>
      <vt:variant>
        <vt:i4>35</vt:i4>
      </vt:variant>
      <vt:variant>
        <vt:i4>0</vt:i4>
      </vt:variant>
      <vt:variant>
        <vt:i4>5</vt:i4>
      </vt:variant>
      <vt:variant>
        <vt:lpwstr/>
      </vt:variant>
      <vt:variant>
        <vt:lpwstr>_Toc189836958</vt:lpwstr>
      </vt:variant>
      <vt:variant>
        <vt:i4>1310770</vt:i4>
      </vt:variant>
      <vt:variant>
        <vt:i4>29</vt:i4>
      </vt:variant>
      <vt:variant>
        <vt:i4>0</vt:i4>
      </vt:variant>
      <vt:variant>
        <vt:i4>5</vt:i4>
      </vt:variant>
      <vt:variant>
        <vt:lpwstr/>
      </vt:variant>
      <vt:variant>
        <vt:lpwstr>_Toc189836957</vt:lpwstr>
      </vt:variant>
      <vt:variant>
        <vt:i4>1310770</vt:i4>
      </vt:variant>
      <vt:variant>
        <vt:i4>23</vt:i4>
      </vt:variant>
      <vt:variant>
        <vt:i4>0</vt:i4>
      </vt:variant>
      <vt:variant>
        <vt:i4>5</vt:i4>
      </vt:variant>
      <vt:variant>
        <vt:lpwstr/>
      </vt:variant>
      <vt:variant>
        <vt:lpwstr>_Toc189836956</vt:lpwstr>
      </vt:variant>
      <vt:variant>
        <vt:i4>1310770</vt:i4>
      </vt:variant>
      <vt:variant>
        <vt:i4>17</vt:i4>
      </vt:variant>
      <vt:variant>
        <vt:i4>0</vt:i4>
      </vt:variant>
      <vt:variant>
        <vt:i4>5</vt:i4>
      </vt:variant>
      <vt:variant>
        <vt:lpwstr/>
      </vt:variant>
      <vt:variant>
        <vt:lpwstr>_Toc189836955</vt:lpwstr>
      </vt:variant>
      <vt:variant>
        <vt:i4>1310770</vt:i4>
      </vt:variant>
      <vt:variant>
        <vt:i4>11</vt:i4>
      </vt:variant>
      <vt:variant>
        <vt:i4>0</vt:i4>
      </vt:variant>
      <vt:variant>
        <vt:i4>5</vt:i4>
      </vt:variant>
      <vt:variant>
        <vt:lpwstr/>
      </vt:variant>
      <vt:variant>
        <vt:lpwstr>_Toc189836954</vt:lpwstr>
      </vt:variant>
      <vt:variant>
        <vt:i4>1310770</vt:i4>
      </vt:variant>
      <vt:variant>
        <vt:i4>5</vt:i4>
      </vt:variant>
      <vt:variant>
        <vt:i4>0</vt:i4>
      </vt:variant>
      <vt:variant>
        <vt:i4>5</vt:i4>
      </vt:variant>
      <vt:variant>
        <vt:lpwstr/>
      </vt:variant>
      <vt:variant>
        <vt:lpwstr>_Toc189836953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Labour Market Update</dc:title>
  <dc:subject/>
  <dc:creator>Jobs and Skills Australia</dc:creator>
  <cp:keywords/>
  <dc:description/>
  <cp:lastModifiedBy>Roy Soliman</cp:lastModifiedBy>
  <cp:revision>15</cp:revision>
  <cp:lastPrinted>2025-02-25T01:58:00Z</cp:lastPrinted>
  <dcterms:created xsi:type="dcterms:W3CDTF">2025-02-10T04:22:00Z</dcterms:created>
  <dcterms:modified xsi:type="dcterms:W3CDTF">2025-02-25T01:58:00Z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0x01010085B27383F1EAB14AB424D9ABC6742A92</vt:lpwstr>
  </property>
  <property fmtid="{D5CDD505-2E9C-101B-9397-08002B2CF9AE}" pid="3" name="MediaServiceImageTags">
    <vt:lpwstr/>
  </property>
  <property fmtid="{D5CDD505-2E9C-101B-9397-08002B2CF9AE}" pid="4" name="MSIP_Label_79d889eb-932f-4752-8739-64d25806ef64_Enabled">
    <vt:lpwstr>true</vt:lpwstr>
  </property>
  <property fmtid="{D5CDD505-2E9C-101B-9397-08002B2CF9AE}" pid="5" name="MSIP_Label_79d889eb-932f-4752-8739-64d25806ef64_SetDate">
    <vt:lpwstr>2024-12-18T22:26:14Z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ffc2b767-32c1-4b3d-8dd7-6d1f1a1e82a3</vt:lpwstr>
  </property>
  <property fmtid="{D5CDD505-2E9C-101B-9397-08002B2CF9AE}" pid="10" name="MSIP_Label_79d889eb-932f-4752-8739-64d25806ef64_ContentBits">
    <vt:lpwstr>0</vt:lpwstr>
  </property>
</Properties>
</file>