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766605" w14:textId="49ED8A41" w:rsidR="00F71773" w:rsidRDefault="003D25E2" w:rsidP="00D2326B">
      <w:pPr>
        <w:pStyle w:val="BodyText"/>
      </w:pPr>
      <w:bookmarkStart w:id="0" w:name="_Hlk185492887"/>
      <w:r>
        <w:rPr>
          <w:noProof/>
        </w:rPr>
        <w:drawing>
          <wp:anchor distT="0" distB="0" distL="114300" distR="114300" simplePos="0" relativeHeight="251658243" behindDoc="1" locked="0" layoutInCell="1" allowOverlap="1" wp14:anchorId="38DDBACD" wp14:editId="6DD52EFD">
            <wp:simplePos x="0" y="0"/>
            <wp:positionH relativeFrom="page">
              <wp:posOffset>0</wp:posOffset>
            </wp:positionH>
            <wp:positionV relativeFrom="paragraph">
              <wp:posOffset>-818886</wp:posOffset>
            </wp:positionV>
            <wp:extent cx="7724775" cy="10926182"/>
            <wp:effectExtent l="0" t="0" r="0" b="8890"/>
            <wp:wrapNone/>
            <wp:docPr id="51698627" name="Picture 6" descr="A purple and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8627" name="Picture 6" descr="A purple and white squar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775" cy="10926182"/>
                    </a:xfrm>
                    <a:prstGeom prst="rect">
                      <a:avLst/>
                    </a:prstGeom>
                  </pic:spPr>
                </pic:pic>
              </a:graphicData>
            </a:graphic>
            <wp14:sizeRelH relativeFrom="margin">
              <wp14:pctWidth>0</wp14:pctWidth>
            </wp14:sizeRelH>
            <wp14:sizeRelV relativeFrom="margin">
              <wp14:pctHeight>0</wp14:pctHeight>
            </wp14:sizeRelV>
          </wp:anchor>
        </w:drawing>
      </w:r>
    </w:p>
    <w:p w14:paraId="561D00F5" w14:textId="4AF764E5" w:rsidR="00934D95" w:rsidRDefault="007B6FF8" w:rsidP="00934D95">
      <w:pPr>
        <w:pStyle w:val="BodyText"/>
        <w:sectPr w:rsidR="00934D95" w:rsidSect="00934D95">
          <w:footerReference w:type="even" r:id="rId9"/>
          <w:footerReference w:type="default" r:id="rId10"/>
          <w:headerReference w:type="first" r:id="rId11"/>
          <w:footerReference w:type="first" r:id="rId12"/>
          <w:pgSz w:w="11907" w:h="16839" w:code="9"/>
          <w:pgMar w:top="992" w:right="1270" w:bottom="1440" w:left="1270" w:header="720" w:footer="720" w:gutter="0"/>
          <w:cols w:space="720"/>
          <w:titlePg/>
          <w:docGrid w:linePitch="360"/>
        </w:sectPr>
      </w:pPr>
      <w:r>
        <w:rPr>
          <w:noProof/>
        </w:rPr>
        <w:drawing>
          <wp:inline distT="0" distB="0" distL="0" distR="0" wp14:anchorId="6C3508A7" wp14:editId="51F15F49">
            <wp:extent cx="4400550" cy="952500"/>
            <wp:effectExtent l="0" t="0" r="0" b="0"/>
            <wp:docPr id="40889052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890525" name="Graphic 2"/>
                    <pic:cNvPicPr/>
                  </pic:nvPicPr>
                  <pic:blipFill>
                    <a:blip r:embed="rId13">
                      <a:extLst>
                        <a:ext uri="{96DAC541-7B7A-43D3-8B79-37D633B846F1}">
                          <asvg:svgBlip xmlns:asvg="http://schemas.microsoft.com/office/drawing/2016/SVG/main" r:embed="rId14"/>
                        </a:ext>
                      </a:extLst>
                    </a:blip>
                    <a:stretch>
                      <a:fillRect/>
                    </a:stretch>
                  </pic:blipFill>
                  <pic:spPr>
                    <a:xfrm>
                      <a:off x="0" y="0"/>
                      <a:ext cx="4400550" cy="952500"/>
                    </a:xfrm>
                    <a:prstGeom prst="rect">
                      <a:avLst/>
                    </a:prstGeom>
                  </pic:spPr>
                </pic:pic>
              </a:graphicData>
            </a:graphic>
          </wp:inline>
        </w:drawing>
      </w:r>
    </w:p>
    <w:p w14:paraId="7383CC2B" w14:textId="391B611A" w:rsidR="007A050B" w:rsidRPr="007A050B" w:rsidRDefault="007A050B" w:rsidP="007A050B">
      <w:pPr>
        <w:pStyle w:val="BodyText"/>
      </w:pPr>
    </w:p>
    <w:p w14:paraId="31BA9231" w14:textId="77777777" w:rsidR="00934D95" w:rsidRDefault="00934D95" w:rsidP="00934D95">
      <w:pPr>
        <w:pStyle w:val="BodyText"/>
      </w:pPr>
    </w:p>
    <w:p w14:paraId="5D873DD0" w14:textId="4C49EA19" w:rsidR="002F606B" w:rsidRPr="00E60832" w:rsidRDefault="009E1F3C" w:rsidP="002F606B">
      <w:pPr>
        <w:pStyle w:val="Title"/>
      </w:pPr>
      <w:r>
        <w:t>Opportunity and Productivity:</w:t>
      </w:r>
    </w:p>
    <w:p w14:paraId="5C4AD1BF" w14:textId="77777777" w:rsidR="00D96CD1" w:rsidRDefault="003B0611" w:rsidP="00C6648B">
      <w:pPr>
        <w:pStyle w:val="Subtitle"/>
        <w:spacing w:after="100" w:afterAutospacing="1"/>
        <w:rPr>
          <w:b/>
          <w:sz w:val="52"/>
          <w:szCs w:val="52"/>
        </w:rPr>
      </w:pPr>
      <w:r w:rsidRPr="0017142E">
        <w:rPr>
          <w:b/>
          <w:sz w:val="52"/>
          <w:szCs w:val="52"/>
        </w:rPr>
        <w:t>Towards a Tertiary Harmonisation Roadmap</w:t>
      </w:r>
    </w:p>
    <w:p w14:paraId="17D2CFBD" w14:textId="08C72E60" w:rsidR="00184993" w:rsidRPr="00184993" w:rsidRDefault="00184993" w:rsidP="00184993">
      <w:pPr>
        <w:pStyle w:val="BodyText"/>
      </w:pPr>
    </w:p>
    <w:bookmarkEnd w:id="0"/>
    <w:p w14:paraId="083A9BB0" w14:textId="0FE893BA" w:rsidR="00D01FC0" w:rsidRPr="00C24735" w:rsidRDefault="00C24735" w:rsidP="00D01FC0">
      <w:pPr>
        <w:pStyle w:val="BodyText"/>
        <w:rPr>
          <w:b/>
          <w:bCs/>
          <w:color w:val="FFFFFF" w:themeColor="background1"/>
          <w:sz w:val="28"/>
          <w:szCs w:val="24"/>
        </w:rPr>
        <w:sectPr w:rsidR="00D01FC0" w:rsidRPr="00C24735" w:rsidSect="00934D95">
          <w:type w:val="continuous"/>
          <w:pgSz w:w="11907" w:h="16839" w:code="9"/>
          <w:pgMar w:top="1440" w:right="1270" w:bottom="1440" w:left="1270" w:header="720" w:footer="720" w:gutter="0"/>
          <w:cols w:space="720"/>
          <w:titlePg/>
          <w:docGrid w:linePitch="360"/>
        </w:sectPr>
      </w:pPr>
      <w:r w:rsidRPr="00C24735">
        <w:rPr>
          <w:b/>
          <w:bCs/>
          <w:color w:val="FFFFFF" w:themeColor="background1"/>
          <w:sz w:val="28"/>
          <w:szCs w:val="24"/>
        </w:rPr>
        <w:t>22 February 2025</w:t>
      </w:r>
    </w:p>
    <w:p w14:paraId="4B73614A" w14:textId="77777777" w:rsidR="00E74956" w:rsidRPr="00E74956" w:rsidRDefault="00E74956" w:rsidP="00E74956">
      <w:pPr>
        <w:pStyle w:val="Image"/>
      </w:pPr>
      <w:r>
        <w:rPr>
          <w:noProof/>
        </w:rPr>
        <w:lastRenderedPageBreak/>
        <w:drawing>
          <wp:inline distT="0" distB="0" distL="0" distR="0" wp14:anchorId="547DA1B2" wp14:editId="72B0FF9B">
            <wp:extent cx="1227411" cy="429442"/>
            <wp:effectExtent l="0" t="0" r="0" b="8890"/>
            <wp:docPr id="2060890878" name="Picture 1" descr="A grey and black sign with a pers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66255" name="Picture 1" descr="A grey and black sign with a person in a circ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468301F" w14:textId="77777777" w:rsidR="00E74956" w:rsidRPr="00E74956" w:rsidRDefault="00E74956" w:rsidP="00E74956">
      <w:pPr>
        <w:pStyle w:val="BodyText"/>
      </w:pPr>
      <w:r w:rsidRPr="00E74956">
        <w:t>All content is provided under a Creative Commons Attribution 4.0 International Licence with the exception of:</w:t>
      </w:r>
    </w:p>
    <w:p w14:paraId="4C0ADFBD" w14:textId="77777777" w:rsidR="00E74956" w:rsidRPr="00E74956" w:rsidRDefault="00E74956" w:rsidP="00E74956">
      <w:pPr>
        <w:pStyle w:val="ListBullet"/>
      </w:pPr>
      <w:r w:rsidRPr="00E74956">
        <w:t>content supplied by third parties</w:t>
      </w:r>
    </w:p>
    <w:p w14:paraId="583644A1" w14:textId="77777777" w:rsidR="00E74956" w:rsidRPr="00E74956" w:rsidRDefault="00E74956" w:rsidP="00E74956">
      <w:pPr>
        <w:pStyle w:val="ListBullet"/>
      </w:pPr>
      <w:r w:rsidRPr="00E74956">
        <w:t>the Commonwealth Coat of Arms</w:t>
      </w:r>
    </w:p>
    <w:p w14:paraId="34F3AEB4" w14:textId="734A0ECF" w:rsidR="00E74956" w:rsidRPr="00E74956" w:rsidRDefault="00E74956" w:rsidP="00E74956">
      <w:pPr>
        <w:pStyle w:val="ListBullet"/>
      </w:pPr>
      <w:r w:rsidRPr="00E74956">
        <w:t>material protected by a trademark</w:t>
      </w:r>
    </w:p>
    <w:p w14:paraId="0381FD8B" w14:textId="77777777" w:rsidR="00E74956" w:rsidRPr="00E74956" w:rsidRDefault="00E74956" w:rsidP="00E74956">
      <w:pPr>
        <w:pStyle w:val="ListBullet"/>
      </w:pPr>
      <w:r w:rsidRPr="00E74956">
        <w:t>any images and/or photographs.</w:t>
      </w:r>
    </w:p>
    <w:p w14:paraId="2CE88248" w14:textId="77777777" w:rsidR="00E74956" w:rsidRPr="00E74956" w:rsidRDefault="00E74956" w:rsidP="00E74956">
      <w:pPr>
        <w:pStyle w:val="BodyText"/>
      </w:pPr>
      <w:r w:rsidRPr="00E74956">
        <w:t xml:space="preserve">Details of the Creative Commons BY 4.0 licence are available on the </w:t>
      </w:r>
      <w:hyperlink r:id="rId16" w:history="1">
        <w:r w:rsidRPr="00E74956">
          <w:rPr>
            <w:rStyle w:val="Hyperlink"/>
          </w:rPr>
          <w:t>Creative Commons website</w:t>
        </w:r>
      </w:hyperlink>
      <w:r w:rsidRPr="00E74956">
        <w:t>.</w:t>
      </w:r>
    </w:p>
    <w:p w14:paraId="6EDAD441" w14:textId="77777777" w:rsidR="00E74956" w:rsidRPr="00E74956" w:rsidRDefault="00E74956" w:rsidP="00E74956">
      <w:pPr>
        <w:pStyle w:val="BodyText"/>
      </w:pPr>
      <w:r w:rsidRPr="00E74956">
        <w:t>Use of all or part of any material on this website must include the following attribution:</w:t>
      </w:r>
    </w:p>
    <w:p w14:paraId="5C0DA21F" w14:textId="77777777" w:rsidR="00E74956" w:rsidRPr="00E74956" w:rsidRDefault="00E74956" w:rsidP="00E74956">
      <w:pPr>
        <w:pStyle w:val="BodyText"/>
      </w:pPr>
      <w:r w:rsidRPr="00E74956">
        <w:t>© Commonwealth of Australia</w:t>
      </w:r>
    </w:p>
    <w:p w14:paraId="1211574E" w14:textId="77777777" w:rsidR="00E74956" w:rsidRPr="00E74956" w:rsidRDefault="00E74956" w:rsidP="00E74956">
      <w:pPr>
        <w:pStyle w:val="BodyText"/>
      </w:pPr>
      <w:r w:rsidRPr="00E74956">
        <w:t xml:space="preserve">Terms under which the Commonwealth Coat of Arms can be used are set out on the </w:t>
      </w:r>
      <w:hyperlink r:id="rId17" w:history="1">
        <w:r w:rsidRPr="00E74956">
          <w:rPr>
            <w:rStyle w:val="Hyperlink"/>
          </w:rPr>
          <w:t>Department of the Prime Minister and Cabinet website</w:t>
        </w:r>
      </w:hyperlink>
      <w:r w:rsidRPr="00E74956">
        <w:t>.</w:t>
      </w:r>
    </w:p>
    <w:p w14:paraId="3E4F0F39" w14:textId="77777777" w:rsidR="00E74956" w:rsidRPr="00E74956" w:rsidRDefault="00E74956" w:rsidP="00E74956">
      <w:pPr>
        <w:pStyle w:val="BodyText"/>
        <w:rPr>
          <w:rStyle w:val="Characterbold"/>
        </w:rPr>
      </w:pPr>
      <w:r w:rsidRPr="00E74956">
        <w:rPr>
          <w:rStyle w:val="Characterbold"/>
        </w:rPr>
        <w:t>Attribution</w:t>
      </w:r>
    </w:p>
    <w:p w14:paraId="7A07C6E9" w14:textId="77777777" w:rsidR="00E74956" w:rsidRPr="00E74956" w:rsidRDefault="00E74956" w:rsidP="00E74956">
      <w:pPr>
        <w:pStyle w:val="BodyText"/>
        <w:rPr>
          <w:lang w:val="en-US"/>
        </w:rPr>
      </w:pPr>
      <w:r w:rsidRPr="00E74956">
        <w:t>You may link to this website at your full expense and responsibility. In doing so you must not alter any of the website's contents, frame or reformat the files, pages, images, information and materials from this website on any other website. We reserve the right to prevent linking.</w:t>
      </w:r>
    </w:p>
    <w:p w14:paraId="1766C43F" w14:textId="77777777" w:rsidR="00E74956" w:rsidRPr="00E74956" w:rsidRDefault="00E74956" w:rsidP="00E74956">
      <w:pPr>
        <w:pStyle w:val="BodyText"/>
        <w:rPr>
          <w:rStyle w:val="Characterbold"/>
        </w:rPr>
      </w:pPr>
      <w:r w:rsidRPr="00E74956">
        <w:rPr>
          <w:rStyle w:val="Characterbold"/>
        </w:rPr>
        <w:t>Other use</w:t>
      </w:r>
    </w:p>
    <w:p w14:paraId="5C835211" w14:textId="77777777" w:rsidR="00E74956" w:rsidRPr="00E74956" w:rsidRDefault="00E74956" w:rsidP="00E74956">
      <w:pPr>
        <w:pStyle w:val="BodyText"/>
        <w:rPr>
          <w:lang w:val="en-US"/>
        </w:rPr>
      </w:pPr>
      <w:r w:rsidRPr="00E74956">
        <w:t xml:space="preserve">If you want to use material on this website in a way that is beyond the scope of the terms of use that apply to it, ask us for authorisation. You could infringe our copyright if you use anything on this website in a way that is not permitted or otherwise allowed under the </w:t>
      </w:r>
      <w:r w:rsidRPr="00E74956">
        <w:rPr>
          <w:rStyle w:val="Characteritalic"/>
        </w:rPr>
        <w:t>Copyright Act 1968</w:t>
      </w:r>
      <w:r w:rsidRPr="00E74956">
        <w:t xml:space="preserve"> (Cth).</w:t>
      </w:r>
    </w:p>
    <w:p w14:paraId="34F04452" w14:textId="77777777" w:rsidR="00E74956" w:rsidRPr="00E74956" w:rsidRDefault="00E74956" w:rsidP="00E74956">
      <w:pPr>
        <w:pStyle w:val="BodyText"/>
      </w:pPr>
      <w:r w:rsidRPr="00E74956">
        <w:t xml:space="preserve">Please email </w:t>
      </w:r>
      <w:hyperlink r:id="rId18" w:history="1">
        <w:r w:rsidRPr="00E74956">
          <w:rPr>
            <w:rStyle w:val="Hyperlink"/>
          </w:rPr>
          <w:t>copyright@dewr.gov.au</w:t>
        </w:r>
      </w:hyperlink>
      <w:r w:rsidRPr="00E74956">
        <w:t xml:space="preserve"> or address requests and enquiries to:</w:t>
      </w:r>
    </w:p>
    <w:p w14:paraId="0079D815" w14:textId="665590CA" w:rsidR="00AA0C45" w:rsidRDefault="00E74956" w:rsidP="00E74956">
      <w:pPr>
        <w:pStyle w:val="BodyText"/>
      </w:pPr>
      <w:r w:rsidRPr="00E74956">
        <w:t>The Copyright Officer</w:t>
      </w:r>
      <w:r w:rsidRPr="00E74956">
        <w:br/>
        <w:t>Department of Employment and Workplace Relations</w:t>
      </w:r>
      <w:r w:rsidRPr="00E74956">
        <w:br/>
        <w:t>GPO Box 9828 Canberra ACT 2601.</w:t>
      </w:r>
    </w:p>
    <w:p w14:paraId="7BA0895E" w14:textId="77777777" w:rsidR="00AA0C45" w:rsidRDefault="00AA0C45">
      <w:pPr>
        <w:spacing w:before="0" w:after="200" w:line="276" w:lineRule="auto"/>
      </w:pPr>
      <w:r>
        <w:br w:type="page"/>
      </w:r>
    </w:p>
    <w:p w14:paraId="664E596E" w14:textId="2BA75D2D" w:rsidR="00AA0C45" w:rsidRPr="0040756E" w:rsidRDefault="00AA0C45" w:rsidP="00AA0C45">
      <w:pPr>
        <w:pStyle w:val="BodyText"/>
        <w:rPr>
          <w:color w:val="FFFFFF" w:themeColor="background1"/>
        </w:rPr>
      </w:pPr>
      <w:bookmarkStart w:id="1" w:name="_Toc190940919"/>
      <w:bookmarkStart w:id="2" w:name="_Toc190943591"/>
      <w:bookmarkStart w:id="3" w:name="_Toc190946158"/>
      <w:bookmarkStart w:id="4" w:name="_Toc190980584"/>
      <w:bookmarkStart w:id="5" w:name="_Toc190980894"/>
      <w:bookmarkStart w:id="6" w:name="_Toc189060497"/>
      <w:r w:rsidRPr="0040756E">
        <w:rPr>
          <w:color w:val="FFFFFF" w:themeColor="background1"/>
        </w:rPr>
        <w:lastRenderedPageBreak/>
        <w:t>Acknowledgement of Country</w:t>
      </w:r>
    </w:p>
    <w:p w14:paraId="298DB2DE" w14:textId="467C5A77" w:rsidR="00AA0C45" w:rsidRPr="0040756E" w:rsidRDefault="00AA0C45" w:rsidP="00AA0C45">
      <w:pPr>
        <w:pStyle w:val="BodyText"/>
        <w:rPr>
          <w:color w:val="FFFFFF" w:themeColor="background1"/>
          <w:lang w:eastAsia="en-AU"/>
        </w:rPr>
      </w:pPr>
      <w:r w:rsidRPr="0040756E">
        <w:rPr>
          <w:noProof/>
          <w:color w:val="FFFFFF" w:themeColor="background1"/>
        </w:rPr>
        <w:drawing>
          <wp:anchor distT="0" distB="0" distL="114300" distR="114300" simplePos="0" relativeHeight="251658241" behindDoc="0" locked="0" layoutInCell="1" allowOverlap="1" wp14:anchorId="43BD8284" wp14:editId="7E5B5053">
            <wp:simplePos x="0" y="0"/>
            <wp:positionH relativeFrom="page">
              <wp:posOffset>-635</wp:posOffset>
            </wp:positionH>
            <wp:positionV relativeFrom="page">
              <wp:align>top</wp:align>
            </wp:positionV>
            <wp:extent cx="7678800" cy="10677600"/>
            <wp:effectExtent l="0" t="0" r="0" b="0"/>
            <wp:wrapNone/>
            <wp:docPr id="32837149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71490" name="Picture 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78800" cy="1067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56E">
        <w:rPr>
          <w:color w:val="FFFFFF" w:themeColor="background1"/>
          <w:lang w:eastAsia="en-AU"/>
        </w:rPr>
        <w:t>Jobs and Skills Australia acknowledges the Traditional Owners of Country throughout Australia and recognises the continuing connection to lands, waters and communities. We pay our respect to Aboriginal and Torres Strait Islander cultures, and to Elders past and present.</w:t>
      </w:r>
      <w:bookmarkEnd w:id="1"/>
      <w:bookmarkEnd w:id="2"/>
      <w:bookmarkEnd w:id="3"/>
      <w:bookmarkEnd w:id="4"/>
      <w:bookmarkEnd w:id="5"/>
    </w:p>
    <w:p w14:paraId="47378749" w14:textId="1A0AC0A8" w:rsidR="009F3BF7" w:rsidRDefault="007B21CF" w:rsidP="00AA0C45">
      <w:pPr>
        <w:pStyle w:val="BodyText"/>
        <w:rPr>
          <w:lang w:eastAsia="en-AU"/>
        </w:rPr>
      </w:pPr>
      <w:r>
        <w:rPr>
          <w:noProof/>
        </w:rPr>
        <mc:AlternateContent>
          <mc:Choice Requires="wps">
            <w:drawing>
              <wp:anchor distT="0" distB="0" distL="114300" distR="114300" simplePos="0" relativeHeight="251658242" behindDoc="0" locked="0" layoutInCell="1" allowOverlap="1" wp14:anchorId="1CE399A6" wp14:editId="593424D9">
                <wp:simplePos x="0" y="0"/>
                <wp:positionH relativeFrom="margin">
                  <wp:posOffset>511711</wp:posOffset>
                </wp:positionH>
                <wp:positionV relativeFrom="page">
                  <wp:posOffset>1436915</wp:posOffset>
                </wp:positionV>
                <wp:extent cx="4798800" cy="1854000"/>
                <wp:effectExtent l="0" t="0" r="1905" b="0"/>
                <wp:wrapNone/>
                <wp:docPr id="1610001066"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98800" cy="1854000"/>
                        </a:xfrm>
                        <a:prstGeom prst="rect">
                          <a:avLst/>
                        </a:prstGeom>
                        <a:solidFill>
                          <a:srgbClr val="FFFFFF">
                            <a:alpha val="74902"/>
                          </a:srgbClr>
                        </a:solidFill>
                        <a:ln w="6350">
                          <a:noFill/>
                        </a:ln>
                      </wps:spPr>
                      <wps:txbx>
                        <w:txbxContent>
                          <w:p w14:paraId="2ACD9F9B" w14:textId="77777777" w:rsidR="007B21CF" w:rsidRPr="00C97A5C" w:rsidRDefault="007B21CF" w:rsidP="007B21CF">
                            <w:pPr>
                              <w:rPr>
                                <w:b/>
                                <w:bCs/>
                                <w:sz w:val="48"/>
                                <w:szCs w:val="48"/>
                              </w:rPr>
                            </w:pPr>
                            <w:r w:rsidRPr="00C97A5C">
                              <w:rPr>
                                <w:b/>
                                <w:bCs/>
                                <w:sz w:val="48"/>
                                <w:szCs w:val="48"/>
                              </w:rPr>
                              <w:t>Acknowledgement of Country</w:t>
                            </w:r>
                          </w:p>
                          <w:p w14:paraId="2D70CF22" w14:textId="77777777" w:rsidR="007B21CF" w:rsidRPr="00C97A5C" w:rsidRDefault="007B21CF" w:rsidP="007B21CF">
                            <w:r w:rsidRPr="00C97A5C">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wps:txbx>
                      <wps:bodyPr rot="0" spcFirstLastPara="0" vertOverflow="overflow" horzOverflow="overflow" vert="horz" wrap="square" lIns="216000" tIns="216000" rIns="216000" bIns="21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399A6" id="_x0000_t202" coordsize="21600,21600" o:spt="202" path="m,l,21600r21600,l21600,xe">
                <v:stroke joinstyle="miter"/>
                <v:path gradientshapeok="t" o:connecttype="rect"/>
              </v:shapetype>
              <v:shape id="Text Box 1" o:spid="_x0000_s1026" type="#_x0000_t202" alt="&quot;&quot;" style="position:absolute;margin-left:40.3pt;margin-top:113.15pt;width:377.85pt;height:14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" stroked="f" strokeweight=".5pt">
                <v:fill opacity="49087f"/>
                <v:textbox inset="6mm,6mm,6mm,6mm">
                  <w:txbxContent>
                    <w:p w14:paraId="2ACD9F9B" w14:textId="77777777" w:rsidR="007B21CF" w:rsidRPr="00C97A5C" w:rsidRDefault="007B21CF" w:rsidP="007B21CF">
                      <w:pPr>
                        <w:rPr>
                          <w:b/>
                          <w:bCs/>
                          <w:sz w:val="48"/>
                          <w:szCs w:val="48"/>
                        </w:rPr>
                      </w:pPr>
                      <w:r w:rsidRPr="00C97A5C">
                        <w:rPr>
                          <w:b/>
                          <w:bCs/>
                          <w:sz w:val="48"/>
                          <w:szCs w:val="48"/>
                        </w:rPr>
                        <w:t>Acknowledgement of Country</w:t>
                      </w:r>
                    </w:p>
                    <w:p w14:paraId="2D70CF22" w14:textId="77777777" w:rsidR="007B21CF" w:rsidRPr="00C97A5C" w:rsidRDefault="007B21CF" w:rsidP="007B21CF">
                      <w:r w:rsidRPr="00C97A5C">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v:textbox>
                <w10:wrap anchorx="margin" anchory="page"/>
              </v:shape>
            </w:pict>
          </mc:Fallback>
        </mc:AlternateContent>
      </w:r>
      <w:r w:rsidR="009F3BF7">
        <w:br w:type="page"/>
      </w:r>
    </w:p>
    <w:sdt>
      <w:sdtPr>
        <w:rPr>
          <w:rFonts w:eastAsiaTheme="minorEastAsia" w:cstheme="minorBidi"/>
          <w:b w:val="0"/>
          <w:bCs w:val="0"/>
          <w:color w:val="auto"/>
          <w:sz w:val="22"/>
          <w:szCs w:val="22"/>
        </w:rPr>
        <w:id w:val="538699950"/>
        <w:docPartObj>
          <w:docPartGallery w:val="Table of Contents"/>
          <w:docPartUnique/>
        </w:docPartObj>
      </w:sdtPr>
      <w:sdtContent>
        <w:p w14:paraId="76C9D6F1" w14:textId="77777777" w:rsidR="000C2F7B" w:rsidRPr="00C47A0A" w:rsidRDefault="000C2F7B" w:rsidP="000C2F7B">
          <w:pPr>
            <w:pStyle w:val="TOCHeading"/>
          </w:pPr>
          <w:r w:rsidRPr="00C47A0A">
            <w:t>Contents</w:t>
          </w:r>
        </w:p>
        <w:p w14:paraId="62B50CA1" w14:textId="681531CA" w:rsidR="00046877" w:rsidRDefault="000C2F7B">
          <w:pPr>
            <w:pStyle w:val="TOC1"/>
            <w:rPr>
              <w:rFonts w:asciiTheme="minorHAnsi" w:eastAsiaTheme="minorEastAsia" w:hAnsiTheme="minorHAnsi"/>
              <w:b w:val="0"/>
              <w:noProof/>
              <w:color w:val="auto"/>
              <w:kern w:val="2"/>
              <w:sz w:val="24"/>
              <w:szCs w:val="24"/>
              <w:lang w:eastAsia="en-AU"/>
              <w14:ligatures w14:val="standardContextual"/>
            </w:rPr>
          </w:pPr>
          <w:r>
            <w:rPr>
              <w:b w:val="0"/>
            </w:rPr>
            <w:fldChar w:fldCharType="begin"/>
          </w:r>
          <w:r>
            <w:rPr>
              <w:b w:val="0"/>
            </w:rPr>
            <w:instrText xml:space="preserve"> TOC \o "1-2" \h \z \u </w:instrText>
          </w:r>
          <w:r>
            <w:rPr>
              <w:b w:val="0"/>
            </w:rPr>
            <w:fldChar w:fldCharType="separate"/>
          </w:r>
        </w:p>
        <w:p w14:paraId="56B255F4" w14:textId="60CAD926" w:rsidR="00046877" w:rsidRDefault="00046877">
          <w:pPr>
            <w:pStyle w:val="TOC1"/>
            <w:rPr>
              <w:rFonts w:asciiTheme="minorHAnsi" w:eastAsiaTheme="minorEastAsia" w:hAnsiTheme="minorHAnsi"/>
              <w:b w:val="0"/>
              <w:noProof/>
              <w:color w:val="auto"/>
              <w:kern w:val="2"/>
              <w:sz w:val="24"/>
              <w:szCs w:val="24"/>
              <w:lang w:eastAsia="en-AU"/>
              <w14:ligatures w14:val="standardContextual"/>
            </w:rPr>
          </w:pPr>
          <w:hyperlink w:anchor="_Toc190980895" w:history="1">
            <w:r w:rsidRPr="008128DF">
              <w:rPr>
                <w:rStyle w:val="Hyperlink"/>
                <w:noProof/>
              </w:rPr>
              <w:t>Jobs and Skills Australia Commissioner’s foreword</w:t>
            </w:r>
            <w:r>
              <w:rPr>
                <w:noProof/>
                <w:webHidden/>
              </w:rPr>
              <w:tab/>
            </w:r>
            <w:r>
              <w:rPr>
                <w:noProof/>
                <w:webHidden/>
              </w:rPr>
              <w:fldChar w:fldCharType="begin"/>
            </w:r>
            <w:r>
              <w:rPr>
                <w:noProof/>
                <w:webHidden/>
              </w:rPr>
              <w:instrText xml:space="preserve"> PAGEREF _Toc190980895 \h </w:instrText>
            </w:r>
            <w:r>
              <w:rPr>
                <w:noProof/>
                <w:webHidden/>
              </w:rPr>
            </w:r>
            <w:r>
              <w:rPr>
                <w:noProof/>
                <w:webHidden/>
              </w:rPr>
              <w:fldChar w:fldCharType="separate"/>
            </w:r>
            <w:r w:rsidR="004D7389">
              <w:rPr>
                <w:noProof/>
                <w:webHidden/>
              </w:rPr>
              <w:t>6</w:t>
            </w:r>
            <w:r>
              <w:rPr>
                <w:noProof/>
                <w:webHidden/>
              </w:rPr>
              <w:fldChar w:fldCharType="end"/>
            </w:r>
          </w:hyperlink>
        </w:p>
        <w:p w14:paraId="129846D6" w14:textId="5C591074" w:rsidR="00046877" w:rsidRDefault="00046877">
          <w:pPr>
            <w:pStyle w:val="TOC1"/>
            <w:rPr>
              <w:rFonts w:asciiTheme="minorHAnsi" w:eastAsiaTheme="minorEastAsia" w:hAnsiTheme="minorHAnsi"/>
              <w:b w:val="0"/>
              <w:noProof/>
              <w:color w:val="auto"/>
              <w:kern w:val="2"/>
              <w:sz w:val="24"/>
              <w:szCs w:val="24"/>
              <w:lang w:eastAsia="en-AU"/>
              <w14:ligatures w14:val="standardContextual"/>
            </w:rPr>
          </w:pPr>
          <w:hyperlink w:anchor="_Toc190980896" w:history="1">
            <w:r w:rsidRPr="008128DF">
              <w:rPr>
                <w:rStyle w:val="Hyperlink"/>
                <w:noProof/>
              </w:rPr>
              <w:t>Executive summary</w:t>
            </w:r>
            <w:r>
              <w:rPr>
                <w:noProof/>
                <w:webHidden/>
              </w:rPr>
              <w:tab/>
            </w:r>
            <w:r>
              <w:rPr>
                <w:noProof/>
                <w:webHidden/>
              </w:rPr>
              <w:fldChar w:fldCharType="begin"/>
            </w:r>
            <w:r>
              <w:rPr>
                <w:noProof/>
                <w:webHidden/>
              </w:rPr>
              <w:instrText xml:space="preserve"> PAGEREF _Toc190980896 \h </w:instrText>
            </w:r>
            <w:r>
              <w:rPr>
                <w:noProof/>
                <w:webHidden/>
              </w:rPr>
            </w:r>
            <w:r>
              <w:rPr>
                <w:noProof/>
                <w:webHidden/>
              </w:rPr>
              <w:fldChar w:fldCharType="separate"/>
            </w:r>
            <w:r w:rsidR="004D7389">
              <w:rPr>
                <w:noProof/>
                <w:webHidden/>
              </w:rPr>
              <w:t>7</w:t>
            </w:r>
            <w:r>
              <w:rPr>
                <w:noProof/>
                <w:webHidden/>
              </w:rPr>
              <w:fldChar w:fldCharType="end"/>
            </w:r>
          </w:hyperlink>
        </w:p>
        <w:p w14:paraId="76E2475F" w14:textId="2725D168"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897" w:history="1">
            <w:r w:rsidRPr="008128DF">
              <w:rPr>
                <w:rStyle w:val="Hyperlink"/>
                <w:noProof/>
              </w:rPr>
              <w:t>Tertiary Harmonisation</w:t>
            </w:r>
            <w:r>
              <w:rPr>
                <w:noProof/>
                <w:webHidden/>
              </w:rPr>
              <w:tab/>
            </w:r>
            <w:r>
              <w:rPr>
                <w:noProof/>
                <w:webHidden/>
              </w:rPr>
              <w:fldChar w:fldCharType="begin"/>
            </w:r>
            <w:r>
              <w:rPr>
                <w:noProof/>
                <w:webHidden/>
              </w:rPr>
              <w:instrText xml:space="preserve"> PAGEREF _Toc190980897 \h </w:instrText>
            </w:r>
            <w:r>
              <w:rPr>
                <w:noProof/>
                <w:webHidden/>
              </w:rPr>
            </w:r>
            <w:r>
              <w:rPr>
                <w:noProof/>
                <w:webHidden/>
              </w:rPr>
              <w:fldChar w:fldCharType="separate"/>
            </w:r>
            <w:r w:rsidR="004D7389">
              <w:rPr>
                <w:noProof/>
                <w:webHidden/>
              </w:rPr>
              <w:t>2</w:t>
            </w:r>
            <w:r>
              <w:rPr>
                <w:noProof/>
                <w:webHidden/>
              </w:rPr>
              <w:fldChar w:fldCharType="end"/>
            </w:r>
          </w:hyperlink>
        </w:p>
        <w:p w14:paraId="61D8FA3A" w14:textId="403C7C1D"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898" w:history="1">
            <w:r w:rsidRPr="008128DF">
              <w:rPr>
                <w:rStyle w:val="Hyperlink"/>
                <w:bCs/>
                <w:noProof/>
              </w:rPr>
              <w:t>Who, what and why?</w:t>
            </w:r>
            <w:r>
              <w:rPr>
                <w:noProof/>
                <w:webHidden/>
              </w:rPr>
              <w:tab/>
            </w:r>
            <w:r>
              <w:rPr>
                <w:noProof/>
                <w:webHidden/>
              </w:rPr>
              <w:fldChar w:fldCharType="begin"/>
            </w:r>
            <w:r>
              <w:rPr>
                <w:noProof/>
                <w:webHidden/>
              </w:rPr>
              <w:instrText xml:space="preserve"> PAGEREF _Toc190980898 \h </w:instrText>
            </w:r>
            <w:r>
              <w:rPr>
                <w:noProof/>
                <w:webHidden/>
              </w:rPr>
            </w:r>
            <w:r>
              <w:rPr>
                <w:noProof/>
                <w:webHidden/>
              </w:rPr>
              <w:fldChar w:fldCharType="separate"/>
            </w:r>
            <w:r w:rsidR="004D7389">
              <w:rPr>
                <w:noProof/>
                <w:webHidden/>
              </w:rPr>
              <w:t>3</w:t>
            </w:r>
            <w:r>
              <w:rPr>
                <w:noProof/>
                <w:webHidden/>
              </w:rPr>
              <w:fldChar w:fldCharType="end"/>
            </w:r>
          </w:hyperlink>
        </w:p>
        <w:p w14:paraId="5C046081" w14:textId="1593DFCC"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899" w:history="1">
            <w:r w:rsidRPr="008128DF">
              <w:rPr>
                <w:rStyle w:val="Hyperlink"/>
                <w:noProof/>
              </w:rPr>
              <w:t>The elements of tertiary harmonisation</w:t>
            </w:r>
            <w:r>
              <w:rPr>
                <w:noProof/>
                <w:webHidden/>
              </w:rPr>
              <w:tab/>
            </w:r>
            <w:r>
              <w:rPr>
                <w:noProof/>
                <w:webHidden/>
              </w:rPr>
              <w:fldChar w:fldCharType="begin"/>
            </w:r>
            <w:r>
              <w:rPr>
                <w:noProof/>
                <w:webHidden/>
              </w:rPr>
              <w:instrText xml:space="preserve"> PAGEREF _Toc190980899 \h </w:instrText>
            </w:r>
            <w:r>
              <w:rPr>
                <w:noProof/>
                <w:webHidden/>
              </w:rPr>
            </w:r>
            <w:r>
              <w:rPr>
                <w:noProof/>
                <w:webHidden/>
              </w:rPr>
              <w:fldChar w:fldCharType="separate"/>
            </w:r>
            <w:r w:rsidR="004D7389">
              <w:rPr>
                <w:noProof/>
                <w:webHidden/>
              </w:rPr>
              <w:t>4</w:t>
            </w:r>
            <w:r>
              <w:rPr>
                <w:noProof/>
                <w:webHidden/>
              </w:rPr>
              <w:fldChar w:fldCharType="end"/>
            </w:r>
          </w:hyperlink>
        </w:p>
        <w:p w14:paraId="2EF7221C" w14:textId="636EF8D1"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0" w:history="1">
            <w:r w:rsidRPr="008128DF">
              <w:rPr>
                <w:rStyle w:val="Hyperlink"/>
                <w:noProof/>
              </w:rPr>
              <w:t>Summary of recommendations</w:t>
            </w:r>
            <w:r>
              <w:rPr>
                <w:noProof/>
                <w:webHidden/>
              </w:rPr>
              <w:tab/>
            </w:r>
            <w:r>
              <w:rPr>
                <w:noProof/>
                <w:webHidden/>
              </w:rPr>
              <w:fldChar w:fldCharType="begin"/>
            </w:r>
            <w:r>
              <w:rPr>
                <w:noProof/>
                <w:webHidden/>
              </w:rPr>
              <w:instrText xml:space="preserve"> PAGEREF _Toc190980900 \h </w:instrText>
            </w:r>
            <w:r>
              <w:rPr>
                <w:noProof/>
                <w:webHidden/>
              </w:rPr>
            </w:r>
            <w:r>
              <w:rPr>
                <w:noProof/>
                <w:webHidden/>
              </w:rPr>
              <w:fldChar w:fldCharType="separate"/>
            </w:r>
            <w:r w:rsidR="004D7389">
              <w:rPr>
                <w:noProof/>
                <w:webHidden/>
              </w:rPr>
              <w:t>5</w:t>
            </w:r>
            <w:r>
              <w:rPr>
                <w:noProof/>
                <w:webHidden/>
              </w:rPr>
              <w:fldChar w:fldCharType="end"/>
            </w:r>
          </w:hyperlink>
        </w:p>
        <w:p w14:paraId="59E45F91" w14:textId="14BB8F3C" w:rsidR="00046877" w:rsidRDefault="00046877">
          <w:pPr>
            <w:pStyle w:val="TOC1"/>
            <w:rPr>
              <w:rFonts w:asciiTheme="minorHAnsi" w:eastAsiaTheme="minorEastAsia" w:hAnsiTheme="minorHAnsi"/>
              <w:b w:val="0"/>
              <w:noProof/>
              <w:color w:val="auto"/>
              <w:kern w:val="2"/>
              <w:sz w:val="24"/>
              <w:szCs w:val="24"/>
              <w:lang w:eastAsia="en-AU"/>
              <w14:ligatures w14:val="standardContextual"/>
            </w:rPr>
          </w:pPr>
          <w:hyperlink w:anchor="_Toc190980901" w:history="1">
            <w:r w:rsidRPr="008128DF">
              <w:rPr>
                <w:rStyle w:val="Hyperlink"/>
                <w:noProof/>
              </w:rPr>
              <w:t>Chapter 1</w:t>
            </w:r>
            <w:r>
              <w:rPr>
                <w:rFonts w:asciiTheme="minorHAnsi" w:eastAsiaTheme="minorEastAsia" w:hAnsiTheme="minorHAnsi"/>
                <w:b w:val="0"/>
                <w:noProof/>
                <w:color w:val="auto"/>
                <w:kern w:val="2"/>
                <w:sz w:val="24"/>
                <w:szCs w:val="24"/>
                <w:lang w:eastAsia="en-AU"/>
                <w14:ligatures w14:val="standardContextual"/>
              </w:rPr>
              <w:tab/>
            </w:r>
            <w:r w:rsidRPr="008128DF">
              <w:rPr>
                <w:rStyle w:val="Hyperlink"/>
                <w:noProof/>
              </w:rPr>
              <w:t>Background</w:t>
            </w:r>
            <w:r>
              <w:rPr>
                <w:noProof/>
                <w:webHidden/>
              </w:rPr>
              <w:tab/>
            </w:r>
            <w:r>
              <w:rPr>
                <w:noProof/>
                <w:webHidden/>
              </w:rPr>
              <w:fldChar w:fldCharType="begin"/>
            </w:r>
            <w:r>
              <w:rPr>
                <w:noProof/>
                <w:webHidden/>
              </w:rPr>
              <w:instrText xml:space="preserve"> PAGEREF _Toc190980901 \h </w:instrText>
            </w:r>
            <w:r>
              <w:rPr>
                <w:noProof/>
                <w:webHidden/>
              </w:rPr>
            </w:r>
            <w:r>
              <w:rPr>
                <w:noProof/>
                <w:webHidden/>
              </w:rPr>
              <w:fldChar w:fldCharType="separate"/>
            </w:r>
            <w:r w:rsidR="004D7389">
              <w:rPr>
                <w:noProof/>
                <w:webHidden/>
              </w:rPr>
              <w:t>7</w:t>
            </w:r>
            <w:r>
              <w:rPr>
                <w:noProof/>
                <w:webHidden/>
              </w:rPr>
              <w:fldChar w:fldCharType="end"/>
            </w:r>
          </w:hyperlink>
        </w:p>
        <w:p w14:paraId="29331DE3" w14:textId="1AB8E73E"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2" w:history="1">
            <w:r w:rsidRPr="008128DF">
              <w:rPr>
                <w:rStyle w:val="Hyperlink"/>
                <w:noProof/>
              </w:rPr>
              <w:t>1.1</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What is tertiary harmonisation?</w:t>
            </w:r>
            <w:r>
              <w:rPr>
                <w:noProof/>
                <w:webHidden/>
              </w:rPr>
              <w:tab/>
            </w:r>
            <w:r>
              <w:rPr>
                <w:noProof/>
                <w:webHidden/>
              </w:rPr>
              <w:fldChar w:fldCharType="begin"/>
            </w:r>
            <w:r>
              <w:rPr>
                <w:noProof/>
                <w:webHidden/>
              </w:rPr>
              <w:instrText xml:space="preserve"> PAGEREF _Toc190980902 \h </w:instrText>
            </w:r>
            <w:r>
              <w:rPr>
                <w:noProof/>
                <w:webHidden/>
              </w:rPr>
            </w:r>
            <w:r>
              <w:rPr>
                <w:noProof/>
                <w:webHidden/>
              </w:rPr>
              <w:fldChar w:fldCharType="separate"/>
            </w:r>
            <w:r w:rsidR="004D7389">
              <w:rPr>
                <w:noProof/>
                <w:webHidden/>
              </w:rPr>
              <w:t>7</w:t>
            </w:r>
            <w:r>
              <w:rPr>
                <w:noProof/>
                <w:webHidden/>
              </w:rPr>
              <w:fldChar w:fldCharType="end"/>
            </w:r>
          </w:hyperlink>
        </w:p>
        <w:p w14:paraId="290E49A2" w14:textId="0EEEDA39"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3" w:history="1">
            <w:r w:rsidRPr="008128DF">
              <w:rPr>
                <w:rStyle w:val="Hyperlink"/>
                <w:noProof/>
              </w:rPr>
              <w:t>1.2</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The high-level case for a more harmonised system</w:t>
            </w:r>
            <w:r>
              <w:rPr>
                <w:noProof/>
                <w:webHidden/>
              </w:rPr>
              <w:tab/>
            </w:r>
            <w:r>
              <w:rPr>
                <w:noProof/>
                <w:webHidden/>
              </w:rPr>
              <w:fldChar w:fldCharType="begin"/>
            </w:r>
            <w:r>
              <w:rPr>
                <w:noProof/>
                <w:webHidden/>
              </w:rPr>
              <w:instrText xml:space="preserve"> PAGEREF _Toc190980903 \h </w:instrText>
            </w:r>
            <w:r>
              <w:rPr>
                <w:noProof/>
                <w:webHidden/>
              </w:rPr>
            </w:r>
            <w:r>
              <w:rPr>
                <w:noProof/>
                <w:webHidden/>
              </w:rPr>
              <w:fldChar w:fldCharType="separate"/>
            </w:r>
            <w:r w:rsidR="004D7389">
              <w:rPr>
                <w:noProof/>
                <w:webHidden/>
              </w:rPr>
              <w:t>8</w:t>
            </w:r>
            <w:r>
              <w:rPr>
                <w:noProof/>
                <w:webHidden/>
              </w:rPr>
              <w:fldChar w:fldCharType="end"/>
            </w:r>
          </w:hyperlink>
        </w:p>
        <w:p w14:paraId="242BA039" w14:textId="5185B535"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4" w:history="1">
            <w:r w:rsidRPr="008128DF">
              <w:rPr>
                <w:rStyle w:val="Hyperlink"/>
                <w:noProof/>
              </w:rPr>
              <w:t>1.3</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The pressure for Tertiary Harmonisation to meet the needs of students and industry</w:t>
            </w:r>
            <w:r>
              <w:rPr>
                <w:noProof/>
                <w:webHidden/>
              </w:rPr>
              <w:tab/>
            </w:r>
            <w:r>
              <w:rPr>
                <w:noProof/>
                <w:webHidden/>
              </w:rPr>
              <w:fldChar w:fldCharType="begin"/>
            </w:r>
            <w:r>
              <w:rPr>
                <w:noProof/>
                <w:webHidden/>
              </w:rPr>
              <w:instrText xml:space="preserve"> PAGEREF _Toc190980904 \h </w:instrText>
            </w:r>
            <w:r>
              <w:rPr>
                <w:noProof/>
                <w:webHidden/>
              </w:rPr>
            </w:r>
            <w:r>
              <w:rPr>
                <w:noProof/>
                <w:webHidden/>
              </w:rPr>
              <w:fldChar w:fldCharType="separate"/>
            </w:r>
            <w:r w:rsidR="004D7389">
              <w:rPr>
                <w:noProof/>
                <w:webHidden/>
              </w:rPr>
              <w:t>10</w:t>
            </w:r>
            <w:r>
              <w:rPr>
                <w:noProof/>
                <w:webHidden/>
              </w:rPr>
              <w:fldChar w:fldCharType="end"/>
            </w:r>
          </w:hyperlink>
        </w:p>
        <w:p w14:paraId="38AE726A" w14:textId="4DE0296C"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5" w:history="1">
            <w:r w:rsidRPr="008128DF">
              <w:rPr>
                <w:rStyle w:val="Hyperlink"/>
                <w:noProof/>
              </w:rPr>
              <w:t>1.4</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The current disjointedness</w:t>
            </w:r>
            <w:r>
              <w:rPr>
                <w:noProof/>
                <w:webHidden/>
              </w:rPr>
              <w:tab/>
            </w:r>
            <w:r>
              <w:rPr>
                <w:noProof/>
                <w:webHidden/>
              </w:rPr>
              <w:fldChar w:fldCharType="begin"/>
            </w:r>
            <w:r>
              <w:rPr>
                <w:noProof/>
                <w:webHidden/>
              </w:rPr>
              <w:instrText xml:space="preserve"> PAGEREF _Toc190980905 \h </w:instrText>
            </w:r>
            <w:r>
              <w:rPr>
                <w:noProof/>
                <w:webHidden/>
              </w:rPr>
            </w:r>
            <w:r>
              <w:rPr>
                <w:noProof/>
                <w:webHidden/>
              </w:rPr>
              <w:fldChar w:fldCharType="separate"/>
            </w:r>
            <w:r w:rsidR="004D7389">
              <w:rPr>
                <w:noProof/>
                <w:webHidden/>
              </w:rPr>
              <w:t>11</w:t>
            </w:r>
            <w:r>
              <w:rPr>
                <w:noProof/>
                <w:webHidden/>
              </w:rPr>
              <w:fldChar w:fldCharType="end"/>
            </w:r>
          </w:hyperlink>
        </w:p>
        <w:p w14:paraId="17681FD5" w14:textId="7DC9E57C" w:rsidR="00046877" w:rsidRDefault="00046877">
          <w:pPr>
            <w:pStyle w:val="TOC1"/>
            <w:rPr>
              <w:rFonts w:asciiTheme="minorHAnsi" w:eastAsiaTheme="minorEastAsia" w:hAnsiTheme="minorHAnsi"/>
              <w:b w:val="0"/>
              <w:noProof/>
              <w:color w:val="auto"/>
              <w:kern w:val="2"/>
              <w:sz w:val="24"/>
              <w:szCs w:val="24"/>
              <w:lang w:eastAsia="en-AU"/>
              <w14:ligatures w14:val="standardContextual"/>
            </w:rPr>
          </w:pPr>
          <w:hyperlink w:anchor="_Toc190980906" w:history="1">
            <w:r w:rsidRPr="008128DF">
              <w:rPr>
                <w:rStyle w:val="Hyperlink"/>
                <w:noProof/>
              </w:rPr>
              <w:t>Chapter 2</w:t>
            </w:r>
            <w:r>
              <w:rPr>
                <w:rFonts w:asciiTheme="minorHAnsi" w:eastAsiaTheme="minorEastAsia" w:hAnsiTheme="minorHAnsi"/>
                <w:b w:val="0"/>
                <w:noProof/>
                <w:color w:val="auto"/>
                <w:kern w:val="2"/>
                <w:sz w:val="24"/>
                <w:szCs w:val="24"/>
                <w:lang w:eastAsia="en-AU"/>
                <w14:ligatures w14:val="standardContextual"/>
              </w:rPr>
              <w:tab/>
            </w:r>
            <w:r w:rsidRPr="008128DF">
              <w:rPr>
                <w:rStyle w:val="Hyperlink"/>
                <w:noProof/>
              </w:rPr>
              <w:t>Tertiary harmonisation – the who, what, and why</w:t>
            </w:r>
            <w:r>
              <w:rPr>
                <w:noProof/>
                <w:webHidden/>
              </w:rPr>
              <w:tab/>
            </w:r>
            <w:r>
              <w:rPr>
                <w:noProof/>
                <w:webHidden/>
              </w:rPr>
              <w:fldChar w:fldCharType="begin"/>
            </w:r>
            <w:r>
              <w:rPr>
                <w:noProof/>
                <w:webHidden/>
              </w:rPr>
              <w:instrText xml:space="preserve"> PAGEREF _Toc190980906 \h </w:instrText>
            </w:r>
            <w:r>
              <w:rPr>
                <w:noProof/>
                <w:webHidden/>
              </w:rPr>
            </w:r>
            <w:r>
              <w:rPr>
                <w:noProof/>
                <w:webHidden/>
              </w:rPr>
              <w:fldChar w:fldCharType="separate"/>
            </w:r>
            <w:r w:rsidR="004D7389">
              <w:rPr>
                <w:noProof/>
                <w:webHidden/>
              </w:rPr>
              <w:t>17</w:t>
            </w:r>
            <w:r>
              <w:rPr>
                <w:noProof/>
                <w:webHidden/>
              </w:rPr>
              <w:fldChar w:fldCharType="end"/>
            </w:r>
          </w:hyperlink>
        </w:p>
        <w:p w14:paraId="1099E142" w14:textId="52AAD257"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7" w:history="1">
            <w:r w:rsidRPr="008128DF">
              <w:rPr>
                <w:rStyle w:val="Hyperlink"/>
                <w:noProof/>
              </w:rPr>
              <w:t>2.1</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Tertiary harmonisation system actors</w:t>
            </w:r>
            <w:r>
              <w:rPr>
                <w:noProof/>
                <w:webHidden/>
              </w:rPr>
              <w:tab/>
            </w:r>
            <w:r>
              <w:rPr>
                <w:noProof/>
                <w:webHidden/>
              </w:rPr>
              <w:fldChar w:fldCharType="begin"/>
            </w:r>
            <w:r>
              <w:rPr>
                <w:noProof/>
                <w:webHidden/>
              </w:rPr>
              <w:instrText xml:space="preserve"> PAGEREF _Toc190980907 \h </w:instrText>
            </w:r>
            <w:r>
              <w:rPr>
                <w:noProof/>
                <w:webHidden/>
              </w:rPr>
            </w:r>
            <w:r>
              <w:rPr>
                <w:noProof/>
                <w:webHidden/>
              </w:rPr>
              <w:fldChar w:fldCharType="separate"/>
            </w:r>
            <w:r w:rsidR="004D7389">
              <w:rPr>
                <w:noProof/>
                <w:webHidden/>
              </w:rPr>
              <w:t>17</w:t>
            </w:r>
            <w:r>
              <w:rPr>
                <w:noProof/>
                <w:webHidden/>
              </w:rPr>
              <w:fldChar w:fldCharType="end"/>
            </w:r>
          </w:hyperlink>
        </w:p>
        <w:p w14:paraId="7A636143" w14:textId="001DCC0B"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8" w:history="1">
            <w:r w:rsidRPr="008128DF">
              <w:rPr>
                <w:rStyle w:val="Hyperlink"/>
                <w:noProof/>
              </w:rPr>
              <w:t>2.2</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System architecture</w:t>
            </w:r>
            <w:r>
              <w:rPr>
                <w:noProof/>
                <w:webHidden/>
              </w:rPr>
              <w:tab/>
            </w:r>
            <w:r>
              <w:rPr>
                <w:noProof/>
                <w:webHidden/>
              </w:rPr>
              <w:fldChar w:fldCharType="begin"/>
            </w:r>
            <w:r>
              <w:rPr>
                <w:noProof/>
                <w:webHidden/>
              </w:rPr>
              <w:instrText xml:space="preserve"> PAGEREF _Toc190980908 \h </w:instrText>
            </w:r>
            <w:r>
              <w:rPr>
                <w:noProof/>
                <w:webHidden/>
              </w:rPr>
            </w:r>
            <w:r>
              <w:rPr>
                <w:noProof/>
                <w:webHidden/>
              </w:rPr>
              <w:fldChar w:fldCharType="separate"/>
            </w:r>
            <w:r w:rsidR="004D7389">
              <w:rPr>
                <w:noProof/>
                <w:webHidden/>
              </w:rPr>
              <w:t>22</w:t>
            </w:r>
            <w:r>
              <w:rPr>
                <w:noProof/>
                <w:webHidden/>
              </w:rPr>
              <w:fldChar w:fldCharType="end"/>
            </w:r>
          </w:hyperlink>
        </w:p>
        <w:p w14:paraId="519741B2" w14:textId="5D809E20"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09" w:history="1">
            <w:r w:rsidRPr="008128DF">
              <w:rPr>
                <w:rStyle w:val="Hyperlink"/>
                <w:noProof/>
              </w:rPr>
              <w:t>2.3</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Benefits of Tertiary Harmonisation</w:t>
            </w:r>
            <w:r>
              <w:rPr>
                <w:noProof/>
                <w:webHidden/>
              </w:rPr>
              <w:tab/>
            </w:r>
            <w:r>
              <w:rPr>
                <w:noProof/>
                <w:webHidden/>
              </w:rPr>
              <w:fldChar w:fldCharType="begin"/>
            </w:r>
            <w:r>
              <w:rPr>
                <w:noProof/>
                <w:webHidden/>
              </w:rPr>
              <w:instrText xml:space="preserve"> PAGEREF _Toc190980909 \h </w:instrText>
            </w:r>
            <w:r>
              <w:rPr>
                <w:noProof/>
                <w:webHidden/>
              </w:rPr>
            </w:r>
            <w:r>
              <w:rPr>
                <w:noProof/>
                <w:webHidden/>
              </w:rPr>
              <w:fldChar w:fldCharType="separate"/>
            </w:r>
            <w:r w:rsidR="004D7389">
              <w:rPr>
                <w:noProof/>
                <w:webHidden/>
              </w:rPr>
              <w:t>25</w:t>
            </w:r>
            <w:r>
              <w:rPr>
                <w:noProof/>
                <w:webHidden/>
              </w:rPr>
              <w:fldChar w:fldCharType="end"/>
            </w:r>
          </w:hyperlink>
        </w:p>
        <w:p w14:paraId="32C03B55" w14:textId="5383C177" w:rsidR="00046877" w:rsidRDefault="00046877">
          <w:pPr>
            <w:pStyle w:val="TOC1"/>
            <w:rPr>
              <w:rFonts w:asciiTheme="minorHAnsi" w:eastAsiaTheme="minorEastAsia" w:hAnsiTheme="minorHAnsi"/>
              <w:b w:val="0"/>
              <w:noProof/>
              <w:color w:val="auto"/>
              <w:kern w:val="2"/>
              <w:sz w:val="24"/>
              <w:szCs w:val="24"/>
              <w:lang w:eastAsia="en-AU"/>
              <w14:ligatures w14:val="standardContextual"/>
            </w:rPr>
          </w:pPr>
          <w:hyperlink w:anchor="_Toc190980910" w:history="1">
            <w:r w:rsidRPr="008128DF">
              <w:rPr>
                <w:rStyle w:val="Hyperlink"/>
                <w:noProof/>
              </w:rPr>
              <w:t>Chapter 3</w:t>
            </w:r>
            <w:r>
              <w:rPr>
                <w:rFonts w:asciiTheme="minorHAnsi" w:eastAsiaTheme="minorEastAsia" w:hAnsiTheme="minorHAnsi"/>
                <w:b w:val="0"/>
                <w:noProof/>
                <w:color w:val="auto"/>
                <w:kern w:val="2"/>
                <w:sz w:val="24"/>
                <w:szCs w:val="24"/>
                <w:lang w:eastAsia="en-AU"/>
                <w14:ligatures w14:val="standardContextual"/>
              </w:rPr>
              <w:tab/>
            </w:r>
            <w:r w:rsidRPr="008128DF">
              <w:rPr>
                <w:rStyle w:val="Hyperlink"/>
                <w:noProof/>
              </w:rPr>
              <w:t>The Elements of Tertiary Harmonisation</w:t>
            </w:r>
            <w:r>
              <w:rPr>
                <w:noProof/>
                <w:webHidden/>
              </w:rPr>
              <w:tab/>
            </w:r>
            <w:r>
              <w:rPr>
                <w:noProof/>
                <w:webHidden/>
              </w:rPr>
              <w:fldChar w:fldCharType="begin"/>
            </w:r>
            <w:r>
              <w:rPr>
                <w:noProof/>
                <w:webHidden/>
              </w:rPr>
              <w:instrText xml:space="preserve"> PAGEREF _Toc190980910 \h </w:instrText>
            </w:r>
            <w:r>
              <w:rPr>
                <w:noProof/>
                <w:webHidden/>
              </w:rPr>
            </w:r>
            <w:r>
              <w:rPr>
                <w:noProof/>
                <w:webHidden/>
              </w:rPr>
              <w:fldChar w:fldCharType="separate"/>
            </w:r>
            <w:r w:rsidR="004D7389">
              <w:rPr>
                <w:noProof/>
                <w:webHidden/>
              </w:rPr>
              <w:t>37</w:t>
            </w:r>
            <w:r>
              <w:rPr>
                <w:noProof/>
                <w:webHidden/>
              </w:rPr>
              <w:fldChar w:fldCharType="end"/>
            </w:r>
          </w:hyperlink>
        </w:p>
        <w:p w14:paraId="13B0F46A" w14:textId="5ABCB919"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11" w:history="1">
            <w:r w:rsidRPr="008128DF">
              <w:rPr>
                <w:rStyle w:val="Hyperlink"/>
                <w:noProof/>
              </w:rPr>
              <w:t>3.1</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Pillars and elements of the tertiary harmonisation framework</w:t>
            </w:r>
            <w:r>
              <w:rPr>
                <w:noProof/>
                <w:webHidden/>
              </w:rPr>
              <w:tab/>
            </w:r>
            <w:r>
              <w:rPr>
                <w:noProof/>
                <w:webHidden/>
              </w:rPr>
              <w:fldChar w:fldCharType="begin"/>
            </w:r>
            <w:r>
              <w:rPr>
                <w:noProof/>
                <w:webHidden/>
              </w:rPr>
              <w:instrText xml:space="preserve"> PAGEREF _Toc190980911 \h </w:instrText>
            </w:r>
            <w:r>
              <w:rPr>
                <w:noProof/>
                <w:webHidden/>
              </w:rPr>
            </w:r>
            <w:r>
              <w:rPr>
                <w:noProof/>
                <w:webHidden/>
              </w:rPr>
              <w:fldChar w:fldCharType="separate"/>
            </w:r>
            <w:r w:rsidR="004D7389">
              <w:rPr>
                <w:noProof/>
                <w:webHidden/>
              </w:rPr>
              <w:t>38</w:t>
            </w:r>
            <w:r>
              <w:rPr>
                <w:noProof/>
                <w:webHidden/>
              </w:rPr>
              <w:fldChar w:fldCharType="end"/>
            </w:r>
          </w:hyperlink>
        </w:p>
        <w:p w14:paraId="069D3365" w14:textId="00FF8E92"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12" w:history="1">
            <w:r w:rsidRPr="008128DF">
              <w:rPr>
                <w:rStyle w:val="Hyperlink"/>
                <w:noProof/>
              </w:rPr>
              <w:t>3.2</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Elements of Pillar 1: Key Players: roles and relationships</w:t>
            </w:r>
            <w:r>
              <w:rPr>
                <w:noProof/>
                <w:webHidden/>
              </w:rPr>
              <w:tab/>
            </w:r>
            <w:r>
              <w:rPr>
                <w:noProof/>
                <w:webHidden/>
              </w:rPr>
              <w:fldChar w:fldCharType="begin"/>
            </w:r>
            <w:r>
              <w:rPr>
                <w:noProof/>
                <w:webHidden/>
              </w:rPr>
              <w:instrText xml:space="preserve"> PAGEREF _Toc190980912 \h </w:instrText>
            </w:r>
            <w:r>
              <w:rPr>
                <w:noProof/>
                <w:webHidden/>
              </w:rPr>
            </w:r>
            <w:r>
              <w:rPr>
                <w:noProof/>
                <w:webHidden/>
              </w:rPr>
              <w:fldChar w:fldCharType="separate"/>
            </w:r>
            <w:r w:rsidR="004D7389">
              <w:rPr>
                <w:noProof/>
                <w:webHidden/>
              </w:rPr>
              <w:t>38</w:t>
            </w:r>
            <w:r>
              <w:rPr>
                <w:noProof/>
                <w:webHidden/>
              </w:rPr>
              <w:fldChar w:fldCharType="end"/>
            </w:r>
          </w:hyperlink>
        </w:p>
        <w:p w14:paraId="57C95599" w14:textId="014CC2CD"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13" w:history="1">
            <w:r w:rsidRPr="008128DF">
              <w:rPr>
                <w:rStyle w:val="Hyperlink"/>
                <w:noProof/>
              </w:rPr>
              <w:t>3.3</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Elements of Pillar 2: Knowledge, skills and qualifications: architecture and perceptions</w:t>
            </w:r>
            <w:r>
              <w:rPr>
                <w:noProof/>
                <w:webHidden/>
              </w:rPr>
              <w:tab/>
            </w:r>
            <w:r>
              <w:rPr>
                <w:noProof/>
                <w:webHidden/>
              </w:rPr>
              <w:fldChar w:fldCharType="begin"/>
            </w:r>
            <w:r>
              <w:rPr>
                <w:noProof/>
                <w:webHidden/>
              </w:rPr>
              <w:instrText xml:space="preserve"> PAGEREF _Toc190980913 \h </w:instrText>
            </w:r>
            <w:r>
              <w:rPr>
                <w:noProof/>
                <w:webHidden/>
              </w:rPr>
            </w:r>
            <w:r>
              <w:rPr>
                <w:noProof/>
                <w:webHidden/>
              </w:rPr>
              <w:fldChar w:fldCharType="separate"/>
            </w:r>
            <w:r w:rsidR="004D7389">
              <w:rPr>
                <w:noProof/>
                <w:webHidden/>
              </w:rPr>
              <w:t>40</w:t>
            </w:r>
            <w:r>
              <w:rPr>
                <w:noProof/>
                <w:webHidden/>
              </w:rPr>
              <w:fldChar w:fldCharType="end"/>
            </w:r>
          </w:hyperlink>
        </w:p>
        <w:p w14:paraId="61E5B95A" w14:textId="58662353"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14" w:history="1">
            <w:r w:rsidRPr="008128DF">
              <w:rPr>
                <w:rStyle w:val="Hyperlink"/>
                <w:noProof/>
              </w:rPr>
              <w:t>3.4</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Elements of Pillar 3: Legislative, regulatory financial and data architecture</w:t>
            </w:r>
            <w:r>
              <w:rPr>
                <w:noProof/>
                <w:webHidden/>
              </w:rPr>
              <w:tab/>
            </w:r>
            <w:r>
              <w:rPr>
                <w:noProof/>
                <w:webHidden/>
              </w:rPr>
              <w:fldChar w:fldCharType="begin"/>
            </w:r>
            <w:r>
              <w:rPr>
                <w:noProof/>
                <w:webHidden/>
              </w:rPr>
              <w:instrText xml:space="preserve"> PAGEREF _Toc190980914 \h </w:instrText>
            </w:r>
            <w:r>
              <w:rPr>
                <w:noProof/>
                <w:webHidden/>
              </w:rPr>
            </w:r>
            <w:r>
              <w:rPr>
                <w:noProof/>
                <w:webHidden/>
              </w:rPr>
              <w:fldChar w:fldCharType="separate"/>
            </w:r>
            <w:r w:rsidR="004D7389">
              <w:rPr>
                <w:noProof/>
                <w:webHidden/>
              </w:rPr>
              <w:t>42</w:t>
            </w:r>
            <w:r>
              <w:rPr>
                <w:noProof/>
                <w:webHidden/>
              </w:rPr>
              <w:fldChar w:fldCharType="end"/>
            </w:r>
          </w:hyperlink>
        </w:p>
        <w:p w14:paraId="4504ABAE" w14:textId="2088EA39" w:rsidR="00046877" w:rsidRDefault="00046877">
          <w:pPr>
            <w:pStyle w:val="TOC1"/>
            <w:rPr>
              <w:rFonts w:asciiTheme="minorHAnsi" w:eastAsiaTheme="minorEastAsia" w:hAnsiTheme="minorHAnsi"/>
              <w:b w:val="0"/>
              <w:noProof/>
              <w:color w:val="auto"/>
              <w:kern w:val="2"/>
              <w:sz w:val="24"/>
              <w:szCs w:val="24"/>
              <w:lang w:eastAsia="en-AU"/>
              <w14:ligatures w14:val="standardContextual"/>
            </w:rPr>
          </w:pPr>
          <w:hyperlink w:anchor="_Toc190980915" w:history="1">
            <w:r w:rsidRPr="008128DF">
              <w:rPr>
                <w:rStyle w:val="Hyperlink"/>
                <w:noProof/>
              </w:rPr>
              <w:t>Chapter 4</w:t>
            </w:r>
            <w:r>
              <w:rPr>
                <w:rFonts w:asciiTheme="minorHAnsi" w:eastAsiaTheme="minorEastAsia" w:hAnsiTheme="minorHAnsi"/>
                <w:b w:val="0"/>
                <w:noProof/>
                <w:color w:val="auto"/>
                <w:kern w:val="2"/>
                <w:sz w:val="24"/>
                <w:szCs w:val="24"/>
                <w:lang w:eastAsia="en-AU"/>
                <w14:ligatures w14:val="standardContextual"/>
              </w:rPr>
              <w:tab/>
            </w:r>
            <w:r w:rsidRPr="008128DF">
              <w:rPr>
                <w:rStyle w:val="Hyperlink"/>
                <w:noProof/>
              </w:rPr>
              <w:t>A pathway to harmonisation – concluding remarks and recommendations</w:t>
            </w:r>
            <w:r>
              <w:rPr>
                <w:noProof/>
                <w:webHidden/>
              </w:rPr>
              <w:tab/>
            </w:r>
            <w:r>
              <w:rPr>
                <w:noProof/>
                <w:webHidden/>
              </w:rPr>
              <w:fldChar w:fldCharType="begin"/>
            </w:r>
            <w:r>
              <w:rPr>
                <w:noProof/>
                <w:webHidden/>
              </w:rPr>
              <w:instrText xml:space="preserve"> PAGEREF _Toc190980915 \h </w:instrText>
            </w:r>
            <w:r>
              <w:rPr>
                <w:noProof/>
                <w:webHidden/>
              </w:rPr>
            </w:r>
            <w:r>
              <w:rPr>
                <w:noProof/>
                <w:webHidden/>
              </w:rPr>
              <w:fldChar w:fldCharType="separate"/>
            </w:r>
            <w:r w:rsidR="004D7389">
              <w:rPr>
                <w:noProof/>
                <w:webHidden/>
              </w:rPr>
              <w:t>44</w:t>
            </w:r>
            <w:r>
              <w:rPr>
                <w:noProof/>
                <w:webHidden/>
              </w:rPr>
              <w:fldChar w:fldCharType="end"/>
            </w:r>
          </w:hyperlink>
        </w:p>
        <w:p w14:paraId="5F3B00F6" w14:textId="5437A395"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16" w:history="1">
            <w:r w:rsidRPr="008128DF">
              <w:rPr>
                <w:rStyle w:val="Hyperlink"/>
                <w:noProof/>
              </w:rPr>
              <w:t>4.1</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The path to harmonisation</w:t>
            </w:r>
            <w:r>
              <w:rPr>
                <w:noProof/>
                <w:webHidden/>
              </w:rPr>
              <w:tab/>
            </w:r>
            <w:r>
              <w:rPr>
                <w:noProof/>
                <w:webHidden/>
              </w:rPr>
              <w:fldChar w:fldCharType="begin"/>
            </w:r>
            <w:r>
              <w:rPr>
                <w:noProof/>
                <w:webHidden/>
              </w:rPr>
              <w:instrText xml:space="preserve"> PAGEREF _Toc190980916 \h </w:instrText>
            </w:r>
            <w:r>
              <w:rPr>
                <w:noProof/>
                <w:webHidden/>
              </w:rPr>
            </w:r>
            <w:r>
              <w:rPr>
                <w:noProof/>
                <w:webHidden/>
              </w:rPr>
              <w:fldChar w:fldCharType="separate"/>
            </w:r>
            <w:r w:rsidR="004D7389">
              <w:rPr>
                <w:noProof/>
                <w:webHidden/>
              </w:rPr>
              <w:t>44</w:t>
            </w:r>
            <w:r>
              <w:rPr>
                <w:noProof/>
                <w:webHidden/>
              </w:rPr>
              <w:fldChar w:fldCharType="end"/>
            </w:r>
          </w:hyperlink>
        </w:p>
        <w:p w14:paraId="75A0B388" w14:textId="0298AE25"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17" w:history="1">
            <w:r w:rsidRPr="008128DF">
              <w:rPr>
                <w:rStyle w:val="Hyperlink"/>
                <w:noProof/>
              </w:rPr>
              <w:t>4.2</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Tertiary Harmonisation Roadmap</w:t>
            </w:r>
            <w:r>
              <w:rPr>
                <w:noProof/>
                <w:webHidden/>
              </w:rPr>
              <w:tab/>
            </w:r>
            <w:r>
              <w:rPr>
                <w:noProof/>
                <w:webHidden/>
              </w:rPr>
              <w:fldChar w:fldCharType="begin"/>
            </w:r>
            <w:r>
              <w:rPr>
                <w:noProof/>
                <w:webHidden/>
              </w:rPr>
              <w:instrText xml:space="preserve"> PAGEREF _Toc190980917 \h </w:instrText>
            </w:r>
            <w:r>
              <w:rPr>
                <w:noProof/>
                <w:webHidden/>
              </w:rPr>
            </w:r>
            <w:r>
              <w:rPr>
                <w:noProof/>
                <w:webHidden/>
              </w:rPr>
              <w:fldChar w:fldCharType="separate"/>
            </w:r>
            <w:r w:rsidR="004D7389">
              <w:rPr>
                <w:noProof/>
                <w:webHidden/>
              </w:rPr>
              <w:t>45</w:t>
            </w:r>
            <w:r>
              <w:rPr>
                <w:noProof/>
                <w:webHidden/>
              </w:rPr>
              <w:fldChar w:fldCharType="end"/>
            </w:r>
          </w:hyperlink>
        </w:p>
        <w:p w14:paraId="31146444" w14:textId="3AB728E8"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18" w:history="1">
            <w:r w:rsidRPr="008128DF">
              <w:rPr>
                <w:rStyle w:val="Hyperlink"/>
                <w:noProof/>
              </w:rPr>
              <w:t>4.3</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Concluding remarks</w:t>
            </w:r>
            <w:r>
              <w:rPr>
                <w:noProof/>
                <w:webHidden/>
              </w:rPr>
              <w:tab/>
            </w:r>
            <w:r>
              <w:rPr>
                <w:noProof/>
                <w:webHidden/>
              </w:rPr>
              <w:fldChar w:fldCharType="begin"/>
            </w:r>
            <w:r>
              <w:rPr>
                <w:noProof/>
                <w:webHidden/>
              </w:rPr>
              <w:instrText xml:space="preserve"> PAGEREF _Toc190980918 \h </w:instrText>
            </w:r>
            <w:r>
              <w:rPr>
                <w:noProof/>
                <w:webHidden/>
              </w:rPr>
            </w:r>
            <w:r>
              <w:rPr>
                <w:noProof/>
                <w:webHidden/>
              </w:rPr>
              <w:fldChar w:fldCharType="separate"/>
            </w:r>
            <w:r w:rsidR="004D7389">
              <w:rPr>
                <w:noProof/>
                <w:webHidden/>
              </w:rPr>
              <w:t>52</w:t>
            </w:r>
            <w:r>
              <w:rPr>
                <w:noProof/>
                <w:webHidden/>
              </w:rPr>
              <w:fldChar w:fldCharType="end"/>
            </w:r>
          </w:hyperlink>
        </w:p>
        <w:p w14:paraId="765741EB" w14:textId="38059AFA" w:rsidR="00046877" w:rsidRDefault="00046877">
          <w:pPr>
            <w:pStyle w:val="TOC1"/>
            <w:tabs>
              <w:tab w:val="left" w:pos="1680"/>
            </w:tabs>
            <w:rPr>
              <w:rFonts w:asciiTheme="minorHAnsi" w:eastAsiaTheme="minorEastAsia" w:hAnsiTheme="minorHAnsi"/>
              <w:b w:val="0"/>
              <w:noProof/>
              <w:color w:val="auto"/>
              <w:kern w:val="2"/>
              <w:sz w:val="24"/>
              <w:szCs w:val="24"/>
              <w:lang w:eastAsia="en-AU"/>
              <w14:ligatures w14:val="standardContextual"/>
            </w:rPr>
          </w:pPr>
          <w:hyperlink w:anchor="_Toc190980919" w:history="1">
            <w:r w:rsidRPr="008128DF">
              <w:rPr>
                <w:rStyle w:val="Hyperlink"/>
                <w:noProof/>
              </w:rPr>
              <w:t>Appendix A</w:t>
            </w:r>
            <w:r>
              <w:rPr>
                <w:rFonts w:asciiTheme="minorHAnsi" w:eastAsiaTheme="minorEastAsia" w:hAnsiTheme="minorHAnsi"/>
                <w:b w:val="0"/>
                <w:noProof/>
                <w:color w:val="auto"/>
                <w:kern w:val="2"/>
                <w:sz w:val="24"/>
                <w:szCs w:val="24"/>
                <w:lang w:eastAsia="en-AU"/>
                <w14:ligatures w14:val="standardContextual"/>
              </w:rPr>
              <w:tab/>
            </w:r>
            <w:r w:rsidRPr="008128DF">
              <w:rPr>
                <w:rStyle w:val="Hyperlink"/>
                <w:noProof/>
              </w:rPr>
              <w:t>JSA tertiary harmonisation roundtable consultations</w:t>
            </w:r>
            <w:r>
              <w:rPr>
                <w:noProof/>
                <w:webHidden/>
              </w:rPr>
              <w:tab/>
            </w:r>
            <w:r>
              <w:rPr>
                <w:noProof/>
                <w:webHidden/>
              </w:rPr>
              <w:fldChar w:fldCharType="begin"/>
            </w:r>
            <w:r>
              <w:rPr>
                <w:noProof/>
                <w:webHidden/>
              </w:rPr>
              <w:instrText xml:space="preserve"> PAGEREF _Toc190980919 \h </w:instrText>
            </w:r>
            <w:r>
              <w:rPr>
                <w:noProof/>
                <w:webHidden/>
              </w:rPr>
            </w:r>
            <w:r>
              <w:rPr>
                <w:noProof/>
                <w:webHidden/>
              </w:rPr>
              <w:fldChar w:fldCharType="separate"/>
            </w:r>
            <w:r w:rsidR="004D7389">
              <w:rPr>
                <w:noProof/>
                <w:webHidden/>
              </w:rPr>
              <w:t>54</w:t>
            </w:r>
            <w:r>
              <w:rPr>
                <w:noProof/>
                <w:webHidden/>
              </w:rPr>
              <w:fldChar w:fldCharType="end"/>
            </w:r>
          </w:hyperlink>
        </w:p>
        <w:p w14:paraId="0C88BD93" w14:textId="77C451D1"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20" w:history="1">
            <w:r w:rsidRPr="008128DF">
              <w:rPr>
                <w:rStyle w:val="Hyperlink"/>
                <w:noProof/>
              </w:rPr>
              <w:t>1.1</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Prioritisation and implementation of tertiary harmonisation</w:t>
            </w:r>
            <w:r>
              <w:rPr>
                <w:noProof/>
                <w:webHidden/>
              </w:rPr>
              <w:tab/>
            </w:r>
            <w:r>
              <w:rPr>
                <w:noProof/>
                <w:webHidden/>
              </w:rPr>
              <w:fldChar w:fldCharType="begin"/>
            </w:r>
            <w:r>
              <w:rPr>
                <w:noProof/>
                <w:webHidden/>
              </w:rPr>
              <w:instrText xml:space="preserve"> PAGEREF _Toc190980920 \h </w:instrText>
            </w:r>
            <w:r>
              <w:rPr>
                <w:noProof/>
                <w:webHidden/>
              </w:rPr>
            </w:r>
            <w:r>
              <w:rPr>
                <w:noProof/>
                <w:webHidden/>
              </w:rPr>
              <w:fldChar w:fldCharType="separate"/>
            </w:r>
            <w:r w:rsidR="004D7389">
              <w:rPr>
                <w:noProof/>
                <w:webHidden/>
              </w:rPr>
              <w:t>54</w:t>
            </w:r>
            <w:r>
              <w:rPr>
                <w:noProof/>
                <w:webHidden/>
              </w:rPr>
              <w:fldChar w:fldCharType="end"/>
            </w:r>
          </w:hyperlink>
        </w:p>
        <w:p w14:paraId="74DD64C6" w14:textId="73C7237F"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21" w:history="1">
            <w:r w:rsidRPr="008128DF">
              <w:rPr>
                <w:rStyle w:val="Hyperlink"/>
                <w:noProof/>
              </w:rPr>
              <w:t>1.2</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The tertiary harmonisation framework: Pillars, elements and system actors</w:t>
            </w:r>
            <w:r>
              <w:rPr>
                <w:noProof/>
                <w:webHidden/>
              </w:rPr>
              <w:tab/>
            </w:r>
            <w:r>
              <w:rPr>
                <w:noProof/>
                <w:webHidden/>
              </w:rPr>
              <w:fldChar w:fldCharType="begin"/>
            </w:r>
            <w:r>
              <w:rPr>
                <w:noProof/>
                <w:webHidden/>
              </w:rPr>
              <w:instrText xml:space="preserve"> PAGEREF _Toc190980921 \h </w:instrText>
            </w:r>
            <w:r>
              <w:rPr>
                <w:noProof/>
                <w:webHidden/>
              </w:rPr>
            </w:r>
            <w:r>
              <w:rPr>
                <w:noProof/>
                <w:webHidden/>
              </w:rPr>
              <w:fldChar w:fldCharType="separate"/>
            </w:r>
            <w:r w:rsidR="004D7389">
              <w:rPr>
                <w:noProof/>
                <w:webHidden/>
              </w:rPr>
              <w:t>55</w:t>
            </w:r>
            <w:r>
              <w:rPr>
                <w:noProof/>
                <w:webHidden/>
              </w:rPr>
              <w:fldChar w:fldCharType="end"/>
            </w:r>
          </w:hyperlink>
        </w:p>
        <w:p w14:paraId="6C6FFEDB" w14:textId="3FCAE22E"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22" w:history="1">
            <w:r w:rsidRPr="008128DF">
              <w:rPr>
                <w:rStyle w:val="Hyperlink"/>
                <w:noProof/>
              </w:rPr>
              <w:t>1.3</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Qualification design</w:t>
            </w:r>
            <w:r>
              <w:rPr>
                <w:noProof/>
                <w:webHidden/>
              </w:rPr>
              <w:tab/>
            </w:r>
            <w:r>
              <w:rPr>
                <w:noProof/>
                <w:webHidden/>
              </w:rPr>
              <w:fldChar w:fldCharType="begin"/>
            </w:r>
            <w:r>
              <w:rPr>
                <w:noProof/>
                <w:webHidden/>
              </w:rPr>
              <w:instrText xml:space="preserve"> PAGEREF _Toc190980922 \h </w:instrText>
            </w:r>
            <w:r>
              <w:rPr>
                <w:noProof/>
                <w:webHidden/>
              </w:rPr>
            </w:r>
            <w:r>
              <w:rPr>
                <w:noProof/>
                <w:webHidden/>
              </w:rPr>
              <w:fldChar w:fldCharType="separate"/>
            </w:r>
            <w:r w:rsidR="004D7389">
              <w:rPr>
                <w:noProof/>
                <w:webHidden/>
              </w:rPr>
              <w:t>56</w:t>
            </w:r>
            <w:r>
              <w:rPr>
                <w:noProof/>
                <w:webHidden/>
              </w:rPr>
              <w:fldChar w:fldCharType="end"/>
            </w:r>
          </w:hyperlink>
        </w:p>
        <w:p w14:paraId="1F910C60" w14:textId="5996AE33"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23" w:history="1">
            <w:r w:rsidRPr="008128DF">
              <w:rPr>
                <w:rStyle w:val="Hyperlink"/>
                <w:noProof/>
              </w:rPr>
              <w:t>1.4</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Making tertiary harmonisation work for providers</w:t>
            </w:r>
            <w:r>
              <w:rPr>
                <w:noProof/>
                <w:webHidden/>
              </w:rPr>
              <w:tab/>
            </w:r>
            <w:r>
              <w:rPr>
                <w:noProof/>
                <w:webHidden/>
              </w:rPr>
              <w:fldChar w:fldCharType="begin"/>
            </w:r>
            <w:r>
              <w:rPr>
                <w:noProof/>
                <w:webHidden/>
              </w:rPr>
              <w:instrText xml:space="preserve"> PAGEREF _Toc190980923 \h </w:instrText>
            </w:r>
            <w:r>
              <w:rPr>
                <w:noProof/>
                <w:webHidden/>
              </w:rPr>
            </w:r>
            <w:r>
              <w:rPr>
                <w:noProof/>
                <w:webHidden/>
              </w:rPr>
              <w:fldChar w:fldCharType="separate"/>
            </w:r>
            <w:r w:rsidR="004D7389">
              <w:rPr>
                <w:noProof/>
                <w:webHidden/>
              </w:rPr>
              <w:t>57</w:t>
            </w:r>
            <w:r>
              <w:rPr>
                <w:noProof/>
                <w:webHidden/>
              </w:rPr>
              <w:fldChar w:fldCharType="end"/>
            </w:r>
          </w:hyperlink>
        </w:p>
        <w:p w14:paraId="1A94793F" w14:textId="65D416FF"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24" w:history="1">
            <w:r w:rsidRPr="008128DF">
              <w:rPr>
                <w:rStyle w:val="Hyperlink"/>
                <w:noProof/>
              </w:rPr>
              <w:t>1.5</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A mechanism to connect VET and Higher Education</w:t>
            </w:r>
            <w:r>
              <w:rPr>
                <w:noProof/>
                <w:webHidden/>
              </w:rPr>
              <w:tab/>
            </w:r>
            <w:r>
              <w:rPr>
                <w:noProof/>
                <w:webHidden/>
              </w:rPr>
              <w:fldChar w:fldCharType="begin"/>
            </w:r>
            <w:r>
              <w:rPr>
                <w:noProof/>
                <w:webHidden/>
              </w:rPr>
              <w:instrText xml:space="preserve"> PAGEREF _Toc190980924 \h </w:instrText>
            </w:r>
            <w:r>
              <w:rPr>
                <w:noProof/>
                <w:webHidden/>
              </w:rPr>
            </w:r>
            <w:r>
              <w:rPr>
                <w:noProof/>
                <w:webHidden/>
              </w:rPr>
              <w:fldChar w:fldCharType="separate"/>
            </w:r>
            <w:r w:rsidR="004D7389">
              <w:rPr>
                <w:noProof/>
                <w:webHidden/>
              </w:rPr>
              <w:t>57</w:t>
            </w:r>
            <w:r>
              <w:rPr>
                <w:noProof/>
                <w:webHidden/>
              </w:rPr>
              <w:fldChar w:fldCharType="end"/>
            </w:r>
          </w:hyperlink>
        </w:p>
        <w:p w14:paraId="4CFC2C78" w14:textId="06CBA216" w:rsidR="00046877" w:rsidRDefault="00046877">
          <w:pPr>
            <w:pStyle w:val="TOC2"/>
            <w:rPr>
              <w:rFonts w:asciiTheme="minorHAnsi" w:eastAsiaTheme="minorEastAsia" w:hAnsiTheme="minorHAnsi"/>
              <w:b w:val="0"/>
              <w:noProof/>
              <w:kern w:val="2"/>
              <w:sz w:val="24"/>
              <w:szCs w:val="24"/>
              <w:lang w:eastAsia="en-AU"/>
              <w14:ligatures w14:val="standardContextual"/>
            </w:rPr>
          </w:pPr>
          <w:hyperlink w:anchor="_Toc190980925" w:history="1">
            <w:r w:rsidRPr="008128DF">
              <w:rPr>
                <w:rStyle w:val="Hyperlink"/>
                <w:noProof/>
              </w:rPr>
              <w:t>1.6</w:t>
            </w:r>
            <w:r>
              <w:rPr>
                <w:rFonts w:asciiTheme="minorHAnsi" w:eastAsiaTheme="minorEastAsia" w:hAnsiTheme="minorHAnsi"/>
                <w:b w:val="0"/>
                <w:noProof/>
                <w:kern w:val="2"/>
                <w:sz w:val="24"/>
                <w:szCs w:val="24"/>
                <w:lang w:eastAsia="en-AU"/>
                <w14:ligatures w14:val="standardContextual"/>
              </w:rPr>
              <w:tab/>
            </w:r>
            <w:r w:rsidRPr="008128DF">
              <w:rPr>
                <w:rStyle w:val="Hyperlink"/>
                <w:noProof/>
              </w:rPr>
              <w:t>Culture and operational barriers</w:t>
            </w:r>
            <w:r>
              <w:rPr>
                <w:noProof/>
                <w:webHidden/>
              </w:rPr>
              <w:tab/>
            </w:r>
            <w:r>
              <w:rPr>
                <w:noProof/>
                <w:webHidden/>
              </w:rPr>
              <w:fldChar w:fldCharType="begin"/>
            </w:r>
            <w:r>
              <w:rPr>
                <w:noProof/>
                <w:webHidden/>
              </w:rPr>
              <w:instrText xml:space="preserve"> PAGEREF _Toc190980925 \h </w:instrText>
            </w:r>
            <w:r>
              <w:rPr>
                <w:noProof/>
                <w:webHidden/>
              </w:rPr>
            </w:r>
            <w:r>
              <w:rPr>
                <w:noProof/>
                <w:webHidden/>
              </w:rPr>
              <w:fldChar w:fldCharType="separate"/>
            </w:r>
            <w:r w:rsidR="004D7389">
              <w:rPr>
                <w:noProof/>
                <w:webHidden/>
              </w:rPr>
              <w:t>59</w:t>
            </w:r>
            <w:r>
              <w:rPr>
                <w:noProof/>
                <w:webHidden/>
              </w:rPr>
              <w:fldChar w:fldCharType="end"/>
            </w:r>
          </w:hyperlink>
        </w:p>
        <w:p w14:paraId="0142D57C" w14:textId="596D0BF7" w:rsidR="00046877" w:rsidRDefault="00046877">
          <w:pPr>
            <w:pStyle w:val="TOC1"/>
            <w:tabs>
              <w:tab w:val="left" w:pos="1680"/>
            </w:tabs>
            <w:rPr>
              <w:rFonts w:asciiTheme="minorHAnsi" w:eastAsiaTheme="minorEastAsia" w:hAnsiTheme="minorHAnsi"/>
              <w:b w:val="0"/>
              <w:noProof/>
              <w:color w:val="auto"/>
              <w:kern w:val="2"/>
              <w:sz w:val="24"/>
              <w:szCs w:val="24"/>
              <w:lang w:eastAsia="en-AU"/>
              <w14:ligatures w14:val="standardContextual"/>
            </w:rPr>
          </w:pPr>
          <w:hyperlink w:anchor="_Toc190980926" w:history="1">
            <w:r w:rsidRPr="008128DF">
              <w:rPr>
                <w:rStyle w:val="Hyperlink"/>
                <w:noProof/>
              </w:rPr>
              <w:t>Appendix B</w:t>
            </w:r>
            <w:r>
              <w:rPr>
                <w:rFonts w:asciiTheme="minorHAnsi" w:eastAsiaTheme="minorEastAsia" w:hAnsiTheme="minorHAnsi"/>
                <w:b w:val="0"/>
                <w:noProof/>
                <w:color w:val="auto"/>
                <w:kern w:val="2"/>
                <w:sz w:val="24"/>
                <w:szCs w:val="24"/>
                <w:lang w:eastAsia="en-AU"/>
                <w14:ligatures w14:val="standardContextual"/>
              </w:rPr>
              <w:tab/>
            </w:r>
            <w:r w:rsidRPr="008128DF">
              <w:rPr>
                <w:rStyle w:val="Hyperlink"/>
                <w:noProof/>
              </w:rPr>
              <w:t>JSA tertiary harmonisation roundtable stakeholder engagement details.</w:t>
            </w:r>
            <w:r>
              <w:rPr>
                <w:noProof/>
                <w:webHidden/>
              </w:rPr>
              <w:tab/>
            </w:r>
            <w:r>
              <w:rPr>
                <w:noProof/>
                <w:webHidden/>
              </w:rPr>
              <w:fldChar w:fldCharType="begin"/>
            </w:r>
            <w:r>
              <w:rPr>
                <w:noProof/>
                <w:webHidden/>
              </w:rPr>
              <w:instrText xml:space="preserve"> PAGEREF _Toc190980926 \h </w:instrText>
            </w:r>
            <w:r>
              <w:rPr>
                <w:noProof/>
                <w:webHidden/>
              </w:rPr>
            </w:r>
            <w:r>
              <w:rPr>
                <w:noProof/>
                <w:webHidden/>
              </w:rPr>
              <w:fldChar w:fldCharType="separate"/>
            </w:r>
            <w:r w:rsidR="004D7389">
              <w:rPr>
                <w:noProof/>
                <w:webHidden/>
              </w:rPr>
              <w:t>60</w:t>
            </w:r>
            <w:r>
              <w:rPr>
                <w:noProof/>
                <w:webHidden/>
              </w:rPr>
              <w:fldChar w:fldCharType="end"/>
            </w:r>
          </w:hyperlink>
        </w:p>
        <w:p w14:paraId="7C049A02" w14:textId="500CBBBC" w:rsidR="00046877" w:rsidRDefault="00046877">
          <w:pPr>
            <w:pStyle w:val="TOC1"/>
            <w:rPr>
              <w:rFonts w:asciiTheme="minorHAnsi" w:eastAsiaTheme="minorEastAsia" w:hAnsiTheme="minorHAnsi"/>
              <w:b w:val="0"/>
              <w:noProof/>
              <w:color w:val="auto"/>
              <w:kern w:val="2"/>
              <w:sz w:val="24"/>
              <w:szCs w:val="24"/>
              <w:lang w:eastAsia="en-AU"/>
              <w14:ligatures w14:val="standardContextual"/>
            </w:rPr>
          </w:pPr>
          <w:hyperlink w:anchor="_Toc190980927" w:history="1">
            <w:r w:rsidRPr="008128DF">
              <w:rPr>
                <w:rStyle w:val="Hyperlink"/>
                <w:noProof/>
              </w:rPr>
              <w:t>References</w:t>
            </w:r>
            <w:r>
              <w:rPr>
                <w:rStyle w:val="Hyperlink"/>
                <w:noProof/>
              </w:rPr>
              <w:tab/>
            </w:r>
            <w:r>
              <w:rPr>
                <w:noProof/>
                <w:webHidden/>
              </w:rPr>
              <w:tab/>
            </w:r>
            <w:r>
              <w:rPr>
                <w:noProof/>
                <w:webHidden/>
              </w:rPr>
              <w:fldChar w:fldCharType="begin"/>
            </w:r>
            <w:r>
              <w:rPr>
                <w:noProof/>
                <w:webHidden/>
              </w:rPr>
              <w:instrText xml:space="preserve"> PAGEREF _Toc190980927 \h </w:instrText>
            </w:r>
            <w:r>
              <w:rPr>
                <w:noProof/>
                <w:webHidden/>
              </w:rPr>
            </w:r>
            <w:r>
              <w:rPr>
                <w:noProof/>
                <w:webHidden/>
              </w:rPr>
              <w:fldChar w:fldCharType="separate"/>
            </w:r>
            <w:r w:rsidR="004D7389">
              <w:rPr>
                <w:noProof/>
                <w:webHidden/>
              </w:rPr>
              <w:t>63</w:t>
            </w:r>
            <w:r>
              <w:rPr>
                <w:noProof/>
                <w:webHidden/>
              </w:rPr>
              <w:fldChar w:fldCharType="end"/>
            </w:r>
          </w:hyperlink>
        </w:p>
        <w:p w14:paraId="73862284" w14:textId="5795461F" w:rsidR="000C2F7B" w:rsidRDefault="000C2F7B" w:rsidP="000C2F7B">
          <w:r>
            <w:rPr>
              <w:b/>
              <w:color w:val="4B0985"/>
            </w:rPr>
            <w:fldChar w:fldCharType="end"/>
          </w:r>
        </w:p>
      </w:sdtContent>
    </w:sdt>
    <w:p w14:paraId="1B94A635" w14:textId="77777777" w:rsidR="00F31098" w:rsidRDefault="000C2F7B" w:rsidP="000C2F7B">
      <w:pPr>
        <w:pStyle w:val="TOCHeading"/>
        <w:rPr>
          <w:noProof/>
        </w:rPr>
      </w:pPr>
      <w:r>
        <w:t>Figures and Tables</w:t>
      </w:r>
      <w:r>
        <w:fldChar w:fldCharType="begin"/>
      </w:r>
      <w:r>
        <w:instrText xml:space="preserve"> TOC \c "Figure" </w:instrText>
      </w:r>
      <w:r>
        <w:fldChar w:fldCharType="separate"/>
      </w:r>
    </w:p>
    <w:p w14:paraId="543CD12E" w14:textId="57C67621"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1. Tertiary Harmonisation System Actors</w:t>
      </w:r>
      <w:r>
        <w:rPr>
          <w:noProof/>
        </w:rPr>
        <w:tab/>
      </w:r>
      <w:r>
        <w:rPr>
          <w:noProof/>
        </w:rPr>
        <w:fldChar w:fldCharType="begin"/>
      </w:r>
      <w:r>
        <w:rPr>
          <w:noProof/>
        </w:rPr>
        <w:instrText xml:space="preserve"> PAGEREF _Toc191381507 \h </w:instrText>
      </w:r>
      <w:r>
        <w:rPr>
          <w:noProof/>
        </w:rPr>
      </w:r>
      <w:r>
        <w:rPr>
          <w:noProof/>
        </w:rPr>
        <w:fldChar w:fldCharType="separate"/>
      </w:r>
      <w:r w:rsidR="004D7389">
        <w:rPr>
          <w:noProof/>
        </w:rPr>
        <w:t>18</w:t>
      </w:r>
      <w:r>
        <w:rPr>
          <w:noProof/>
        </w:rPr>
        <w:fldChar w:fldCharType="end"/>
      </w:r>
    </w:p>
    <w:p w14:paraId="3C31C1F4" w14:textId="1181BB7D"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2. The System Architecture of Tertiary Harmonisation</w:t>
      </w:r>
      <w:r>
        <w:rPr>
          <w:noProof/>
        </w:rPr>
        <w:tab/>
      </w:r>
      <w:r>
        <w:rPr>
          <w:noProof/>
        </w:rPr>
        <w:fldChar w:fldCharType="begin"/>
      </w:r>
      <w:r>
        <w:rPr>
          <w:noProof/>
        </w:rPr>
        <w:instrText xml:space="preserve"> PAGEREF _Toc191381508 \h </w:instrText>
      </w:r>
      <w:r>
        <w:rPr>
          <w:noProof/>
        </w:rPr>
      </w:r>
      <w:r>
        <w:rPr>
          <w:noProof/>
        </w:rPr>
        <w:fldChar w:fldCharType="separate"/>
      </w:r>
      <w:r w:rsidR="004D7389">
        <w:rPr>
          <w:noProof/>
        </w:rPr>
        <w:t>24</w:t>
      </w:r>
      <w:r>
        <w:rPr>
          <w:noProof/>
        </w:rPr>
        <w:fldChar w:fldCharType="end"/>
      </w:r>
    </w:p>
    <w:p w14:paraId="5BEA8B3A" w14:textId="2C3D0F1A"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3. The four benefits of Tertiary Harmonisation</w:t>
      </w:r>
      <w:r>
        <w:rPr>
          <w:noProof/>
        </w:rPr>
        <w:tab/>
      </w:r>
      <w:r>
        <w:rPr>
          <w:noProof/>
        </w:rPr>
        <w:fldChar w:fldCharType="begin"/>
      </w:r>
      <w:r>
        <w:rPr>
          <w:noProof/>
        </w:rPr>
        <w:instrText xml:space="preserve"> PAGEREF _Toc191381509 \h </w:instrText>
      </w:r>
      <w:r>
        <w:rPr>
          <w:noProof/>
        </w:rPr>
      </w:r>
      <w:r>
        <w:rPr>
          <w:noProof/>
        </w:rPr>
        <w:fldChar w:fldCharType="separate"/>
      </w:r>
      <w:r w:rsidR="004D7389">
        <w:rPr>
          <w:noProof/>
        </w:rPr>
        <w:t>26</w:t>
      </w:r>
      <w:r>
        <w:rPr>
          <w:noProof/>
        </w:rPr>
        <w:fldChar w:fldCharType="end"/>
      </w:r>
    </w:p>
    <w:p w14:paraId="4FEC04E3" w14:textId="6BA2422D"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4. TAFE Queensland Enrolled Nurse to Registered Nurse Pathway</w:t>
      </w:r>
      <w:r>
        <w:rPr>
          <w:noProof/>
        </w:rPr>
        <w:tab/>
      </w:r>
      <w:r>
        <w:rPr>
          <w:noProof/>
        </w:rPr>
        <w:fldChar w:fldCharType="begin"/>
      </w:r>
      <w:r>
        <w:rPr>
          <w:noProof/>
        </w:rPr>
        <w:instrText xml:space="preserve"> PAGEREF _Toc191381510 \h </w:instrText>
      </w:r>
      <w:r>
        <w:rPr>
          <w:noProof/>
        </w:rPr>
      </w:r>
      <w:r>
        <w:rPr>
          <w:noProof/>
        </w:rPr>
        <w:fldChar w:fldCharType="separate"/>
      </w:r>
      <w:r w:rsidR="004D7389">
        <w:rPr>
          <w:noProof/>
        </w:rPr>
        <w:t>27</w:t>
      </w:r>
      <w:r>
        <w:rPr>
          <w:noProof/>
        </w:rPr>
        <w:fldChar w:fldCharType="end"/>
      </w:r>
    </w:p>
    <w:p w14:paraId="2C8469FC" w14:textId="6651FCA1"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5. School to VET pathway - TAFE NSW and the University of Canberra</w:t>
      </w:r>
      <w:r>
        <w:rPr>
          <w:noProof/>
        </w:rPr>
        <w:tab/>
      </w:r>
      <w:r>
        <w:rPr>
          <w:noProof/>
        </w:rPr>
        <w:fldChar w:fldCharType="begin"/>
      </w:r>
      <w:r>
        <w:rPr>
          <w:noProof/>
        </w:rPr>
        <w:instrText xml:space="preserve"> PAGEREF _Toc191381511 \h </w:instrText>
      </w:r>
      <w:r>
        <w:rPr>
          <w:noProof/>
        </w:rPr>
      </w:r>
      <w:r>
        <w:rPr>
          <w:noProof/>
        </w:rPr>
        <w:fldChar w:fldCharType="separate"/>
      </w:r>
      <w:r w:rsidR="004D7389">
        <w:rPr>
          <w:noProof/>
        </w:rPr>
        <w:t>29</w:t>
      </w:r>
      <w:r>
        <w:rPr>
          <w:noProof/>
        </w:rPr>
        <w:fldChar w:fldCharType="end"/>
      </w:r>
    </w:p>
    <w:p w14:paraId="6EE2A323" w14:textId="58791A62"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6. Engineering Dual Qualification - AI Group and RMIT</w:t>
      </w:r>
      <w:r>
        <w:rPr>
          <w:noProof/>
        </w:rPr>
        <w:tab/>
      </w:r>
      <w:r>
        <w:rPr>
          <w:noProof/>
        </w:rPr>
        <w:fldChar w:fldCharType="begin"/>
      </w:r>
      <w:r>
        <w:rPr>
          <w:noProof/>
        </w:rPr>
        <w:instrText xml:space="preserve"> PAGEREF _Toc191381512 \h </w:instrText>
      </w:r>
      <w:r>
        <w:rPr>
          <w:noProof/>
        </w:rPr>
      </w:r>
      <w:r>
        <w:rPr>
          <w:noProof/>
        </w:rPr>
        <w:fldChar w:fldCharType="separate"/>
      </w:r>
      <w:r w:rsidR="004D7389">
        <w:rPr>
          <w:noProof/>
        </w:rPr>
        <w:t>32</w:t>
      </w:r>
      <w:r>
        <w:rPr>
          <w:noProof/>
        </w:rPr>
        <w:fldChar w:fldCharType="end"/>
      </w:r>
    </w:p>
    <w:p w14:paraId="07997792" w14:textId="4F20B6B5"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7. Impacts and benefits of harmonisation</w:t>
      </w:r>
      <w:r>
        <w:rPr>
          <w:noProof/>
        </w:rPr>
        <w:tab/>
      </w:r>
      <w:r>
        <w:rPr>
          <w:noProof/>
        </w:rPr>
        <w:fldChar w:fldCharType="begin"/>
      </w:r>
      <w:r>
        <w:rPr>
          <w:noProof/>
        </w:rPr>
        <w:instrText xml:space="preserve"> PAGEREF _Toc191381513 \h </w:instrText>
      </w:r>
      <w:r>
        <w:rPr>
          <w:noProof/>
        </w:rPr>
      </w:r>
      <w:r>
        <w:rPr>
          <w:noProof/>
        </w:rPr>
        <w:fldChar w:fldCharType="separate"/>
      </w:r>
      <w:r w:rsidR="004D7389">
        <w:rPr>
          <w:noProof/>
        </w:rPr>
        <w:t>33</w:t>
      </w:r>
      <w:r>
        <w:rPr>
          <w:noProof/>
        </w:rPr>
        <w:fldChar w:fldCharType="end"/>
      </w:r>
    </w:p>
    <w:p w14:paraId="258CC746" w14:textId="777581DB"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8. JSA Tertiary Harmonisation Framework</w:t>
      </w:r>
      <w:r>
        <w:rPr>
          <w:noProof/>
        </w:rPr>
        <w:tab/>
      </w:r>
      <w:r>
        <w:rPr>
          <w:noProof/>
        </w:rPr>
        <w:fldChar w:fldCharType="begin"/>
      </w:r>
      <w:r>
        <w:rPr>
          <w:noProof/>
        </w:rPr>
        <w:instrText xml:space="preserve"> PAGEREF _Toc191381514 \h </w:instrText>
      </w:r>
      <w:r>
        <w:rPr>
          <w:noProof/>
        </w:rPr>
      </w:r>
      <w:r>
        <w:rPr>
          <w:noProof/>
        </w:rPr>
        <w:fldChar w:fldCharType="separate"/>
      </w:r>
      <w:r w:rsidR="004D7389">
        <w:rPr>
          <w:noProof/>
        </w:rPr>
        <w:t>38</w:t>
      </w:r>
      <w:r>
        <w:rPr>
          <w:noProof/>
        </w:rPr>
        <w:fldChar w:fldCharType="end"/>
      </w:r>
    </w:p>
    <w:p w14:paraId="24C59ADA" w14:textId="0FF89BC0" w:rsidR="00F31098" w:rsidRDefault="00F31098">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Figure 9. Number of roundtable participants by state or territory</w:t>
      </w:r>
      <w:r>
        <w:rPr>
          <w:noProof/>
        </w:rPr>
        <w:tab/>
      </w:r>
      <w:r>
        <w:rPr>
          <w:noProof/>
        </w:rPr>
        <w:fldChar w:fldCharType="begin"/>
      </w:r>
      <w:r>
        <w:rPr>
          <w:noProof/>
        </w:rPr>
        <w:instrText xml:space="preserve"> PAGEREF _Toc191381515 \h </w:instrText>
      </w:r>
      <w:r>
        <w:rPr>
          <w:noProof/>
        </w:rPr>
      </w:r>
      <w:r>
        <w:rPr>
          <w:noProof/>
        </w:rPr>
        <w:fldChar w:fldCharType="separate"/>
      </w:r>
      <w:r w:rsidR="004D7389">
        <w:rPr>
          <w:noProof/>
        </w:rPr>
        <w:t>60</w:t>
      </w:r>
      <w:r>
        <w:rPr>
          <w:noProof/>
        </w:rPr>
        <w:fldChar w:fldCharType="end"/>
      </w:r>
    </w:p>
    <w:p w14:paraId="5FD7F582" w14:textId="30B9108D" w:rsidR="00046877" w:rsidRDefault="000C2F7B" w:rsidP="000C2F7B">
      <w:pPr>
        <w:pStyle w:val="TableofFigures"/>
        <w:tabs>
          <w:tab w:val="right" w:pos="9357"/>
        </w:tabs>
        <w:rPr>
          <w:noProof/>
        </w:rPr>
      </w:pPr>
      <w:r>
        <w:fldChar w:fldCharType="end"/>
      </w:r>
      <w:r>
        <w:fldChar w:fldCharType="begin"/>
      </w:r>
      <w:r>
        <w:instrText xml:space="preserve"> TOC \c "Table" </w:instrText>
      </w:r>
      <w:r>
        <w:fldChar w:fldCharType="separate"/>
      </w:r>
    </w:p>
    <w:p w14:paraId="7AF269B2" w14:textId="59307C97" w:rsidR="00046877" w:rsidRDefault="00046877">
      <w:pPr>
        <w:pStyle w:val="TableofFigures"/>
        <w:tabs>
          <w:tab w:val="right" w:pos="9357"/>
        </w:tabs>
        <w:rPr>
          <w:rFonts w:asciiTheme="minorHAnsi" w:eastAsiaTheme="minorEastAsia" w:hAnsiTheme="minorHAnsi"/>
          <w:noProof/>
          <w:kern w:val="2"/>
          <w:sz w:val="24"/>
          <w:szCs w:val="24"/>
          <w:lang w:eastAsia="en-AU"/>
          <w14:ligatures w14:val="standardContextual"/>
        </w:rPr>
      </w:pPr>
      <w:r>
        <w:rPr>
          <w:noProof/>
        </w:rPr>
        <w:t>Table 1. Organisations that attended the roundtables</w:t>
      </w:r>
      <w:r>
        <w:rPr>
          <w:noProof/>
        </w:rPr>
        <w:tab/>
      </w:r>
      <w:r>
        <w:rPr>
          <w:noProof/>
        </w:rPr>
        <w:fldChar w:fldCharType="begin"/>
      </w:r>
      <w:r>
        <w:rPr>
          <w:noProof/>
        </w:rPr>
        <w:instrText xml:space="preserve"> PAGEREF _Toc190980937 \h </w:instrText>
      </w:r>
      <w:r>
        <w:rPr>
          <w:noProof/>
        </w:rPr>
      </w:r>
      <w:r>
        <w:rPr>
          <w:noProof/>
        </w:rPr>
        <w:fldChar w:fldCharType="separate"/>
      </w:r>
      <w:r w:rsidR="004D7389">
        <w:rPr>
          <w:noProof/>
        </w:rPr>
        <w:t>61</w:t>
      </w:r>
      <w:r>
        <w:rPr>
          <w:noProof/>
        </w:rPr>
        <w:fldChar w:fldCharType="end"/>
      </w:r>
    </w:p>
    <w:p w14:paraId="218399EF" w14:textId="64C2B288" w:rsidR="000C2F7B" w:rsidRDefault="000C2F7B" w:rsidP="000C2F7B">
      <w:r>
        <w:fldChar w:fldCharType="end"/>
      </w:r>
    </w:p>
    <w:p w14:paraId="50B52570" w14:textId="77777777" w:rsidR="000C2F7B" w:rsidRDefault="000C2F7B" w:rsidP="000C2F7B">
      <w:pPr>
        <w:pStyle w:val="TOCHeading"/>
      </w:pPr>
      <w:r>
        <w:rPr>
          <w:noProof/>
          <w:color w:val="6929C4"/>
        </w:rPr>
        <w:fldChar w:fldCharType="begin"/>
      </w:r>
      <w:r>
        <w:instrText xml:space="preserve"> TOC \t "Appendix Heading 1,4" </w:instrText>
      </w:r>
      <w:r>
        <w:rPr>
          <w:noProof/>
          <w:color w:val="6929C4"/>
        </w:rPr>
        <w:fldChar w:fldCharType="separate"/>
      </w:r>
      <w:r>
        <w:t>Glossary of acronyms</w:t>
      </w:r>
    </w:p>
    <w:tbl>
      <w:tblPr>
        <w:tblW w:w="0" w:type="auto"/>
        <w:tblLook w:val="0000" w:firstRow="0" w:lastRow="0" w:firstColumn="0" w:lastColumn="0" w:noHBand="0" w:noVBand="0"/>
      </w:tblPr>
      <w:tblGrid>
        <w:gridCol w:w="1439"/>
        <w:gridCol w:w="7928"/>
      </w:tblGrid>
      <w:tr w:rsidR="000C2F7B" w14:paraId="723CA2F3" w14:textId="77777777">
        <w:tc>
          <w:tcPr>
            <w:tcW w:w="1439" w:type="dxa"/>
          </w:tcPr>
          <w:p w14:paraId="506A1BB1" w14:textId="77777777" w:rsidR="000C2F7B" w:rsidRDefault="000C2F7B">
            <w:r>
              <w:t>Acronym</w:t>
            </w:r>
          </w:p>
        </w:tc>
        <w:tc>
          <w:tcPr>
            <w:tcW w:w="7928" w:type="dxa"/>
          </w:tcPr>
          <w:p w14:paraId="11B5459F" w14:textId="77777777" w:rsidR="000C2F7B" w:rsidRDefault="000C2F7B">
            <w:r>
              <w:t>Expanded form</w:t>
            </w:r>
          </w:p>
        </w:tc>
      </w:tr>
      <w:tr w:rsidR="000C2F7B" w14:paraId="163689A9" w14:textId="77777777">
        <w:tc>
          <w:tcPr>
            <w:tcW w:w="1439" w:type="dxa"/>
          </w:tcPr>
          <w:p w14:paraId="1B443B57" w14:textId="77777777" w:rsidR="000C2F7B" w:rsidRDefault="000C2F7B">
            <w:r>
              <w:t>ABS</w:t>
            </w:r>
          </w:p>
        </w:tc>
        <w:tc>
          <w:tcPr>
            <w:tcW w:w="7928" w:type="dxa"/>
          </w:tcPr>
          <w:p w14:paraId="23A54436" w14:textId="77777777" w:rsidR="000C2F7B" w:rsidRDefault="000C2F7B">
            <w:r>
              <w:t>Australian Bureau of Statistics</w:t>
            </w:r>
          </w:p>
        </w:tc>
      </w:tr>
      <w:tr w:rsidR="000C2F7B" w14:paraId="0A58A3AA" w14:textId="77777777">
        <w:tc>
          <w:tcPr>
            <w:tcW w:w="1439" w:type="dxa"/>
          </w:tcPr>
          <w:p w14:paraId="454BDB28" w14:textId="77777777" w:rsidR="000C2F7B" w:rsidRDefault="000C2F7B">
            <w:r>
              <w:t>AQF</w:t>
            </w:r>
          </w:p>
        </w:tc>
        <w:tc>
          <w:tcPr>
            <w:tcW w:w="7928" w:type="dxa"/>
          </w:tcPr>
          <w:p w14:paraId="0A23614E" w14:textId="77777777" w:rsidR="000C2F7B" w:rsidRDefault="000C2F7B">
            <w:r>
              <w:t>Australian Qualifications Framework</w:t>
            </w:r>
          </w:p>
        </w:tc>
      </w:tr>
      <w:tr w:rsidR="000C2F7B" w14:paraId="104EC75F" w14:textId="77777777">
        <w:tc>
          <w:tcPr>
            <w:tcW w:w="1439" w:type="dxa"/>
          </w:tcPr>
          <w:p w14:paraId="058B5853" w14:textId="77777777" w:rsidR="000C2F7B" w:rsidRDefault="000C2F7B">
            <w:r>
              <w:t>ASQA</w:t>
            </w:r>
          </w:p>
        </w:tc>
        <w:tc>
          <w:tcPr>
            <w:tcW w:w="7928" w:type="dxa"/>
          </w:tcPr>
          <w:p w14:paraId="4DC81808" w14:textId="77777777" w:rsidR="000C2F7B" w:rsidRDefault="000C2F7B">
            <w:r>
              <w:t>Australian Skills Quality Authority</w:t>
            </w:r>
          </w:p>
        </w:tc>
      </w:tr>
      <w:tr w:rsidR="000C2F7B" w14:paraId="4248426D" w14:textId="77777777">
        <w:tc>
          <w:tcPr>
            <w:tcW w:w="1439" w:type="dxa"/>
          </w:tcPr>
          <w:p w14:paraId="39434088" w14:textId="77777777" w:rsidR="000C2F7B" w:rsidRDefault="000C2F7B">
            <w:r>
              <w:t>ATEC</w:t>
            </w:r>
          </w:p>
        </w:tc>
        <w:tc>
          <w:tcPr>
            <w:tcW w:w="7928" w:type="dxa"/>
          </w:tcPr>
          <w:p w14:paraId="640F8403" w14:textId="77777777" w:rsidR="000C2F7B" w:rsidRDefault="000C2F7B">
            <w:r>
              <w:t>Australian Tertiary Education Commission</w:t>
            </w:r>
          </w:p>
        </w:tc>
      </w:tr>
      <w:tr w:rsidR="000C2F7B" w14:paraId="0270B44F" w14:textId="77777777">
        <w:tc>
          <w:tcPr>
            <w:tcW w:w="1439" w:type="dxa"/>
          </w:tcPr>
          <w:p w14:paraId="6929398B" w14:textId="77777777" w:rsidR="000C2F7B" w:rsidRDefault="000C2F7B">
            <w:r>
              <w:t>CPD</w:t>
            </w:r>
          </w:p>
        </w:tc>
        <w:tc>
          <w:tcPr>
            <w:tcW w:w="7928" w:type="dxa"/>
          </w:tcPr>
          <w:p w14:paraId="6D91838D" w14:textId="77777777" w:rsidR="000C2F7B" w:rsidRDefault="000C2F7B">
            <w:r>
              <w:t>Continuing Professional Development</w:t>
            </w:r>
          </w:p>
        </w:tc>
      </w:tr>
      <w:tr w:rsidR="000C2F7B" w14:paraId="5AE7D994" w14:textId="77777777">
        <w:tc>
          <w:tcPr>
            <w:tcW w:w="1439" w:type="dxa"/>
          </w:tcPr>
          <w:p w14:paraId="38C1E662" w14:textId="77777777" w:rsidR="000C2F7B" w:rsidRDefault="000C2F7B">
            <w:r>
              <w:t>DEWR</w:t>
            </w:r>
          </w:p>
        </w:tc>
        <w:tc>
          <w:tcPr>
            <w:tcW w:w="7928" w:type="dxa"/>
          </w:tcPr>
          <w:p w14:paraId="01B0137A" w14:textId="77777777" w:rsidR="000C2F7B" w:rsidRDefault="000C2F7B">
            <w:r>
              <w:t>Department of Employment and Workplace Relations</w:t>
            </w:r>
          </w:p>
        </w:tc>
      </w:tr>
      <w:tr w:rsidR="000C2F7B" w14:paraId="31CFF8F1" w14:textId="77777777">
        <w:tc>
          <w:tcPr>
            <w:tcW w:w="1439" w:type="dxa"/>
          </w:tcPr>
          <w:p w14:paraId="0B92EDB2" w14:textId="77777777" w:rsidR="000C2F7B" w:rsidRDefault="000C2F7B">
            <w:r>
              <w:t>NSA</w:t>
            </w:r>
          </w:p>
        </w:tc>
        <w:tc>
          <w:tcPr>
            <w:tcW w:w="7928" w:type="dxa"/>
          </w:tcPr>
          <w:p w14:paraId="1EB57180" w14:textId="77777777" w:rsidR="000C2F7B" w:rsidRDefault="000C2F7B">
            <w:r>
              <w:t>National Skills Agreement</w:t>
            </w:r>
          </w:p>
        </w:tc>
      </w:tr>
      <w:tr w:rsidR="000C2F7B" w14:paraId="28A3E174" w14:textId="77777777">
        <w:tc>
          <w:tcPr>
            <w:tcW w:w="1439" w:type="dxa"/>
          </w:tcPr>
          <w:p w14:paraId="128E0D4B" w14:textId="77777777" w:rsidR="000C2F7B" w:rsidRDefault="000C2F7B">
            <w:r>
              <w:t>NST</w:t>
            </w:r>
          </w:p>
        </w:tc>
        <w:tc>
          <w:tcPr>
            <w:tcW w:w="7928" w:type="dxa"/>
          </w:tcPr>
          <w:p w14:paraId="6EA0C49E" w14:textId="77777777" w:rsidR="000C2F7B" w:rsidRDefault="000C2F7B">
            <w:r>
              <w:t>National Skills Taxonomy</w:t>
            </w:r>
          </w:p>
        </w:tc>
      </w:tr>
      <w:tr w:rsidR="000C2F7B" w14:paraId="3B3CBD18" w14:textId="77777777">
        <w:tc>
          <w:tcPr>
            <w:tcW w:w="1439" w:type="dxa"/>
          </w:tcPr>
          <w:p w14:paraId="320CE2F4" w14:textId="77777777" w:rsidR="000C2F7B" w:rsidRDefault="000C2F7B">
            <w:r>
              <w:t>RPL</w:t>
            </w:r>
          </w:p>
        </w:tc>
        <w:tc>
          <w:tcPr>
            <w:tcW w:w="7928" w:type="dxa"/>
          </w:tcPr>
          <w:p w14:paraId="336B6CE1" w14:textId="77777777" w:rsidR="000C2F7B" w:rsidRDefault="000C2F7B">
            <w:r>
              <w:t>Recognition of prior learning</w:t>
            </w:r>
          </w:p>
        </w:tc>
      </w:tr>
      <w:tr w:rsidR="000C2F7B" w14:paraId="0A5FF2E3" w14:textId="77777777">
        <w:tc>
          <w:tcPr>
            <w:tcW w:w="1439" w:type="dxa"/>
          </w:tcPr>
          <w:p w14:paraId="242F14E4" w14:textId="77777777" w:rsidR="000C2F7B" w:rsidRDefault="000C2F7B">
            <w:r>
              <w:t>RTO</w:t>
            </w:r>
          </w:p>
        </w:tc>
        <w:tc>
          <w:tcPr>
            <w:tcW w:w="7928" w:type="dxa"/>
          </w:tcPr>
          <w:p w14:paraId="3D413A22" w14:textId="77777777" w:rsidR="000C2F7B" w:rsidRDefault="000C2F7B">
            <w:r>
              <w:t>Registered Training Organisation</w:t>
            </w:r>
          </w:p>
        </w:tc>
      </w:tr>
      <w:tr w:rsidR="000C2F7B" w14:paraId="53DA39B8" w14:textId="77777777">
        <w:tc>
          <w:tcPr>
            <w:tcW w:w="1439" w:type="dxa"/>
          </w:tcPr>
          <w:p w14:paraId="1DF59B59" w14:textId="77777777" w:rsidR="000C2F7B" w:rsidRDefault="000C2F7B">
            <w:r>
              <w:t>SES</w:t>
            </w:r>
          </w:p>
        </w:tc>
        <w:tc>
          <w:tcPr>
            <w:tcW w:w="7928" w:type="dxa"/>
          </w:tcPr>
          <w:p w14:paraId="7255779A" w14:textId="77777777" w:rsidR="000C2F7B" w:rsidRDefault="000C2F7B">
            <w:r>
              <w:t>Socio-economic Status</w:t>
            </w:r>
          </w:p>
        </w:tc>
      </w:tr>
      <w:tr w:rsidR="000C2F7B" w14:paraId="4A9D473E" w14:textId="77777777">
        <w:tc>
          <w:tcPr>
            <w:tcW w:w="1439" w:type="dxa"/>
          </w:tcPr>
          <w:p w14:paraId="75E51B89" w14:textId="77777777" w:rsidR="000C2F7B" w:rsidRDefault="000C2F7B">
            <w:r>
              <w:t>TAFE</w:t>
            </w:r>
          </w:p>
        </w:tc>
        <w:tc>
          <w:tcPr>
            <w:tcW w:w="7928" w:type="dxa"/>
          </w:tcPr>
          <w:p w14:paraId="715E52D9" w14:textId="77777777" w:rsidR="000C2F7B" w:rsidRDefault="000C2F7B">
            <w:r>
              <w:t>Technical and Further Education</w:t>
            </w:r>
          </w:p>
        </w:tc>
      </w:tr>
      <w:tr w:rsidR="000C2F7B" w14:paraId="58AFA394" w14:textId="77777777">
        <w:tc>
          <w:tcPr>
            <w:tcW w:w="1439" w:type="dxa"/>
          </w:tcPr>
          <w:p w14:paraId="0EC2EB78" w14:textId="77777777" w:rsidR="000C2F7B" w:rsidRDefault="000C2F7B">
            <w:r>
              <w:t>TEQSA</w:t>
            </w:r>
          </w:p>
        </w:tc>
        <w:tc>
          <w:tcPr>
            <w:tcW w:w="7928" w:type="dxa"/>
          </w:tcPr>
          <w:p w14:paraId="66D01B2E" w14:textId="77777777" w:rsidR="000C2F7B" w:rsidRDefault="000C2F7B">
            <w:r>
              <w:t>Tertiary Education Quality and Standards Authority</w:t>
            </w:r>
          </w:p>
        </w:tc>
      </w:tr>
      <w:tr w:rsidR="000C2F7B" w14:paraId="490C42F8" w14:textId="77777777">
        <w:tc>
          <w:tcPr>
            <w:tcW w:w="1439" w:type="dxa"/>
          </w:tcPr>
          <w:p w14:paraId="652345DF" w14:textId="77777777" w:rsidR="000C2F7B" w:rsidRDefault="000C2F7B">
            <w:r>
              <w:t>VET</w:t>
            </w:r>
          </w:p>
        </w:tc>
        <w:tc>
          <w:tcPr>
            <w:tcW w:w="7928" w:type="dxa"/>
          </w:tcPr>
          <w:p w14:paraId="153C6570" w14:textId="77777777" w:rsidR="000C2F7B" w:rsidRDefault="000C2F7B">
            <w:r>
              <w:t>Vocational Education and Training</w:t>
            </w:r>
          </w:p>
        </w:tc>
      </w:tr>
    </w:tbl>
    <w:p w14:paraId="5B2044B4" w14:textId="77AAF584" w:rsidR="00E90EA2" w:rsidRDefault="000C2F7B" w:rsidP="00531BFC">
      <w:pPr>
        <w:pStyle w:val="Heading1unnumbered"/>
      </w:pPr>
      <w:r>
        <w:lastRenderedPageBreak/>
        <w:fldChar w:fldCharType="end"/>
      </w:r>
      <w:bookmarkStart w:id="7" w:name="_Toc190980895"/>
      <w:r w:rsidR="00E90EA2">
        <w:t>Jobs and Skills Australia Commissioner’s foreword</w:t>
      </w:r>
      <w:bookmarkEnd w:id="7"/>
    </w:p>
    <w:p w14:paraId="4B20FC9B" w14:textId="77777777" w:rsidR="00E90EA2" w:rsidRDefault="00E90EA2" w:rsidP="00E90EA2">
      <w:pPr>
        <w:pStyle w:val="BodyText"/>
        <w:rPr>
          <w:lang w:eastAsia="en-AU"/>
        </w:rPr>
      </w:pPr>
    </w:p>
    <w:p w14:paraId="4369A9EE" w14:textId="730BA8B5" w:rsidR="005A4C67" w:rsidRPr="00985358" w:rsidRDefault="005A4C67" w:rsidP="005A4C67">
      <w:pPr>
        <w:pStyle w:val="BodyText"/>
        <w:rPr>
          <w:lang w:val="en-US"/>
        </w:rPr>
      </w:pPr>
      <w:r w:rsidRPr="00985358">
        <w:rPr>
          <w:lang w:val="en-US"/>
        </w:rPr>
        <w:t>At this moment, Australia has a unique opportunity for game-changing reform of tertiary education to increase opportunities for all</w:t>
      </w:r>
      <w:r w:rsidR="00595AE1">
        <w:rPr>
          <w:lang w:val="en-US"/>
        </w:rPr>
        <w:t xml:space="preserve"> and boost productivity</w:t>
      </w:r>
      <w:r w:rsidRPr="00985358">
        <w:rPr>
          <w:lang w:val="en-US"/>
        </w:rPr>
        <w:t>.</w:t>
      </w:r>
    </w:p>
    <w:p w14:paraId="47A8D691" w14:textId="09F87D93" w:rsidR="005A4C67" w:rsidRPr="00985358" w:rsidRDefault="005A4C67" w:rsidP="005A4C67">
      <w:pPr>
        <w:pStyle w:val="BodyText"/>
        <w:rPr>
          <w:lang w:val="en-US"/>
        </w:rPr>
      </w:pPr>
      <w:r w:rsidRPr="00985358">
        <w:rPr>
          <w:lang w:val="en-US"/>
        </w:rPr>
        <w:t xml:space="preserve">Pressure has been building over the last decade to break down the barriers between VET and </w:t>
      </w:r>
      <w:r w:rsidR="00F30C14">
        <w:rPr>
          <w:lang w:val="en-US"/>
        </w:rPr>
        <w:t>H</w:t>
      </w:r>
      <w:r w:rsidRPr="00985358">
        <w:rPr>
          <w:lang w:val="en-US"/>
        </w:rPr>
        <w:t xml:space="preserve">igher </w:t>
      </w:r>
      <w:r w:rsidR="00F30C14">
        <w:rPr>
          <w:lang w:val="en-US"/>
        </w:rPr>
        <w:t>E</w:t>
      </w:r>
      <w:r w:rsidRPr="00985358">
        <w:rPr>
          <w:lang w:val="en-US"/>
        </w:rPr>
        <w:t xml:space="preserve">ducation </w:t>
      </w:r>
      <w:r>
        <w:rPr>
          <w:lang w:val="en-US"/>
        </w:rPr>
        <w:t xml:space="preserve">- </w:t>
      </w:r>
      <w:r w:rsidRPr="00985358">
        <w:rPr>
          <w:lang w:val="en-US"/>
        </w:rPr>
        <w:t>for the benefit of learners</w:t>
      </w:r>
      <w:r>
        <w:rPr>
          <w:lang w:val="en-US"/>
        </w:rPr>
        <w:t>,</w:t>
      </w:r>
      <w:r w:rsidRPr="00985358">
        <w:rPr>
          <w:lang w:val="en-US"/>
        </w:rPr>
        <w:t xml:space="preserve"> the benefit of the industries who employ them</w:t>
      </w:r>
      <w:r>
        <w:rPr>
          <w:lang w:val="en-US"/>
        </w:rPr>
        <w:t>,</w:t>
      </w:r>
      <w:r w:rsidRPr="00985358">
        <w:rPr>
          <w:lang w:val="en-US"/>
        </w:rPr>
        <w:t xml:space="preserve"> and </w:t>
      </w:r>
      <w:r>
        <w:rPr>
          <w:lang w:val="en-US"/>
        </w:rPr>
        <w:t xml:space="preserve">for the </w:t>
      </w:r>
      <w:r w:rsidRPr="00985358">
        <w:rPr>
          <w:lang w:val="en-US"/>
        </w:rPr>
        <w:t xml:space="preserve">broader </w:t>
      </w:r>
      <w:r>
        <w:rPr>
          <w:lang w:val="en-US"/>
        </w:rPr>
        <w:t xml:space="preserve">benefit of </w:t>
      </w:r>
      <w:r w:rsidRPr="00985358">
        <w:rPr>
          <w:lang w:val="en-US"/>
        </w:rPr>
        <w:t>socie</w:t>
      </w:r>
      <w:r>
        <w:rPr>
          <w:lang w:val="en-US"/>
        </w:rPr>
        <w:t xml:space="preserve">ty </w:t>
      </w:r>
      <w:r w:rsidRPr="00985358">
        <w:rPr>
          <w:lang w:val="en-US"/>
        </w:rPr>
        <w:t xml:space="preserve">and </w:t>
      </w:r>
      <w:r>
        <w:rPr>
          <w:lang w:val="en-US"/>
        </w:rPr>
        <w:t xml:space="preserve">the </w:t>
      </w:r>
      <w:r w:rsidRPr="00985358">
        <w:rPr>
          <w:lang w:val="en-US"/>
        </w:rPr>
        <w:t>econom</w:t>
      </w:r>
      <w:r>
        <w:rPr>
          <w:lang w:val="en-US"/>
        </w:rPr>
        <w:t>y.</w:t>
      </w:r>
      <w:r w:rsidRPr="00985358">
        <w:rPr>
          <w:lang w:val="en-US"/>
        </w:rPr>
        <w:t xml:space="preserve"> If we get it right, these benefits will be large.</w:t>
      </w:r>
    </w:p>
    <w:p w14:paraId="5727E71E" w14:textId="52AA27B6" w:rsidR="00133F28" w:rsidRDefault="005A4C67" w:rsidP="005A4C67">
      <w:pPr>
        <w:pStyle w:val="BodyText"/>
        <w:rPr>
          <w:lang w:val="en-US"/>
        </w:rPr>
      </w:pPr>
      <w:r w:rsidRPr="00985358">
        <w:rPr>
          <w:lang w:val="en-US"/>
        </w:rPr>
        <w:t xml:space="preserve">Tertiary harmonisation is about the strategic alignment of the VET and </w:t>
      </w:r>
      <w:r w:rsidR="006E36F3">
        <w:rPr>
          <w:lang w:val="en-US"/>
        </w:rPr>
        <w:t>Higher Education</w:t>
      </w:r>
      <w:r w:rsidRPr="00985358">
        <w:rPr>
          <w:lang w:val="en-US"/>
        </w:rPr>
        <w:t xml:space="preserve"> sectors. It </w:t>
      </w:r>
      <w:r>
        <w:rPr>
          <w:lang w:val="en-US"/>
        </w:rPr>
        <w:t>is</w:t>
      </w:r>
      <w:r w:rsidRPr="00985358">
        <w:rPr>
          <w:lang w:val="en-US"/>
        </w:rPr>
        <w:t xml:space="preserve"> the effective coordination and cooperation of key system actors, to enable learners to </w:t>
      </w:r>
      <w:r w:rsidR="00354CB7">
        <w:rPr>
          <w:lang w:val="en-US"/>
        </w:rPr>
        <w:t>obtain the combination of</w:t>
      </w:r>
      <w:r w:rsidRPr="00985358">
        <w:rPr>
          <w:lang w:val="en-US"/>
        </w:rPr>
        <w:t xml:space="preserve"> </w:t>
      </w:r>
      <w:r w:rsidR="003D5479">
        <w:rPr>
          <w:lang w:val="en-US"/>
        </w:rPr>
        <w:t xml:space="preserve">skills and </w:t>
      </w:r>
      <w:r w:rsidRPr="00985358">
        <w:rPr>
          <w:lang w:val="en-US"/>
        </w:rPr>
        <w:t xml:space="preserve">knowledge </w:t>
      </w:r>
      <w:r>
        <w:rPr>
          <w:lang w:val="en-US"/>
        </w:rPr>
        <w:t>they</w:t>
      </w:r>
      <w:r w:rsidRPr="00985358">
        <w:rPr>
          <w:lang w:val="en-US"/>
        </w:rPr>
        <w:t xml:space="preserve"> need, and the ability to apply them, to be successful in the labour market.</w:t>
      </w:r>
    </w:p>
    <w:p w14:paraId="333C60FA" w14:textId="4425C63B" w:rsidR="005A4C67" w:rsidRPr="00985358" w:rsidRDefault="005A4C67" w:rsidP="005A4C67">
      <w:pPr>
        <w:pStyle w:val="BodyText"/>
        <w:rPr>
          <w:lang w:val="en-US"/>
        </w:rPr>
      </w:pPr>
      <w:r w:rsidRPr="00985358">
        <w:rPr>
          <w:lang w:val="en-US"/>
        </w:rPr>
        <w:t xml:space="preserve">It is not about merging or integrating VET and </w:t>
      </w:r>
      <w:r w:rsidR="006E36F3">
        <w:rPr>
          <w:lang w:val="en-US"/>
        </w:rPr>
        <w:t>Higher Education</w:t>
      </w:r>
      <w:r w:rsidRPr="00985358">
        <w:rPr>
          <w:lang w:val="en-US"/>
        </w:rPr>
        <w:t>. Each sector has distinctive mission</w:t>
      </w:r>
      <w:r>
        <w:rPr>
          <w:lang w:val="en-US"/>
        </w:rPr>
        <w:t>s</w:t>
      </w:r>
      <w:r w:rsidRPr="00985358">
        <w:rPr>
          <w:lang w:val="en-US"/>
        </w:rPr>
        <w:t xml:space="preserve"> and strengths that need to be nurtured. But they need to be able to work more effectively together.</w:t>
      </w:r>
    </w:p>
    <w:p w14:paraId="1719ECBF" w14:textId="77777777" w:rsidR="00D96CD1" w:rsidRDefault="005A4C67" w:rsidP="005A4C67">
      <w:pPr>
        <w:pStyle w:val="BodyText"/>
        <w:rPr>
          <w:lang w:val="en-US"/>
        </w:rPr>
      </w:pPr>
      <w:r w:rsidRPr="00985358">
        <w:rPr>
          <w:lang w:val="en-US"/>
        </w:rPr>
        <w:t>The establishment of J</w:t>
      </w:r>
      <w:r w:rsidR="005A7D2A">
        <w:rPr>
          <w:lang w:val="en-US"/>
        </w:rPr>
        <w:t xml:space="preserve">obs and </w:t>
      </w:r>
      <w:r w:rsidRPr="00985358">
        <w:rPr>
          <w:lang w:val="en-US"/>
        </w:rPr>
        <w:t>S</w:t>
      </w:r>
      <w:r w:rsidR="005A7D2A">
        <w:rPr>
          <w:lang w:val="en-US"/>
        </w:rPr>
        <w:t xml:space="preserve">kills </w:t>
      </w:r>
      <w:r w:rsidRPr="00985358">
        <w:rPr>
          <w:lang w:val="en-US"/>
        </w:rPr>
        <w:t>A</w:t>
      </w:r>
      <w:r w:rsidR="005A7D2A">
        <w:rPr>
          <w:lang w:val="en-US"/>
        </w:rPr>
        <w:t>ustralia</w:t>
      </w:r>
      <w:r w:rsidR="00046869">
        <w:rPr>
          <w:lang w:val="en-US"/>
        </w:rPr>
        <w:t xml:space="preserve"> (JSA)</w:t>
      </w:r>
      <w:r w:rsidRPr="00985358">
        <w:rPr>
          <w:lang w:val="en-US"/>
        </w:rPr>
        <w:t xml:space="preserve"> to advise government about the operation of both VET and </w:t>
      </w:r>
      <w:r w:rsidR="006E36F3">
        <w:rPr>
          <w:lang w:val="en-US"/>
        </w:rPr>
        <w:t>Higher Education</w:t>
      </w:r>
      <w:r>
        <w:rPr>
          <w:lang w:val="en-US"/>
        </w:rPr>
        <w:t>,</w:t>
      </w:r>
      <w:r w:rsidRPr="00985358">
        <w:rPr>
          <w:lang w:val="en-US"/>
        </w:rPr>
        <w:t xml:space="preserve"> and how effectively they work together, was itself a significant step on the path towards harmonisation.</w:t>
      </w:r>
    </w:p>
    <w:p w14:paraId="60AE9F69" w14:textId="26EE17F6" w:rsidR="005A4C67" w:rsidRPr="00985358" w:rsidRDefault="005A4C67" w:rsidP="005A4C67">
      <w:pPr>
        <w:pStyle w:val="BodyText"/>
        <w:rPr>
          <w:lang w:val="en-US"/>
        </w:rPr>
      </w:pPr>
      <w:r w:rsidRPr="00985358">
        <w:rPr>
          <w:lang w:val="en-US"/>
        </w:rPr>
        <w:t xml:space="preserve">In this report we outline how a tertiary harmonisation roadmap can be developed and implemented, collaboratively between the Commonwealth and </w:t>
      </w:r>
      <w:r w:rsidR="00286BF7">
        <w:rPr>
          <w:lang w:val="en-US"/>
        </w:rPr>
        <w:t>s</w:t>
      </w:r>
      <w:r w:rsidRPr="00985358">
        <w:rPr>
          <w:lang w:val="en-US"/>
        </w:rPr>
        <w:t xml:space="preserve">tate and </w:t>
      </w:r>
      <w:r w:rsidR="00286BF7">
        <w:rPr>
          <w:lang w:val="en-US"/>
        </w:rPr>
        <w:t>t</w:t>
      </w:r>
      <w:r w:rsidRPr="00985358">
        <w:rPr>
          <w:lang w:val="en-US"/>
        </w:rPr>
        <w:t>erritory governments,</w:t>
      </w:r>
      <w:r>
        <w:rPr>
          <w:lang w:val="en-US"/>
        </w:rPr>
        <w:t xml:space="preserve"> and</w:t>
      </w:r>
      <w:r w:rsidRPr="00985358">
        <w:rPr>
          <w:lang w:val="en-US"/>
        </w:rPr>
        <w:t xml:space="preserve"> in partnership with industry and tertiary providers. Getting the governance right is a critical first step. We outline a way forward </w:t>
      </w:r>
      <w:r>
        <w:rPr>
          <w:lang w:val="en-US"/>
        </w:rPr>
        <w:t>to achieve this,</w:t>
      </w:r>
      <w:r w:rsidRPr="00985358">
        <w:rPr>
          <w:lang w:val="en-US"/>
        </w:rPr>
        <w:t xml:space="preserve"> and then provide advice on the early priorities for a roadmap.</w:t>
      </w:r>
    </w:p>
    <w:p w14:paraId="32AA2836" w14:textId="77777777" w:rsidR="002B3632" w:rsidRDefault="005A4C67" w:rsidP="005A4C67">
      <w:pPr>
        <w:pStyle w:val="BodyText"/>
        <w:rPr>
          <w:lang w:val="en-US"/>
        </w:rPr>
      </w:pPr>
      <w:r w:rsidRPr="00985358">
        <w:rPr>
          <w:lang w:val="en-US"/>
        </w:rPr>
        <w:t>In doing</w:t>
      </w:r>
      <w:r>
        <w:rPr>
          <w:lang w:val="en-US"/>
        </w:rPr>
        <w:t xml:space="preserve"> so,</w:t>
      </w:r>
      <w:r w:rsidRPr="00985358">
        <w:rPr>
          <w:lang w:val="en-US"/>
        </w:rPr>
        <w:t xml:space="preserve"> we build on important first steps that are already underway as a result of the recommendation</w:t>
      </w:r>
      <w:r>
        <w:rPr>
          <w:lang w:val="en-US"/>
        </w:rPr>
        <w:t>s</w:t>
      </w:r>
      <w:r w:rsidRPr="00985358">
        <w:rPr>
          <w:lang w:val="en-US"/>
        </w:rPr>
        <w:t xml:space="preserve"> of </w:t>
      </w:r>
      <w:r>
        <w:rPr>
          <w:lang w:val="en-US"/>
        </w:rPr>
        <w:t>t</w:t>
      </w:r>
      <w:r w:rsidRPr="00985358">
        <w:rPr>
          <w:lang w:val="en-US"/>
        </w:rPr>
        <w:t xml:space="preserve">he </w:t>
      </w:r>
      <w:r>
        <w:rPr>
          <w:lang w:val="en-US"/>
        </w:rPr>
        <w:t xml:space="preserve">Australian Universities </w:t>
      </w:r>
      <w:r w:rsidRPr="00985358">
        <w:rPr>
          <w:lang w:val="en-US"/>
        </w:rPr>
        <w:t xml:space="preserve">Accord. We also draw on the recommendations of the House of Representatives Inquiry into the Perceptions and Status of VET. It is </w:t>
      </w:r>
      <w:r>
        <w:rPr>
          <w:lang w:val="en-US"/>
        </w:rPr>
        <w:t>critical</w:t>
      </w:r>
      <w:r w:rsidRPr="00985358">
        <w:rPr>
          <w:lang w:val="en-US"/>
        </w:rPr>
        <w:t xml:space="preserve"> that </w:t>
      </w:r>
      <w:r>
        <w:rPr>
          <w:lang w:val="en-US"/>
        </w:rPr>
        <w:t xml:space="preserve">tertiary </w:t>
      </w:r>
      <w:r w:rsidRPr="00985358">
        <w:rPr>
          <w:lang w:val="en-US"/>
        </w:rPr>
        <w:t>harmoni</w:t>
      </w:r>
      <w:r>
        <w:rPr>
          <w:lang w:val="en-US"/>
        </w:rPr>
        <w:t>s</w:t>
      </w:r>
      <w:r w:rsidRPr="00985358">
        <w:rPr>
          <w:lang w:val="en-US"/>
        </w:rPr>
        <w:t xml:space="preserve">ation </w:t>
      </w:r>
      <w:r>
        <w:rPr>
          <w:lang w:val="en-US"/>
        </w:rPr>
        <w:t>supports</w:t>
      </w:r>
      <w:r w:rsidRPr="00985358">
        <w:rPr>
          <w:lang w:val="en-US"/>
        </w:rPr>
        <w:t xml:space="preserve"> </w:t>
      </w:r>
      <w:r>
        <w:rPr>
          <w:lang w:val="en-US"/>
        </w:rPr>
        <w:t xml:space="preserve">the </w:t>
      </w:r>
      <w:r w:rsidRPr="00985358">
        <w:rPr>
          <w:lang w:val="en-US"/>
        </w:rPr>
        <w:t>enhance</w:t>
      </w:r>
      <w:r>
        <w:rPr>
          <w:lang w:val="en-US"/>
        </w:rPr>
        <w:t>ment</w:t>
      </w:r>
      <w:r w:rsidRPr="00985358">
        <w:rPr>
          <w:lang w:val="en-US"/>
        </w:rPr>
        <w:t xml:space="preserve"> </w:t>
      </w:r>
      <w:r>
        <w:rPr>
          <w:lang w:val="en-US"/>
        </w:rPr>
        <w:t xml:space="preserve">of </w:t>
      </w:r>
      <w:r w:rsidRPr="00985358">
        <w:rPr>
          <w:lang w:val="en-US"/>
        </w:rPr>
        <w:t>the perceptions and status of VET</w:t>
      </w:r>
      <w:r>
        <w:rPr>
          <w:lang w:val="en-US"/>
        </w:rPr>
        <w:t>.</w:t>
      </w:r>
    </w:p>
    <w:p w14:paraId="2E4C6F62" w14:textId="77777777" w:rsidR="00D96CD1" w:rsidRDefault="005A4C67" w:rsidP="005A4C67">
      <w:pPr>
        <w:pStyle w:val="BodyText"/>
        <w:rPr>
          <w:lang w:val="en-US"/>
        </w:rPr>
      </w:pPr>
      <w:r w:rsidRPr="00985358">
        <w:rPr>
          <w:lang w:val="en-US"/>
        </w:rPr>
        <w:t xml:space="preserve">VET providers </w:t>
      </w:r>
      <w:r>
        <w:rPr>
          <w:lang w:val="en-US"/>
        </w:rPr>
        <w:t>must be</w:t>
      </w:r>
      <w:r w:rsidRPr="00985358">
        <w:rPr>
          <w:lang w:val="en-US"/>
        </w:rPr>
        <w:t xml:space="preserve"> at least equal players with </w:t>
      </w:r>
      <w:r w:rsidR="006E36F3">
        <w:rPr>
          <w:lang w:val="en-US"/>
        </w:rPr>
        <w:t>Higher Education</w:t>
      </w:r>
      <w:r w:rsidRPr="00985358">
        <w:rPr>
          <w:lang w:val="en-US"/>
        </w:rPr>
        <w:t xml:space="preserve"> providers. </w:t>
      </w:r>
      <w:r>
        <w:rPr>
          <w:lang w:val="en-US"/>
        </w:rPr>
        <w:t>JSA is committed to working with all governments and with the planned Australian Tertiary Education Commission, which will have a key coordinating role, to help make this agenda successful.</w:t>
      </w:r>
    </w:p>
    <w:p w14:paraId="2B8926AE" w14:textId="4EF1D385" w:rsidR="005A4C67" w:rsidRPr="00985358" w:rsidRDefault="005A4C67" w:rsidP="005A4C67">
      <w:pPr>
        <w:pStyle w:val="BodyText"/>
        <w:rPr>
          <w:lang w:val="en-US"/>
        </w:rPr>
      </w:pPr>
      <w:r w:rsidRPr="00985358">
        <w:rPr>
          <w:lang w:val="en-US"/>
        </w:rPr>
        <w:t>We have benefit</w:t>
      </w:r>
      <w:r>
        <w:rPr>
          <w:lang w:val="en-US"/>
        </w:rPr>
        <w:t>t</w:t>
      </w:r>
      <w:r w:rsidRPr="00985358">
        <w:rPr>
          <w:lang w:val="en-US"/>
        </w:rPr>
        <w:t>ed greatly from roundtables in every state and territory that we have con</w:t>
      </w:r>
      <w:r>
        <w:rPr>
          <w:lang w:val="en-US"/>
        </w:rPr>
        <w:t>ven</w:t>
      </w:r>
      <w:r w:rsidRPr="00985358">
        <w:rPr>
          <w:lang w:val="en-US"/>
        </w:rPr>
        <w:t>ed along with our colleagues Deputy Commissioners Megan Lilly and Trevor G</w:t>
      </w:r>
      <w:r>
        <w:rPr>
          <w:lang w:val="en-US"/>
        </w:rPr>
        <w:t>a</w:t>
      </w:r>
      <w:r w:rsidRPr="00985358">
        <w:rPr>
          <w:lang w:val="en-US"/>
        </w:rPr>
        <w:t xml:space="preserve">uld and Executive Director, David Turvey. We have been impressed by the appetite for </w:t>
      </w:r>
      <w:r>
        <w:rPr>
          <w:lang w:val="en-US"/>
        </w:rPr>
        <w:t xml:space="preserve">tertiary </w:t>
      </w:r>
      <w:r w:rsidRPr="00985358">
        <w:rPr>
          <w:lang w:val="en-US"/>
        </w:rPr>
        <w:t>harmonisat</w:t>
      </w:r>
      <w:r>
        <w:rPr>
          <w:lang w:val="en-US"/>
        </w:rPr>
        <w:t>i</w:t>
      </w:r>
      <w:r w:rsidRPr="00985358">
        <w:rPr>
          <w:lang w:val="en-US"/>
        </w:rPr>
        <w:t>on that has been displayed in those roundtables</w:t>
      </w:r>
      <w:r>
        <w:rPr>
          <w:lang w:val="en-US"/>
        </w:rPr>
        <w:t xml:space="preserve">, </w:t>
      </w:r>
      <w:r w:rsidRPr="00985358">
        <w:rPr>
          <w:lang w:val="en-US"/>
        </w:rPr>
        <w:t xml:space="preserve">and </w:t>
      </w:r>
      <w:r>
        <w:rPr>
          <w:lang w:val="en-US"/>
        </w:rPr>
        <w:t xml:space="preserve">we </w:t>
      </w:r>
      <w:r w:rsidR="001602F8">
        <w:rPr>
          <w:lang w:val="en-US"/>
        </w:rPr>
        <w:t>have benefitted</w:t>
      </w:r>
      <w:r>
        <w:rPr>
          <w:lang w:val="en-US"/>
        </w:rPr>
        <w:t xml:space="preserve"> from </w:t>
      </w:r>
      <w:r w:rsidR="001602F8">
        <w:rPr>
          <w:lang w:val="en-US"/>
        </w:rPr>
        <w:t xml:space="preserve">many very helpful suggestions from the </w:t>
      </w:r>
      <w:r w:rsidRPr="00985358">
        <w:rPr>
          <w:lang w:val="en-US"/>
        </w:rPr>
        <w:t>participants.</w:t>
      </w:r>
    </w:p>
    <w:p w14:paraId="60EBDA78" w14:textId="77777777" w:rsidR="00D96CD1" w:rsidRDefault="005A4C67" w:rsidP="005A4C67">
      <w:pPr>
        <w:pStyle w:val="BodyText"/>
        <w:rPr>
          <w:lang w:val="en-US"/>
        </w:rPr>
      </w:pPr>
      <w:r w:rsidRPr="00985358">
        <w:rPr>
          <w:lang w:val="en-US"/>
        </w:rPr>
        <w:t>Alon</w:t>
      </w:r>
      <w:r>
        <w:rPr>
          <w:lang w:val="en-US"/>
        </w:rPr>
        <w:t>g</w:t>
      </w:r>
      <w:r w:rsidRPr="00985358">
        <w:rPr>
          <w:lang w:val="en-US"/>
        </w:rPr>
        <w:t xml:space="preserve"> the way we have been alerted to </w:t>
      </w:r>
      <w:r>
        <w:rPr>
          <w:lang w:val="en-US"/>
        </w:rPr>
        <w:t xml:space="preserve">a </w:t>
      </w:r>
      <w:r w:rsidRPr="00985358">
        <w:rPr>
          <w:lang w:val="en-US"/>
        </w:rPr>
        <w:t xml:space="preserve">significant number of examples of </w:t>
      </w:r>
      <w:r>
        <w:rPr>
          <w:lang w:val="en-US"/>
        </w:rPr>
        <w:t xml:space="preserve">impressive </w:t>
      </w:r>
      <w:r w:rsidRPr="00985358">
        <w:rPr>
          <w:lang w:val="en-US"/>
        </w:rPr>
        <w:t>collaborati</w:t>
      </w:r>
      <w:r>
        <w:rPr>
          <w:lang w:val="en-US"/>
        </w:rPr>
        <w:t>on</w:t>
      </w:r>
      <w:r w:rsidR="00F66D55">
        <w:rPr>
          <w:lang w:val="en-US"/>
        </w:rPr>
        <w:t xml:space="preserve">, despite the </w:t>
      </w:r>
      <w:r w:rsidR="004E2ABA">
        <w:rPr>
          <w:lang w:val="en-US"/>
        </w:rPr>
        <w:t>obstacles</w:t>
      </w:r>
      <w:r w:rsidR="00F66D55">
        <w:rPr>
          <w:lang w:val="en-US"/>
        </w:rPr>
        <w:t>,</w:t>
      </w:r>
      <w:r w:rsidRPr="00985358">
        <w:rPr>
          <w:lang w:val="en-US"/>
        </w:rPr>
        <w:t xml:space="preserve"> between VET and </w:t>
      </w:r>
      <w:r w:rsidR="006E36F3">
        <w:rPr>
          <w:lang w:val="en-US"/>
        </w:rPr>
        <w:t>Higher Education</w:t>
      </w:r>
      <w:r w:rsidR="00134683">
        <w:rPr>
          <w:lang w:val="en-US"/>
        </w:rPr>
        <w:t xml:space="preserve"> providers</w:t>
      </w:r>
      <w:r w:rsidRPr="00985358">
        <w:rPr>
          <w:lang w:val="en-US"/>
        </w:rPr>
        <w:t>, often with industry involvement</w:t>
      </w:r>
      <w:r>
        <w:rPr>
          <w:lang w:val="en-US"/>
        </w:rPr>
        <w:t>,</w:t>
      </w:r>
      <w:r w:rsidRPr="00985358">
        <w:rPr>
          <w:lang w:val="en-US"/>
        </w:rPr>
        <w:t xml:space="preserve"> to provide harmonised programs and pathways.</w:t>
      </w:r>
    </w:p>
    <w:p w14:paraId="1EC91CD8" w14:textId="77777777" w:rsidR="00D96CD1" w:rsidRDefault="005A4C67" w:rsidP="005A4C67">
      <w:pPr>
        <w:pStyle w:val="BodyText"/>
        <w:rPr>
          <w:lang w:val="en-US"/>
        </w:rPr>
      </w:pPr>
      <w:r w:rsidRPr="00985358">
        <w:rPr>
          <w:lang w:val="en-US"/>
        </w:rPr>
        <w:lastRenderedPageBreak/>
        <w:t>The time has come to progressively remove those obstacles and create the platforms that will promote more system</w:t>
      </w:r>
      <w:r>
        <w:rPr>
          <w:lang w:val="en-US"/>
        </w:rPr>
        <w:t>ic</w:t>
      </w:r>
      <w:r w:rsidRPr="00985358">
        <w:rPr>
          <w:lang w:val="en-US"/>
        </w:rPr>
        <w:t xml:space="preserve"> harmonisation for </w:t>
      </w:r>
      <w:r>
        <w:rPr>
          <w:lang w:val="en-US"/>
        </w:rPr>
        <w:t>large-scale</w:t>
      </w:r>
      <w:r w:rsidRPr="00985358">
        <w:rPr>
          <w:lang w:val="en-US"/>
        </w:rPr>
        <w:t xml:space="preserve"> benefit</w:t>
      </w:r>
      <w:r>
        <w:rPr>
          <w:lang w:val="en-US"/>
        </w:rPr>
        <w:t>s</w:t>
      </w:r>
      <w:r w:rsidRPr="00985358">
        <w:rPr>
          <w:lang w:val="en-US"/>
        </w:rPr>
        <w:t xml:space="preserve"> </w:t>
      </w:r>
      <w:r>
        <w:rPr>
          <w:lang w:val="en-US"/>
        </w:rPr>
        <w:t xml:space="preserve">for </w:t>
      </w:r>
      <w:r w:rsidRPr="00985358">
        <w:rPr>
          <w:lang w:val="en-US"/>
        </w:rPr>
        <w:t>learners and indu</w:t>
      </w:r>
      <w:r>
        <w:rPr>
          <w:lang w:val="en-US"/>
        </w:rPr>
        <w:t>s</w:t>
      </w:r>
      <w:r w:rsidRPr="00985358">
        <w:rPr>
          <w:lang w:val="en-US"/>
        </w:rPr>
        <w:t>try.</w:t>
      </w:r>
    </w:p>
    <w:p w14:paraId="08FB34F3" w14:textId="47944934" w:rsidR="005A4C67" w:rsidRPr="00985358" w:rsidRDefault="005A4C67" w:rsidP="0099731E">
      <w:pPr>
        <w:pStyle w:val="BodyText"/>
        <w:tabs>
          <w:tab w:val="clear" w:pos="357"/>
          <w:tab w:val="clear" w:pos="714"/>
          <w:tab w:val="clear" w:pos="1072"/>
          <w:tab w:val="clear" w:pos="1429"/>
        </w:tabs>
        <w:rPr>
          <w:lang w:val="en-US"/>
        </w:rPr>
      </w:pPr>
      <w:r w:rsidRPr="00985358">
        <w:rPr>
          <w:lang w:val="en-US"/>
        </w:rPr>
        <w:t>We</w:t>
      </w:r>
      <w:r>
        <w:rPr>
          <w:lang w:val="en-US"/>
        </w:rPr>
        <w:t xml:space="preserve"> </w:t>
      </w:r>
      <w:r w:rsidRPr="00985358">
        <w:rPr>
          <w:lang w:val="en-US"/>
        </w:rPr>
        <w:t xml:space="preserve">provide a framework within which to evaluate the progress of </w:t>
      </w:r>
      <w:r>
        <w:rPr>
          <w:lang w:val="en-US"/>
        </w:rPr>
        <w:t xml:space="preserve">tertiary </w:t>
      </w:r>
      <w:r w:rsidRPr="00985358">
        <w:rPr>
          <w:lang w:val="en-US"/>
        </w:rPr>
        <w:t xml:space="preserve">harmonisation and its </w:t>
      </w:r>
      <w:r w:rsidR="000011E1">
        <w:rPr>
          <w:lang w:val="en-US"/>
        </w:rPr>
        <w:t xml:space="preserve">significant </w:t>
      </w:r>
      <w:r w:rsidRPr="00985358">
        <w:rPr>
          <w:lang w:val="en-US"/>
        </w:rPr>
        <w:t xml:space="preserve">benefits: increasing efficiency and effectiveness; increasing access and equity; meeting national challenges; and </w:t>
      </w:r>
      <w:r>
        <w:rPr>
          <w:lang w:val="en-US"/>
        </w:rPr>
        <w:t>increasing</w:t>
      </w:r>
      <w:r w:rsidRPr="00985358">
        <w:rPr>
          <w:lang w:val="en-US"/>
        </w:rPr>
        <w:t xml:space="preserve"> productivity and </w:t>
      </w:r>
      <w:r>
        <w:rPr>
          <w:lang w:val="en-US"/>
        </w:rPr>
        <w:t>enhancing</w:t>
      </w:r>
      <w:r w:rsidRPr="00985358">
        <w:rPr>
          <w:lang w:val="en-US"/>
        </w:rPr>
        <w:t xml:space="preserve"> labour market outcomes.</w:t>
      </w:r>
    </w:p>
    <w:p w14:paraId="4ED28F06" w14:textId="77777777" w:rsidR="006D48C7" w:rsidRPr="006D48C7" w:rsidRDefault="005A4C67" w:rsidP="006D48C7">
      <w:pPr>
        <w:pStyle w:val="BodyText"/>
        <w:rPr>
          <w:lang w:val="en-US"/>
        </w:rPr>
      </w:pPr>
      <w:r w:rsidRPr="00985358">
        <w:rPr>
          <w:lang w:val="en-US"/>
        </w:rPr>
        <w:t>We have jointly steered this project over the last year, abl</w:t>
      </w:r>
      <w:r>
        <w:rPr>
          <w:lang w:val="en-US"/>
        </w:rPr>
        <w:t>y</w:t>
      </w:r>
      <w:r w:rsidRPr="00985358">
        <w:rPr>
          <w:lang w:val="en-US"/>
        </w:rPr>
        <w:t xml:space="preserve"> supported by our </w:t>
      </w:r>
      <w:r w:rsidR="007327D5">
        <w:rPr>
          <w:lang w:val="en-US"/>
        </w:rPr>
        <w:t>T</w:t>
      </w:r>
      <w:r w:rsidRPr="00985358">
        <w:rPr>
          <w:lang w:val="en-US"/>
        </w:rPr>
        <w:t xml:space="preserve">ertiary </w:t>
      </w:r>
      <w:r w:rsidR="007327D5">
        <w:rPr>
          <w:lang w:val="en-US"/>
        </w:rPr>
        <w:t>P</w:t>
      </w:r>
      <w:r>
        <w:rPr>
          <w:lang w:val="en-US"/>
        </w:rPr>
        <w:t xml:space="preserve">olicy </w:t>
      </w:r>
      <w:r w:rsidR="007327D5">
        <w:rPr>
          <w:lang w:val="en-US"/>
        </w:rPr>
        <w:t>A</w:t>
      </w:r>
      <w:r w:rsidRPr="00985358">
        <w:rPr>
          <w:lang w:val="en-US"/>
        </w:rPr>
        <w:t>lignment team.</w:t>
      </w:r>
      <w:r>
        <w:rPr>
          <w:lang w:val="en-US"/>
        </w:rPr>
        <w:t xml:space="preserve"> </w:t>
      </w:r>
      <w:r w:rsidRPr="00985358">
        <w:rPr>
          <w:lang w:val="en-US"/>
        </w:rPr>
        <w:t xml:space="preserve">Deputy Commissioner Megan Lilly, who joined JSA </w:t>
      </w:r>
      <w:r>
        <w:rPr>
          <w:lang w:val="en-US"/>
        </w:rPr>
        <w:t xml:space="preserve">in </w:t>
      </w:r>
      <w:r w:rsidRPr="00985358">
        <w:rPr>
          <w:lang w:val="en-US"/>
        </w:rPr>
        <w:t xml:space="preserve">September, has worked closely with us in </w:t>
      </w:r>
      <w:r>
        <w:rPr>
          <w:lang w:val="en-US"/>
        </w:rPr>
        <w:t>delivering this report</w:t>
      </w:r>
      <w:r w:rsidRPr="00985358">
        <w:rPr>
          <w:lang w:val="en-US"/>
        </w:rPr>
        <w:t>.</w:t>
      </w:r>
      <w:bookmarkStart w:id="8" w:name="_Toc190980896"/>
    </w:p>
    <w:p w14:paraId="7EC5AF6B" w14:textId="77777777" w:rsidR="006D48C7" w:rsidRPr="006D48C7" w:rsidRDefault="006D48C7" w:rsidP="006D48C7">
      <w:pPr>
        <w:pStyle w:val="BodyText"/>
        <w:rPr>
          <w:b/>
          <w:bCs/>
          <w:lang w:val="en-US"/>
        </w:rPr>
        <w:sectPr w:rsidR="006D48C7" w:rsidRPr="006D48C7" w:rsidSect="006D48C7">
          <w:footerReference w:type="first" r:id="rId20"/>
          <w:type w:val="evenPage"/>
          <w:pgSz w:w="11907" w:h="16839" w:code="9"/>
          <w:pgMar w:top="1440" w:right="1270" w:bottom="1440" w:left="1270" w:header="720" w:footer="720" w:gutter="0"/>
          <w:pgNumType w:start="1"/>
          <w:cols w:space="720"/>
          <w:titlePg/>
          <w:docGrid w:linePitch="360"/>
        </w:sectPr>
      </w:pPr>
    </w:p>
    <w:p w14:paraId="00E79EB3" w14:textId="77777777" w:rsidR="006D48C7" w:rsidRPr="006D48C7" w:rsidRDefault="006D48C7" w:rsidP="0099731E">
      <w:pPr>
        <w:pStyle w:val="BodyText"/>
        <w:tabs>
          <w:tab w:val="clear" w:pos="357"/>
          <w:tab w:val="clear" w:pos="714"/>
          <w:tab w:val="clear" w:pos="1072"/>
          <w:tab w:val="clear" w:pos="1429"/>
        </w:tabs>
        <w:spacing w:before="1800"/>
        <w:rPr>
          <w:b/>
          <w:bCs/>
          <w:lang w:val="en-US"/>
        </w:rPr>
      </w:pPr>
      <w:r w:rsidRPr="006D48C7">
        <w:rPr>
          <w:b/>
          <w:bCs/>
          <w:lang w:val="en-US"/>
        </w:rPr>
        <w:t>Professor Barney Glover AO</w:t>
      </w:r>
    </w:p>
    <w:p w14:paraId="52A7113C" w14:textId="77777777" w:rsidR="00CB116F" w:rsidRDefault="006D48C7" w:rsidP="006D48C7">
      <w:pPr>
        <w:pStyle w:val="BodyText"/>
        <w:rPr>
          <w:lang w:val="en-US"/>
        </w:rPr>
      </w:pPr>
      <w:r w:rsidRPr="006D48C7">
        <w:rPr>
          <w:lang w:val="en-US"/>
        </w:rPr>
        <w:t>Commissioner, Jobs and Skills Australia</w:t>
      </w:r>
    </w:p>
    <w:p w14:paraId="6EBB58B4" w14:textId="7F0A8BED" w:rsidR="006D48C7" w:rsidRPr="006D48C7" w:rsidRDefault="00176192" w:rsidP="0099731E">
      <w:pPr>
        <w:pStyle w:val="BodyText"/>
        <w:tabs>
          <w:tab w:val="clear" w:pos="357"/>
          <w:tab w:val="clear" w:pos="714"/>
          <w:tab w:val="clear" w:pos="1072"/>
          <w:tab w:val="clear" w:pos="1429"/>
        </w:tabs>
        <w:spacing w:before="1800"/>
        <w:rPr>
          <w:b/>
          <w:bCs/>
          <w:lang w:val="en-US"/>
        </w:rPr>
      </w:pPr>
      <w:r>
        <w:rPr>
          <w:lang w:val="en-US"/>
        </w:rPr>
        <w:br w:type="column"/>
      </w:r>
      <w:r w:rsidR="006D48C7" w:rsidRPr="006D48C7">
        <w:rPr>
          <w:b/>
          <w:bCs/>
          <w:lang w:val="en-US"/>
        </w:rPr>
        <w:t>Professor Peter Dawkins AO</w:t>
      </w:r>
    </w:p>
    <w:p w14:paraId="51643DE4" w14:textId="01B5129E" w:rsidR="006D48C7" w:rsidRPr="006D48C7" w:rsidRDefault="006D48C7" w:rsidP="006D48C7">
      <w:pPr>
        <w:pStyle w:val="BodyText"/>
        <w:sectPr w:rsidR="006D48C7" w:rsidRPr="006D48C7" w:rsidSect="006D48C7">
          <w:type w:val="continuous"/>
          <w:pgSz w:w="11907" w:h="16839" w:code="9"/>
          <w:pgMar w:top="1440" w:right="1270" w:bottom="1440" w:left="1270" w:header="720" w:footer="720" w:gutter="0"/>
          <w:pgNumType w:start="1"/>
          <w:cols w:num="2" w:space="851" w:equalWidth="0">
            <w:col w:w="3686" w:space="851"/>
            <w:col w:w="4830"/>
          </w:cols>
          <w:titlePg/>
          <w:docGrid w:linePitch="360"/>
        </w:sectPr>
      </w:pPr>
      <w:r w:rsidRPr="006D48C7">
        <w:rPr>
          <w:lang w:val="en-US"/>
        </w:rPr>
        <w:t>Special Advisor, Jobs and Skills Australia</w:t>
      </w:r>
    </w:p>
    <w:p w14:paraId="1701E701" w14:textId="64EB441F" w:rsidR="00DD35E1" w:rsidRDefault="00DD35E1" w:rsidP="0099731E">
      <w:pPr>
        <w:pStyle w:val="Heading1unnumbered"/>
        <w:tabs>
          <w:tab w:val="clear" w:pos="357"/>
          <w:tab w:val="clear" w:pos="714"/>
          <w:tab w:val="clear" w:pos="1072"/>
          <w:tab w:val="clear" w:pos="1429"/>
        </w:tabs>
      </w:pPr>
      <w:r>
        <w:lastRenderedPageBreak/>
        <w:t>Executive summary</w:t>
      </w:r>
      <w:bookmarkEnd w:id="6"/>
      <w:bookmarkEnd w:id="8"/>
    </w:p>
    <w:p w14:paraId="0A27476F" w14:textId="569ABDD9" w:rsidR="00E7538C" w:rsidRPr="00E7538C" w:rsidRDefault="001A68B7" w:rsidP="00F64E92">
      <w:pPr>
        <w:pStyle w:val="Heading2"/>
        <w:numPr>
          <w:ilvl w:val="0"/>
          <w:numId w:val="0"/>
        </w:numPr>
        <w:ind w:left="1072" w:hanging="1072"/>
      </w:pPr>
      <w:bookmarkStart w:id="9" w:name="_Toc190980897"/>
      <w:r>
        <w:t>Tertiary Harmonisation</w:t>
      </w:r>
      <w:bookmarkEnd w:id="9"/>
    </w:p>
    <w:p w14:paraId="06069385" w14:textId="77777777" w:rsidR="00601CD1" w:rsidRPr="00601CD1" w:rsidRDefault="00601CD1" w:rsidP="00601CD1">
      <w:pPr>
        <w:pStyle w:val="BodyText"/>
        <w:rPr>
          <w:lang w:eastAsia="en-AU"/>
        </w:rPr>
      </w:pPr>
    </w:p>
    <w:p w14:paraId="018D9043" w14:textId="77777777" w:rsidR="005420CE" w:rsidRPr="00F33663" w:rsidRDefault="005420CE" w:rsidP="005420CE">
      <w:pPr>
        <w:rPr>
          <w:rFonts w:cs="Arial"/>
          <w:b/>
          <w:bCs/>
        </w:rPr>
      </w:pPr>
      <w:r w:rsidRPr="00F33663">
        <w:rPr>
          <w:rFonts w:cs="Arial"/>
          <w:b/>
          <w:bCs/>
        </w:rPr>
        <w:t>What is harmonisation?</w:t>
      </w:r>
    </w:p>
    <w:p w14:paraId="5B28E9E6" w14:textId="77777777" w:rsidR="00D96CD1" w:rsidRDefault="005420CE" w:rsidP="00A226C0">
      <w:pPr>
        <w:pStyle w:val="BodyText"/>
      </w:pPr>
      <w:r w:rsidRPr="00C55C07">
        <w:t xml:space="preserve">Tertiary harmonisation is the strategic alignment of the </w:t>
      </w:r>
      <w:r w:rsidR="006E36F3">
        <w:t>Higher Education</w:t>
      </w:r>
      <w:r w:rsidRPr="00C55C07">
        <w:t xml:space="preserve"> and </w:t>
      </w:r>
      <w:r w:rsidR="009C274A">
        <w:t>V</w:t>
      </w:r>
      <w:r w:rsidRPr="00C55C07">
        <w:t xml:space="preserve">ocational </w:t>
      </w:r>
      <w:r w:rsidR="009C274A">
        <w:t>E</w:t>
      </w:r>
      <w:r w:rsidRPr="00C55C07">
        <w:t xml:space="preserve">ducation and </w:t>
      </w:r>
      <w:r w:rsidR="009C274A">
        <w:t>T</w:t>
      </w:r>
      <w:r w:rsidRPr="00C55C07">
        <w:t>raining (VET) sectors. It involves the effective coordination and cooperation of key system actors, to enable learners to obtain the combination of knowledge</w:t>
      </w:r>
      <w:r w:rsidR="001C6B74">
        <w:t>,</w:t>
      </w:r>
      <w:r w:rsidRPr="00C55C07">
        <w:t xml:space="preserve"> skills and their application needed to be successful in a changing labour market.</w:t>
      </w:r>
    </w:p>
    <w:p w14:paraId="4D164E57" w14:textId="0A904161" w:rsidR="00601CD1" w:rsidRPr="00C55C07" w:rsidRDefault="00601CD1" w:rsidP="00A226C0">
      <w:pPr>
        <w:pStyle w:val="BodyText"/>
      </w:pPr>
    </w:p>
    <w:p w14:paraId="7FF84551" w14:textId="77777777" w:rsidR="005420CE" w:rsidRPr="00A226C0" w:rsidRDefault="005420CE" w:rsidP="005420CE">
      <w:pPr>
        <w:rPr>
          <w:rStyle w:val="Characterbold"/>
        </w:rPr>
      </w:pPr>
      <w:r w:rsidRPr="00A226C0">
        <w:rPr>
          <w:rStyle w:val="Characterbold"/>
        </w:rPr>
        <w:t>What it isn’t</w:t>
      </w:r>
    </w:p>
    <w:p w14:paraId="728832CA" w14:textId="3850EF85" w:rsidR="005420CE" w:rsidRPr="003527B5" w:rsidRDefault="005420CE" w:rsidP="00A226C0">
      <w:pPr>
        <w:pStyle w:val="BodyText"/>
      </w:pPr>
      <w:r w:rsidRPr="003527B5">
        <w:t xml:space="preserve">Tertiary harmonisation is not about merging or integrating VET and </w:t>
      </w:r>
      <w:r w:rsidR="006E36F3">
        <w:t>Higher Education</w:t>
      </w:r>
      <w:r w:rsidRPr="003527B5">
        <w:t>. Each would remain a distinctive sector with important differences in their missions and their approaches to learning.</w:t>
      </w:r>
    </w:p>
    <w:p w14:paraId="22F01B1F" w14:textId="77777777" w:rsidR="00601CD1" w:rsidRPr="003527B5" w:rsidRDefault="00601CD1" w:rsidP="00A226C0">
      <w:pPr>
        <w:pStyle w:val="BodyText"/>
      </w:pPr>
    </w:p>
    <w:p w14:paraId="6E116970" w14:textId="77777777" w:rsidR="005420CE" w:rsidRPr="00A226C0" w:rsidRDefault="005420CE" w:rsidP="005420CE">
      <w:pPr>
        <w:rPr>
          <w:rStyle w:val="Characterbold"/>
        </w:rPr>
      </w:pPr>
      <w:r w:rsidRPr="00A226C0">
        <w:rPr>
          <w:rStyle w:val="Characterbold"/>
        </w:rPr>
        <w:t>The high-level case for harmonisation</w:t>
      </w:r>
    </w:p>
    <w:p w14:paraId="2D06E9D8" w14:textId="235BF3BB" w:rsidR="005420CE" w:rsidRDefault="005420CE" w:rsidP="00A226C0">
      <w:pPr>
        <w:pStyle w:val="BodyText"/>
      </w:pPr>
      <w:r w:rsidRPr="00CB1437">
        <w:t>The high-level case for tertiary harmonisation is to:</w:t>
      </w:r>
    </w:p>
    <w:p w14:paraId="7D45DC8E" w14:textId="032C0EE3" w:rsidR="005420CE" w:rsidRDefault="005420CE" w:rsidP="00A61EF5">
      <w:pPr>
        <w:pStyle w:val="ListBullet2"/>
        <w:numPr>
          <w:ilvl w:val="1"/>
          <w:numId w:val="24"/>
        </w:numPr>
      </w:pPr>
      <w:r>
        <w:t>enhance the ability of learners to navigate the education and training system to obtain the knowledge, skills and the ability to apply them, that they need to successful</w:t>
      </w:r>
      <w:r w:rsidR="00063D9B">
        <w:t>ly</w:t>
      </w:r>
      <w:r>
        <w:t xml:space="preserve"> participate in the labour market</w:t>
      </w:r>
      <w:r w:rsidR="003E24C8">
        <w:t>.</w:t>
      </w:r>
    </w:p>
    <w:p w14:paraId="7C2B32A9" w14:textId="7C5DD2AF" w:rsidR="005420CE" w:rsidRDefault="005420CE" w:rsidP="00A61EF5">
      <w:pPr>
        <w:pStyle w:val="ListBullet2"/>
        <w:numPr>
          <w:ilvl w:val="1"/>
          <w:numId w:val="24"/>
        </w:numPr>
      </w:pPr>
      <w:r>
        <w:t>promote equity of access to universal high quality tertiary education</w:t>
      </w:r>
      <w:r w:rsidR="003E24C8">
        <w:t>.</w:t>
      </w:r>
    </w:p>
    <w:p w14:paraId="20437FFF" w14:textId="19A10597" w:rsidR="005420CE" w:rsidRDefault="005420CE" w:rsidP="00A61EF5">
      <w:pPr>
        <w:pStyle w:val="ListBullet2"/>
        <w:numPr>
          <w:ilvl w:val="1"/>
          <w:numId w:val="24"/>
        </w:numPr>
      </w:pPr>
      <w:r>
        <w:t>correct for distortions in incentives for learners to participate in one part of the education and training system rather than another</w:t>
      </w:r>
      <w:r w:rsidR="003E24C8">
        <w:t>.</w:t>
      </w:r>
    </w:p>
    <w:p w14:paraId="58922430" w14:textId="4D01D610" w:rsidR="005420CE" w:rsidRPr="00984A1D" w:rsidRDefault="005420CE" w:rsidP="00A61EF5">
      <w:pPr>
        <w:pStyle w:val="ListBullet2"/>
        <w:numPr>
          <w:ilvl w:val="1"/>
          <w:numId w:val="24"/>
        </w:numPr>
      </w:pPr>
      <w:r>
        <w:t xml:space="preserve">encourage VET providers, </w:t>
      </w:r>
      <w:r w:rsidR="006E36F3">
        <w:t>Higher Education</w:t>
      </w:r>
      <w:r>
        <w:t xml:space="preserve"> providers and industry to collaborate in the provision of well-designed education and training programs to secure the development of the knowledge</w:t>
      </w:r>
      <w:r w:rsidR="00FE1FC7">
        <w:t>,</w:t>
      </w:r>
      <w:r>
        <w:t xml:space="preserve"> skills and their application, needed for the Australian economy.</w:t>
      </w:r>
    </w:p>
    <w:p w14:paraId="66093C39" w14:textId="77777777" w:rsidR="00EE5E4E" w:rsidRPr="00984A1D" w:rsidRDefault="00EE5E4E" w:rsidP="00702B24">
      <w:pPr>
        <w:pStyle w:val="ListBullet2"/>
        <w:numPr>
          <w:ilvl w:val="0"/>
          <w:numId w:val="0"/>
        </w:numPr>
      </w:pPr>
    </w:p>
    <w:p w14:paraId="4E5C65CD" w14:textId="77777777" w:rsidR="00D96CD1" w:rsidRDefault="005420CE" w:rsidP="005420CE">
      <w:pPr>
        <w:rPr>
          <w:rStyle w:val="Characterbold"/>
        </w:rPr>
      </w:pPr>
      <w:r w:rsidRPr="00A226C0">
        <w:rPr>
          <w:rStyle w:val="Characterbold"/>
        </w:rPr>
        <w:t>Context – now is the time</w:t>
      </w:r>
    </w:p>
    <w:p w14:paraId="226EFCD9" w14:textId="77777777" w:rsidR="00D96CD1" w:rsidRDefault="005420CE" w:rsidP="00A226C0">
      <w:pPr>
        <w:pStyle w:val="BodyText"/>
        <w:rPr>
          <w:lang w:val="en-US"/>
        </w:rPr>
      </w:pPr>
      <w:r w:rsidRPr="00CB2F7D">
        <w:rPr>
          <w:lang w:val="en-US"/>
        </w:rPr>
        <w:t xml:space="preserve">Pressure has been building over the last decade to break down the barriers between VET and </w:t>
      </w:r>
      <w:r w:rsidR="006E36F3">
        <w:rPr>
          <w:lang w:val="en-US"/>
        </w:rPr>
        <w:t>Higher Education</w:t>
      </w:r>
      <w:r w:rsidRPr="00CB2F7D">
        <w:rPr>
          <w:lang w:val="en-US"/>
        </w:rPr>
        <w:t xml:space="preserve"> for the benefit of learners, the benefit of the industries who employ them, and broader societal and economic benefits.</w:t>
      </w:r>
    </w:p>
    <w:p w14:paraId="64D22DA4" w14:textId="77777777" w:rsidR="00D96CD1" w:rsidRDefault="005420CE" w:rsidP="00A226C0">
      <w:pPr>
        <w:pStyle w:val="BodyText"/>
        <w:rPr>
          <w:lang w:val="en-US"/>
        </w:rPr>
      </w:pPr>
      <w:r w:rsidRPr="00CB2F7D">
        <w:rPr>
          <w:lang w:val="en-US"/>
        </w:rPr>
        <w:t xml:space="preserve">There are an increasing number of examples of impressive collaboration between VET and </w:t>
      </w:r>
      <w:r w:rsidR="006E36F3">
        <w:rPr>
          <w:lang w:val="en-US"/>
        </w:rPr>
        <w:t>Higher Education</w:t>
      </w:r>
      <w:r w:rsidRPr="00CB2F7D">
        <w:rPr>
          <w:lang w:val="en-US"/>
        </w:rPr>
        <w:t xml:space="preserve">, often with industry involvement, to provide harmonised programs and pathways, despite the obstacles. A few </w:t>
      </w:r>
      <w:r>
        <w:rPr>
          <w:lang w:val="en-US"/>
        </w:rPr>
        <w:t>such examples</w:t>
      </w:r>
      <w:r w:rsidRPr="00CB2F7D">
        <w:rPr>
          <w:lang w:val="en-US"/>
        </w:rPr>
        <w:t xml:space="preserve"> are highlighted in this report. The time has come to progressively remove those obstacles and create the platforms that will promote more systemic harmonisation for large-scale benefits for learners and industry.</w:t>
      </w:r>
    </w:p>
    <w:p w14:paraId="06061527" w14:textId="3B667639" w:rsidR="00E7538C" w:rsidRDefault="005420CE" w:rsidP="00EE5E4E">
      <w:pPr>
        <w:pStyle w:val="BodyText"/>
        <w:rPr>
          <w:rFonts w:eastAsia="Times New Roman" w:cs="Arial"/>
          <w:b/>
          <w:bCs/>
          <w:iCs/>
          <w:color w:val="2F005F"/>
          <w:sz w:val="32"/>
          <w:szCs w:val="28"/>
          <w:lang w:eastAsia="en-AU"/>
        </w:rPr>
      </w:pPr>
      <w:r>
        <w:rPr>
          <w:lang w:val="en-US"/>
        </w:rPr>
        <w:t>The range of obstacles, relating to legislative and regulatory settings, qualifications design,</w:t>
      </w:r>
      <w:r w:rsidR="001F6D13">
        <w:rPr>
          <w:lang w:val="en-US"/>
        </w:rPr>
        <w:t xml:space="preserve"> </w:t>
      </w:r>
      <w:r w:rsidR="009A5EE3">
        <w:rPr>
          <w:lang w:val="en-US"/>
        </w:rPr>
        <w:t>and</w:t>
      </w:r>
      <w:r>
        <w:rPr>
          <w:lang w:val="en-US"/>
        </w:rPr>
        <w:t xml:space="preserve"> funding arrangements, to name a few, are outlined</w:t>
      </w:r>
      <w:r w:rsidR="00BB12B1">
        <w:rPr>
          <w:lang w:val="en-US"/>
        </w:rPr>
        <w:t>.</w:t>
      </w:r>
      <w:r>
        <w:rPr>
          <w:lang w:val="en-US"/>
        </w:rPr>
        <w:t xml:space="preserve"> </w:t>
      </w:r>
      <w:r w:rsidR="00BB12B1">
        <w:rPr>
          <w:lang w:val="en-US"/>
        </w:rPr>
        <w:t>T</w:t>
      </w:r>
      <w:r>
        <w:rPr>
          <w:lang w:val="en-US"/>
        </w:rPr>
        <w:t>he elements of harmonisation to address them and create the platforms for successful collaboration at scale, are elaborated.</w:t>
      </w:r>
    </w:p>
    <w:p w14:paraId="073AF80C" w14:textId="6BB8036D" w:rsidR="005420CE" w:rsidRPr="00E7538C" w:rsidRDefault="005420CE" w:rsidP="00A226C0">
      <w:pPr>
        <w:pStyle w:val="Heading2"/>
        <w:numPr>
          <w:ilvl w:val="0"/>
          <w:numId w:val="0"/>
        </w:numPr>
        <w:ind w:left="1072" w:hanging="1072"/>
        <w:rPr>
          <w:bCs/>
        </w:rPr>
      </w:pPr>
      <w:bookmarkStart w:id="10" w:name="_Toc190980898"/>
      <w:r w:rsidRPr="00E7538C">
        <w:rPr>
          <w:bCs/>
        </w:rPr>
        <w:lastRenderedPageBreak/>
        <w:t xml:space="preserve">Who, </w:t>
      </w:r>
      <w:r w:rsidR="00ED3D2A">
        <w:rPr>
          <w:bCs/>
        </w:rPr>
        <w:t>w</w:t>
      </w:r>
      <w:r w:rsidR="00ED3D2A" w:rsidRPr="00E7538C">
        <w:rPr>
          <w:bCs/>
        </w:rPr>
        <w:t xml:space="preserve">hat </w:t>
      </w:r>
      <w:r w:rsidRPr="00E7538C">
        <w:rPr>
          <w:bCs/>
        </w:rPr>
        <w:t xml:space="preserve">and </w:t>
      </w:r>
      <w:r w:rsidR="00ED3D2A">
        <w:rPr>
          <w:bCs/>
        </w:rPr>
        <w:t>w</w:t>
      </w:r>
      <w:r w:rsidR="00ED3D2A" w:rsidRPr="00E7538C">
        <w:rPr>
          <w:bCs/>
        </w:rPr>
        <w:t>hy</w:t>
      </w:r>
      <w:r w:rsidRPr="00E7538C">
        <w:rPr>
          <w:bCs/>
        </w:rPr>
        <w:t>?</w:t>
      </w:r>
      <w:bookmarkEnd w:id="10"/>
    </w:p>
    <w:p w14:paraId="772EC324" w14:textId="77777777" w:rsidR="005420CE" w:rsidRPr="00AE7CAA" w:rsidRDefault="005420CE" w:rsidP="005420CE">
      <w:pPr>
        <w:rPr>
          <w:rFonts w:cs="Arial"/>
        </w:rPr>
      </w:pPr>
    </w:p>
    <w:p w14:paraId="7DB2E26F" w14:textId="42D15CD3" w:rsidR="00AB79DB" w:rsidRPr="00AB79DB" w:rsidRDefault="00C75B98" w:rsidP="00AB79DB">
      <w:pPr>
        <w:rPr>
          <w:rFonts w:cs="Arial"/>
        </w:rPr>
      </w:pPr>
      <w:r>
        <w:t>Realising the benefits of tertiary</w:t>
      </w:r>
      <w:r w:rsidR="00E219EB">
        <w:t xml:space="preserve"> harmonisation require</w:t>
      </w:r>
      <w:r w:rsidR="00F47C2C">
        <w:t xml:space="preserve">s </w:t>
      </w:r>
      <w:r w:rsidR="00DC3E42">
        <w:t xml:space="preserve">critical stakeholders </w:t>
      </w:r>
      <w:r w:rsidR="004A1625">
        <w:t>to come together</w:t>
      </w:r>
      <w:r w:rsidR="00154A7C">
        <w:t xml:space="preserve">, complemented by an appropriate </w:t>
      </w:r>
      <w:r>
        <w:t>system architecture</w:t>
      </w:r>
      <w:r w:rsidR="00115423">
        <w:t>.</w:t>
      </w:r>
    </w:p>
    <w:p w14:paraId="05654F6F" w14:textId="73D45B89" w:rsidR="00AB79DB" w:rsidRDefault="00C70CFB" w:rsidP="005420CE">
      <w:pPr>
        <w:rPr>
          <w:rFonts w:cs="Arial"/>
        </w:rPr>
      </w:pPr>
      <w:r>
        <w:rPr>
          <w:rFonts w:cs="Arial"/>
          <w:noProof/>
        </w:rPr>
        <w:drawing>
          <wp:inline distT="0" distB="0" distL="0" distR="0" wp14:anchorId="34C88D3B" wp14:editId="1D0DD3EC">
            <wp:extent cx="5943600" cy="2876550"/>
            <wp:effectExtent l="0" t="0" r="0" b="0"/>
            <wp:docPr id="735974575" name="Graphic 1" descr="A diagram of system actors, system architecture and tertiary harmonisation benefits which is described in the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74575" name="Graphic 1" descr="A diagram of system actors, system architecture and tertiary harmonisation benefits which is described in the text below. "/>
                    <pic:cNvPicPr/>
                  </pic:nvPicPr>
                  <pic:blipFill>
                    <a:blip r:embed="rId21">
                      <a:extLst>
                        <a:ext uri="{96DAC541-7B7A-43D3-8B79-37D633B846F1}">
                          <asvg:svgBlip xmlns:asvg="http://schemas.microsoft.com/office/drawing/2016/SVG/main" r:embed="rId22"/>
                        </a:ext>
                      </a:extLst>
                    </a:blip>
                    <a:stretch>
                      <a:fillRect/>
                    </a:stretch>
                  </pic:blipFill>
                  <pic:spPr>
                    <a:xfrm>
                      <a:off x="0" y="0"/>
                      <a:ext cx="5943600" cy="2876550"/>
                    </a:xfrm>
                    <a:prstGeom prst="rect">
                      <a:avLst/>
                    </a:prstGeom>
                  </pic:spPr>
                </pic:pic>
              </a:graphicData>
            </a:graphic>
          </wp:inline>
        </w:drawing>
      </w:r>
    </w:p>
    <w:p w14:paraId="476D410F" w14:textId="77777777" w:rsidR="00AB79DB" w:rsidRPr="00AE7CAA" w:rsidRDefault="00AB79DB" w:rsidP="005420CE">
      <w:pPr>
        <w:rPr>
          <w:rFonts w:cs="Arial"/>
        </w:rPr>
      </w:pPr>
    </w:p>
    <w:p w14:paraId="401F6299" w14:textId="5AC38540" w:rsidR="005420CE" w:rsidRDefault="005420CE" w:rsidP="005420CE">
      <w:pPr>
        <w:rPr>
          <w:rFonts w:cs="Arial"/>
          <w:b/>
          <w:bCs/>
        </w:rPr>
      </w:pPr>
      <w:r>
        <w:rPr>
          <w:rFonts w:cs="Arial"/>
          <w:b/>
          <w:bCs/>
        </w:rPr>
        <w:t xml:space="preserve">The </w:t>
      </w:r>
      <w:r w:rsidR="005B1BF5">
        <w:rPr>
          <w:rFonts w:cs="Arial"/>
          <w:b/>
          <w:bCs/>
        </w:rPr>
        <w:t>system a</w:t>
      </w:r>
      <w:r w:rsidRPr="00E7538C">
        <w:rPr>
          <w:rStyle w:val="Characterbold"/>
        </w:rPr>
        <w:t>ctors</w:t>
      </w:r>
    </w:p>
    <w:p w14:paraId="0F166A0B" w14:textId="7B4FC236" w:rsidR="005420CE" w:rsidRPr="00E7538C" w:rsidRDefault="005420CE" w:rsidP="00E7538C">
      <w:pPr>
        <w:pStyle w:val="BodyText"/>
      </w:pPr>
      <w:r w:rsidRPr="00E7538C">
        <w:t>A roadmap to tertiary harmonisation will require cooperation among diverse system actors. This includes relationships between state</w:t>
      </w:r>
      <w:r w:rsidR="00024650">
        <w:t xml:space="preserve"> and </w:t>
      </w:r>
      <w:r w:rsidRPr="00E7538C">
        <w:t>territory governments</w:t>
      </w:r>
      <w:r w:rsidRPr="002E4ED8">
        <w:t xml:space="preserve"> and </w:t>
      </w:r>
      <w:r w:rsidR="009853DD">
        <w:t>the Australian</w:t>
      </w:r>
      <w:r w:rsidRPr="002E4ED8">
        <w:t xml:space="preserve"> </w:t>
      </w:r>
      <w:r w:rsidR="009853DD">
        <w:t>G</w:t>
      </w:r>
      <w:r w:rsidRPr="002E4ED8">
        <w:t>overnment</w:t>
      </w:r>
      <w:r w:rsidRPr="00E7538C">
        <w:t>, providers, employers, unions and licensing and accreditation authorities.</w:t>
      </w:r>
    </w:p>
    <w:p w14:paraId="69EECF08" w14:textId="739CF776" w:rsidR="005420CE" w:rsidRPr="00E7538C" w:rsidRDefault="005420CE" w:rsidP="005420CE">
      <w:pPr>
        <w:rPr>
          <w:rStyle w:val="Characterbold"/>
        </w:rPr>
      </w:pPr>
      <w:r w:rsidRPr="00E7538C">
        <w:rPr>
          <w:rStyle w:val="Characterbold"/>
        </w:rPr>
        <w:t xml:space="preserve">The </w:t>
      </w:r>
      <w:r w:rsidR="003F2B30">
        <w:rPr>
          <w:rStyle w:val="Characterbold"/>
        </w:rPr>
        <w:t>a</w:t>
      </w:r>
      <w:r w:rsidRPr="00E7538C">
        <w:rPr>
          <w:rStyle w:val="Characterbold"/>
        </w:rPr>
        <w:t>rchitecture</w:t>
      </w:r>
    </w:p>
    <w:p w14:paraId="0989581A" w14:textId="5934A898" w:rsidR="005420CE" w:rsidRPr="00C52C30" w:rsidRDefault="005420CE" w:rsidP="00E7538C">
      <w:pPr>
        <w:pStyle w:val="BodyText"/>
      </w:pPr>
      <w:r w:rsidRPr="00C52C30">
        <w:t>The current architecture presents many obstacles to harmonisation. Reforming the Australian Qualifications Framework (AQF), developing a national skills taxonomy, fostering a national credit transfer system, harmonising regulatory arrangements, and reforming funding arrangements are key elements in providing the platforms for harmonisation to reap its full benefits</w:t>
      </w:r>
      <w:r w:rsidR="007D26CE">
        <w:t>.</w:t>
      </w:r>
    </w:p>
    <w:p w14:paraId="75058A06" w14:textId="2A1A452E" w:rsidR="005420CE" w:rsidRPr="00E7538C" w:rsidRDefault="005420CE" w:rsidP="005420CE">
      <w:pPr>
        <w:rPr>
          <w:rStyle w:val="Characterbold"/>
        </w:rPr>
      </w:pPr>
      <w:r w:rsidRPr="00E7538C">
        <w:rPr>
          <w:rStyle w:val="Characterbold"/>
        </w:rPr>
        <w:t xml:space="preserve">The </w:t>
      </w:r>
      <w:r w:rsidR="003F2B30">
        <w:rPr>
          <w:rStyle w:val="Characterbold"/>
        </w:rPr>
        <w:t>b</w:t>
      </w:r>
      <w:r w:rsidRPr="00E7538C">
        <w:rPr>
          <w:rStyle w:val="Characterbold"/>
        </w:rPr>
        <w:t>enefits</w:t>
      </w:r>
    </w:p>
    <w:p w14:paraId="708D0B4D" w14:textId="5581D2DF" w:rsidR="005420CE" w:rsidRPr="00E7538C" w:rsidRDefault="005420CE" w:rsidP="00E7538C">
      <w:pPr>
        <w:pStyle w:val="BodyText"/>
      </w:pPr>
      <w:r w:rsidRPr="00E7538C">
        <w:t xml:space="preserve">This will improve the efficiency and effectiveness of tertiary education. It will reduce replication and overlap, so that students moving between the sectors do not need to study the same content twice. It will enable qualifications to be designed in ways that draw on the strengths of both VET and </w:t>
      </w:r>
      <w:r w:rsidR="006E36F3">
        <w:t>Higher Education</w:t>
      </w:r>
      <w:r w:rsidRPr="00E7538C">
        <w:t>, enabling workers and industries to apply the latest technologies and skills to a rapidly changing economy. It will boost the total volume of students in tertiary education at all levels, in part by making the system more efficient and extending funding sources further.</w:t>
      </w:r>
    </w:p>
    <w:p w14:paraId="06FDFEDD" w14:textId="77777777" w:rsidR="00D96CD1" w:rsidRDefault="005420CE" w:rsidP="00E7538C">
      <w:pPr>
        <w:pStyle w:val="BodyText"/>
      </w:pPr>
      <w:r w:rsidRPr="00E7538C">
        <w:t xml:space="preserve">It will also enhance opportunities for all, especially disadvantaged groups. Access and equity across the tertiary system will be boosted, with pathways strengthened for those who find the system hard to navigate and succeed in. Enhancing </w:t>
      </w:r>
      <w:r w:rsidR="005E1478">
        <w:t>t</w:t>
      </w:r>
      <w:r w:rsidRPr="00E7538C">
        <w:t>he perceptions and status of VET is a key aspect of this</w:t>
      </w:r>
      <w:r w:rsidR="005E1478">
        <w:t>,</w:t>
      </w:r>
      <w:r w:rsidRPr="00E7538C">
        <w:t xml:space="preserve"> as disadvantaged groups rely disproportionately on the VET system.</w:t>
      </w:r>
    </w:p>
    <w:p w14:paraId="4B9E5D5F" w14:textId="637E7FE9" w:rsidR="005420CE" w:rsidRPr="00E7538C" w:rsidRDefault="005420CE" w:rsidP="00E7538C">
      <w:pPr>
        <w:pStyle w:val="BodyText"/>
      </w:pPr>
      <w:r w:rsidRPr="00E7538C">
        <w:lastRenderedPageBreak/>
        <w:t>Harmonisation will also enhance our ability to turn the challenges Australia faces into opportunities for positive national change. Meeting the workforce requirements for transitioning to clean energy technologies</w:t>
      </w:r>
      <w:r w:rsidR="000C7393">
        <w:t xml:space="preserve"> and</w:t>
      </w:r>
      <w:r w:rsidRPr="00E7538C">
        <w:t xml:space="preserve"> enhancing care services</w:t>
      </w:r>
      <w:r w:rsidR="000C7393">
        <w:t xml:space="preserve"> a</w:t>
      </w:r>
      <w:r w:rsidRPr="00E7538C">
        <w:t>re two such examples.</w:t>
      </w:r>
    </w:p>
    <w:p w14:paraId="5F47AA0F" w14:textId="77777777" w:rsidR="00D96CD1" w:rsidRDefault="005420CE" w:rsidP="00E7538C">
      <w:pPr>
        <w:pStyle w:val="BodyText"/>
      </w:pPr>
      <w:r w:rsidRPr="00E7538C">
        <w:t xml:space="preserve">Industries </w:t>
      </w:r>
      <w:r w:rsidR="009955A9">
        <w:t xml:space="preserve">will continue to </w:t>
      </w:r>
      <w:r w:rsidRPr="00E7538C">
        <w:t xml:space="preserve">require new combinations of skills and knowledge </w:t>
      </w:r>
      <w:r w:rsidR="0013092D">
        <w:t xml:space="preserve">which </w:t>
      </w:r>
      <w:r w:rsidR="00BD5991">
        <w:t>require a system that can effectively meet the needs of reskilling,</w:t>
      </w:r>
      <w:r w:rsidRPr="00E7538C">
        <w:t xml:space="preserve"> upskilling and lifelong learning. The more flexible and ad</w:t>
      </w:r>
      <w:r w:rsidR="00323FFC">
        <w:t>a</w:t>
      </w:r>
      <w:r w:rsidRPr="00E7538C">
        <w:t xml:space="preserve">ptive tertiary system that will result </w:t>
      </w:r>
      <w:r w:rsidR="000C7393">
        <w:t xml:space="preserve">from harmonisation </w:t>
      </w:r>
      <w:r w:rsidRPr="00E7538C">
        <w:t>will be better placed to respond to changing industry needs.</w:t>
      </w:r>
    </w:p>
    <w:p w14:paraId="41AA5A89" w14:textId="77777777" w:rsidR="00D96CD1" w:rsidRDefault="005420CE" w:rsidP="00B53908">
      <w:pPr>
        <w:pStyle w:val="BodyText"/>
      </w:pPr>
      <w:r w:rsidRPr="00E7538C">
        <w:t xml:space="preserve">The economic benefits from increased productivity and better matching skill supply with skill demand can be large. There is extensive literature on the effect of enhanced human capital on productivity and participation, and tertiary harmonisation is a key lever to pull in this regard. Better matching of skills to jobs can also reduce the level of unemployment consistent with stable inflation. Standards of living and the </w:t>
      </w:r>
      <w:r w:rsidR="003E07C0">
        <w:t xml:space="preserve">wellbeing </w:t>
      </w:r>
      <w:r w:rsidRPr="00E7538C">
        <w:t>of Australians stand to make significant gains.</w:t>
      </w:r>
    </w:p>
    <w:p w14:paraId="0AC2880F" w14:textId="4A94987A" w:rsidR="009A1C5A" w:rsidRDefault="009A1C5A" w:rsidP="00B53908">
      <w:pPr>
        <w:pStyle w:val="BodyText"/>
      </w:pPr>
    </w:p>
    <w:p w14:paraId="63EA5561" w14:textId="46B1F7C8" w:rsidR="003C33FC" w:rsidRDefault="003C33FC" w:rsidP="003C33FC">
      <w:pPr>
        <w:pStyle w:val="Heading2"/>
        <w:numPr>
          <w:ilvl w:val="0"/>
          <w:numId w:val="0"/>
        </w:numPr>
        <w:ind w:left="1072" w:hanging="1072"/>
      </w:pPr>
      <w:bookmarkStart w:id="11" w:name="_Toc190980899"/>
      <w:r w:rsidRPr="00F33663">
        <w:t xml:space="preserve">The </w:t>
      </w:r>
      <w:r w:rsidR="00806980">
        <w:t>e</w:t>
      </w:r>
      <w:r w:rsidR="00806980" w:rsidRPr="00F33663">
        <w:t>lements</w:t>
      </w:r>
      <w:r w:rsidR="00464371">
        <w:t xml:space="preserve"> of tertiary harmonisation</w:t>
      </w:r>
      <w:bookmarkEnd w:id="11"/>
    </w:p>
    <w:p w14:paraId="2AB91679" w14:textId="6B2E290D" w:rsidR="003C33FC" w:rsidRDefault="00894DCD" w:rsidP="003C33FC">
      <w:pPr>
        <w:rPr>
          <w:rFonts w:cs="Arial"/>
          <w:b/>
          <w:bCs/>
        </w:rPr>
      </w:pPr>
      <w:r w:rsidRPr="00894DCD">
        <w:rPr>
          <w:rFonts w:cs="Arial"/>
          <w:b/>
          <w:bCs/>
          <w:noProof/>
        </w:rPr>
        <w:drawing>
          <wp:anchor distT="0" distB="0" distL="114300" distR="114300" simplePos="0" relativeHeight="251658244" behindDoc="0" locked="0" layoutInCell="1" allowOverlap="1" wp14:anchorId="1FB12A1E" wp14:editId="474B4570">
            <wp:simplePos x="0" y="0"/>
            <wp:positionH relativeFrom="column">
              <wp:align>left</wp:align>
            </wp:positionH>
            <wp:positionV relativeFrom="paragraph">
              <wp:posOffset>0</wp:posOffset>
            </wp:positionV>
            <wp:extent cx="5947200" cy="3128400"/>
            <wp:effectExtent l="0" t="0" r="0" b="0"/>
            <wp:wrapNone/>
            <wp:docPr id="15620738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73873" name="Picture 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5947200" cy="31284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1050"/>
        <w:gridCol w:w="1047"/>
        <w:gridCol w:w="1051"/>
      </w:tblGrid>
      <w:tr w:rsidR="00713C41" w:rsidRPr="005E1B32" w14:paraId="11399DCA" w14:textId="77777777" w:rsidTr="008903B0">
        <w:trPr>
          <w:cnfStyle w:val="100000000000" w:firstRow="1" w:lastRow="0" w:firstColumn="0" w:lastColumn="0" w:oddVBand="0" w:evenVBand="0" w:oddHBand="0" w:evenHBand="0" w:firstRowFirstColumn="0" w:firstRowLastColumn="0" w:lastRowFirstColumn="0" w:lastRowLastColumn="0"/>
        </w:trPr>
        <w:tc>
          <w:tcPr>
            <w:tcW w:w="236" w:type="dxa"/>
          </w:tcPr>
          <w:p w14:paraId="7EB29B20" w14:textId="77777777" w:rsidR="00713C41" w:rsidRPr="005E1B32" w:rsidRDefault="00713C41" w:rsidP="008903B0">
            <w:pPr>
              <w:rPr>
                <w:sz w:val="2"/>
                <w:szCs w:val="2"/>
              </w:rPr>
            </w:pPr>
            <w:r w:rsidRPr="005E1B32">
              <w:rPr>
                <w:sz w:val="2"/>
                <w:szCs w:val="2"/>
              </w:rPr>
              <w:t>Pillar 1: Key Players – Roles &amp; Relationships</w:t>
            </w:r>
          </w:p>
        </w:tc>
        <w:tc>
          <w:tcPr>
            <w:tcW w:w="236" w:type="dxa"/>
          </w:tcPr>
          <w:p w14:paraId="24F62997" w14:textId="77777777" w:rsidR="00713C41" w:rsidRPr="005E1B32" w:rsidRDefault="00713C41" w:rsidP="008903B0">
            <w:pPr>
              <w:rPr>
                <w:sz w:val="2"/>
                <w:szCs w:val="2"/>
              </w:rPr>
            </w:pPr>
            <w:r w:rsidRPr="005E1B32">
              <w:rPr>
                <w:sz w:val="2"/>
                <w:szCs w:val="2"/>
              </w:rPr>
              <w:t>Pillar 2: Knowledge, Skills and Qualifications – Architecture &amp; Perceptions</w:t>
            </w:r>
          </w:p>
        </w:tc>
        <w:tc>
          <w:tcPr>
            <w:tcW w:w="236" w:type="dxa"/>
          </w:tcPr>
          <w:p w14:paraId="12A64F37" w14:textId="77777777" w:rsidR="00713C41" w:rsidRPr="005E1B32" w:rsidRDefault="00713C41" w:rsidP="008903B0">
            <w:pPr>
              <w:rPr>
                <w:sz w:val="2"/>
                <w:szCs w:val="2"/>
              </w:rPr>
            </w:pPr>
            <w:r w:rsidRPr="005E1B32">
              <w:rPr>
                <w:sz w:val="2"/>
                <w:szCs w:val="2"/>
              </w:rPr>
              <w:t>Pillar 3: Legislative, regulatory, financial &amp; data architecture</w:t>
            </w:r>
          </w:p>
        </w:tc>
      </w:tr>
      <w:tr w:rsidR="00713C41" w:rsidRPr="005E1B32" w14:paraId="6A2ECF71" w14:textId="77777777" w:rsidTr="008903B0">
        <w:tc>
          <w:tcPr>
            <w:tcW w:w="236" w:type="dxa"/>
          </w:tcPr>
          <w:p w14:paraId="6A6719AF" w14:textId="77777777" w:rsidR="00713C41" w:rsidRPr="005E1B32" w:rsidRDefault="00713C41" w:rsidP="008903B0">
            <w:pPr>
              <w:pStyle w:val="ListParagraph"/>
              <w:numPr>
                <w:ilvl w:val="0"/>
                <w:numId w:val="28"/>
              </w:numPr>
              <w:spacing w:before="0" w:after="0"/>
              <w:rPr>
                <w:sz w:val="2"/>
                <w:szCs w:val="2"/>
              </w:rPr>
            </w:pPr>
            <w:r w:rsidRPr="005E1B32">
              <w:rPr>
                <w:sz w:val="2"/>
                <w:szCs w:val="2"/>
              </w:rPr>
              <w:t>State and territory and Australian Government relations</w:t>
            </w:r>
          </w:p>
          <w:p w14:paraId="10513D79" w14:textId="77777777" w:rsidR="00713C41" w:rsidRPr="005E1B32" w:rsidRDefault="00713C41" w:rsidP="008903B0">
            <w:pPr>
              <w:pStyle w:val="ListParagraph"/>
              <w:numPr>
                <w:ilvl w:val="0"/>
                <w:numId w:val="28"/>
              </w:numPr>
              <w:spacing w:before="0" w:after="0"/>
              <w:rPr>
                <w:sz w:val="2"/>
                <w:szCs w:val="2"/>
              </w:rPr>
            </w:pPr>
            <w:r w:rsidRPr="005E1B32">
              <w:rPr>
                <w:sz w:val="2"/>
                <w:szCs w:val="2"/>
              </w:rPr>
              <w:t>Industry: Employers, unions and accrediting bodies</w:t>
            </w:r>
          </w:p>
          <w:p w14:paraId="17AFF7D8" w14:textId="77777777" w:rsidR="00713C41" w:rsidRPr="005E1B32" w:rsidRDefault="00713C41" w:rsidP="008903B0">
            <w:pPr>
              <w:pStyle w:val="ListParagraph"/>
              <w:numPr>
                <w:ilvl w:val="0"/>
                <w:numId w:val="28"/>
              </w:numPr>
              <w:spacing w:before="0" w:after="0"/>
              <w:rPr>
                <w:sz w:val="2"/>
                <w:szCs w:val="2"/>
              </w:rPr>
            </w:pPr>
            <w:r w:rsidRPr="005E1B32">
              <w:rPr>
                <w:sz w:val="2"/>
                <w:szCs w:val="2"/>
              </w:rPr>
              <w:t>Provider collaboration</w:t>
            </w:r>
          </w:p>
          <w:p w14:paraId="54C3C560" w14:textId="77777777" w:rsidR="00713C41" w:rsidRPr="005E1B32" w:rsidRDefault="00713C41" w:rsidP="008903B0">
            <w:pPr>
              <w:pStyle w:val="ListParagraph"/>
              <w:numPr>
                <w:ilvl w:val="0"/>
                <w:numId w:val="28"/>
              </w:numPr>
              <w:spacing w:before="0" w:after="0"/>
              <w:rPr>
                <w:sz w:val="2"/>
                <w:szCs w:val="2"/>
              </w:rPr>
            </w:pPr>
            <w:r w:rsidRPr="005E1B32">
              <w:rPr>
                <w:sz w:val="2"/>
                <w:szCs w:val="2"/>
              </w:rPr>
              <w:t>Ownership of system elements</w:t>
            </w:r>
          </w:p>
        </w:tc>
        <w:tc>
          <w:tcPr>
            <w:tcW w:w="236" w:type="dxa"/>
          </w:tcPr>
          <w:p w14:paraId="7577DEA5" w14:textId="77777777" w:rsidR="00713C41" w:rsidRPr="005E1B32" w:rsidRDefault="00713C41" w:rsidP="008903B0">
            <w:pPr>
              <w:pStyle w:val="ListParagraph"/>
              <w:numPr>
                <w:ilvl w:val="0"/>
                <w:numId w:val="28"/>
              </w:numPr>
              <w:spacing w:before="0" w:after="0"/>
              <w:rPr>
                <w:sz w:val="2"/>
                <w:szCs w:val="2"/>
              </w:rPr>
            </w:pPr>
            <w:r w:rsidRPr="005E1B32">
              <w:rPr>
                <w:sz w:val="2"/>
                <w:szCs w:val="2"/>
              </w:rPr>
              <w:t>VET and Higher Education system connection through skills and knowledge</w:t>
            </w:r>
          </w:p>
          <w:p w14:paraId="12A559EE" w14:textId="77777777" w:rsidR="00713C41" w:rsidRPr="005E1B32" w:rsidRDefault="00713C41" w:rsidP="008903B0">
            <w:pPr>
              <w:pStyle w:val="ListParagraph"/>
              <w:numPr>
                <w:ilvl w:val="0"/>
                <w:numId w:val="28"/>
              </w:numPr>
              <w:spacing w:before="0" w:after="0"/>
              <w:rPr>
                <w:sz w:val="2"/>
                <w:szCs w:val="2"/>
              </w:rPr>
            </w:pPr>
            <w:r w:rsidRPr="005E1B32">
              <w:rPr>
                <w:sz w:val="2"/>
                <w:szCs w:val="2"/>
              </w:rPr>
              <w:t>Qualification design and the AQF, NST</w:t>
            </w:r>
          </w:p>
          <w:p w14:paraId="6C77A7D8" w14:textId="77777777" w:rsidR="00713C41" w:rsidRPr="005E1B32" w:rsidRDefault="00713C41" w:rsidP="008903B0">
            <w:pPr>
              <w:pStyle w:val="ListParagraph"/>
              <w:numPr>
                <w:ilvl w:val="0"/>
                <w:numId w:val="28"/>
              </w:numPr>
              <w:spacing w:before="0" w:after="0"/>
              <w:rPr>
                <w:sz w:val="2"/>
                <w:szCs w:val="2"/>
              </w:rPr>
            </w:pPr>
            <w:r w:rsidRPr="005E1B32">
              <w:rPr>
                <w:sz w:val="2"/>
                <w:szCs w:val="2"/>
              </w:rPr>
              <w:t>RPL and Credit Recognition to support student access and mobility</w:t>
            </w:r>
          </w:p>
        </w:tc>
        <w:tc>
          <w:tcPr>
            <w:tcW w:w="236" w:type="dxa"/>
          </w:tcPr>
          <w:p w14:paraId="456F0600" w14:textId="77777777" w:rsidR="00713C41" w:rsidRPr="005E1B32" w:rsidRDefault="00713C41" w:rsidP="008903B0">
            <w:pPr>
              <w:pStyle w:val="ListParagraph"/>
              <w:numPr>
                <w:ilvl w:val="0"/>
                <w:numId w:val="28"/>
              </w:numPr>
              <w:spacing w:before="0" w:after="0"/>
              <w:rPr>
                <w:sz w:val="2"/>
                <w:szCs w:val="2"/>
              </w:rPr>
            </w:pPr>
            <w:r w:rsidRPr="005E1B32">
              <w:rPr>
                <w:sz w:val="2"/>
                <w:szCs w:val="2"/>
              </w:rPr>
              <w:t>Governance, regulation and legislative frameworks</w:t>
            </w:r>
          </w:p>
          <w:p w14:paraId="4F4603A4" w14:textId="77777777" w:rsidR="00713C41" w:rsidRPr="005E1B32" w:rsidRDefault="00713C41" w:rsidP="008903B0">
            <w:pPr>
              <w:pStyle w:val="ListParagraph"/>
              <w:numPr>
                <w:ilvl w:val="0"/>
                <w:numId w:val="28"/>
              </w:numPr>
              <w:spacing w:before="0" w:after="0"/>
              <w:rPr>
                <w:sz w:val="2"/>
                <w:szCs w:val="2"/>
              </w:rPr>
            </w:pPr>
            <w:r w:rsidRPr="005E1B32">
              <w:rPr>
                <w:sz w:val="2"/>
                <w:szCs w:val="2"/>
              </w:rPr>
              <w:t>Funding incentives</w:t>
            </w:r>
          </w:p>
          <w:p w14:paraId="4C069C05" w14:textId="77777777" w:rsidR="00713C41" w:rsidRPr="005E1B32" w:rsidRDefault="00713C41" w:rsidP="008903B0">
            <w:pPr>
              <w:pStyle w:val="ListParagraph"/>
              <w:numPr>
                <w:ilvl w:val="0"/>
                <w:numId w:val="28"/>
              </w:numPr>
              <w:spacing w:before="0" w:after="0"/>
              <w:rPr>
                <w:sz w:val="2"/>
                <w:szCs w:val="2"/>
              </w:rPr>
            </w:pPr>
            <w:r w:rsidRPr="005E1B32">
              <w:rPr>
                <w:sz w:val="2"/>
                <w:szCs w:val="2"/>
              </w:rPr>
              <w:t>Financial support for students to participate</w:t>
            </w:r>
          </w:p>
          <w:p w14:paraId="349C45CE" w14:textId="77777777" w:rsidR="00713C41" w:rsidRPr="005E1B32" w:rsidRDefault="00713C41" w:rsidP="008903B0">
            <w:pPr>
              <w:pStyle w:val="ListParagraph"/>
              <w:numPr>
                <w:ilvl w:val="0"/>
                <w:numId w:val="28"/>
              </w:numPr>
              <w:spacing w:before="0" w:after="0"/>
              <w:rPr>
                <w:sz w:val="2"/>
                <w:szCs w:val="2"/>
              </w:rPr>
            </w:pPr>
            <w:r w:rsidRPr="005E1B32">
              <w:rPr>
                <w:sz w:val="2"/>
                <w:szCs w:val="2"/>
              </w:rPr>
              <w:t>Coherent data collection and reporting</w:t>
            </w:r>
          </w:p>
        </w:tc>
      </w:tr>
    </w:tbl>
    <w:p w14:paraId="20D91990" w14:textId="30814C82" w:rsidR="00713C41" w:rsidRDefault="00713C41" w:rsidP="00713C41">
      <w:pPr>
        <w:rPr>
          <w:rFonts w:cs="Arial"/>
          <w:b/>
          <w:bCs/>
        </w:rPr>
      </w:pPr>
    </w:p>
    <w:p w14:paraId="43B67849" w14:textId="72420E5E" w:rsidR="00713C41" w:rsidRDefault="00713C41" w:rsidP="00713C41">
      <w:pPr>
        <w:spacing w:after="4560"/>
        <w:rPr>
          <w:rFonts w:cs="Arial"/>
          <w:b/>
          <w:bCs/>
        </w:rPr>
      </w:pPr>
    </w:p>
    <w:p w14:paraId="199FE066" w14:textId="77777777" w:rsidR="003C33FC" w:rsidRPr="003C33FC" w:rsidRDefault="003C33FC" w:rsidP="003C33FC">
      <w:pPr>
        <w:rPr>
          <w:rStyle w:val="Characterbold"/>
        </w:rPr>
      </w:pPr>
      <w:r w:rsidRPr="003C33FC">
        <w:rPr>
          <w:rStyle w:val="Characterbold"/>
        </w:rPr>
        <w:t>Pillar 1: Key players: roles and relationships</w:t>
      </w:r>
    </w:p>
    <w:p w14:paraId="257064A0" w14:textId="4F6ED157" w:rsidR="003C33FC" w:rsidRPr="003C33FC" w:rsidRDefault="003C33FC" w:rsidP="003C33FC">
      <w:pPr>
        <w:pStyle w:val="BodyText"/>
      </w:pPr>
      <w:r w:rsidRPr="003C33FC">
        <w:t xml:space="preserve">A roadmap to tertiary harmonisation will require co-operation among diverse system actors. This includes relationships between </w:t>
      </w:r>
      <w:r w:rsidR="00780D13">
        <w:t>s</w:t>
      </w:r>
      <w:r w:rsidR="00906393">
        <w:t>tate</w:t>
      </w:r>
      <w:r w:rsidR="004D0688">
        <w:t xml:space="preserve"> and </w:t>
      </w:r>
      <w:r w:rsidR="00780D13">
        <w:t>t</w:t>
      </w:r>
      <w:r w:rsidR="00906393">
        <w:t xml:space="preserve">erritory </w:t>
      </w:r>
      <w:r w:rsidR="00681434">
        <w:t>g</w:t>
      </w:r>
      <w:r w:rsidRPr="003C33FC">
        <w:t xml:space="preserve">overnments </w:t>
      </w:r>
      <w:r w:rsidR="00906393">
        <w:t>and the Australian Government,</w:t>
      </w:r>
      <w:r w:rsidRPr="003C33FC">
        <w:t xml:space="preserve"> providers, employers, unions and licensing and accreditation authorities.</w:t>
      </w:r>
    </w:p>
    <w:p w14:paraId="63D1111C" w14:textId="77777777" w:rsidR="003C33FC" w:rsidRPr="003C33FC" w:rsidRDefault="003C33FC" w:rsidP="003C33FC">
      <w:pPr>
        <w:rPr>
          <w:rStyle w:val="Characterbold"/>
        </w:rPr>
      </w:pPr>
      <w:r w:rsidRPr="003C33FC">
        <w:rPr>
          <w:rStyle w:val="Characterbold"/>
        </w:rPr>
        <w:t>Pillar 2: Knowledge, skills and qualifications: architecture and perceptions</w:t>
      </w:r>
    </w:p>
    <w:p w14:paraId="536D0326" w14:textId="61056577" w:rsidR="0017671F" w:rsidRDefault="003C33FC" w:rsidP="003C33FC">
      <w:pPr>
        <w:pStyle w:val="BodyText"/>
      </w:pPr>
      <w:r w:rsidRPr="003C33FC">
        <w:t xml:space="preserve">Tertiary harmonisation involves developing a common language that will facilitate innovation in qualification design, expand career opportunities that draw on combinations of skill and knowledge levels and that better support industries, especially those in transition. Both VET and </w:t>
      </w:r>
      <w:r w:rsidR="006E36F3">
        <w:t>Higher Education</w:t>
      </w:r>
      <w:r w:rsidRPr="003C33FC">
        <w:t xml:space="preserve"> are involved in supporting learners to </w:t>
      </w:r>
      <w:r w:rsidR="00721285">
        <w:t>acquire</w:t>
      </w:r>
      <w:r w:rsidRPr="003C33FC">
        <w:t xml:space="preserve"> knowledge</w:t>
      </w:r>
      <w:r w:rsidR="00896445">
        <w:t xml:space="preserve"> and</w:t>
      </w:r>
      <w:r w:rsidRPr="003C33FC">
        <w:t xml:space="preserve"> skills</w:t>
      </w:r>
      <w:r w:rsidR="00A76120">
        <w:t>,</w:t>
      </w:r>
      <w:r w:rsidRPr="003C33FC">
        <w:t xml:space="preserve"> and the ability to apply them, but they do so in different ways.</w:t>
      </w:r>
    </w:p>
    <w:p w14:paraId="19729E05" w14:textId="77777777" w:rsidR="00D96CD1" w:rsidRDefault="003C33FC" w:rsidP="003C33FC">
      <w:pPr>
        <w:pStyle w:val="BodyText"/>
      </w:pPr>
      <w:r w:rsidRPr="003C33FC">
        <w:lastRenderedPageBreak/>
        <w:t>Enabling greater flexibility in the design of qualifications and enhancing the status of skills relative to knowledge in the Australian qualification framework and through a common langued in a National Skills Taxonomy are two key elements. Qualifications reform in VET that is underway is an important step that will help this. Increasing the status and perception of VET is critical.</w:t>
      </w:r>
    </w:p>
    <w:p w14:paraId="61F32027" w14:textId="0139976B" w:rsidR="003C33FC" w:rsidRPr="003C33FC" w:rsidRDefault="003C33FC" w:rsidP="003C33FC">
      <w:pPr>
        <w:rPr>
          <w:rStyle w:val="Characterbold"/>
        </w:rPr>
      </w:pPr>
      <w:r w:rsidRPr="003C33FC">
        <w:rPr>
          <w:rStyle w:val="Characterbold"/>
        </w:rPr>
        <w:t>Pillar 3: Legislative, regulatory, financial and data architecture</w:t>
      </w:r>
    </w:p>
    <w:p w14:paraId="47256D95" w14:textId="2E1A1F63" w:rsidR="003C33FC" w:rsidRPr="00A04924" w:rsidRDefault="003C33FC" w:rsidP="003C33FC">
      <w:pPr>
        <w:pStyle w:val="BodyText"/>
      </w:pPr>
      <w:r w:rsidRPr="002576EB">
        <w:t xml:space="preserve">Tertiary harmonisation will also require legislative, and regulatory reform and funding arrangements that put VET and </w:t>
      </w:r>
      <w:r w:rsidR="006E36F3">
        <w:t>Higher Education</w:t>
      </w:r>
      <w:r w:rsidRPr="002576EB">
        <w:t xml:space="preserve"> on a level playing field and incentivise harmonisation.</w:t>
      </w:r>
    </w:p>
    <w:p w14:paraId="103F0568" w14:textId="45C57E9C" w:rsidR="009A1C5A" w:rsidRDefault="009A1C5A" w:rsidP="003C33FC">
      <w:pPr>
        <w:pStyle w:val="Heading2"/>
        <w:numPr>
          <w:ilvl w:val="0"/>
          <w:numId w:val="0"/>
        </w:numPr>
        <w:ind w:left="1072" w:hanging="1072"/>
      </w:pPr>
      <w:bookmarkStart w:id="12" w:name="_Toc190980900"/>
      <w:r>
        <w:t xml:space="preserve">Summary of </w:t>
      </w:r>
      <w:r w:rsidR="00806980">
        <w:t>recommendations</w:t>
      </w:r>
      <w:bookmarkEnd w:id="12"/>
    </w:p>
    <w:p w14:paraId="379FF5EA" w14:textId="154196B3" w:rsidR="009A1C5A" w:rsidRPr="003930ED" w:rsidRDefault="009A1C5A" w:rsidP="003C33FC">
      <w:pPr>
        <w:pStyle w:val="Heading3"/>
        <w:numPr>
          <w:ilvl w:val="0"/>
          <w:numId w:val="0"/>
        </w:numPr>
        <w:ind w:left="1072" w:hanging="1072"/>
      </w:pPr>
      <w:r w:rsidRPr="003930ED">
        <w:t>Making a roadmap possible</w:t>
      </w:r>
    </w:p>
    <w:p w14:paraId="00FEF724" w14:textId="2CEEBFA1" w:rsidR="009A1C5A" w:rsidRDefault="009A1C5A" w:rsidP="009A1C5A">
      <w:pPr>
        <w:tabs>
          <w:tab w:val="left" w:pos="357"/>
          <w:tab w:val="left" w:pos="714"/>
          <w:tab w:val="left" w:pos="1072"/>
          <w:tab w:val="left" w:pos="1429"/>
        </w:tabs>
        <w:spacing w:before="120" w:after="120" w:line="276" w:lineRule="auto"/>
      </w:pPr>
      <w:r w:rsidRPr="003930ED">
        <w:rPr>
          <w:b/>
        </w:rPr>
        <w:t>Recommendation 1:</w:t>
      </w:r>
      <w:r w:rsidRPr="003930ED">
        <w:t xml:space="preserve"> Th</w:t>
      </w:r>
      <w:r w:rsidR="008C235F">
        <w:t>at th</w:t>
      </w:r>
      <w:r w:rsidRPr="003930ED">
        <w:t xml:space="preserve">e Australian Government and </w:t>
      </w:r>
      <w:r w:rsidR="0082564B">
        <w:t>s</w:t>
      </w:r>
      <w:r w:rsidR="00ED3D2A" w:rsidRPr="003930ED">
        <w:t>tate</w:t>
      </w:r>
      <w:r w:rsidRPr="003930ED">
        <w:t xml:space="preserve"> and </w:t>
      </w:r>
      <w:r w:rsidR="0082564B">
        <w:t>t</w:t>
      </w:r>
      <w:r w:rsidR="00ED3D2A" w:rsidRPr="003930ED">
        <w:t>erritory</w:t>
      </w:r>
      <w:r w:rsidRPr="003930ED">
        <w:t xml:space="preserve"> </w:t>
      </w:r>
      <w:r w:rsidR="00ED3D2A">
        <w:t>g</w:t>
      </w:r>
      <w:r w:rsidR="00ED3D2A" w:rsidRPr="003930ED">
        <w:t>overnments</w:t>
      </w:r>
      <w:r w:rsidRPr="003930ED">
        <w:t xml:space="preserve"> agree to collaborate on the development and implementation of a roadmap for tertiary harmonisation.</w:t>
      </w:r>
    </w:p>
    <w:p w14:paraId="2B711B68" w14:textId="15407B1A" w:rsidR="00C20C64" w:rsidRPr="0097360E" w:rsidRDefault="00C20C64" w:rsidP="00C20C64">
      <w:pPr>
        <w:pStyle w:val="BodyText"/>
      </w:pPr>
      <w:r>
        <w:rPr>
          <w:b/>
          <w:bCs/>
        </w:rPr>
        <w:t xml:space="preserve">Recommendation 2: </w:t>
      </w:r>
      <w:r w:rsidRPr="0097360E">
        <w:t xml:space="preserve">That the Australian and </w:t>
      </w:r>
      <w:r w:rsidR="000D016E">
        <w:t>s</w:t>
      </w:r>
      <w:r w:rsidRPr="0097360E">
        <w:t xml:space="preserve">tate and </w:t>
      </w:r>
      <w:r w:rsidR="00EE65F2">
        <w:t>t</w:t>
      </w:r>
      <w:r w:rsidRPr="0097360E">
        <w:t>erritory governments agree that the</w:t>
      </w:r>
      <w:r w:rsidRPr="006F4BCD">
        <w:t xml:space="preserve"> </w:t>
      </w:r>
      <w:r w:rsidRPr="0097360E">
        <w:t>principal</w:t>
      </w:r>
      <w:r w:rsidRPr="006F4BCD">
        <w:t xml:space="preserve"> </w:t>
      </w:r>
      <w:r w:rsidRPr="0097360E">
        <w:t>purpose</w:t>
      </w:r>
      <w:r w:rsidRPr="006F4BCD">
        <w:t xml:space="preserve"> </w:t>
      </w:r>
      <w:r w:rsidRPr="0097360E">
        <w:t>of the roadmap</w:t>
      </w:r>
      <w:r w:rsidRPr="006F4BCD">
        <w:t xml:space="preserve"> </w:t>
      </w:r>
      <w:r w:rsidR="0004506D">
        <w:t>is</w:t>
      </w:r>
      <w:r w:rsidRPr="0097360E">
        <w:t xml:space="preserve"> to support effective coordination and cooperation between the VET and Higher Education sectors in order to:</w:t>
      </w:r>
    </w:p>
    <w:p w14:paraId="5E889B7A" w14:textId="77777777" w:rsidR="00D96CD1" w:rsidRDefault="00C20C64" w:rsidP="00EE65F2">
      <w:pPr>
        <w:pStyle w:val="BodyText"/>
        <w:numPr>
          <w:ilvl w:val="0"/>
          <w:numId w:val="27"/>
        </w:numPr>
        <w:tabs>
          <w:tab w:val="clear" w:pos="720"/>
          <w:tab w:val="left" w:pos="714"/>
        </w:tabs>
      </w:pPr>
      <w:r w:rsidRPr="0097360E">
        <w:t>enable learners</w:t>
      </w:r>
      <w:r w:rsidRPr="006F4BCD">
        <w:t xml:space="preserve"> </w:t>
      </w:r>
      <w:r w:rsidRPr="0097360E">
        <w:t>to</w:t>
      </w:r>
      <w:r w:rsidRPr="006F4BCD">
        <w:t xml:space="preserve"> </w:t>
      </w:r>
      <w:r w:rsidRPr="0097360E">
        <w:t>obtain the skills and knowledge they need to be successful in the labour market and life</w:t>
      </w:r>
    </w:p>
    <w:p w14:paraId="36BB742C" w14:textId="6D43D67E" w:rsidR="00C20C64" w:rsidRPr="0097360E" w:rsidRDefault="00C20C64" w:rsidP="00EE65F2">
      <w:pPr>
        <w:pStyle w:val="BodyText"/>
        <w:numPr>
          <w:ilvl w:val="0"/>
          <w:numId w:val="27"/>
        </w:numPr>
        <w:tabs>
          <w:tab w:val="clear" w:pos="720"/>
          <w:tab w:val="left" w:pos="714"/>
        </w:tabs>
      </w:pPr>
      <w:r w:rsidRPr="0097360E">
        <w:t>increase the productivity of Australian industry</w:t>
      </w:r>
    </w:p>
    <w:p w14:paraId="058A05CE" w14:textId="7C67D74C" w:rsidR="00C20C64" w:rsidRPr="0097360E" w:rsidRDefault="00B317E3" w:rsidP="00A703C7">
      <w:pPr>
        <w:pStyle w:val="BodyText"/>
        <w:tabs>
          <w:tab w:val="clear" w:pos="714"/>
        </w:tabs>
      </w:pPr>
      <w:r>
        <w:t>t</w:t>
      </w:r>
      <w:r w:rsidR="00C20C64" w:rsidRPr="0097360E">
        <w:t>he</w:t>
      </w:r>
      <w:r w:rsidR="00C20C64" w:rsidRPr="006F4BCD">
        <w:t xml:space="preserve"> </w:t>
      </w:r>
      <w:r w:rsidR="00C20C64" w:rsidRPr="0097360E">
        <w:t>two</w:t>
      </w:r>
      <w:r w:rsidR="00C20C64" w:rsidRPr="006F4BCD">
        <w:t xml:space="preserve"> </w:t>
      </w:r>
      <w:r w:rsidR="00C20C64" w:rsidRPr="0097360E">
        <w:t>sectors being on an equal footing</w:t>
      </w:r>
      <w:r w:rsidR="00022EBF">
        <w:t>,</w:t>
      </w:r>
      <w:r w:rsidR="00C20C64" w:rsidRPr="0097360E">
        <w:t xml:space="preserve"> drawing on their distinct strengths and complementary roles in a dynamic tertiary education system.</w:t>
      </w:r>
    </w:p>
    <w:p w14:paraId="4F3B4BA4" w14:textId="00E851F6" w:rsidR="00B82C76" w:rsidRDefault="00774DB6" w:rsidP="00774DB6">
      <w:pPr>
        <w:tabs>
          <w:tab w:val="left" w:pos="357"/>
          <w:tab w:val="left" w:pos="714"/>
          <w:tab w:val="left" w:pos="1072"/>
          <w:tab w:val="left" w:pos="1429"/>
        </w:tabs>
        <w:spacing w:before="120" w:after="120" w:line="276" w:lineRule="auto"/>
        <w:rPr>
          <w:bCs/>
        </w:rPr>
      </w:pPr>
      <w:r w:rsidRPr="003930ED">
        <w:rPr>
          <w:b/>
        </w:rPr>
        <w:t xml:space="preserve">Recommendation </w:t>
      </w:r>
      <w:r w:rsidR="006F4BCD">
        <w:rPr>
          <w:b/>
        </w:rPr>
        <w:t>3</w:t>
      </w:r>
      <w:r w:rsidRPr="003930ED">
        <w:rPr>
          <w:b/>
        </w:rPr>
        <w:t xml:space="preserve">: </w:t>
      </w:r>
      <w:r w:rsidR="00394F20" w:rsidRPr="00394F20">
        <w:rPr>
          <w:bCs/>
        </w:rPr>
        <w:t>That an appropriate governance structure, involving the Australian Government, state and territory governments, the VET sector, Higher Education, unions and employers, be established to advise on, support and guide the development of the roadmap, and that ATEC present the roadmap to relevant Ministerial Councils for their approval.</w:t>
      </w:r>
    </w:p>
    <w:p w14:paraId="281655DD" w14:textId="77777777" w:rsidR="00D96CD1" w:rsidRDefault="009A1C5A" w:rsidP="00774DB6">
      <w:pPr>
        <w:tabs>
          <w:tab w:val="left" w:pos="357"/>
          <w:tab w:val="left" w:pos="714"/>
          <w:tab w:val="left" w:pos="1072"/>
          <w:tab w:val="left" w:pos="1429"/>
        </w:tabs>
        <w:spacing w:before="120" w:after="120" w:line="276" w:lineRule="auto"/>
      </w:pPr>
      <w:r w:rsidRPr="003930ED">
        <w:rPr>
          <w:b/>
        </w:rPr>
        <w:t xml:space="preserve">Recommendation </w:t>
      </w:r>
      <w:r w:rsidR="006F4BCD">
        <w:rPr>
          <w:b/>
        </w:rPr>
        <w:t>4</w:t>
      </w:r>
      <w:r w:rsidRPr="003930ED">
        <w:rPr>
          <w:b/>
        </w:rPr>
        <w:t xml:space="preserve">: </w:t>
      </w:r>
      <w:r w:rsidRPr="003930ED">
        <w:t xml:space="preserve">That roles and responsibilities of different Australian Government and </w:t>
      </w:r>
      <w:r w:rsidR="008C235F">
        <w:t>s</w:t>
      </w:r>
      <w:r w:rsidR="008C235F" w:rsidRPr="003930ED">
        <w:t>tate</w:t>
      </w:r>
      <w:r w:rsidRPr="003930ED">
        <w:t xml:space="preserve"> and </w:t>
      </w:r>
      <w:r w:rsidR="008C235F">
        <w:t>t</w:t>
      </w:r>
      <w:r w:rsidR="008C235F" w:rsidRPr="003930ED">
        <w:t>erritory</w:t>
      </w:r>
      <w:r w:rsidRPr="003930ED">
        <w:t xml:space="preserve"> agencies should be identified as part of the roadmap.</w:t>
      </w:r>
    </w:p>
    <w:p w14:paraId="7AF45186" w14:textId="0F5EECF6" w:rsidR="00611F48" w:rsidRPr="00785FF4" w:rsidRDefault="00611F48" w:rsidP="00611F48">
      <w:pPr>
        <w:rPr>
          <w:b/>
        </w:rPr>
      </w:pPr>
      <w:r w:rsidRPr="00785FF4">
        <w:rPr>
          <w:b/>
        </w:rPr>
        <w:t xml:space="preserve">Recommendation </w:t>
      </w:r>
      <w:r>
        <w:rPr>
          <w:b/>
        </w:rPr>
        <w:t>5</w:t>
      </w:r>
      <w:r w:rsidRPr="00785FF4">
        <w:rPr>
          <w:b/>
        </w:rPr>
        <w:t xml:space="preserve">: </w:t>
      </w:r>
      <w:r w:rsidRPr="008F79A0">
        <w:rPr>
          <w:bCs/>
        </w:rPr>
        <w:t xml:space="preserve">That Higher Education and VET providers are invited to express interest </w:t>
      </w:r>
      <w:r w:rsidR="00052C56" w:rsidRPr="008F79A0">
        <w:rPr>
          <w:bCs/>
        </w:rPr>
        <w:t>in being</w:t>
      </w:r>
      <w:r w:rsidRPr="008F79A0">
        <w:rPr>
          <w:bCs/>
        </w:rPr>
        <w:t xml:space="preserve"> included in a recognised list of participants in collaborative harmonisation projects in a VET-Higher Education Collaboration Agenda.</w:t>
      </w:r>
      <w:r w:rsidR="00D96CD1">
        <w:rPr>
          <w:bCs/>
        </w:rPr>
        <w:t xml:space="preserve"> </w:t>
      </w:r>
      <w:r w:rsidRPr="008F79A0">
        <w:rPr>
          <w:bCs/>
        </w:rPr>
        <w:t>Eligibility and inclusion criteria will include an obligation to commit to agreed collaboration principles, to ensure that VET and Higher Education providers approach such a collaboration as genuine partners. This will build upon the collaboration already underway through TAFE Centres of Excellence and other VET-Higher Education partnerships.</w:t>
      </w:r>
    </w:p>
    <w:p w14:paraId="2EDC696D" w14:textId="39D2CB46" w:rsidR="00774DB6" w:rsidRPr="003930ED" w:rsidRDefault="00774DB6" w:rsidP="00774DB6">
      <w:pPr>
        <w:tabs>
          <w:tab w:val="left" w:pos="357"/>
          <w:tab w:val="left" w:pos="714"/>
          <w:tab w:val="left" w:pos="1072"/>
          <w:tab w:val="left" w:pos="1429"/>
        </w:tabs>
        <w:spacing w:before="120" w:after="120" w:line="276" w:lineRule="auto"/>
      </w:pPr>
      <w:r w:rsidRPr="003930ED">
        <w:rPr>
          <w:b/>
          <w:bCs/>
        </w:rPr>
        <w:t xml:space="preserve">Recommendation </w:t>
      </w:r>
      <w:r w:rsidR="00B00C95">
        <w:rPr>
          <w:b/>
          <w:bCs/>
        </w:rPr>
        <w:t>6</w:t>
      </w:r>
      <w:r w:rsidRPr="003930ED">
        <w:rPr>
          <w:b/>
          <w:bCs/>
        </w:rPr>
        <w:t>:</w:t>
      </w:r>
      <w:r w:rsidRPr="003930ED">
        <w:t xml:space="preserve"> That </w:t>
      </w:r>
      <w:r>
        <w:t xml:space="preserve">the proposed </w:t>
      </w:r>
      <w:r w:rsidRPr="003930ED">
        <w:t>ATEC</w:t>
      </w:r>
      <w:r>
        <w:t>, when established,</w:t>
      </w:r>
      <w:r w:rsidRPr="003930ED">
        <w:t xml:space="preserve"> utilise </w:t>
      </w:r>
      <w:r>
        <w:t xml:space="preserve">all </w:t>
      </w:r>
      <w:r w:rsidRPr="003930ED">
        <w:t xml:space="preserve">available levers to promote tertiary harmonisation and drive cultural change, for example the use of mission-based compacts to influence </w:t>
      </w:r>
      <w:r w:rsidR="006E36F3">
        <w:t>Higher Education</w:t>
      </w:r>
      <w:r w:rsidRPr="003930ED">
        <w:t xml:space="preserve"> providers.</w:t>
      </w:r>
    </w:p>
    <w:p w14:paraId="58C54706" w14:textId="3857584D" w:rsidR="00774DB6" w:rsidRDefault="00774DB6" w:rsidP="00774DB6">
      <w:pPr>
        <w:tabs>
          <w:tab w:val="left" w:pos="357"/>
          <w:tab w:val="left" w:pos="714"/>
          <w:tab w:val="left" w:pos="1072"/>
          <w:tab w:val="left" w:pos="1429"/>
        </w:tabs>
        <w:spacing w:before="120" w:after="120" w:line="276" w:lineRule="auto"/>
      </w:pPr>
      <w:r w:rsidRPr="003930ED">
        <w:rPr>
          <w:b/>
          <w:bCs/>
        </w:rPr>
        <w:t xml:space="preserve">Recommendation </w:t>
      </w:r>
      <w:r w:rsidR="00B00C95">
        <w:rPr>
          <w:b/>
          <w:bCs/>
        </w:rPr>
        <w:t>7</w:t>
      </w:r>
      <w:r w:rsidRPr="003930ED">
        <w:rPr>
          <w:b/>
          <w:bCs/>
        </w:rPr>
        <w:t>:</w:t>
      </w:r>
      <w:r w:rsidRPr="003930ED">
        <w:t xml:space="preserve"> That in monitoring the performance of the tertiary system, ATEC </w:t>
      </w:r>
      <w:r>
        <w:t>and JSA should</w:t>
      </w:r>
      <w:r w:rsidRPr="003930ED">
        <w:t xml:space="preserve"> have regard to evidence of improved tertiary harmonisation</w:t>
      </w:r>
      <w:r>
        <w:t xml:space="preserve"> and</w:t>
      </w:r>
      <w:r w:rsidRPr="003930ED">
        <w:t xml:space="preserve"> enhanced collaboration </w:t>
      </w:r>
      <w:r w:rsidRPr="003930ED">
        <w:lastRenderedPageBreak/>
        <w:t xml:space="preserve">between VET and </w:t>
      </w:r>
      <w:r w:rsidR="006E36F3">
        <w:t>Higher Education</w:t>
      </w:r>
      <w:r w:rsidRPr="003930ED">
        <w:t xml:space="preserve"> providers. This will include the development of measurable indicators of success.</w:t>
      </w:r>
    </w:p>
    <w:p w14:paraId="222BE173" w14:textId="77777777" w:rsidR="00D96CD1" w:rsidRDefault="00774DB6" w:rsidP="00774DB6">
      <w:pPr>
        <w:tabs>
          <w:tab w:val="left" w:pos="357"/>
          <w:tab w:val="left" w:pos="714"/>
          <w:tab w:val="left" w:pos="1072"/>
          <w:tab w:val="left" w:pos="1429"/>
        </w:tabs>
        <w:spacing w:before="120" w:after="120" w:line="276" w:lineRule="auto"/>
      </w:pPr>
      <w:r w:rsidRPr="0045164F">
        <w:rPr>
          <w:b/>
          <w:bCs/>
        </w:rPr>
        <w:t xml:space="preserve">Recommendation </w:t>
      </w:r>
      <w:r w:rsidR="00B00C95">
        <w:rPr>
          <w:b/>
          <w:bCs/>
        </w:rPr>
        <w:t>8</w:t>
      </w:r>
      <w:r>
        <w:t>: That in development of the roadmap, priority is given to drawing on the strengths of VET in driving skills development and growth in productivity. Furthermore, improving the outcomes and experiences of individual students and their current and prospective employers is the central driver of reform.</w:t>
      </w:r>
    </w:p>
    <w:p w14:paraId="640E5497" w14:textId="2EEBABD5" w:rsidR="009A1C5A" w:rsidRPr="003930ED" w:rsidRDefault="00C50BD8" w:rsidP="003C33FC">
      <w:pPr>
        <w:pStyle w:val="Heading3"/>
        <w:numPr>
          <w:ilvl w:val="0"/>
          <w:numId w:val="0"/>
        </w:numPr>
        <w:ind w:left="1072" w:hanging="1072"/>
      </w:pPr>
      <w:r>
        <w:t>Early priorities for the roadmap</w:t>
      </w:r>
    </w:p>
    <w:p w14:paraId="7F8A1398" w14:textId="70E26838" w:rsidR="008D6DB7" w:rsidRPr="003930ED" w:rsidRDefault="008D6DB7" w:rsidP="008D6DB7">
      <w:pPr>
        <w:tabs>
          <w:tab w:val="left" w:pos="357"/>
          <w:tab w:val="left" w:pos="714"/>
          <w:tab w:val="left" w:pos="1072"/>
          <w:tab w:val="left" w:pos="1429"/>
        </w:tabs>
        <w:spacing w:before="120" w:after="120" w:line="276" w:lineRule="auto"/>
        <w:rPr>
          <w:b/>
          <w:bCs/>
        </w:rPr>
      </w:pPr>
      <w:r w:rsidRPr="003930ED">
        <w:rPr>
          <w:b/>
        </w:rPr>
        <w:t xml:space="preserve">Recommendation </w:t>
      </w:r>
      <w:r w:rsidR="0054409B">
        <w:rPr>
          <w:b/>
        </w:rPr>
        <w:t>9</w:t>
      </w:r>
      <w:r w:rsidRPr="003930ED">
        <w:rPr>
          <w:b/>
        </w:rPr>
        <w:t xml:space="preserve">: </w:t>
      </w:r>
      <w:r w:rsidRPr="003930ED">
        <w:rPr>
          <w:bCs/>
        </w:rPr>
        <w:t>That stakeholders work towards a national credit transfer system.</w:t>
      </w:r>
    </w:p>
    <w:p w14:paraId="6F1EAA86" w14:textId="18D5793E" w:rsidR="008D6DB7" w:rsidRPr="003930ED" w:rsidRDefault="008D6DB7" w:rsidP="008D6DB7">
      <w:pPr>
        <w:tabs>
          <w:tab w:val="left" w:pos="357"/>
          <w:tab w:val="left" w:pos="714"/>
          <w:tab w:val="left" w:pos="1072"/>
          <w:tab w:val="left" w:pos="1429"/>
        </w:tabs>
        <w:spacing w:before="120" w:after="120" w:line="276" w:lineRule="auto"/>
      </w:pPr>
      <w:r w:rsidRPr="003930ED">
        <w:rPr>
          <w:b/>
        </w:rPr>
        <w:t xml:space="preserve">Recommendation </w:t>
      </w:r>
      <w:r w:rsidR="0054409B">
        <w:rPr>
          <w:b/>
        </w:rPr>
        <w:t>10</w:t>
      </w:r>
      <w:r w:rsidRPr="003930ED">
        <w:rPr>
          <w:b/>
        </w:rPr>
        <w:t>:</w:t>
      </w:r>
      <w:r w:rsidRPr="003930ED">
        <w:t xml:space="preserve"> That an innovation fund be established to provide incentives for the expansion of collaboration between providers to foster tertiary harmonisation, for example, for the development of nested and hybrid qualifications. The innovation fund would be available to providers</w:t>
      </w:r>
      <w:r>
        <w:t xml:space="preserve"> from both sectors</w:t>
      </w:r>
      <w:r w:rsidRPr="003930ED">
        <w:t xml:space="preserve"> who opt into a VET-</w:t>
      </w:r>
      <w:r w:rsidR="006E36F3">
        <w:t>Higher Education</w:t>
      </w:r>
      <w:r w:rsidRPr="003930ED">
        <w:t xml:space="preserve"> </w:t>
      </w:r>
      <w:r w:rsidR="00A75F28">
        <w:t>C</w:t>
      </w:r>
      <w:r w:rsidRPr="003930ED">
        <w:t xml:space="preserve">ollaboration </w:t>
      </w:r>
      <w:r w:rsidR="00A75F28">
        <w:t>A</w:t>
      </w:r>
      <w:r w:rsidRPr="003930ED">
        <w:t>genda.</w:t>
      </w:r>
    </w:p>
    <w:p w14:paraId="0680BDB6" w14:textId="6935D2BF" w:rsidR="008D6DB7" w:rsidRPr="003930ED" w:rsidRDefault="008D6DB7" w:rsidP="008D6DB7">
      <w:pPr>
        <w:tabs>
          <w:tab w:val="left" w:pos="357"/>
          <w:tab w:val="left" w:pos="714"/>
          <w:tab w:val="left" w:pos="1072"/>
          <w:tab w:val="left" w:pos="1429"/>
        </w:tabs>
        <w:spacing w:before="120" w:after="120" w:line="276" w:lineRule="auto"/>
      </w:pPr>
      <w:r w:rsidRPr="003930ED">
        <w:rPr>
          <w:b/>
        </w:rPr>
        <w:t xml:space="preserve">Recommendation </w:t>
      </w:r>
      <w:r>
        <w:rPr>
          <w:b/>
        </w:rPr>
        <w:t>1</w:t>
      </w:r>
      <w:r w:rsidR="0054409B">
        <w:rPr>
          <w:b/>
        </w:rPr>
        <w:t>1</w:t>
      </w:r>
      <w:r w:rsidRPr="003930ED">
        <w:rPr>
          <w:b/>
        </w:rPr>
        <w:t>:</w:t>
      </w:r>
      <w:r w:rsidRPr="003930ED">
        <w:t xml:space="preserve"> That guidelines are developed outlining the types of nested and hybrid qualifications that could be developed and receive support through an innovation fund.</w:t>
      </w:r>
    </w:p>
    <w:p w14:paraId="13FA994E" w14:textId="7F11CE20" w:rsidR="008D6DB7" w:rsidRPr="003930ED" w:rsidRDefault="008D6DB7" w:rsidP="008D6DB7">
      <w:pPr>
        <w:tabs>
          <w:tab w:val="left" w:pos="357"/>
          <w:tab w:val="left" w:pos="714"/>
          <w:tab w:val="left" w:pos="1072"/>
          <w:tab w:val="left" w:pos="1429"/>
        </w:tabs>
        <w:spacing w:before="120" w:after="120" w:line="276" w:lineRule="auto"/>
      </w:pPr>
      <w:r w:rsidRPr="003930ED">
        <w:rPr>
          <w:b/>
        </w:rPr>
        <w:t>Recommendation 1</w:t>
      </w:r>
      <w:r w:rsidR="0054409B">
        <w:rPr>
          <w:b/>
        </w:rPr>
        <w:t>2</w:t>
      </w:r>
      <w:r w:rsidRPr="003930ED">
        <w:rPr>
          <w:b/>
        </w:rPr>
        <w:t>:</w:t>
      </w:r>
      <w:r w:rsidRPr="003930ED">
        <w:t xml:space="preserve"> That </w:t>
      </w:r>
      <w:r w:rsidR="006E36F3">
        <w:t>Higher Education</w:t>
      </w:r>
      <w:r w:rsidRPr="003930ED">
        <w:t xml:space="preserve"> institutions are encouraged to collaborate with VET providers to move towards a systematic approach to enabling </w:t>
      </w:r>
      <w:r>
        <w:t>or preparatory courses</w:t>
      </w:r>
      <w:r w:rsidRPr="003930ED">
        <w:t xml:space="preserve"> that are nationally recognised and portable.</w:t>
      </w:r>
    </w:p>
    <w:p w14:paraId="0FD802EE" w14:textId="44BDAACC" w:rsidR="008D6DB7" w:rsidRPr="003930ED" w:rsidRDefault="008D6DB7" w:rsidP="008D6DB7">
      <w:pPr>
        <w:tabs>
          <w:tab w:val="left" w:pos="357"/>
          <w:tab w:val="left" w:pos="714"/>
          <w:tab w:val="left" w:pos="1072"/>
          <w:tab w:val="left" w:pos="1429"/>
        </w:tabs>
        <w:spacing w:before="120" w:after="120" w:line="276" w:lineRule="auto"/>
        <w:rPr>
          <w:bCs/>
        </w:rPr>
      </w:pPr>
      <w:r w:rsidRPr="003930ED">
        <w:rPr>
          <w:b/>
        </w:rPr>
        <w:t>Recommendation 1</w:t>
      </w:r>
      <w:r w:rsidR="0054409B">
        <w:rPr>
          <w:b/>
        </w:rPr>
        <w:t>3</w:t>
      </w:r>
      <w:r w:rsidRPr="003930ED">
        <w:rPr>
          <w:b/>
        </w:rPr>
        <w:t xml:space="preserve">: </w:t>
      </w:r>
      <w:r w:rsidRPr="003930ED">
        <w:rPr>
          <w:bCs/>
        </w:rPr>
        <w:t xml:space="preserve">That the </w:t>
      </w:r>
      <w:r w:rsidRPr="009A1C5A">
        <w:rPr>
          <w:rStyle w:val="Characterbold"/>
          <w:b w:val="0"/>
        </w:rPr>
        <w:t xml:space="preserve">Australian </w:t>
      </w:r>
      <w:r w:rsidR="00937683">
        <w:rPr>
          <w:rStyle w:val="Characterbold"/>
          <w:b w:val="0"/>
        </w:rPr>
        <w:t>G</w:t>
      </w:r>
      <w:r w:rsidRPr="009A1C5A">
        <w:rPr>
          <w:rStyle w:val="Characterbold"/>
          <w:b w:val="0"/>
        </w:rPr>
        <w:t>overnment</w:t>
      </w:r>
      <w:r>
        <w:rPr>
          <w:rStyle w:val="Characterbold"/>
          <w:b w:val="0"/>
        </w:rPr>
        <w:t xml:space="preserve"> </w:t>
      </w:r>
      <w:r w:rsidRPr="003930ED">
        <w:rPr>
          <w:bCs/>
        </w:rPr>
        <w:t xml:space="preserve">consider </w:t>
      </w:r>
      <w:r>
        <w:rPr>
          <w:bCs/>
        </w:rPr>
        <w:t>using new</w:t>
      </w:r>
      <w:r w:rsidRPr="003930ED">
        <w:rPr>
          <w:bCs/>
        </w:rPr>
        <w:t xml:space="preserve"> CSP funding for TAFEs</w:t>
      </w:r>
      <w:r>
        <w:rPr>
          <w:bCs/>
        </w:rPr>
        <w:t>, and the ATEC’s role in allocating growth in CSPs,</w:t>
      </w:r>
      <w:r w:rsidRPr="003930ED">
        <w:rPr>
          <w:bCs/>
        </w:rPr>
        <w:t xml:space="preserve"> to promote the harmonisation agenda.</w:t>
      </w:r>
    </w:p>
    <w:p w14:paraId="6CF523C6" w14:textId="4D05AE38" w:rsidR="008D6DB7" w:rsidRPr="00302BD7" w:rsidRDefault="008D6DB7" w:rsidP="008D6DB7">
      <w:pPr>
        <w:tabs>
          <w:tab w:val="left" w:pos="357"/>
          <w:tab w:val="left" w:pos="714"/>
          <w:tab w:val="left" w:pos="1072"/>
          <w:tab w:val="left" w:pos="1429"/>
        </w:tabs>
        <w:spacing w:before="120" w:after="120" w:line="276" w:lineRule="auto"/>
        <w:rPr>
          <w:bCs/>
        </w:rPr>
      </w:pPr>
      <w:r w:rsidRPr="003930ED">
        <w:rPr>
          <w:b/>
        </w:rPr>
        <w:t>Recommendation 1</w:t>
      </w:r>
      <w:r w:rsidR="0054409B">
        <w:rPr>
          <w:b/>
        </w:rPr>
        <w:t>4</w:t>
      </w:r>
      <w:r w:rsidRPr="003930ED">
        <w:rPr>
          <w:b/>
        </w:rPr>
        <w:t xml:space="preserve">: </w:t>
      </w:r>
      <w:r w:rsidRPr="00DB3597">
        <w:t>That,</w:t>
      </w:r>
      <w:r>
        <w:rPr>
          <w:b/>
        </w:rPr>
        <w:t xml:space="preserve"> </w:t>
      </w:r>
      <w:r>
        <w:rPr>
          <w:bCs/>
        </w:rPr>
        <w:t>u</w:t>
      </w:r>
      <w:r w:rsidRPr="003930ED">
        <w:rPr>
          <w:bCs/>
        </w:rPr>
        <w:t>nder its legislated responsibility (section 9d</w:t>
      </w:r>
      <w:r>
        <w:rPr>
          <w:bCs/>
        </w:rPr>
        <w:t xml:space="preserve"> of the </w:t>
      </w:r>
      <w:r w:rsidRPr="00582709">
        <w:rPr>
          <w:i/>
        </w:rPr>
        <w:t>Jobs and Skills Australia Act 2022</w:t>
      </w:r>
      <w:r w:rsidRPr="003930ED">
        <w:rPr>
          <w:bCs/>
        </w:rPr>
        <w:t xml:space="preserve">) to undertake research and analysis on the resourcing requirements for registered training organisations to deliver accessible quality VET courses, JSA should undertake work in collaboration with ATEC and in consultation with the states and territories about how VET funding models could be enhanced and also help foster collaboration with </w:t>
      </w:r>
      <w:r w:rsidR="006E36F3">
        <w:rPr>
          <w:bCs/>
        </w:rPr>
        <w:t>Higher Education</w:t>
      </w:r>
      <w:r w:rsidRPr="003930ED">
        <w:rPr>
          <w:bCs/>
        </w:rPr>
        <w:t xml:space="preserve"> and put VET on a level playing field with </w:t>
      </w:r>
      <w:r w:rsidR="006E36F3">
        <w:rPr>
          <w:bCs/>
        </w:rPr>
        <w:t>Higher Education</w:t>
      </w:r>
      <w:r w:rsidRPr="003930ED">
        <w:rPr>
          <w:bCs/>
        </w:rPr>
        <w:t xml:space="preserve">. This will help inform ATEC in a way that would help ensure that reforms to </w:t>
      </w:r>
      <w:r w:rsidR="006E36F3">
        <w:rPr>
          <w:bCs/>
        </w:rPr>
        <w:t>Higher Education</w:t>
      </w:r>
      <w:r w:rsidRPr="003930ED">
        <w:rPr>
          <w:bCs/>
        </w:rPr>
        <w:t xml:space="preserve"> funding are consistent with the harmonisation agenda.</w:t>
      </w:r>
    </w:p>
    <w:p w14:paraId="1CBD07D7" w14:textId="77777777" w:rsidR="00D96CD1" w:rsidRDefault="00C50BD8" w:rsidP="003C33FC">
      <w:pPr>
        <w:pStyle w:val="Heading3"/>
        <w:numPr>
          <w:ilvl w:val="0"/>
          <w:numId w:val="0"/>
        </w:numPr>
        <w:ind w:left="1072" w:hanging="1072"/>
      </w:pPr>
      <w:r>
        <w:t>Me</w:t>
      </w:r>
      <w:r w:rsidR="009A1C5A" w:rsidRPr="003930ED">
        <w:t xml:space="preserve">dium-term </w:t>
      </w:r>
      <w:r>
        <w:t xml:space="preserve">horizon </w:t>
      </w:r>
      <w:r w:rsidR="009A1C5A" w:rsidRPr="003930ED">
        <w:t>roadmap priorities</w:t>
      </w:r>
    </w:p>
    <w:p w14:paraId="368CED6C" w14:textId="0B74D932" w:rsidR="009D0EA9" w:rsidRPr="003930ED" w:rsidRDefault="009D0EA9" w:rsidP="009D0EA9">
      <w:pPr>
        <w:tabs>
          <w:tab w:val="left" w:pos="357"/>
          <w:tab w:val="left" w:pos="714"/>
          <w:tab w:val="left" w:pos="1072"/>
          <w:tab w:val="left" w:pos="1429"/>
        </w:tabs>
        <w:spacing w:before="120" w:after="120" w:line="276" w:lineRule="auto"/>
        <w:rPr>
          <w:b/>
        </w:rPr>
      </w:pPr>
      <w:r w:rsidRPr="003930ED">
        <w:rPr>
          <w:b/>
        </w:rPr>
        <w:t>Recommendation 1</w:t>
      </w:r>
      <w:r w:rsidR="0054409B">
        <w:rPr>
          <w:b/>
        </w:rPr>
        <w:t>5</w:t>
      </w:r>
      <w:r w:rsidRPr="003930ED">
        <w:rPr>
          <w:b/>
        </w:rPr>
        <w:t xml:space="preserve">: </w:t>
      </w:r>
      <w:r w:rsidRPr="003930ED">
        <w:rPr>
          <w:bCs/>
        </w:rPr>
        <w:t xml:space="preserve">That reform </w:t>
      </w:r>
      <w:r>
        <w:rPr>
          <w:bCs/>
        </w:rPr>
        <w:t>proposals for</w:t>
      </w:r>
      <w:r w:rsidRPr="003930ED">
        <w:rPr>
          <w:bCs/>
        </w:rPr>
        <w:t xml:space="preserve"> the Australian Qualifications Framework </w:t>
      </w:r>
      <w:r>
        <w:rPr>
          <w:bCs/>
        </w:rPr>
        <w:t>are</w:t>
      </w:r>
      <w:r w:rsidRPr="003930ED">
        <w:rPr>
          <w:bCs/>
        </w:rPr>
        <w:t xml:space="preserve"> </w:t>
      </w:r>
      <w:r>
        <w:rPr>
          <w:bCs/>
        </w:rPr>
        <w:t xml:space="preserve">updated and </w:t>
      </w:r>
      <w:r w:rsidRPr="003930ED">
        <w:rPr>
          <w:bCs/>
        </w:rPr>
        <w:t xml:space="preserve">finalised by ATEC, in agreement with </w:t>
      </w:r>
      <w:r>
        <w:rPr>
          <w:bCs/>
        </w:rPr>
        <w:t xml:space="preserve">the </w:t>
      </w:r>
      <w:r w:rsidRPr="009A1C5A">
        <w:rPr>
          <w:rStyle w:val="Characterbold"/>
          <w:b w:val="0"/>
        </w:rPr>
        <w:t xml:space="preserve">Australian and </w:t>
      </w:r>
      <w:r w:rsidR="000D016E">
        <w:rPr>
          <w:rStyle w:val="Characterbold"/>
          <w:b w:val="0"/>
        </w:rPr>
        <w:t>s</w:t>
      </w:r>
      <w:r w:rsidRPr="009A1C5A">
        <w:rPr>
          <w:rStyle w:val="Characterbold"/>
          <w:b w:val="0"/>
        </w:rPr>
        <w:t xml:space="preserve">tate and </w:t>
      </w:r>
      <w:r w:rsidR="000D016E">
        <w:rPr>
          <w:rStyle w:val="Characterbold"/>
          <w:b w:val="0"/>
        </w:rPr>
        <w:t>t</w:t>
      </w:r>
      <w:r w:rsidRPr="009A1C5A">
        <w:rPr>
          <w:rStyle w:val="Characterbold"/>
          <w:b w:val="0"/>
        </w:rPr>
        <w:t xml:space="preserve">erritory </w:t>
      </w:r>
      <w:r w:rsidR="00924883">
        <w:rPr>
          <w:rStyle w:val="Characterbold"/>
          <w:b w:val="0"/>
        </w:rPr>
        <w:t>G</w:t>
      </w:r>
      <w:r w:rsidRPr="009A1C5A">
        <w:rPr>
          <w:rStyle w:val="Characterbold"/>
          <w:b w:val="0"/>
        </w:rPr>
        <w:t>overnments</w:t>
      </w:r>
      <w:r>
        <w:rPr>
          <w:rStyle w:val="Characterbold"/>
          <w:b w:val="0"/>
        </w:rPr>
        <w:t>.</w:t>
      </w:r>
    </w:p>
    <w:p w14:paraId="14E02C7F" w14:textId="77777777" w:rsidR="00D96CD1" w:rsidRDefault="009D0EA9" w:rsidP="009D0EA9">
      <w:pPr>
        <w:tabs>
          <w:tab w:val="left" w:pos="357"/>
          <w:tab w:val="left" w:pos="714"/>
          <w:tab w:val="left" w:pos="1072"/>
          <w:tab w:val="left" w:pos="1429"/>
        </w:tabs>
        <w:spacing w:before="120" w:after="120" w:line="276" w:lineRule="auto"/>
        <w:rPr>
          <w:b/>
          <w:bCs/>
        </w:rPr>
      </w:pPr>
      <w:r w:rsidRPr="003930ED">
        <w:rPr>
          <w:b/>
        </w:rPr>
        <w:t>Recommendation 1</w:t>
      </w:r>
      <w:r w:rsidR="00930381">
        <w:rPr>
          <w:b/>
        </w:rPr>
        <w:t>6</w:t>
      </w:r>
      <w:r w:rsidRPr="003930ED">
        <w:rPr>
          <w:b/>
        </w:rPr>
        <w:t xml:space="preserve">: </w:t>
      </w:r>
      <w:r w:rsidRPr="003930ED">
        <w:rPr>
          <w:bCs/>
        </w:rPr>
        <w:t>That a National Skills Taxonomy is developed.</w:t>
      </w:r>
    </w:p>
    <w:p w14:paraId="76FE3FA8" w14:textId="70FF800B" w:rsidR="009D0EA9" w:rsidRPr="003930ED" w:rsidRDefault="009D0EA9" w:rsidP="009D0EA9">
      <w:pPr>
        <w:tabs>
          <w:tab w:val="left" w:pos="357"/>
          <w:tab w:val="left" w:pos="714"/>
          <w:tab w:val="left" w:pos="1072"/>
          <w:tab w:val="left" w:pos="1429"/>
        </w:tabs>
        <w:spacing w:before="120" w:after="120" w:line="276" w:lineRule="auto"/>
        <w:rPr>
          <w:b/>
        </w:rPr>
      </w:pPr>
      <w:r w:rsidRPr="003930ED">
        <w:rPr>
          <w:b/>
        </w:rPr>
        <w:t>Recommendation 1</w:t>
      </w:r>
      <w:r w:rsidR="00930381">
        <w:rPr>
          <w:b/>
        </w:rPr>
        <w:t>7</w:t>
      </w:r>
      <w:r w:rsidRPr="003930ED">
        <w:rPr>
          <w:b/>
        </w:rPr>
        <w:t xml:space="preserve">: </w:t>
      </w:r>
      <w:r w:rsidRPr="003930ED">
        <w:rPr>
          <w:bCs/>
        </w:rPr>
        <w:t xml:space="preserve">That a strategy is developed and implemented to support students and industry in navigating the tertiary system to obtain the skills and knowledge they need, with </w:t>
      </w:r>
      <w:r>
        <w:rPr>
          <w:bCs/>
        </w:rPr>
        <w:t xml:space="preserve">required </w:t>
      </w:r>
      <w:r w:rsidRPr="003930ED">
        <w:rPr>
          <w:bCs/>
        </w:rPr>
        <w:t xml:space="preserve">digital resources </w:t>
      </w:r>
      <w:r>
        <w:rPr>
          <w:bCs/>
        </w:rPr>
        <w:t>seen playing an important role as a core part of national infrastructure.</w:t>
      </w:r>
    </w:p>
    <w:p w14:paraId="2E8D3DC3" w14:textId="77777777" w:rsidR="00D96CD1" w:rsidRDefault="009D0EA9" w:rsidP="009D0EA9">
      <w:pPr>
        <w:tabs>
          <w:tab w:val="left" w:pos="357"/>
          <w:tab w:val="left" w:pos="714"/>
          <w:tab w:val="left" w:pos="1072"/>
          <w:tab w:val="left" w:pos="1429"/>
        </w:tabs>
        <w:spacing w:before="120" w:after="120" w:line="276" w:lineRule="auto"/>
      </w:pPr>
      <w:r w:rsidRPr="003930ED">
        <w:rPr>
          <w:b/>
        </w:rPr>
        <w:t>Recommendation 1</w:t>
      </w:r>
      <w:r w:rsidR="00930381">
        <w:rPr>
          <w:b/>
        </w:rPr>
        <w:t>8</w:t>
      </w:r>
      <w:r w:rsidRPr="003930ED">
        <w:rPr>
          <w:b/>
        </w:rPr>
        <w:t>:</w:t>
      </w:r>
      <w:r w:rsidRPr="003930ED">
        <w:t xml:space="preserve"> That a Tertiary Education National Data Asset is created</w:t>
      </w:r>
      <w:r>
        <w:t>, building on the good foundation and collaboration involved in the VET National Data Asset</w:t>
      </w:r>
      <w:r w:rsidRPr="003930ED">
        <w:t>.</w:t>
      </w:r>
    </w:p>
    <w:p w14:paraId="453AA5C0" w14:textId="161B40AF" w:rsidR="009D0EA9" w:rsidRPr="003930ED" w:rsidRDefault="009D0EA9" w:rsidP="009D0EA9">
      <w:pPr>
        <w:tabs>
          <w:tab w:val="left" w:pos="357"/>
          <w:tab w:val="left" w:pos="714"/>
          <w:tab w:val="left" w:pos="1072"/>
          <w:tab w:val="left" w:pos="1429"/>
        </w:tabs>
        <w:spacing w:before="120" w:after="120" w:line="276" w:lineRule="auto"/>
      </w:pPr>
      <w:r w:rsidRPr="003930ED">
        <w:rPr>
          <w:b/>
        </w:rPr>
        <w:t>Recommendation 1</w:t>
      </w:r>
      <w:r w:rsidR="00690ED0">
        <w:rPr>
          <w:b/>
        </w:rPr>
        <w:t>9</w:t>
      </w:r>
      <w:r w:rsidRPr="003930ED">
        <w:rPr>
          <w:b/>
        </w:rPr>
        <w:t>:</w:t>
      </w:r>
      <w:r w:rsidRPr="003930ED">
        <w:t xml:space="preserve"> Develop a set of nationally agreed principles for tertiary education funding to support harmonisation.</w:t>
      </w:r>
    </w:p>
    <w:p w14:paraId="3C30A142" w14:textId="32760642" w:rsidR="00AE0185" w:rsidRDefault="00AE0185" w:rsidP="00E03B0F">
      <w:pPr>
        <w:sectPr w:rsidR="00AE0185" w:rsidSect="00DB587F">
          <w:headerReference w:type="even" r:id="rId24"/>
          <w:headerReference w:type="default" r:id="rId25"/>
          <w:headerReference w:type="first" r:id="rId26"/>
          <w:footerReference w:type="first" r:id="rId27"/>
          <w:type w:val="evenPage"/>
          <w:pgSz w:w="11907" w:h="16839" w:code="9"/>
          <w:pgMar w:top="1440" w:right="1270" w:bottom="1440" w:left="1270" w:header="720" w:footer="720" w:gutter="0"/>
          <w:cols w:space="720"/>
          <w:titlePg/>
          <w:docGrid w:linePitch="360"/>
        </w:sectPr>
      </w:pPr>
    </w:p>
    <w:p w14:paraId="30A72A2F" w14:textId="6BB1B7D4" w:rsidR="00732448" w:rsidRDefault="00304AD4" w:rsidP="004E37DB">
      <w:pPr>
        <w:pStyle w:val="Heading1"/>
        <w:spacing w:after="120"/>
      </w:pPr>
      <w:bookmarkStart w:id="13" w:name="_Toc189060408"/>
      <w:bookmarkStart w:id="14" w:name="_Toc189060498"/>
      <w:bookmarkStart w:id="15" w:name="_Toc190980901"/>
      <w:r>
        <w:lastRenderedPageBreak/>
        <w:t>Background</w:t>
      </w:r>
      <w:bookmarkEnd w:id="13"/>
      <w:bookmarkEnd w:id="14"/>
      <w:bookmarkEnd w:id="15"/>
    </w:p>
    <w:tbl>
      <w:tblPr>
        <w:tblStyle w:val="CustomTablekeythemes"/>
        <w:tblW w:w="0" w:type="auto"/>
        <w:tblLook w:val="04A0" w:firstRow="1" w:lastRow="0" w:firstColumn="1" w:lastColumn="0" w:noHBand="0" w:noVBand="1"/>
      </w:tblPr>
      <w:tblGrid>
        <w:gridCol w:w="9026"/>
      </w:tblGrid>
      <w:tr w:rsidR="00077237" w14:paraId="3F3A99AD" w14:textId="77777777" w:rsidTr="00B3697E">
        <w:tc>
          <w:tcPr>
            <w:tcW w:w="9027" w:type="dxa"/>
          </w:tcPr>
          <w:p w14:paraId="2AA26840" w14:textId="77777777" w:rsidR="00077237" w:rsidRPr="00077237" w:rsidRDefault="00077237" w:rsidP="00077237">
            <w:pPr>
              <w:rPr>
                <w:rStyle w:val="Characterbold"/>
              </w:rPr>
            </w:pPr>
            <w:r w:rsidRPr="00041B44">
              <w:rPr>
                <w:rStyle w:val="Characterbold"/>
              </w:rPr>
              <w:t>K</w:t>
            </w:r>
            <w:r w:rsidRPr="00077237">
              <w:rPr>
                <w:rStyle w:val="Characterbold"/>
              </w:rPr>
              <w:t>ey themes in this chapter</w:t>
            </w:r>
          </w:p>
          <w:p w14:paraId="14F1EC9A" w14:textId="77777777" w:rsidR="00D96CD1" w:rsidRDefault="008420EB" w:rsidP="001A5D90">
            <w:pPr>
              <w:pStyle w:val="ListBullet"/>
              <w:numPr>
                <w:ilvl w:val="0"/>
                <w:numId w:val="2"/>
              </w:numPr>
            </w:pPr>
            <w:r w:rsidRPr="002E4ED8">
              <w:t xml:space="preserve">Tertiary harmonisation </w:t>
            </w:r>
            <w:r w:rsidR="00AB3019">
              <w:t xml:space="preserve">aims to better align </w:t>
            </w:r>
            <w:r w:rsidR="003B5166">
              <w:t xml:space="preserve">the </w:t>
            </w:r>
            <w:r w:rsidR="006E36F3">
              <w:t>Higher Education</w:t>
            </w:r>
            <w:r w:rsidR="00AB3019">
              <w:t xml:space="preserve"> </w:t>
            </w:r>
            <w:r w:rsidR="00DA1F06">
              <w:t>and</w:t>
            </w:r>
            <w:r w:rsidR="00AB3019">
              <w:t xml:space="preserve"> </w:t>
            </w:r>
            <w:r w:rsidR="006C7CE9">
              <w:t>vocational education and training</w:t>
            </w:r>
            <w:r w:rsidR="003B5166">
              <w:t xml:space="preserve"> sectors</w:t>
            </w:r>
            <w:r w:rsidR="0032310A">
              <w:t>.</w:t>
            </w:r>
            <w:r w:rsidR="006559E7">
              <w:t xml:space="preserve"> </w:t>
            </w:r>
            <w:r w:rsidR="0032310A">
              <w:t xml:space="preserve">This will </w:t>
            </w:r>
            <w:r w:rsidR="006559E7">
              <w:t>enabl</w:t>
            </w:r>
            <w:r w:rsidR="0032310A">
              <w:t>e</w:t>
            </w:r>
            <w:r w:rsidR="006559E7">
              <w:t xml:space="preserve"> </w:t>
            </w:r>
            <w:r w:rsidR="00FF0101">
              <w:t xml:space="preserve">more </w:t>
            </w:r>
            <w:r w:rsidR="006559E7">
              <w:t xml:space="preserve">students to </w:t>
            </w:r>
            <w:r w:rsidR="003C0979">
              <w:t xml:space="preserve">gain the knowledge and skills they </w:t>
            </w:r>
            <w:r w:rsidR="008F0F44">
              <w:t>need for success</w:t>
            </w:r>
            <w:r w:rsidR="00E03F72">
              <w:t xml:space="preserve"> and to</w:t>
            </w:r>
            <w:r w:rsidR="00016800">
              <w:t xml:space="preserve"> </w:t>
            </w:r>
            <w:r w:rsidR="00E966B4">
              <w:t>better meet the needs of industry</w:t>
            </w:r>
            <w:r w:rsidR="0032310A">
              <w:t xml:space="preserve"> -</w:t>
            </w:r>
            <w:r w:rsidR="00035DD9">
              <w:t xml:space="preserve"> </w:t>
            </w:r>
            <w:r w:rsidR="00E03F72">
              <w:t xml:space="preserve">including by </w:t>
            </w:r>
            <w:r w:rsidR="007457E8">
              <w:t>facilitating student mobility between sectors.</w:t>
            </w:r>
          </w:p>
          <w:p w14:paraId="690F8E21" w14:textId="27522213" w:rsidR="00FA0D1A" w:rsidRDefault="00FA0D1A" w:rsidP="00FA0D1A">
            <w:pPr>
              <w:pStyle w:val="ListBullet"/>
              <w:numPr>
                <w:ilvl w:val="0"/>
                <w:numId w:val="2"/>
              </w:numPr>
            </w:pPr>
            <w:r w:rsidRPr="002E4ED8">
              <w:t>Tertiary harmonisation is a crucial step in building alignment between Australia's current education and training system and the changing needs of the labour market</w:t>
            </w:r>
            <w:r w:rsidRPr="00447FC7">
              <w:t>.</w:t>
            </w:r>
          </w:p>
          <w:p w14:paraId="7B0DCED6" w14:textId="7AC8C9BD" w:rsidR="0054438F" w:rsidRDefault="0054438F" w:rsidP="0054438F">
            <w:pPr>
              <w:pStyle w:val="ListBullet"/>
              <w:numPr>
                <w:ilvl w:val="0"/>
                <w:numId w:val="2"/>
              </w:numPr>
            </w:pPr>
            <w:r>
              <w:t xml:space="preserve">Better alignment between </w:t>
            </w:r>
            <w:r w:rsidR="000006B4">
              <w:t>VET</w:t>
            </w:r>
            <w:r>
              <w:t xml:space="preserve"> and </w:t>
            </w:r>
            <w:r w:rsidR="006E36F3">
              <w:t>Higher Education</w:t>
            </w:r>
            <w:r>
              <w:t xml:space="preserve"> will also improve equity for students and young people, and efficiency in the system.</w:t>
            </w:r>
          </w:p>
          <w:p w14:paraId="6DE09318" w14:textId="0785B75C" w:rsidR="00723FCB" w:rsidRDefault="000A1175" w:rsidP="001A5D90">
            <w:pPr>
              <w:pStyle w:val="ListBullet"/>
              <w:numPr>
                <w:ilvl w:val="0"/>
                <w:numId w:val="2"/>
              </w:numPr>
            </w:pPr>
            <w:r>
              <w:t xml:space="preserve">While the </w:t>
            </w:r>
            <w:r w:rsidR="0019083F">
              <w:t>case</w:t>
            </w:r>
            <w:r w:rsidR="006179FB">
              <w:t xml:space="preserve"> for tertiary harmonisation has been </w:t>
            </w:r>
            <w:r w:rsidR="002D170D">
              <w:t>building</w:t>
            </w:r>
            <w:r w:rsidR="006179FB">
              <w:t xml:space="preserve"> for decades, momentum </w:t>
            </w:r>
            <w:r w:rsidR="002D170D">
              <w:t>has grown in</w:t>
            </w:r>
            <w:r w:rsidR="0066301E">
              <w:t xml:space="preserve"> recent years as industries, institutions</w:t>
            </w:r>
            <w:r w:rsidR="00EE0E5D">
              <w:t>,</w:t>
            </w:r>
            <w:r w:rsidR="0066301E">
              <w:t xml:space="preserve"> and governments have </w:t>
            </w:r>
            <w:r w:rsidR="005D3ECE">
              <w:t xml:space="preserve">conducted </w:t>
            </w:r>
            <w:r w:rsidR="00412D1F">
              <w:t xml:space="preserve">inquiries, </w:t>
            </w:r>
            <w:r w:rsidR="00D5274A">
              <w:t xml:space="preserve">completed </w:t>
            </w:r>
            <w:r w:rsidR="005D3ECE">
              <w:t>pilots</w:t>
            </w:r>
            <w:r w:rsidR="00412D1F">
              <w:t xml:space="preserve"> and </w:t>
            </w:r>
            <w:r w:rsidR="00D5274A">
              <w:t xml:space="preserve">developed </w:t>
            </w:r>
            <w:r w:rsidR="000F3C1A">
              <w:t>innovative education</w:t>
            </w:r>
            <w:r w:rsidR="00412D1F">
              <w:t xml:space="preserve"> programs</w:t>
            </w:r>
            <w:r w:rsidR="00D5274A">
              <w:t>.</w:t>
            </w:r>
          </w:p>
          <w:p w14:paraId="338638B7" w14:textId="35055C3A" w:rsidR="00EC0018" w:rsidRDefault="004E7D5C" w:rsidP="001A5D90">
            <w:pPr>
              <w:pStyle w:val="ListBullet"/>
              <w:numPr>
                <w:ilvl w:val="0"/>
                <w:numId w:val="2"/>
              </w:numPr>
            </w:pPr>
            <w:r>
              <w:t>The barriers to tertiary harmonisation are complex, interrelated, and often structural</w:t>
            </w:r>
            <w:r w:rsidR="00B62E24">
              <w:t>, but</w:t>
            </w:r>
            <w:r>
              <w:t xml:space="preserve"> </w:t>
            </w:r>
            <w:r w:rsidR="00B660B3">
              <w:t xml:space="preserve">there is now an opportunity to </w:t>
            </w:r>
            <w:r w:rsidR="004E2119">
              <w:t>develop</w:t>
            </w:r>
            <w:r w:rsidR="00FC2BA4">
              <w:t xml:space="preserve"> a roadmap to a </w:t>
            </w:r>
            <w:r w:rsidR="004E2119">
              <w:t>less disjointed</w:t>
            </w:r>
            <w:r w:rsidR="00EC0018">
              <w:t xml:space="preserve"> </w:t>
            </w:r>
            <w:r w:rsidR="00FC2BA4">
              <w:t xml:space="preserve">tertiary </w:t>
            </w:r>
            <w:r w:rsidR="00C72D2A">
              <w:t>system</w:t>
            </w:r>
            <w:r w:rsidR="00A82A33">
              <w:t>, centred on students</w:t>
            </w:r>
            <w:r w:rsidR="0052502A">
              <w:t>.</w:t>
            </w:r>
          </w:p>
        </w:tc>
      </w:tr>
    </w:tbl>
    <w:p w14:paraId="0027621D" w14:textId="77777777" w:rsidR="00077237" w:rsidRPr="00077237" w:rsidRDefault="00077237" w:rsidP="00077237">
      <w:pPr>
        <w:pStyle w:val="BodyText"/>
        <w:rPr>
          <w:lang w:eastAsia="en-AU"/>
        </w:rPr>
      </w:pPr>
    </w:p>
    <w:p w14:paraId="79437E30" w14:textId="77777777" w:rsidR="00EF5B32" w:rsidRPr="00EF5B32" w:rsidRDefault="00EF5B32" w:rsidP="00E7290B">
      <w:pPr>
        <w:pStyle w:val="Heading2"/>
      </w:pPr>
      <w:bookmarkStart w:id="16" w:name="_Toc189060409"/>
      <w:bookmarkStart w:id="17" w:name="_Toc189060499"/>
      <w:bookmarkStart w:id="18" w:name="_Toc190980902"/>
      <w:r w:rsidRPr="00EF5B32">
        <w:t>What is tertiary harmonisation?</w:t>
      </w:r>
      <w:bookmarkEnd w:id="16"/>
      <w:bookmarkEnd w:id="17"/>
      <w:bookmarkEnd w:id="18"/>
    </w:p>
    <w:p w14:paraId="48483E84" w14:textId="77777777" w:rsidR="00D96CD1" w:rsidRDefault="005A06FA" w:rsidP="00BD323B">
      <w:pPr>
        <w:pStyle w:val="BodyText"/>
      </w:pPr>
      <w:r>
        <w:t>T</w:t>
      </w:r>
      <w:r w:rsidRPr="00C96A4B">
        <w:t xml:space="preserve">ertiary harmonisation is </w:t>
      </w:r>
      <w:r w:rsidR="00972890">
        <w:t>the</w:t>
      </w:r>
      <w:r w:rsidRPr="00C96A4B">
        <w:t xml:space="preserve"> strategic alignment of the </w:t>
      </w:r>
      <w:r w:rsidR="006E36F3">
        <w:t>Higher Education</w:t>
      </w:r>
      <w:r w:rsidRPr="00C96A4B">
        <w:t xml:space="preserve"> and </w:t>
      </w:r>
      <w:r w:rsidR="005E1150">
        <w:t>V</w:t>
      </w:r>
      <w:r>
        <w:t xml:space="preserve">ocational </w:t>
      </w:r>
      <w:r w:rsidR="005E1150">
        <w:t>E</w:t>
      </w:r>
      <w:r>
        <w:t xml:space="preserve">ducation and </w:t>
      </w:r>
      <w:r w:rsidR="005E1150">
        <w:t>T</w:t>
      </w:r>
      <w:r>
        <w:t>raining (</w:t>
      </w:r>
      <w:r w:rsidRPr="00C96A4B">
        <w:t>VET</w:t>
      </w:r>
      <w:r>
        <w:t>)</w:t>
      </w:r>
      <w:r w:rsidRPr="00C96A4B">
        <w:t xml:space="preserve"> sectors</w:t>
      </w:r>
      <w:r>
        <w:t xml:space="preserve">. It involves </w:t>
      </w:r>
      <w:r w:rsidRPr="00C96A4B">
        <w:t>the effective coordination and cooperation of key system actors</w:t>
      </w:r>
      <w:r>
        <w:t>,</w:t>
      </w:r>
      <w:r w:rsidRPr="00C96A4B">
        <w:t xml:space="preserve"> </w:t>
      </w:r>
      <w:r>
        <w:t>enabl</w:t>
      </w:r>
      <w:r w:rsidR="008362DB">
        <w:t>ing</w:t>
      </w:r>
      <w:r w:rsidRPr="00C96A4B">
        <w:t xml:space="preserve"> students to obtain the combination of knowledge</w:t>
      </w:r>
      <w:r w:rsidR="00E20D06">
        <w:t>,</w:t>
      </w:r>
      <w:r w:rsidR="007714F4">
        <w:t xml:space="preserve"> </w:t>
      </w:r>
      <w:r w:rsidRPr="00C96A4B">
        <w:t>skills</w:t>
      </w:r>
      <w:r w:rsidR="007714F4">
        <w:t xml:space="preserve"> and </w:t>
      </w:r>
      <w:r w:rsidR="009052D5">
        <w:t xml:space="preserve">the </w:t>
      </w:r>
      <w:r w:rsidR="007714F4">
        <w:t>application</w:t>
      </w:r>
      <w:r w:rsidRPr="00C96A4B">
        <w:t xml:space="preserve"> </w:t>
      </w:r>
      <w:r w:rsidR="00167DA0">
        <w:t xml:space="preserve">of these </w:t>
      </w:r>
      <w:r w:rsidRPr="00C96A4B">
        <w:t>need</w:t>
      </w:r>
      <w:r>
        <w:t>ed</w:t>
      </w:r>
      <w:r w:rsidRPr="00C96A4B">
        <w:t xml:space="preserve"> to be successful </w:t>
      </w:r>
      <w:r>
        <w:t>in a changing</w:t>
      </w:r>
      <w:r w:rsidRPr="00C96A4B">
        <w:t xml:space="preserve"> labour market</w:t>
      </w:r>
      <w:r>
        <w:t>.</w:t>
      </w:r>
    </w:p>
    <w:p w14:paraId="3CD2C498" w14:textId="3A938453" w:rsidR="00136F73" w:rsidRDefault="00CC1D6B" w:rsidP="00BD323B">
      <w:pPr>
        <w:pStyle w:val="BodyText"/>
      </w:pPr>
      <w:r>
        <w:t>T</w:t>
      </w:r>
      <w:r w:rsidR="00F71773">
        <w:t>ertiary harmonisation is not about merging or integrating</w:t>
      </w:r>
      <w:r w:rsidR="003415AD">
        <w:t xml:space="preserve"> the</w:t>
      </w:r>
      <w:r w:rsidR="00F71773">
        <w:t xml:space="preserve"> VET and </w:t>
      </w:r>
      <w:r w:rsidR="006E36F3">
        <w:t>Higher Education</w:t>
      </w:r>
      <w:r w:rsidR="003415AD">
        <w:t xml:space="preserve"> systems</w:t>
      </w:r>
      <w:r w:rsidR="00F71773">
        <w:t>. Each w</w:t>
      </w:r>
      <w:r w:rsidR="009A5C91">
        <w:t>ill</w:t>
      </w:r>
      <w:r w:rsidR="00F71773">
        <w:t xml:space="preserve"> remain a distinctive sector, with important and distinctive differences.</w:t>
      </w:r>
    </w:p>
    <w:p w14:paraId="678F8322" w14:textId="3819FC2B" w:rsidR="00F71773" w:rsidRDefault="00136F73" w:rsidP="00BD323B">
      <w:pPr>
        <w:pStyle w:val="BodyText"/>
      </w:pPr>
      <w:r>
        <w:t>T</w:t>
      </w:r>
      <w:r w:rsidR="00F71773">
        <w:t xml:space="preserve">ertiary harmonisation would result in a more "joined-up" tertiary system, </w:t>
      </w:r>
      <w:r w:rsidR="00371073">
        <w:t xml:space="preserve">with </w:t>
      </w:r>
      <w:r w:rsidR="00F71773">
        <w:t xml:space="preserve">greater collaboration between VET and </w:t>
      </w:r>
      <w:r w:rsidR="006E36F3">
        <w:t>Higher Education</w:t>
      </w:r>
      <w:r w:rsidR="00F71773">
        <w:t xml:space="preserve"> providers, enabl</w:t>
      </w:r>
      <w:r w:rsidR="00371073">
        <w:t>ing</w:t>
      </w:r>
      <w:r w:rsidR="00F71773">
        <w:t xml:space="preserve"> them to work together more effectively for the benefit of students and industry, and mak</w:t>
      </w:r>
      <w:r w:rsidR="00371073">
        <w:t>ing</w:t>
      </w:r>
      <w:r w:rsidR="00F71773">
        <w:t xml:space="preserve"> it easier for students and </w:t>
      </w:r>
      <w:r w:rsidR="00214AA1">
        <w:t>industry</w:t>
      </w:r>
      <w:r w:rsidR="00F71773">
        <w:t xml:space="preserve"> to navigate between them.</w:t>
      </w:r>
    </w:p>
    <w:p w14:paraId="716600A5" w14:textId="77777777" w:rsidR="00D96CD1" w:rsidRDefault="00ED39CB" w:rsidP="00BD323B">
      <w:pPr>
        <w:pStyle w:val="BodyText"/>
      </w:pPr>
      <w:r>
        <w:t>A</w:t>
      </w:r>
      <w:r w:rsidR="005A06FA">
        <w:t xml:space="preserve"> harmonis</w:t>
      </w:r>
      <w:r>
        <w:t>ed system</w:t>
      </w:r>
      <w:r w:rsidR="005A06FA">
        <w:t xml:space="preserve"> will produce a more agile, effective and efficient education system, with better qualified and resilient graduates. It will </w:t>
      </w:r>
      <w:r w:rsidR="00F71773">
        <w:t>be more responsive to</w:t>
      </w:r>
      <w:r w:rsidR="005A06FA">
        <w:t xml:space="preserve"> </w:t>
      </w:r>
      <w:r w:rsidR="00F71773">
        <w:t xml:space="preserve">industry </w:t>
      </w:r>
      <w:r w:rsidR="005A06FA">
        <w:t>transition needs and facilitate wide</w:t>
      </w:r>
      <w:r w:rsidR="008140EB">
        <w:noBreakHyphen/>
      </w:r>
      <w:r w:rsidR="005A06FA">
        <w:t xml:space="preserve">ranging </w:t>
      </w:r>
      <w:r w:rsidR="00552791">
        <w:t xml:space="preserve">social and </w:t>
      </w:r>
      <w:r w:rsidR="005A06FA">
        <w:t>economic improvements</w:t>
      </w:r>
      <w:r w:rsidR="005A06FA" w:rsidRPr="00C96A4B">
        <w:t>.</w:t>
      </w:r>
    </w:p>
    <w:p w14:paraId="539743A4" w14:textId="477512FB" w:rsidR="009C4C74" w:rsidRDefault="00F42BCA" w:rsidP="00F42BCA">
      <w:pPr>
        <w:pStyle w:val="BodyText"/>
      </w:pPr>
      <w:r>
        <w:t>Momentum for tertiary harmonisation</w:t>
      </w:r>
      <w:r w:rsidR="00CF7F83">
        <w:t xml:space="preserve"> </w:t>
      </w:r>
      <w:r w:rsidR="00C82EE7">
        <w:t>has intensified in recent</w:t>
      </w:r>
      <w:r>
        <w:t xml:space="preserve"> years</w:t>
      </w:r>
      <w:r w:rsidR="004A0E70">
        <w:t>, based on a strong need to</w:t>
      </w:r>
      <w:r>
        <w:t xml:space="preserve"> </w:t>
      </w:r>
      <w:r w:rsidR="00F56525">
        <w:t xml:space="preserve">deliver industry aligned graduates, and to improve overall growth and opportunity for Australians to participate in </w:t>
      </w:r>
      <w:r w:rsidR="000753C6">
        <w:t>tertiary education</w:t>
      </w:r>
      <w:r w:rsidR="00F56525">
        <w:t xml:space="preserve">. </w:t>
      </w:r>
      <w:r>
        <w:t xml:space="preserve">Industries, policy makers and reformers have </w:t>
      </w:r>
      <w:r>
        <w:lastRenderedPageBreak/>
        <w:t xml:space="preserve">completed inquiries, launched pilots, and collaborated to develop innovative products that traverse VET and </w:t>
      </w:r>
      <w:r w:rsidR="006E36F3">
        <w:t>Higher Education</w:t>
      </w:r>
      <w:r>
        <w:t>, overcoming considerable system-level impediments.</w:t>
      </w:r>
    </w:p>
    <w:p w14:paraId="3FE9A383" w14:textId="77777777" w:rsidR="00D96CD1" w:rsidRDefault="003D2B76" w:rsidP="00F42BCA">
      <w:pPr>
        <w:pStyle w:val="BodyText"/>
        <w:rPr>
          <w:rStyle w:val="CommentReference"/>
        </w:rPr>
      </w:pPr>
      <w:r>
        <w:t xml:space="preserve">The Australian </w:t>
      </w:r>
      <w:r w:rsidR="00F42BCA">
        <w:t xml:space="preserve">Government is </w:t>
      </w:r>
      <w:r w:rsidR="00E47E43">
        <w:t>currently</w:t>
      </w:r>
      <w:r w:rsidR="00F42BCA">
        <w:t xml:space="preserve"> responding to the imperative for reform </w:t>
      </w:r>
      <w:r w:rsidR="00E47E43">
        <w:t>with the tertiary harmonisation budget measure,</w:t>
      </w:r>
      <w:r w:rsidR="00F42BCA">
        <w:t xml:space="preserve"> </w:t>
      </w:r>
      <w:r w:rsidR="0095250F">
        <w:t>launching</w:t>
      </w:r>
      <w:r w:rsidR="00F42BCA">
        <w:t xml:space="preserve"> a coordinated approach that will enable a closer collaboration between VET and </w:t>
      </w:r>
      <w:r w:rsidR="006E36F3">
        <w:t>Higher Education</w:t>
      </w:r>
      <w:r w:rsidR="00F42BCA">
        <w:t>, while retaining the distinctiveness that gives each sector its unique value.</w:t>
      </w:r>
    </w:p>
    <w:p w14:paraId="6A8966D5" w14:textId="4D6F3FA6" w:rsidR="009B0789" w:rsidRPr="009B0789" w:rsidRDefault="009B0789" w:rsidP="009B0789">
      <w:r w:rsidRPr="009B0789">
        <w:t>This report provides an overview of tertiary harmonisation, including:</w:t>
      </w:r>
    </w:p>
    <w:p w14:paraId="343AE32E" w14:textId="534DCBE5" w:rsidR="009B0789" w:rsidRPr="009B0789" w:rsidRDefault="00F32C51" w:rsidP="009B0789">
      <w:pPr>
        <w:pStyle w:val="ListBullet"/>
      </w:pPr>
      <w:r>
        <w:t>a</w:t>
      </w:r>
      <w:r w:rsidRPr="009B0789">
        <w:t>n</w:t>
      </w:r>
      <w:r w:rsidR="009B0789" w:rsidRPr="009B0789">
        <w:t xml:space="preserve"> analysis of the causes of the tertiary sector’s current disjointedness and the case for a more </w:t>
      </w:r>
      <w:r w:rsidR="009A402C">
        <w:t>harmonised</w:t>
      </w:r>
      <w:r w:rsidR="009B0789" w:rsidRPr="009B0789">
        <w:t xml:space="preserve"> tertiary system</w:t>
      </w:r>
    </w:p>
    <w:p w14:paraId="522A2178" w14:textId="73898634" w:rsidR="009B0789" w:rsidRPr="009B0789" w:rsidRDefault="00F32C51" w:rsidP="009B0789">
      <w:pPr>
        <w:pStyle w:val="ListBullet"/>
      </w:pPr>
      <w:r>
        <w:t>o</w:t>
      </w:r>
      <w:r w:rsidR="009B0789" w:rsidRPr="009B0789">
        <w:t xml:space="preserve">utcomes and benefits of tertiary harmonisation, underpinned by an analysis of real-world examples already in effect, </w:t>
      </w:r>
      <w:r w:rsidR="008C7594">
        <w:t xml:space="preserve">and through </w:t>
      </w:r>
      <w:r w:rsidR="00326238">
        <w:t xml:space="preserve">consultation </w:t>
      </w:r>
      <w:r w:rsidR="009B0789" w:rsidRPr="009B0789">
        <w:t xml:space="preserve">and stakeholder roundtables conducted across </w:t>
      </w:r>
      <w:r w:rsidR="00C65B9E">
        <w:t>a</w:t>
      </w:r>
      <w:r w:rsidR="007C7D23">
        <w:t>ll</w:t>
      </w:r>
      <w:r w:rsidR="00C65B9E">
        <w:t xml:space="preserve"> states and territories,</w:t>
      </w:r>
      <w:r w:rsidR="00FC6911">
        <w:t xml:space="preserve"> with</w:t>
      </w:r>
      <w:r w:rsidR="009B0789" w:rsidRPr="009B0789">
        <w:t xml:space="preserve"> industries, unions</w:t>
      </w:r>
      <w:r w:rsidR="00FC6911">
        <w:t>,</w:t>
      </w:r>
      <w:r w:rsidR="009B0789" w:rsidRPr="009B0789">
        <w:t xml:space="preserve"> institutions</w:t>
      </w:r>
      <w:r w:rsidR="00FC6911">
        <w:t xml:space="preserve"> and governments</w:t>
      </w:r>
    </w:p>
    <w:p w14:paraId="3552D68E" w14:textId="5036FDAB" w:rsidR="009B0789" w:rsidRPr="009B0789" w:rsidRDefault="00F32C51" w:rsidP="009B0789">
      <w:pPr>
        <w:pStyle w:val="ListBullet"/>
      </w:pPr>
      <w:r>
        <w:t>a</w:t>
      </w:r>
      <w:r w:rsidR="009B0789" w:rsidRPr="009B0789">
        <w:t xml:space="preserve"> framework to understand the components of the system that will enable and benefit from tertiary harmonisation</w:t>
      </w:r>
    </w:p>
    <w:p w14:paraId="45FDD6E2" w14:textId="069BD61F" w:rsidR="009B0789" w:rsidRDefault="00F32C51" w:rsidP="009B0789">
      <w:pPr>
        <w:pStyle w:val="ListBullet"/>
      </w:pPr>
      <w:r>
        <w:t>r</w:t>
      </w:r>
      <w:r w:rsidR="009B0789" w:rsidRPr="009B0789">
        <w:t>ecommendations for a roadmap to tertiary harmonisation</w:t>
      </w:r>
      <w:r w:rsidR="0027727D">
        <w:t>.</w:t>
      </w:r>
    </w:p>
    <w:p w14:paraId="6B8E576D" w14:textId="77777777" w:rsidR="006423B6" w:rsidRDefault="006423B6" w:rsidP="006423B6">
      <w:pPr>
        <w:pStyle w:val="ListBullet"/>
        <w:tabs>
          <w:tab w:val="clear" w:pos="2912"/>
        </w:tabs>
        <w:ind w:left="360" w:firstLine="0"/>
      </w:pPr>
    </w:p>
    <w:p w14:paraId="10223960" w14:textId="08730D92" w:rsidR="006423B6" w:rsidRPr="006423B6" w:rsidRDefault="006423B6" w:rsidP="006423B6">
      <w:pPr>
        <w:pStyle w:val="Heading2"/>
      </w:pPr>
      <w:bookmarkStart w:id="19" w:name="_Toc179799936"/>
      <w:bookmarkStart w:id="20" w:name="_Toc189060410"/>
      <w:bookmarkStart w:id="21" w:name="_Toc189060500"/>
      <w:bookmarkStart w:id="22" w:name="_Toc190980903"/>
      <w:r w:rsidRPr="006423B6">
        <w:t xml:space="preserve">The high-level case for a more </w:t>
      </w:r>
      <w:r w:rsidR="008345A2">
        <w:t>harmonised</w:t>
      </w:r>
      <w:r w:rsidRPr="006423B6">
        <w:t xml:space="preserve"> system</w:t>
      </w:r>
      <w:bookmarkEnd w:id="19"/>
      <w:bookmarkEnd w:id="20"/>
      <w:bookmarkEnd w:id="21"/>
      <w:bookmarkEnd w:id="22"/>
    </w:p>
    <w:p w14:paraId="0BFFD432" w14:textId="13653B9D" w:rsidR="006423B6" w:rsidRPr="006423B6" w:rsidRDefault="006423B6" w:rsidP="006423B6">
      <w:pPr>
        <w:pStyle w:val="BodyText"/>
      </w:pPr>
      <w:r w:rsidRPr="006423B6">
        <w:t xml:space="preserve">The case for a more </w:t>
      </w:r>
      <w:r w:rsidR="009A402C">
        <w:t>harmonised</w:t>
      </w:r>
      <w:r w:rsidRPr="006423B6">
        <w:t xml:space="preserve"> system has been building for some decades. Government and sector reports as well as scholarly interventions embody widespread recognition that a lack of </w:t>
      </w:r>
      <w:r w:rsidR="00AD79F6">
        <w:t>cohesion</w:t>
      </w:r>
      <w:r w:rsidRPr="006423B6">
        <w:t xml:space="preserve"> between VET and </w:t>
      </w:r>
      <w:r w:rsidR="006E36F3">
        <w:t>Higher Education</w:t>
      </w:r>
      <w:r w:rsidRPr="006423B6">
        <w:t xml:space="preserve"> </w:t>
      </w:r>
      <w:r w:rsidR="008015DF">
        <w:t>hinders</w:t>
      </w:r>
      <w:r w:rsidRPr="006423B6">
        <w:t xml:space="preserve"> students</w:t>
      </w:r>
      <w:r w:rsidR="007540F7">
        <w:t>' ability</w:t>
      </w:r>
      <w:r w:rsidRPr="006423B6">
        <w:t xml:space="preserve"> to choose</w:t>
      </w:r>
      <w:r w:rsidR="009F74D6">
        <w:t>,</w:t>
      </w:r>
      <w:r w:rsidRPr="006423B6">
        <w:t xml:space="preserve"> and move between</w:t>
      </w:r>
      <w:r w:rsidR="009F74D6">
        <w:t>,</w:t>
      </w:r>
      <w:r w:rsidRPr="006423B6">
        <w:t xml:space="preserve"> the programs of study that best suit them and their career objectives</w:t>
      </w:r>
      <w:r w:rsidR="007326FD">
        <w:t xml:space="preserve">. </w:t>
      </w:r>
      <w:r w:rsidR="0047746A">
        <w:t>Consequently</w:t>
      </w:r>
      <w:r w:rsidR="007326FD">
        <w:t>, it is constraining the tertiary system's ability to</w:t>
      </w:r>
      <w:r w:rsidRPr="006423B6">
        <w:t xml:space="preserve"> adequately serve Australia’s labour market needs.</w:t>
      </w:r>
      <w:r w:rsidR="003B6D25">
        <w:t xml:space="preserve"> Until recently, </w:t>
      </w:r>
      <w:r w:rsidR="00497B60">
        <w:t>little progress was made.</w:t>
      </w:r>
      <w:r w:rsidRPr="006423B6">
        <w:t xml:space="preserve"> For example, in 2008, the Bradley</w:t>
      </w:r>
      <w:r w:rsidR="00DF1959">
        <w:t xml:space="preserve"> Review</w:t>
      </w:r>
      <w:r w:rsidRPr="006423B6">
        <w:t xml:space="preserve"> found:</w:t>
      </w:r>
    </w:p>
    <w:p w14:paraId="2ECF0AC6" w14:textId="77777777" w:rsidR="00D96CD1" w:rsidRDefault="006423B6" w:rsidP="0047746A">
      <w:pPr>
        <w:pStyle w:val="Quote"/>
      </w:pPr>
      <w:r w:rsidRPr="006423B6">
        <w:t xml:space="preserve">Various efforts to strengthen connections between </w:t>
      </w:r>
      <w:r w:rsidR="006E36F3">
        <w:t>Higher Education</w:t>
      </w:r>
      <w:r w:rsidRPr="006423B6">
        <w:t xml:space="preserve"> and VET have been made in Australia over the last twenty-five years with limited success, due to structural rigidities as well as to differences in curriculum, pedagogy and assessment </w:t>
      </w:r>
      <w:sdt>
        <w:sdtPr>
          <w:id w:val="-98725480"/>
          <w:citation/>
        </w:sdtPr>
        <w:sdtContent>
          <w:r w:rsidR="00BC79C8" w:rsidRPr="006423B6">
            <w:fldChar w:fldCharType="begin"/>
          </w:r>
          <w:r w:rsidR="00BC79C8">
            <w:instrText xml:space="preserve">CITATION Com08 \p 179 \l 3081 </w:instrText>
          </w:r>
          <w:r w:rsidR="00BC79C8" w:rsidRPr="006423B6">
            <w:fldChar w:fldCharType="separate"/>
          </w:r>
          <w:r w:rsidR="00BD5991">
            <w:rPr>
              <w:noProof/>
            </w:rPr>
            <w:t>(Department of Education, Employment and Workplace Relations, 2008, p. 179)</w:t>
          </w:r>
          <w:r w:rsidR="00BC79C8" w:rsidRPr="006423B6">
            <w:fldChar w:fldCharType="end"/>
          </w:r>
        </w:sdtContent>
      </w:sdt>
      <w:r w:rsidR="00110B82">
        <w:t>.</w:t>
      </w:r>
    </w:p>
    <w:p w14:paraId="2B5A68C1" w14:textId="77777777" w:rsidR="00D96CD1" w:rsidRDefault="006423B6" w:rsidP="006423B6">
      <w:pPr>
        <w:pStyle w:val="BodyText"/>
      </w:pPr>
      <w:r w:rsidRPr="006423B6">
        <w:t>The Bradley Review</w:t>
      </w:r>
      <w:r w:rsidR="00A60E83">
        <w:t xml:space="preserve">, </w:t>
      </w:r>
      <w:r w:rsidR="00A60E83" w:rsidRPr="00A60E83">
        <w:t>which drew from a significant body of research as well as the outcomes of national consultations, stakeholder meetings, and the content of some 450 formal submissions</w:t>
      </w:r>
      <w:r w:rsidR="00AA4F04">
        <w:t>,</w:t>
      </w:r>
      <w:r w:rsidRPr="006423B6">
        <w:t xml:space="preserve"> suggested that an effective tertiary system would </w:t>
      </w:r>
      <w:r w:rsidR="00CB7B67">
        <w:t>involve</w:t>
      </w:r>
      <w:r w:rsidRPr="006423B6">
        <w:t xml:space="preserve"> parity of esteem</w:t>
      </w:r>
      <w:r w:rsidR="00324814">
        <w:t xml:space="preserve"> between VET and </w:t>
      </w:r>
      <w:r w:rsidR="006E36F3">
        <w:t>Higher Education</w:t>
      </w:r>
      <w:r w:rsidRPr="006423B6">
        <w:t>, shared systems and information and share</w:t>
      </w:r>
      <w:r w:rsidR="00587571">
        <w:t>d</w:t>
      </w:r>
      <w:r w:rsidRPr="006423B6">
        <w:t xml:space="preserve"> responsibility for workforce capacity.</w:t>
      </w:r>
    </w:p>
    <w:p w14:paraId="6D60AE96" w14:textId="0CB232FA" w:rsidR="006423B6" w:rsidRPr="006423B6" w:rsidRDefault="006423B6" w:rsidP="006423B6">
      <w:pPr>
        <w:pStyle w:val="BodyText"/>
      </w:pPr>
      <w:r w:rsidRPr="006423B6">
        <w:t xml:space="preserve">The characteristics </w:t>
      </w:r>
      <w:r w:rsidR="00DB54FB">
        <w:t xml:space="preserve">identified of an effective system </w:t>
      </w:r>
      <w:r w:rsidRPr="006423B6">
        <w:t>included:</w:t>
      </w:r>
    </w:p>
    <w:p w14:paraId="3116902D" w14:textId="2BE2EB2C" w:rsidR="006423B6" w:rsidRPr="006423B6" w:rsidRDefault="006423B6" w:rsidP="001A5D90">
      <w:pPr>
        <w:pStyle w:val="ListBullet"/>
        <w:numPr>
          <w:ilvl w:val="0"/>
          <w:numId w:val="2"/>
        </w:numPr>
      </w:pPr>
      <w:r w:rsidRPr="006423B6">
        <w:t xml:space="preserve">equal value of both VET and </w:t>
      </w:r>
      <w:r w:rsidR="006E36F3">
        <w:t>Higher Education</w:t>
      </w:r>
      <w:r w:rsidRPr="006423B6">
        <w:t>, reflecting their different roles and their contributions to our economy and society</w:t>
      </w:r>
    </w:p>
    <w:p w14:paraId="49A5E68A" w14:textId="2EAD5D35" w:rsidR="006423B6" w:rsidRPr="006423B6" w:rsidRDefault="006423B6" w:rsidP="001A5D90">
      <w:pPr>
        <w:pStyle w:val="ListBullet"/>
        <w:numPr>
          <w:ilvl w:val="0"/>
          <w:numId w:val="2"/>
        </w:numPr>
      </w:pPr>
      <w:r w:rsidRPr="006423B6">
        <w:t>a shared and coordinated information base and approach to anticipating future labour market needs, industry needs and demographic trends</w:t>
      </w:r>
    </w:p>
    <w:p w14:paraId="7C8A0DF3" w14:textId="77777777" w:rsidR="006423B6" w:rsidRPr="006423B6" w:rsidRDefault="006423B6" w:rsidP="001A5D90">
      <w:pPr>
        <w:pStyle w:val="ListBullet"/>
        <w:numPr>
          <w:ilvl w:val="0"/>
          <w:numId w:val="2"/>
        </w:numPr>
      </w:pPr>
      <w:r w:rsidRPr="006423B6">
        <w:t>integrated responses to workforce needs</w:t>
      </w:r>
    </w:p>
    <w:p w14:paraId="3E03607B" w14:textId="77777777" w:rsidR="00D96CD1" w:rsidRDefault="006423B6" w:rsidP="001A5D90">
      <w:pPr>
        <w:pStyle w:val="ListBullet"/>
        <w:numPr>
          <w:ilvl w:val="0"/>
          <w:numId w:val="2"/>
        </w:numPr>
      </w:pPr>
      <w:r w:rsidRPr="006423B6">
        <w:t>clearer and stronger pathways between the sectors in both directions.</w:t>
      </w:r>
    </w:p>
    <w:p w14:paraId="6676F707" w14:textId="77777777" w:rsidR="00D96CD1" w:rsidRDefault="006423B6" w:rsidP="006423B6">
      <w:pPr>
        <w:pStyle w:val="BodyText"/>
      </w:pPr>
      <w:r w:rsidRPr="006423B6">
        <w:lastRenderedPageBreak/>
        <w:t>While the Bradley</w:t>
      </w:r>
      <w:r w:rsidR="00930F93">
        <w:t xml:space="preserve"> Review</w:t>
      </w:r>
      <w:r w:rsidRPr="006423B6">
        <w:t xml:space="preserve"> recommendation of a demand-driven system was taken up for undergraduate degrees, the recommendations to strengthen the connections between </w:t>
      </w:r>
      <w:r w:rsidR="006E36F3">
        <w:t>Higher Education</w:t>
      </w:r>
      <w:r w:rsidRPr="006423B6">
        <w:t xml:space="preserve"> and VET were not.</w:t>
      </w:r>
    </w:p>
    <w:p w14:paraId="3AD16027" w14:textId="2613F3A6" w:rsidR="006423B6" w:rsidRPr="006423B6" w:rsidRDefault="006423B6" w:rsidP="006423B6">
      <w:pPr>
        <w:pStyle w:val="BodyText"/>
      </w:pPr>
      <w:r w:rsidRPr="006423B6">
        <w:t xml:space="preserve">One of the members of the Bradley review panel, </w:t>
      </w:r>
      <w:r w:rsidR="00B0648E">
        <w:t xml:space="preserve">Professor </w:t>
      </w:r>
      <w:r w:rsidRPr="006423B6">
        <w:t xml:space="preserve">Peter Noonan, </w:t>
      </w:r>
      <w:r w:rsidR="0070332E" w:rsidRPr="0070332E">
        <w:t xml:space="preserve">led a review of the </w:t>
      </w:r>
      <w:r w:rsidR="00AE1935">
        <w:t>Australian Qualifications Framework (</w:t>
      </w:r>
      <w:r w:rsidR="0070332E" w:rsidRPr="0070332E">
        <w:t>AQF</w:t>
      </w:r>
      <w:r w:rsidR="00AE1935">
        <w:t>)</w:t>
      </w:r>
      <w:r w:rsidR="0070332E" w:rsidRPr="0070332E">
        <w:t xml:space="preserve"> that consulted across Australia and received 134 written submissions. </w:t>
      </w:r>
      <w:r w:rsidR="0070332E">
        <w:t xml:space="preserve">He </w:t>
      </w:r>
      <w:r w:rsidRPr="006423B6">
        <w:t xml:space="preserve">made the case for rethinking tertiary education as a more harmonised system. A book in </w:t>
      </w:r>
      <w:r w:rsidR="00B0648E" w:rsidRPr="006423B6">
        <w:t>P</w:t>
      </w:r>
      <w:r w:rsidR="00B0648E">
        <w:t>rofessor</w:t>
      </w:r>
      <w:r w:rsidRPr="006423B6">
        <w:t xml:space="preserve"> Noonan’s honour</w:t>
      </w:r>
      <w:r w:rsidR="00A25550">
        <w:t xml:space="preserve"> soon after his death</w:t>
      </w:r>
      <w:r w:rsidRPr="006423B6">
        <w:t xml:space="preserve"> </w:t>
      </w:r>
      <w:sdt>
        <w:sdtPr>
          <w:id w:val="429398184"/>
          <w:citation/>
        </w:sdtPr>
        <w:sdtContent>
          <w:r w:rsidR="003E5A02" w:rsidRPr="006423B6">
            <w:fldChar w:fldCharType="begin"/>
          </w:r>
          <w:r w:rsidR="000215B1">
            <w:instrText xml:space="preserve">CITATION Daw23 \t  \l 3081 </w:instrText>
          </w:r>
          <w:r w:rsidR="003E5A02" w:rsidRPr="006423B6">
            <w:fldChar w:fldCharType="separate"/>
          </w:r>
          <w:r w:rsidR="00BD5991">
            <w:rPr>
              <w:noProof/>
            </w:rPr>
            <w:t>(Dawkins, Lilly, &amp; Pascoe, 2023)</w:t>
          </w:r>
          <w:r w:rsidR="003E5A02" w:rsidRPr="006423B6">
            <w:fldChar w:fldCharType="end"/>
          </w:r>
        </w:sdtContent>
      </w:sdt>
      <w:r w:rsidRPr="006423B6">
        <w:t xml:space="preserve"> identified the following four aims of a more harmonised tertiary system:</w:t>
      </w:r>
    </w:p>
    <w:p w14:paraId="0D628BA4" w14:textId="08BC71F9" w:rsidR="006423B6" w:rsidRPr="006423B6" w:rsidRDefault="006423B6" w:rsidP="001A5D90">
      <w:pPr>
        <w:pStyle w:val="ListNumber"/>
        <w:numPr>
          <w:ilvl w:val="0"/>
          <w:numId w:val="3"/>
        </w:numPr>
      </w:pPr>
      <w:r w:rsidRPr="006423B6">
        <w:t>enhanc</w:t>
      </w:r>
      <w:r w:rsidR="008D2C1A">
        <w:t>ing</w:t>
      </w:r>
      <w:r w:rsidRPr="006423B6">
        <w:t xml:space="preserve"> the ability of students to navigate the education and training system to obtain the knowledge, skills and capabilities they need to successfully participate in the labour market</w:t>
      </w:r>
    </w:p>
    <w:p w14:paraId="1893D365" w14:textId="0EA628E0" w:rsidR="006423B6" w:rsidRPr="006423B6" w:rsidRDefault="006423B6" w:rsidP="001A5D90">
      <w:pPr>
        <w:pStyle w:val="ListNumber"/>
        <w:numPr>
          <w:ilvl w:val="0"/>
          <w:numId w:val="3"/>
        </w:numPr>
      </w:pPr>
      <w:r w:rsidRPr="006423B6">
        <w:t>promot</w:t>
      </w:r>
      <w:r w:rsidR="008D2C1A">
        <w:t>ing</w:t>
      </w:r>
      <w:r w:rsidRPr="006423B6">
        <w:t xml:space="preserve"> equitable access to universal high quality tertiary education</w:t>
      </w:r>
    </w:p>
    <w:p w14:paraId="7A2181BC" w14:textId="5F400BC8" w:rsidR="006423B6" w:rsidRPr="006423B6" w:rsidRDefault="006423B6" w:rsidP="001A5D90">
      <w:pPr>
        <w:pStyle w:val="ListNumber"/>
        <w:numPr>
          <w:ilvl w:val="0"/>
          <w:numId w:val="3"/>
        </w:numPr>
      </w:pPr>
      <w:r w:rsidRPr="006423B6">
        <w:t>correct</w:t>
      </w:r>
      <w:r w:rsidR="008D2C1A">
        <w:t>ing</w:t>
      </w:r>
      <w:r w:rsidRPr="006423B6">
        <w:t xml:space="preserve"> distortions in incentives for students to participate in one part of the tertiary education and training system rather than another</w:t>
      </w:r>
    </w:p>
    <w:p w14:paraId="727B0467" w14:textId="76A2B30E" w:rsidR="006423B6" w:rsidRPr="006423B6" w:rsidRDefault="006423B6" w:rsidP="001A5D90">
      <w:pPr>
        <w:pStyle w:val="ListNumber"/>
        <w:numPr>
          <w:ilvl w:val="0"/>
          <w:numId w:val="3"/>
        </w:numPr>
      </w:pPr>
      <w:r w:rsidRPr="006423B6">
        <w:t xml:space="preserve">encourage </w:t>
      </w:r>
      <w:r w:rsidR="004E3EFD">
        <w:t>V</w:t>
      </w:r>
      <w:r w:rsidRPr="006423B6">
        <w:t xml:space="preserve">ocational </w:t>
      </w:r>
      <w:r w:rsidR="004E3EFD">
        <w:t>E</w:t>
      </w:r>
      <w:r w:rsidRPr="006423B6">
        <w:t xml:space="preserve">ducation providers, </w:t>
      </w:r>
      <w:r w:rsidR="006E36F3">
        <w:t>Higher Education</w:t>
      </w:r>
      <w:r w:rsidRPr="006423B6">
        <w:t xml:space="preserve"> providers and employers to collaborate in the provision of well-designed education and training programs to secure the development of the knowledge, skills and capabilities needed for the Australia</w:t>
      </w:r>
      <w:r w:rsidR="00753881">
        <w:t>n</w:t>
      </w:r>
      <w:r w:rsidRPr="006423B6">
        <w:t xml:space="preserve"> economy.</w:t>
      </w:r>
    </w:p>
    <w:p w14:paraId="7464CE0A" w14:textId="028C39F2" w:rsidR="006423B6" w:rsidRPr="006423B6" w:rsidRDefault="006423B6" w:rsidP="006423B6">
      <w:pPr>
        <w:pStyle w:val="BodyText"/>
      </w:pPr>
      <w:r w:rsidRPr="006423B6">
        <w:t>To achieve this, Dawkins</w:t>
      </w:r>
      <w:r w:rsidR="006D3DF0">
        <w:t>, Lilly &amp; Pascoe</w:t>
      </w:r>
      <w:r w:rsidRPr="006423B6">
        <w:t xml:space="preserve"> </w:t>
      </w:r>
      <w:sdt>
        <w:sdtPr>
          <w:id w:val="-2096543419"/>
          <w:citation/>
        </w:sdtPr>
        <w:sdtContent>
          <w:r w:rsidRPr="006423B6">
            <w:fldChar w:fldCharType="begin"/>
          </w:r>
          <w:r w:rsidRPr="006423B6">
            <w:instrText xml:space="preserve">CITATION Daw23 \n  \t  \l 3081 </w:instrText>
          </w:r>
          <w:r w:rsidRPr="006423B6">
            <w:fldChar w:fldCharType="separate"/>
          </w:r>
          <w:r w:rsidR="00BD5991">
            <w:rPr>
              <w:noProof/>
            </w:rPr>
            <w:t>(2023)</w:t>
          </w:r>
          <w:r w:rsidRPr="006423B6">
            <w:fldChar w:fldCharType="end"/>
          </w:r>
        </w:sdtContent>
      </w:sdt>
      <w:r w:rsidRPr="006423B6">
        <w:t xml:space="preserve"> recommended:</w:t>
      </w:r>
    </w:p>
    <w:p w14:paraId="5A4141C1" w14:textId="77777777" w:rsidR="006423B6" w:rsidRPr="006423B6" w:rsidRDefault="006423B6" w:rsidP="001A5D90">
      <w:pPr>
        <w:pStyle w:val="ListBullet"/>
        <w:numPr>
          <w:ilvl w:val="0"/>
          <w:numId w:val="2"/>
        </w:numPr>
      </w:pPr>
      <w:r w:rsidRPr="006423B6">
        <w:t>a new qualifications, skills and credentials architecture</w:t>
      </w:r>
    </w:p>
    <w:p w14:paraId="14846727" w14:textId="77777777" w:rsidR="006423B6" w:rsidRPr="006423B6" w:rsidRDefault="006423B6" w:rsidP="001A5D90">
      <w:pPr>
        <w:pStyle w:val="ListBullet"/>
        <w:numPr>
          <w:ilvl w:val="0"/>
          <w:numId w:val="2"/>
        </w:numPr>
      </w:pPr>
      <w:r w:rsidRPr="006423B6">
        <w:t>a strengthened VET sector</w:t>
      </w:r>
    </w:p>
    <w:p w14:paraId="3675F512" w14:textId="691CBF07" w:rsidR="006423B6" w:rsidRPr="006423B6" w:rsidRDefault="006423B6" w:rsidP="001A5D90">
      <w:pPr>
        <w:pStyle w:val="ListBullet"/>
        <w:numPr>
          <w:ilvl w:val="0"/>
          <w:numId w:val="2"/>
        </w:numPr>
      </w:pPr>
      <w:r w:rsidRPr="006423B6">
        <w:t xml:space="preserve">a </w:t>
      </w:r>
      <w:r w:rsidR="006E36F3">
        <w:t>Higher Education</w:t>
      </w:r>
      <w:r w:rsidRPr="006423B6">
        <w:t xml:space="preserve"> sector with stronger connections to the VET sector and industry</w:t>
      </w:r>
    </w:p>
    <w:p w14:paraId="66478C54" w14:textId="77777777" w:rsidR="006423B6" w:rsidRPr="006423B6" w:rsidRDefault="006423B6" w:rsidP="001A5D90">
      <w:pPr>
        <w:pStyle w:val="ListBullet"/>
        <w:numPr>
          <w:ilvl w:val="0"/>
          <w:numId w:val="2"/>
        </w:numPr>
      </w:pPr>
      <w:r w:rsidRPr="006423B6">
        <w:t>a modernised apprenticeship and wider work-based learning system</w:t>
      </w:r>
    </w:p>
    <w:p w14:paraId="61DF55B8" w14:textId="77777777" w:rsidR="006423B6" w:rsidRPr="006423B6" w:rsidRDefault="006423B6" w:rsidP="001A5D90">
      <w:pPr>
        <w:pStyle w:val="ListBullet"/>
        <w:numPr>
          <w:ilvl w:val="0"/>
          <w:numId w:val="2"/>
        </w:numPr>
      </w:pPr>
      <w:r w:rsidRPr="006423B6">
        <w:t>seamless pathways from school to the tertiary system</w:t>
      </w:r>
    </w:p>
    <w:p w14:paraId="4FE86090" w14:textId="77777777" w:rsidR="006423B6" w:rsidRPr="006423B6" w:rsidRDefault="006423B6" w:rsidP="001A5D90">
      <w:pPr>
        <w:pStyle w:val="ListBullet"/>
        <w:numPr>
          <w:ilvl w:val="0"/>
          <w:numId w:val="2"/>
        </w:numPr>
      </w:pPr>
      <w:r w:rsidRPr="006423B6">
        <w:t>growing participation in tertiary education</w:t>
      </w:r>
    </w:p>
    <w:p w14:paraId="20CD63A8" w14:textId="77777777" w:rsidR="006423B6" w:rsidRPr="006423B6" w:rsidRDefault="006423B6" w:rsidP="001A5D90">
      <w:pPr>
        <w:pStyle w:val="ListBullet"/>
        <w:numPr>
          <w:ilvl w:val="0"/>
          <w:numId w:val="2"/>
        </w:numPr>
      </w:pPr>
      <w:r w:rsidRPr="006423B6">
        <w:t>a reformed funding model for the whole tertiary system overseen by a tertiary education commission with a Commonwealth-State compact underpinning it.</w:t>
      </w:r>
    </w:p>
    <w:p w14:paraId="0274FABA" w14:textId="08F0CF39" w:rsidR="00066A12" w:rsidRDefault="006423B6" w:rsidP="006423B6">
      <w:pPr>
        <w:pStyle w:val="BodyText"/>
      </w:pPr>
      <w:r w:rsidRPr="006423B6">
        <w:t xml:space="preserve">Such longstanding research and extensive consultation points to growing </w:t>
      </w:r>
      <w:r w:rsidR="004A43EC">
        <w:t xml:space="preserve">pressure for and </w:t>
      </w:r>
      <w:r w:rsidRPr="006423B6">
        <w:t xml:space="preserve">confidence in the value of tertiary harmonisation. </w:t>
      </w:r>
      <w:r w:rsidR="00B5748C">
        <w:t>Ultimately</w:t>
      </w:r>
      <w:r w:rsidR="004A276F">
        <w:t>, harmonisation</w:t>
      </w:r>
      <w:r w:rsidRPr="006423B6">
        <w:t xml:space="preserve"> will benefit all </w:t>
      </w:r>
      <w:r w:rsidR="00B5748C">
        <w:t xml:space="preserve">participants in the </w:t>
      </w:r>
      <w:r w:rsidRPr="006423B6">
        <w:t>system</w:t>
      </w:r>
      <w:r w:rsidR="005D1451">
        <w:t>.</w:t>
      </w:r>
      <w:r w:rsidRPr="006423B6">
        <w:t xml:space="preserve"> </w:t>
      </w:r>
      <w:r w:rsidR="00E51AC8">
        <w:t>E</w:t>
      </w:r>
      <w:r w:rsidRPr="006423B6">
        <w:t>fficiencies in the system will maximise government investment, boost the flow of students, enable innovations that support changing industries</w:t>
      </w:r>
      <w:r w:rsidR="005D1451">
        <w:t>,</w:t>
      </w:r>
      <w:r w:rsidRPr="006423B6">
        <w:t xml:space="preserve"> and help </w:t>
      </w:r>
      <w:r w:rsidR="0006064A">
        <w:t>the workforce</w:t>
      </w:r>
      <w:r w:rsidRPr="006423B6">
        <w:t xml:space="preserve"> upskill and reskill in ways that improve employment opportunities</w:t>
      </w:r>
      <w:r w:rsidR="0019779E">
        <w:t>,</w:t>
      </w:r>
      <w:r w:rsidRPr="006423B6">
        <w:t xml:space="preserve"> </w:t>
      </w:r>
      <w:r w:rsidR="0019779E">
        <w:t>working</w:t>
      </w:r>
      <w:r w:rsidRPr="006423B6">
        <w:t xml:space="preserve"> conditions</w:t>
      </w:r>
      <w:r w:rsidR="0019779E">
        <w:t xml:space="preserve"> and labour force productivity</w:t>
      </w:r>
      <w:r w:rsidRPr="006423B6">
        <w:t>.</w:t>
      </w:r>
    </w:p>
    <w:p w14:paraId="194A862B" w14:textId="77777777" w:rsidR="00066A12" w:rsidRDefault="00066A12">
      <w:pPr>
        <w:spacing w:before="0" w:after="200" w:line="276" w:lineRule="auto"/>
      </w:pPr>
      <w:r>
        <w:br w:type="page"/>
      </w:r>
    </w:p>
    <w:p w14:paraId="14138164" w14:textId="63913FA1" w:rsidR="00EF5B32" w:rsidRPr="00EF5B32" w:rsidRDefault="00EF5B32" w:rsidP="00EF5B32">
      <w:pPr>
        <w:pStyle w:val="Heading2"/>
      </w:pPr>
      <w:bookmarkStart w:id="23" w:name="_Toc189060411"/>
      <w:bookmarkStart w:id="24" w:name="_Toc189060501"/>
      <w:bookmarkStart w:id="25" w:name="_Toc190980904"/>
      <w:r w:rsidRPr="00EF5B32">
        <w:lastRenderedPageBreak/>
        <w:t xml:space="preserve">The </w:t>
      </w:r>
      <w:r w:rsidR="00B568BB">
        <w:t xml:space="preserve">pressure </w:t>
      </w:r>
      <w:r w:rsidRPr="00EF5B32">
        <w:t>for Tertiary Harmonisation</w:t>
      </w:r>
      <w:r w:rsidR="00870B6D">
        <w:t xml:space="preserve"> to meet the needs of students and industry</w:t>
      </w:r>
      <w:bookmarkEnd w:id="23"/>
      <w:bookmarkEnd w:id="24"/>
      <w:bookmarkEnd w:id="25"/>
    </w:p>
    <w:p w14:paraId="59464DD5" w14:textId="77777777" w:rsidR="00D96CD1" w:rsidRDefault="00422F06" w:rsidP="00B66FC7">
      <w:pPr>
        <w:pStyle w:val="BodyText"/>
      </w:pPr>
      <w:r>
        <w:t>L</w:t>
      </w:r>
      <w:r w:rsidR="00870B6D">
        <w:t xml:space="preserve">arge numbers of students </w:t>
      </w:r>
      <w:r>
        <w:t xml:space="preserve">already move </w:t>
      </w:r>
      <w:r w:rsidR="00ED31D7">
        <w:t>from</w:t>
      </w:r>
      <w:r w:rsidR="00870B6D">
        <w:t xml:space="preserve"> VET to </w:t>
      </w:r>
      <w:r w:rsidR="006E36F3">
        <w:t>Higher Education</w:t>
      </w:r>
      <w:r w:rsidR="00870B6D">
        <w:t xml:space="preserve"> and vice versa. Those pathways are not always easy to navigate</w:t>
      </w:r>
      <w:r w:rsidR="00A97A74">
        <w:t>,</w:t>
      </w:r>
      <w:r w:rsidR="00870B6D">
        <w:t xml:space="preserve"> and appropriate credit for pre-existing knowledge and skills</w:t>
      </w:r>
      <w:r w:rsidR="005E0DEA">
        <w:t xml:space="preserve"> is</w:t>
      </w:r>
      <w:r w:rsidR="00E23EBE">
        <w:t xml:space="preserve"> often </w:t>
      </w:r>
      <w:r w:rsidR="005D1241">
        <w:t>difficult</w:t>
      </w:r>
      <w:r w:rsidR="00870B6D">
        <w:t xml:space="preserve"> to obtain. One of the aims of tertiary harmonisation is to make existing pathways more efficient</w:t>
      </w:r>
      <w:r w:rsidR="004139C2">
        <w:t xml:space="preserve">, </w:t>
      </w:r>
      <w:r w:rsidR="00870B6D">
        <w:t>effective and easier to navigate, as well as encouraging more people to follow the pathways.</w:t>
      </w:r>
    </w:p>
    <w:p w14:paraId="60860BCC" w14:textId="77777777" w:rsidR="00D96CD1" w:rsidRDefault="00B4613E" w:rsidP="00870B6D">
      <w:pPr>
        <w:pStyle w:val="BodyText"/>
      </w:pPr>
      <w:r w:rsidRPr="00B4613E">
        <w:t>Jobs and Skills Australia (JSA) has conducted research to identify emerging roles in the Australian labour market</w:t>
      </w:r>
      <w:sdt>
        <w:sdtPr>
          <w:id w:val="161741856"/>
          <w:citation/>
        </w:sdtPr>
        <w:sdtContent>
          <w:r w:rsidR="009D71BF">
            <w:fldChar w:fldCharType="begin"/>
          </w:r>
          <w:r w:rsidR="009D71BF">
            <w:instrText xml:space="preserve"> CITATION Job241 \l 3081 </w:instrText>
          </w:r>
          <w:r w:rsidR="009D71BF">
            <w:fldChar w:fldCharType="separate"/>
          </w:r>
          <w:r w:rsidR="00BD5991">
            <w:rPr>
              <w:noProof/>
            </w:rPr>
            <w:t xml:space="preserve"> (Jobs and Skills Australia, 2024)</w:t>
          </w:r>
          <w:r w:rsidR="009D71BF">
            <w:fldChar w:fldCharType="end"/>
          </w:r>
        </w:sdtContent>
      </w:sdt>
      <w:r w:rsidRPr="00B4613E">
        <w:t>.</w:t>
      </w:r>
      <w:r w:rsidR="003320A0">
        <w:t xml:space="preserve"> </w:t>
      </w:r>
      <w:r w:rsidR="00484245">
        <w:t>This work shows that</w:t>
      </w:r>
      <w:r w:rsidR="00870B6D">
        <w:t xml:space="preserve"> j</w:t>
      </w:r>
      <w:r w:rsidR="00870B6D" w:rsidRPr="00807478">
        <w:t>obs of the future</w:t>
      </w:r>
      <w:r w:rsidR="0059766E">
        <w:t>,</w:t>
      </w:r>
      <w:r w:rsidR="00870B6D" w:rsidRPr="00807478">
        <w:t xml:space="preserve"> in important emerging fields such as care work, net zero and digital transformation</w:t>
      </w:r>
      <w:r w:rsidR="0059766E">
        <w:t>,</w:t>
      </w:r>
      <w:r w:rsidR="00870B6D" w:rsidRPr="00807478">
        <w:t xml:space="preserve"> will need workers trained though both VET and </w:t>
      </w:r>
      <w:r w:rsidR="006E36F3">
        <w:t>Higher Education</w:t>
      </w:r>
      <w:r w:rsidR="00870B6D" w:rsidRPr="00807478">
        <w:t>.</w:t>
      </w:r>
    </w:p>
    <w:p w14:paraId="7A56AC75" w14:textId="728B2E8F" w:rsidR="00D96CD1" w:rsidRDefault="00D33E32" w:rsidP="00870B6D">
      <w:pPr>
        <w:pStyle w:val="BodyText"/>
      </w:pPr>
      <w:r>
        <w:t xml:space="preserve">Not all individuals </w:t>
      </w:r>
      <w:r w:rsidR="00FA1024">
        <w:t>will need to transition through both sectors</w:t>
      </w:r>
      <w:r w:rsidR="00CB1A29">
        <w:t xml:space="preserve">, but </w:t>
      </w:r>
      <w:r w:rsidR="008F78B9">
        <w:t xml:space="preserve">many current and </w:t>
      </w:r>
      <w:r w:rsidR="002F6B4C">
        <w:t xml:space="preserve">emerging fields </w:t>
      </w:r>
      <w:r w:rsidR="008F78B9">
        <w:t xml:space="preserve">of work and study </w:t>
      </w:r>
      <w:r w:rsidR="002F6B4C">
        <w:t xml:space="preserve">will </w:t>
      </w:r>
      <w:r w:rsidR="003F7BAD">
        <w:t>gain</w:t>
      </w:r>
      <w:r w:rsidR="002F6B4C">
        <w:t xml:space="preserve"> </w:t>
      </w:r>
      <w:r w:rsidR="00491A72">
        <w:t>in terms of quality and efficiency</w:t>
      </w:r>
      <w:r w:rsidR="002F6B4C">
        <w:t xml:space="preserve"> if a growing number </w:t>
      </w:r>
      <w:r w:rsidR="00CD27A0">
        <w:t>of learners</w:t>
      </w:r>
      <w:r w:rsidR="002F6B4C">
        <w:t xml:space="preserve"> are able to </w:t>
      </w:r>
      <w:r w:rsidR="00994B4F">
        <w:t xml:space="preserve">access the benefits of both VET and </w:t>
      </w:r>
      <w:r w:rsidR="006E36F3">
        <w:t>Higher Education</w:t>
      </w:r>
      <w:r w:rsidR="002F6B4C">
        <w:t>.</w:t>
      </w:r>
    </w:p>
    <w:p w14:paraId="3F1A7E0A" w14:textId="7C5F97FD" w:rsidR="00484245" w:rsidRDefault="00484245" w:rsidP="00870B6D">
      <w:pPr>
        <w:pStyle w:val="BodyText"/>
      </w:pPr>
      <w:r>
        <w:t>New emerging roles are also likely to develop in other segments of the economy</w:t>
      </w:r>
      <w:r w:rsidR="00376434">
        <w:t xml:space="preserve">, demanding innovative qualifications that </w:t>
      </w:r>
      <w:r w:rsidR="005A0D38">
        <w:t xml:space="preserve">will rely on a more harmonised </w:t>
      </w:r>
      <w:r w:rsidR="002E749E">
        <w:t xml:space="preserve">system. This will apply as much to </w:t>
      </w:r>
      <w:r w:rsidR="008E3855">
        <w:t>people</w:t>
      </w:r>
      <w:r w:rsidR="00193D34">
        <w:t xml:space="preserve"> needing to upskill or reskill as part of their lifelong learning as it will to school leavers</w:t>
      </w:r>
      <w:r w:rsidR="00FB2F04">
        <w:t xml:space="preserve">. It </w:t>
      </w:r>
      <w:r w:rsidR="00780CE0">
        <w:t xml:space="preserve">will likely be led by, or developed in collaboration with, rapidly changing </w:t>
      </w:r>
      <w:r w:rsidR="006A03CE">
        <w:t>industries</w:t>
      </w:r>
      <w:r w:rsidR="00780CE0">
        <w:t>.</w:t>
      </w:r>
    </w:p>
    <w:p w14:paraId="432AB905" w14:textId="77777777" w:rsidR="00D96CD1" w:rsidRDefault="006D4DB9" w:rsidP="00B66FC7">
      <w:pPr>
        <w:pStyle w:val="BodyText"/>
      </w:pPr>
      <w:r>
        <w:t>Learners</w:t>
      </w:r>
      <w:r w:rsidR="00870B6D" w:rsidRPr="00807478">
        <w:t xml:space="preserve"> </w:t>
      </w:r>
      <w:r w:rsidR="00DB2A3C">
        <w:t>navigating</w:t>
      </w:r>
      <w:r w:rsidR="008801CA">
        <w:t xml:space="preserve"> this </w:t>
      </w:r>
      <w:r w:rsidR="00DB2A3C">
        <w:t xml:space="preserve">changing employment and educational environment </w:t>
      </w:r>
      <w:r w:rsidR="00870B6D" w:rsidRPr="00807478">
        <w:t xml:space="preserve">will require flexibility and administrative interoperability across a </w:t>
      </w:r>
      <w:r w:rsidR="00051E44">
        <w:t xml:space="preserve">tertiary </w:t>
      </w:r>
      <w:r w:rsidR="00870B6D" w:rsidRPr="00807478">
        <w:t>system that benefits from diversity, while</w:t>
      </w:r>
      <w:r w:rsidR="00870B6D" w:rsidRPr="00807478" w:rsidDel="007918D2">
        <w:t xml:space="preserve"> </w:t>
      </w:r>
      <w:r w:rsidR="00870B6D" w:rsidRPr="00807478">
        <w:t xml:space="preserve">acknowledging and sustaining the relative strengths of both VET and </w:t>
      </w:r>
      <w:r w:rsidR="006E36F3">
        <w:t>Higher Education</w:t>
      </w:r>
      <w:r w:rsidR="006A03CE">
        <w:t>.</w:t>
      </w:r>
    </w:p>
    <w:p w14:paraId="50503E59" w14:textId="51DA6A3E" w:rsidR="00870B6D" w:rsidRDefault="00870B6D" w:rsidP="00B66FC7">
      <w:pPr>
        <w:pStyle w:val="BodyText"/>
      </w:pPr>
      <w:r w:rsidRPr="00807478">
        <w:t xml:space="preserve">The Employment White Paper </w:t>
      </w:r>
      <w:sdt>
        <w:sdtPr>
          <w:id w:val="-1041661962"/>
          <w:citation/>
        </w:sdtPr>
        <w:sdtContent>
          <w:r w:rsidRPr="00807478">
            <w:rPr>
              <w:lang w:val="en-US"/>
            </w:rPr>
            <w:fldChar w:fldCharType="begin"/>
          </w:r>
          <w:r w:rsidRPr="00807478">
            <w:instrText xml:space="preserve"> CITATION Com23 \l 3081 </w:instrText>
          </w:r>
          <w:r w:rsidRPr="00807478">
            <w:rPr>
              <w:lang w:val="en-US"/>
            </w:rPr>
            <w:fldChar w:fldCharType="separate"/>
          </w:r>
          <w:r w:rsidR="00BD5991">
            <w:rPr>
              <w:noProof/>
            </w:rPr>
            <w:t>(Department of Treasury, 2023)</w:t>
          </w:r>
          <w:r w:rsidRPr="00807478">
            <w:fldChar w:fldCharType="end"/>
          </w:r>
        </w:sdtContent>
      </w:sdt>
      <w:r w:rsidRPr="00807478">
        <w:t xml:space="preserve"> pointed to the importance of enhancing the nation’s human capital by building a skilled and adaptable workforce, which would reignite productivity growth</w:t>
      </w:r>
      <w:r w:rsidR="000023C3">
        <w:t xml:space="preserve">. </w:t>
      </w:r>
      <w:r w:rsidRPr="00807478">
        <w:t>Tertiary harmonisation is a key plank of this strategy.</w:t>
      </w:r>
    </w:p>
    <w:p w14:paraId="43A70681" w14:textId="77777777" w:rsidR="00D96CD1" w:rsidRDefault="00EF5B32" w:rsidP="007D5BA5">
      <w:pPr>
        <w:pStyle w:val="BodyText"/>
      </w:pPr>
      <w:r w:rsidRPr="00EF5B32">
        <w:t xml:space="preserve">Key changes in the ways that employers and industries are engaging with both VET and </w:t>
      </w:r>
      <w:r w:rsidR="006E36F3">
        <w:t>Higher Education</w:t>
      </w:r>
      <w:r w:rsidR="00CD6700">
        <w:t>, as well as</w:t>
      </w:r>
      <w:r w:rsidR="00F12266">
        <w:t xml:space="preserve"> developments in the tertiary sector itself</w:t>
      </w:r>
      <w:r w:rsidRPr="00EF5B32">
        <w:t xml:space="preserve"> show that there is demand for a more </w:t>
      </w:r>
      <w:r w:rsidR="009A402C">
        <w:t>harmonised</w:t>
      </w:r>
      <w:r w:rsidRPr="00EF5B32">
        <w:t xml:space="preserve"> tertiary system and for graduates with a combination of higher and vocational education </w:t>
      </w:r>
      <w:r w:rsidR="00D32B25">
        <w:t xml:space="preserve">learning </w:t>
      </w:r>
      <w:r w:rsidRPr="00EF5B32">
        <w:t>outcomes.</w:t>
      </w:r>
    </w:p>
    <w:p w14:paraId="0E70C558" w14:textId="27DC25E8" w:rsidR="006A7B34" w:rsidRDefault="006A7B34" w:rsidP="007D5BA5">
      <w:pPr>
        <w:pStyle w:val="BodyText"/>
      </w:pPr>
      <w:r w:rsidRPr="006A7B34">
        <w:t xml:space="preserve">While there are an increasing number of such examples, illustrating the impetus for harmonisation, the challenges in working around the barriers to harmonisation have prevented this reform agenda </w:t>
      </w:r>
      <w:r w:rsidR="006B6AAF">
        <w:t>from</w:t>
      </w:r>
      <w:r w:rsidRPr="006A7B34">
        <w:t xml:space="preserve"> go</w:t>
      </w:r>
      <w:r w:rsidR="006B6AAF">
        <w:t>ing</w:t>
      </w:r>
      <w:r w:rsidRPr="006A7B34">
        <w:t xml:space="preserve"> to scale.</w:t>
      </w:r>
      <w:r w:rsidR="00491C8B">
        <w:t xml:space="preserve"> </w:t>
      </w:r>
      <w:r w:rsidR="00491C8B" w:rsidRPr="00491C8B">
        <w:t>Tertiary education institutions and employers are finding work-around approaches to the presently disjointed system, though this is frequently difficult.</w:t>
      </w:r>
    </w:p>
    <w:p w14:paraId="10863F77" w14:textId="71D940B3" w:rsidR="00C95C1D" w:rsidRPr="00C95C1D" w:rsidRDefault="00C95C1D" w:rsidP="00C95C1D">
      <w:pPr>
        <w:pStyle w:val="BodyText"/>
      </w:pPr>
      <w:r w:rsidRPr="00C95C1D">
        <w:t xml:space="preserve">To effectively consider how tertiary harmonisation can be enabled, JSA analysed real-world examples of efforts by tertiary education providers and other system actors to overcome the disjointedness of the VET and </w:t>
      </w:r>
      <w:r w:rsidR="006E36F3">
        <w:t>Higher Education</w:t>
      </w:r>
      <w:r w:rsidRPr="00C95C1D">
        <w:t xml:space="preserve"> sectors. </w:t>
      </w:r>
      <w:r w:rsidR="00872B62">
        <w:t xml:space="preserve">Some of these case studies are demonstrated </w:t>
      </w:r>
      <w:r w:rsidR="00B07FD3">
        <w:t xml:space="preserve">in Chapter </w:t>
      </w:r>
      <w:r w:rsidR="006F5B96">
        <w:t>2</w:t>
      </w:r>
      <w:r w:rsidR="00B07FD3">
        <w:t xml:space="preserve"> of the report against their corresponding benefits.</w:t>
      </w:r>
    </w:p>
    <w:p w14:paraId="73F2204F" w14:textId="77777777" w:rsidR="00D96CD1" w:rsidRDefault="00C95C1D" w:rsidP="00C95C1D">
      <w:pPr>
        <w:pStyle w:val="BodyText"/>
      </w:pPr>
      <w:r w:rsidRPr="00C95C1D">
        <w:t xml:space="preserve">These 'first movers' and educational innovators highlight the present challenges involved in effective collaboration between VET and </w:t>
      </w:r>
      <w:r w:rsidR="006E36F3">
        <w:t>Higher Education</w:t>
      </w:r>
      <w:r w:rsidRPr="00C95C1D">
        <w:t xml:space="preserve">. </w:t>
      </w:r>
      <w:r w:rsidR="00B07FD3">
        <w:t>While demonstrating student and industry benefits, t</w:t>
      </w:r>
      <w:r w:rsidRPr="00C95C1D">
        <w:t>hey</w:t>
      </w:r>
      <w:r w:rsidR="00B07FD3">
        <w:t xml:space="preserve"> also</w:t>
      </w:r>
      <w:r w:rsidRPr="00C95C1D">
        <w:t xml:space="preserve"> usefully expose the current barriers presented by two largely disconnected sectors, suggesting ways that they might be overcome.</w:t>
      </w:r>
    </w:p>
    <w:p w14:paraId="093D7334" w14:textId="1B85B80A" w:rsidR="00C95C1D" w:rsidRDefault="00C95C1D" w:rsidP="00C95C1D">
      <w:pPr>
        <w:pStyle w:val="BodyText"/>
      </w:pPr>
      <w:r w:rsidRPr="00C95C1D">
        <w:lastRenderedPageBreak/>
        <w:t xml:space="preserve">JSA took this analysis to roundtable consultations, listening to the priorities and impediments across the system and integrated these viewpoints into </w:t>
      </w:r>
      <w:r w:rsidR="00C36BB3">
        <w:t>the</w:t>
      </w:r>
      <w:r w:rsidRPr="00C95C1D">
        <w:t xml:space="preserve"> findings</w:t>
      </w:r>
      <w:r w:rsidR="002A46E9">
        <w:t xml:space="preserve"> (see Appendix A)</w:t>
      </w:r>
      <w:r w:rsidRPr="00C95C1D">
        <w:t>.</w:t>
      </w:r>
      <w:r w:rsidR="003648C6">
        <w:t xml:space="preserve"> What follows is a summary of these emerging trends.</w:t>
      </w:r>
    </w:p>
    <w:p w14:paraId="75103D20" w14:textId="77777777" w:rsidR="00F22DEF" w:rsidRDefault="00F22DEF" w:rsidP="00C95C1D">
      <w:pPr>
        <w:pStyle w:val="BodyText"/>
      </w:pPr>
    </w:p>
    <w:p w14:paraId="26E8B9B9" w14:textId="6D523B1E" w:rsidR="0071459F" w:rsidRPr="0071459F" w:rsidRDefault="0071459F" w:rsidP="00C95C1D">
      <w:pPr>
        <w:pStyle w:val="BodyText"/>
        <w:rPr>
          <w:b/>
          <w:bCs/>
          <w:i/>
          <w:iCs/>
        </w:rPr>
      </w:pPr>
      <w:r>
        <w:rPr>
          <w:b/>
          <w:bCs/>
          <w:i/>
          <w:iCs/>
        </w:rPr>
        <w:t>Emerging trends</w:t>
      </w:r>
    </w:p>
    <w:p w14:paraId="2BD942B9" w14:textId="76CEAEA5" w:rsidR="009E7BD8" w:rsidRDefault="00A01A31" w:rsidP="007D5BA5">
      <w:pPr>
        <w:pStyle w:val="BodyText"/>
      </w:pPr>
      <w:r>
        <w:t>Tertiary students, graduates</w:t>
      </w:r>
      <w:r w:rsidR="005C312E">
        <w:t xml:space="preserve">, </w:t>
      </w:r>
      <w:r>
        <w:t xml:space="preserve">apprentices and </w:t>
      </w:r>
      <w:r w:rsidR="005C312E">
        <w:t>trainees</w:t>
      </w:r>
      <w:r>
        <w:t xml:space="preserve"> working</w:t>
      </w:r>
      <w:r w:rsidR="00972EC3">
        <w:t xml:space="preserve"> in skilled areas are well</w:t>
      </w:r>
      <w:r w:rsidR="00126F71">
        <w:t>-</w:t>
      </w:r>
      <w:r w:rsidR="00972EC3">
        <w:t xml:space="preserve">positioned to contribute to </w:t>
      </w:r>
      <w:r w:rsidR="00AF4749">
        <w:t xml:space="preserve">the development of new knowledge </w:t>
      </w:r>
      <w:r w:rsidR="00126F71">
        <w:t xml:space="preserve">and </w:t>
      </w:r>
      <w:r w:rsidR="00AB498D">
        <w:t>skills,</w:t>
      </w:r>
      <w:r w:rsidR="00AF4749">
        <w:t xml:space="preserve"> </w:t>
      </w:r>
      <w:r w:rsidR="00126F71">
        <w:t xml:space="preserve">and its </w:t>
      </w:r>
      <w:r w:rsidR="00667CF1">
        <w:t>translation and application</w:t>
      </w:r>
      <w:r w:rsidR="00AF4749">
        <w:t xml:space="preserve"> at all levels of the tertiary system. This will be </w:t>
      </w:r>
      <w:r w:rsidR="00012197">
        <w:t xml:space="preserve">better enabled </w:t>
      </w:r>
      <w:r w:rsidR="003F1B8A">
        <w:t>if the sector is harmonised.</w:t>
      </w:r>
    </w:p>
    <w:p w14:paraId="7EFC23DF" w14:textId="77777777" w:rsidR="00D96CD1" w:rsidRDefault="00EF5B32" w:rsidP="00ED1334">
      <w:pPr>
        <w:pStyle w:val="BodyText"/>
      </w:pPr>
      <w:r w:rsidRPr="00EF5B32">
        <w:t xml:space="preserve">Sectors undergoing transition, such as the clean energy sector but also mining, </w:t>
      </w:r>
      <w:r w:rsidR="00FC1AD8">
        <w:t>care</w:t>
      </w:r>
      <w:r w:rsidRPr="00EF5B32">
        <w:t xml:space="preserve"> and defence industries, are at the vanguard of </w:t>
      </w:r>
      <w:r w:rsidR="00AD365B">
        <w:t>ad-hoc harmonisation</w:t>
      </w:r>
      <w:r w:rsidRPr="00EF5B32">
        <w:t xml:space="preserve">. Government expectations of further economic, regulatory and labour force </w:t>
      </w:r>
      <w:r w:rsidR="00B55603">
        <w:t>transformations</w:t>
      </w:r>
      <w:r w:rsidRPr="00EF5B32">
        <w:t xml:space="preserve"> point to the continued acceleration of this trend.</w:t>
      </w:r>
    </w:p>
    <w:p w14:paraId="489FC7AA" w14:textId="5008DC66" w:rsidR="00253705" w:rsidRDefault="009B6B1D" w:rsidP="00ED1334">
      <w:pPr>
        <w:pStyle w:val="BodyText"/>
      </w:pPr>
      <w:r>
        <w:t xml:space="preserve">Higher </w:t>
      </w:r>
      <w:r w:rsidR="006E36F3">
        <w:t>Education</w:t>
      </w:r>
      <w:r>
        <w:t xml:space="preserve"> providers</w:t>
      </w:r>
      <w:r w:rsidR="00074683">
        <w:t xml:space="preserve"> </w:t>
      </w:r>
      <w:r w:rsidR="00275F2B">
        <w:t>are increasingly c</w:t>
      </w:r>
      <w:r w:rsidR="00EF5B32" w:rsidRPr="00EF5B32">
        <w:t>ollaborating</w:t>
      </w:r>
      <w:r w:rsidR="00275F2B">
        <w:t xml:space="preserve"> with VET </w:t>
      </w:r>
      <w:r w:rsidR="008D7116">
        <w:t>providers</w:t>
      </w:r>
      <w:r w:rsidR="00275F2B">
        <w:t xml:space="preserve"> </w:t>
      </w:r>
      <w:r w:rsidR="00EF5B32" w:rsidRPr="00EF5B32">
        <w:t xml:space="preserve">to develop programs that include VET skill sets or training packages </w:t>
      </w:r>
      <w:r w:rsidR="001908BA">
        <w:t>within</w:t>
      </w:r>
      <w:r w:rsidR="00EF5B32" w:rsidRPr="00EF5B32">
        <w:t xml:space="preserve"> degrees. </w:t>
      </w:r>
      <w:r w:rsidR="009F236D">
        <w:t>Others seek</w:t>
      </w:r>
      <w:r w:rsidR="009F236D" w:rsidRPr="009F236D">
        <w:t xml:space="preserve"> to include workplace and other skills in generalist </w:t>
      </w:r>
      <w:r w:rsidR="006E36F3">
        <w:t>Higher Education</w:t>
      </w:r>
      <w:r w:rsidR="009F236D" w:rsidRPr="009F236D">
        <w:t xml:space="preserve"> degrees</w:t>
      </w:r>
      <w:r w:rsidR="000E3C5A">
        <w:t>. Difficulties presented by</w:t>
      </w:r>
      <w:r w:rsidR="009F236D" w:rsidRPr="009F236D">
        <w:t xml:space="preserve"> the current disjointed system </w:t>
      </w:r>
      <w:r w:rsidR="00D71948">
        <w:t>have compelled some</w:t>
      </w:r>
      <w:r w:rsidR="009F236D" w:rsidRPr="009F236D">
        <w:t xml:space="preserve"> institutions to develop short</w:t>
      </w:r>
      <w:r w:rsidR="003A6F09">
        <w:t>,</w:t>
      </w:r>
      <w:r w:rsidR="009F236D" w:rsidRPr="009F236D">
        <w:t xml:space="preserve"> skill-focused courses themselves. The goals sought by such measures will be more efficient in a structurally harmonised system.</w:t>
      </w:r>
    </w:p>
    <w:p w14:paraId="468A152B" w14:textId="257D011B" w:rsidR="00EF5B32" w:rsidRPr="00EF5B32" w:rsidRDefault="00EF5B32" w:rsidP="00ED1334">
      <w:pPr>
        <w:pStyle w:val="BodyText"/>
      </w:pPr>
      <w:r w:rsidRPr="00EF5B32">
        <w:t xml:space="preserve">Some industries have developed harmonised education frameworks as </w:t>
      </w:r>
      <w:r w:rsidR="00E722FD">
        <w:t>nested</w:t>
      </w:r>
      <w:r w:rsidRPr="00EF5B32">
        <w:t xml:space="preserve"> pathways </w:t>
      </w:r>
      <w:r w:rsidR="00E722FD">
        <w:t xml:space="preserve">that articulate </w:t>
      </w:r>
      <w:r w:rsidRPr="00EF5B32">
        <w:t>from Certificate and Diploma to Degree</w:t>
      </w:r>
      <w:r w:rsidR="00D31684">
        <w:t xml:space="preserve"> programs</w:t>
      </w:r>
      <w:r w:rsidR="00E56DD7">
        <w:t>. These seek to</w:t>
      </w:r>
      <w:r w:rsidR="00D31684">
        <w:t xml:space="preserve"> fulfil workforce needs at multiple levels</w:t>
      </w:r>
      <w:r w:rsidRPr="00EF5B32">
        <w:t xml:space="preserve">. Other industries have blended </w:t>
      </w:r>
      <w:r w:rsidR="006E36F3">
        <w:t>Higher Education</w:t>
      </w:r>
      <w:r w:rsidR="008D6F32" w:rsidRPr="00EF5B32">
        <w:t xml:space="preserve"> </w:t>
      </w:r>
      <w:r w:rsidRPr="00EF5B32">
        <w:t xml:space="preserve">and </w:t>
      </w:r>
      <w:r w:rsidR="00786403">
        <w:t>VET</w:t>
      </w:r>
      <w:r w:rsidRPr="00EF5B32">
        <w:t xml:space="preserve"> skill sets to produce graduates with specific attributes</w:t>
      </w:r>
      <w:r w:rsidR="00864714">
        <w:t xml:space="preserve"> needed in the contemporary workforce</w:t>
      </w:r>
      <w:r w:rsidRPr="00EF5B32">
        <w:t>.</w:t>
      </w:r>
    </w:p>
    <w:p w14:paraId="646D6BD9" w14:textId="35C83102" w:rsidR="00B75441" w:rsidRPr="00EF5B32" w:rsidRDefault="005D77E4" w:rsidP="00ED1334">
      <w:pPr>
        <w:pStyle w:val="BodyText"/>
      </w:pPr>
      <w:r>
        <w:t>Many c</w:t>
      </w:r>
      <w:r w:rsidR="008C2B66">
        <w:t>ommunities</w:t>
      </w:r>
      <w:r w:rsidR="00EA14FD">
        <w:t xml:space="preserve">, </w:t>
      </w:r>
      <w:r w:rsidR="00534541">
        <w:t>especially in</w:t>
      </w:r>
      <w:r w:rsidR="00EA14FD">
        <w:t xml:space="preserve"> regional and remote areas</w:t>
      </w:r>
      <w:r w:rsidR="00534541">
        <w:t>,</w:t>
      </w:r>
      <w:r w:rsidR="00387A1A">
        <w:t xml:space="preserve"> have established</w:t>
      </w:r>
      <w:r w:rsidR="00387A1A" w:rsidRPr="00387A1A">
        <w:t xml:space="preserve"> a 'one-stop-shop' </w:t>
      </w:r>
      <w:r w:rsidR="008C6BC6">
        <w:t>to</w:t>
      </w:r>
      <w:r w:rsidR="00387A1A" w:rsidRPr="00387A1A">
        <w:t xml:space="preserve"> </w:t>
      </w:r>
      <w:r w:rsidR="00EA14FD">
        <w:t xml:space="preserve">combine </w:t>
      </w:r>
      <w:r w:rsidR="008C2B66" w:rsidRPr="00EF5B32">
        <w:t xml:space="preserve">a range of services including employment, formal skills training and </w:t>
      </w:r>
      <w:r w:rsidR="006E36F3">
        <w:t>Higher Education</w:t>
      </w:r>
      <w:r w:rsidR="008C2B66" w:rsidRPr="00EF5B32">
        <w:t xml:space="preserve"> in ways that maximise opportunities for individuals to forge their own career pathways and fulfil local community and economic goals</w:t>
      </w:r>
      <w:r w:rsidR="00483142">
        <w:t>.</w:t>
      </w:r>
      <w:r w:rsidR="00AC30E0" w:rsidRPr="00AC30E0">
        <w:t xml:space="preserve"> </w:t>
      </w:r>
      <w:r w:rsidR="00AC30E0" w:rsidRPr="00EF5B32">
        <w:t>This is particularly important for First Nations communities</w:t>
      </w:r>
      <w:r w:rsidR="00AC30E0">
        <w:t>.</w:t>
      </w:r>
    </w:p>
    <w:p w14:paraId="0FD81B0B" w14:textId="244AFB03" w:rsidR="003E63AE" w:rsidRDefault="00EF5B32" w:rsidP="00EF5B32">
      <w:pPr>
        <w:pStyle w:val="BodyText"/>
        <w:rPr>
          <w:lang w:val="en-US" w:eastAsia="en-AU"/>
        </w:rPr>
      </w:pPr>
      <w:r w:rsidRPr="00EF5B32">
        <w:rPr>
          <w:lang w:val="en-US" w:eastAsia="en-AU"/>
        </w:rPr>
        <w:t xml:space="preserve">The tertiary system is complex and a coordinated approach to a shared set of practices </w:t>
      </w:r>
      <w:r w:rsidR="001B13A1">
        <w:t>is</w:t>
      </w:r>
      <w:r w:rsidRPr="00EF5B32">
        <w:rPr>
          <w:lang w:val="en-US" w:eastAsia="en-AU"/>
        </w:rPr>
        <w:t xml:space="preserve"> </w:t>
      </w:r>
      <w:r w:rsidR="000235AB">
        <w:t xml:space="preserve">critical to the success of </w:t>
      </w:r>
      <w:r w:rsidR="00934D50">
        <w:t xml:space="preserve">the roadmap to </w:t>
      </w:r>
      <w:r w:rsidR="000235AB">
        <w:t>harmonisa</w:t>
      </w:r>
      <w:r w:rsidR="00F5358F">
        <w:t>tion</w:t>
      </w:r>
      <w:r w:rsidR="001B13A1">
        <w:t>. However,</w:t>
      </w:r>
      <w:r w:rsidRPr="00EF5B32">
        <w:rPr>
          <w:lang w:val="en-US" w:eastAsia="en-AU"/>
        </w:rPr>
        <w:t xml:space="preserve"> </w:t>
      </w:r>
      <w:r w:rsidR="00B83C14">
        <w:t xml:space="preserve">these trends show that </w:t>
      </w:r>
      <w:r w:rsidR="00F83B72">
        <w:t xml:space="preserve">the </w:t>
      </w:r>
      <w:r w:rsidRPr="00EF5B32">
        <w:rPr>
          <w:lang w:val="en-US" w:eastAsia="en-AU"/>
        </w:rPr>
        <w:t>practical implementation of tertiary harmonisation will differ by institution, industry and jurisdiction</w:t>
      </w:r>
      <w:r w:rsidR="00C513FF">
        <w:t>.</w:t>
      </w:r>
    </w:p>
    <w:p w14:paraId="19B2FDC2" w14:textId="77777777" w:rsidR="00D96CD1" w:rsidRDefault="00C57B37" w:rsidP="00EF5B32">
      <w:pPr>
        <w:pStyle w:val="BodyText"/>
      </w:pPr>
      <w:r>
        <w:t>Even so, m</w:t>
      </w:r>
      <w:r w:rsidR="00870B6D" w:rsidRPr="00870B6D">
        <w:t>ore systemic harmonisation</w:t>
      </w:r>
      <w:r w:rsidR="00AB6D5A">
        <w:t xml:space="preserve">, establishing the conditions </w:t>
      </w:r>
      <w:r w:rsidR="00FA54AC">
        <w:t>that will enable</w:t>
      </w:r>
      <w:r w:rsidR="00AB6D5A">
        <w:t xml:space="preserve"> </w:t>
      </w:r>
      <w:r w:rsidR="0091120D">
        <w:t>innovation</w:t>
      </w:r>
      <w:r w:rsidR="00FA54AC">
        <w:t>,</w:t>
      </w:r>
      <w:r w:rsidR="00870B6D" w:rsidRPr="00870B6D">
        <w:t xml:space="preserve"> </w:t>
      </w:r>
      <w:r w:rsidR="006D5A80">
        <w:t>will</w:t>
      </w:r>
      <w:r w:rsidR="00870B6D" w:rsidRPr="00870B6D">
        <w:t xml:space="preserve"> reduce the need for complex workarounds and accelerate the adoption of joined up approaches.</w:t>
      </w:r>
    </w:p>
    <w:p w14:paraId="258ED123" w14:textId="5AF8E696" w:rsidR="002E1D91" w:rsidRDefault="002E1D91" w:rsidP="00EF5B32">
      <w:pPr>
        <w:pStyle w:val="BodyText"/>
      </w:pPr>
    </w:p>
    <w:p w14:paraId="642210A8" w14:textId="58733AAD" w:rsidR="00EF5B32" w:rsidRPr="00EF5B32" w:rsidRDefault="00EF5B32" w:rsidP="00AB44D5">
      <w:pPr>
        <w:pStyle w:val="Heading2"/>
      </w:pPr>
      <w:bookmarkStart w:id="26" w:name="_Toc189060412"/>
      <w:bookmarkStart w:id="27" w:name="_Toc189060502"/>
      <w:bookmarkStart w:id="28" w:name="_Toc190980905"/>
      <w:r w:rsidRPr="00EF5B32">
        <w:t>The current disjointedness</w:t>
      </w:r>
      <w:bookmarkEnd w:id="26"/>
      <w:bookmarkEnd w:id="27"/>
      <w:bookmarkEnd w:id="28"/>
    </w:p>
    <w:p w14:paraId="7B834925" w14:textId="77777777" w:rsidR="00D96CD1" w:rsidRDefault="00EF5B32" w:rsidP="00EF5B32">
      <w:pPr>
        <w:pStyle w:val="BodyText"/>
        <w:rPr>
          <w:lang w:val="en-US" w:eastAsia="en-AU"/>
        </w:rPr>
      </w:pPr>
      <w:r w:rsidRPr="00EF5B32">
        <w:rPr>
          <w:lang w:val="en-US" w:eastAsia="en-AU"/>
        </w:rPr>
        <w:t>Most barriers to harmonisation are structural. They include governmental, regulatory, reporting and funding systems, institutional and organisational differences, and curriculum, pedagogy and qualification frameworks</w:t>
      </w:r>
      <w:r w:rsidR="00C9619D">
        <w:t>,</w:t>
      </w:r>
      <w:r w:rsidRPr="00EF5B32">
        <w:rPr>
          <w:lang w:val="en-US" w:eastAsia="en-AU"/>
        </w:rPr>
        <w:t xml:space="preserve"> including </w:t>
      </w:r>
      <w:r w:rsidR="00C9619D">
        <w:t xml:space="preserve">for </w:t>
      </w:r>
      <w:r w:rsidRPr="00EF5B32">
        <w:rPr>
          <w:lang w:val="en-US" w:eastAsia="en-AU"/>
        </w:rPr>
        <w:t>apprenticeships</w:t>
      </w:r>
      <w:r w:rsidR="00646688">
        <w:t>, traineeships</w:t>
      </w:r>
      <w:r w:rsidR="00C9619D">
        <w:t xml:space="preserve"> and other work</w:t>
      </w:r>
      <w:r w:rsidR="003A4706">
        <w:t>-based</w:t>
      </w:r>
      <w:r w:rsidR="00C9619D">
        <w:t xml:space="preserve"> training</w:t>
      </w:r>
      <w:r w:rsidRPr="00EF5B32">
        <w:rPr>
          <w:lang w:val="en-US" w:eastAsia="en-AU"/>
        </w:rPr>
        <w:t>.</w:t>
      </w:r>
    </w:p>
    <w:p w14:paraId="370BEDEE" w14:textId="77777777" w:rsidR="00D96CD1" w:rsidRDefault="003B172D" w:rsidP="00FB185A">
      <w:pPr>
        <w:pStyle w:val="BodyText"/>
      </w:pPr>
      <w:r>
        <w:lastRenderedPageBreak/>
        <w:t>The</w:t>
      </w:r>
      <w:r w:rsidR="00927048">
        <w:t xml:space="preserve"> barriers to tertiary harmonisation</w:t>
      </w:r>
      <w:r>
        <w:t xml:space="preserve"> are complex and interrelated</w:t>
      </w:r>
      <w:r w:rsidR="00927048">
        <w:t xml:space="preserve">. </w:t>
      </w:r>
      <w:r w:rsidR="00CC26F8">
        <w:t xml:space="preserve">VET and </w:t>
      </w:r>
      <w:r w:rsidR="006E36F3">
        <w:t>Higher Education</w:t>
      </w:r>
      <w:r w:rsidR="00617AD9">
        <w:t xml:space="preserve"> have considerably different curriculum </w:t>
      </w:r>
      <w:r w:rsidR="00240CE3">
        <w:t>structure</w:t>
      </w:r>
      <w:r w:rsidR="008B1038">
        <w:t xml:space="preserve">s and pedagogical </w:t>
      </w:r>
      <w:r w:rsidR="008D0EA5">
        <w:t>systems</w:t>
      </w:r>
      <w:r w:rsidR="00542B5D">
        <w:t>. Assessment too is markedly different</w:t>
      </w:r>
      <w:r w:rsidR="00DE261F">
        <w:t xml:space="preserve"> </w:t>
      </w:r>
      <w:r w:rsidR="007131E2">
        <w:t>as are the mechanisms for recognising learning attained</w:t>
      </w:r>
      <w:r w:rsidR="00757E5C">
        <w:t xml:space="preserve"> prior to </w:t>
      </w:r>
      <w:r w:rsidR="00AC2EE7">
        <w:t>enrolment.</w:t>
      </w:r>
    </w:p>
    <w:p w14:paraId="290F5414" w14:textId="77777777" w:rsidR="00D96CD1" w:rsidRDefault="001650E5" w:rsidP="00FB185A">
      <w:pPr>
        <w:pStyle w:val="BodyText"/>
      </w:pPr>
      <w:r>
        <w:t xml:space="preserve">There is a governance and administrative mismatch between institutions largely </w:t>
      </w:r>
      <w:r w:rsidR="00551AAF">
        <w:t xml:space="preserve">connected to the Australian </w:t>
      </w:r>
      <w:r w:rsidR="00417A25">
        <w:t>G</w:t>
      </w:r>
      <w:r w:rsidR="00551AAF">
        <w:t>overnment while others have much closer relationship to state</w:t>
      </w:r>
      <w:r w:rsidR="008A7F84">
        <w:t xml:space="preserve"> or territory </w:t>
      </w:r>
      <w:r w:rsidR="00551AAF">
        <w:t>level decision making.</w:t>
      </w:r>
      <w:r w:rsidR="00E75B13">
        <w:t xml:space="preserve"> </w:t>
      </w:r>
      <w:r w:rsidR="001706D9">
        <w:t xml:space="preserve">Within </w:t>
      </w:r>
      <w:r w:rsidR="006E36F3">
        <w:t>Higher Education</w:t>
      </w:r>
      <w:r w:rsidR="001706D9">
        <w:t xml:space="preserve"> and VET institutions, there are layers of decision making and approval processes that are not straightforward to connect.</w:t>
      </w:r>
    </w:p>
    <w:p w14:paraId="1A4AD9D5" w14:textId="23AFC46D" w:rsidR="00B1633A" w:rsidRDefault="001706D9" w:rsidP="00FB185A">
      <w:pPr>
        <w:pStyle w:val="BodyText"/>
      </w:pPr>
      <w:r>
        <w:t xml:space="preserve">These systems are </w:t>
      </w:r>
      <w:r w:rsidR="00FB185A">
        <w:t xml:space="preserve">influenced by </w:t>
      </w:r>
      <w:r w:rsidR="007D144E">
        <w:t>distinctive regulatory</w:t>
      </w:r>
      <w:r w:rsidR="002111EA">
        <w:t xml:space="preserve"> systems</w:t>
      </w:r>
      <w:r w:rsidR="00214C38">
        <w:t>, which</w:t>
      </w:r>
      <w:r w:rsidR="00FB185A">
        <w:t xml:space="preserve"> in turn</w:t>
      </w:r>
      <w:r w:rsidR="00214C38">
        <w:t xml:space="preserve"> drive different forms of data collection and </w:t>
      </w:r>
      <w:r w:rsidR="000F695F">
        <w:t>reporting</w:t>
      </w:r>
      <w:r w:rsidR="00F678AC">
        <w:t>.</w:t>
      </w:r>
      <w:r w:rsidR="00B1633A">
        <w:t xml:space="preserve"> </w:t>
      </w:r>
      <w:r w:rsidR="008F1557">
        <w:t xml:space="preserve">The forms of data collection and reporting, moreover, encompass a wide variety of provider types, including universities, TAFEs and </w:t>
      </w:r>
      <w:r w:rsidR="00C320A2">
        <w:t>community based</w:t>
      </w:r>
      <w:r w:rsidR="005B708C">
        <w:t xml:space="preserve"> </w:t>
      </w:r>
      <w:r w:rsidR="00455A2A">
        <w:t>or</w:t>
      </w:r>
      <w:r w:rsidR="005B708C">
        <w:t xml:space="preserve"> First Nations </w:t>
      </w:r>
      <w:r w:rsidR="000A37AD">
        <w:t>o</w:t>
      </w:r>
      <w:r w:rsidR="005B708C">
        <w:t>wned</w:t>
      </w:r>
      <w:r w:rsidR="008F1557">
        <w:t xml:space="preserve"> RTOs.</w:t>
      </w:r>
      <w:r>
        <w:t xml:space="preserve"> </w:t>
      </w:r>
      <w:r w:rsidR="00171D59">
        <w:t>The mechanism for funding</w:t>
      </w:r>
      <w:r w:rsidR="00C51F8A">
        <w:t xml:space="preserve"> individual student</w:t>
      </w:r>
      <w:r w:rsidR="00861A1D">
        <w:t xml:space="preserve"> enrolments and</w:t>
      </w:r>
      <w:r w:rsidR="00171D59">
        <w:t xml:space="preserve"> </w:t>
      </w:r>
      <w:r w:rsidR="008B4D77">
        <w:t>institution</w:t>
      </w:r>
      <w:r w:rsidR="00861A1D">
        <w:t>al infrastructure</w:t>
      </w:r>
      <w:r w:rsidR="00C51F8A">
        <w:t xml:space="preserve"> </w:t>
      </w:r>
      <w:r w:rsidR="00861A1D">
        <w:t>differs</w:t>
      </w:r>
      <w:r w:rsidR="00C51F8A">
        <w:t xml:space="preserve"> </w:t>
      </w:r>
      <w:r w:rsidR="00861A1D">
        <w:t>markedly</w:t>
      </w:r>
      <w:r w:rsidR="008E01D7">
        <w:t>, making collaboration complex</w:t>
      </w:r>
      <w:r w:rsidR="00471483">
        <w:t xml:space="preserve"> and in many cases, </w:t>
      </w:r>
      <w:r w:rsidR="000D4974">
        <w:t>impractical.</w:t>
      </w:r>
    </w:p>
    <w:p w14:paraId="3F132B3C" w14:textId="2EF5344E" w:rsidR="00644AFE" w:rsidRDefault="00644AFE" w:rsidP="00FB185A">
      <w:pPr>
        <w:pStyle w:val="BodyText"/>
      </w:pPr>
      <w:r w:rsidRPr="00644AFE">
        <w:t xml:space="preserve">Another key issue that impacts harmonisation is the influence of markets and competition. Collaboration and integration </w:t>
      </w:r>
      <w:r w:rsidR="004E3163">
        <w:t>can be</w:t>
      </w:r>
      <w:r w:rsidRPr="00644AFE">
        <w:t xml:space="preserve"> undermined by competition and resourcing incentives. These market-driven factors create barriers to effective cooperation and alignment between institutions, further complicating efforts to achieve a cohesive and integrated tertiary education system.</w:t>
      </w:r>
    </w:p>
    <w:p w14:paraId="3584309F" w14:textId="4D5F874D" w:rsidR="00F04DCC" w:rsidRDefault="00E72E6C" w:rsidP="00FB185A">
      <w:pPr>
        <w:pStyle w:val="BodyText"/>
      </w:pPr>
      <w:r>
        <w:t xml:space="preserve">Although VET and </w:t>
      </w:r>
      <w:r w:rsidR="006E36F3">
        <w:t>Higher Education</w:t>
      </w:r>
      <w:r>
        <w:t xml:space="preserve"> serve distinctive and necessary roles in</w:t>
      </w:r>
      <w:r w:rsidR="00041392">
        <w:t xml:space="preserve"> education and training, there</w:t>
      </w:r>
      <w:r>
        <w:t xml:space="preserve"> is currently a </w:t>
      </w:r>
      <w:r w:rsidR="00041392">
        <w:t xml:space="preserve">disparity </w:t>
      </w:r>
      <w:r w:rsidR="0065096B">
        <w:t xml:space="preserve">in the levels of esteem assigned to the institutions and, by extension, their graduates. </w:t>
      </w:r>
      <w:r w:rsidR="00435AD8">
        <w:t>This</w:t>
      </w:r>
      <w:r w:rsidR="00DA0D5C">
        <w:t>, alongside other cultural differences experienced by staff and students alike, acts as an inhibitor to the levels of cooperation needed</w:t>
      </w:r>
      <w:r w:rsidR="002D1EBF">
        <w:t xml:space="preserve"> to support the changing labour market</w:t>
      </w:r>
      <w:sdt>
        <w:sdtPr>
          <w:id w:val="-1731523438"/>
          <w:citation/>
        </w:sdtPr>
        <w:sdtContent>
          <w:r w:rsidR="004642D3">
            <w:fldChar w:fldCharType="begin"/>
          </w:r>
          <w:r w:rsidR="004642D3">
            <w:instrText xml:space="preserve"> CITATION Hou24 \l 3081 </w:instrText>
          </w:r>
          <w:r w:rsidR="004642D3">
            <w:fldChar w:fldCharType="separate"/>
          </w:r>
          <w:r w:rsidR="00BD5991">
            <w:rPr>
              <w:noProof/>
            </w:rPr>
            <w:t xml:space="preserve"> (House of Representatives Standing Committee on Employment, Education and Training, 2024)</w:t>
          </w:r>
          <w:r w:rsidR="004642D3">
            <w:fldChar w:fldCharType="end"/>
          </w:r>
        </w:sdtContent>
      </w:sdt>
      <w:r w:rsidR="002D1EBF">
        <w:t>.</w:t>
      </w:r>
    </w:p>
    <w:p w14:paraId="2E1A167E" w14:textId="77777777" w:rsidR="00D96CD1" w:rsidRDefault="0069743E" w:rsidP="00EF5B32">
      <w:pPr>
        <w:pStyle w:val="BodyText"/>
        <w:rPr>
          <w:rStyle w:val="CommentReference"/>
        </w:rPr>
      </w:pPr>
      <w:r>
        <w:t>Work</w:t>
      </w:r>
      <w:r>
        <w:noBreakHyphen/>
        <w:t xml:space="preserve">based </w:t>
      </w:r>
      <w:r w:rsidR="001E7A40">
        <w:t>learning, including apprenticeships and traineeships</w:t>
      </w:r>
      <w:r w:rsidR="007335BC">
        <w:t>, and work-integrated learning such as those requiring placements and internships</w:t>
      </w:r>
      <w:r w:rsidR="00BA326D">
        <w:t xml:space="preserve">, add further complexity to the tertiary system. </w:t>
      </w:r>
      <w:r w:rsidR="00873866">
        <w:t xml:space="preserve">These may become enablers of tertiary harmonisation, but </w:t>
      </w:r>
      <w:r w:rsidR="00B7202E">
        <w:t xml:space="preserve">currently act as rigidities impeding </w:t>
      </w:r>
      <w:r w:rsidR="002C5BE4">
        <w:t xml:space="preserve">collaboration and cooperation between the </w:t>
      </w:r>
      <w:r w:rsidR="0017398F">
        <w:t>sectors and</w:t>
      </w:r>
      <w:r w:rsidR="002C5BE4">
        <w:t xml:space="preserve"> </w:t>
      </w:r>
      <w:r w:rsidR="00C27DCC">
        <w:t xml:space="preserve">inhibiting </w:t>
      </w:r>
      <w:r w:rsidR="002C5BE4">
        <w:t xml:space="preserve">mobility by students and </w:t>
      </w:r>
      <w:r w:rsidR="00D06D17">
        <w:t>those seeking to reskill or upskill.</w:t>
      </w:r>
    </w:p>
    <w:p w14:paraId="54C6B854" w14:textId="77777777" w:rsidR="00D96CD1" w:rsidRDefault="00C77C90" w:rsidP="00C77C90">
      <w:pPr>
        <w:pStyle w:val="BodyText"/>
      </w:pPr>
      <w:r>
        <w:t xml:space="preserve">It is worth noting that the Skills and Workforce Ministerial Council </w:t>
      </w:r>
      <w:r w:rsidR="002E05BF">
        <w:t xml:space="preserve">(SWMC) </w:t>
      </w:r>
      <w:r>
        <w:t xml:space="preserve">has agreed to establish a working group for the VET sector, </w:t>
      </w:r>
      <w:r w:rsidR="006E36F3">
        <w:t>Higher Education</w:t>
      </w:r>
      <w:r>
        <w:t xml:space="preserve"> Sector, tripartite partners and other key stakeholders to work together to design an apprenticeship system to equip students with knowledge and skills required to enter the Australian labour market</w:t>
      </w:r>
      <w:sdt>
        <w:sdtPr>
          <w:id w:val="-1235240331"/>
          <w:citation/>
        </w:sdtPr>
        <w:sdtContent>
          <w:r w:rsidR="002E05BF">
            <w:fldChar w:fldCharType="begin"/>
          </w:r>
          <w:r w:rsidR="002E05BF">
            <w:instrText xml:space="preserve"> CITATION SWM24 \l 3081 </w:instrText>
          </w:r>
          <w:r w:rsidR="002E05BF">
            <w:fldChar w:fldCharType="separate"/>
          </w:r>
          <w:r w:rsidR="00BD5991">
            <w:rPr>
              <w:noProof/>
            </w:rPr>
            <w:t xml:space="preserve"> (SWMC, 2024)</w:t>
          </w:r>
          <w:r w:rsidR="002E05BF">
            <w:fldChar w:fldCharType="end"/>
          </w:r>
        </w:sdtContent>
      </w:sdt>
      <w:r>
        <w:t>.</w:t>
      </w:r>
    </w:p>
    <w:p w14:paraId="4B6C5408" w14:textId="6C6AB5A0" w:rsidR="00EF5B32" w:rsidRPr="00EF5B32" w:rsidRDefault="00EF5B32" w:rsidP="00EF5B32">
      <w:pPr>
        <w:pStyle w:val="BodyText"/>
        <w:rPr>
          <w:lang w:eastAsia="en-AU"/>
        </w:rPr>
      </w:pPr>
      <w:r w:rsidRPr="00EF5B32">
        <w:rPr>
          <w:lang w:val="en-US" w:eastAsia="en-AU"/>
        </w:rPr>
        <w:t>The experiences of dual sector universities, who regularly navigate these barriers, show:</w:t>
      </w:r>
    </w:p>
    <w:p w14:paraId="15E08B5A" w14:textId="3FB6BBC1" w:rsidR="00EF5B32" w:rsidRPr="00EF5B32" w:rsidRDefault="00325719" w:rsidP="005961D2">
      <w:pPr>
        <w:pStyle w:val="ListBullet"/>
        <w:numPr>
          <w:ilvl w:val="0"/>
          <w:numId w:val="2"/>
        </w:numPr>
      </w:pPr>
      <w:r>
        <w:t>u</w:t>
      </w:r>
      <w:r w:rsidRPr="00EF5B32">
        <w:t xml:space="preserve">nequal </w:t>
      </w:r>
      <w:r w:rsidR="00EF5B32" w:rsidRPr="00EF5B32">
        <w:t>access to loans and supported places</w:t>
      </w:r>
    </w:p>
    <w:p w14:paraId="624ECA5E" w14:textId="604DB3D4" w:rsidR="00EF5B32" w:rsidRPr="00EF5B32" w:rsidRDefault="00325719" w:rsidP="005961D2">
      <w:pPr>
        <w:pStyle w:val="ListBullet"/>
        <w:numPr>
          <w:ilvl w:val="0"/>
          <w:numId w:val="2"/>
        </w:numPr>
      </w:pPr>
      <w:r>
        <w:t>u</w:t>
      </w:r>
      <w:r w:rsidRPr="00EF5B32">
        <w:t xml:space="preserve">nequal </w:t>
      </w:r>
      <w:r w:rsidR="00EF5B32" w:rsidRPr="00EF5B32">
        <w:t>legislative and regulatory settings</w:t>
      </w:r>
    </w:p>
    <w:p w14:paraId="03B66DB7" w14:textId="1FF8A841" w:rsidR="00EF5B32" w:rsidRPr="00EF5B32" w:rsidRDefault="00325719" w:rsidP="005961D2">
      <w:pPr>
        <w:pStyle w:val="ListBullet"/>
        <w:numPr>
          <w:ilvl w:val="0"/>
          <w:numId w:val="2"/>
        </w:numPr>
      </w:pPr>
      <w:r>
        <w:t>d</w:t>
      </w:r>
      <w:r w:rsidRPr="00EF5B32">
        <w:t xml:space="preserve">iffering </w:t>
      </w:r>
      <w:r w:rsidR="00EF5B32" w:rsidRPr="00EF5B32">
        <w:t>definitions in sectors e.g. ‘apprenticeship’</w:t>
      </w:r>
    </w:p>
    <w:p w14:paraId="089BB8BC" w14:textId="215B9018" w:rsidR="00EF5B32" w:rsidRPr="00EF5B32" w:rsidRDefault="00325719" w:rsidP="005961D2">
      <w:pPr>
        <w:pStyle w:val="ListBullet"/>
        <w:numPr>
          <w:ilvl w:val="0"/>
          <w:numId w:val="2"/>
        </w:numPr>
      </w:pPr>
      <w:r>
        <w:t>d</w:t>
      </w:r>
      <w:r w:rsidRPr="00EF5B32">
        <w:t xml:space="preserve">ifferent </w:t>
      </w:r>
      <w:r w:rsidR="00EF5B32" w:rsidRPr="00EF5B32">
        <w:t>course delivery models, teaching requirements, resourcing and funding</w:t>
      </w:r>
    </w:p>
    <w:p w14:paraId="590AC110" w14:textId="50B3B153" w:rsidR="00EF5B32" w:rsidRPr="00EF5B32" w:rsidRDefault="00325719" w:rsidP="005961D2">
      <w:pPr>
        <w:pStyle w:val="ListBullet"/>
        <w:numPr>
          <w:ilvl w:val="0"/>
          <w:numId w:val="2"/>
        </w:numPr>
      </w:pPr>
      <w:r>
        <w:t>i</w:t>
      </w:r>
      <w:r w:rsidRPr="00EF5B32">
        <w:t xml:space="preserve">ncreased </w:t>
      </w:r>
      <w:r w:rsidR="00EF5B32" w:rsidRPr="00EF5B32">
        <w:t>overhead for bespoke education design, and administration</w:t>
      </w:r>
    </w:p>
    <w:p w14:paraId="0C9D6892" w14:textId="42DBD5D2" w:rsidR="00EF5B32" w:rsidRPr="00EF5B32" w:rsidRDefault="00325719" w:rsidP="005961D2">
      <w:pPr>
        <w:pStyle w:val="ListBullet"/>
        <w:numPr>
          <w:ilvl w:val="0"/>
          <w:numId w:val="2"/>
        </w:numPr>
      </w:pPr>
      <w:r>
        <w:t>i</w:t>
      </w:r>
      <w:r w:rsidRPr="00EF5B32">
        <w:t xml:space="preserve">nflexible </w:t>
      </w:r>
      <w:r w:rsidR="00EF5B32" w:rsidRPr="00EF5B32">
        <w:t>and out</w:t>
      </w:r>
      <w:r w:rsidR="00077CF4">
        <w:t>-</w:t>
      </w:r>
      <w:r w:rsidR="00EF5B32" w:rsidRPr="00EF5B32">
        <w:t>of</w:t>
      </w:r>
      <w:r w:rsidR="00077CF4">
        <w:t>-</w:t>
      </w:r>
      <w:r w:rsidR="00EF5B32" w:rsidRPr="00EF5B32">
        <w:t xml:space="preserve">date </w:t>
      </w:r>
      <w:r w:rsidR="005D22BE">
        <w:t>AQF</w:t>
      </w:r>
      <w:r w:rsidR="00EF5B32" w:rsidRPr="00EF5B32">
        <w:t xml:space="preserve"> and education design requirements</w:t>
      </w:r>
    </w:p>
    <w:p w14:paraId="3A9CB3B8" w14:textId="77777777" w:rsidR="00D96CD1" w:rsidRDefault="00325719" w:rsidP="00EC1593">
      <w:pPr>
        <w:pStyle w:val="ListBullet"/>
        <w:numPr>
          <w:ilvl w:val="0"/>
          <w:numId w:val="2"/>
        </w:numPr>
      </w:pPr>
      <w:r>
        <w:t>l</w:t>
      </w:r>
      <w:r w:rsidR="008C4C25">
        <w:t>ess</w:t>
      </w:r>
      <w:r w:rsidRPr="00EF5B32">
        <w:t xml:space="preserve"> </w:t>
      </w:r>
      <w:r w:rsidR="00EF5B32" w:rsidRPr="00EF5B32">
        <w:t>awareness of the value of bespoke courses.</w:t>
      </w:r>
    </w:p>
    <w:p w14:paraId="517865AA" w14:textId="00FE6606" w:rsidR="00B260D1" w:rsidRDefault="00981B1A" w:rsidP="00FB7B33">
      <w:pPr>
        <w:pStyle w:val="ListBullet"/>
        <w:numPr>
          <w:ilvl w:val="0"/>
          <w:numId w:val="2"/>
        </w:numPr>
      </w:pPr>
      <w:r w:rsidRPr="00981B1A">
        <w:lastRenderedPageBreak/>
        <w:t>The absence of a common language with which to describe the components of student learning and career pathways</w:t>
      </w:r>
      <w:r w:rsidR="000C7E03">
        <w:t>.</w:t>
      </w:r>
      <w:r w:rsidR="00DF07E2">
        <w:t xml:space="preserve"> This</w:t>
      </w:r>
      <w:r w:rsidRPr="00981B1A">
        <w:t xml:space="preserve"> was identified through the roundtable sessions as a key cause of the current disjointedness.</w:t>
      </w:r>
      <w:r w:rsidRPr="0085330C">
        <w:rPr>
          <w:rStyle w:val="Charactersuperscript"/>
        </w:rPr>
        <w:footnoteReference w:id="2"/>
      </w:r>
    </w:p>
    <w:p w14:paraId="62F09C62" w14:textId="16BC50E7" w:rsidR="00981B1A" w:rsidRPr="00981B1A" w:rsidRDefault="00981B1A" w:rsidP="00FB7B33">
      <w:pPr>
        <w:pStyle w:val="BodyText"/>
      </w:pPr>
      <w:r w:rsidRPr="00981B1A">
        <w:t>One issue raised consistently was credit transfer, which relies on a shared, systemic and operational understanding of course outcomes and their relationship to one another. Whilst credit transfer is not the sole motivator of the need for a common language, the National Skills Taxonomy can help to facilitate a national approach and thereby contribute to tertiary harmonisation.</w:t>
      </w:r>
    </w:p>
    <w:p w14:paraId="07FF638C" w14:textId="43C7C518" w:rsidR="002424D6" w:rsidRDefault="00870B6D" w:rsidP="00C369B2">
      <w:pPr>
        <w:pStyle w:val="BodyText"/>
      </w:pPr>
      <w:r>
        <w:t>While the</w:t>
      </w:r>
      <w:r w:rsidR="00270F66">
        <w:t>re are differences</w:t>
      </w:r>
      <w:r w:rsidR="00C369B2">
        <w:t xml:space="preserve"> between VET and </w:t>
      </w:r>
      <w:r w:rsidR="006E36F3">
        <w:t>Higher Education</w:t>
      </w:r>
      <w:r>
        <w:t xml:space="preserve"> that sometimes makes it hard to get the sectors to work together, there </w:t>
      </w:r>
      <w:r w:rsidR="00C369B2">
        <w:t xml:space="preserve">are important distinctions </w:t>
      </w:r>
      <w:r>
        <w:t>between the two sectors</w:t>
      </w:r>
      <w:r w:rsidR="00C369B2">
        <w:t xml:space="preserve"> that are rightly valued by students, staff</w:t>
      </w:r>
      <w:r w:rsidR="00D9534B">
        <w:t>, industry</w:t>
      </w:r>
      <w:r w:rsidR="00173548">
        <w:t xml:space="preserve"> </w:t>
      </w:r>
      <w:r w:rsidR="00C369B2">
        <w:t>and the community.</w:t>
      </w:r>
    </w:p>
    <w:p w14:paraId="1DEA8289" w14:textId="77777777" w:rsidR="00D96CD1" w:rsidRDefault="00CC1FB8" w:rsidP="00C369B2">
      <w:pPr>
        <w:pStyle w:val="BodyText"/>
      </w:pPr>
      <w:r>
        <w:t>It</w:t>
      </w:r>
      <w:r w:rsidR="00CE0D36">
        <w:t xml:space="preserve"> is important that the tertiary sector </w:t>
      </w:r>
      <w:r w:rsidR="006B0541">
        <w:t>demonstrate and enable the validity and value of all opportunities</w:t>
      </w:r>
      <w:r w:rsidR="00DC7F2F">
        <w:t xml:space="preserve"> and pathways through</w:t>
      </w:r>
      <w:r w:rsidR="005D5C47">
        <w:t xml:space="preserve"> either individual</w:t>
      </w:r>
      <w:r w:rsidR="000A5FB5">
        <w:t xml:space="preserve"> </w:t>
      </w:r>
      <w:r w:rsidR="006E36F3">
        <w:t>Higher Education</w:t>
      </w:r>
      <w:r w:rsidR="000A5FB5">
        <w:t xml:space="preserve"> and VET</w:t>
      </w:r>
      <w:r w:rsidR="005332A5">
        <w:t xml:space="preserve"> institutions</w:t>
      </w:r>
      <w:r w:rsidR="00C14E4E">
        <w:t xml:space="preserve"> or </w:t>
      </w:r>
      <w:r w:rsidR="000A5FB5">
        <w:t>both, in either direction.</w:t>
      </w:r>
    </w:p>
    <w:p w14:paraId="39B24E99" w14:textId="77777777" w:rsidR="00D96CD1" w:rsidRDefault="000A5FB5" w:rsidP="00C369B2">
      <w:pPr>
        <w:pStyle w:val="BodyText"/>
      </w:pPr>
      <w:r>
        <w:t xml:space="preserve">This will help ensure each individual is best positioned to meet their full potential, leverage their unique talents and </w:t>
      </w:r>
      <w:r w:rsidR="00023F1E">
        <w:t xml:space="preserve">bring </w:t>
      </w:r>
      <w:r w:rsidR="00B85EE4">
        <w:t xml:space="preserve">innovative combinations of knowledge and skills to </w:t>
      </w:r>
      <w:r w:rsidR="009317A9">
        <w:t>Australia's changing workforce.</w:t>
      </w:r>
    </w:p>
    <w:p w14:paraId="55234F14" w14:textId="77777777" w:rsidR="00D96CD1" w:rsidRDefault="00E94692" w:rsidP="0065030D">
      <w:pPr>
        <w:pStyle w:val="BodyText"/>
      </w:pPr>
      <w:r>
        <w:t xml:space="preserve">This requires </w:t>
      </w:r>
      <w:r w:rsidR="003B3017">
        <w:t xml:space="preserve">a roadmap to harmonisation that addresses structural distinctions that act as market levers or incentives </w:t>
      </w:r>
      <w:r w:rsidR="006A53BD">
        <w:t>to select</w:t>
      </w:r>
      <w:r w:rsidR="00662972">
        <w:t xml:space="preserve"> paths of study that are suboptimal for </w:t>
      </w:r>
      <w:r w:rsidR="00275BBE">
        <w:t>individual</w:t>
      </w:r>
      <w:r w:rsidR="00662972">
        <w:t xml:space="preserve"> </w:t>
      </w:r>
      <w:r w:rsidR="00275BBE">
        <w:t xml:space="preserve">students and, ultimately, for </w:t>
      </w:r>
      <w:r w:rsidR="00FD3881">
        <w:t>the labour market</w:t>
      </w:r>
      <w:r w:rsidR="00662972">
        <w:t>.</w:t>
      </w:r>
    </w:p>
    <w:p w14:paraId="0BF5E857" w14:textId="793DDBB9" w:rsidR="002E1BB0" w:rsidRPr="00A511C5" w:rsidRDefault="002E1BB0" w:rsidP="0065030D">
      <w:pPr>
        <w:pStyle w:val="BodyText"/>
        <w:rPr>
          <w:b/>
          <w:bCs/>
          <w:i/>
          <w:iCs/>
        </w:rPr>
      </w:pPr>
      <w:bookmarkStart w:id="29" w:name="_Toc189060413"/>
      <w:bookmarkStart w:id="30" w:name="_Toc189060503"/>
      <w:r w:rsidRPr="00A511C5">
        <w:rPr>
          <w:b/>
          <w:bCs/>
          <w:i/>
          <w:iCs/>
        </w:rPr>
        <w:t xml:space="preserve">Current VET and </w:t>
      </w:r>
      <w:r w:rsidR="006E36F3" w:rsidRPr="00A511C5">
        <w:rPr>
          <w:b/>
          <w:bCs/>
          <w:i/>
          <w:iCs/>
        </w:rPr>
        <w:t>Higher Education</w:t>
      </w:r>
      <w:r w:rsidRPr="00A511C5">
        <w:rPr>
          <w:b/>
          <w:bCs/>
          <w:i/>
          <w:iCs/>
        </w:rPr>
        <w:t xml:space="preserve"> reform context</w:t>
      </w:r>
      <w:bookmarkEnd w:id="29"/>
      <w:bookmarkEnd w:id="30"/>
      <w:r w:rsidR="004D3400" w:rsidRPr="00A511C5">
        <w:rPr>
          <w:b/>
          <w:bCs/>
          <w:i/>
          <w:iCs/>
        </w:rPr>
        <w:t>.</w:t>
      </w:r>
    </w:p>
    <w:p w14:paraId="3BCF8B43" w14:textId="77777777" w:rsidR="00D96CD1" w:rsidRDefault="002E1BB0" w:rsidP="002E1BB0">
      <w:pPr>
        <w:pStyle w:val="BodyText"/>
      </w:pPr>
      <w:r w:rsidRPr="009A1CBB">
        <w:t xml:space="preserve">A range of significant </w:t>
      </w:r>
      <w:r w:rsidR="00071D0B">
        <w:t xml:space="preserve">processes and </w:t>
      </w:r>
      <w:r w:rsidRPr="009A1CBB">
        <w:t xml:space="preserve">reforms </w:t>
      </w:r>
      <w:r w:rsidR="00BF22C3">
        <w:t>have been underway</w:t>
      </w:r>
      <w:r w:rsidR="00F34F09">
        <w:t>,</w:t>
      </w:r>
      <w:r w:rsidRPr="009A1CBB">
        <w:t xml:space="preserve"> </w:t>
      </w:r>
      <w:r w:rsidR="004D64EF">
        <w:t>making recommendations and starting</w:t>
      </w:r>
      <w:r w:rsidR="007F707E">
        <w:t xml:space="preserve"> to </w:t>
      </w:r>
      <w:r w:rsidR="007C152D">
        <w:t xml:space="preserve">address the disjointedness and support increasing demand for </w:t>
      </w:r>
      <w:r w:rsidR="006A108C">
        <w:t>harmonisation</w:t>
      </w:r>
      <w:r w:rsidRPr="009A1CBB">
        <w:t xml:space="preserve">. A common thread </w:t>
      </w:r>
      <w:r w:rsidR="00266DCF">
        <w:t>in</w:t>
      </w:r>
      <w:r w:rsidRPr="009A1CBB">
        <w:t xml:space="preserve"> these reform processes is the need for better connections between </w:t>
      </w:r>
      <w:r w:rsidR="00266DCF">
        <w:t>VET</w:t>
      </w:r>
      <w:r w:rsidRPr="009A1CBB">
        <w:t xml:space="preserve"> and </w:t>
      </w:r>
      <w:r w:rsidR="006E36F3">
        <w:t>Higher Education</w:t>
      </w:r>
      <w:r w:rsidRPr="009A1CBB">
        <w:t>.</w:t>
      </w:r>
    </w:p>
    <w:p w14:paraId="4DB60998" w14:textId="50828FB2" w:rsidR="002E1BB0" w:rsidRPr="00EF5B32" w:rsidRDefault="002E1BB0" w:rsidP="006761EB">
      <w:pPr>
        <w:pStyle w:val="Heading3"/>
      </w:pPr>
      <w:bookmarkStart w:id="31" w:name="_Toc189060414"/>
      <w:bookmarkStart w:id="32" w:name="_Toc189060504"/>
      <w:bookmarkStart w:id="33" w:name="_Toc189060762"/>
      <w:r w:rsidRPr="00EF5B32">
        <w:t>Inquiry into the Perceptions and Status of VET</w:t>
      </w:r>
      <w:bookmarkEnd w:id="31"/>
      <w:bookmarkEnd w:id="32"/>
      <w:bookmarkEnd w:id="33"/>
    </w:p>
    <w:p w14:paraId="40093D8B" w14:textId="77777777" w:rsidR="00FC3303" w:rsidRDefault="002E1BB0" w:rsidP="00946AF1">
      <w:pPr>
        <w:pStyle w:val="BodyText"/>
      </w:pPr>
      <w:r w:rsidRPr="009A1CBB">
        <w:t xml:space="preserve">The </w:t>
      </w:r>
      <w:r w:rsidRPr="00B80FF2">
        <w:rPr>
          <w:rStyle w:val="Characteritalic"/>
        </w:rPr>
        <w:t>Shared Vision, Equal Pathways</w:t>
      </w:r>
      <w:r w:rsidRPr="009A1CBB">
        <w:t xml:space="preserve"> report</w:t>
      </w:r>
      <w:r w:rsidR="00BE5E35">
        <w:t>,</w:t>
      </w:r>
      <w:r w:rsidRPr="009A1CBB">
        <w:t xml:space="preserve"> released in 2024 following the Inquiry into the Perceptions and Status of Vocational Education and Training, recommended that to meet the future skill needs of Australia</w:t>
      </w:r>
      <w:r w:rsidR="00A62462">
        <w:t>,</w:t>
      </w:r>
      <w:r w:rsidRPr="009A1CBB">
        <w:t xml:space="preserve"> a whole-of-tertiary system approach was required</w:t>
      </w:r>
      <w:r w:rsidR="00FC3303">
        <w:t>.</w:t>
      </w:r>
    </w:p>
    <w:p w14:paraId="43C34FBA" w14:textId="3F058FDA" w:rsidR="00946AF1" w:rsidRPr="009A1CBB" w:rsidRDefault="00FC3303" w:rsidP="00946AF1">
      <w:pPr>
        <w:pStyle w:val="BodyText"/>
      </w:pPr>
      <w:r>
        <w:t>W</w:t>
      </w:r>
      <w:r w:rsidR="002E1BB0" w:rsidRPr="009A1CBB">
        <w:t xml:space="preserve">hile activities to progress this existed, a dedicated roadmap should be developed </w:t>
      </w:r>
      <w:r w:rsidR="00BE5E35">
        <w:t xml:space="preserve">to guide further action </w:t>
      </w:r>
      <w:sdt>
        <w:sdtPr>
          <w:id w:val="-1180729581"/>
          <w:citation/>
        </w:sdtPr>
        <w:sdtContent>
          <w:r w:rsidR="002E1BB0" w:rsidRPr="009A1CBB">
            <w:fldChar w:fldCharType="begin"/>
          </w:r>
          <w:r w:rsidR="002E1BB0" w:rsidRPr="009A1CBB">
            <w:instrText xml:space="preserve">CITATION Hou24 \l 3081 </w:instrText>
          </w:r>
          <w:r w:rsidR="002E1BB0" w:rsidRPr="009A1CBB">
            <w:fldChar w:fldCharType="separate"/>
          </w:r>
          <w:r w:rsidR="00BD5991">
            <w:rPr>
              <w:noProof/>
            </w:rPr>
            <w:t>(House of Representatives Standing Committee on Employment, Education and Training, 2024)</w:t>
          </w:r>
          <w:r w:rsidR="002E1BB0" w:rsidRPr="009A1CBB">
            <w:fldChar w:fldCharType="end"/>
          </w:r>
        </w:sdtContent>
      </w:sdt>
      <w:r w:rsidR="002E1BB0" w:rsidRPr="009A1CBB">
        <w:t>.</w:t>
      </w:r>
      <w:r w:rsidR="00E85B5C">
        <w:t xml:space="preserve"> </w:t>
      </w:r>
      <w:r w:rsidR="00946AF1">
        <w:t>The Government has not</w:t>
      </w:r>
      <w:r w:rsidR="004668E7">
        <w:t xml:space="preserve"> y</w:t>
      </w:r>
      <w:r w:rsidR="006E6D73">
        <w:t xml:space="preserve">et responded to </w:t>
      </w:r>
      <w:r w:rsidR="0076036C">
        <w:t>the</w:t>
      </w:r>
      <w:r w:rsidR="00946AF1">
        <w:t xml:space="preserve"> recommendations.</w:t>
      </w:r>
    </w:p>
    <w:p w14:paraId="1A20CA78" w14:textId="77777777" w:rsidR="00D96CD1" w:rsidRDefault="00E120CF" w:rsidP="002E1BB0">
      <w:pPr>
        <w:pStyle w:val="BodyText"/>
      </w:pPr>
      <w:r>
        <w:t>VET being an equal partner in the harmonisation process</w:t>
      </w:r>
      <w:r w:rsidR="00F53941">
        <w:t xml:space="preserve"> </w:t>
      </w:r>
      <w:r w:rsidR="00933726">
        <w:t>will</w:t>
      </w:r>
      <w:r w:rsidR="00E85B5C">
        <w:t xml:space="preserve"> be an important element in raisin</w:t>
      </w:r>
      <w:r>
        <w:t>g the perceptions and status of VET.</w:t>
      </w:r>
    </w:p>
    <w:p w14:paraId="4DD7A997" w14:textId="5720A32D" w:rsidR="000A7C31" w:rsidRDefault="0070553E" w:rsidP="00A05585">
      <w:pPr>
        <w:pStyle w:val="BodyText"/>
      </w:pPr>
      <w:r>
        <w:t>The report</w:t>
      </w:r>
      <w:r w:rsidR="000A7C31">
        <w:t xml:space="preserve"> recommended that the Australian </w:t>
      </w:r>
      <w:r w:rsidR="00003AE7">
        <w:t>G</w:t>
      </w:r>
      <w:r w:rsidR="000A7C31">
        <w:t xml:space="preserve">overnment work with </w:t>
      </w:r>
      <w:r w:rsidR="00142F2E">
        <w:t xml:space="preserve">state </w:t>
      </w:r>
      <w:r w:rsidR="000A7C31">
        <w:t xml:space="preserve">and territory </w:t>
      </w:r>
      <w:r w:rsidR="00A4520C">
        <w:t>g</w:t>
      </w:r>
      <w:r w:rsidR="000A7C31">
        <w:t>overnments and other key stakeholders to define the roadmap</w:t>
      </w:r>
      <w:r w:rsidR="003A1114">
        <w:t xml:space="preserve">. </w:t>
      </w:r>
      <w:r w:rsidR="008475AA">
        <w:t>Amongst other things</w:t>
      </w:r>
      <w:r w:rsidR="0067580E">
        <w:t>, the roadmap</w:t>
      </w:r>
      <w:r w:rsidR="0066608D">
        <w:t xml:space="preserve"> s</w:t>
      </w:r>
      <w:r w:rsidR="000A7C31">
        <w:t>hould include</w:t>
      </w:r>
      <w:r w:rsidR="00A05585">
        <w:t xml:space="preserve"> reforming funding arrangements</w:t>
      </w:r>
      <w:r w:rsidR="0042522B">
        <w:t xml:space="preserve"> and</w:t>
      </w:r>
      <w:r w:rsidR="00A05585">
        <w:t xml:space="preserve"> developing guidelines for enhanced qualifications, including dual qualifications between VET and </w:t>
      </w:r>
      <w:r w:rsidR="006E36F3">
        <w:t>Higher Education</w:t>
      </w:r>
      <w:r w:rsidR="003A1114">
        <w:t>. It noted tha</w:t>
      </w:r>
      <w:r w:rsidR="005734F6">
        <w:t xml:space="preserve">t </w:t>
      </w:r>
      <w:r w:rsidR="003A1114">
        <w:t>the Universities Acco</w:t>
      </w:r>
      <w:r w:rsidR="005734F6">
        <w:t>r</w:t>
      </w:r>
      <w:r w:rsidR="003A1114">
        <w:t xml:space="preserve">d Final report </w:t>
      </w:r>
      <w:r w:rsidR="005734F6">
        <w:t xml:space="preserve">(see below), </w:t>
      </w:r>
      <w:r w:rsidR="003A1114">
        <w:t>ha</w:t>
      </w:r>
      <w:r w:rsidR="005734F6">
        <w:t>d</w:t>
      </w:r>
      <w:r w:rsidR="003A1114">
        <w:t xml:space="preserve"> </w:t>
      </w:r>
      <w:r w:rsidR="005734F6">
        <w:t>also made recommendations along these lines that should be implemented.</w:t>
      </w:r>
    </w:p>
    <w:p w14:paraId="572FD852" w14:textId="6FF40A7F" w:rsidR="002834D9" w:rsidRPr="009A1CBB" w:rsidRDefault="00C05408" w:rsidP="002E1BB0">
      <w:pPr>
        <w:pStyle w:val="BodyText"/>
      </w:pPr>
      <w:r>
        <w:lastRenderedPageBreak/>
        <w:t>The report</w:t>
      </w:r>
      <w:r w:rsidR="000A7C31">
        <w:t xml:space="preserve"> proposed the establishment of a</w:t>
      </w:r>
      <w:r w:rsidR="00986521">
        <w:t xml:space="preserve">n appropriate </w:t>
      </w:r>
      <w:r w:rsidR="004154A2">
        <w:t>governance structure</w:t>
      </w:r>
      <w:r w:rsidR="00C750F1">
        <w:t xml:space="preserve">, to oversee the development of the roadmap, with representatives </w:t>
      </w:r>
      <w:r w:rsidR="00B34290">
        <w:t xml:space="preserve">from </w:t>
      </w:r>
      <w:r w:rsidR="00142F2E">
        <w:t>the Australian and state and territory governments</w:t>
      </w:r>
      <w:r w:rsidR="00B34290">
        <w:t xml:space="preserve">, and from both the VET and </w:t>
      </w:r>
      <w:r w:rsidR="006E36F3">
        <w:t>Higher Education</w:t>
      </w:r>
      <w:r w:rsidR="008D6F32" w:rsidRPr="00EA1879">
        <w:t xml:space="preserve"> </w:t>
      </w:r>
      <w:r w:rsidR="00B34290">
        <w:t>sectors</w:t>
      </w:r>
      <w:r w:rsidR="00807937">
        <w:t xml:space="preserve"> (Recommendation</w:t>
      </w:r>
      <w:r w:rsidR="00246062">
        <w:t>s</w:t>
      </w:r>
      <w:r w:rsidR="00807937">
        <w:t xml:space="preserve"> 1</w:t>
      </w:r>
      <w:r w:rsidR="000B721C">
        <w:t>,</w:t>
      </w:r>
      <w:r w:rsidR="000B721C" w:rsidRPr="00872F9A">
        <w:t>2</w:t>
      </w:r>
      <w:r w:rsidR="005B0210">
        <w:t xml:space="preserve"> </w:t>
      </w:r>
      <w:r w:rsidR="00246062" w:rsidRPr="00872F9A">
        <w:t>and</w:t>
      </w:r>
      <w:r w:rsidR="00246062">
        <w:t xml:space="preserve"> </w:t>
      </w:r>
      <w:r w:rsidR="004A075D">
        <w:t>3</w:t>
      </w:r>
      <w:r w:rsidR="00807937">
        <w:t>)</w:t>
      </w:r>
      <w:r w:rsidR="00B34290">
        <w:t>.</w:t>
      </w:r>
    </w:p>
    <w:p w14:paraId="04EA8475" w14:textId="77777777" w:rsidR="00D96CD1" w:rsidRDefault="002E1BB0" w:rsidP="00D20786">
      <w:pPr>
        <w:pStyle w:val="Heading3"/>
        <w:rPr>
          <w:rStyle w:val="Characterbolditalic"/>
          <w:b/>
          <w:i w:val="0"/>
        </w:rPr>
      </w:pPr>
      <w:bookmarkStart w:id="34" w:name="_Toc189060415"/>
      <w:bookmarkStart w:id="35" w:name="_Toc189060505"/>
      <w:bookmarkStart w:id="36" w:name="_Toc189060763"/>
      <w:r w:rsidRPr="00D20786">
        <w:rPr>
          <w:rStyle w:val="Characterbolditalic"/>
          <w:b/>
          <w:i w:val="0"/>
        </w:rPr>
        <w:t xml:space="preserve">2024 </w:t>
      </w:r>
      <w:r w:rsidR="00C650D9" w:rsidRPr="00D20786">
        <w:rPr>
          <w:rStyle w:val="Characterbolditalic"/>
          <w:b/>
          <w:i w:val="0"/>
        </w:rPr>
        <w:t>VET</w:t>
      </w:r>
      <w:r w:rsidR="00794DC8" w:rsidRPr="00D20786">
        <w:rPr>
          <w:rStyle w:val="Characterbolditalic"/>
          <w:b/>
          <w:i w:val="0"/>
        </w:rPr>
        <w:t xml:space="preserve"> </w:t>
      </w:r>
      <w:r w:rsidRPr="00D20786">
        <w:rPr>
          <w:rStyle w:val="Characterbolditalic"/>
          <w:b/>
          <w:i w:val="0"/>
        </w:rPr>
        <w:t>Qualification reform</w:t>
      </w:r>
      <w:bookmarkEnd w:id="34"/>
      <w:bookmarkEnd w:id="35"/>
      <w:bookmarkEnd w:id="36"/>
    </w:p>
    <w:p w14:paraId="574A7E27" w14:textId="2F770AEA" w:rsidR="002E1BB0" w:rsidRPr="009A1CBB" w:rsidRDefault="002E1BB0" w:rsidP="002E1BB0">
      <w:pPr>
        <w:pStyle w:val="BodyText"/>
      </w:pPr>
      <w:r w:rsidRPr="009A1CBB">
        <w:t>On 6 December 2024, the Qualification Reform Design Group presented their final advice for consideration by the Skills and Workforce Ministerial Council, developed through a tripartite lens and in collaboration with Jobs and Skills Councils, states and territories, and key stakeholders, on how to make progress on advancing VET qualification reform.</w:t>
      </w:r>
    </w:p>
    <w:p w14:paraId="5FD67861" w14:textId="77777777" w:rsidR="002E1BB0" w:rsidRPr="009A1CBB" w:rsidRDefault="002E1BB0" w:rsidP="002E1BB0">
      <w:pPr>
        <w:pStyle w:val="BodyText"/>
      </w:pPr>
      <w:r w:rsidRPr="009A1CBB">
        <w:t>Expanding on initial advice delivered in March 2024, the proposed model shifts away from the current ‘one size fits all’ approach, to a purpose-driven system guided by design principles and informed by data and evidence to support the development of each qualification.</w:t>
      </w:r>
    </w:p>
    <w:p w14:paraId="7BBE6187" w14:textId="77777777" w:rsidR="00D96CD1" w:rsidRDefault="002E1BB0" w:rsidP="002E1BB0">
      <w:pPr>
        <w:pStyle w:val="BodyText"/>
      </w:pPr>
      <w:r w:rsidRPr="009A1CBB">
        <w:t>The advice included a need to increase connectivity between sectors to support lifelong learning and subsequent career mobility,</w:t>
      </w:r>
      <w:r w:rsidR="00DB3967">
        <w:t xml:space="preserve"> especially in</w:t>
      </w:r>
      <w:r w:rsidR="00B00F6C">
        <w:t xml:space="preserve"> changing environment with </w:t>
      </w:r>
      <w:r w:rsidR="009C3C89">
        <w:t>a growing number of emerging job roles,</w:t>
      </w:r>
      <w:r w:rsidRPr="009A1CBB">
        <w:t xml:space="preserve"> allowing individuals to build on existing skills and knowledge and avoid duplication</w:t>
      </w:r>
      <w:r w:rsidR="00BD3002">
        <w:t xml:space="preserve"> </w:t>
      </w:r>
      <w:sdt>
        <w:sdtPr>
          <w:id w:val="-1479451518"/>
          <w:citation/>
        </w:sdtPr>
        <w:sdtContent>
          <w:r w:rsidR="00BC4FED">
            <w:fldChar w:fldCharType="begin"/>
          </w:r>
          <w:r w:rsidR="00BC4FED">
            <w:instrText xml:space="preserve">CITATION Dep24 \l 3081 </w:instrText>
          </w:r>
          <w:r w:rsidR="00BC4FED">
            <w:fldChar w:fldCharType="separate"/>
          </w:r>
          <w:r w:rsidR="00BC4FED">
            <w:fldChar w:fldCharType="end"/>
          </w:r>
        </w:sdtContent>
      </w:sdt>
      <w:r w:rsidRPr="009A1CBB">
        <w:t>.</w:t>
      </w:r>
    </w:p>
    <w:p w14:paraId="6FE63057" w14:textId="7E436D20" w:rsidR="005207A5" w:rsidRDefault="00175C74" w:rsidP="002E1BB0">
      <w:pPr>
        <w:pStyle w:val="BodyText"/>
      </w:pPr>
      <w:r>
        <w:t>This qualif</w:t>
      </w:r>
      <w:r w:rsidR="00351245">
        <w:t>i</w:t>
      </w:r>
      <w:r>
        <w:t xml:space="preserve">cation reform agenda is a major step forward in </w:t>
      </w:r>
      <w:r w:rsidR="00351245">
        <w:t xml:space="preserve">enabling greater harmonisation of VET and </w:t>
      </w:r>
      <w:r w:rsidR="006E36F3">
        <w:t>Higher Education</w:t>
      </w:r>
      <w:r w:rsidR="00E17328">
        <w:t xml:space="preserve"> and</w:t>
      </w:r>
      <w:r w:rsidR="0079197B">
        <w:t xml:space="preserve"> supporting the development of a common language around knowledge</w:t>
      </w:r>
      <w:r w:rsidR="007714F4">
        <w:t xml:space="preserve">, </w:t>
      </w:r>
      <w:r w:rsidR="0079197B">
        <w:t>skills</w:t>
      </w:r>
      <w:r w:rsidR="007714F4">
        <w:t xml:space="preserve"> and applications</w:t>
      </w:r>
      <w:r w:rsidR="0079197B">
        <w:t xml:space="preserve">, that will increase the complementarity of VET and </w:t>
      </w:r>
      <w:r w:rsidR="006E36F3">
        <w:t>Higher Education</w:t>
      </w:r>
      <w:r w:rsidR="0079197B">
        <w:t xml:space="preserve">. </w:t>
      </w:r>
      <w:r w:rsidR="00A83ECB">
        <w:t>It</w:t>
      </w:r>
      <w:r w:rsidR="006A76E8">
        <w:t xml:space="preserve"> </w:t>
      </w:r>
      <w:r w:rsidR="00A83ECB">
        <w:t xml:space="preserve">will also </w:t>
      </w:r>
      <w:r w:rsidR="00A83ECB" w:rsidRPr="00DF60D7">
        <w:t>p</w:t>
      </w:r>
      <w:r w:rsidR="00100562">
        <w:t>l</w:t>
      </w:r>
      <w:r w:rsidR="00A83ECB" w:rsidRPr="00DF60D7">
        <w:t>ay</w:t>
      </w:r>
      <w:r w:rsidR="00A83ECB">
        <w:t xml:space="preserve"> an important role in enhancing </w:t>
      </w:r>
      <w:r w:rsidR="00C70D3B">
        <w:t>t</w:t>
      </w:r>
      <w:r w:rsidR="00A83ECB">
        <w:t>he perception</w:t>
      </w:r>
      <w:r w:rsidR="006A76E8">
        <w:t>s</w:t>
      </w:r>
      <w:r w:rsidR="00A83ECB">
        <w:t xml:space="preserve"> and status of VET </w:t>
      </w:r>
      <w:r w:rsidR="006A76E8">
        <w:t xml:space="preserve">and support its ability to </w:t>
      </w:r>
      <w:r w:rsidR="00BC0053">
        <w:t xml:space="preserve">be an equal partner with </w:t>
      </w:r>
      <w:r w:rsidR="006E36F3">
        <w:t>Higher Education</w:t>
      </w:r>
      <w:r w:rsidR="00BC0053">
        <w:t xml:space="preserve"> in the harmonisat</w:t>
      </w:r>
      <w:r w:rsidR="00C650D9">
        <w:t>i</w:t>
      </w:r>
      <w:r w:rsidR="00BC0053">
        <w:t>on process.</w:t>
      </w:r>
    </w:p>
    <w:p w14:paraId="1A3F4322" w14:textId="77777777" w:rsidR="004A5255" w:rsidRPr="00ED7C8A" w:rsidRDefault="004A5255" w:rsidP="00DF60D7">
      <w:pPr>
        <w:pStyle w:val="BodyText"/>
      </w:pPr>
      <w:r w:rsidRPr="00ED7C8A">
        <w:t>Skills Ministers have agreed to a new, purpose-based approach to VET qualifications design, to be supported by an updated Training Package Organising Framework that reflects the new model and design principles. Reforming Australia’s system of VET qualifications will be undertaken through a phased approach, with new training package templates becoming available for use by developers from 1 July 2025.</w:t>
      </w:r>
    </w:p>
    <w:p w14:paraId="26B051E6" w14:textId="77777777" w:rsidR="002E1BB0" w:rsidRPr="00DC5A25" w:rsidRDefault="002E1BB0" w:rsidP="00DC5A25">
      <w:pPr>
        <w:pStyle w:val="Heading3"/>
        <w:rPr>
          <w:rStyle w:val="Characterbolditalic"/>
          <w:b/>
          <w:i w:val="0"/>
        </w:rPr>
      </w:pPr>
      <w:bookmarkStart w:id="37" w:name="_Toc189060416"/>
      <w:bookmarkStart w:id="38" w:name="_Toc189060506"/>
      <w:bookmarkStart w:id="39" w:name="_Toc189060764"/>
      <w:r w:rsidRPr="00DC5A25">
        <w:rPr>
          <w:rStyle w:val="Characterbolditalic"/>
          <w:b/>
          <w:i w:val="0"/>
        </w:rPr>
        <w:t>Australian Universities Accord</w:t>
      </w:r>
      <w:bookmarkEnd w:id="37"/>
      <w:bookmarkEnd w:id="38"/>
      <w:bookmarkEnd w:id="39"/>
    </w:p>
    <w:p w14:paraId="73C3A1C8" w14:textId="77777777" w:rsidR="00D96CD1" w:rsidRDefault="00C650D9" w:rsidP="00B80FF2">
      <w:pPr>
        <w:pStyle w:val="BodyText"/>
      </w:pPr>
      <w:r>
        <w:t>Also in 2024, just as the VET Qualification Reform agen</w:t>
      </w:r>
      <w:r w:rsidR="00C5017F">
        <w:t>d</w:t>
      </w:r>
      <w:r>
        <w:t>a</w:t>
      </w:r>
      <w:r w:rsidR="00C5017F">
        <w:t xml:space="preserve"> involve</w:t>
      </w:r>
      <w:r w:rsidR="007C3B03">
        <w:t>d</w:t>
      </w:r>
      <w:r w:rsidR="00C5017F">
        <w:t xml:space="preserve"> placing emphasis on the knowledge needed to support the skills that are needed, the </w:t>
      </w:r>
      <w:r w:rsidR="00F616C3">
        <w:t xml:space="preserve">Australian </w:t>
      </w:r>
      <w:r w:rsidR="00C5017F">
        <w:t>University Accord final report</w:t>
      </w:r>
      <w:r w:rsidR="005E2F23">
        <w:t xml:space="preserve"> </w:t>
      </w:r>
      <w:sdt>
        <w:sdtPr>
          <w:id w:val="1170980994"/>
          <w:citation/>
        </w:sdtPr>
        <w:sdtContent>
          <w:r w:rsidR="00C5017F" w:rsidRPr="00C5017F">
            <w:rPr>
              <w:lang w:val="en-US"/>
            </w:rPr>
            <w:fldChar w:fldCharType="begin"/>
          </w:r>
          <w:r w:rsidR="00C5017F" w:rsidRPr="00C5017F">
            <w:instrText xml:space="preserve"> CITATION Com241 \l 3081 </w:instrText>
          </w:r>
          <w:r w:rsidR="00C5017F" w:rsidRPr="00C5017F">
            <w:rPr>
              <w:lang w:val="en-US"/>
            </w:rPr>
            <w:fldChar w:fldCharType="separate"/>
          </w:r>
          <w:r w:rsidR="00BD5991">
            <w:rPr>
              <w:noProof/>
            </w:rPr>
            <w:t>(Department of Education, 2024)</w:t>
          </w:r>
          <w:r w:rsidR="00C5017F" w:rsidRPr="00C5017F">
            <w:fldChar w:fldCharType="end"/>
          </w:r>
        </w:sdtContent>
      </w:sdt>
      <w:r w:rsidR="00C5017F" w:rsidRPr="00C5017F">
        <w:t>,</w:t>
      </w:r>
      <w:r w:rsidR="00C5017F">
        <w:t xml:space="preserve"> argued that </w:t>
      </w:r>
      <w:r w:rsidR="006E36F3">
        <w:t>Higher Education</w:t>
      </w:r>
      <w:r w:rsidR="00C5017F">
        <w:t xml:space="preserve"> should place greater emphasis on</w:t>
      </w:r>
      <w:r w:rsidR="000C7E1C">
        <w:t>, and clarity about</w:t>
      </w:r>
      <w:r w:rsidR="003E76E7">
        <w:t>,</w:t>
      </w:r>
      <w:r w:rsidR="000C7E1C">
        <w:t xml:space="preserve"> </w:t>
      </w:r>
      <w:r w:rsidR="00C5017F">
        <w:t>skill dev</w:t>
      </w:r>
      <w:r w:rsidR="000C7E1C">
        <w:t>e</w:t>
      </w:r>
      <w:r w:rsidR="00C5017F">
        <w:t>l</w:t>
      </w:r>
      <w:r w:rsidR="000C7E1C">
        <w:t>o</w:t>
      </w:r>
      <w:r w:rsidR="00C5017F">
        <w:t>pment</w:t>
      </w:r>
      <w:r w:rsidR="003E76E7">
        <w:t>.</w:t>
      </w:r>
    </w:p>
    <w:p w14:paraId="6DBF6F22" w14:textId="67925494" w:rsidR="00BC0053" w:rsidRPr="00B80FF2" w:rsidRDefault="003E76E7" w:rsidP="00B80FF2">
      <w:pPr>
        <w:pStyle w:val="BodyText"/>
      </w:pPr>
      <w:r>
        <w:t>I</w:t>
      </w:r>
      <w:r w:rsidR="000C7E1C">
        <w:t xml:space="preserve">n </w:t>
      </w:r>
      <w:r w:rsidR="006E36F3">
        <w:t>Higher Education</w:t>
      </w:r>
      <w:r w:rsidR="000C7E1C">
        <w:t>,</w:t>
      </w:r>
      <w:r w:rsidR="007D7467">
        <w:t xml:space="preserve"> </w:t>
      </w:r>
      <w:r w:rsidR="00AB3D5F">
        <w:t>this included</w:t>
      </w:r>
      <w:r w:rsidR="007D7467">
        <w:t xml:space="preserve"> recommending the development by JSA of a National Skills taxonomy, t</w:t>
      </w:r>
      <w:r w:rsidR="005B58AE">
        <w:t>h</w:t>
      </w:r>
      <w:r w:rsidR="007D7467">
        <w:t xml:space="preserve">at can be used by both </w:t>
      </w:r>
      <w:r w:rsidR="006E36F3">
        <w:t>Higher Education</w:t>
      </w:r>
      <w:r w:rsidR="007D7467">
        <w:t xml:space="preserve"> and VET providers. This will </w:t>
      </w:r>
      <w:r w:rsidR="00322C68">
        <w:t xml:space="preserve">also </w:t>
      </w:r>
      <w:r w:rsidR="007D7467">
        <w:t>support the tertiary h</w:t>
      </w:r>
      <w:r w:rsidR="005B58AE">
        <w:t>a</w:t>
      </w:r>
      <w:r w:rsidR="007D7467">
        <w:t>rmonisat</w:t>
      </w:r>
      <w:r w:rsidR="005B58AE">
        <w:t>i</w:t>
      </w:r>
      <w:r w:rsidR="007D7467">
        <w:t>on process.</w:t>
      </w:r>
    </w:p>
    <w:p w14:paraId="1F8A7E3F" w14:textId="77777777" w:rsidR="00D96CD1" w:rsidRDefault="00FF3395" w:rsidP="002E1BB0">
      <w:pPr>
        <w:pStyle w:val="BodyText"/>
      </w:pPr>
      <w:r>
        <w:t>T</w:t>
      </w:r>
      <w:r w:rsidR="002E1BB0" w:rsidRPr="009A1CBB">
        <w:t>he report</w:t>
      </w:r>
      <w:r w:rsidR="003F05EA">
        <w:t>,</w:t>
      </w:r>
      <w:r w:rsidR="002E1BB0" w:rsidRPr="009A1CBB">
        <w:t xml:space="preserve"> which reviewed the </w:t>
      </w:r>
      <w:r w:rsidR="006E36F3">
        <w:t>Higher Education</w:t>
      </w:r>
      <w:r w:rsidR="002E1BB0" w:rsidRPr="009A1CBB">
        <w:t xml:space="preserve"> sector, argued for drawing together </w:t>
      </w:r>
      <w:r w:rsidR="006E36F3">
        <w:t>Higher Education</w:t>
      </w:r>
      <w:r w:rsidR="002E1BB0" w:rsidRPr="009A1CBB">
        <w:t xml:space="preserve"> and VET into a more cohesive tertiary system. It acknowledged that ‘‘pathways between </w:t>
      </w:r>
      <w:r w:rsidR="00573490">
        <w:t>V</w:t>
      </w:r>
      <w:r w:rsidR="002E1BB0" w:rsidRPr="009A1CBB">
        <w:t xml:space="preserve">ocational </w:t>
      </w:r>
      <w:r w:rsidR="00573490">
        <w:t>E</w:t>
      </w:r>
      <w:r w:rsidR="002E1BB0" w:rsidRPr="009A1CBB">
        <w:t xml:space="preserve">ducation and </w:t>
      </w:r>
      <w:r w:rsidR="00573490">
        <w:t>T</w:t>
      </w:r>
      <w:r w:rsidR="002E1BB0" w:rsidRPr="009A1CBB">
        <w:t xml:space="preserve">raining and </w:t>
      </w:r>
      <w:r w:rsidR="006E36F3">
        <w:t>Higher Education</w:t>
      </w:r>
      <w:r w:rsidR="002E1BB0" w:rsidRPr="009A1CBB">
        <w:t xml:space="preserve"> are currently fragmented and misaligned, making navigation across sectors very difficult”</w:t>
      </w:r>
      <w:sdt>
        <w:sdtPr>
          <w:id w:val="-1988930532"/>
          <w:citation/>
        </w:sdtPr>
        <w:sdtContent>
          <w:r w:rsidR="00F2435C">
            <w:fldChar w:fldCharType="begin"/>
          </w:r>
          <w:r w:rsidR="00EF7AC2">
            <w:instrText xml:space="preserve">CITATION Com241 \p 91 \l 3081 </w:instrText>
          </w:r>
          <w:r w:rsidR="00F2435C">
            <w:fldChar w:fldCharType="separate"/>
          </w:r>
          <w:r w:rsidR="00BD5991">
            <w:rPr>
              <w:noProof/>
            </w:rPr>
            <w:t xml:space="preserve"> (Department of Education, 2024, p. 91)</w:t>
          </w:r>
          <w:r w:rsidR="00F2435C">
            <w:fldChar w:fldCharType="end"/>
          </w:r>
        </w:sdtContent>
      </w:sdt>
      <w:r w:rsidR="002E1BB0" w:rsidRPr="009A1CBB">
        <w:t>.</w:t>
      </w:r>
    </w:p>
    <w:p w14:paraId="67B789CD" w14:textId="77777777" w:rsidR="00D96CD1" w:rsidRDefault="002E1BB0" w:rsidP="002E1BB0">
      <w:pPr>
        <w:pStyle w:val="BodyText"/>
      </w:pPr>
      <w:r w:rsidRPr="009A1CBB">
        <w:t>The Accord endorsed the</w:t>
      </w:r>
      <w:r w:rsidR="006E2163">
        <w:t xml:space="preserve"> broad</w:t>
      </w:r>
      <w:r w:rsidRPr="009A1CBB">
        <w:t xml:space="preserve"> direction of the 2019 Noonan Review of the AQF, which </w:t>
      </w:r>
      <w:r w:rsidR="006E2163">
        <w:t xml:space="preserve">suggested that </w:t>
      </w:r>
      <w:r w:rsidR="00A2150E">
        <w:t>some aspects</w:t>
      </w:r>
      <w:r w:rsidRPr="009A1CBB">
        <w:t xml:space="preserve"> of th</w:t>
      </w:r>
      <w:r w:rsidR="00D9534B">
        <w:t>e</w:t>
      </w:r>
      <w:r w:rsidRPr="009A1CBB">
        <w:t xml:space="preserve"> AQF</w:t>
      </w:r>
      <w:r w:rsidR="004E5B76">
        <w:t xml:space="preserve"> acted as</w:t>
      </w:r>
      <w:r w:rsidR="004E5B76" w:rsidRPr="009A1CBB">
        <w:t xml:space="preserve"> </w:t>
      </w:r>
      <w:r w:rsidRPr="009A1CBB">
        <w:t xml:space="preserve">an impediment to </w:t>
      </w:r>
      <w:r w:rsidR="004E5B76">
        <w:t xml:space="preserve">a </w:t>
      </w:r>
      <w:r w:rsidRPr="009A1CBB">
        <w:t xml:space="preserve">more </w:t>
      </w:r>
      <w:r w:rsidR="0000293E">
        <w:t>harmonised</w:t>
      </w:r>
      <w:r w:rsidRPr="009A1CBB">
        <w:t xml:space="preserve"> </w:t>
      </w:r>
      <w:r w:rsidRPr="009A1CBB">
        <w:lastRenderedPageBreak/>
        <w:t xml:space="preserve">tertiary system. The reforms the Accord proposed seek a more flexible </w:t>
      </w:r>
      <w:r w:rsidR="00D9534B">
        <w:t xml:space="preserve">and fit-for-purpose </w:t>
      </w:r>
      <w:r w:rsidRPr="009A1CBB">
        <w:t>approach to qualifications design and a more joined up tertiary system.</w:t>
      </w:r>
    </w:p>
    <w:p w14:paraId="2DD19C33" w14:textId="2FEE6578" w:rsidR="000E67A4" w:rsidRDefault="002E1BB0" w:rsidP="00CB0C2A">
      <w:pPr>
        <w:pStyle w:val="BodyText"/>
      </w:pPr>
      <w:r w:rsidRPr="009A1CBB">
        <w:t xml:space="preserve">The Accord proposed a whole of tertiary attainment target of “80 per cent of the working age population achieving a tertiary education by 2050” </w:t>
      </w:r>
      <w:sdt>
        <w:sdtPr>
          <w:id w:val="-884411765"/>
          <w:citation/>
        </w:sdtPr>
        <w:sdtContent>
          <w:r w:rsidR="00D30475">
            <w:fldChar w:fldCharType="begin"/>
          </w:r>
          <w:r w:rsidR="00D30475">
            <w:instrText xml:space="preserve">CITATION Com241 \p 70 \l 3081 </w:instrText>
          </w:r>
          <w:r w:rsidR="00D30475">
            <w:fldChar w:fldCharType="separate"/>
          </w:r>
          <w:r w:rsidR="00BD5991">
            <w:rPr>
              <w:noProof/>
            </w:rPr>
            <w:t>(Department of Education, 2024, p. 70)</w:t>
          </w:r>
          <w:r w:rsidR="00D30475">
            <w:fldChar w:fldCharType="end"/>
          </w:r>
        </w:sdtContent>
      </w:sdt>
      <w:r w:rsidRPr="009A1CBB">
        <w:t xml:space="preserve">, acknowledging </w:t>
      </w:r>
      <w:r w:rsidRPr="009A1CBB" w:rsidDel="004C113A">
        <w:t>“</w:t>
      </w:r>
      <w:r w:rsidRPr="009A1CBB">
        <w:t>the role that a more integrated tertiary education system will play in meeting skills demand and the need to foster greater parity of esteem between the two sectors</w:t>
      </w:r>
      <w:r w:rsidRPr="009A1CBB" w:rsidDel="004C113A">
        <w:t>”</w:t>
      </w:r>
      <w:sdt>
        <w:sdtPr>
          <w:id w:val="739068974"/>
          <w:citation/>
        </w:sdtPr>
        <w:sdtContent>
          <w:r w:rsidR="00D30475">
            <w:fldChar w:fldCharType="begin"/>
          </w:r>
          <w:r w:rsidR="00D30475">
            <w:instrText xml:space="preserve">CITATION Com241 \p 69 \l 3081 </w:instrText>
          </w:r>
          <w:r w:rsidR="00D30475">
            <w:fldChar w:fldCharType="separate"/>
          </w:r>
          <w:r w:rsidR="00BD5991">
            <w:rPr>
              <w:noProof/>
            </w:rPr>
            <w:t xml:space="preserve"> (Department of Education, 2024, p. 69)</w:t>
          </w:r>
          <w:r w:rsidR="00D30475">
            <w:fldChar w:fldCharType="end"/>
          </w:r>
        </w:sdtContent>
      </w:sdt>
      <w:r w:rsidR="00D30475">
        <w:t>.</w:t>
      </w:r>
    </w:p>
    <w:p w14:paraId="6FF2EC5F" w14:textId="77777777" w:rsidR="00D96CD1" w:rsidRDefault="002E1BB0" w:rsidP="00DC5A25">
      <w:pPr>
        <w:pStyle w:val="Heading3"/>
        <w:rPr>
          <w:rStyle w:val="Characterbolditalic"/>
          <w:b/>
          <w:i w:val="0"/>
        </w:rPr>
      </w:pPr>
      <w:bookmarkStart w:id="40" w:name="_Toc189060417"/>
      <w:bookmarkStart w:id="41" w:name="_Toc189060507"/>
      <w:bookmarkStart w:id="42" w:name="_Toc189060765"/>
      <w:r w:rsidRPr="00DC5A25">
        <w:rPr>
          <w:rStyle w:val="Characterbolditalic"/>
          <w:b/>
          <w:i w:val="0"/>
        </w:rPr>
        <w:t>National Skills Agreement and the National Skills Plan</w:t>
      </w:r>
      <w:bookmarkEnd w:id="40"/>
      <w:bookmarkEnd w:id="41"/>
      <w:bookmarkEnd w:id="42"/>
    </w:p>
    <w:p w14:paraId="3BE593ED" w14:textId="77777777" w:rsidR="00D96CD1" w:rsidRDefault="002E1BB0" w:rsidP="002E1BB0">
      <w:pPr>
        <w:pStyle w:val="BodyText"/>
      </w:pPr>
      <w:r w:rsidRPr="009A1CBB">
        <w:t xml:space="preserve">A five-year National Skills Agreement </w:t>
      </w:r>
      <w:r w:rsidR="00C318C6">
        <w:t xml:space="preserve">(NSA) </w:t>
      </w:r>
      <w:r w:rsidRPr="009A1CBB">
        <w:t xml:space="preserve">was signed by the </w:t>
      </w:r>
      <w:r w:rsidR="00142F2E">
        <w:t>Australian and state and territory government</w:t>
      </w:r>
      <w:r w:rsidRPr="009A1CBB">
        <w:t>s in 2024 to enable a coherent, high quality and supported VET sector</w:t>
      </w:r>
      <w:sdt>
        <w:sdtPr>
          <w:id w:val="1945186481"/>
          <w:citation/>
        </w:sdtPr>
        <w:sdtContent>
          <w:r w:rsidR="008C0FF6">
            <w:fldChar w:fldCharType="begin"/>
          </w:r>
          <w:r w:rsidR="008C0FF6">
            <w:instrText xml:space="preserve"> CITATION Aus23 \l 3081 </w:instrText>
          </w:r>
          <w:r w:rsidR="008C0FF6">
            <w:fldChar w:fldCharType="separate"/>
          </w:r>
          <w:r w:rsidR="00BD5991">
            <w:rPr>
              <w:noProof/>
            </w:rPr>
            <w:t xml:space="preserve"> (Australian and State and Territory Governments, 2023)</w:t>
          </w:r>
          <w:r w:rsidR="008C0FF6">
            <w:fldChar w:fldCharType="end"/>
          </w:r>
        </w:sdtContent>
      </w:sdt>
      <w:r w:rsidRPr="009A1CBB">
        <w:t>. The purpose of the agreement is to support Australian labour market needs now and as they change, boosting productivity by ensuring robust training is available in all key skill areas.</w:t>
      </w:r>
    </w:p>
    <w:p w14:paraId="2FE1E40F" w14:textId="53B0ACE4" w:rsidR="002E1BB0" w:rsidRPr="009A1CBB" w:rsidRDefault="002E1BB0" w:rsidP="002E1BB0">
      <w:pPr>
        <w:pStyle w:val="BodyText"/>
      </w:pPr>
      <w:r w:rsidRPr="009A1CBB">
        <w:t xml:space="preserve">This will enable access to stable, well-paid jobs and facilitate transitions in industries, especially for those currently undergoing major changes. The National Skills Plan, developed as part of the NSA, includes a shared commitment to increasing collaboration and harmonisation between VET and </w:t>
      </w:r>
      <w:r w:rsidR="006E36F3">
        <w:t>Higher Education</w:t>
      </w:r>
      <w:r w:rsidRPr="009A1CBB">
        <w:t>. </w:t>
      </w:r>
      <w:r w:rsidR="0089763F">
        <w:t>For example</w:t>
      </w:r>
      <w:r w:rsidR="00A43B79">
        <w:t>,</w:t>
      </w:r>
      <w:r w:rsidR="0089763F">
        <w:t xml:space="preserve"> it establishes TAFE Centres of Excellence</w:t>
      </w:r>
      <w:r w:rsidR="00A43B79">
        <w:t xml:space="preserve"> in areas of national significance, which will collaborate with universities in a joined-up approach to dealing with important national challenges such as the clean energy transformation.</w:t>
      </w:r>
    </w:p>
    <w:p w14:paraId="07F6D491" w14:textId="456159F8" w:rsidR="002E1BB0" w:rsidRPr="00DC5A25" w:rsidRDefault="002E1BB0" w:rsidP="00DC5A25">
      <w:pPr>
        <w:pStyle w:val="Heading3"/>
      </w:pPr>
      <w:bookmarkStart w:id="43" w:name="_Toc189060418"/>
      <w:bookmarkStart w:id="44" w:name="_Toc189060508"/>
      <w:bookmarkStart w:id="45" w:name="_Toc189060766"/>
      <w:r w:rsidRPr="00DC5A25">
        <w:t xml:space="preserve">Tertiary Harmonisation Budget </w:t>
      </w:r>
      <w:bookmarkEnd w:id="43"/>
      <w:bookmarkEnd w:id="44"/>
      <w:bookmarkEnd w:id="45"/>
      <w:r w:rsidRPr="00DC5A25">
        <w:t>Measure</w:t>
      </w:r>
    </w:p>
    <w:p w14:paraId="59FA4C82" w14:textId="77777777" w:rsidR="00D96CD1" w:rsidRDefault="002E1BB0" w:rsidP="002E1BB0">
      <w:pPr>
        <w:pStyle w:val="BodyText"/>
      </w:pPr>
      <w:r w:rsidRPr="00172BF6">
        <w:t xml:space="preserve">This report </w:t>
      </w:r>
      <w:r>
        <w:t xml:space="preserve">complements an existing co-ordinated response by Government to tertiary harmonisation. </w:t>
      </w:r>
      <w:r w:rsidRPr="001F5CB8">
        <w:t>Through the 2024-25 Federal Budget the Australian Government committed $27.7 million to improve tertiary collaboration in response to the recommendations of the Australia</w:t>
      </w:r>
      <w:r w:rsidR="00453A14">
        <w:t>n</w:t>
      </w:r>
      <w:r w:rsidRPr="001F5CB8">
        <w:t xml:space="preserve"> Universities Accord.</w:t>
      </w:r>
    </w:p>
    <w:p w14:paraId="77D51CE0" w14:textId="77777777" w:rsidR="00D96CD1" w:rsidRDefault="002E1BB0" w:rsidP="002E1BB0">
      <w:pPr>
        <w:pStyle w:val="BodyText"/>
        <w:rPr>
          <w:rStyle w:val="CommentReference"/>
        </w:rPr>
      </w:pPr>
      <w:r w:rsidRPr="001F5CB8">
        <w:t xml:space="preserve">The Department of Employment Workplace Relations (DEWR) </w:t>
      </w:r>
      <w:r>
        <w:t xml:space="preserve">and </w:t>
      </w:r>
      <w:r w:rsidRPr="00E209A1">
        <w:t>the Department of Education</w:t>
      </w:r>
      <w:r w:rsidRPr="004E7E04">
        <w:t xml:space="preserve"> </w:t>
      </w:r>
      <w:r>
        <w:t>are</w:t>
      </w:r>
      <w:r w:rsidRPr="001F5CB8">
        <w:t xml:space="preserve"> leading the coordination and delivery of these measures in close collaboration with JSA, the Australian Skills Quality Authority (ASQA) and the Tertiary Education Quality and Standards Agency (TEQSA). The </w:t>
      </w:r>
      <w:r w:rsidR="00447C15">
        <w:t xml:space="preserve">following </w:t>
      </w:r>
      <w:r w:rsidRPr="001F5CB8">
        <w:t xml:space="preserve">measures are being progressed following consultation with VET and </w:t>
      </w:r>
      <w:r w:rsidR="006E36F3">
        <w:t>Higher Education</w:t>
      </w:r>
      <w:r w:rsidRPr="001F5CB8">
        <w:t xml:space="preserve"> providers, industry, unions, and state and territory governments</w:t>
      </w:r>
      <w:r w:rsidR="00447C15">
        <w:t>.</w:t>
      </w:r>
    </w:p>
    <w:p w14:paraId="2D4F2E58" w14:textId="2EBBDB34" w:rsidR="002E1BB0" w:rsidRPr="00172BF6" w:rsidRDefault="002E1BB0" w:rsidP="001A5D90">
      <w:pPr>
        <w:pStyle w:val="ListBullet"/>
        <w:numPr>
          <w:ilvl w:val="0"/>
          <w:numId w:val="2"/>
        </w:numPr>
      </w:pPr>
      <w:r w:rsidRPr="00BF0C28">
        <w:rPr>
          <w:rStyle w:val="Characterbold"/>
        </w:rPr>
        <w:t>Tertiary Sandbox Scoping Study</w:t>
      </w:r>
      <w:r w:rsidRPr="00172BF6">
        <w:t>, to better understand and address barriers to the design and delivery of dual sector qualifications and integrated pathways.</w:t>
      </w:r>
    </w:p>
    <w:p w14:paraId="6A06FC6F" w14:textId="77777777" w:rsidR="00D96CD1" w:rsidRDefault="002E1BB0" w:rsidP="001A5D90">
      <w:pPr>
        <w:pStyle w:val="ListBullet"/>
        <w:numPr>
          <w:ilvl w:val="0"/>
          <w:numId w:val="2"/>
        </w:numPr>
      </w:pPr>
      <w:r w:rsidRPr="00BF0C28">
        <w:rPr>
          <w:rStyle w:val="Characterbold"/>
        </w:rPr>
        <w:t xml:space="preserve">Australian Qualifications </w:t>
      </w:r>
      <w:r w:rsidR="00313DB6">
        <w:rPr>
          <w:rStyle w:val="Characterbold"/>
        </w:rPr>
        <w:t>Pathways policy</w:t>
      </w:r>
      <w:r w:rsidRPr="00BF0C28">
        <w:rPr>
          <w:rStyle w:val="Characterbold"/>
        </w:rPr>
        <w:t xml:space="preserve"> </w:t>
      </w:r>
      <w:r>
        <w:t>improvements,</w:t>
      </w:r>
      <w:r w:rsidRPr="00172BF6">
        <w:t> to provide improved guidance on credit transfer and recognition of prior learning. This will facilitate better student pathways to and from qualifications across the tertiary education system.</w:t>
      </w:r>
    </w:p>
    <w:p w14:paraId="2A6EA181" w14:textId="0FCF2D8A" w:rsidR="002E1BB0" w:rsidRPr="00172BF6" w:rsidRDefault="002E1BB0" w:rsidP="001A5D90">
      <w:pPr>
        <w:pStyle w:val="ListBullet"/>
        <w:numPr>
          <w:ilvl w:val="0"/>
          <w:numId w:val="2"/>
        </w:numPr>
      </w:pPr>
      <w:r w:rsidRPr="00BF0C28">
        <w:rPr>
          <w:rStyle w:val="Characterbold"/>
        </w:rPr>
        <w:t>Course Accreditation Delegation Pilot</w:t>
      </w:r>
      <w:r>
        <w:t xml:space="preserve">, </w:t>
      </w:r>
      <w:r w:rsidRPr="00172BF6">
        <w:t>ASQA is working with selected VET providers to pilot delegation of course accreditation in VET. The pilot seeks to enable and evaluate quality, flexibility and innovation in VET allowing participating providers to create, approve and deliver VET accredited courses more quickly and respond to emerging industry needs, particularly in areas of national priority.</w:t>
      </w:r>
      <w:r w:rsidR="00D96CD1">
        <w:t xml:space="preserve"> </w:t>
      </w:r>
      <w:r w:rsidR="0043196D">
        <w:t xml:space="preserve">This also includes </w:t>
      </w:r>
      <w:r w:rsidR="00913B81">
        <w:t xml:space="preserve">a renewed focus from </w:t>
      </w:r>
      <w:r w:rsidR="0043196D">
        <w:t xml:space="preserve">TEQSA </w:t>
      </w:r>
      <w:r w:rsidR="00913B81">
        <w:t>regarding self-accreditation for TAFE's.</w:t>
      </w:r>
    </w:p>
    <w:p w14:paraId="713691D9" w14:textId="30878EC3" w:rsidR="002E1BB0" w:rsidRPr="00172BF6" w:rsidRDefault="00E05B1B" w:rsidP="001A5D90">
      <w:pPr>
        <w:pStyle w:val="ListBullet"/>
        <w:numPr>
          <w:ilvl w:val="0"/>
          <w:numId w:val="2"/>
        </w:numPr>
      </w:pPr>
      <w:r>
        <w:rPr>
          <w:rStyle w:val="Characterbold"/>
        </w:rPr>
        <w:lastRenderedPageBreak/>
        <w:t>D</w:t>
      </w:r>
      <w:r w:rsidR="006E399B" w:rsidRPr="00BF0C28">
        <w:rPr>
          <w:rStyle w:val="Characterbold"/>
        </w:rPr>
        <w:t>ual</w:t>
      </w:r>
      <w:r w:rsidR="002E1BB0" w:rsidRPr="00BF0C28">
        <w:rPr>
          <w:rStyle w:val="Characterbold"/>
        </w:rPr>
        <w:t xml:space="preserve">-sector </w:t>
      </w:r>
      <w:r w:rsidR="006E399B">
        <w:rPr>
          <w:rStyle w:val="Characterbold"/>
        </w:rPr>
        <w:t>s</w:t>
      </w:r>
      <w:r w:rsidR="006E399B" w:rsidRPr="00BF0C28">
        <w:rPr>
          <w:rStyle w:val="Characterbold"/>
        </w:rPr>
        <w:t>trategy</w:t>
      </w:r>
      <w:r w:rsidR="002E1BB0">
        <w:rPr>
          <w:rStyle w:val="Characterbold"/>
        </w:rPr>
        <w:t>,</w:t>
      </w:r>
      <w:r w:rsidR="002E1BB0" w:rsidRPr="00172BF6">
        <w:t> ASQA and TEQSA are working on a strategy of improving regulatory approaches for dual-sector providers. The strategy will provide a medium to long-term blueprint to support and guide regulatory collaboration and alignment.</w:t>
      </w:r>
    </w:p>
    <w:p w14:paraId="558636AE" w14:textId="6C4F6FD8" w:rsidR="002E1BB0" w:rsidRPr="00172BF6" w:rsidRDefault="003D229F" w:rsidP="002E1BB0">
      <w:pPr>
        <w:pStyle w:val="BodyText"/>
      </w:pPr>
      <w:r>
        <w:t>A</w:t>
      </w:r>
      <w:r w:rsidR="002E1BB0">
        <w:t>s part of this work</w:t>
      </w:r>
      <w:r>
        <w:t>, JSA</w:t>
      </w:r>
      <w:r w:rsidR="002E1BB0">
        <w:t xml:space="preserve"> will also deliver:</w:t>
      </w:r>
    </w:p>
    <w:p w14:paraId="18EC8D00" w14:textId="227CC210" w:rsidR="002E1BB0" w:rsidRPr="002E1BB0" w:rsidRDefault="003D229F" w:rsidP="001069AF">
      <w:pPr>
        <w:pStyle w:val="ListBullet"/>
        <w:numPr>
          <w:ilvl w:val="0"/>
          <w:numId w:val="2"/>
        </w:numPr>
        <w:rPr>
          <w:rStyle w:val="Characterbold"/>
        </w:rPr>
      </w:pPr>
      <w:r>
        <w:rPr>
          <w:rStyle w:val="Characterbold"/>
        </w:rPr>
        <w:t xml:space="preserve">A </w:t>
      </w:r>
      <w:r w:rsidR="002E1BB0" w:rsidRPr="00BF0C28">
        <w:rPr>
          <w:rStyle w:val="Characterbold"/>
        </w:rPr>
        <w:t>National Skills Taxonomy</w:t>
      </w:r>
      <w:r w:rsidR="002E1BB0">
        <w:rPr>
          <w:rStyle w:val="Characterbold"/>
        </w:rPr>
        <w:t xml:space="preserve">, </w:t>
      </w:r>
      <w:r w:rsidR="002E1BB0" w:rsidRPr="00D13BBE">
        <w:rPr>
          <w:rStyle w:val="BodyTextChar"/>
        </w:rPr>
        <w:t xml:space="preserve">to make it easier to design </w:t>
      </w:r>
      <w:r w:rsidR="006E36F3">
        <w:rPr>
          <w:rStyle w:val="BodyTextChar"/>
        </w:rPr>
        <w:t>Higher Education</w:t>
      </w:r>
      <w:r w:rsidR="002E1BB0" w:rsidRPr="00D13BBE">
        <w:rPr>
          <w:rStyle w:val="BodyTextChar"/>
        </w:rPr>
        <w:t xml:space="preserve"> and VET qualifications that meet the needs of business and industry</w:t>
      </w:r>
      <w:r w:rsidRPr="00D13BBE">
        <w:rPr>
          <w:rStyle w:val="BodyTextChar"/>
        </w:rPr>
        <w:t xml:space="preserve"> by</w:t>
      </w:r>
      <w:r w:rsidR="00B918CE" w:rsidRPr="00D13BBE">
        <w:rPr>
          <w:rStyle w:val="BodyTextChar"/>
        </w:rPr>
        <w:t xml:space="preserve"> establishing a common language with which to build</w:t>
      </w:r>
      <w:r w:rsidR="00445EBF" w:rsidRPr="00D13BBE">
        <w:rPr>
          <w:rStyle w:val="BodyTextChar"/>
        </w:rPr>
        <w:t xml:space="preserve"> shared goals</w:t>
      </w:r>
      <w:r w:rsidR="00081B87" w:rsidRPr="00D13BBE">
        <w:rPr>
          <w:rStyle w:val="BodyTextChar"/>
        </w:rPr>
        <w:t xml:space="preserve"> and outcomes</w:t>
      </w:r>
      <w:r w:rsidR="004B53C1" w:rsidRPr="00D13BBE">
        <w:rPr>
          <w:rStyle w:val="BodyTextChar"/>
        </w:rPr>
        <w:t>.</w:t>
      </w:r>
    </w:p>
    <w:p w14:paraId="45EA0008" w14:textId="37634824" w:rsidR="002E1BB0" w:rsidRPr="00D13BBE" w:rsidRDefault="002E1BB0" w:rsidP="00D13BBE">
      <w:pPr>
        <w:pStyle w:val="ListBullet"/>
        <w:numPr>
          <w:ilvl w:val="0"/>
          <w:numId w:val="2"/>
        </w:numPr>
        <w:rPr>
          <w:rStyle w:val="Characterbold"/>
        </w:rPr>
      </w:pPr>
      <w:r w:rsidRPr="00B37D34" w:rsidDel="006E42CF">
        <w:rPr>
          <w:rStyle w:val="Characterbold"/>
        </w:rPr>
        <w:t xml:space="preserve">Tertiary </w:t>
      </w:r>
      <w:r w:rsidR="00FD2F02">
        <w:rPr>
          <w:rStyle w:val="Characterbold"/>
        </w:rPr>
        <w:t xml:space="preserve">education </w:t>
      </w:r>
      <w:r w:rsidR="006E399B" w:rsidDel="006E42CF">
        <w:rPr>
          <w:rStyle w:val="Characterbold"/>
        </w:rPr>
        <w:t>p</w:t>
      </w:r>
      <w:r w:rsidR="006E399B" w:rsidRPr="00B37D34" w:rsidDel="006E42CF">
        <w:rPr>
          <w:rStyle w:val="Characterbold"/>
        </w:rPr>
        <w:t xml:space="preserve">athways </w:t>
      </w:r>
      <w:r w:rsidRPr="00B37D34" w:rsidDel="006E42CF">
        <w:rPr>
          <w:rStyle w:val="Characterbold"/>
        </w:rPr>
        <w:t>data</w:t>
      </w:r>
      <w:r w:rsidRPr="00D13BBE">
        <w:rPr>
          <w:rStyle w:val="Characterbold"/>
        </w:rPr>
        <w:t xml:space="preserve">, </w:t>
      </w:r>
      <w:r w:rsidRPr="00C87BF7">
        <w:rPr>
          <w:rStyle w:val="Characterbold"/>
          <w:b w:val="0"/>
          <w:bCs/>
        </w:rPr>
        <w:t>build</w:t>
      </w:r>
      <w:r w:rsidR="003D229F" w:rsidRPr="00C87BF7">
        <w:rPr>
          <w:rStyle w:val="Characterbold"/>
          <w:b w:val="0"/>
          <w:bCs/>
        </w:rPr>
        <w:t>ing</w:t>
      </w:r>
      <w:r w:rsidRPr="00C87BF7">
        <w:rPr>
          <w:rStyle w:val="Characterbold"/>
          <w:b w:val="0"/>
          <w:bCs/>
        </w:rPr>
        <w:t xml:space="preserve"> better data by aligning VET and </w:t>
      </w:r>
      <w:r w:rsidR="006E36F3">
        <w:rPr>
          <w:rStyle w:val="Characterbold"/>
          <w:b w:val="0"/>
          <w:bCs/>
        </w:rPr>
        <w:t>Higher Education</w:t>
      </w:r>
      <w:r w:rsidRPr="00C87BF7">
        <w:rPr>
          <w:rStyle w:val="Characterbold"/>
          <w:b w:val="0"/>
          <w:bCs/>
        </w:rPr>
        <w:t xml:space="preserve"> data sets to better understand student pathways between the sectors and inform future measures to continue to address the barriers between VET and </w:t>
      </w:r>
      <w:r w:rsidR="006E36F3">
        <w:rPr>
          <w:rStyle w:val="Characterbold"/>
          <w:b w:val="0"/>
          <w:bCs/>
        </w:rPr>
        <w:t>Higher Education</w:t>
      </w:r>
      <w:r w:rsidRPr="00C87BF7">
        <w:rPr>
          <w:rStyle w:val="Characterbold"/>
          <w:b w:val="0"/>
          <w:bCs/>
        </w:rPr>
        <w:t>.</w:t>
      </w:r>
    </w:p>
    <w:p w14:paraId="3D10143D" w14:textId="74FD5D29" w:rsidR="002E1BB0" w:rsidRPr="002E1BB0" w:rsidRDefault="00044373" w:rsidP="00044373">
      <w:pPr>
        <w:pStyle w:val="Heading3"/>
      </w:pPr>
      <w:r>
        <w:t>The Australian Tertiary Education Commission</w:t>
      </w:r>
    </w:p>
    <w:p w14:paraId="0CE933C2" w14:textId="58BC8299" w:rsidR="00CA6B23" w:rsidRDefault="00CA6B23" w:rsidP="00CA6B23">
      <w:pPr>
        <w:pStyle w:val="BodyText"/>
      </w:pPr>
      <w:r>
        <w:t>As part of the next wave of Accord recommendations to be implemented, funding of the Australian Tertiary Education Commission (ATEC) was announced in December 2024, which will commence on an interim basis from 1 July 2025 and will be fully operational by 1 January 2026, subject to the passage of legislation.</w:t>
      </w:r>
    </w:p>
    <w:p w14:paraId="22B999B7" w14:textId="5B2EE89C" w:rsidR="00D96CD1" w:rsidRDefault="00CA6B23" w:rsidP="00CA6B23">
      <w:pPr>
        <w:pStyle w:val="BodyText"/>
      </w:pPr>
      <w:r>
        <w:t xml:space="preserve">The ATEC will implement and govern a new range of Accord reforms with both a </w:t>
      </w:r>
      <w:r w:rsidR="006E36F3">
        <w:t>Higher Education</w:t>
      </w:r>
      <w:r>
        <w:t xml:space="preserve"> and tertiary system focus.</w:t>
      </w:r>
      <w:r w:rsidR="00D96CD1">
        <w:t xml:space="preserve"> </w:t>
      </w:r>
      <w:r>
        <w:t xml:space="preserve">The ATEC will actively work across the tertiary education system, breaking down barriers between </w:t>
      </w:r>
      <w:r w:rsidR="006E36F3">
        <w:t>Higher Education</w:t>
      </w:r>
      <w:r>
        <w:t xml:space="preserve"> and VET to drive better pathways for students between the sectors.</w:t>
      </w:r>
    </w:p>
    <w:p w14:paraId="06A9C656" w14:textId="36F9A848" w:rsidR="00CA6B23" w:rsidRDefault="00BB2A17" w:rsidP="00CA6B23">
      <w:pPr>
        <w:pStyle w:val="BodyText"/>
      </w:pPr>
      <w:r>
        <w:t>ATEC</w:t>
      </w:r>
      <w:r w:rsidR="00CA6B23">
        <w:t xml:space="preserve"> will also be responsible for driving important structur</w:t>
      </w:r>
      <w:r w:rsidR="006D74BA">
        <w:t>al</w:t>
      </w:r>
      <w:r w:rsidR="00CA6B23">
        <w:t xml:space="preserve"> reforms in the </w:t>
      </w:r>
      <w:r w:rsidR="006E36F3">
        <w:t>Higher Education</w:t>
      </w:r>
      <w:r w:rsidR="00CA6B23">
        <w:t xml:space="preserve"> sector, including a new range of </w:t>
      </w:r>
      <w:r w:rsidR="005953CB">
        <w:t>h</w:t>
      </w:r>
      <w:r w:rsidR="006E36F3">
        <w:t xml:space="preserve">igher </w:t>
      </w:r>
      <w:r w:rsidR="005953CB">
        <w:t>e</w:t>
      </w:r>
      <w:r w:rsidR="006E36F3">
        <w:t>ducation</w:t>
      </w:r>
      <w:r w:rsidR="00CA6B23">
        <w:t xml:space="preserve"> reforms, such as implementation of the new Managed Growth Funding system</w:t>
      </w:r>
      <w:r w:rsidR="007A74B6">
        <w:t xml:space="preserve"> that</w:t>
      </w:r>
      <w:r w:rsidR="00CA6B23">
        <w:t xml:space="preserve"> includ</w:t>
      </w:r>
      <w:r w:rsidR="007A74B6">
        <w:t>es</w:t>
      </w:r>
      <w:r w:rsidR="00CA6B23">
        <w:t xml:space="preserve"> Needs-based Funding, and negotiating enhanced mission-based compacts with providers.</w:t>
      </w:r>
    </w:p>
    <w:p w14:paraId="0A2CEFCC" w14:textId="2CC6E66C" w:rsidR="00CA6B23" w:rsidRDefault="00CA6B23" w:rsidP="00CA6B23">
      <w:pPr>
        <w:pStyle w:val="BodyText"/>
      </w:pPr>
      <w:r>
        <w:t xml:space="preserve">These </w:t>
      </w:r>
      <w:r w:rsidR="006E36F3">
        <w:t>Higher Education</w:t>
      </w:r>
      <w:r>
        <w:t xml:space="preserve"> reforms have the ability to drive cultural change (see Recommendation </w:t>
      </w:r>
      <w:r w:rsidR="003A1265">
        <w:t>6</w:t>
      </w:r>
      <w:r>
        <w:t>), and enhance system complementary to VET activities</w:t>
      </w:r>
      <w:r w:rsidR="0042000F">
        <w:t xml:space="preserve">. These reforms will ensure </w:t>
      </w:r>
      <w:r>
        <w:t>a tertiary education system that collaborates purposefully on agreed national priorities, while maintaining the flexibility to respond to localised needs.</w:t>
      </w:r>
    </w:p>
    <w:p w14:paraId="43AC736D" w14:textId="052A2C17" w:rsidR="00702B24" w:rsidRDefault="00897233" w:rsidP="00927154">
      <w:pPr>
        <w:pStyle w:val="BodyText"/>
      </w:pPr>
      <w:r>
        <w:t>As a</w:t>
      </w:r>
      <w:r w:rsidR="00A56331">
        <w:t xml:space="preserve">n independent steward of tertiary </w:t>
      </w:r>
      <w:r w:rsidR="004322BD">
        <w:t>system</w:t>
      </w:r>
      <w:r w:rsidR="00A56331">
        <w:t>, the ATEC will consult</w:t>
      </w:r>
      <w:r w:rsidR="00AF658C">
        <w:t xml:space="preserve"> deeply with </w:t>
      </w:r>
      <w:r w:rsidR="00B02F20" w:rsidRPr="00B02F20">
        <w:t>the VET sector, relevant agencies, state and territory governments</w:t>
      </w:r>
      <w:r w:rsidR="00B02F20">
        <w:t>, and other syste</w:t>
      </w:r>
      <w:r w:rsidR="00073E99">
        <w:t xml:space="preserve">m actors to </w:t>
      </w:r>
      <w:r w:rsidR="004322BD">
        <w:t>effectively progress tertiary harmonisation</w:t>
      </w:r>
      <w:r w:rsidR="00B02F20" w:rsidRPr="00B02F20">
        <w:t>.</w:t>
      </w:r>
    </w:p>
    <w:p w14:paraId="3DEA1E63" w14:textId="77777777" w:rsidR="00702B24" w:rsidRDefault="00702B24">
      <w:pPr>
        <w:spacing w:before="0" w:after="200" w:line="276" w:lineRule="auto"/>
      </w:pPr>
      <w:r>
        <w:br w:type="page"/>
      </w:r>
    </w:p>
    <w:p w14:paraId="49017FD3" w14:textId="705B59CE" w:rsidR="00107A92" w:rsidRDefault="00D5296E" w:rsidP="008647F9">
      <w:pPr>
        <w:pStyle w:val="Heading1"/>
        <w:spacing w:after="240"/>
      </w:pPr>
      <w:bookmarkStart w:id="46" w:name="_Toc189060419"/>
      <w:bookmarkStart w:id="47" w:name="_Toc189060509"/>
      <w:bookmarkStart w:id="48" w:name="_Toc190980906"/>
      <w:r>
        <w:lastRenderedPageBreak/>
        <w:t>Tertiary harmonisation – the who, what, and why</w:t>
      </w:r>
      <w:bookmarkEnd w:id="46"/>
      <w:bookmarkEnd w:id="47"/>
      <w:bookmarkEnd w:id="48"/>
    </w:p>
    <w:tbl>
      <w:tblPr>
        <w:tblStyle w:val="CustomTablekeythemes"/>
        <w:tblW w:w="0" w:type="auto"/>
        <w:tblLook w:val="04A0" w:firstRow="1" w:lastRow="0" w:firstColumn="1" w:lastColumn="0" w:noHBand="0" w:noVBand="1"/>
      </w:tblPr>
      <w:tblGrid>
        <w:gridCol w:w="9026"/>
      </w:tblGrid>
      <w:tr w:rsidR="00107A92" w14:paraId="78CDD064" w14:textId="77777777" w:rsidTr="004E37DB">
        <w:tc>
          <w:tcPr>
            <w:tcW w:w="9026" w:type="dxa"/>
          </w:tcPr>
          <w:p w14:paraId="5991938C" w14:textId="77777777" w:rsidR="00107A92" w:rsidRPr="00107A92" w:rsidRDefault="00107A92" w:rsidP="00107A92">
            <w:pPr>
              <w:rPr>
                <w:rStyle w:val="Characterbold"/>
              </w:rPr>
            </w:pPr>
            <w:r w:rsidRPr="00041B44">
              <w:rPr>
                <w:rStyle w:val="Characterbold"/>
              </w:rPr>
              <w:t>K</w:t>
            </w:r>
            <w:r w:rsidRPr="00107A92">
              <w:rPr>
                <w:rStyle w:val="Characterbold"/>
              </w:rPr>
              <w:t>ey themes in this chapter</w:t>
            </w:r>
          </w:p>
          <w:p w14:paraId="61CAFA7F" w14:textId="713758C3" w:rsidR="00107A92" w:rsidRDefault="00ED7277" w:rsidP="001A5D90">
            <w:pPr>
              <w:pStyle w:val="ListBullet"/>
              <w:numPr>
                <w:ilvl w:val="0"/>
                <w:numId w:val="2"/>
              </w:numPr>
            </w:pPr>
            <w:r>
              <w:t>The</w:t>
            </w:r>
            <w:r w:rsidR="00934F91">
              <w:t xml:space="preserve"> </w:t>
            </w:r>
            <w:r w:rsidR="00BB19C3">
              <w:t xml:space="preserve">tertiary harmonisation </w:t>
            </w:r>
            <w:r w:rsidR="00934F91">
              <w:t xml:space="preserve">roadmap </w:t>
            </w:r>
            <w:r>
              <w:t>will require</w:t>
            </w:r>
            <w:r w:rsidR="0051578D">
              <w:t xml:space="preserve"> collaboration between system actors, which include </w:t>
            </w:r>
            <w:r w:rsidR="003819CF">
              <w:t xml:space="preserve">VET and </w:t>
            </w:r>
            <w:r w:rsidR="006E36F3">
              <w:t>Higher Education</w:t>
            </w:r>
            <w:r w:rsidR="003819CF">
              <w:t xml:space="preserve"> providers, employers</w:t>
            </w:r>
            <w:r w:rsidR="000A42E0">
              <w:t>, industry organisations</w:t>
            </w:r>
            <w:r w:rsidR="009D44BE">
              <w:t>, licensing and accreditation bodies</w:t>
            </w:r>
            <w:r w:rsidR="00E40D78">
              <w:t xml:space="preserve">, unions, Jobs and Skills Councils and </w:t>
            </w:r>
            <w:r w:rsidR="00EA3855">
              <w:t>the Australian and state and territory</w:t>
            </w:r>
            <w:r w:rsidR="00E40D78">
              <w:t xml:space="preserve"> governments</w:t>
            </w:r>
            <w:r w:rsidR="007E393A">
              <w:t>.</w:t>
            </w:r>
          </w:p>
          <w:p w14:paraId="187E9F53" w14:textId="5DC0D5A6" w:rsidR="00A02CAC" w:rsidRDefault="00616374" w:rsidP="001A5D90">
            <w:pPr>
              <w:pStyle w:val="ListBullet"/>
              <w:numPr>
                <w:ilvl w:val="0"/>
                <w:numId w:val="2"/>
              </w:numPr>
            </w:pPr>
            <w:r>
              <w:t>The roadmap</w:t>
            </w:r>
            <w:r w:rsidR="00A202D8">
              <w:t xml:space="preserve"> </w:t>
            </w:r>
            <w:r w:rsidR="00BB19C3">
              <w:t xml:space="preserve">will need to be attentive to </w:t>
            </w:r>
            <w:r w:rsidR="00B57ECB">
              <w:t>system architecture</w:t>
            </w:r>
            <w:r w:rsidR="00E93915">
              <w:t>, including qualifications and skills frameworks</w:t>
            </w:r>
            <w:r w:rsidR="00FD5CDF">
              <w:t>, regulatory and legislative requirements</w:t>
            </w:r>
            <w:r w:rsidR="00626516">
              <w:t xml:space="preserve"> and </w:t>
            </w:r>
            <w:r w:rsidR="00FB0AC2">
              <w:t>systems that enable credit transfer.</w:t>
            </w:r>
          </w:p>
          <w:p w14:paraId="44300CD9" w14:textId="77777777" w:rsidR="00D96CD1" w:rsidRDefault="005D5A7C" w:rsidP="001A5D90">
            <w:pPr>
              <w:pStyle w:val="ListBullet"/>
              <w:numPr>
                <w:ilvl w:val="0"/>
                <w:numId w:val="2"/>
              </w:numPr>
            </w:pPr>
            <w:r>
              <w:t>The benefits for sys</w:t>
            </w:r>
            <w:r w:rsidR="00BF3EC8">
              <w:t>tem actors include</w:t>
            </w:r>
            <w:r w:rsidR="00BA15B9">
              <w:t>:</w:t>
            </w:r>
          </w:p>
          <w:p w14:paraId="620B2820" w14:textId="77777777" w:rsidR="00D96CD1" w:rsidRDefault="00007A19" w:rsidP="00A86B29">
            <w:pPr>
              <w:pStyle w:val="ListBullet2"/>
            </w:pPr>
            <w:r>
              <w:t>improved efficiency and effectiveness,</w:t>
            </w:r>
          </w:p>
          <w:p w14:paraId="797CCADE" w14:textId="77777777" w:rsidR="00D96CD1" w:rsidRDefault="00BA15B9" w:rsidP="00A86B29">
            <w:pPr>
              <w:pStyle w:val="ListBullet2"/>
            </w:pPr>
            <w:r>
              <w:t>increased access and equity,</w:t>
            </w:r>
          </w:p>
          <w:p w14:paraId="1B56B13A" w14:textId="77777777" w:rsidR="00D96CD1" w:rsidRDefault="001719E0" w:rsidP="00A86B29">
            <w:pPr>
              <w:pStyle w:val="ListBullet2"/>
            </w:pPr>
            <w:r>
              <w:t xml:space="preserve">the ability to </w:t>
            </w:r>
            <w:r w:rsidR="006017D0">
              <w:t xml:space="preserve">draw on the </w:t>
            </w:r>
            <w:r w:rsidR="008060FE">
              <w:t>whole ter</w:t>
            </w:r>
            <w:r w:rsidR="000C525C">
              <w:t>tiary</w:t>
            </w:r>
            <w:r w:rsidR="006017D0">
              <w:t xml:space="preserve"> system to tackle national challenges </w:t>
            </w:r>
            <w:r w:rsidR="00600C2E">
              <w:t>in key areas such as energy and technology transitions</w:t>
            </w:r>
            <w:r w:rsidR="00A86B29">
              <w:t>,</w:t>
            </w:r>
            <w:r w:rsidR="00600C2E">
              <w:t xml:space="preserve"> and</w:t>
            </w:r>
          </w:p>
          <w:p w14:paraId="67A4DC41" w14:textId="77777777" w:rsidR="00D96CD1" w:rsidRDefault="00F43AE2" w:rsidP="00A86B29">
            <w:pPr>
              <w:pStyle w:val="ListBullet2"/>
            </w:pPr>
            <w:r>
              <w:t xml:space="preserve">the </w:t>
            </w:r>
            <w:r w:rsidR="00600C2E">
              <w:t>growing need for care work</w:t>
            </w:r>
            <w:r w:rsidR="001166DF">
              <w:t>; and improved productivity outcomes.</w:t>
            </w:r>
          </w:p>
          <w:p w14:paraId="40D65027" w14:textId="3F6382FC" w:rsidR="005D5A7C" w:rsidRDefault="00E33930" w:rsidP="001A5D90">
            <w:pPr>
              <w:pStyle w:val="ListBullet"/>
              <w:numPr>
                <w:ilvl w:val="0"/>
                <w:numId w:val="2"/>
              </w:numPr>
            </w:pPr>
            <w:r>
              <w:t xml:space="preserve">A harmonised system </w:t>
            </w:r>
            <w:r w:rsidR="00A73F9B">
              <w:t xml:space="preserve">will result in greater </w:t>
            </w:r>
            <w:r w:rsidR="00EC4262">
              <w:t>and more effective</w:t>
            </w:r>
            <w:r w:rsidR="009861BE">
              <w:t xml:space="preserve"> </w:t>
            </w:r>
            <w:r w:rsidR="00E9506A">
              <w:t>participation in tertiary education</w:t>
            </w:r>
            <w:r w:rsidR="00EC4262">
              <w:t>.</w:t>
            </w:r>
            <w:r w:rsidR="001719E0">
              <w:t xml:space="preserve"> </w:t>
            </w:r>
          </w:p>
        </w:tc>
      </w:tr>
    </w:tbl>
    <w:p w14:paraId="0AC07F92" w14:textId="62DA70CF" w:rsidR="00107A92" w:rsidRDefault="00107A92" w:rsidP="00107A92">
      <w:pPr>
        <w:pStyle w:val="BodyText"/>
        <w:rPr>
          <w:lang w:eastAsia="en-AU"/>
        </w:rPr>
      </w:pPr>
    </w:p>
    <w:p w14:paraId="226C7953" w14:textId="04F9F077" w:rsidR="00A06B0F" w:rsidRDefault="00A06B0F" w:rsidP="008A30E2">
      <w:pPr>
        <w:pStyle w:val="Heading2"/>
      </w:pPr>
      <w:bookmarkStart w:id="49" w:name="_Toc189060420"/>
      <w:bookmarkStart w:id="50" w:name="_Toc189060510"/>
      <w:bookmarkStart w:id="51" w:name="_Toc190980907"/>
      <w:r>
        <w:t xml:space="preserve">Tertiary </w:t>
      </w:r>
      <w:r w:rsidR="00BF44A3">
        <w:t xml:space="preserve">harmonisation </w:t>
      </w:r>
      <w:r>
        <w:t>system actors</w:t>
      </w:r>
      <w:bookmarkEnd w:id="49"/>
      <w:bookmarkEnd w:id="50"/>
      <w:bookmarkEnd w:id="51"/>
    </w:p>
    <w:p w14:paraId="367734E1" w14:textId="1FBFB0A4" w:rsidR="00A06B0F" w:rsidRDefault="00A06B0F" w:rsidP="008A30E2">
      <w:pPr>
        <w:pStyle w:val="BodyText"/>
      </w:pPr>
      <w:r>
        <w:t xml:space="preserve">The growing case for change has been driven by rapidly shifting industry needs, equity concerns and a need to ensure the efficiency of Australia’s educational offerings. </w:t>
      </w:r>
      <w:r w:rsidR="00D81DF7">
        <w:t>I</w:t>
      </w:r>
      <w:r>
        <w:t>t is students</w:t>
      </w:r>
      <w:r w:rsidR="00DF64CB">
        <w:t xml:space="preserve"> who are at the </w:t>
      </w:r>
      <w:r w:rsidR="00D94488">
        <w:t xml:space="preserve">centre of the need for reform, </w:t>
      </w:r>
      <w:r>
        <w:t xml:space="preserve">with their diverse career and life goals and the requirement to </w:t>
      </w:r>
      <w:r w:rsidR="005D45B1">
        <w:t>participate in</w:t>
      </w:r>
      <w:r>
        <w:t xml:space="preserve"> a job market increasingly requiring innovative combinations of skills and knowledge</w:t>
      </w:r>
      <w:r w:rsidR="00554242">
        <w:t xml:space="preserve"> at a variety of levels for different components and times of their career</w:t>
      </w:r>
      <w:r w:rsidR="00F60512">
        <w:t>.</w:t>
      </w:r>
    </w:p>
    <w:p w14:paraId="2547AA82" w14:textId="77777777" w:rsidR="00D96CD1" w:rsidRDefault="009A2898" w:rsidP="008A30E2">
      <w:pPr>
        <w:pStyle w:val="BodyText"/>
      </w:pPr>
      <w:r w:rsidRPr="009A2898">
        <w:t>The tertiary education system can be described using the concept of system actors, each of which have a primary role in ensuring the operation of the education system as a whole</w:t>
      </w:r>
      <w:r w:rsidR="0084083C">
        <w:t xml:space="preserve"> (</w:t>
      </w:r>
      <w:r w:rsidR="0011307C">
        <w:t>Figure 1</w:t>
      </w:r>
      <w:r w:rsidR="0084083C">
        <w:t>)</w:t>
      </w:r>
      <w:r w:rsidR="00C108B5">
        <w:t>.</w:t>
      </w:r>
    </w:p>
    <w:p w14:paraId="2C33E124" w14:textId="25A425B7" w:rsidR="009A2898" w:rsidRDefault="00C108B5" w:rsidP="008A30E2">
      <w:pPr>
        <w:pStyle w:val="BodyText"/>
      </w:pPr>
      <w:r w:rsidRPr="00C108B5">
        <w:t>In this system, the student</w:t>
      </w:r>
      <w:r w:rsidR="00937291">
        <w:t xml:space="preserve"> </w:t>
      </w:r>
      <w:r w:rsidR="00B307FF">
        <w:t xml:space="preserve">is </w:t>
      </w:r>
      <w:r w:rsidR="00937291">
        <w:t>at the centre</w:t>
      </w:r>
      <w:r w:rsidR="004021F2">
        <w:t xml:space="preserve">, </w:t>
      </w:r>
      <w:r w:rsidR="00B6445E">
        <w:t>thus</w:t>
      </w:r>
      <w:r w:rsidR="004021F2">
        <w:t xml:space="preserve"> prioritising </w:t>
      </w:r>
      <w:r w:rsidR="00656C36">
        <w:t>learner goals</w:t>
      </w:r>
      <w:r w:rsidR="00BF093D">
        <w:t xml:space="preserve"> and experience</w:t>
      </w:r>
      <w:r w:rsidR="00656C36">
        <w:t>s</w:t>
      </w:r>
      <w:r w:rsidR="00BF093D">
        <w:t xml:space="preserve">. </w:t>
      </w:r>
      <w:r w:rsidR="00CD51D2">
        <w:t>Learners</w:t>
      </w:r>
      <w:r w:rsidR="00BF093D">
        <w:t xml:space="preserve"> are the focus of other system actors too, as</w:t>
      </w:r>
      <w:r w:rsidRPr="00C108B5">
        <w:t xml:space="preserve"> the ‘output’ of the education system and an ‘input’ from the perspective of industry and employers</w:t>
      </w:r>
      <w:r w:rsidR="00C90D55">
        <w:t>.</w:t>
      </w:r>
      <w:r w:rsidR="00665754">
        <w:t xml:space="preserve"> In the case of lifelong learning, </w:t>
      </w:r>
      <w:r w:rsidR="008C65F6">
        <w:t>following</w:t>
      </w:r>
      <w:r w:rsidR="002D79A4">
        <w:t xml:space="preserve"> or during</w:t>
      </w:r>
      <w:r w:rsidR="008C65F6">
        <w:t xml:space="preserve"> a period in employment, </w:t>
      </w:r>
      <w:r w:rsidR="0016317B">
        <w:t>learners</w:t>
      </w:r>
      <w:r w:rsidR="00665754">
        <w:t xml:space="preserve"> </w:t>
      </w:r>
      <w:r w:rsidR="00A1724E">
        <w:t>may cho</w:t>
      </w:r>
      <w:r w:rsidR="00A86071">
        <w:t>o</w:t>
      </w:r>
      <w:r w:rsidR="00A1724E">
        <w:t xml:space="preserve">se </w:t>
      </w:r>
      <w:r w:rsidR="00F72797">
        <w:t xml:space="preserve">to add to their knowledge and </w:t>
      </w:r>
      <w:r w:rsidR="00831E27">
        <w:t>skills</w:t>
      </w:r>
      <w:r w:rsidR="00F72797">
        <w:t xml:space="preserve"> base</w:t>
      </w:r>
      <w:r w:rsidR="00831E27">
        <w:t xml:space="preserve"> by </w:t>
      </w:r>
      <w:r w:rsidR="00665754">
        <w:t>re-enter</w:t>
      </w:r>
      <w:r w:rsidR="00831E27">
        <w:t>ing</w:t>
      </w:r>
      <w:r w:rsidR="00665754">
        <w:t xml:space="preserve"> the tertiary education system.</w:t>
      </w:r>
    </w:p>
    <w:p w14:paraId="44C42845" w14:textId="77777777" w:rsidR="00D96CD1" w:rsidRDefault="00A06B0F" w:rsidP="008A30E2">
      <w:pPr>
        <w:pStyle w:val="BodyText"/>
      </w:pPr>
      <w:r>
        <w:lastRenderedPageBreak/>
        <w:t>Many components of the tertiary education system already deploy a student-centric view of teaching and learning, which seeks to provide educational experiences that are responsive to individual needs, both in terms of learning styles and career goals. This long experience of student-centredness has demonstrated that keeping students at the core of system design strengthens achievement and produces positive employment and life course outcomes.</w:t>
      </w:r>
    </w:p>
    <w:p w14:paraId="7156B110" w14:textId="76415E1B" w:rsidR="00A06B0F" w:rsidRDefault="00A06B0F" w:rsidP="008A30E2">
      <w:pPr>
        <w:pStyle w:val="BodyText"/>
      </w:pPr>
      <w:r>
        <w:t xml:space="preserve">This approach to centring </w:t>
      </w:r>
      <w:r w:rsidR="004E44F0">
        <w:t>on</w:t>
      </w:r>
      <w:r>
        <w:t xml:space="preserve"> students </w:t>
      </w:r>
      <w:r w:rsidR="00733981">
        <w:t>needs</w:t>
      </w:r>
      <w:r>
        <w:t xml:space="preserve"> to be extended </w:t>
      </w:r>
      <w:r w:rsidR="00035723">
        <w:t>to</w:t>
      </w:r>
      <w:r>
        <w:t xml:space="preserve"> tertiary reform. </w:t>
      </w:r>
      <w:r w:rsidR="00CA77E4">
        <w:t>A</w:t>
      </w:r>
      <w:r>
        <w:t xml:space="preserve"> more harmonised system will complement best practice in learning and teaching by </w:t>
      </w:r>
      <w:r w:rsidR="00401116">
        <w:t>expanding</w:t>
      </w:r>
      <w:r w:rsidR="00CA77E4">
        <w:t xml:space="preserve"> student</w:t>
      </w:r>
      <w:r w:rsidR="00BE60D2">
        <w:noBreakHyphen/>
      </w:r>
      <w:r w:rsidR="00CA77E4">
        <w:t xml:space="preserve">centredness beyond the individual, </w:t>
      </w:r>
      <w:r>
        <w:t>developing sector connectivity that improves access, mobility</w:t>
      </w:r>
      <w:r w:rsidR="00BE60D2">
        <w:t>,</w:t>
      </w:r>
      <w:r>
        <w:t xml:space="preserve"> and graduate outcomes for students at a system level.</w:t>
      </w:r>
    </w:p>
    <w:p w14:paraId="38F4FAB5" w14:textId="77777777" w:rsidR="00C5280E" w:rsidRDefault="00BD63BE" w:rsidP="00EC25AC">
      <w:pPr>
        <w:pStyle w:val="Caption"/>
      </w:pPr>
      <w:r w:rsidRPr="00BD63BE">
        <w:t>The connections between the system actors (</w:t>
      </w:r>
      <w:r w:rsidR="002B5100">
        <w:fldChar w:fldCharType="begin" w:fldLock="1"/>
      </w:r>
      <w:r w:rsidR="002B5100">
        <w:instrText xml:space="preserve"> REF _Ref190078876 \h </w:instrText>
      </w:r>
      <w:r w:rsidR="002B5100">
        <w:fldChar w:fldCharType="separate"/>
      </w:r>
    </w:p>
    <w:p w14:paraId="7082F6C8" w14:textId="7F4D7D22" w:rsidR="00BD63BE" w:rsidRDefault="00C5280E" w:rsidP="008A30E2">
      <w:pPr>
        <w:pStyle w:val="BodyText"/>
      </w:pPr>
      <w:r w:rsidRPr="00AD018E">
        <w:t xml:space="preserve">Figure </w:t>
      </w:r>
      <w:r>
        <w:rPr>
          <w:noProof/>
        </w:rPr>
        <w:t>1</w:t>
      </w:r>
      <w:r w:rsidR="002B5100">
        <w:fldChar w:fldCharType="end"/>
      </w:r>
      <w:r w:rsidR="00BD63BE" w:rsidRPr="00BD63BE">
        <w:t xml:space="preserve">) </w:t>
      </w:r>
      <w:r w:rsidR="00FF09F8">
        <w:t>are foundational to</w:t>
      </w:r>
      <w:r w:rsidR="00BD63BE" w:rsidRPr="00BD63BE">
        <w:t xml:space="preserve"> the exchange of ideas and resources</w:t>
      </w:r>
      <w:r w:rsidR="00FF09F8" w:rsidRPr="00FF09F8">
        <w:t xml:space="preserve"> necessary</w:t>
      </w:r>
      <w:r w:rsidR="00FF09F8">
        <w:t xml:space="preserve"> for harmonisation</w:t>
      </w:r>
      <w:r w:rsidR="00BD63BE" w:rsidRPr="00BD63BE">
        <w:t xml:space="preserve">. They allow the student to move within and between education providers and industry, in line with the concept of lifelong learning. It enables greater industry alignment, system efficiency </w:t>
      </w:r>
      <w:r w:rsidR="007C6E8C" w:rsidRPr="00BD63BE">
        <w:t>and</w:t>
      </w:r>
      <w:r w:rsidR="00BD63BE" w:rsidRPr="00BD63BE">
        <w:t xml:space="preserve"> has the potential to boost student volume.</w:t>
      </w:r>
    </w:p>
    <w:p w14:paraId="743E2A35" w14:textId="77777777" w:rsidR="00513B6B" w:rsidRDefault="00513B6B" w:rsidP="00EC25AC">
      <w:pPr>
        <w:pStyle w:val="Caption"/>
      </w:pPr>
      <w:bookmarkStart w:id="52" w:name="_Ref190078876"/>
      <w:bookmarkStart w:id="53" w:name="_Ref190078804"/>
    </w:p>
    <w:p w14:paraId="7CBD65A7" w14:textId="48E1FDB1" w:rsidR="00A06B0F" w:rsidRPr="00A06B0F" w:rsidRDefault="00AD018E" w:rsidP="00EC25AC">
      <w:pPr>
        <w:pStyle w:val="Caption"/>
      </w:pPr>
      <w:bookmarkStart w:id="54" w:name="_Toc191381507"/>
      <w:r w:rsidRPr="00AD018E">
        <w:t xml:space="preserve">Figure </w:t>
      </w:r>
      <w:r w:rsidRPr="00AD018E">
        <w:fldChar w:fldCharType="begin"/>
      </w:r>
      <w:r w:rsidRPr="00AD018E">
        <w:instrText xml:space="preserve"> SEQ Figure \* ARABIC </w:instrText>
      </w:r>
      <w:r w:rsidRPr="00AD018E">
        <w:fldChar w:fldCharType="separate"/>
      </w:r>
      <w:r w:rsidR="004D7389">
        <w:rPr>
          <w:noProof/>
        </w:rPr>
        <w:t>1</w:t>
      </w:r>
      <w:r w:rsidRPr="00AD018E">
        <w:fldChar w:fldCharType="end"/>
      </w:r>
      <w:bookmarkEnd w:id="52"/>
      <w:r w:rsidR="004A7269">
        <w:t>.</w:t>
      </w:r>
      <w:r w:rsidRPr="00AD018E">
        <w:t xml:space="preserve"> Tertiary Harmonisation System Actors</w:t>
      </w:r>
      <w:bookmarkEnd w:id="53"/>
      <w:bookmarkEnd w:id="54"/>
    </w:p>
    <w:p w14:paraId="08F1A418" w14:textId="0DB96042" w:rsidR="00A06B0F" w:rsidRPr="00A06B0F" w:rsidRDefault="00F662FF" w:rsidP="00AF01AC">
      <w:pPr>
        <w:keepNext/>
        <w:jc w:val="center"/>
      </w:pPr>
      <w:r>
        <w:rPr>
          <w:noProof/>
        </w:rPr>
        <w:drawing>
          <wp:inline distT="0" distB="0" distL="0" distR="0" wp14:anchorId="1BAE8132" wp14:editId="3C8B513E">
            <wp:extent cx="4772025" cy="3143108"/>
            <wp:effectExtent l="0" t="0" r="0" b="635"/>
            <wp:docPr id="648721369" name="Graphic 3" descr="The diagram portrays tertiary harmonisation system actors, with students at the centre, circled by the other actors: employers, higher education providers, VET providers, Commonwealth and state and territory governments, unions, and accrediting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21369" name="Graphic 3" descr="The diagram portrays tertiary harmonisation system actors, with students at the centre, circled by the other actors: employers, higher education providers, VET providers, Commonwealth and state and territory governments, unions, and accrediting bodies."/>
                    <pic:cNvPicPr/>
                  </pic:nvPicPr>
                  <pic:blipFill>
                    <a:blip r:embed="rId28">
                      <a:extLst>
                        <a:ext uri="{96DAC541-7B7A-43D3-8B79-37D633B846F1}">
                          <asvg:svgBlip xmlns:asvg="http://schemas.microsoft.com/office/drawing/2016/SVG/main" r:embed="rId29"/>
                        </a:ext>
                      </a:extLst>
                    </a:blip>
                    <a:stretch>
                      <a:fillRect/>
                    </a:stretch>
                  </pic:blipFill>
                  <pic:spPr>
                    <a:xfrm>
                      <a:off x="0" y="0"/>
                      <a:ext cx="4780495" cy="3148687"/>
                    </a:xfrm>
                    <a:prstGeom prst="rect">
                      <a:avLst/>
                    </a:prstGeom>
                  </pic:spPr>
                </pic:pic>
              </a:graphicData>
            </a:graphic>
          </wp:inline>
        </w:drawing>
      </w:r>
    </w:p>
    <w:p w14:paraId="4963E5D3" w14:textId="430CB792" w:rsidR="00DF3B47" w:rsidRPr="00792C3F" w:rsidRDefault="00C22BE3" w:rsidP="00A07AF5">
      <w:pPr>
        <w:keepNext/>
        <w:spacing w:before="840"/>
        <w:rPr>
          <w:sz w:val="18"/>
          <w:szCs w:val="16"/>
        </w:rPr>
      </w:pPr>
      <w:r w:rsidRPr="00792C3F">
        <w:rPr>
          <w:sz w:val="18"/>
          <w:szCs w:val="16"/>
        </w:rPr>
        <w:t>Note: The term student should be interpreted in the broadest sense to include all learners who participate in a wide range of tertiary education and training at various stages of their working li</w:t>
      </w:r>
      <w:r w:rsidR="005F4EAD" w:rsidRPr="00792C3F">
        <w:rPr>
          <w:sz w:val="18"/>
          <w:szCs w:val="16"/>
        </w:rPr>
        <w:t>ves</w:t>
      </w:r>
      <w:r w:rsidRPr="00792C3F">
        <w:rPr>
          <w:sz w:val="18"/>
          <w:szCs w:val="16"/>
        </w:rPr>
        <w:t>.</w:t>
      </w:r>
      <w:r w:rsidR="007B1A12" w:rsidRPr="00792C3F">
        <w:rPr>
          <w:sz w:val="18"/>
          <w:szCs w:val="16"/>
        </w:rPr>
        <w:t xml:space="preserve"> An alternative label for student is ‘learner’.</w:t>
      </w:r>
    </w:p>
    <w:p w14:paraId="7B624A12" w14:textId="77777777" w:rsidR="007E151C" w:rsidRDefault="007E151C">
      <w:pPr>
        <w:spacing w:before="0" w:after="200" w:line="276" w:lineRule="auto"/>
        <w:rPr>
          <w:sz w:val="18"/>
          <w:szCs w:val="16"/>
        </w:rPr>
      </w:pPr>
      <w:r>
        <w:rPr>
          <w:sz w:val="18"/>
          <w:szCs w:val="16"/>
        </w:rPr>
        <w:br w:type="page"/>
      </w:r>
    </w:p>
    <w:p w14:paraId="5F5B2E00" w14:textId="16F3BE05" w:rsidR="00E13B59" w:rsidRPr="001B5138" w:rsidRDefault="001B5138" w:rsidP="00E13B59">
      <w:pPr>
        <w:rPr>
          <w:b/>
          <w:bCs/>
          <w:i/>
          <w:iCs/>
        </w:rPr>
      </w:pPr>
      <w:r w:rsidRPr="001B5138">
        <w:rPr>
          <w:b/>
          <w:bCs/>
          <w:i/>
          <w:iCs/>
        </w:rPr>
        <w:lastRenderedPageBreak/>
        <w:t>D</w:t>
      </w:r>
      <w:r w:rsidR="000723EA" w:rsidRPr="001B5138">
        <w:rPr>
          <w:b/>
          <w:bCs/>
          <w:i/>
          <w:iCs/>
        </w:rPr>
        <w:t>escription of the system actors and their functions</w:t>
      </w:r>
      <w:r w:rsidR="00D363BD" w:rsidRPr="001B5138">
        <w:rPr>
          <w:b/>
          <w:bCs/>
          <w:i/>
          <w:iCs/>
        </w:rPr>
        <w:t>.</w:t>
      </w:r>
    </w:p>
    <w:p w14:paraId="40731A8C" w14:textId="77777777" w:rsidR="00D96CD1" w:rsidRDefault="009C1519" w:rsidP="00CA2EEF">
      <w:pPr>
        <w:pStyle w:val="Heading3"/>
      </w:pPr>
      <w:bookmarkStart w:id="55" w:name="_Toc189060421"/>
      <w:bookmarkStart w:id="56" w:name="_Toc189060511"/>
      <w:bookmarkStart w:id="57" w:name="_Toc189060769"/>
      <w:r>
        <w:rPr>
          <w:rStyle w:val="Characterbold"/>
          <w:b/>
        </w:rPr>
        <w:t>The Australian</w:t>
      </w:r>
      <w:r w:rsidR="00A06B0F" w:rsidRPr="00CA2EEF">
        <w:rPr>
          <w:rStyle w:val="Characterbold"/>
          <w:b/>
        </w:rPr>
        <w:t xml:space="preserve"> and state</w:t>
      </w:r>
      <w:r w:rsidR="002E6147">
        <w:rPr>
          <w:rStyle w:val="Characterbold"/>
          <w:b/>
        </w:rPr>
        <w:t xml:space="preserve"> and </w:t>
      </w:r>
      <w:r w:rsidR="00A06B0F" w:rsidRPr="00CA2EEF">
        <w:rPr>
          <w:rStyle w:val="Characterbold"/>
          <w:b/>
        </w:rPr>
        <w:t>territory governments</w:t>
      </w:r>
      <w:bookmarkEnd w:id="55"/>
      <w:bookmarkEnd w:id="56"/>
      <w:bookmarkEnd w:id="57"/>
    </w:p>
    <w:p w14:paraId="4646BFA4" w14:textId="77777777" w:rsidR="00D96CD1" w:rsidRDefault="00CA2EEF" w:rsidP="00CA2EEF">
      <w:pPr>
        <w:pStyle w:val="BodyText"/>
      </w:pPr>
      <w:r>
        <w:t xml:space="preserve">Australian governments at </w:t>
      </w:r>
      <w:r w:rsidR="009C1519">
        <w:t>all</w:t>
      </w:r>
      <w:r>
        <w:t xml:space="preserve"> levels</w:t>
      </w:r>
      <w:r w:rsidR="00A06B0F" w:rsidRPr="00A06B0F">
        <w:t xml:space="preserve"> are responsible for oversight of tertiary education. Tertiary harmonisation will ensure maximum funding efficiency, enabling governments to </w:t>
      </w:r>
      <w:r w:rsidR="00071DFC">
        <w:t xml:space="preserve">support more students and </w:t>
      </w:r>
      <w:r w:rsidR="00A06B0F" w:rsidRPr="00A06B0F">
        <w:t xml:space="preserve">to better invest in human capital and skills transitions. State </w:t>
      </w:r>
      <w:r w:rsidR="008A7F84">
        <w:t>and territory</w:t>
      </w:r>
      <w:r w:rsidR="00A06B0F" w:rsidRPr="00A06B0F">
        <w:t xml:space="preserve"> governments also regulate and administer trade licensing</w:t>
      </w:r>
      <w:r w:rsidR="00FD7D43">
        <w:t>,</w:t>
      </w:r>
      <w:r w:rsidR="001E0200">
        <w:t xml:space="preserve"> which </w:t>
      </w:r>
      <w:r w:rsidR="00C220C2">
        <w:t xml:space="preserve">must retain its integrity </w:t>
      </w:r>
      <w:r w:rsidR="001E0200">
        <w:t xml:space="preserve">for </w:t>
      </w:r>
      <w:r w:rsidR="00C220C2">
        <w:t xml:space="preserve">community </w:t>
      </w:r>
      <w:r w:rsidR="001E0200">
        <w:t>safety</w:t>
      </w:r>
      <w:r w:rsidR="00C220C2">
        <w:t xml:space="preserve"> and economic wellbeing</w:t>
      </w:r>
      <w:r w:rsidR="00A06B0F" w:rsidRPr="00A06B0F">
        <w:t>.</w:t>
      </w:r>
    </w:p>
    <w:p w14:paraId="57A3BAE8" w14:textId="77777777" w:rsidR="00D96CD1" w:rsidRDefault="00F93D47" w:rsidP="00E2509A">
      <w:pPr>
        <w:pStyle w:val="BodyText"/>
      </w:pPr>
      <w:r w:rsidRPr="00F93D47">
        <w:t xml:space="preserve">Australia’s tertiary regulatory framework consists of dual systems for VET and </w:t>
      </w:r>
      <w:r w:rsidR="006E36F3">
        <w:t>Higher Education</w:t>
      </w:r>
      <w:r w:rsidRPr="00F93D47">
        <w:t xml:space="preserve">, with additional complexity relating to state-based regulation in Victoria and Western Australia. While ASQA is the national VET regulator, the Victorian Registration and Qualifications Authority and the Western Australian Training and Accreditation Council are responsible for </w:t>
      </w:r>
      <w:r w:rsidR="00206427" w:rsidRPr="00206427">
        <w:t>registration and assurance of providers operating solely within the</w:t>
      </w:r>
      <w:r w:rsidRPr="00F93D47">
        <w:t xml:space="preserve"> </w:t>
      </w:r>
      <w:r w:rsidR="00094D11">
        <w:t>state</w:t>
      </w:r>
      <w:r w:rsidR="00BB32A4">
        <w:t xml:space="preserve"> plus general</w:t>
      </w:r>
      <w:r w:rsidRPr="00F93D47">
        <w:t xml:space="preserve"> accreditation </w:t>
      </w:r>
      <w:r w:rsidR="009507ED">
        <w:t>functions</w:t>
      </w:r>
      <w:r w:rsidRPr="00F93D47">
        <w:t xml:space="preserve"> </w:t>
      </w:r>
      <w:r w:rsidR="00EA4ECB">
        <w:t xml:space="preserve">of </w:t>
      </w:r>
      <w:r w:rsidR="00942A16">
        <w:t xml:space="preserve">courses </w:t>
      </w:r>
      <w:r w:rsidR="008748D5" w:rsidRPr="008748D5">
        <w:t>outside of national industry defined qualifications embedded in Training Packages</w:t>
      </w:r>
      <w:r w:rsidRPr="00F93D47">
        <w:t>.</w:t>
      </w:r>
    </w:p>
    <w:p w14:paraId="55EEEF39" w14:textId="584E8727" w:rsidR="00F93D47" w:rsidRDefault="00F93D47" w:rsidP="00E2509A">
      <w:pPr>
        <w:pStyle w:val="BodyText"/>
      </w:pPr>
      <w:r w:rsidRPr="00F93D47">
        <w:t xml:space="preserve">ASQA’s jurisdiction accounts for almost 90% of VET providers </w:t>
      </w:r>
      <w:sdt>
        <w:sdtPr>
          <w:id w:val="445737058"/>
          <w:citation/>
        </w:sdtPr>
        <w:sdtContent>
          <w:r w:rsidR="00945010">
            <w:fldChar w:fldCharType="begin"/>
          </w:r>
          <w:r w:rsidR="00945010">
            <w:instrText xml:space="preserve">CITATION Aus25 \l 3081 </w:instrText>
          </w:r>
          <w:r w:rsidR="00945010">
            <w:fldChar w:fldCharType="separate"/>
          </w:r>
          <w:r w:rsidR="00BD5991">
            <w:rPr>
              <w:noProof/>
            </w:rPr>
            <w:t>(ASQA, 2024)</w:t>
          </w:r>
          <w:r w:rsidR="00945010">
            <w:fldChar w:fldCharType="end"/>
          </w:r>
        </w:sdtContent>
      </w:sdt>
      <w:r w:rsidRPr="00F93D47">
        <w:t xml:space="preserve">. The Tertiary Education Quality and Standards Agency (TEQSA) is responsible for regulation and quality assurance in the </w:t>
      </w:r>
      <w:r w:rsidR="006E36F3">
        <w:t>Higher Education</w:t>
      </w:r>
      <w:r w:rsidRPr="00F93D47">
        <w:t xml:space="preserve"> sector</w:t>
      </w:r>
      <w:r w:rsidR="00685286">
        <w:fldChar w:fldCharType="begin"/>
      </w:r>
      <w:r w:rsidR="00923551">
        <w:instrText xml:space="preserve">CITATION Ter24 \l 3081 </w:instrText>
      </w:r>
      <w:r w:rsidR="00685286">
        <w:fldChar w:fldCharType="separate"/>
      </w:r>
      <w:r w:rsidR="00BD5991">
        <w:rPr>
          <w:noProof/>
        </w:rPr>
        <w:t xml:space="preserve"> (TEQSA, 2024)</w:t>
      </w:r>
      <w:r w:rsidR="00685286">
        <w:fldChar w:fldCharType="end"/>
      </w:r>
      <w:r w:rsidR="00685286">
        <w:t>.</w:t>
      </w:r>
    </w:p>
    <w:p w14:paraId="154C5FE0" w14:textId="485A0202" w:rsidR="001304D0" w:rsidRDefault="001304D0" w:rsidP="00E2509A">
      <w:pPr>
        <w:pStyle w:val="BodyText"/>
      </w:pPr>
      <w:r w:rsidRPr="001304D0">
        <w:t xml:space="preserve">All universities and some </w:t>
      </w:r>
      <w:r>
        <w:t xml:space="preserve">other </w:t>
      </w:r>
      <w:r w:rsidR="006E36F3">
        <w:t>Higher Education</w:t>
      </w:r>
      <w:r w:rsidRPr="001304D0">
        <w:t xml:space="preserve"> providers hold self-accreditation status, with accreditation responsibilities for other providers resting with TEQSA</w:t>
      </w:r>
      <w:r w:rsidR="001A0A68">
        <w:t>.</w:t>
      </w:r>
    </w:p>
    <w:p w14:paraId="2A0E0A87" w14:textId="0E81199A" w:rsidR="00994757" w:rsidRDefault="009E78FD" w:rsidP="00994757">
      <w:pPr>
        <w:pStyle w:val="BodyText"/>
      </w:pPr>
      <w:r>
        <w:t xml:space="preserve">A key actor in the system will be the Australian Tertiary Education Commission </w:t>
      </w:r>
      <w:r w:rsidR="00AC0807">
        <w:t xml:space="preserve">(ATEC) </w:t>
      </w:r>
      <w:r>
        <w:t xml:space="preserve">which will begin in an interim capacity from </w:t>
      </w:r>
      <w:r w:rsidR="00994757">
        <w:t>1 July 2025 and</w:t>
      </w:r>
      <w:r>
        <w:t xml:space="preserve"> be formally established from 1</w:t>
      </w:r>
      <w:r w:rsidR="00394DC1">
        <w:t> </w:t>
      </w:r>
      <w:r>
        <w:t>January 2026.</w:t>
      </w:r>
    </w:p>
    <w:p w14:paraId="25B5DD00" w14:textId="77777777" w:rsidR="00D96CD1" w:rsidRDefault="00A06B0F" w:rsidP="00994757">
      <w:pPr>
        <w:pStyle w:val="Heading3"/>
      </w:pPr>
      <w:bookmarkStart w:id="58" w:name="_Toc189060422"/>
      <w:bookmarkStart w:id="59" w:name="_Toc189060512"/>
      <w:bookmarkStart w:id="60" w:name="_Toc189060770"/>
      <w:r w:rsidRPr="00237A0C">
        <w:rPr>
          <w:rStyle w:val="Characterbold"/>
          <w:b/>
        </w:rPr>
        <w:t>VET Providers, such as TAFEs and private RTOs</w:t>
      </w:r>
      <w:r w:rsidRPr="00237A0C">
        <w:t>,</w:t>
      </w:r>
      <w:bookmarkEnd w:id="58"/>
      <w:bookmarkEnd w:id="59"/>
      <w:bookmarkEnd w:id="60"/>
    </w:p>
    <w:p w14:paraId="721CAC02" w14:textId="7C56B6F5" w:rsidR="00FE4BED" w:rsidRDefault="00237A0C" w:rsidP="00237A0C">
      <w:pPr>
        <w:pStyle w:val="BodyText"/>
      </w:pPr>
      <w:r>
        <w:t>VET provider</w:t>
      </w:r>
      <w:r w:rsidR="006106A8">
        <w:t>s</w:t>
      </w:r>
      <w:r>
        <w:t>, i</w:t>
      </w:r>
      <w:r w:rsidR="00A06B0F" w:rsidRPr="00A06B0F">
        <w:t>ncluding First Nations owned and/or operated RTOs</w:t>
      </w:r>
      <w:r w:rsidR="00394DC1">
        <w:t>,</w:t>
      </w:r>
      <w:r w:rsidR="00A06B0F" w:rsidRPr="00A06B0F">
        <w:t xml:space="preserve"> deliver training packages</w:t>
      </w:r>
      <w:r w:rsidR="00D7284A" w:rsidRPr="00D7284A">
        <w:t>, accredited courses and other programs</w:t>
      </w:r>
      <w:r w:rsidR="00A06B0F" w:rsidRPr="00A06B0F">
        <w:t>.</w:t>
      </w:r>
      <w:r w:rsidR="000C5FF6">
        <w:t xml:space="preserve"> </w:t>
      </w:r>
      <w:r w:rsidR="00EC072D">
        <w:t>T</w:t>
      </w:r>
      <w:r w:rsidR="00AB6CBB">
        <w:t xml:space="preserve">he largest </w:t>
      </w:r>
      <w:r w:rsidR="00FE4BED">
        <w:t>VET</w:t>
      </w:r>
      <w:r w:rsidR="00AB6CBB">
        <w:t xml:space="preserve"> courses </w:t>
      </w:r>
      <w:r w:rsidR="00456846">
        <w:t>are in the area of</w:t>
      </w:r>
      <w:r w:rsidR="00696996">
        <w:t>:</w:t>
      </w:r>
      <w:r w:rsidR="00456846">
        <w:t xml:space="preserve"> </w:t>
      </w:r>
      <w:r w:rsidR="0068097E">
        <w:t>childcare</w:t>
      </w:r>
      <w:r w:rsidR="001E147C">
        <w:t>, nursing s</w:t>
      </w:r>
      <w:r w:rsidR="00FE4BED">
        <w:t>upport,</w:t>
      </w:r>
      <w:r w:rsidR="001E147C">
        <w:t xml:space="preserve"> personal care workers</w:t>
      </w:r>
      <w:r w:rsidR="00195401">
        <w:t xml:space="preserve">, welfare support </w:t>
      </w:r>
      <w:r w:rsidR="00005E98">
        <w:t>workers</w:t>
      </w:r>
      <w:r w:rsidR="00696996">
        <w:t>,</w:t>
      </w:r>
      <w:r w:rsidR="00005E98">
        <w:t xml:space="preserve"> and </w:t>
      </w:r>
      <w:r w:rsidR="00FE4BED">
        <w:t>nursing</w:t>
      </w:r>
      <w:r w:rsidR="00437659">
        <w:t>.</w:t>
      </w:r>
    </w:p>
    <w:p w14:paraId="0053808D" w14:textId="77777777" w:rsidR="00D96CD1" w:rsidRDefault="000C5FF6" w:rsidP="00237A0C">
      <w:pPr>
        <w:pStyle w:val="BodyText"/>
      </w:pPr>
      <w:r>
        <w:t xml:space="preserve">They </w:t>
      </w:r>
      <w:r w:rsidR="00437659">
        <w:t>also</w:t>
      </w:r>
      <w:r>
        <w:t xml:space="preserve"> take key responsibility for </w:t>
      </w:r>
      <w:r w:rsidR="00BB4D46">
        <w:t xml:space="preserve">the education and training of </w:t>
      </w:r>
      <w:r w:rsidR="00DE51BB">
        <w:t>most</w:t>
      </w:r>
      <w:r w:rsidR="00BB4D46">
        <w:t xml:space="preserve"> trades and </w:t>
      </w:r>
      <w:r w:rsidR="00F5328F">
        <w:t>apprenticeship</w:t>
      </w:r>
      <w:r w:rsidR="00274D41">
        <w:t xml:space="preserve"> courses</w:t>
      </w:r>
      <w:r w:rsidR="007F2E12">
        <w:t xml:space="preserve"> as well as </w:t>
      </w:r>
      <w:r w:rsidR="00F337FA">
        <w:t xml:space="preserve">the </w:t>
      </w:r>
      <w:r w:rsidR="00BE32DB">
        <w:t>skill</w:t>
      </w:r>
      <w:r w:rsidR="00F337FA">
        <w:t xml:space="preserve"> sets that underpin </w:t>
      </w:r>
      <w:r w:rsidR="00010744">
        <w:t>many of Australia’s priority and emerging industries.</w:t>
      </w:r>
    </w:p>
    <w:p w14:paraId="4EAC81D3" w14:textId="77777777" w:rsidR="00D96CD1" w:rsidRDefault="00A06B0F" w:rsidP="00237A0C">
      <w:pPr>
        <w:pStyle w:val="BodyText"/>
      </w:pPr>
      <w:r w:rsidRPr="00A06B0F">
        <w:t xml:space="preserve">By working collaboratively with </w:t>
      </w:r>
      <w:r w:rsidR="006E36F3">
        <w:t>Higher Education</w:t>
      </w:r>
      <w:r w:rsidRPr="00A06B0F">
        <w:t xml:space="preserve"> in a more harmonised system, VET providers will be able to deliver a more flexible suite of training products for a wider body of students, including </w:t>
      </w:r>
      <w:r w:rsidR="006E36F3">
        <w:t>Higher Education</w:t>
      </w:r>
      <w:r w:rsidR="008D6F32" w:rsidRPr="00EA1879">
        <w:t xml:space="preserve"> </w:t>
      </w:r>
      <w:r w:rsidR="00874407">
        <w:t xml:space="preserve">students and </w:t>
      </w:r>
      <w:r w:rsidRPr="00A06B0F">
        <w:t>graduates. This will support an additional inflow of student enrolments</w:t>
      </w:r>
      <w:r w:rsidR="00AA68A4">
        <w:t xml:space="preserve"> as employers boost their upskilling</w:t>
      </w:r>
      <w:r w:rsidR="00AB61C1">
        <w:t xml:space="preserve"> </w:t>
      </w:r>
      <w:r w:rsidR="001F6E05">
        <w:t>plans</w:t>
      </w:r>
      <w:r w:rsidR="00237A0C">
        <w:t>.</w:t>
      </w:r>
    </w:p>
    <w:p w14:paraId="14437782" w14:textId="77777777" w:rsidR="00D96CD1" w:rsidRDefault="007C1B11" w:rsidP="00237A0C">
      <w:pPr>
        <w:pStyle w:val="BodyText"/>
      </w:pPr>
      <w:r>
        <w:t>Beyond institutional leaders, the wider</w:t>
      </w:r>
      <w:r w:rsidR="005C5E7D">
        <w:t xml:space="preserve"> VET workforce</w:t>
      </w:r>
      <w:r w:rsidR="00F538CD">
        <w:t xml:space="preserve"> </w:t>
      </w:r>
      <w:r w:rsidR="00120C12">
        <w:t>is</w:t>
      </w:r>
      <w:r w:rsidR="00F538CD">
        <w:t xml:space="preserve"> important to the process of tertiary harmonisation.</w:t>
      </w:r>
      <w:r w:rsidR="00D02DDA">
        <w:t xml:space="preserve"> </w:t>
      </w:r>
      <w:r w:rsidR="00941F1C">
        <w:t>T</w:t>
      </w:r>
      <w:r w:rsidR="002E727D">
        <w:t>he t</w:t>
      </w:r>
      <w:r w:rsidR="00941F1C">
        <w:t xml:space="preserve">ertiary harmonisation </w:t>
      </w:r>
      <w:r w:rsidR="002E727D">
        <w:t xml:space="preserve">roadmap </w:t>
      </w:r>
      <w:r w:rsidR="00941F1C">
        <w:t xml:space="preserve">needs to be attentive to the </w:t>
      </w:r>
      <w:r w:rsidR="006F27E5">
        <w:t>VET workforce</w:t>
      </w:r>
      <w:r w:rsidR="00BB54C4">
        <w:t xml:space="preserve">, </w:t>
      </w:r>
      <w:r w:rsidR="00E36CFC">
        <w:t xml:space="preserve">especially those involved in administrative processes for credit recognition </w:t>
      </w:r>
      <w:r w:rsidR="00D05337">
        <w:t xml:space="preserve">and student support </w:t>
      </w:r>
      <w:r w:rsidR="00E36CFC">
        <w:t>as well as those</w:t>
      </w:r>
      <w:r w:rsidR="00BB54C4">
        <w:t xml:space="preserve"> in teach</w:t>
      </w:r>
      <w:r w:rsidR="00E3374B">
        <w:t>ing</w:t>
      </w:r>
      <w:r w:rsidR="00BB54C4">
        <w:t>, train</w:t>
      </w:r>
      <w:r w:rsidR="00E3374B">
        <w:t>ing</w:t>
      </w:r>
      <w:r w:rsidR="00BB54C4">
        <w:t xml:space="preserve"> and assess</w:t>
      </w:r>
      <w:r w:rsidR="00E3374B">
        <w:t>ment</w:t>
      </w:r>
      <w:r w:rsidR="00BB54C4">
        <w:t xml:space="preserve"> roles</w:t>
      </w:r>
      <w:r w:rsidR="00E36CFC">
        <w:t>.</w:t>
      </w:r>
    </w:p>
    <w:p w14:paraId="4F60F51C" w14:textId="4AF42BDC" w:rsidR="002633FC" w:rsidRDefault="00E36CFC" w:rsidP="00CA1701">
      <w:pPr>
        <w:pStyle w:val="BodyText"/>
      </w:pPr>
      <w:r>
        <w:t xml:space="preserve">Since growth is expected, it will be particularly </w:t>
      </w:r>
      <w:r w:rsidR="00FE0589">
        <w:t>important</w:t>
      </w:r>
      <w:r w:rsidR="00577859">
        <w:t xml:space="preserve"> to </w:t>
      </w:r>
      <w:r w:rsidR="00155DE9">
        <w:t xml:space="preserve">ensure </w:t>
      </w:r>
      <w:r w:rsidR="000603AB">
        <w:t xml:space="preserve">an </w:t>
      </w:r>
      <w:r w:rsidR="00155DE9">
        <w:t xml:space="preserve">adequate supply of </w:t>
      </w:r>
      <w:r w:rsidR="00026D0C">
        <w:t>qualified teachers</w:t>
      </w:r>
      <w:r w:rsidR="00A028B6">
        <w:t xml:space="preserve">. </w:t>
      </w:r>
      <w:r w:rsidR="00A028B6" w:rsidRPr="00A028B6">
        <w:t xml:space="preserve">JSA's </w:t>
      </w:r>
      <w:r w:rsidR="00970B16">
        <w:t>VET</w:t>
      </w:r>
      <w:r w:rsidR="00A028B6" w:rsidRPr="00A028B6">
        <w:t xml:space="preserve"> Workforce Study shows that the VET sector is struggling to recruit VET teachers, who often leav</w:t>
      </w:r>
      <w:r w:rsidR="00BA29A0">
        <w:t>e the sector</w:t>
      </w:r>
      <w:r w:rsidR="00A028B6" w:rsidRPr="00A028B6">
        <w:t xml:space="preserve"> for higher paid roles</w:t>
      </w:r>
      <w:sdt>
        <w:sdtPr>
          <w:id w:val="-1957475309"/>
          <w:citation/>
        </w:sdtPr>
        <w:sdtContent>
          <w:r w:rsidR="00296AB1">
            <w:fldChar w:fldCharType="begin"/>
          </w:r>
          <w:r w:rsidR="00296AB1">
            <w:instrText xml:space="preserve">CITATION Job24 \l 3081 </w:instrText>
          </w:r>
          <w:r w:rsidR="00296AB1">
            <w:fldChar w:fldCharType="separate"/>
          </w:r>
          <w:r w:rsidR="00BD5991">
            <w:rPr>
              <w:noProof/>
            </w:rPr>
            <w:t xml:space="preserve"> (Jobs and Skills Australia, 2024)</w:t>
          </w:r>
          <w:r w:rsidR="00296AB1">
            <w:fldChar w:fldCharType="end"/>
          </w:r>
        </w:sdtContent>
      </w:sdt>
      <w:r w:rsidR="00A028B6" w:rsidRPr="00A028B6">
        <w:t>.</w:t>
      </w:r>
      <w:r w:rsidR="00A028B6">
        <w:t xml:space="preserve"> This is a key challenge for a workforce </w:t>
      </w:r>
      <w:r w:rsidR="00232626">
        <w:t xml:space="preserve">where individuals often </w:t>
      </w:r>
      <w:r w:rsidR="00A028B6">
        <w:t>requir</w:t>
      </w:r>
      <w:r w:rsidR="00232626">
        <w:t xml:space="preserve">e </w:t>
      </w:r>
      <w:r w:rsidR="00D02DDA">
        <w:t xml:space="preserve">both industry licensing and </w:t>
      </w:r>
      <w:r w:rsidR="00746B3A">
        <w:t>teaching qualifications</w:t>
      </w:r>
      <w:r w:rsidR="00B418F5">
        <w:t>, especially in industries where well</w:t>
      </w:r>
      <w:r w:rsidR="00153267">
        <w:t>-</w:t>
      </w:r>
      <w:r w:rsidR="00B418F5">
        <w:t>qualified workers are in high demand</w:t>
      </w:r>
      <w:r w:rsidR="00F554C9">
        <w:t>.</w:t>
      </w:r>
    </w:p>
    <w:p w14:paraId="643069FA" w14:textId="77777777" w:rsidR="00D96CD1" w:rsidRDefault="00E26BDC" w:rsidP="00101824">
      <w:pPr>
        <w:pStyle w:val="Heading3"/>
      </w:pPr>
      <w:r>
        <w:lastRenderedPageBreak/>
        <w:t xml:space="preserve"> </w:t>
      </w:r>
      <w:bookmarkStart w:id="61" w:name="_Toc189060423"/>
      <w:bookmarkStart w:id="62" w:name="_Toc189060513"/>
      <w:bookmarkStart w:id="63" w:name="_Toc189060771"/>
      <w:r w:rsidR="00A06B0F" w:rsidRPr="00107BE6">
        <w:rPr>
          <w:rStyle w:val="Characterbold"/>
          <w:b/>
        </w:rPr>
        <w:t xml:space="preserve">Higher </w:t>
      </w:r>
      <w:r w:rsidR="006E36F3">
        <w:rPr>
          <w:rStyle w:val="Characterbold"/>
          <w:b/>
        </w:rPr>
        <w:t>Education</w:t>
      </w:r>
      <w:r w:rsidR="00A06B0F" w:rsidRPr="00107BE6">
        <w:rPr>
          <w:rStyle w:val="Characterbold"/>
          <w:b/>
        </w:rPr>
        <w:t xml:space="preserve"> providers</w:t>
      </w:r>
      <w:bookmarkEnd w:id="61"/>
      <w:bookmarkEnd w:id="62"/>
      <w:bookmarkEnd w:id="63"/>
    </w:p>
    <w:p w14:paraId="3D7343C6" w14:textId="77777777" w:rsidR="00D96CD1" w:rsidRDefault="00107BE6" w:rsidP="00107BE6">
      <w:pPr>
        <w:pStyle w:val="BodyText"/>
      </w:pPr>
      <w:r>
        <w:t xml:space="preserve">Universities and other </w:t>
      </w:r>
      <w:r w:rsidR="006E36F3">
        <w:t>Higher Education</w:t>
      </w:r>
      <w:r>
        <w:t xml:space="preserve"> providers</w:t>
      </w:r>
      <w:r w:rsidR="00A06B0F" w:rsidRPr="00A06B0F">
        <w:t xml:space="preserve"> </w:t>
      </w:r>
      <w:r w:rsidR="00981905">
        <w:t>are</w:t>
      </w:r>
      <w:r w:rsidR="00A06B0F" w:rsidRPr="00A06B0F">
        <w:t xml:space="preserve"> responsible for liberal education</w:t>
      </w:r>
      <w:r w:rsidR="004D5E0B">
        <w:t xml:space="preserve">, which </w:t>
      </w:r>
      <w:r w:rsidR="00A12A14">
        <w:t xml:space="preserve">empowers students to </w:t>
      </w:r>
      <w:r w:rsidR="00C923B3">
        <w:t xml:space="preserve">deal with </w:t>
      </w:r>
      <w:r w:rsidR="00390A70">
        <w:t>complexity, diversity</w:t>
      </w:r>
      <w:r w:rsidR="00F37EBE">
        <w:t xml:space="preserve">, change, a </w:t>
      </w:r>
      <w:r w:rsidR="003B2596">
        <w:t>broad</w:t>
      </w:r>
      <w:r w:rsidR="00F37EBE">
        <w:t xml:space="preserve"> </w:t>
      </w:r>
      <w:r w:rsidR="00044711">
        <w:t>knowledge of the wider world</w:t>
      </w:r>
      <w:r w:rsidR="00035956">
        <w:t>,</w:t>
      </w:r>
      <w:r w:rsidR="00A06B0F" w:rsidRPr="00A06B0F">
        <w:t xml:space="preserve"> </w:t>
      </w:r>
      <w:r w:rsidR="00D47842">
        <w:t xml:space="preserve">as well as </w:t>
      </w:r>
      <w:r w:rsidR="0068794B">
        <w:t xml:space="preserve">critical inquiry in </w:t>
      </w:r>
      <w:r w:rsidR="00D47842">
        <w:t xml:space="preserve">a focused area </w:t>
      </w:r>
      <w:r w:rsidR="00A865CE">
        <w:t xml:space="preserve">of </w:t>
      </w:r>
      <w:r w:rsidR="00D821F7">
        <w:t>importance to them and to society</w:t>
      </w:r>
      <w:r w:rsidR="00A865CE">
        <w:t xml:space="preserve">. </w:t>
      </w:r>
      <w:r w:rsidR="00C220BE">
        <w:t>Additionally</w:t>
      </w:r>
      <w:r w:rsidR="00A865CE">
        <w:t>,</w:t>
      </w:r>
      <w:r w:rsidR="00C220BE">
        <w:t xml:space="preserve"> </w:t>
      </w:r>
      <w:r w:rsidR="006E36F3">
        <w:t>Higher Education</w:t>
      </w:r>
      <w:r w:rsidR="00246A35">
        <w:t xml:space="preserve"> is</w:t>
      </w:r>
      <w:r w:rsidR="00BD10B5">
        <w:t xml:space="preserve"> responsible for</w:t>
      </w:r>
      <w:r w:rsidR="00A06B0F" w:rsidRPr="00A06B0F">
        <w:t xml:space="preserve"> a substantial portion of the training of Australian professionals</w:t>
      </w:r>
      <w:r w:rsidR="005957E2">
        <w:t>.</w:t>
      </w:r>
    </w:p>
    <w:p w14:paraId="197F2DBC" w14:textId="77777777" w:rsidR="00D96CD1" w:rsidRDefault="005957E2" w:rsidP="00107BE6">
      <w:pPr>
        <w:pStyle w:val="BodyText"/>
      </w:pPr>
      <w:r>
        <w:t xml:space="preserve">Both </w:t>
      </w:r>
      <w:r w:rsidR="00982BCE">
        <w:t xml:space="preserve">liberal and professional </w:t>
      </w:r>
      <w:r w:rsidR="006E36F3">
        <w:t>Higher Education</w:t>
      </w:r>
      <w:r>
        <w:t xml:space="preserve"> are</w:t>
      </w:r>
      <w:r w:rsidR="00A06B0F" w:rsidRPr="00A06B0F">
        <w:t xml:space="preserve"> underpinned by </w:t>
      </w:r>
      <w:r w:rsidR="00671B89">
        <w:t>basic,</w:t>
      </w:r>
      <w:r w:rsidR="00CB446D">
        <w:t xml:space="preserve"> applied </w:t>
      </w:r>
      <w:r w:rsidR="00671B89">
        <w:t xml:space="preserve">and experimental </w:t>
      </w:r>
      <w:r w:rsidR="00A06B0F" w:rsidRPr="00A06B0F">
        <w:t xml:space="preserve">research that enhances knowledge and application of new </w:t>
      </w:r>
      <w:r w:rsidR="00495A92">
        <w:t xml:space="preserve">creative thinking, </w:t>
      </w:r>
      <w:r w:rsidR="00A06B0F" w:rsidRPr="00A06B0F">
        <w:t>techniques, methods and technologies to Australian industries and workplaces.</w:t>
      </w:r>
    </w:p>
    <w:p w14:paraId="4AD670DE" w14:textId="77777777" w:rsidR="00D96CD1" w:rsidRDefault="00A06B0F" w:rsidP="00107BE6">
      <w:pPr>
        <w:pStyle w:val="BodyText"/>
      </w:pPr>
      <w:r w:rsidRPr="00A06B0F">
        <w:t xml:space="preserve">Many aspects of </w:t>
      </w:r>
      <w:r w:rsidR="006E36F3">
        <w:t>Higher Education</w:t>
      </w:r>
      <w:r w:rsidR="0058670C">
        <w:noBreakHyphen/>
        <w:t>based</w:t>
      </w:r>
      <w:r w:rsidRPr="00A06B0F">
        <w:t xml:space="preserve"> skill</w:t>
      </w:r>
      <w:r w:rsidR="00B034CD">
        <w:t>s</w:t>
      </w:r>
      <w:r w:rsidRPr="00A06B0F">
        <w:t xml:space="preserve"> and knowledge overlap with </w:t>
      </w:r>
      <w:r w:rsidR="00F65CAC">
        <w:t xml:space="preserve">or complement </w:t>
      </w:r>
      <w:r w:rsidRPr="00A06B0F">
        <w:t>work performed by people holding VET qualifications</w:t>
      </w:r>
      <w:r w:rsidR="00F83065">
        <w:t xml:space="preserve"> - which also include a combination of skills and knowledge</w:t>
      </w:r>
      <w:r w:rsidRPr="00A06B0F">
        <w:t>.</w:t>
      </w:r>
    </w:p>
    <w:p w14:paraId="66EC8027" w14:textId="0A110AC2" w:rsidR="00A06B0F" w:rsidRDefault="00A06B0F" w:rsidP="00107BE6">
      <w:pPr>
        <w:pStyle w:val="BodyText"/>
      </w:pPr>
      <w:r w:rsidRPr="00A06B0F">
        <w:t xml:space="preserve">Tertiary harmonisation will </w:t>
      </w:r>
      <w:r w:rsidR="00EE64FA">
        <w:t xml:space="preserve">help address </w:t>
      </w:r>
      <w:r w:rsidR="00AE006E">
        <w:t>shifting</w:t>
      </w:r>
      <w:r w:rsidR="00006891">
        <w:t xml:space="preserve"> career goals and </w:t>
      </w:r>
      <w:r w:rsidR="00EE64FA">
        <w:t xml:space="preserve">the skills gap </w:t>
      </w:r>
      <w:r w:rsidR="004924EC">
        <w:t xml:space="preserve">identified </w:t>
      </w:r>
      <w:r w:rsidR="005C261D">
        <w:t>by</w:t>
      </w:r>
      <w:r w:rsidR="00EE64FA">
        <w:t xml:space="preserve"> employers</w:t>
      </w:r>
      <w:r w:rsidR="00375F93">
        <w:t xml:space="preserve">, </w:t>
      </w:r>
      <w:r w:rsidRPr="00A06B0F">
        <w:t xml:space="preserve">support a new flow of students into </w:t>
      </w:r>
      <w:r w:rsidR="006E36F3">
        <w:t>Higher Education</w:t>
      </w:r>
      <w:r w:rsidRPr="00A06B0F">
        <w:t xml:space="preserve"> via VET pathways</w:t>
      </w:r>
      <w:r w:rsidR="00E03BA3">
        <w:t>,</w:t>
      </w:r>
      <w:r w:rsidRPr="00A06B0F">
        <w:t xml:space="preserve"> and enabl</w:t>
      </w:r>
      <w:r w:rsidR="00E03BA3">
        <w:t>ing</w:t>
      </w:r>
      <w:r w:rsidRPr="00A06B0F">
        <w:t xml:space="preserve"> </w:t>
      </w:r>
      <w:r w:rsidR="006E36F3">
        <w:t>Higher Education</w:t>
      </w:r>
      <w:r w:rsidR="008D6F32" w:rsidRPr="00A06B0F">
        <w:t xml:space="preserve"> </w:t>
      </w:r>
      <w:r w:rsidRPr="00A06B0F">
        <w:t>students and graduates to gain hands-on skills that are currently only available via VET.</w:t>
      </w:r>
    </w:p>
    <w:p w14:paraId="48CEAB2D" w14:textId="45F23BB9" w:rsidR="00C2017B" w:rsidRDefault="0075732E">
      <w:pPr>
        <w:pStyle w:val="BodyText"/>
      </w:pPr>
      <w:r>
        <w:t xml:space="preserve">The </w:t>
      </w:r>
      <w:r w:rsidR="003162FB">
        <w:t xml:space="preserve">Higher </w:t>
      </w:r>
      <w:r w:rsidR="006E36F3">
        <w:t>Education</w:t>
      </w:r>
      <w:r w:rsidR="003162FB">
        <w:t xml:space="preserve"> workforce</w:t>
      </w:r>
      <w:r w:rsidR="008F057E">
        <w:t xml:space="preserve"> </w:t>
      </w:r>
      <w:r w:rsidR="009C4935">
        <w:t xml:space="preserve">will also need to participate in processes of </w:t>
      </w:r>
      <w:r w:rsidR="00295021">
        <w:t>credit transfer</w:t>
      </w:r>
      <w:r w:rsidR="00542879">
        <w:t xml:space="preserve">, </w:t>
      </w:r>
      <w:r w:rsidR="009C4935">
        <w:t>qualification design</w:t>
      </w:r>
      <w:r w:rsidR="00E421B3">
        <w:t>, teaching</w:t>
      </w:r>
      <w:r w:rsidR="009C4935">
        <w:t xml:space="preserve"> and </w:t>
      </w:r>
      <w:r w:rsidR="00542879">
        <w:t>student support</w:t>
      </w:r>
      <w:r w:rsidR="009C4935">
        <w:t xml:space="preserve"> in a more harmonised system</w:t>
      </w:r>
      <w:r w:rsidR="00B62BC4">
        <w:t xml:space="preserve">. This workforce </w:t>
      </w:r>
      <w:r w:rsidR="003162FB">
        <w:t xml:space="preserve">has </w:t>
      </w:r>
      <w:r w:rsidR="009C4935">
        <w:t xml:space="preserve">been </w:t>
      </w:r>
      <w:r w:rsidR="005C2E1B">
        <w:t>high</w:t>
      </w:r>
      <w:r w:rsidR="00805C6E">
        <w:t>ly</w:t>
      </w:r>
      <w:r w:rsidR="005C2E1B">
        <w:t xml:space="preserve"> </w:t>
      </w:r>
      <w:r w:rsidR="00970B16">
        <w:t>casualised</w:t>
      </w:r>
      <w:r w:rsidR="00FF3EA6">
        <w:t xml:space="preserve"> </w:t>
      </w:r>
      <w:r w:rsidR="008B3C59">
        <w:t xml:space="preserve">in the past, </w:t>
      </w:r>
      <w:r w:rsidR="002A0196">
        <w:t>and</w:t>
      </w:r>
      <w:r w:rsidR="00FF3EA6">
        <w:t xml:space="preserve"> </w:t>
      </w:r>
      <w:r w:rsidR="00805C6E">
        <w:t xml:space="preserve">subject to </w:t>
      </w:r>
      <w:r w:rsidR="009C66C3">
        <w:t>a marked</w:t>
      </w:r>
      <w:r w:rsidR="002A0196">
        <w:t xml:space="preserve"> </w:t>
      </w:r>
      <w:r w:rsidR="009C66C3">
        <w:t xml:space="preserve">volatility since </w:t>
      </w:r>
      <w:r w:rsidR="002A0196">
        <w:t>the 2020 Covid</w:t>
      </w:r>
      <w:r w:rsidR="00FB1FCA">
        <w:t xml:space="preserve"> </w:t>
      </w:r>
      <w:r w:rsidR="00CA56B7">
        <w:t>disruptions</w:t>
      </w:r>
      <w:r w:rsidR="00FB1FCA">
        <w:t xml:space="preserve">. </w:t>
      </w:r>
      <w:r w:rsidR="00534939">
        <w:t xml:space="preserve">Tertiary harmonisation </w:t>
      </w:r>
      <w:r w:rsidR="007D27F0">
        <w:t xml:space="preserve">presents an opportunity for the </w:t>
      </w:r>
      <w:r w:rsidR="006E36F3">
        <w:t>Higher Education</w:t>
      </w:r>
      <w:r w:rsidR="007D27F0">
        <w:t xml:space="preserve"> sector to </w:t>
      </w:r>
      <w:r w:rsidR="002B13C5">
        <w:t>draw on the administrative and subject matter expertise of its workforce to better link research</w:t>
      </w:r>
      <w:r w:rsidR="00335C17">
        <w:t xml:space="preserve"> and application via </w:t>
      </w:r>
      <w:r w:rsidR="00925371">
        <w:t xml:space="preserve">credit recognition, </w:t>
      </w:r>
      <w:r w:rsidR="00774710">
        <w:t>teaching and qualification design.</w:t>
      </w:r>
    </w:p>
    <w:p w14:paraId="6A7675E2" w14:textId="77777777" w:rsidR="00D96CD1" w:rsidRDefault="00774710" w:rsidP="003C7CA6">
      <w:pPr>
        <w:pStyle w:val="Heading3"/>
      </w:pPr>
      <w:r>
        <w:t xml:space="preserve"> </w:t>
      </w:r>
      <w:bookmarkStart w:id="64" w:name="_Toc189060424"/>
      <w:bookmarkStart w:id="65" w:name="_Toc189060514"/>
      <w:bookmarkStart w:id="66" w:name="_Toc189060772"/>
      <w:r w:rsidR="00A75BF2" w:rsidRPr="00A75BF2">
        <w:rPr>
          <w:rStyle w:val="Characterbold"/>
          <w:b/>
        </w:rPr>
        <w:t>Industry and</w:t>
      </w:r>
      <w:r w:rsidR="00A75BF2">
        <w:rPr>
          <w:rStyle w:val="Characterbold"/>
        </w:rPr>
        <w:t xml:space="preserve"> </w:t>
      </w:r>
      <w:r w:rsidR="00A06B0F" w:rsidRPr="009F121C">
        <w:rPr>
          <w:rStyle w:val="Characterbold"/>
          <w:b/>
        </w:rPr>
        <w:t>Employers</w:t>
      </w:r>
      <w:bookmarkEnd w:id="64"/>
      <w:bookmarkEnd w:id="65"/>
      <w:bookmarkEnd w:id="66"/>
    </w:p>
    <w:p w14:paraId="183E0A56" w14:textId="74292B7E" w:rsidR="000A67A0" w:rsidRDefault="009F121C" w:rsidP="009F121C">
      <w:pPr>
        <w:pStyle w:val="BodyText"/>
      </w:pPr>
      <w:r>
        <w:t xml:space="preserve">Employers </w:t>
      </w:r>
      <w:r w:rsidR="00A06B0F" w:rsidRPr="00A06B0F">
        <w:t xml:space="preserve">have a role in recruiting graduates of VET and </w:t>
      </w:r>
      <w:r w:rsidR="006E36F3">
        <w:t>Higher Education</w:t>
      </w:r>
      <w:r w:rsidR="00A06B0F" w:rsidRPr="00A06B0F">
        <w:t xml:space="preserve"> study programs </w:t>
      </w:r>
      <w:r w:rsidR="000A67A0">
        <w:t>and</w:t>
      </w:r>
      <w:r w:rsidR="00A06B0F" w:rsidRPr="00A06B0F">
        <w:t xml:space="preserve"> as sponsors and facilitators of workplace-based training and further professional development. </w:t>
      </w:r>
      <w:r w:rsidR="00EA0321">
        <w:t xml:space="preserve">They are </w:t>
      </w:r>
      <w:r w:rsidR="003807A5">
        <w:t xml:space="preserve">thus expected to be </w:t>
      </w:r>
      <w:r w:rsidR="00EA0321">
        <w:t xml:space="preserve">co-investors </w:t>
      </w:r>
      <w:r w:rsidR="003807A5">
        <w:t>in tertiary education</w:t>
      </w:r>
      <w:r w:rsidR="00CB2CF7">
        <w:t xml:space="preserve">, especially </w:t>
      </w:r>
      <w:r w:rsidR="00CF55E4">
        <w:t>in areas that apply</w:t>
      </w:r>
      <w:r w:rsidR="00CB2CF7">
        <w:t xml:space="preserve"> to their specific workplace.</w:t>
      </w:r>
    </w:p>
    <w:p w14:paraId="7387FE63" w14:textId="77777777" w:rsidR="00D96CD1" w:rsidRDefault="00A06B0F" w:rsidP="009F121C">
      <w:pPr>
        <w:pStyle w:val="BodyText"/>
      </w:pPr>
      <w:r w:rsidRPr="00A06B0F">
        <w:t>Many industries with growing labour needs are undergoing significant transitions, with more changes on the horizon</w:t>
      </w:r>
      <w:r w:rsidR="004A7EBC">
        <w:t xml:space="preserve">. A WEF study </w:t>
      </w:r>
      <w:r w:rsidR="00710F40">
        <w:t>found that</w:t>
      </w:r>
      <w:r w:rsidR="00C4135F">
        <w:t xml:space="preserve"> 85% of employers </w:t>
      </w:r>
      <w:r w:rsidR="00E1343E">
        <w:t>report their intention to upskill their workforce</w:t>
      </w:r>
      <w:sdt>
        <w:sdtPr>
          <w:id w:val="-1796360768"/>
          <w:citation/>
        </w:sdtPr>
        <w:sdtContent>
          <w:r w:rsidR="002B7922">
            <w:fldChar w:fldCharType="begin"/>
          </w:r>
          <w:r w:rsidR="002B7922">
            <w:instrText xml:space="preserve"> CITATION Wor25 \l 3081 </w:instrText>
          </w:r>
          <w:r w:rsidR="002B7922">
            <w:fldChar w:fldCharType="separate"/>
          </w:r>
          <w:r w:rsidR="00BD5991">
            <w:rPr>
              <w:noProof/>
            </w:rPr>
            <w:t xml:space="preserve"> (World Economic Forum, 2025)</w:t>
          </w:r>
          <w:r w:rsidR="002B7922">
            <w:fldChar w:fldCharType="end"/>
          </w:r>
        </w:sdtContent>
      </w:sdt>
      <w:r w:rsidR="002B7922">
        <w:t>.</w:t>
      </w:r>
    </w:p>
    <w:p w14:paraId="36DB4A4A" w14:textId="0B771C5E" w:rsidR="003F00F8" w:rsidRDefault="00F42392" w:rsidP="009F121C">
      <w:pPr>
        <w:pStyle w:val="BodyText"/>
      </w:pPr>
      <w:r>
        <w:t>Industries undergoing</w:t>
      </w:r>
      <w:r w:rsidR="0062489D">
        <w:t xml:space="preserve"> transitions</w:t>
      </w:r>
      <w:r w:rsidR="00282ACE">
        <w:t xml:space="preserve"> will benefit from collaborating with VET and </w:t>
      </w:r>
      <w:r w:rsidR="006E36F3">
        <w:t>Higher Education</w:t>
      </w:r>
      <w:r w:rsidR="00282ACE">
        <w:t xml:space="preserve"> institutions</w:t>
      </w:r>
      <w:r w:rsidR="0033532E">
        <w:t xml:space="preserve">, often together, to </w:t>
      </w:r>
      <w:r w:rsidR="00564C6E">
        <w:t xml:space="preserve">upskill the </w:t>
      </w:r>
      <w:r w:rsidR="003D071A">
        <w:t>changing workforce</w:t>
      </w:r>
      <w:r w:rsidR="00522E24">
        <w:t>.</w:t>
      </w:r>
      <w:r w:rsidR="0067685D">
        <w:t xml:space="preserve"> </w:t>
      </w:r>
      <w:r w:rsidR="00F526D6">
        <w:t xml:space="preserve">This will </w:t>
      </w:r>
      <w:r w:rsidR="00B93B4B">
        <w:t xml:space="preserve">extend the findings of the </w:t>
      </w:r>
      <w:r w:rsidR="00A22D18" w:rsidRPr="00A22D18">
        <w:t xml:space="preserve">University-Industry Collaboration in Teaching and Learning Review </w:t>
      </w:r>
      <w:r w:rsidR="00680D7B">
        <w:t xml:space="preserve">to incorporate </w:t>
      </w:r>
      <w:r w:rsidR="00D12CC0">
        <w:t xml:space="preserve">the </w:t>
      </w:r>
      <w:r w:rsidR="00E104C7">
        <w:t>VET</w:t>
      </w:r>
      <w:r w:rsidR="00D12CC0">
        <w:t xml:space="preserve"> sector</w:t>
      </w:r>
      <w:sdt>
        <w:sdtPr>
          <w:id w:val="930939868"/>
          <w:citation/>
        </w:sdtPr>
        <w:sdtContent>
          <w:r w:rsidR="008263C3">
            <w:fldChar w:fldCharType="begin"/>
          </w:r>
          <w:r w:rsidR="008263C3">
            <w:instrText xml:space="preserve">CITATION Bea \l 3081 </w:instrText>
          </w:r>
          <w:r w:rsidR="008263C3">
            <w:fldChar w:fldCharType="separate"/>
          </w:r>
          <w:r w:rsidR="00BD5991">
            <w:rPr>
              <w:noProof/>
            </w:rPr>
            <w:t xml:space="preserve"> (Bean &amp; Dawkins, 2021)</w:t>
          </w:r>
          <w:r w:rsidR="008263C3">
            <w:fldChar w:fldCharType="end"/>
          </w:r>
        </w:sdtContent>
      </w:sdt>
      <w:r w:rsidR="003F00F8">
        <w:t>.</w:t>
      </w:r>
    </w:p>
    <w:p w14:paraId="1FF00E63" w14:textId="77777777" w:rsidR="00D96CD1" w:rsidRDefault="003F00F8" w:rsidP="009F121C">
      <w:pPr>
        <w:pStyle w:val="BodyText"/>
      </w:pPr>
      <w:r>
        <w:t>M</w:t>
      </w:r>
      <w:r w:rsidR="00141864">
        <w:t>any of the findings of that review</w:t>
      </w:r>
      <w:r>
        <w:t xml:space="preserve">, including </w:t>
      </w:r>
      <w:r w:rsidR="00C40439">
        <w:t>the NST, AQF reform</w:t>
      </w:r>
      <w:r w:rsidR="00AA7B9A">
        <w:t xml:space="preserve"> and a unified credentials platform confirm the fact that a</w:t>
      </w:r>
      <w:r w:rsidR="0067685D">
        <w:t xml:space="preserve"> more harmonised system will better enable industries to </w:t>
      </w:r>
      <w:r w:rsidR="00C46E41">
        <w:t xml:space="preserve">apply </w:t>
      </w:r>
      <w:r w:rsidR="004D30B1">
        <w:t xml:space="preserve">the latest </w:t>
      </w:r>
      <w:r w:rsidR="000B515A">
        <w:t xml:space="preserve">research and development </w:t>
      </w:r>
      <w:r w:rsidR="007D37DF">
        <w:t xml:space="preserve">and upskill </w:t>
      </w:r>
      <w:r w:rsidR="00AA3BBB">
        <w:t>their workforce at multiple levels (for individuals and for the industry workforce)</w:t>
      </w:r>
      <w:r w:rsidR="0059246B">
        <w:t>.</w:t>
      </w:r>
    </w:p>
    <w:p w14:paraId="19FD41F8" w14:textId="447D8F52" w:rsidR="00A06B0F" w:rsidRPr="00A06B0F" w:rsidRDefault="0059246B" w:rsidP="009F121C">
      <w:pPr>
        <w:pStyle w:val="BodyText"/>
      </w:pPr>
      <w:r>
        <w:t>Industry bodies and individual e</w:t>
      </w:r>
      <w:r w:rsidR="009E1A56">
        <w:t>mployers</w:t>
      </w:r>
      <w:r w:rsidR="00A06B0F" w:rsidRPr="00A06B0F">
        <w:t xml:space="preserve"> will benefit from a more agile tertiary system that is well positioned to respond</w:t>
      </w:r>
      <w:r w:rsidR="0076241F">
        <w:t xml:space="preserve"> to technological and economic change</w:t>
      </w:r>
      <w:r w:rsidR="00250A23">
        <w:t>,</w:t>
      </w:r>
      <w:r w:rsidR="00A06B0F" w:rsidRPr="00A06B0F">
        <w:t xml:space="preserve"> </w:t>
      </w:r>
      <w:r w:rsidR="00250A23">
        <w:t>producing</w:t>
      </w:r>
      <w:r w:rsidR="00A06B0F" w:rsidRPr="00A06B0F">
        <w:t xml:space="preserve"> graduates </w:t>
      </w:r>
      <w:r w:rsidR="00F51845">
        <w:t xml:space="preserve">with creative thinking skills </w:t>
      </w:r>
      <w:r w:rsidR="00A06B0F" w:rsidRPr="00A06B0F">
        <w:t xml:space="preserve">that are able to apply </w:t>
      </w:r>
      <w:r w:rsidR="00250A23">
        <w:t>the latest</w:t>
      </w:r>
      <w:r w:rsidR="00A06B0F" w:rsidRPr="00A06B0F">
        <w:t xml:space="preserve"> </w:t>
      </w:r>
      <w:r w:rsidR="00125B4E">
        <w:t>discoveries</w:t>
      </w:r>
      <w:r w:rsidR="00A06B0F" w:rsidRPr="00A06B0F">
        <w:t xml:space="preserve"> and techniques. A more harmonised tertiary system, with </w:t>
      </w:r>
      <w:r w:rsidR="00C20AFC">
        <w:t>greater</w:t>
      </w:r>
      <w:r w:rsidR="009E1A56">
        <w:t xml:space="preserve"> </w:t>
      </w:r>
      <w:r w:rsidR="00C20AFC">
        <w:t>involvement</w:t>
      </w:r>
      <w:r w:rsidR="009E1A56">
        <w:t xml:space="preserve"> of </w:t>
      </w:r>
      <w:r w:rsidR="00916A0A">
        <w:t xml:space="preserve">industry and </w:t>
      </w:r>
      <w:r w:rsidR="009E1A56">
        <w:t>employer</w:t>
      </w:r>
      <w:r w:rsidR="00916A0A">
        <w:t xml:space="preserve"> group</w:t>
      </w:r>
      <w:r w:rsidR="009E1A56">
        <w:t xml:space="preserve">s in the </w:t>
      </w:r>
      <w:r w:rsidR="00706803">
        <w:lastRenderedPageBreak/>
        <w:t>tertiary</w:t>
      </w:r>
      <w:r w:rsidR="009E1A56">
        <w:t xml:space="preserve"> education system </w:t>
      </w:r>
      <w:r w:rsidR="00A06B0F" w:rsidRPr="00A06B0F">
        <w:t>with</w:t>
      </w:r>
      <w:r w:rsidR="00072E98">
        <w:t xml:space="preserve"> some</w:t>
      </w:r>
      <w:r w:rsidR="00A06B0F" w:rsidRPr="00A06B0F">
        <w:t xml:space="preserve"> training occurring in workplaces will more efficiently </w:t>
      </w:r>
      <w:r w:rsidR="006B0267">
        <w:t>deliver</w:t>
      </w:r>
      <w:r w:rsidR="00A06B0F" w:rsidRPr="00A06B0F">
        <w:t xml:space="preserve"> Australia’s workforce needs.</w:t>
      </w:r>
    </w:p>
    <w:p w14:paraId="2FF5048D" w14:textId="77777777" w:rsidR="00D96CD1" w:rsidRDefault="004B1A4C" w:rsidP="005B050C">
      <w:pPr>
        <w:pStyle w:val="Heading3"/>
      </w:pPr>
      <w:bookmarkStart w:id="67" w:name="_Toc189060425"/>
      <w:bookmarkStart w:id="68" w:name="_Toc189060515"/>
      <w:bookmarkStart w:id="69" w:name="_Toc189060773"/>
      <w:r w:rsidRPr="005B050C">
        <w:rPr>
          <w:rStyle w:val="Characterbold"/>
          <w:b/>
        </w:rPr>
        <w:t xml:space="preserve">Licensing and </w:t>
      </w:r>
      <w:r w:rsidR="00A06B0F" w:rsidRPr="005B050C">
        <w:rPr>
          <w:rStyle w:val="Characterbold"/>
          <w:b/>
        </w:rPr>
        <w:t>accreditation bodies</w:t>
      </w:r>
      <w:bookmarkEnd w:id="67"/>
      <w:bookmarkEnd w:id="68"/>
      <w:bookmarkEnd w:id="69"/>
    </w:p>
    <w:p w14:paraId="6DEE591E" w14:textId="4F73FE71" w:rsidR="00CD1597" w:rsidRDefault="005B050C" w:rsidP="005B050C">
      <w:pPr>
        <w:pStyle w:val="BodyText"/>
      </w:pPr>
      <w:r>
        <w:t xml:space="preserve">Licensing bodies </w:t>
      </w:r>
      <w:r w:rsidR="004B1A4C">
        <w:t>(</w:t>
      </w:r>
      <w:r w:rsidR="00F53BE6">
        <w:t>e.g.</w:t>
      </w:r>
      <w:r w:rsidR="004B1A4C">
        <w:t xml:space="preserve"> for trades licensing and profession</w:t>
      </w:r>
      <w:r w:rsidR="004A0724">
        <w:t>al</w:t>
      </w:r>
      <w:r w:rsidR="001844EC">
        <w:t xml:space="preserve"> accreditation</w:t>
      </w:r>
      <w:r w:rsidR="004B1A4C">
        <w:t xml:space="preserve">) </w:t>
      </w:r>
      <w:r w:rsidR="00A06B0F" w:rsidRPr="00A06B0F">
        <w:t xml:space="preserve">have responsibility for maintaining standards in the application in key industries and sectors that underpin </w:t>
      </w:r>
      <w:r w:rsidR="00036AD8">
        <w:t xml:space="preserve">many aspects of </w:t>
      </w:r>
      <w:r w:rsidR="00DC749D">
        <w:t>our workforce capacity</w:t>
      </w:r>
      <w:r w:rsidR="00036AD8">
        <w:t xml:space="preserve">, </w:t>
      </w:r>
      <w:r w:rsidR="00DC749D">
        <w:t>including</w:t>
      </w:r>
      <w:r w:rsidR="00036AD8">
        <w:t xml:space="preserve"> </w:t>
      </w:r>
      <w:r w:rsidR="00A06B0F" w:rsidRPr="00A06B0F">
        <w:t xml:space="preserve">Australia’s health, infrastructure, safety, and educational capacities. </w:t>
      </w:r>
      <w:r w:rsidR="00217B7C">
        <w:t xml:space="preserve">Tertiary harmonisation will establish more flexible opportunities </w:t>
      </w:r>
      <w:r w:rsidR="009557B7">
        <w:t>in</w:t>
      </w:r>
      <w:r w:rsidR="00217B7C">
        <w:t xml:space="preserve"> </w:t>
      </w:r>
      <w:r w:rsidR="009557B7">
        <w:t>qualification</w:t>
      </w:r>
      <w:r w:rsidR="004454F0">
        <w:t>s relevant to their industries.</w:t>
      </w:r>
    </w:p>
    <w:p w14:paraId="7C2F19EA" w14:textId="77777777" w:rsidR="00D96CD1" w:rsidRDefault="00A06B0F" w:rsidP="00220E4A">
      <w:pPr>
        <w:pStyle w:val="Heading3"/>
      </w:pPr>
      <w:bookmarkStart w:id="70" w:name="_Toc189060426"/>
      <w:bookmarkStart w:id="71" w:name="_Toc189060516"/>
      <w:bookmarkStart w:id="72" w:name="_Toc189060774"/>
      <w:r w:rsidRPr="00220E4A">
        <w:rPr>
          <w:rStyle w:val="Characterbold"/>
          <w:b/>
        </w:rPr>
        <w:t>Unions</w:t>
      </w:r>
      <w:bookmarkEnd w:id="70"/>
      <w:bookmarkEnd w:id="71"/>
      <w:bookmarkEnd w:id="72"/>
    </w:p>
    <w:p w14:paraId="02E9A1B8" w14:textId="77777777" w:rsidR="00D96CD1" w:rsidRDefault="00220E4A" w:rsidP="00220E4A">
      <w:pPr>
        <w:pStyle w:val="BodyText"/>
      </w:pPr>
      <w:r>
        <w:t xml:space="preserve">Unions </w:t>
      </w:r>
      <w:r w:rsidR="00A06B0F" w:rsidRPr="00A06B0F">
        <w:t xml:space="preserve">represent </w:t>
      </w:r>
      <w:r w:rsidR="00C858D6">
        <w:t xml:space="preserve">their </w:t>
      </w:r>
      <w:r w:rsidR="00A06B0F" w:rsidRPr="00A06B0F">
        <w:t>members</w:t>
      </w:r>
      <w:r w:rsidR="001005CD">
        <w:t>,</w:t>
      </w:r>
      <w:r w:rsidR="00A06B0F" w:rsidRPr="00A06B0F">
        <w:t xml:space="preserve"> </w:t>
      </w:r>
      <w:r w:rsidR="00F115FF">
        <w:t>working</w:t>
      </w:r>
      <w:r w:rsidR="00A06B0F" w:rsidRPr="00A06B0F">
        <w:t xml:space="preserve"> </w:t>
      </w:r>
      <w:r w:rsidR="001005CD">
        <w:t xml:space="preserve">in </w:t>
      </w:r>
      <w:r w:rsidR="004B58F1">
        <w:t>selected</w:t>
      </w:r>
      <w:r w:rsidR="00A06B0F" w:rsidRPr="00A06B0F">
        <w:t xml:space="preserve"> industries and sectors where workplace safety, working conditions, pay rates and union coverage are often related to levels and standards of education and training, including in certain awards. The increased flexibility enabled by tertiary harmonisation will provide a basis for unions to support skill recognition and upskilling, improving wages</w:t>
      </w:r>
      <w:r w:rsidR="00301577">
        <w:t>, safety, mobility</w:t>
      </w:r>
      <w:r w:rsidR="00A06B0F" w:rsidRPr="00A06B0F">
        <w:t xml:space="preserve"> and employment opportunity for their members.</w:t>
      </w:r>
    </w:p>
    <w:p w14:paraId="25D25C98" w14:textId="77777777" w:rsidR="00D96CD1" w:rsidRDefault="007F723A" w:rsidP="007F723A">
      <w:pPr>
        <w:pStyle w:val="Heading3"/>
      </w:pPr>
      <w:r w:rsidRPr="007F723A">
        <w:rPr>
          <w:rStyle w:val="Characterbold"/>
          <w:b/>
        </w:rPr>
        <w:t>Jobs and Skills Councils</w:t>
      </w:r>
    </w:p>
    <w:p w14:paraId="1DF66569" w14:textId="77777777" w:rsidR="00D96CD1" w:rsidRDefault="007F723A" w:rsidP="007F723A">
      <w:pPr>
        <w:pStyle w:val="BodyText"/>
      </w:pPr>
      <w:r>
        <w:t xml:space="preserve">Jobs and Skills Councils (JSCs) play a crucial role in shaping the workforce and skills landscape in Australia and operate at the intersection of skills and training policy with workplace issues and labour market needs. JSCs </w:t>
      </w:r>
      <w:r w:rsidR="006C02EF">
        <w:t xml:space="preserve">take a tripartite approach and </w:t>
      </w:r>
      <w:r>
        <w:t xml:space="preserve">work with </w:t>
      </w:r>
      <w:r w:rsidR="003415BA">
        <w:t xml:space="preserve">unions and </w:t>
      </w:r>
      <w:r>
        <w:t xml:space="preserve">industry stakeholders to provide insights into workforce capacity and development needs. These insights inform </w:t>
      </w:r>
      <w:r w:rsidR="000E05B6">
        <w:t xml:space="preserve">the </w:t>
      </w:r>
      <w:r>
        <w:t xml:space="preserve">development </w:t>
      </w:r>
      <w:r w:rsidR="000E05B6">
        <w:t xml:space="preserve">of training packages </w:t>
      </w:r>
      <w:r w:rsidR="00644AFE">
        <w:t xml:space="preserve">and </w:t>
      </w:r>
      <w:r w:rsidR="006F6EB6">
        <w:t xml:space="preserve">are </w:t>
      </w:r>
      <w:r w:rsidR="000E05B6">
        <w:t xml:space="preserve">related to </w:t>
      </w:r>
      <w:r w:rsidR="00A54726">
        <w:t xml:space="preserve">the </w:t>
      </w:r>
      <w:r w:rsidR="000E05B6">
        <w:t>curriculum</w:t>
      </w:r>
      <w:r w:rsidR="008B4EFD">
        <w:t>, ensuring</w:t>
      </w:r>
      <w:r w:rsidR="00644AFE">
        <w:t xml:space="preserve"> that tertiary education delivery is tied to the needs of the modern workforce.</w:t>
      </w:r>
    </w:p>
    <w:p w14:paraId="7D0E0657" w14:textId="7510BB82" w:rsidR="00101454" w:rsidRDefault="009D0C8F" w:rsidP="009D0C8F">
      <w:pPr>
        <w:pStyle w:val="Heading3"/>
      </w:pPr>
      <w:bookmarkStart w:id="73" w:name="_Toc189060427"/>
      <w:bookmarkStart w:id="74" w:name="_Toc189060517"/>
      <w:bookmarkStart w:id="75" w:name="_Toc189060775"/>
      <w:r>
        <w:t>Other actors relevant to the tertiary system</w:t>
      </w:r>
      <w:bookmarkEnd w:id="73"/>
      <w:bookmarkEnd w:id="74"/>
      <w:bookmarkEnd w:id="75"/>
    </w:p>
    <w:p w14:paraId="355580D4" w14:textId="7DB45563" w:rsidR="00A06B0F" w:rsidRDefault="005403E4" w:rsidP="00E63BBE">
      <w:pPr>
        <w:pStyle w:val="BodyText"/>
      </w:pPr>
      <w:r>
        <w:t>In addition to these primary actors, i</w:t>
      </w:r>
      <w:r w:rsidR="00A06B0F">
        <w:t>t is important to acknowledge that the tertiary system articulates with:</w:t>
      </w:r>
    </w:p>
    <w:p w14:paraId="2C3C21EE" w14:textId="25112B65" w:rsidR="00A06B0F" w:rsidRPr="00A06B0F" w:rsidRDefault="00A06B0F" w:rsidP="00E63BBE">
      <w:pPr>
        <w:pStyle w:val="ListBullet"/>
      </w:pPr>
      <w:r w:rsidRPr="00973240">
        <w:rPr>
          <w:rStyle w:val="Characterbold"/>
        </w:rPr>
        <w:t>Secondary schooling</w:t>
      </w:r>
      <w:r w:rsidRPr="00A06B0F">
        <w:t xml:space="preserve">, via tertiary entrance requirements, VET </w:t>
      </w:r>
      <w:r w:rsidR="00334BF3">
        <w:t xml:space="preserve">delivered </w:t>
      </w:r>
      <w:r w:rsidRPr="00A06B0F">
        <w:t xml:space="preserve">in </w:t>
      </w:r>
      <w:r w:rsidR="00731D71">
        <w:t>senior secondary</w:t>
      </w:r>
      <w:r w:rsidR="00334BF3">
        <w:t xml:space="preserve"> </w:t>
      </w:r>
      <w:r w:rsidRPr="00A06B0F">
        <w:t>school</w:t>
      </w:r>
      <w:r w:rsidR="00334BF3">
        <w:t xml:space="preserve"> </w:t>
      </w:r>
      <w:r w:rsidRPr="00A06B0F">
        <w:t>s</w:t>
      </w:r>
      <w:r w:rsidR="00334BF3">
        <w:t>ettings</w:t>
      </w:r>
      <w:r w:rsidRPr="00A06B0F">
        <w:t xml:space="preserve">, subject pre-requisites and </w:t>
      </w:r>
      <w:r w:rsidR="00EF6FFA">
        <w:t>career advice</w:t>
      </w:r>
      <w:r w:rsidRPr="00A06B0F">
        <w:t>.</w:t>
      </w:r>
    </w:p>
    <w:p w14:paraId="19EE63EE" w14:textId="6E13938A" w:rsidR="00A06B0F" w:rsidRDefault="007617B0" w:rsidP="00E63BBE">
      <w:pPr>
        <w:pStyle w:val="ListBullet"/>
      </w:pPr>
      <w:r>
        <w:rPr>
          <w:rStyle w:val="Characterbold"/>
        </w:rPr>
        <w:t xml:space="preserve">Providers of post-qualification </w:t>
      </w:r>
      <w:r w:rsidR="003840D6">
        <w:rPr>
          <w:rStyle w:val="Characterbold"/>
        </w:rPr>
        <w:t xml:space="preserve">education and </w:t>
      </w:r>
      <w:r w:rsidR="00D8652E">
        <w:rPr>
          <w:rStyle w:val="Characterbold"/>
        </w:rPr>
        <w:t>training</w:t>
      </w:r>
      <w:r w:rsidR="00A06B0F" w:rsidRPr="00A06B0F">
        <w:t xml:space="preserve">, including </w:t>
      </w:r>
      <w:r w:rsidR="003840D6">
        <w:t>workplace</w:t>
      </w:r>
      <w:r w:rsidR="00262842">
        <w:t xml:space="preserve"> training, </w:t>
      </w:r>
      <w:r w:rsidR="00A06B0F" w:rsidRPr="00A06B0F">
        <w:t>professional development</w:t>
      </w:r>
      <w:r w:rsidR="00262842">
        <w:t xml:space="preserve"> </w:t>
      </w:r>
      <w:r w:rsidR="00EF4C28">
        <w:t>(including accredited CPD providers)</w:t>
      </w:r>
      <w:r w:rsidR="00262842">
        <w:t xml:space="preserve"> and targeted </w:t>
      </w:r>
      <w:r w:rsidR="004913E3">
        <w:t>skill</w:t>
      </w:r>
      <w:r w:rsidR="00A06B0F" w:rsidRPr="00A06B0F">
        <w:t xml:space="preserve"> development.</w:t>
      </w:r>
    </w:p>
    <w:p w14:paraId="2FBB0BE8" w14:textId="77777777" w:rsidR="00DB0A0A" w:rsidRDefault="00DB0A0A" w:rsidP="00DB0A0A">
      <w:pPr>
        <w:pStyle w:val="ListBullet"/>
        <w:tabs>
          <w:tab w:val="clear" w:pos="2912"/>
        </w:tabs>
        <w:ind w:left="360"/>
      </w:pPr>
    </w:p>
    <w:p w14:paraId="53FB16DB" w14:textId="77777777" w:rsidR="00D96CD1" w:rsidRDefault="00DB0A0A" w:rsidP="00DB0A0A">
      <w:pPr>
        <w:pStyle w:val="BodyText"/>
      </w:pPr>
      <w:r w:rsidRPr="00E13B59">
        <w:t xml:space="preserve">The </w:t>
      </w:r>
      <w:r>
        <w:t>three pillars and</w:t>
      </w:r>
      <w:r w:rsidRPr="00E13B59">
        <w:t xml:space="preserve"> </w:t>
      </w:r>
      <w:r>
        <w:t>12</w:t>
      </w:r>
      <w:r w:rsidRPr="00E13B59">
        <w:t xml:space="preserve"> elements of tertiary harmonisation discussed in Chapter </w:t>
      </w:r>
      <w:r>
        <w:t>3</w:t>
      </w:r>
      <w:r w:rsidRPr="00E13B59">
        <w:t xml:space="preserve"> provide a guide through which tertiary harmonisation can be examined for both the system</w:t>
      </w:r>
      <w:r>
        <w:t xml:space="preserve"> as a whole</w:t>
      </w:r>
      <w:r w:rsidRPr="00E13B59">
        <w:t xml:space="preserve"> and individual system actors.</w:t>
      </w:r>
    </w:p>
    <w:p w14:paraId="2BAB86CC" w14:textId="77777777" w:rsidR="00D96CD1" w:rsidRDefault="00DB0A0A" w:rsidP="00DB0A0A">
      <w:pPr>
        <w:pStyle w:val="BodyText"/>
      </w:pPr>
      <w:r>
        <w:t>This framework</w:t>
      </w:r>
      <w:r w:rsidRPr="00E13B59">
        <w:t xml:space="preserve"> enables review of the connections and consideration of their alignment, supporting positive outcomes for students and other system actors.</w:t>
      </w:r>
      <w:r>
        <w:t xml:space="preserve"> </w:t>
      </w:r>
      <w:r w:rsidRPr="00E13B59">
        <w:t>Interventions in the system will impact the system as a whole and the individual system actors.</w:t>
      </w:r>
    </w:p>
    <w:p w14:paraId="763108A6" w14:textId="7B7752AC" w:rsidR="00DB0A0A" w:rsidRPr="00A06B0F" w:rsidRDefault="00DB0A0A" w:rsidP="00DB0A0A">
      <w:pPr>
        <w:pStyle w:val="ListBullet"/>
        <w:tabs>
          <w:tab w:val="clear" w:pos="2912"/>
        </w:tabs>
        <w:ind w:left="360"/>
      </w:pPr>
    </w:p>
    <w:p w14:paraId="697C6B57" w14:textId="77777777" w:rsidR="00A06B0F" w:rsidRDefault="00A06B0F" w:rsidP="00973240">
      <w:pPr>
        <w:pStyle w:val="Heading2"/>
      </w:pPr>
      <w:bookmarkStart w:id="76" w:name="_Toc189060428"/>
      <w:bookmarkStart w:id="77" w:name="_Toc189060518"/>
      <w:bookmarkStart w:id="78" w:name="_Toc190980908"/>
      <w:r>
        <w:lastRenderedPageBreak/>
        <w:t>System architecture</w:t>
      </w:r>
      <w:bookmarkEnd w:id="76"/>
      <w:bookmarkEnd w:id="77"/>
      <w:bookmarkEnd w:id="78"/>
    </w:p>
    <w:p w14:paraId="7DD3C14A" w14:textId="19565A3A" w:rsidR="00EF7080" w:rsidRDefault="00B37DEE" w:rsidP="002031B1">
      <w:pPr>
        <w:pStyle w:val="BodyText"/>
      </w:pPr>
      <w:r>
        <w:t>There are key components in tertiary education system</w:t>
      </w:r>
      <w:r w:rsidR="001767D5">
        <w:t xml:space="preserve"> architecture</w:t>
      </w:r>
      <w:r w:rsidR="00C0524A">
        <w:t>, such as the AQF,</w:t>
      </w:r>
      <w:r w:rsidR="001767D5">
        <w:t xml:space="preserve"> that </w:t>
      </w:r>
      <w:r w:rsidR="00C33926">
        <w:t xml:space="preserve">when reformed (Recommendation </w:t>
      </w:r>
      <w:r w:rsidR="00580F83">
        <w:t>1</w:t>
      </w:r>
      <w:r w:rsidR="003A1265">
        <w:t>5</w:t>
      </w:r>
      <w:r w:rsidR="00C33926">
        <w:t xml:space="preserve">) </w:t>
      </w:r>
      <w:r w:rsidR="007A6919">
        <w:t xml:space="preserve">will </w:t>
      </w:r>
      <w:r w:rsidR="001767D5">
        <w:t>enable system actors to undertake tertiary harmonisation</w:t>
      </w:r>
      <w:r w:rsidR="002F7521">
        <w:t xml:space="preserve"> (Figure 2)</w:t>
      </w:r>
      <w:r w:rsidR="001767D5">
        <w:t>. These components are the responsibility of a diverse range of systems actors and stakeholders.</w:t>
      </w:r>
    </w:p>
    <w:p w14:paraId="23E810EB" w14:textId="38D8A35B" w:rsidR="00A06B0F" w:rsidRDefault="00C0524A" w:rsidP="002031B1">
      <w:pPr>
        <w:pStyle w:val="BodyText"/>
      </w:pPr>
      <w:r>
        <w:t xml:space="preserve">There will </w:t>
      </w:r>
      <w:r w:rsidR="004407B7">
        <w:t>need to</w:t>
      </w:r>
      <w:r w:rsidR="00990BB1">
        <w:t xml:space="preserve"> </w:t>
      </w:r>
      <w:r>
        <w:t xml:space="preserve">be new system architecture </w:t>
      </w:r>
      <w:r w:rsidR="00990BB1">
        <w:t xml:space="preserve">designed to address harmonisation gaps, such as </w:t>
      </w:r>
      <w:r w:rsidR="00820A3F">
        <w:t>the NST</w:t>
      </w:r>
      <w:r w:rsidR="00E61A5F">
        <w:t xml:space="preserve">, which </w:t>
      </w:r>
      <w:r w:rsidR="00050AB1">
        <w:t>will</w:t>
      </w:r>
      <w:r w:rsidR="00E61A5F">
        <w:t xml:space="preserve"> </w:t>
      </w:r>
      <w:r w:rsidR="008C389A">
        <w:t>include critical inquiry and conceptual</w:t>
      </w:r>
      <w:r w:rsidR="00505035">
        <w:t xml:space="preserve"> </w:t>
      </w:r>
      <w:r w:rsidR="007B7717">
        <w:t xml:space="preserve">disciplinary </w:t>
      </w:r>
      <w:r w:rsidR="00C7797C">
        <w:t xml:space="preserve">knowledge and </w:t>
      </w:r>
      <w:r w:rsidR="00505035">
        <w:t>skills,</w:t>
      </w:r>
      <w:r w:rsidR="00820A3F">
        <w:t xml:space="preserve"> </w:t>
      </w:r>
      <w:r w:rsidR="00A06B0F" w:rsidRPr="007A2CE5">
        <w:t>in a way that supports system connectiveness and enables the strategic alignment of the system</w:t>
      </w:r>
      <w:r w:rsidR="00E5079C">
        <w:t xml:space="preserve"> (Recommendation 1</w:t>
      </w:r>
      <w:r w:rsidR="003A1265">
        <w:t>6</w:t>
      </w:r>
      <w:r w:rsidR="00E5079C">
        <w:t>)</w:t>
      </w:r>
      <w:r w:rsidR="00A06B0F" w:rsidRPr="007A2CE5">
        <w:t>.</w:t>
      </w:r>
    </w:p>
    <w:p w14:paraId="54FF419F" w14:textId="77777777" w:rsidR="00D96CD1" w:rsidRDefault="00A06B0F" w:rsidP="002031B1">
      <w:pPr>
        <w:pStyle w:val="BodyText"/>
      </w:pPr>
      <w:r>
        <w:t xml:space="preserve">This will further </w:t>
      </w:r>
      <w:r w:rsidR="00E35CA7">
        <w:t>facilitate</w:t>
      </w:r>
      <w:r>
        <w:t xml:space="preserve"> innovation, enabling new forms of qualification to emerge</w:t>
      </w:r>
      <w:r w:rsidR="00276B64">
        <w:t xml:space="preserve"> in line with the growth of knowledge</w:t>
      </w:r>
      <w:r w:rsidR="008A03C7">
        <w:t xml:space="preserve">, </w:t>
      </w:r>
      <w:r w:rsidR="00FE4509">
        <w:t>applications</w:t>
      </w:r>
      <w:r w:rsidR="008A03C7">
        <w:t xml:space="preserve"> </w:t>
      </w:r>
      <w:r w:rsidR="00276B64">
        <w:t>and labour force needs</w:t>
      </w:r>
      <w:r>
        <w:t xml:space="preserve">. It will make it possible, for example, to design a </w:t>
      </w:r>
      <w:r w:rsidR="00FA3B7F">
        <w:t>higher-level</w:t>
      </w:r>
      <w:r w:rsidR="008F0218">
        <w:t xml:space="preserve"> VET</w:t>
      </w:r>
      <w:r>
        <w:t xml:space="preserve"> program, </w:t>
      </w:r>
      <w:r w:rsidR="00147533">
        <w:t>thus bringing parts of higher and vocational education together,</w:t>
      </w:r>
      <w:r>
        <w:t xml:space="preserve"> and similarly to embed structured workplace-based training into </w:t>
      </w:r>
      <w:r w:rsidR="006E36F3">
        <w:t>Higher Education</w:t>
      </w:r>
      <w:r>
        <w:t>.</w:t>
      </w:r>
    </w:p>
    <w:p w14:paraId="75D4C53F" w14:textId="758D9E4F" w:rsidR="007966B1" w:rsidRPr="007966B1" w:rsidRDefault="00A06B0F" w:rsidP="007966B1">
      <w:pPr>
        <w:pStyle w:val="Heading3"/>
      </w:pPr>
      <w:bookmarkStart w:id="79" w:name="_Toc189060429"/>
      <w:bookmarkStart w:id="80" w:name="_Toc189060519"/>
      <w:bookmarkStart w:id="81" w:name="_Toc189060777"/>
      <w:r w:rsidRPr="007966B1">
        <w:rPr>
          <w:rStyle w:val="Characterbold"/>
          <w:b/>
        </w:rPr>
        <w:t>Australian Qualifications Framework</w:t>
      </w:r>
      <w:bookmarkEnd w:id="79"/>
      <w:bookmarkEnd w:id="80"/>
      <w:bookmarkEnd w:id="81"/>
    </w:p>
    <w:p w14:paraId="1FE6C1DE" w14:textId="0DA9AE08" w:rsidR="00A06B0F" w:rsidRPr="00A06B0F" w:rsidRDefault="00A06B0F" w:rsidP="007966B1">
      <w:pPr>
        <w:pStyle w:val="BodyText"/>
      </w:pPr>
      <w:r w:rsidRPr="00A06B0F">
        <w:t xml:space="preserve">The AQF represents a valuable </w:t>
      </w:r>
      <w:r w:rsidR="009338B2">
        <w:t>structure</w:t>
      </w:r>
      <w:r w:rsidRPr="00A06B0F">
        <w:t xml:space="preserve"> for the design, description and interrelations between qualifications </w:t>
      </w:r>
      <w:sdt>
        <w:sdtPr>
          <w:id w:val="132837285"/>
          <w:citation/>
        </w:sdtPr>
        <w:sdtContent>
          <w:r w:rsidR="004F7E67">
            <w:fldChar w:fldCharType="begin"/>
          </w:r>
          <w:r w:rsidR="004F7E67">
            <w:instrText xml:space="preserve"> CITATION Dep19 \l 3081 </w:instrText>
          </w:r>
          <w:r w:rsidR="004F7E67">
            <w:fldChar w:fldCharType="separate"/>
          </w:r>
          <w:r w:rsidR="00BD5991">
            <w:rPr>
              <w:noProof/>
            </w:rPr>
            <w:t>(Department of Education, 2019)</w:t>
          </w:r>
          <w:r w:rsidR="004F7E67">
            <w:fldChar w:fldCharType="end"/>
          </w:r>
        </w:sdtContent>
      </w:sdt>
      <w:r w:rsidRPr="00A06B0F">
        <w:t xml:space="preserve">. However, submissions to the Inquiry into the Perceptions and Status of Vocational Education and Training suggested that </w:t>
      </w:r>
      <w:r w:rsidR="00D22A45">
        <w:t xml:space="preserve">although </w:t>
      </w:r>
      <w:r w:rsidR="00DE1EB2">
        <w:t xml:space="preserve">all levels of </w:t>
      </w:r>
      <w:r w:rsidR="00D22A45">
        <w:t xml:space="preserve">the AQF encompass both skills and knowledge, </w:t>
      </w:r>
      <w:r w:rsidRPr="00A06B0F">
        <w:t xml:space="preserve">the hierarchical nature of the AQF contributes to a perception that VET qualifications are of lesser value than </w:t>
      </w:r>
      <w:r w:rsidR="006E36F3">
        <w:t>Higher Education</w:t>
      </w:r>
      <w:r w:rsidRPr="00A06B0F">
        <w:t xml:space="preserve"> counterparts, reinforced by the prevalent idea that education pathways should ascend AQF levels rather than moving </w:t>
      </w:r>
      <w:r w:rsidR="0049123A">
        <w:t xml:space="preserve">flexibly </w:t>
      </w:r>
      <w:r w:rsidRPr="00A06B0F">
        <w:t>between sectors</w:t>
      </w:r>
      <w:r w:rsidR="005F7BFA">
        <w:t>, as part of initial</w:t>
      </w:r>
      <w:r w:rsidR="00633AC9">
        <w:t xml:space="preserve"> post-secondary</w:t>
      </w:r>
      <w:r w:rsidR="005F7BFA">
        <w:t xml:space="preserve"> training or later in an individual’s career</w:t>
      </w:r>
      <w:r w:rsidRPr="00A06B0F">
        <w:t xml:space="preserve"> </w:t>
      </w:r>
      <w:sdt>
        <w:sdtPr>
          <w:id w:val="-1500034054"/>
          <w:citation/>
        </w:sdtPr>
        <w:sdtContent>
          <w:r w:rsidR="002A67E8">
            <w:fldChar w:fldCharType="begin"/>
          </w:r>
          <w:r w:rsidR="002A67E8">
            <w:instrText xml:space="preserve"> CITATION Hou24 \l 3081 </w:instrText>
          </w:r>
          <w:r w:rsidR="002A67E8">
            <w:fldChar w:fldCharType="separate"/>
          </w:r>
          <w:r w:rsidR="00BD5991">
            <w:rPr>
              <w:noProof/>
            </w:rPr>
            <w:t>(House of Representatives Standing Committee on Employment, Education and Training, 2024)</w:t>
          </w:r>
          <w:r w:rsidR="002A67E8">
            <w:fldChar w:fldCharType="end"/>
          </w:r>
        </w:sdtContent>
      </w:sdt>
      <w:r w:rsidR="002A67E8">
        <w:t>.</w:t>
      </w:r>
    </w:p>
    <w:p w14:paraId="16C398F1" w14:textId="77777777" w:rsidR="00D96CD1" w:rsidRDefault="00A06B0F" w:rsidP="007966B1">
      <w:pPr>
        <w:pStyle w:val="BodyText"/>
      </w:pPr>
      <w:r w:rsidRPr="0076406C">
        <w:t xml:space="preserve">This suggests a reformed AQF </w:t>
      </w:r>
      <w:r w:rsidRPr="00A06B0F">
        <w:t xml:space="preserve">could deliver benefits “for students, occupations and industries in instances where their development and skills </w:t>
      </w:r>
      <w:r w:rsidR="0083757E" w:rsidRPr="00A06B0F">
        <w:t>need</w:t>
      </w:r>
      <w:r w:rsidRPr="00A06B0F">
        <w:t xml:space="preserve"> straddle the current binary structure of the system” </w:t>
      </w:r>
      <w:sdt>
        <w:sdtPr>
          <w:id w:val="2092269522"/>
          <w:citation/>
        </w:sdtPr>
        <w:sdtContent>
          <w:r w:rsidR="00C669AA">
            <w:fldChar w:fldCharType="begin"/>
          </w:r>
          <w:r w:rsidR="00C669AA">
            <w:instrText xml:space="preserve"> CITATION Hod21 \l 3081 </w:instrText>
          </w:r>
          <w:r w:rsidR="00C669AA">
            <w:fldChar w:fldCharType="separate"/>
          </w:r>
          <w:r w:rsidR="00BD5991">
            <w:rPr>
              <w:noProof/>
            </w:rPr>
            <w:t>(Hodge &amp; Knight, 2021)</w:t>
          </w:r>
          <w:r w:rsidR="00C669AA">
            <w:fldChar w:fldCharType="end"/>
          </w:r>
        </w:sdtContent>
      </w:sdt>
      <w:r w:rsidR="00C669AA">
        <w:t>.</w:t>
      </w:r>
      <w:r w:rsidRPr="00A06B0F">
        <w:t xml:space="preserve"> In 2019, an Expert Panel for the Review of the Australian Qualifications Framework characterised the AQF as “[setting] the overall framework for the design and quality assurance of education and training in Australia”</w:t>
      </w:r>
      <w:r w:rsidR="00FE200D">
        <w:t xml:space="preserve"> </w:t>
      </w:r>
      <w:sdt>
        <w:sdtPr>
          <w:id w:val="1760645276"/>
          <w:citation/>
        </w:sdtPr>
        <w:sdtContent>
          <w:r w:rsidR="004F7E67">
            <w:fldChar w:fldCharType="begin"/>
          </w:r>
          <w:r w:rsidR="004F7E67">
            <w:instrText xml:space="preserve">CITATION Dep19 \p 8 \l 3081 </w:instrText>
          </w:r>
          <w:r w:rsidR="004F7E67">
            <w:fldChar w:fldCharType="separate"/>
          </w:r>
          <w:r w:rsidR="00BD5991">
            <w:rPr>
              <w:noProof/>
            </w:rPr>
            <w:t>(Department of Education, 2019, p. 8)</w:t>
          </w:r>
          <w:r w:rsidR="004F7E67">
            <w:fldChar w:fldCharType="end"/>
          </w:r>
        </w:sdtContent>
      </w:sdt>
      <w:r w:rsidRPr="00A06B0F">
        <w:t>.</w:t>
      </w:r>
    </w:p>
    <w:p w14:paraId="38D714EA" w14:textId="197774AC" w:rsidR="00A06B0F" w:rsidRPr="00A06B0F" w:rsidRDefault="00A06B0F" w:rsidP="007966B1">
      <w:pPr>
        <w:pStyle w:val="BodyText"/>
      </w:pPr>
      <w:r w:rsidRPr="00DF3EC8">
        <w:t xml:space="preserve">The Review </w:t>
      </w:r>
      <w:r w:rsidRPr="00A06B0F">
        <w:t>found that funding, governance, regulation and institutional responsiveness were influential factors on the tertiary system</w:t>
      </w:r>
      <w:r w:rsidR="0012397A">
        <w:t>,</w:t>
      </w:r>
      <w:r w:rsidRPr="00A06B0F">
        <w:t xml:space="preserve"> </w:t>
      </w:r>
      <w:r w:rsidR="0012397A">
        <w:t>beyond</w:t>
      </w:r>
      <w:r w:rsidRPr="00A06B0F">
        <w:t xml:space="preserve"> the AQF. However, the specifications of the AQF affect the delivery of qualifications and impact the broader regulatory environment in both the VET and </w:t>
      </w:r>
      <w:r w:rsidR="006E36F3">
        <w:t>Higher Education</w:t>
      </w:r>
      <w:r w:rsidRPr="00A06B0F">
        <w:t xml:space="preserve"> </w:t>
      </w:r>
      <w:sdt>
        <w:sdtPr>
          <w:id w:val="-56790222"/>
          <w:citation/>
        </w:sdtPr>
        <w:sdtContent>
          <w:r w:rsidR="007A5D75">
            <w:fldChar w:fldCharType="begin"/>
          </w:r>
          <w:r w:rsidR="007A5D75">
            <w:instrText xml:space="preserve"> CITATION Dep19 \l 3081 </w:instrText>
          </w:r>
          <w:r w:rsidR="007A5D75">
            <w:fldChar w:fldCharType="separate"/>
          </w:r>
          <w:r w:rsidR="00BD5991">
            <w:rPr>
              <w:noProof/>
            </w:rPr>
            <w:t>(Department of Education, 2019)</w:t>
          </w:r>
          <w:r w:rsidR="007A5D75">
            <w:fldChar w:fldCharType="end"/>
          </w:r>
        </w:sdtContent>
      </w:sdt>
      <w:r w:rsidRPr="00A06B0F">
        <w:t>.</w:t>
      </w:r>
      <w:r w:rsidR="002A67E8">
        <w:t xml:space="preserve"> </w:t>
      </w:r>
      <w:r w:rsidRPr="00A06B0F">
        <w:t xml:space="preserve">As discussed in the </w:t>
      </w:r>
      <w:r w:rsidR="008E0BFB">
        <w:t xml:space="preserve">Australian </w:t>
      </w:r>
      <w:r w:rsidRPr="00A06B0F">
        <w:t>Universities Accord, a “new” AQF will enable the flexible design of fit-for-purpose qualifications</w:t>
      </w:r>
      <w:r w:rsidR="000B4C08">
        <w:t xml:space="preserve"> </w:t>
      </w:r>
      <w:r w:rsidRPr="00A06B0F">
        <w:t>(</w:t>
      </w:r>
      <w:r w:rsidR="00FA793C">
        <w:t xml:space="preserve">Recommendation </w:t>
      </w:r>
      <w:r w:rsidR="00F95EF3">
        <w:t>1</w:t>
      </w:r>
      <w:r w:rsidR="003A1265">
        <w:t>5</w:t>
      </w:r>
      <w:r w:rsidRPr="00A06B0F">
        <w:t>).</w:t>
      </w:r>
    </w:p>
    <w:p w14:paraId="234890D8" w14:textId="12C800E0" w:rsidR="00D13314" w:rsidRPr="00D13314" w:rsidRDefault="00A06B0F" w:rsidP="00D13314">
      <w:pPr>
        <w:pStyle w:val="Heading3"/>
      </w:pPr>
      <w:bookmarkStart w:id="82" w:name="_Toc189060430"/>
      <w:bookmarkStart w:id="83" w:name="_Toc189060520"/>
      <w:bookmarkStart w:id="84" w:name="_Toc189060778"/>
      <w:r w:rsidRPr="00D13314">
        <w:rPr>
          <w:rStyle w:val="Characterbold"/>
          <w:b/>
        </w:rPr>
        <w:t>Regulatory Requirements</w:t>
      </w:r>
      <w:bookmarkEnd w:id="82"/>
      <w:bookmarkEnd w:id="83"/>
      <w:bookmarkEnd w:id="84"/>
    </w:p>
    <w:p w14:paraId="783DE0E2" w14:textId="77777777" w:rsidR="00D96CD1" w:rsidRDefault="00A06B0F" w:rsidP="00D13314">
      <w:pPr>
        <w:pStyle w:val="BodyText"/>
      </w:pPr>
      <w:r w:rsidRPr="00A06B0F">
        <w:t>The dual regulatory model and division of responsibility between the regulators TEQSA and ASQA</w:t>
      </w:r>
      <w:r w:rsidR="00F8459A">
        <w:t xml:space="preserve"> are</w:t>
      </w:r>
      <w:r w:rsidRPr="00A06B0F">
        <w:t xml:space="preserve"> “reinforced by different accreditation frameworks, distinct (and for dual sector providers, duplicative) reporting obligations and institutional inertia” </w:t>
      </w:r>
      <w:sdt>
        <w:sdtPr>
          <w:id w:val="-1298757691"/>
          <w:citation/>
        </w:sdtPr>
        <w:sdtContent>
          <w:r w:rsidR="00D5270F">
            <w:fldChar w:fldCharType="begin"/>
          </w:r>
          <w:r w:rsidR="00D5270F">
            <w:instrText xml:space="preserve">CITATION Com241 \p 229 \l 3081 </w:instrText>
          </w:r>
          <w:r w:rsidR="00D5270F">
            <w:fldChar w:fldCharType="separate"/>
          </w:r>
          <w:r w:rsidR="00BD5991">
            <w:rPr>
              <w:noProof/>
            </w:rPr>
            <w:t>(Department of Education, 2024, p. 229)</w:t>
          </w:r>
          <w:r w:rsidR="00D5270F">
            <w:fldChar w:fldCharType="end"/>
          </w:r>
        </w:sdtContent>
      </w:sdt>
      <w:r w:rsidRPr="00A06B0F">
        <w:t>.</w:t>
      </w:r>
    </w:p>
    <w:p w14:paraId="6EE01A89" w14:textId="783083D1" w:rsidR="00D96CD1" w:rsidRDefault="00A06B0F" w:rsidP="00D13314">
      <w:pPr>
        <w:pStyle w:val="BodyText"/>
      </w:pPr>
      <w:r w:rsidRPr="00A06B0F">
        <w:t xml:space="preserve">The duality of Australian regulatory requirements particularly </w:t>
      </w:r>
      <w:r w:rsidR="0083757E" w:rsidRPr="00A06B0F">
        <w:t>affects</w:t>
      </w:r>
      <w:r w:rsidRPr="00A06B0F">
        <w:t xml:space="preserve"> dual- or multi-sector providers and inhibit the flow of students between VET and </w:t>
      </w:r>
      <w:r w:rsidR="006E36F3">
        <w:t>Higher Education</w:t>
      </w:r>
      <w:r w:rsidRPr="00A06B0F">
        <w:t xml:space="preserve"> </w:t>
      </w:r>
      <w:sdt>
        <w:sdtPr>
          <w:id w:val="-1209805065"/>
          <w:citation/>
        </w:sdtPr>
        <w:sdtContent>
          <w:r w:rsidR="00DA32F5">
            <w:fldChar w:fldCharType="begin"/>
          </w:r>
          <w:r w:rsidR="00DA32F5">
            <w:instrText xml:space="preserve"> CITATION TEQ23 \l 3081 </w:instrText>
          </w:r>
          <w:r w:rsidR="00DA32F5">
            <w:fldChar w:fldCharType="separate"/>
          </w:r>
          <w:r w:rsidR="00BD5991">
            <w:rPr>
              <w:noProof/>
            </w:rPr>
            <w:t xml:space="preserve">(TEQSA, </w:t>
          </w:r>
          <w:r w:rsidR="00BD5991">
            <w:rPr>
              <w:noProof/>
            </w:rPr>
            <w:lastRenderedPageBreak/>
            <w:t>2023)</w:t>
          </w:r>
          <w:r w:rsidR="00DA32F5">
            <w:fldChar w:fldCharType="end"/>
          </w:r>
        </w:sdtContent>
      </w:sdt>
      <w:r w:rsidRPr="00A06B0F">
        <w:t>.</w:t>
      </w:r>
      <w:r w:rsidR="00DA32F5">
        <w:t xml:space="preserve"> </w:t>
      </w:r>
      <w:r w:rsidRPr="00A06B0F">
        <w:t>ASQA and TEQSA are presently engaged in collaborative activities aimed to reduce duplicative regulatory work.</w:t>
      </w:r>
    </w:p>
    <w:p w14:paraId="6CC0A5D9" w14:textId="2E14CBED" w:rsidR="00A06B0F" w:rsidRPr="00A06B0F" w:rsidRDefault="00A06B0F" w:rsidP="00D13314">
      <w:pPr>
        <w:pStyle w:val="BodyText"/>
      </w:pPr>
      <w:r w:rsidRPr="00D35DA4">
        <w:t xml:space="preserve">The ASQA and TEQSA Memorandum of Understanding, in effect since July 2016, outlines shared best practice principles relating to risk-based and data driven regulation, collaboration and engagement, continuous improvement and building trust </w:t>
      </w:r>
      <w:sdt>
        <w:sdtPr>
          <w:id w:val="-71201994"/>
          <w:citation/>
        </w:sdtPr>
        <w:sdtContent>
          <w:r w:rsidR="00D63816">
            <w:fldChar w:fldCharType="begin"/>
          </w:r>
          <w:r w:rsidR="00D63816">
            <w:instrText xml:space="preserve"> CITATION ASQ16 \l 3081 </w:instrText>
          </w:r>
          <w:r w:rsidR="00D63816">
            <w:fldChar w:fldCharType="separate"/>
          </w:r>
          <w:r w:rsidR="00BD5991">
            <w:rPr>
              <w:noProof/>
            </w:rPr>
            <w:t>(ASQA &amp; TEQSA, 2016)</w:t>
          </w:r>
          <w:r w:rsidR="00D63816">
            <w:fldChar w:fldCharType="end"/>
          </w:r>
        </w:sdtContent>
      </w:sdt>
      <w:r w:rsidR="00D63816">
        <w:t>.</w:t>
      </w:r>
    </w:p>
    <w:p w14:paraId="4367CAC3" w14:textId="2BF481E6" w:rsidR="00121C76" w:rsidRDefault="00A06B0F" w:rsidP="00D13314">
      <w:pPr>
        <w:pStyle w:val="BodyText"/>
      </w:pPr>
      <w:r w:rsidRPr="00D35DA4">
        <w:t xml:space="preserve">The Memorandum also establishes intentions to streamline and deduplicate regulatory processes that add to the regulatory burden and costs of multi-sector providers. This is also the remit of a Dual Sector Provider Working Group and is a key focus area for the National Skills Plan </w:t>
      </w:r>
      <w:sdt>
        <w:sdtPr>
          <w:id w:val="-428427608"/>
          <w:citation/>
        </w:sdtPr>
        <w:sdtContent>
          <w:r w:rsidR="00121C76">
            <w:fldChar w:fldCharType="begin"/>
          </w:r>
          <w:r w:rsidR="00121C76">
            <w:instrText xml:space="preserve"> CITATION Com24 \l 3081 </w:instrText>
          </w:r>
          <w:r w:rsidR="00121C76">
            <w:fldChar w:fldCharType="separate"/>
          </w:r>
          <w:r w:rsidR="00BD5991">
            <w:rPr>
              <w:noProof/>
            </w:rPr>
            <w:t>(Australian and State and Territory Governments, 2024)</w:t>
          </w:r>
          <w:r w:rsidR="00121C76">
            <w:fldChar w:fldCharType="end"/>
          </w:r>
        </w:sdtContent>
      </w:sdt>
      <w:r w:rsidRPr="00D35DA4">
        <w:t>.</w:t>
      </w:r>
    </w:p>
    <w:p w14:paraId="74A7462B" w14:textId="12F7DA6A" w:rsidR="00A06B0F" w:rsidRDefault="00A06B0F" w:rsidP="00D13314">
      <w:pPr>
        <w:pStyle w:val="BodyText"/>
      </w:pPr>
      <w:r>
        <w:t>The outcome will enable</w:t>
      </w:r>
      <w:r w:rsidRPr="00A06B0F">
        <w:t xml:space="preserve"> providers to benefit from clear and consistent expectations and reduced regulatory duplication</w:t>
      </w:r>
      <w:r w:rsidR="001A0333">
        <w:t xml:space="preserve"> and </w:t>
      </w:r>
      <w:r w:rsidRPr="00A06B0F">
        <w:t>burden, while regulators may leverage potential efficiencies arising from common and/or shared processes, improve stakeholder satisfaction and build capacity for cross−sectoral regulation. Subsequent reform under the stewardship of ATEC will provide further benefits to the sector</w:t>
      </w:r>
      <w:r w:rsidR="000E5058">
        <w:t xml:space="preserve"> (Recommendation </w:t>
      </w:r>
      <w:r w:rsidR="003A1265">
        <w:t>4</w:t>
      </w:r>
      <w:r w:rsidR="000E5058">
        <w:t>)</w:t>
      </w:r>
      <w:r w:rsidRPr="00A06B0F">
        <w:t>.</w:t>
      </w:r>
    </w:p>
    <w:p w14:paraId="18C4F904" w14:textId="77777777" w:rsidR="00D96CD1" w:rsidRDefault="00EA4E15" w:rsidP="00D13314">
      <w:pPr>
        <w:pStyle w:val="BodyText"/>
      </w:pPr>
      <w:r w:rsidRPr="00EA4E15">
        <w:t xml:space="preserve">Regulatory requirements are not only limited to government regulations, but also include </w:t>
      </w:r>
      <w:r w:rsidR="00A27084">
        <w:t>bodies with a responsibility for accreditation</w:t>
      </w:r>
      <w:r w:rsidR="00C25E55">
        <w:t xml:space="preserve">, </w:t>
      </w:r>
      <w:r w:rsidR="00A27084">
        <w:t>licensing</w:t>
      </w:r>
      <w:r w:rsidR="00C25E55">
        <w:t xml:space="preserve"> and in some cases wage setting</w:t>
      </w:r>
      <w:r w:rsidR="00A27084">
        <w:t>, including</w:t>
      </w:r>
      <w:r w:rsidR="00922A79">
        <w:t xml:space="preserve"> awards, trade licensing</w:t>
      </w:r>
      <w:r w:rsidR="001D2104">
        <w:t>, professional</w:t>
      </w:r>
      <w:r w:rsidR="00F772D8">
        <w:t xml:space="preserve"> </w:t>
      </w:r>
      <w:r w:rsidR="00675B2F">
        <w:t>councils</w:t>
      </w:r>
      <w:r w:rsidR="00922A79">
        <w:t xml:space="preserve"> and</w:t>
      </w:r>
      <w:r w:rsidR="00A27084">
        <w:t xml:space="preserve"> </w:t>
      </w:r>
      <w:r w:rsidRPr="00EA4E15">
        <w:t>international accreditation bodies that recognise Australian qualifications for practice overseas.</w:t>
      </w:r>
    </w:p>
    <w:p w14:paraId="6BC72C66" w14:textId="77777777" w:rsidR="00D96CD1" w:rsidRDefault="00A06B0F" w:rsidP="00D13314">
      <w:pPr>
        <w:pStyle w:val="Heading3"/>
      </w:pPr>
      <w:bookmarkStart w:id="85" w:name="_Toc189060431"/>
      <w:bookmarkStart w:id="86" w:name="_Toc189060521"/>
      <w:bookmarkStart w:id="87" w:name="_Toc189060779"/>
      <w:r w:rsidRPr="00D13314">
        <w:rPr>
          <w:rStyle w:val="Characterbold"/>
          <w:b/>
        </w:rPr>
        <w:t>Funding arrangements</w:t>
      </w:r>
      <w:bookmarkEnd w:id="85"/>
      <w:bookmarkEnd w:id="86"/>
      <w:bookmarkEnd w:id="87"/>
    </w:p>
    <w:p w14:paraId="4B643E24" w14:textId="34D50901" w:rsidR="00D96CD1" w:rsidRDefault="00A06B0F" w:rsidP="00D13314">
      <w:pPr>
        <w:pStyle w:val="BodyText"/>
      </w:pPr>
      <w:r w:rsidRPr="00A06B0F">
        <w:t>Current funding arrangements are complex for prospective students and providers to navigate. The amount of financial assistance available depends on the sector, the course, the type of provider</w:t>
      </w:r>
      <w:r w:rsidR="004B7815">
        <w:t>,</w:t>
      </w:r>
      <w:r w:rsidRPr="00A06B0F">
        <w:t xml:space="preserve"> and personal circumstances including location. Variations in government support and funding priorities between the two sectors can lead to competition rather than collaboration. A harmonised tertiary system will encourage collaboration and be fairer for students and providers, ensuring that funding incentives do not distort choice or opportunity.</w:t>
      </w:r>
    </w:p>
    <w:p w14:paraId="56A13FCB" w14:textId="3217855E" w:rsidR="00C96F77" w:rsidRPr="00A06B0F" w:rsidRDefault="00C96F77" w:rsidP="00D13314">
      <w:pPr>
        <w:pStyle w:val="BodyText"/>
      </w:pPr>
      <w:r>
        <w:t>It will be important to design a funding</w:t>
      </w:r>
      <w:r w:rsidR="00CE4480">
        <w:t xml:space="preserve"> system</w:t>
      </w:r>
      <w:r w:rsidR="00FD2207">
        <w:t xml:space="preserve"> that prioritises </w:t>
      </w:r>
      <w:r w:rsidR="006E36F3">
        <w:t>Higher Education</w:t>
      </w:r>
      <w:r>
        <w:t xml:space="preserve"> qualifications that have nested VET qualifications embedded, enhanced in ways that bring together distinctive blend of </w:t>
      </w:r>
      <w:r w:rsidR="00C02958">
        <w:t>applications</w:t>
      </w:r>
      <w:r>
        <w:t xml:space="preserve"> and knowledge that ensure that the resultant degrees or associate degrees are truly strongly vocational and take advantage of the distinctive capabilities of </w:t>
      </w:r>
      <w:r w:rsidR="00FD2207">
        <w:t>VET</w:t>
      </w:r>
      <w:r>
        <w:t xml:space="preserve"> in developing vocational capabilities</w:t>
      </w:r>
      <w:r w:rsidR="00FD2207">
        <w:t xml:space="preserve"> (Recommendation</w:t>
      </w:r>
      <w:r w:rsidR="00B706DF">
        <w:t>s</w:t>
      </w:r>
      <w:r w:rsidR="00FD2207">
        <w:t xml:space="preserve"> </w:t>
      </w:r>
      <w:r w:rsidR="00D4614C">
        <w:t>1</w:t>
      </w:r>
      <w:r w:rsidR="003A1265">
        <w:t>1</w:t>
      </w:r>
      <w:r w:rsidR="00B706DF">
        <w:t xml:space="preserve"> and 1</w:t>
      </w:r>
      <w:r w:rsidR="003A1265">
        <w:t>2</w:t>
      </w:r>
      <w:r w:rsidR="00FD2207">
        <w:t>)</w:t>
      </w:r>
      <w:r>
        <w:t>.</w:t>
      </w:r>
      <w:r w:rsidR="001649D4">
        <w:t xml:space="preserve"> One possibility is to leverage Commonwealth Supported Places (CSP) to promote tertiary harmonisation (Recommendation </w:t>
      </w:r>
      <w:r w:rsidR="00DE1DF9">
        <w:t>1</w:t>
      </w:r>
      <w:r w:rsidR="00900679">
        <w:t>3</w:t>
      </w:r>
      <w:r w:rsidR="00DE1DF9">
        <w:t>)</w:t>
      </w:r>
      <w:r w:rsidR="001649D4">
        <w:t>.</w:t>
      </w:r>
    </w:p>
    <w:p w14:paraId="641F4A61" w14:textId="77777777" w:rsidR="00D96CD1" w:rsidRDefault="00577BB9" w:rsidP="00577BB9">
      <w:pPr>
        <w:pStyle w:val="Heading3"/>
      </w:pPr>
      <w:bookmarkStart w:id="88" w:name="_Toc189060432"/>
      <w:bookmarkStart w:id="89" w:name="_Toc189060522"/>
      <w:bookmarkStart w:id="90" w:name="_Toc189060780"/>
      <w:r w:rsidRPr="00577BB9">
        <w:rPr>
          <w:rStyle w:val="Characterbold"/>
          <w:b/>
        </w:rPr>
        <w:t>Credit Transfer System</w:t>
      </w:r>
    </w:p>
    <w:p w14:paraId="4A7530C0" w14:textId="13133D31" w:rsidR="00577BB9" w:rsidRDefault="00577BB9" w:rsidP="00577BB9">
      <w:pPr>
        <w:pStyle w:val="BodyText"/>
      </w:pPr>
      <w:r>
        <w:t>Improving credit transfer, recognition of prior learning (RPL) and articulation arrangements were consistent topics of discussion throughout the roundtable consultations (see Appendix</w:t>
      </w:r>
      <w:r w:rsidR="00C4735C">
        <w:t> </w:t>
      </w:r>
      <w:r w:rsidR="006A2A31">
        <w:t>A</w:t>
      </w:r>
      <w:r>
        <w:t xml:space="preserve">). There was a broad acknowledgement that a student-centred approach to mobility would encourage lifelong learning that can help students meet personal </w:t>
      </w:r>
      <w:r w:rsidR="001D4300">
        <w:t>aspirations and</w:t>
      </w:r>
      <w:r>
        <w:t xml:space="preserve"> create efficient upskilling and reskilling opportunities for critical or emerging roles.</w:t>
      </w:r>
    </w:p>
    <w:p w14:paraId="0CDC01A8" w14:textId="77777777" w:rsidR="00577BB9" w:rsidRDefault="00577BB9" w:rsidP="00577BB9">
      <w:pPr>
        <w:pStyle w:val="BodyText"/>
      </w:pPr>
      <w:r>
        <w:t>While this interest focused on supporting the intake of students, it was also noted that providers felt they could lose students through mobility, facing financial disincentives in terms of reduced full-time enrolment funding and the resourcing effort required.</w:t>
      </w:r>
    </w:p>
    <w:p w14:paraId="24251518" w14:textId="0EBC450B" w:rsidR="00577BB9" w:rsidRPr="00577BB9" w:rsidRDefault="00577BB9" w:rsidP="00577BB9">
      <w:pPr>
        <w:pStyle w:val="BodyText"/>
      </w:pPr>
      <w:r>
        <w:lastRenderedPageBreak/>
        <w:t>While this concern would need to be considered as part of a system's development, a</w:t>
      </w:r>
      <w:r w:rsidRPr="003E5294">
        <w:t xml:space="preserve">n opt-in platform </w:t>
      </w:r>
      <w:r w:rsidR="007002E9">
        <w:t xml:space="preserve">(see </w:t>
      </w:r>
      <w:r w:rsidR="008A4922">
        <w:t xml:space="preserve">Recommendation </w:t>
      </w:r>
      <w:r w:rsidR="00900679">
        <w:t>9</w:t>
      </w:r>
      <w:r w:rsidR="008A4922">
        <w:t xml:space="preserve">) </w:t>
      </w:r>
      <w:r>
        <w:t>w</w:t>
      </w:r>
      <w:r w:rsidRPr="003E5294">
        <w:t xml:space="preserve">ould offer providers a competitive advantage by enabling new flows of students, </w:t>
      </w:r>
      <w:r>
        <w:t xml:space="preserve">potentially increasing their overall market share, and </w:t>
      </w:r>
      <w:r w:rsidRPr="003E5294">
        <w:t>helping to move the sector towards a sufficiently connected and standardised system that will allow common units of measurement and language when assessing learning outcomes and progress.</w:t>
      </w:r>
    </w:p>
    <w:p w14:paraId="47ABACE7" w14:textId="77777777" w:rsidR="00D96CD1" w:rsidRDefault="00A06B0F" w:rsidP="00633827">
      <w:pPr>
        <w:pStyle w:val="Heading3"/>
      </w:pPr>
      <w:r w:rsidRPr="00633827">
        <w:rPr>
          <w:rStyle w:val="Characterbold"/>
          <w:b/>
        </w:rPr>
        <w:t>National Skills Taxonomy</w:t>
      </w:r>
      <w:bookmarkEnd w:id="88"/>
      <w:bookmarkEnd w:id="89"/>
      <w:bookmarkEnd w:id="90"/>
    </w:p>
    <w:p w14:paraId="4FA58176" w14:textId="5555625F" w:rsidR="005A7DA9" w:rsidRDefault="00A06B0F" w:rsidP="00633827">
      <w:pPr>
        <w:pStyle w:val="BodyText"/>
      </w:pPr>
      <w:r w:rsidRPr="00A06B0F">
        <w:t xml:space="preserve">Improving credit transfer, recognition of prior learning and articulation arrangements </w:t>
      </w:r>
      <w:r w:rsidR="00095BDB">
        <w:t xml:space="preserve">in a systematic way </w:t>
      </w:r>
      <w:r w:rsidRPr="00A06B0F">
        <w:t>require</w:t>
      </w:r>
      <w:r w:rsidR="00A01091">
        <w:t>s</w:t>
      </w:r>
      <w:r w:rsidRPr="00A06B0F">
        <w:t xml:space="preserve"> a system that is sufficiently connected and standardised to allow </w:t>
      </w:r>
      <w:r w:rsidR="00840D44">
        <w:t xml:space="preserve">a </w:t>
      </w:r>
      <w:r w:rsidRPr="00A06B0F">
        <w:t xml:space="preserve">common language when assessing learning outcomes and progress. The current work undertaken by JSA on the </w:t>
      </w:r>
      <w:r w:rsidR="00C67F4F">
        <w:t>NST</w:t>
      </w:r>
      <w:r w:rsidRPr="00A06B0F">
        <w:t xml:space="preserve"> provides a mechanism to connect the </w:t>
      </w:r>
      <w:r w:rsidR="000058F8">
        <w:t xml:space="preserve">tertiary </w:t>
      </w:r>
      <w:r w:rsidR="005A7DA9">
        <w:t xml:space="preserve">education </w:t>
      </w:r>
      <w:r w:rsidRPr="00A06B0F">
        <w:t>systems</w:t>
      </w:r>
      <w:r w:rsidR="005A7DA9">
        <w:t>.</w:t>
      </w:r>
    </w:p>
    <w:p w14:paraId="2ECCCB34" w14:textId="77777777" w:rsidR="00D96CD1" w:rsidRDefault="005A7DA9" w:rsidP="00633827">
      <w:pPr>
        <w:pStyle w:val="BodyText"/>
      </w:pPr>
      <w:r>
        <w:t>This is through</w:t>
      </w:r>
      <w:r w:rsidR="00A06B0F" w:rsidRPr="00A06B0F">
        <w:t xml:space="preserve"> using the language of skills and a common framework</w:t>
      </w:r>
      <w:r w:rsidR="00C43AF6">
        <w:t xml:space="preserve"> for conceptual, disciplinary and applied skill development</w:t>
      </w:r>
      <w:r w:rsidR="004B7815">
        <w:t>, e</w:t>
      </w:r>
      <w:r w:rsidR="00A06B0F" w:rsidRPr="00A06B0F">
        <w:t xml:space="preserve">nabling both </w:t>
      </w:r>
      <w:r w:rsidR="006E36F3">
        <w:t>Higher Education</w:t>
      </w:r>
      <w:r w:rsidR="00A06B0F" w:rsidRPr="00A06B0F">
        <w:t xml:space="preserve"> and VET </w:t>
      </w:r>
      <w:r w:rsidR="004B7815">
        <w:t>to</w:t>
      </w:r>
      <w:r w:rsidR="00A06B0F" w:rsidRPr="00A06B0F">
        <w:t xml:space="preserve"> adopt a common understanding using a consistent approach and method to </w:t>
      </w:r>
      <w:r w:rsidR="009C2592">
        <w:t>recognise achievement</w:t>
      </w:r>
      <w:r w:rsidR="00A06B0F" w:rsidRPr="00A06B0F">
        <w:t>. The National Skills Taxonomy will offer a common language for skills across occupations, employers and industries</w:t>
      </w:r>
      <w:r w:rsidR="00F05FDD">
        <w:t xml:space="preserve"> as well as across VET and </w:t>
      </w:r>
      <w:r w:rsidR="006E36F3">
        <w:t>Higher Education</w:t>
      </w:r>
      <w:r w:rsidR="00A06B0F" w:rsidRPr="00A06B0F">
        <w:t xml:space="preserve">. It will support a </w:t>
      </w:r>
      <w:r w:rsidR="00782E84">
        <w:t>harmonised</w:t>
      </w:r>
      <w:r w:rsidR="00A06B0F" w:rsidRPr="00A06B0F">
        <w:t xml:space="preserve"> tertiary education system, by providing tools to education providers that support the improvement of skills articulation in educational design</w:t>
      </w:r>
      <w:r w:rsidR="006377F8">
        <w:t xml:space="preserve"> (Recommendation</w:t>
      </w:r>
      <w:r w:rsidR="00943A83">
        <w:t> </w:t>
      </w:r>
      <w:r w:rsidR="006377F8">
        <w:t>1</w:t>
      </w:r>
      <w:r w:rsidR="00900679">
        <w:t>6</w:t>
      </w:r>
      <w:r w:rsidR="006377F8">
        <w:t>)</w:t>
      </w:r>
      <w:r w:rsidR="00A06B0F" w:rsidRPr="00A06B0F">
        <w:t>.</w:t>
      </w:r>
    </w:p>
    <w:p w14:paraId="530943FE" w14:textId="32B2ABB0" w:rsidR="0008569A" w:rsidRPr="0008569A" w:rsidRDefault="00A06B0F" w:rsidP="0008569A">
      <w:pPr>
        <w:pStyle w:val="Caption"/>
      </w:pPr>
      <w:bookmarkStart w:id="91" w:name="_Toc191381508"/>
      <w:r>
        <w:t xml:space="preserve">Figure </w:t>
      </w:r>
      <w:r>
        <w:fldChar w:fldCharType="begin"/>
      </w:r>
      <w:r>
        <w:instrText xml:space="preserve"> SEQ Figure \* ARABIC </w:instrText>
      </w:r>
      <w:r>
        <w:fldChar w:fldCharType="separate"/>
      </w:r>
      <w:r w:rsidR="004D7389">
        <w:rPr>
          <w:noProof/>
        </w:rPr>
        <w:t>2</w:t>
      </w:r>
      <w:r>
        <w:fldChar w:fldCharType="end"/>
      </w:r>
      <w:r w:rsidR="00301D97">
        <w:t>.</w:t>
      </w:r>
      <w:r w:rsidR="0008569A" w:rsidRPr="0008569A">
        <w:t xml:space="preserve"> The System Architecture of Tertiary Harmonisation</w:t>
      </w:r>
      <w:bookmarkEnd w:id="91"/>
    </w:p>
    <w:p w14:paraId="258247EF" w14:textId="1998DF63" w:rsidR="00577BB9" w:rsidRPr="00577BB9" w:rsidRDefault="0091355B" w:rsidP="00577BB9">
      <w:pPr>
        <w:pStyle w:val="BodyText"/>
      </w:pPr>
      <w:r>
        <w:rPr>
          <w:noProof/>
        </w:rPr>
        <w:drawing>
          <wp:inline distT="0" distB="0" distL="0" distR="0" wp14:anchorId="18BE8F11" wp14:editId="19E03A6C">
            <wp:extent cx="5731510" cy="1320165"/>
            <wp:effectExtent l="0" t="0" r="2540" b="0"/>
            <wp:docPr id="1014848653" name="Picture 5" descr="The diagram shows the system architecture of tertiary harmonisation, which includes: the Australian Qualifications Framework, National Skills Taxonomy, Regulatory Requirements, Funding Arrangements, and the Credit Transfe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48653" name="Picture 5" descr="The diagram shows the system architecture of tertiary harmonisation, which includes: the Australian Qualifications Framework, National Skills Taxonomy, Regulatory Requirements, Funding Arrangements, and the Credit Transfer System."/>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1320165"/>
                    </a:xfrm>
                    <a:prstGeom prst="rect">
                      <a:avLst/>
                    </a:prstGeom>
                  </pic:spPr>
                </pic:pic>
              </a:graphicData>
            </a:graphic>
          </wp:inline>
        </w:drawing>
      </w:r>
    </w:p>
    <w:p w14:paraId="5E3AE1D0" w14:textId="77777777" w:rsidR="00577BB9" w:rsidRPr="00A06B0F" w:rsidRDefault="00577BB9" w:rsidP="00633827">
      <w:pPr>
        <w:pStyle w:val="BodyText"/>
      </w:pPr>
    </w:p>
    <w:p w14:paraId="77BC6733" w14:textId="6EBD06D9" w:rsidR="00EC3CA0" w:rsidRDefault="00BC7DBF" w:rsidP="00EC3CA0">
      <w:pPr>
        <w:pStyle w:val="Heading3"/>
      </w:pPr>
      <w:bookmarkStart w:id="92" w:name="_Toc189060434"/>
      <w:bookmarkStart w:id="93" w:name="_Toc189060524"/>
      <w:bookmarkStart w:id="94" w:name="_Toc179799938"/>
      <w:r>
        <w:t>Proposals under consideration</w:t>
      </w:r>
    </w:p>
    <w:p w14:paraId="7F0E99B4" w14:textId="77777777" w:rsidR="003F5F27" w:rsidRDefault="00EF4EA2" w:rsidP="002B1112">
      <w:pPr>
        <w:pStyle w:val="BodyText"/>
      </w:pPr>
      <w:r>
        <w:t xml:space="preserve">There are additional </w:t>
      </w:r>
      <w:r w:rsidR="00D07A5E">
        <w:t>proposals</w:t>
      </w:r>
      <w:r w:rsidR="00ED12DE">
        <w:t xml:space="preserve"> under conside</w:t>
      </w:r>
      <w:r w:rsidR="00B2413C">
        <w:t xml:space="preserve">ration </w:t>
      </w:r>
      <w:r w:rsidR="00D07A5E">
        <w:t>by</w:t>
      </w:r>
      <w:r w:rsidR="00B2413C">
        <w:t xml:space="preserve"> Government that focus on </w:t>
      </w:r>
      <w:r w:rsidR="00CB56D1">
        <w:t>how students can effectively interact with the tertiary education environment</w:t>
      </w:r>
      <w:r w:rsidR="007304C9">
        <w:t xml:space="preserve"> to m</w:t>
      </w:r>
      <w:r w:rsidR="003E6EB4">
        <w:t xml:space="preserve">aximise the student benefits </w:t>
      </w:r>
      <w:r w:rsidR="003F5F27">
        <w:t>identified in the next section</w:t>
      </w:r>
      <w:r w:rsidR="00CB56D1">
        <w:t>.</w:t>
      </w:r>
    </w:p>
    <w:p w14:paraId="082FCBF5" w14:textId="040D05DD" w:rsidR="00732BF1" w:rsidRDefault="002F0617" w:rsidP="002B1112">
      <w:pPr>
        <w:pStyle w:val="BodyText"/>
      </w:pPr>
      <w:r>
        <w:t>Importantly, th</w:t>
      </w:r>
      <w:r w:rsidR="003F5F27">
        <w:t>ese</w:t>
      </w:r>
      <w:r>
        <w:t xml:space="preserve"> interaction</w:t>
      </w:r>
      <w:r w:rsidR="003F5F27">
        <w:t>s</w:t>
      </w:r>
      <w:r>
        <w:t xml:space="preserve"> </w:t>
      </w:r>
      <w:r w:rsidR="003F5F27">
        <w:t>are</w:t>
      </w:r>
      <w:r>
        <w:t xml:space="preserve"> designed to begin at the school leaver stage</w:t>
      </w:r>
      <w:r w:rsidR="00514581">
        <w:t xml:space="preserve">, </w:t>
      </w:r>
      <w:r w:rsidR="007259AD">
        <w:t xml:space="preserve">taking an equal and informed approach to </w:t>
      </w:r>
      <w:r w:rsidR="003F5F27">
        <w:t>choice between</w:t>
      </w:r>
      <w:r w:rsidR="007259AD">
        <w:t xml:space="preserve"> VET</w:t>
      </w:r>
      <w:r w:rsidR="003F5F27">
        <w:t>,</w:t>
      </w:r>
      <w:r w:rsidR="007259AD">
        <w:t xml:space="preserve"> </w:t>
      </w:r>
      <w:r w:rsidR="006E36F3">
        <w:t>Higher Education</w:t>
      </w:r>
      <w:r w:rsidR="003F5F27">
        <w:t>,</w:t>
      </w:r>
      <w:r w:rsidR="007259AD">
        <w:t xml:space="preserve"> </w:t>
      </w:r>
      <w:r w:rsidR="003F5F27">
        <w:t xml:space="preserve">and combined </w:t>
      </w:r>
      <w:r w:rsidR="007259AD">
        <w:t xml:space="preserve">options available, </w:t>
      </w:r>
      <w:r w:rsidR="00381590">
        <w:t xml:space="preserve">right through </w:t>
      </w:r>
      <w:r w:rsidR="007259AD">
        <w:t>to</w:t>
      </w:r>
      <w:r w:rsidR="005F2B88">
        <w:t xml:space="preserve"> the </w:t>
      </w:r>
      <w:r w:rsidR="007667D4">
        <w:t xml:space="preserve">employment and lifelong learning stage, </w:t>
      </w:r>
      <w:r w:rsidR="00381590">
        <w:t>continui</w:t>
      </w:r>
      <w:r w:rsidR="005B38FE">
        <w:t>ng to support users</w:t>
      </w:r>
      <w:r w:rsidR="00830651">
        <w:t>’</w:t>
      </w:r>
      <w:r w:rsidR="005B38FE">
        <w:t xml:space="preserve"> </w:t>
      </w:r>
      <w:r w:rsidR="00DA1896">
        <w:t>approach to</w:t>
      </w:r>
      <w:r w:rsidR="005B38FE">
        <w:t xml:space="preserve"> choice</w:t>
      </w:r>
      <w:r w:rsidR="000132B5">
        <w:t>, an</w:t>
      </w:r>
      <w:r w:rsidR="00AE7643">
        <w:t>d to better</w:t>
      </w:r>
      <w:r w:rsidR="003F5F27">
        <w:t xml:space="preserve"> </w:t>
      </w:r>
      <w:r w:rsidR="007667D4">
        <w:t>understand</w:t>
      </w:r>
      <w:r w:rsidR="003F5F27">
        <w:t xml:space="preserve"> the</w:t>
      </w:r>
      <w:r w:rsidR="007667D4">
        <w:t xml:space="preserve"> skills and knowledge </w:t>
      </w:r>
      <w:r w:rsidR="003F5F27">
        <w:t xml:space="preserve">they </w:t>
      </w:r>
      <w:r w:rsidR="007667D4">
        <w:t>have acquired</w:t>
      </w:r>
      <w:r w:rsidR="00B72F4D">
        <w:t>.</w:t>
      </w:r>
    </w:p>
    <w:p w14:paraId="32695DCA" w14:textId="77777777" w:rsidR="00D96CD1" w:rsidRDefault="005F03AD" w:rsidP="002B1112">
      <w:pPr>
        <w:pStyle w:val="BodyText"/>
      </w:pPr>
      <w:r>
        <w:t>Allowing individuals to contextualise their future employment and learning opportunities with the</w:t>
      </w:r>
      <w:r w:rsidR="002070A5">
        <w:t>ir existing</w:t>
      </w:r>
      <w:r>
        <w:t xml:space="preserve"> skills and knowledge </w:t>
      </w:r>
      <w:r w:rsidR="00970E0D">
        <w:t xml:space="preserve">makes continuous development a more efficient and targeted process </w:t>
      </w:r>
      <w:r w:rsidR="002070A5">
        <w:t>and can help individuals develop a stronger alignment to aspiring employment opportunities</w:t>
      </w:r>
      <w:r w:rsidR="002F5428">
        <w:t xml:space="preserve"> (see Recommendation 1</w:t>
      </w:r>
      <w:r w:rsidR="00900679">
        <w:t>7</w:t>
      </w:r>
      <w:r w:rsidR="002F5428">
        <w:t>)</w:t>
      </w:r>
      <w:r w:rsidR="002070A5">
        <w:t>.</w:t>
      </w:r>
    </w:p>
    <w:p w14:paraId="51C51CCB" w14:textId="50A05854" w:rsidR="00E13C50" w:rsidRPr="00801A32" w:rsidRDefault="00E13C50" w:rsidP="00E13C50">
      <w:pPr>
        <w:pStyle w:val="Heading4"/>
      </w:pPr>
      <w:r>
        <w:lastRenderedPageBreak/>
        <w:t>Career's Digital Roadmap</w:t>
      </w:r>
    </w:p>
    <w:p w14:paraId="4BA87EF6" w14:textId="77777777" w:rsidR="00D96CD1" w:rsidRDefault="0032207D" w:rsidP="006128AF">
      <w:pPr>
        <w:pStyle w:val="BodyText"/>
      </w:pPr>
      <w:r>
        <w:t>Work done by DEWR on a</w:t>
      </w:r>
      <w:r w:rsidR="001D20D5" w:rsidRPr="001D20D5">
        <w:t xml:space="preserve"> Digital Roadmap </w:t>
      </w:r>
      <w:r w:rsidR="00656912">
        <w:t xml:space="preserve">proposes </w:t>
      </w:r>
      <w:r w:rsidR="001D20D5" w:rsidRPr="001D20D5">
        <w:t>consolidat</w:t>
      </w:r>
      <w:r w:rsidR="00656912">
        <w:t>ing</w:t>
      </w:r>
      <w:r w:rsidR="001D20D5" w:rsidRPr="001D20D5">
        <w:t xml:space="preserve"> consumer tertiary information into a single, trusted source. </w:t>
      </w:r>
      <w:r w:rsidR="00A84326">
        <w:t>I</w:t>
      </w:r>
      <w:r w:rsidR="001D20D5" w:rsidRPr="001D20D5">
        <w:t>ntegrat</w:t>
      </w:r>
      <w:r w:rsidR="00A84326">
        <w:t>ing</w:t>
      </w:r>
      <w:r w:rsidR="001D20D5" w:rsidRPr="001D20D5">
        <w:t xml:space="preserve"> VET and </w:t>
      </w:r>
      <w:r w:rsidR="006E36F3">
        <w:t>Higher Education</w:t>
      </w:r>
      <w:r w:rsidR="001D20D5" w:rsidRPr="001D20D5">
        <w:t xml:space="preserve"> consumer information</w:t>
      </w:r>
      <w:r w:rsidR="009E3239">
        <w:t xml:space="preserve"> </w:t>
      </w:r>
      <w:r w:rsidR="00A56481">
        <w:t xml:space="preserve">would </w:t>
      </w:r>
      <w:r w:rsidR="009E3239">
        <w:t>improve</w:t>
      </w:r>
      <w:r w:rsidR="00A56481">
        <w:t xml:space="preserve"> </w:t>
      </w:r>
      <w:r w:rsidR="009E3239">
        <w:t>individuals' abilities</w:t>
      </w:r>
      <w:r w:rsidR="00A56481">
        <w:t xml:space="preserve"> to make </w:t>
      </w:r>
      <w:r w:rsidR="00893520">
        <w:t xml:space="preserve">unbiased </w:t>
      </w:r>
      <w:r w:rsidR="00A56481">
        <w:t xml:space="preserve">choices </w:t>
      </w:r>
      <w:r w:rsidR="00135192">
        <w:t xml:space="preserve">based on their </w:t>
      </w:r>
      <w:r w:rsidR="00141896">
        <w:t xml:space="preserve">career aspirations </w:t>
      </w:r>
      <w:r w:rsidR="003E6EC1">
        <w:t xml:space="preserve">by presenting VET and </w:t>
      </w:r>
      <w:r w:rsidR="006E36F3">
        <w:t>Higher Education</w:t>
      </w:r>
      <w:r w:rsidR="003E6EC1">
        <w:t xml:space="preserve"> options in a single source</w:t>
      </w:r>
      <w:r w:rsidR="00893520">
        <w:t>.</w:t>
      </w:r>
    </w:p>
    <w:p w14:paraId="50712BAA" w14:textId="2C1269F5" w:rsidR="00E13C50" w:rsidRDefault="00BE4A94" w:rsidP="006128AF">
      <w:pPr>
        <w:pStyle w:val="BodyText"/>
      </w:pPr>
      <w:r>
        <w:t xml:space="preserve">Making informed choices </w:t>
      </w:r>
      <w:r w:rsidR="005646FF">
        <w:t xml:space="preserve">is important at both the school leaver stage, and </w:t>
      </w:r>
      <w:r w:rsidR="00C14C06">
        <w:t>continuously through lifelong learning, as additional skills and knowledge are required over time.</w:t>
      </w:r>
      <w:r w:rsidR="00D96CD1">
        <w:t xml:space="preserve"> </w:t>
      </w:r>
      <w:r w:rsidR="00C513D2">
        <w:t xml:space="preserve">A single source may help </w:t>
      </w:r>
      <w:r w:rsidR="001340BA">
        <w:t>i</w:t>
      </w:r>
      <w:r w:rsidR="00E77680">
        <w:t xml:space="preserve">ndividuals </w:t>
      </w:r>
      <w:r w:rsidR="001340BA">
        <w:t>reprioritise their</w:t>
      </w:r>
      <w:r w:rsidR="00E77680">
        <w:t xml:space="preserve"> choice drivers</w:t>
      </w:r>
      <w:r w:rsidR="00FC7827">
        <w:t xml:space="preserve"> such as the perception of VET or </w:t>
      </w:r>
      <w:r w:rsidR="006E36F3">
        <w:t>Higher Education</w:t>
      </w:r>
      <w:r w:rsidR="00FC7827">
        <w:t xml:space="preserve">, </w:t>
      </w:r>
      <w:r w:rsidR="00655C07">
        <w:t xml:space="preserve">to more </w:t>
      </w:r>
      <w:r w:rsidR="00C674D0">
        <w:t>relevant drivers</w:t>
      </w:r>
      <w:r w:rsidR="00655C07">
        <w:t xml:space="preserve"> such as education alignment to career goals.</w:t>
      </w:r>
    </w:p>
    <w:p w14:paraId="7941A4BF" w14:textId="47A2ED29" w:rsidR="000231C4" w:rsidRDefault="00801A32" w:rsidP="000231C4">
      <w:pPr>
        <w:pStyle w:val="Heading4"/>
      </w:pPr>
      <w:r>
        <w:t>National Skills Passport</w:t>
      </w:r>
    </w:p>
    <w:p w14:paraId="01050772" w14:textId="4739941F" w:rsidR="00DF57A0" w:rsidRDefault="004A62DA" w:rsidP="00801A32">
      <w:pPr>
        <w:pStyle w:val="BodyText"/>
        <w:rPr>
          <w:lang w:eastAsia="en-AU"/>
        </w:rPr>
      </w:pPr>
      <w:r>
        <w:t xml:space="preserve">A National Skills Passport </w:t>
      </w:r>
      <w:r w:rsidR="00655C07">
        <w:t>c</w:t>
      </w:r>
      <w:r w:rsidR="000225D9">
        <w:t>oul</w:t>
      </w:r>
      <w:r w:rsidR="0077643F">
        <w:t>d</w:t>
      </w:r>
      <w:r w:rsidR="00655C07">
        <w:t xml:space="preserve"> </w:t>
      </w:r>
      <w:r w:rsidR="002E6656" w:rsidRPr="002E6656">
        <w:t>link to existing initiatives such as the Nat</w:t>
      </w:r>
      <w:r w:rsidR="002E6656" w:rsidRPr="002E6656">
        <w:rPr>
          <w:lang w:eastAsia="en-AU"/>
        </w:rPr>
        <w:t xml:space="preserve">ional Skills Taxonomy </w:t>
      </w:r>
      <w:r w:rsidR="002E6656">
        <w:t>to creat</w:t>
      </w:r>
      <w:r w:rsidR="00655C07">
        <w:t xml:space="preserve">e </w:t>
      </w:r>
      <w:r w:rsidR="002E6656">
        <w:t xml:space="preserve">a </w:t>
      </w:r>
      <w:r w:rsidR="0077643F">
        <w:t>practical mechanism for</w:t>
      </w:r>
      <w:r w:rsidR="00884809">
        <w:t xml:space="preserve"> </w:t>
      </w:r>
      <w:r w:rsidR="00655C07">
        <w:t xml:space="preserve">individuals </w:t>
      </w:r>
      <w:r w:rsidR="00884809">
        <w:t>to sho</w:t>
      </w:r>
      <w:r w:rsidR="008E2500">
        <w:t xml:space="preserve">w their acquired </w:t>
      </w:r>
      <w:r w:rsidR="00873F94">
        <w:t xml:space="preserve">skills and knowledge </w:t>
      </w:r>
      <w:r w:rsidR="00D833A7">
        <w:t xml:space="preserve">across VET and </w:t>
      </w:r>
      <w:r w:rsidR="006E36F3">
        <w:t>Higher Education</w:t>
      </w:r>
      <w:r w:rsidR="00D833A7">
        <w:t xml:space="preserve"> through a trusted and integrated digital system.</w:t>
      </w:r>
      <w:r w:rsidR="00E908A4">
        <w:t xml:space="preserve"> </w:t>
      </w:r>
      <w:r w:rsidR="00E908A4" w:rsidRPr="00E908A4">
        <w:rPr>
          <w:lang w:eastAsia="en-AU"/>
        </w:rPr>
        <w:t>It could support personalised guidance on education, training and career pathways including information on workforce demand.</w:t>
      </w:r>
      <w:r w:rsidR="00CF503B">
        <w:t xml:space="preserve"> This in turn would also </w:t>
      </w:r>
      <w:r w:rsidR="00CF503B" w:rsidRPr="00CF503B">
        <w:rPr>
          <w:lang w:eastAsia="en-AU"/>
        </w:rPr>
        <w:t>promote upskilling and reskilling to help build a culture of lifelong learning</w:t>
      </w:r>
      <w:r w:rsidR="00CF503B">
        <w:t>.</w:t>
      </w:r>
    </w:p>
    <w:p w14:paraId="79F4C265" w14:textId="77777777" w:rsidR="0087201E" w:rsidRPr="0087201E" w:rsidRDefault="0087201E" w:rsidP="0087201E">
      <w:pPr>
        <w:pStyle w:val="BodyText"/>
        <w:rPr>
          <w:lang w:eastAsia="en-AU"/>
        </w:rPr>
      </w:pPr>
    </w:p>
    <w:p w14:paraId="1315042D" w14:textId="3EEBD0F7" w:rsidR="00A06B0F" w:rsidRDefault="00A06B0F" w:rsidP="00065A68">
      <w:pPr>
        <w:pStyle w:val="Heading2"/>
      </w:pPr>
      <w:bookmarkStart w:id="95" w:name="_Toc190980909"/>
      <w:r>
        <w:t>Benefits of Tertiary Harmonisation</w:t>
      </w:r>
      <w:bookmarkEnd w:id="92"/>
      <w:bookmarkEnd w:id="93"/>
      <w:bookmarkEnd w:id="95"/>
    </w:p>
    <w:p w14:paraId="638EBB97" w14:textId="77777777" w:rsidR="00D96CD1" w:rsidRDefault="000407B2" w:rsidP="000407B2">
      <w:pPr>
        <w:pStyle w:val="BodyText"/>
      </w:pPr>
      <w:r w:rsidRPr="000407B2">
        <w:t xml:space="preserve">A number of significant structural trends will shape the Australian </w:t>
      </w:r>
      <w:r w:rsidR="00B93EF3" w:rsidRPr="000407B2">
        <w:t>econom</w:t>
      </w:r>
      <w:r w:rsidR="00B93EF3">
        <w:t>y</w:t>
      </w:r>
      <w:r w:rsidRPr="000407B2">
        <w:t xml:space="preserve"> and labour market over the coming years. Australia needs to ensure it has a skilled, diverse, productive and resilient workforce able to meet current and future labour market and economic needs.</w:t>
      </w:r>
    </w:p>
    <w:p w14:paraId="3850B58E" w14:textId="631624CD" w:rsidR="00FA3CF7" w:rsidRDefault="00CA777C" w:rsidP="000407B2">
      <w:pPr>
        <w:pStyle w:val="BodyText"/>
      </w:pPr>
      <w:r>
        <w:t>Individuals will need to be supported to participate</w:t>
      </w:r>
      <w:r w:rsidR="00EE5AC6">
        <w:t xml:space="preserve"> effectively</w:t>
      </w:r>
      <w:r w:rsidR="00A26623">
        <w:t xml:space="preserve"> by increasing access to tertiary education both </w:t>
      </w:r>
      <w:r w:rsidR="00C01381">
        <w:t xml:space="preserve">within and </w:t>
      </w:r>
      <w:r w:rsidR="00A26623">
        <w:t>following school, and continuously over a career span as the labour market evolves.</w:t>
      </w:r>
      <w:r w:rsidR="00EE5AC6">
        <w:t xml:space="preserve"> Lifelong learning, and </w:t>
      </w:r>
      <w:r w:rsidR="00BD7F8D">
        <w:t xml:space="preserve">the opportunity to engage with the benefits of VET and </w:t>
      </w:r>
      <w:r w:rsidR="006E36F3">
        <w:t>Higher Education</w:t>
      </w:r>
      <w:r w:rsidR="00304BCE">
        <w:t xml:space="preserve"> when they are needed for initial and ongoing development</w:t>
      </w:r>
      <w:r w:rsidR="00736BD2">
        <w:t xml:space="preserve"> will need to become a strengthened characteristic of the system.</w:t>
      </w:r>
    </w:p>
    <w:p w14:paraId="17C76B16" w14:textId="77777777" w:rsidR="00D96CD1" w:rsidRDefault="000407B2" w:rsidP="000407B2">
      <w:pPr>
        <w:pStyle w:val="BodyText"/>
      </w:pPr>
      <w:r w:rsidRPr="000407B2">
        <w:t xml:space="preserve">A harmonised tertiary education sector </w:t>
      </w:r>
      <w:r>
        <w:t>will</w:t>
      </w:r>
      <w:r w:rsidRPr="000407B2">
        <w:t xml:space="preserve"> </w:t>
      </w:r>
      <w:r>
        <w:t>ensure</w:t>
      </w:r>
      <w:r w:rsidRPr="000407B2">
        <w:t xml:space="preserve"> Australia has </w:t>
      </w:r>
      <w:r>
        <w:t>the prerequisite</w:t>
      </w:r>
      <w:r w:rsidRPr="000407B2">
        <w:t xml:space="preserve"> necessary to build a better-skilled and more adaptable workforce </w:t>
      </w:r>
      <w:r>
        <w:t>for</w:t>
      </w:r>
      <w:r w:rsidRPr="000407B2">
        <w:t xml:space="preserve"> the Australian labour market for the future. Further, a more cohesive and holistic tertiary education system has the potential to </w:t>
      </w:r>
      <w:r w:rsidR="00204B6A">
        <w:t>support individual</w:t>
      </w:r>
      <w:r w:rsidR="00447F3D">
        <w:t>'s</w:t>
      </w:r>
      <w:r w:rsidRPr="000407B2">
        <w:t xml:space="preserve"> participation, productivity and inclusiveness in the Australian labour market and economy. These benefits will flow to both workers and employers, but also have benefits to education providers and the </w:t>
      </w:r>
      <w:r>
        <w:t xml:space="preserve">Australian </w:t>
      </w:r>
      <w:r w:rsidRPr="000407B2">
        <w:t>Government more broadly.</w:t>
      </w:r>
      <w:r w:rsidR="008C0FF6">
        <w:t xml:space="preserve"> These benefits are also closely aligned with the </w:t>
      </w:r>
      <w:r w:rsidR="00010993">
        <w:t xml:space="preserve">objects and outcomes agreed under the NSA </w:t>
      </w:r>
      <w:sdt>
        <w:sdtPr>
          <w:id w:val="-1146272219"/>
          <w:citation/>
        </w:sdtPr>
        <w:sdtContent>
          <w:r w:rsidR="00010993">
            <w:fldChar w:fldCharType="begin"/>
          </w:r>
          <w:r w:rsidR="00010993">
            <w:instrText xml:space="preserve"> CITATION Aus23 \l 3081 </w:instrText>
          </w:r>
          <w:r w:rsidR="00010993">
            <w:fldChar w:fldCharType="separate"/>
          </w:r>
          <w:r w:rsidR="00BD5991">
            <w:rPr>
              <w:noProof/>
            </w:rPr>
            <w:t>(Australian and State and Territory Governments, 2023)</w:t>
          </w:r>
          <w:r w:rsidR="00010993">
            <w:fldChar w:fldCharType="end"/>
          </w:r>
        </w:sdtContent>
      </w:sdt>
      <w:r w:rsidR="00010993">
        <w:t>.</w:t>
      </w:r>
    </w:p>
    <w:p w14:paraId="73DA9C28" w14:textId="77777777" w:rsidR="00D96CD1" w:rsidRDefault="00B9314F" w:rsidP="000407B2">
      <w:pPr>
        <w:pStyle w:val="BodyText"/>
      </w:pPr>
      <w:r>
        <w:t>T</w:t>
      </w:r>
      <w:r w:rsidRPr="00A06B0F">
        <w:t xml:space="preserve">he </w:t>
      </w:r>
      <w:r w:rsidR="00821111" w:rsidRPr="00A06B0F">
        <w:t xml:space="preserve">potential benefits of harmonisation </w:t>
      </w:r>
      <w:r w:rsidR="001041C1">
        <w:t xml:space="preserve">are </w:t>
      </w:r>
      <w:r w:rsidR="00E244CA">
        <w:t>considered</w:t>
      </w:r>
      <w:r w:rsidR="00821111" w:rsidRPr="00A06B0F">
        <w:t xml:space="preserve"> under four </w:t>
      </w:r>
      <w:r w:rsidR="00E244CA">
        <w:t>themes</w:t>
      </w:r>
      <w:r w:rsidR="001041C1">
        <w:t xml:space="preserve"> with corresponding case studies</w:t>
      </w:r>
      <w:r w:rsidR="00821111" w:rsidRPr="00A06B0F">
        <w:t>: system effectiveness, access and equ</w:t>
      </w:r>
      <w:r w:rsidR="0074513B">
        <w:t>ality</w:t>
      </w:r>
      <w:r w:rsidR="00821111" w:rsidRPr="00A06B0F">
        <w:t>, tackling national challenges, and productivity and labour market outcomes</w:t>
      </w:r>
      <w:r w:rsidR="00604F6B">
        <w:t xml:space="preserve"> (Figure 3)</w:t>
      </w:r>
      <w:r w:rsidR="00821111" w:rsidRPr="00A06B0F">
        <w:t>.</w:t>
      </w:r>
    </w:p>
    <w:p w14:paraId="3BD62F71" w14:textId="77777777" w:rsidR="00D96CD1" w:rsidRDefault="00AE3CC7" w:rsidP="00CB57FB">
      <w:pPr>
        <w:pStyle w:val="BodyText"/>
      </w:pPr>
      <w:r>
        <w:t xml:space="preserve">The </w:t>
      </w:r>
      <w:r w:rsidR="00B9200F">
        <w:t xml:space="preserve">foundational </w:t>
      </w:r>
      <w:r>
        <w:t xml:space="preserve">outcome is </w:t>
      </w:r>
      <w:r w:rsidR="00B85C2D">
        <w:t>improved</w:t>
      </w:r>
      <w:r>
        <w:t xml:space="preserve"> student experience</w:t>
      </w:r>
      <w:r w:rsidR="00415218">
        <w:t xml:space="preserve"> and outcomes</w:t>
      </w:r>
      <w:r w:rsidR="00B9200F">
        <w:t xml:space="preserve">, that creates </w:t>
      </w:r>
      <w:r w:rsidR="005F3CEC">
        <w:t>broad ranging benefits for</w:t>
      </w:r>
      <w:r w:rsidR="00231711">
        <w:t xml:space="preserve"> the education system,</w:t>
      </w:r>
      <w:r w:rsidR="005F3CEC">
        <w:t xml:space="preserve"> individuals, the labour market and the economy</w:t>
      </w:r>
      <w:r w:rsidR="00D821DA">
        <w:t xml:space="preserve">. Tertiary harmonisation </w:t>
      </w:r>
      <w:r>
        <w:t xml:space="preserve">should enable </w:t>
      </w:r>
      <w:r w:rsidR="00462484">
        <w:t xml:space="preserve">clear, </w:t>
      </w:r>
      <w:r>
        <w:t xml:space="preserve">smooth, </w:t>
      </w:r>
      <w:r w:rsidR="00462484">
        <w:t xml:space="preserve">and well-informed </w:t>
      </w:r>
      <w:r w:rsidR="000E08DC">
        <w:t>processes that enable</w:t>
      </w:r>
      <w:r w:rsidR="00462484">
        <w:t xml:space="preserve"> </w:t>
      </w:r>
      <w:r w:rsidR="000E08DC">
        <w:t>students to</w:t>
      </w:r>
      <w:r w:rsidR="00E53BDF">
        <w:t xml:space="preserve"> </w:t>
      </w:r>
      <w:r w:rsidR="00DA1446">
        <w:t>mov</w:t>
      </w:r>
      <w:r w:rsidR="000E08DC">
        <w:t>e</w:t>
      </w:r>
      <w:r w:rsidR="00DA1446">
        <w:t xml:space="preserve"> </w:t>
      </w:r>
      <w:r w:rsidR="00D33E4E">
        <w:t xml:space="preserve">between VET and </w:t>
      </w:r>
      <w:r w:rsidR="006E36F3">
        <w:t>Higher Education</w:t>
      </w:r>
      <w:r w:rsidR="000E08DC">
        <w:t xml:space="preserve"> in both directions, without </w:t>
      </w:r>
      <w:r w:rsidR="007E73C8">
        <w:t>funding disincenti</w:t>
      </w:r>
      <w:r w:rsidR="00A22A05">
        <w:t xml:space="preserve">ves, </w:t>
      </w:r>
      <w:r w:rsidR="00A6166C">
        <w:t>content duplication or excessive administrative burdens</w:t>
      </w:r>
      <w:r w:rsidR="00987A28">
        <w:t>, result</w:t>
      </w:r>
      <w:r w:rsidR="00B85C2D">
        <w:t>ing</w:t>
      </w:r>
      <w:r w:rsidR="00987A28">
        <w:t xml:space="preserve"> in </w:t>
      </w:r>
      <w:r w:rsidR="00FC633A">
        <w:t>strong employment prospects.</w:t>
      </w:r>
    </w:p>
    <w:p w14:paraId="407ECF41" w14:textId="66FE36DA" w:rsidR="00F06CA4" w:rsidRPr="00F06CA4" w:rsidRDefault="003F221F" w:rsidP="003F221F">
      <w:pPr>
        <w:pStyle w:val="Caption"/>
      </w:pPr>
      <w:bookmarkStart w:id="96" w:name="_Toc191381509"/>
      <w:r w:rsidRPr="003F221F">
        <w:lastRenderedPageBreak/>
        <w:t xml:space="preserve">Figure </w:t>
      </w:r>
      <w:r w:rsidRPr="003F221F">
        <w:fldChar w:fldCharType="begin"/>
      </w:r>
      <w:r w:rsidRPr="003F221F">
        <w:instrText xml:space="preserve"> SEQ Figure \* ARABIC </w:instrText>
      </w:r>
      <w:r w:rsidRPr="003F221F">
        <w:fldChar w:fldCharType="separate"/>
      </w:r>
      <w:r w:rsidR="004D7389">
        <w:rPr>
          <w:noProof/>
        </w:rPr>
        <w:t>3</w:t>
      </w:r>
      <w:r w:rsidRPr="003F221F">
        <w:fldChar w:fldCharType="end"/>
      </w:r>
      <w:r w:rsidR="00AF58F4">
        <w:t>.</w:t>
      </w:r>
      <w:r w:rsidRPr="003F221F">
        <w:t xml:space="preserve"> The four benefits of Tertiary Harmonisation</w:t>
      </w:r>
      <w:bookmarkEnd w:id="96"/>
    </w:p>
    <w:p w14:paraId="69D7628B" w14:textId="4F1EA44A" w:rsidR="00A06B0F" w:rsidRDefault="00DE23B2" w:rsidP="00A06B0F">
      <w:r>
        <w:rPr>
          <w:noProof/>
        </w:rPr>
        <w:drawing>
          <wp:inline distT="0" distB="0" distL="0" distR="0" wp14:anchorId="65919461" wp14:editId="06306E01">
            <wp:extent cx="5731510" cy="3388995"/>
            <wp:effectExtent l="0" t="0" r="2540" b="1905"/>
            <wp:docPr id="861620218" name="Graphic 6" descr="A diagram that indicates how the combination of collaboration of system actors and attention to system architecture can facilitate system effectiveness, access and equality, tackling national challenges, and productivity &amp; labour market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20218" name="Graphic 6" descr="A diagram that indicates how the combination of collaboration of system actors and attention to system architecture can facilitate system effectiveness, access and equality, tackling national challenges, and productivity &amp; labour market outcomes. "/>
                    <pic:cNvPicPr/>
                  </pic:nvPicPr>
                  <pic:blipFill>
                    <a:blip r:embed="rId31">
                      <a:extLst>
                        <a:ext uri="{96DAC541-7B7A-43D3-8B79-37D633B846F1}">
                          <asvg:svgBlip xmlns:asvg="http://schemas.microsoft.com/office/drawing/2016/SVG/main" r:embed="rId32"/>
                        </a:ext>
                      </a:extLst>
                    </a:blip>
                    <a:stretch>
                      <a:fillRect/>
                    </a:stretch>
                  </pic:blipFill>
                  <pic:spPr>
                    <a:xfrm>
                      <a:off x="0" y="0"/>
                      <a:ext cx="5731510" cy="3388995"/>
                    </a:xfrm>
                    <a:prstGeom prst="rect">
                      <a:avLst/>
                    </a:prstGeom>
                  </pic:spPr>
                </pic:pic>
              </a:graphicData>
            </a:graphic>
          </wp:inline>
        </w:drawing>
      </w:r>
    </w:p>
    <w:p w14:paraId="563241AC" w14:textId="209AB755" w:rsidR="00A06B0F" w:rsidRDefault="00A06B0F" w:rsidP="007C5650">
      <w:pPr>
        <w:pStyle w:val="Heading3"/>
      </w:pPr>
      <w:bookmarkStart w:id="97" w:name="_Toc189060435"/>
      <w:bookmarkStart w:id="98" w:name="_Toc189060525"/>
      <w:bookmarkStart w:id="99" w:name="_Toc189060783"/>
      <w:r w:rsidRPr="00C2228E">
        <w:t xml:space="preserve">System </w:t>
      </w:r>
      <w:r w:rsidR="00A748E8">
        <w:t xml:space="preserve">efficiency and </w:t>
      </w:r>
      <w:r w:rsidRPr="007C5650">
        <w:t>effectiveness</w:t>
      </w:r>
      <w:bookmarkEnd w:id="94"/>
      <w:bookmarkEnd w:id="97"/>
      <w:bookmarkEnd w:id="98"/>
      <w:bookmarkEnd w:id="99"/>
    </w:p>
    <w:p w14:paraId="2E0A6A64" w14:textId="339426FB" w:rsidR="00997B9D" w:rsidRDefault="00A06B0F" w:rsidP="00563D5D">
      <w:pPr>
        <w:pStyle w:val="BodyText"/>
      </w:pPr>
      <w:r>
        <w:t xml:space="preserve">At present, the tertiary sector is not well connected, nor does it have a unifying basis to easily facilitate </w:t>
      </w:r>
      <w:r w:rsidR="00ED7BA1">
        <w:t>collaboration</w:t>
      </w:r>
      <w:r>
        <w:t xml:space="preserve">. </w:t>
      </w:r>
      <w:r w:rsidR="00ED7BA1">
        <w:t xml:space="preserve">This results in </w:t>
      </w:r>
      <w:r w:rsidR="00EC72BA">
        <w:t>inefficiencies, including</w:t>
      </w:r>
      <w:r w:rsidR="00ED7BA1">
        <w:t xml:space="preserve"> duplication </w:t>
      </w:r>
      <w:r w:rsidR="00EC72BA">
        <w:t xml:space="preserve">between VET and </w:t>
      </w:r>
      <w:r w:rsidR="006E36F3">
        <w:t>Higher Education</w:t>
      </w:r>
      <w:r w:rsidR="006F4629">
        <w:t xml:space="preserve">, </w:t>
      </w:r>
      <w:r w:rsidR="003238F8">
        <w:t xml:space="preserve">unnecessary </w:t>
      </w:r>
      <w:r w:rsidR="006F4629">
        <w:t>barriers to credit transfer and RPL</w:t>
      </w:r>
      <w:r w:rsidR="00725F3C">
        <w:t xml:space="preserve"> and </w:t>
      </w:r>
      <w:r w:rsidR="009B0FBC">
        <w:t xml:space="preserve">difficulties accessing </w:t>
      </w:r>
      <w:r w:rsidR="00E34EE7">
        <w:t xml:space="preserve">the information needed </w:t>
      </w:r>
      <w:r w:rsidR="00C50F60">
        <w:t>to make informed decisions about</w:t>
      </w:r>
      <w:r w:rsidR="00E34EE7">
        <w:t xml:space="preserve"> career development</w:t>
      </w:r>
      <w:r w:rsidR="00B21C45">
        <w:t>, upskilling</w:t>
      </w:r>
      <w:r w:rsidR="00327634">
        <w:t>,</w:t>
      </w:r>
      <w:r w:rsidR="00E34EE7">
        <w:t xml:space="preserve"> and </w:t>
      </w:r>
      <w:r w:rsidR="00424A30">
        <w:t>reskilling</w:t>
      </w:r>
      <w:r w:rsidR="00C50F60">
        <w:t xml:space="preserve"> across the </w:t>
      </w:r>
      <w:r w:rsidR="006C010A">
        <w:t>system</w:t>
      </w:r>
      <w:r w:rsidR="00E34EE7">
        <w:t xml:space="preserve">. </w:t>
      </w:r>
      <w:r w:rsidR="00ED6865">
        <w:t xml:space="preserve">At a time when the labour market needs more </w:t>
      </w:r>
      <w:r w:rsidR="004903E1">
        <w:t>tertiary qualified workers</w:t>
      </w:r>
      <w:r w:rsidR="00DB1AD2">
        <w:t xml:space="preserve"> and </w:t>
      </w:r>
      <w:r w:rsidR="0034353C">
        <w:t>transitioning</w:t>
      </w:r>
      <w:r w:rsidR="00DB1AD2">
        <w:t xml:space="preserve"> workers to meet new </w:t>
      </w:r>
      <w:r w:rsidR="00FC5B52">
        <w:t xml:space="preserve">workforce </w:t>
      </w:r>
      <w:r w:rsidR="00DB1AD2">
        <w:t>challenges</w:t>
      </w:r>
      <w:r w:rsidR="004903E1">
        <w:t>, the system</w:t>
      </w:r>
      <w:r w:rsidR="005F0566">
        <w:t>'s</w:t>
      </w:r>
      <w:r w:rsidR="004903E1">
        <w:t xml:space="preserve"> inefficiency does not incentivise lifelong learnin</w:t>
      </w:r>
      <w:r w:rsidR="00AC3DF8">
        <w:t xml:space="preserve">g </w:t>
      </w:r>
      <w:r w:rsidR="00F03449">
        <w:t>for</w:t>
      </w:r>
      <w:r w:rsidR="00AC3DF8">
        <w:t xml:space="preserve"> individuals.</w:t>
      </w:r>
    </w:p>
    <w:p w14:paraId="2195AD1B" w14:textId="7BF6345E" w:rsidR="00476F4C" w:rsidRDefault="002D3402" w:rsidP="00563D5D">
      <w:pPr>
        <w:pStyle w:val="BodyText"/>
      </w:pPr>
      <w:r>
        <w:t>Tertiary harmonisation w</w:t>
      </w:r>
      <w:r w:rsidR="00015E85">
        <w:t>ill</w:t>
      </w:r>
      <w:r>
        <w:t xml:space="preserve"> </w:t>
      </w:r>
      <w:r w:rsidR="009332CB">
        <w:t>require</w:t>
      </w:r>
      <w:r>
        <w:t xml:space="preserve"> </w:t>
      </w:r>
      <w:r w:rsidR="00B426F0">
        <w:t xml:space="preserve">collaboration and administrative </w:t>
      </w:r>
      <w:r w:rsidR="004C1EA6">
        <w:t>costs but</w:t>
      </w:r>
      <w:r w:rsidR="00B426F0">
        <w:t xml:space="preserve"> will ultimately</w:t>
      </w:r>
      <w:r>
        <w:t xml:space="preserve"> increase the </w:t>
      </w:r>
      <w:r w:rsidR="00997B9D">
        <w:t>efficiency</w:t>
      </w:r>
      <w:r>
        <w:t xml:space="preserve"> of the tertiary system</w:t>
      </w:r>
      <w:r w:rsidR="00015E85">
        <w:t xml:space="preserve"> by</w:t>
      </w:r>
      <w:r>
        <w:t xml:space="preserve"> reducing the cost to individuals, industry and government in </w:t>
      </w:r>
      <w:r w:rsidR="006C1B16">
        <w:t>the</w:t>
      </w:r>
      <w:r>
        <w:t xml:space="preserve"> delivery </w:t>
      </w:r>
      <w:r w:rsidR="006C1B16">
        <w:t>of</w:t>
      </w:r>
      <w:r>
        <w:t xml:space="preserve"> the skills and knowledge that students need</w:t>
      </w:r>
      <w:r w:rsidR="00D676F5">
        <w:t>.</w:t>
      </w:r>
    </w:p>
    <w:p w14:paraId="5A140638" w14:textId="0CC40760" w:rsidR="00AC079A" w:rsidRDefault="00476F4C" w:rsidP="00563D5D">
      <w:pPr>
        <w:pStyle w:val="BodyText"/>
      </w:pPr>
      <w:r>
        <w:t xml:space="preserve">The current </w:t>
      </w:r>
      <w:r w:rsidR="00CC18BA">
        <w:t>arrangements</w:t>
      </w:r>
      <w:r w:rsidR="0016632F">
        <w:t xml:space="preserve"> </w:t>
      </w:r>
      <w:r w:rsidR="00655CA7">
        <w:t>impede</w:t>
      </w:r>
      <w:r w:rsidR="00F93A79">
        <w:t xml:space="preserve"> innovation</w:t>
      </w:r>
      <w:r w:rsidR="000A2767">
        <w:t xml:space="preserve">, </w:t>
      </w:r>
      <w:r w:rsidR="00A06B0F">
        <w:t>reduc</w:t>
      </w:r>
      <w:r w:rsidR="003721D5">
        <w:t>ing</w:t>
      </w:r>
      <w:r w:rsidR="00A06B0F">
        <w:t xml:space="preserve"> the effectiveness of the tertiary sector in meeting </w:t>
      </w:r>
      <w:r w:rsidR="00895757">
        <w:t xml:space="preserve">student and </w:t>
      </w:r>
      <w:r w:rsidR="00A06B0F">
        <w:t>labour force needs.</w:t>
      </w:r>
      <w:r w:rsidR="005960D4">
        <w:t xml:space="preserve"> </w:t>
      </w:r>
      <w:r w:rsidR="00AC079A">
        <w:t>Harmonisation would encourage the development of pathways and programs that meet the needs of individual and industry, increasing system effectiveness.</w:t>
      </w:r>
    </w:p>
    <w:p w14:paraId="38754B6C" w14:textId="6F0C3AFA" w:rsidR="004262D2" w:rsidRDefault="00DD39F7" w:rsidP="00DD39F7">
      <w:pPr>
        <w:pStyle w:val="BodyText"/>
      </w:pPr>
      <w:r>
        <w:t>One</w:t>
      </w:r>
      <w:r w:rsidR="00AC079A">
        <w:t xml:space="preserve"> way of thinking about the potentially</w:t>
      </w:r>
      <w:r w:rsidR="0020212B">
        <w:t xml:space="preserve"> very large benefits of tertiary harmonisation</w:t>
      </w:r>
      <w:r w:rsidR="002501DC">
        <w:t>, is that the incre</w:t>
      </w:r>
      <w:r w:rsidR="009A6EBE">
        <w:t xml:space="preserve">ase in tertiary participation and success, projected in the Accord final report will be much more possible </w:t>
      </w:r>
      <w:r w:rsidR="002E2D07">
        <w:t>in</w:t>
      </w:r>
      <w:r w:rsidR="009A6EBE">
        <w:t xml:space="preserve"> a more harmonised tertiary system. </w:t>
      </w:r>
      <w:r w:rsidR="004B654B">
        <w:t xml:space="preserve">It will be more feasible to achieve these ambitious targets, with a </w:t>
      </w:r>
      <w:r w:rsidR="008F4B57">
        <w:t>major</w:t>
      </w:r>
      <w:r w:rsidR="004B654B">
        <w:t xml:space="preserve"> role for the VET system in growing tertiary participation </w:t>
      </w:r>
      <w:r w:rsidR="00FC7360">
        <w:t xml:space="preserve">in enabling a big increase </w:t>
      </w:r>
      <w:r w:rsidR="002F6042">
        <w:t>in the skilled workforce, ma</w:t>
      </w:r>
      <w:r w:rsidR="00FE03A1">
        <w:t>n</w:t>
      </w:r>
      <w:r w:rsidR="002F6042">
        <w:t>y with</w:t>
      </w:r>
      <w:r w:rsidR="00772D30">
        <w:t xml:space="preserve"> diplomas, </w:t>
      </w:r>
      <w:r w:rsidR="007D3B33">
        <w:t>or degrees</w:t>
      </w:r>
      <w:r w:rsidR="002F6042">
        <w:t xml:space="preserve"> </w:t>
      </w:r>
      <w:r w:rsidR="007D3B33">
        <w:t>and</w:t>
      </w:r>
      <w:r w:rsidR="00772D30">
        <w:t xml:space="preserve"> </w:t>
      </w:r>
      <w:r w:rsidR="002F6042">
        <w:t>associate degrees with nested VET qualification</w:t>
      </w:r>
      <w:r w:rsidR="000C69F7">
        <w:t>. It will</w:t>
      </w:r>
      <w:r w:rsidR="00CB6C9D">
        <w:t xml:space="preserve"> also </w:t>
      </w:r>
      <w:r w:rsidR="000C69F7">
        <w:t xml:space="preserve">be </w:t>
      </w:r>
      <w:r w:rsidR="00CB6C9D">
        <w:t>more cost effective.</w:t>
      </w:r>
      <w:bookmarkStart w:id="100" w:name="_Toc179799939"/>
      <w:r w:rsidR="00B81EFD">
        <w:t xml:space="preserve"> Collaborations between VET and </w:t>
      </w:r>
      <w:r w:rsidR="006E36F3">
        <w:t>Higher Education</w:t>
      </w:r>
      <w:r w:rsidR="00B81EFD">
        <w:t xml:space="preserve"> to provide Tertiary preparation courses will support this objective (Recommendation </w:t>
      </w:r>
      <w:r w:rsidR="00900679">
        <w:t>7</w:t>
      </w:r>
      <w:r w:rsidR="00B81EFD">
        <w:t>).</w:t>
      </w:r>
    </w:p>
    <w:p w14:paraId="433F843A" w14:textId="77777777" w:rsidR="004262D2" w:rsidRDefault="004262D2">
      <w:pPr>
        <w:spacing w:before="0" w:after="200" w:line="276" w:lineRule="auto"/>
      </w:pPr>
      <w:r>
        <w:br w:type="page"/>
      </w:r>
    </w:p>
    <w:tbl>
      <w:tblPr>
        <w:tblStyle w:val="TableGrid"/>
        <w:tblW w:w="9214" w:type="dxa"/>
        <w:tblInd w:w="-142" w:type="dxa"/>
        <w:tblLook w:val="0600" w:firstRow="0" w:lastRow="0" w:firstColumn="0" w:lastColumn="0" w:noHBand="1" w:noVBand="1"/>
      </w:tblPr>
      <w:tblGrid>
        <w:gridCol w:w="9214"/>
      </w:tblGrid>
      <w:tr w:rsidR="00881F09" w14:paraId="4617BDEC" w14:textId="77777777" w:rsidTr="00FD20A1">
        <w:tc>
          <w:tcPr>
            <w:tcW w:w="9214" w:type="dxa"/>
            <w:tcBorders>
              <w:top w:val="nil"/>
              <w:left w:val="nil"/>
              <w:bottom w:val="nil"/>
              <w:right w:val="nil"/>
            </w:tcBorders>
            <w:shd w:val="clear" w:color="auto" w:fill="CCC1DA"/>
          </w:tcPr>
          <w:p w14:paraId="18BC4099" w14:textId="77777777" w:rsidR="00B12045" w:rsidRDefault="00B12045" w:rsidP="00B12045">
            <w:pPr>
              <w:pStyle w:val="BoxHeading"/>
            </w:pPr>
            <w:r>
              <w:lastRenderedPageBreak/>
              <w:t>Case study - Expanding VET provision into Higher Education to support targeted industry growth (TAFE Queensland)</w:t>
            </w:r>
          </w:p>
          <w:p w14:paraId="0906E3AF" w14:textId="77777777" w:rsidR="00B12045" w:rsidRDefault="00B12045" w:rsidP="00B12045">
            <w:pPr>
              <w:pStyle w:val="BoxHeading"/>
            </w:pPr>
            <w:r>
              <w:rPr>
                <w:noProof/>
              </w:rPr>
              <w:drawing>
                <wp:inline distT="0" distB="0" distL="0" distR="0" wp14:anchorId="732E799D" wp14:editId="58FC781D">
                  <wp:extent cx="5667375" cy="2371725"/>
                  <wp:effectExtent l="0" t="0" r="0" b="9525"/>
                  <wp:docPr id="836562754" name="Graphic 11" descr="Diagram showing the pathway, as described in the text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27746" name="Graphic 11" descr="Diagram showing the pathway, as described in the text below."/>
                          <pic:cNvPicPr/>
                        </pic:nvPicPr>
                        <pic:blipFill>
                          <a:blip r:embed="rId33">
                            <a:extLst>
                              <a:ext uri="{96DAC541-7B7A-43D3-8B79-37D633B846F1}">
                                <asvg:svgBlip xmlns:asvg="http://schemas.microsoft.com/office/drawing/2016/SVG/main" r:embed="rId34"/>
                              </a:ext>
                            </a:extLst>
                          </a:blip>
                          <a:stretch>
                            <a:fillRect/>
                          </a:stretch>
                        </pic:blipFill>
                        <pic:spPr>
                          <a:xfrm>
                            <a:off x="0" y="0"/>
                            <a:ext cx="5667375" cy="2371725"/>
                          </a:xfrm>
                          <a:prstGeom prst="rect">
                            <a:avLst/>
                          </a:prstGeom>
                        </pic:spPr>
                      </pic:pic>
                    </a:graphicData>
                  </a:graphic>
                </wp:inline>
              </w:drawing>
            </w:r>
          </w:p>
          <w:p w14:paraId="68596998" w14:textId="0D49EC2D" w:rsidR="00B12045" w:rsidRPr="00FA2F83" w:rsidRDefault="00B12045" w:rsidP="00B12045">
            <w:pPr>
              <w:pStyle w:val="Caption"/>
              <w:rPr>
                <w:lang w:eastAsia="en-AU"/>
              </w:rPr>
            </w:pPr>
            <w:bookmarkStart w:id="101" w:name="_Toc191381510"/>
            <w:r>
              <w:t xml:space="preserve">Figure </w:t>
            </w:r>
            <w:r>
              <w:fldChar w:fldCharType="begin"/>
            </w:r>
            <w:r>
              <w:instrText xml:space="preserve"> SEQ Figure \* ARABIC </w:instrText>
            </w:r>
            <w:r>
              <w:fldChar w:fldCharType="separate"/>
            </w:r>
            <w:r w:rsidR="004D7389">
              <w:rPr>
                <w:noProof/>
              </w:rPr>
              <w:t>4</w:t>
            </w:r>
            <w:r>
              <w:fldChar w:fldCharType="end"/>
            </w:r>
            <w:r>
              <w:t>. TAFE Queensland Enrolled Nurse to Registered Nurse Pathway</w:t>
            </w:r>
            <w:bookmarkEnd w:id="101"/>
          </w:p>
          <w:p w14:paraId="426B7F4B" w14:textId="5E96A783" w:rsidR="00D96CD1" w:rsidRDefault="00B12045" w:rsidP="00B12045">
            <w:pPr>
              <w:pStyle w:val="BodyText"/>
            </w:pPr>
            <w:r w:rsidRPr="00645805">
              <w:t>TAFE Queensland is addressing an increased demand for registered nurses in Queensland, using tertiary harmonisation as a mechanism to upskill enrolled nurses into registered nurse roles.</w:t>
            </w:r>
            <w:r w:rsidR="00D96CD1">
              <w:t xml:space="preserve"> </w:t>
            </w:r>
            <w:r w:rsidRPr="00645805">
              <w:t>They are doing this by providing a pathway between the Diploma of Nursing to the Bachelor of Nursing, while also designing a higher education program with flexibility, acknowledging that students will be working as enrolled nurses throughout their continued studies.</w:t>
            </w:r>
          </w:p>
          <w:p w14:paraId="09EF4FFE" w14:textId="620A55BD" w:rsidR="00B12045" w:rsidRPr="00645805" w:rsidRDefault="00B12045" w:rsidP="00B12045">
            <w:pPr>
              <w:pStyle w:val="BodyText"/>
            </w:pPr>
            <w:r w:rsidRPr="00645805">
              <w:t>Students receive one year credit from Diploma of Nursing, reducing time and cost of degree completion.</w:t>
            </w:r>
            <w:r w:rsidR="00D96CD1">
              <w:t xml:space="preserve"> </w:t>
            </w:r>
            <w:r w:rsidRPr="00645805">
              <w:t>Providing a seamless pathway and education journey with the same provider that builds on existing experience could also increase the likelihood of attainment.</w:t>
            </w:r>
          </w:p>
          <w:p w14:paraId="66C59CA8" w14:textId="639383A8" w:rsidR="00881F09" w:rsidRPr="00B12045" w:rsidRDefault="00B12045" w:rsidP="00B12045">
            <w:pPr>
              <w:pStyle w:val="BoxHeading"/>
              <w:rPr>
                <w:b w:val="0"/>
                <w:sz w:val="22"/>
                <w:szCs w:val="18"/>
              </w:rPr>
            </w:pPr>
            <w:r w:rsidRPr="004C159C">
              <w:rPr>
                <w:b w:val="0"/>
                <w:sz w:val="22"/>
                <w:szCs w:val="18"/>
              </w:rPr>
              <w:t xml:space="preserve">Source: TAFE Queensland (n.d.), Introducing TAFE Queensland's first-ever Bachelor of Nursing, </w:t>
            </w:r>
            <w:hyperlink r:id="rId35" w:history="1">
              <w:r w:rsidRPr="004C159C">
                <w:rPr>
                  <w:rStyle w:val="Hyperlink"/>
                  <w:b w:val="0"/>
                  <w:sz w:val="22"/>
                  <w:szCs w:val="18"/>
                </w:rPr>
                <w:t>https://tafeqld.edu.au/news-and-events/news/2024/introducing-tafe-queensland-s-bachelor-of-nursing-program</w:t>
              </w:r>
            </w:hyperlink>
          </w:p>
        </w:tc>
      </w:tr>
    </w:tbl>
    <w:p w14:paraId="3628CC1F" w14:textId="77777777" w:rsidR="00881F09" w:rsidRDefault="00881F09" w:rsidP="00DD39F7">
      <w:pPr>
        <w:pStyle w:val="BodyText"/>
      </w:pPr>
    </w:p>
    <w:p w14:paraId="64449464" w14:textId="5A3182D7" w:rsidR="00A06B0F" w:rsidRPr="000327CD" w:rsidRDefault="00BC4447" w:rsidP="00BC4447">
      <w:pPr>
        <w:pStyle w:val="Heading3"/>
      </w:pPr>
      <w:bookmarkStart w:id="102" w:name="_Toc189060437"/>
      <w:bookmarkStart w:id="103" w:name="_Toc189060527"/>
      <w:bookmarkStart w:id="104" w:name="_Toc189060785"/>
      <w:r>
        <w:t>A</w:t>
      </w:r>
      <w:r w:rsidRPr="00A06B0F">
        <w:t>c</w:t>
      </w:r>
      <w:r w:rsidRPr="00C2228E">
        <w:t>cess</w:t>
      </w:r>
      <w:r w:rsidR="00A06B0F" w:rsidRPr="00C2228E">
        <w:t xml:space="preserve"> and </w:t>
      </w:r>
      <w:bookmarkEnd w:id="100"/>
      <w:r w:rsidR="00A06B0F">
        <w:t>e</w:t>
      </w:r>
      <w:r w:rsidR="00A06B0F" w:rsidRPr="00C2228E">
        <w:t>quity</w:t>
      </w:r>
      <w:bookmarkEnd w:id="102"/>
      <w:bookmarkEnd w:id="103"/>
      <w:bookmarkEnd w:id="104"/>
    </w:p>
    <w:p w14:paraId="35FD9BBE" w14:textId="0F7A1E62" w:rsidR="00A06B0F" w:rsidRPr="00A06B0F" w:rsidRDefault="00A06B0F" w:rsidP="005D7264">
      <w:pPr>
        <w:pStyle w:val="BodyText"/>
      </w:pPr>
      <w:r w:rsidRPr="00A06B0F">
        <w:t>Australia is not meeting its current skills needs</w:t>
      </w:r>
      <w:r w:rsidR="00611CFE">
        <w:t>. On its current trajectory</w:t>
      </w:r>
      <w:r w:rsidR="00103F2E">
        <w:t xml:space="preserve">, </w:t>
      </w:r>
      <w:r w:rsidR="00A94234">
        <w:t xml:space="preserve">as </w:t>
      </w:r>
      <w:r w:rsidR="00103F2E">
        <w:t xml:space="preserve">the </w:t>
      </w:r>
      <w:r w:rsidR="00134FA3">
        <w:t xml:space="preserve">Accord demonstrates, </w:t>
      </w:r>
      <w:r w:rsidR="00CF2117">
        <w:t xml:space="preserve">the </w:t>
      </w:r>
      <w:r w:rsidR="00103F2E">
        <w:t>education system</w:t>
      </w:r>
      <w:r w:rsidRPr="00A06B0F">
        <w:t xml:space="preserve"> will </w:t>
      </w:r>
      <w:r w:rsidR="005B5760">
        <w:t>also fail to</w:t>
      </w:r>
      <w:r w:rsidRPr="00A06B0F">
        <w:t xml:space="preserve"> meet its future skill needs </w:t>
      </w:r>
      <w:sdt>
        <w:sdtPr>
          <w:id w:val="1725251344"/>
          <w:citation/>
        </w:sdtPr>
        <w:sdtContent>
          <w:r w:rsidR="00283467" w:rsidRPr="00283467">
            <w:rPr>
              <w:lang w:val="en-US"/>
            </w:rPr>
            <w:fldChar w:fldCharType="begin"/>
          </w:r>
          <w:r w:rsidR="00283467" w:rsidRPr="00283467">
            <w:instrText xml:space="preserve"> CITATION Com241 \l 3081 </w:instrText>
          </w:r>
          <w:r w:rsidR="00283467" w:rsidRPr="00283467">
            <w:rPr>
              <w:lang w:val="en-US"/>
            </w:rPr>
            <w:fldChar w:fldCharType="separate"/>
          </w:r>
          <w:r w:rsidR="00BD5991">
            <w:rPr>
              <w:noProof/>
            </w:rPr>
            <w:t>(Department of Education, 2024)</w:t>
          </w:r>
          <w:r w:rsidR="00283467" w:rsidRPr="00283467">
            <w:fldChar w:fldCharType="end"/>
          </w:r>
        </w:sdtContent>
      </w:sdt>
      <w:r w:rsidRPr="00A06B0F">
        <w:t xml:space="preserve">. To meet these skill needs, Australia </w:t>
      </w:r>
      <w:r w:rsidR="00C3423E">
        <w:t>must</w:t>
      </w:r>
      <w:r w:rsidRPr="00A06B0F">
        <w:t xml:space="preserve"> increase </w:t>
      </w:r>
      <w:r w:rsidR="00077ECB">
        <w:t>both initial and continuous</w:t>
      </w:r>
      <w:r w:rsidRPr="00A06B0F">
        <w:t xml:space="preserve"> participation in tertiary education.</w:t>
      </w:r>
    </w:p>
    <w:p w14:paraId="48E4D141" w14:textId="77777777" w:rsidR="00D96CD1" w:rsidRDefault="00A06B0F" w:rsidP="005D7264">
      <w:pPr>
        <w:pStyle w:val="BodyText"/>
      </w:pPr>
      <w:r>
        <w:t xml:space="preserve">One way to raise participation is </w:t>
      </w:r>
      <w:r w:rsidR="00F04B8B">
        <w:t>by</w:t>
      </w:r>
      <w:r>
        <w:t xml:space="preserve"> increasing the number of people who have access to study in the tertiary education sector. This can be done by taking on a more inclusive approach, supporting higher participation from those groups which are historically underrepresented, including First Nations, regional and low socio-economic status (SES) students.</w:t>
      </w:r>
    </w:p>
    <w:p w14:paraId="5DA00757" w14:textId="5D315709" w:rsidR="00A06B0F" w:rsidRPr="00A06B0F" w:rsidRDefault="00A06B0F" w:rsidP="005D7264">
      <w:pPr>
        <w:pStyle w:val="BodyText"/>
      </w:pPr>
      <w:r w:rsidRPr="00A06B0F">
        <w:t xml:space="preserve">The Accord shows that a more seamless and aligned </w:t>
      </w:r>
      <w:r w:rsidR="0026201E" w:rsidRPr="00A06B0F">
        <w:t>te</w:t>
      </w:r>
      <w:r w:rsidR="0026201E">
        <w:t>r</w:t>
      </w:r>
      <w:r w:rsidR="0026201E" w:rsidRPr="00A06B0F">
        <w:t>tiary</w:t>
      </w:r>
      <w:r w:rsidRPr="00A06B0F">
        <w:t xml:space="preserve"> education system will support better life and employment outcomes for under-represented groups, but to achieve this, barriers between VET and </w:t>
      </w:r>
      <w:r w:rsidR="006E36F3">
        <w:t>Higher Education</w:t>
      </w:r>
      <w:r w:rsidRPr="00A06B0F">
        <w:t xml:space="preserve"> need to be broken down.</w:t>
      </w:r>
    </w:p>
    <w:p w14:paraId="39F12D0E" w14:textId="77777777" w:rsidR="00D96CD1" w:rsidRDefault="00A06B0F" w:rsidP="00650142">
      <w:pPr>
        <w:pStyle w:val="BodyText"/>
      </w:pPr>
      <w:r w:rsidRPr="00A06B0F">
        <w:lastRenderedPageBreak/>
        <w:t xml:space="preserve">Pathways between VET and </w:t>
      </w:r>
      <w:r w:rsidR="006E36F3">
        <w:t>Higher Education</w:t>
      </w:r>
      <w:r w:rsidRPr="00A06B0F">
        <w:t xml:space="preserve"> are important as they support access to </w:t>
      </w:r>
      <w:r w:rsidR="006E36F3">
        <w:t>Higher Education</w:t>
      </w:r>
      <w:r w:rsidRPr="00A06B0F">
        <w:t xml:space="preserve"> for all students, but especially for those from under-represented groups.</w:t>
      </w:r>
    </w:p>
    <w:p w14:paraId="2B78238E" w14:textId="3F444AAA" w:rsidR="00A06B0F" w:rsidRPr="00A06B0F" w:rsidRDefault="00A06B0F" w:rsidP="00650142">
      <w:pPr>
        <w:pStyle w:val="BodyText"/>
      </w:pPr>
      <w:r w:rsidRPr="00A06B0F">
        <w:t xml:space="preserve">In 2021, 30,000 domestic students commenced a bachelor degree on the basis of a VET qualification, with First Nations, low SES and female students more commonly using this pathway </w:t>
      </w:r>
      <w:sdt>
        <w:sdtPr>
          <w:id w:val="-1946303584"/>
          <w:citation/>
        </w:sdtPr>
        <w:sdtContent>
          <w:r w:rsidRPr="00A06B0F">
            <w:fldChar w:fldCharType="begin"/>
          </w:r>
          <w:r w:rsidRPr="00A06B0F">
            <w:instrText xml:space="preserve"> CITATION CW \l 3081 </w:instrText>
          </w:r>
          <w:r w:rsidRPr="00A06B0F">
            <w:fldChar w:fldCharType="separate"/>
          </w:r>
          <w:r w:rsidR="00BD5991">
            <w:rPr>
              <w:noProof/>
            </w:rPr>
            <w:t>(Department of Education, 2023)</w:t>
          </w:r>
          <w:r w:rsidRPr="00A06B0F">
            <w:fldChar w:fldCharType="end"/>
          </w:r>
        </w:sdtContent>
      </w:sdt>
      <w:r w:rsidRPr="00A06B0F">
        <w:t>.</w:t>
      </w:r>
    </w:p>
    <w:p w14:paraId="4192EE00" w14:textId="113C970D" w:rsidR="006627B7" w:rsidRPr="00A06B0F" w:rsidRDefault="006627B7" w:rsidP="00650142">
      <w:pPr>
        <w:pStyle w:val="BodyText"/>
      </w:pPr>
      <w:r>
        <w:t xml:space="preserve">Equally, a system that is more efficient in </w:t>
      </w:r>
      <w:r w:rsidR="008C402E">
        <w:t>its</w:t>
      </w:r>
      <w:r>
        <w:t xml:space="preserve"> recognition </w:t>
      </w:r>
      <w:r w:rsidR="000F6968">
        <w:t>and mobility</w:t>
      </w:r>
      <w:r>
        <w:t xml:space="preserve"> will improve access to lifelong learning, creating cost and time </w:t>
      </w:r>
      <w:r w:rsidR="000F6968">
        <w:t>efficiencies</w:t>
      </w:r>
      <w:r>
        <w:t xml:space="preserve"> that </w:t>
      </w:r>
      <w:r w:rsidR="00B12D96">
        <w:t>are beneficial to individuals</w:t>
      </w:r>
      <w:r w:rsidR="000F6968">
        <w:t xml:space="preserve"> to continue to upskill and reskill over their careers.</w:t>
      </w:r>
    </w:p>
    <w:p w14:paraId="3AF8BFD9" w14:textId="79A3F019" w:rsidR="00A06B0F" w:rsidRPr="00A06B0F" w:rsidRDefault="00A06B0F" w:rsidP="00650142">
      <w:pPr>
        <w:pStyle w:val="BodyText"/>
      </w:pPr>
      <w:r w:rsidRPr="00A06B0F">
        <w:t>If tertiar</w:t>
      </w:r>
      <w:r w:rsidRPr="00ED0B37">
        <w:t>y harmonisation</w:t>
      </w:r>
      <w:r w:rsidRPr="00A06B0F">
        <w:t xml:space="preserve"> is implemented </w:t>
      </w:r>
      <w:r w:rsidR="00EB4084">
        <w:t>effectively</w:t>
      </w:r>
      <w:r w:rsidRPr="00A06B0F">
        <w:t xml:space="preserve">, with a focus on building an adaptable and resilient tertiary education system able to respond to the changing needs of industry, labour markets and citizens, it will </w:t>
      </w:r>
      <w:r w:rsidR="00690EBE">
        <w:t xml:space="preserve">address barriers to </w:t>
      </w:r>
      <w:r w:rsidR="00CD52B0">
        <w:t>pathways between sectors</w:t>
      </w:r>
      <w:r w:rsidRPr="00A06B0F">
        <w:t>, improve access and reduce inequality.</w:t>
      </w:r>
    </w:p>
    <w:p w14:paraId="213ED74F" w14:textId="77777777" w:rsidR="009F6C75" w:rsidRDefault="009F6C75">
      <w:pPr>
        <w:spacing w:before="0" w:after="200" w:line="276" w:lineRule="auto"/>
      </w:pPr>
      <w:r>
        <w:br w:type="page"/>
      </w:r>
    </w:p>
    <w:tbl>
      <w:tblPr>
        <w:tblStyle w:val="TableGrid"/>
        <w:tblW w:w="9214" w:type="dxa"/>
        <w:tblInd w:w="-142" w:type="dxa"/>
        <w:tblLook w:val="0600" w:firstRow="0" w:lastRow="0" w:firstColumn="0" w:lastColumn="0" w:noHBand="1" w:noVBand="1"/>
      </w:tblPr>
      <w:tblGrid>
        <w:gridCol w:w="9214"/>
      </w:tblGrid>
      <w:tr w:rsidR="00B12045" w14:paraId="1BB31A1F" w14:textId="77777777" w:rsidTr="008903B0">
        <w:tc>
          <w:tcPr>
            <w:tcW w:w="9214" w:type="dxa"/>
            <w:tcBorders>
              <w:top w:val="nil"/>
              <w:left w:val="nil"/>
              <w:bottom w:val="nil"/>
              <w:right w:val="nil"/>
            </w:tcBorders>
            <w:shd w:val="clear" w:color="auto" w:fill="CCC1DA"/>
          </w:tcPr>
          <w:p w14:paraId="627AC92A" w14:textId="77777777" w:rsidR="00057949" w:rsidRPr="003C2AC1" w:rsidRDefault="00057949" w:rsidP="00057949">
            <w:pPr>
              <w:pStyle w:val="Heading4"/>
              <w:numPr>
                <w:ilvl w:val="0"/>
                <w:numId w:val="0"/>
              </w:numPr>
              <w:tabs>
                <w:tab w:val="clear" w:pos="1072"/>
              </w:tabs>
            </w:pPr>
            <w:r>
              <w:lastRenderedPageBreak/>
              <w:t>C</w:t>
            </w:r>
            <w:r w:rsidRPr="003C2AC1">
              <w:t xml:space="preserve">ase study - </w:t>
            </w:r>
            <w:r>
              <w:t>Thoughtful education design, promoted Higher Education attainment for equity cohorts through a VET lead approach (</w:t>
            </w:r>
            <w:r w:rsidRPr="003C2AC1">
              <w:t>TAFE NSW and University of Canberra</w:t>
            </w:r>
            <w:r>
              <w:t>)</w:t>
            </w:r>
          </w:p>
          <w:p w14:paraId="1B844825" w14:textId="77777777" w:rsidR="00057949" w:rsidRPr="003F7DD2" w:rsidRDefault="00057949" w:rsidP="00057949">
            <w:pPr>
              <w:pStyle w:val="BodyText"/>
              <w:rPr>
                <w:lang w:eastAsia="en-AU"/>
              </w:rPr>
            </w:pPr>
          </w:p>
          <w:p w14:paraId="3CD07EE5" w14:textId="4CE01588" w:rsidR="00057949" w:rsidRPr="00F6736E" w:rsidRDefault="00057949" w:rsidP="00057949">
            <w:pPr>
              <w:pStyle w:val="Caption"/>
            </w:pPr>
            <w:bookmarkStart w:id="105" w:name="_Toc191381511"/>
            <w:r>
              <w:t xml:space="preserve">Figure </w:t>
            </w:r>
            <w:r>
              <w:fldChar w:fldCharType="begin"/>
            </w:r>
            <w:r>
              <w:instrText xml:space="preserve"> SEQ Figure \* ARABIC </w:instrText>
            </w:r>
            <w:r>
              <w:fldChar w:fldCharType="separate"/>
            </w:r>
            <w:r w:rsidR="004D7389">
              <w:rPr>
                <w:noProof/>
              </w:rPr>
              <w:t>5</w:t>
            </w:r>
            <w:r>
              <w:fldChar w:fldCharType="end"/>
            </w:r>
            <w:r>
              <w:t>. School to VET pathway - TAFE NSW and the University of Canberra</w:t>
            </w:r>
            <w:bookmarkEnd w:id="105"/>
          </w:p>
          <w:p w14:paraId="25A0EDA9" w14:textId="77777777" w:rsidR="00057949" w:rsidRDefault="00057949" w:rsidP="00057949">
            <w:pPr>
              <w:pStyle w:val="BodyText"/>
            </w:pPr>
          </w:p>
          <w:p w14:paraId="29CA3766" w14:textId="77777777" w:rsidR="00057949" w:rsidRDefault="00057949" w:rsidP="00057949">
            <w:pPr>
              <w:pStyle w:val="BodyText"/>
            </w:pPr>
            <w:r>
              <w:rPr>
                <w:noProof/>
              </w:rPr>
              <w:drawing>
                <wp:inline distT="0" distB="0" distL="0" distR="0" wp14:anchorId="472E363B" wp14:editId="52E34934">
                  <wp:extent cx="5667375" cy="2238375"/>
                  <wp:effectExtent l="0" t="0" r="9525" b="0"/>
                  <wp:docPr id="1214437952" name="Graphic 7" descr="A diagram outlining the pathway, as described in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93495" name="Graphic 7" descr="A diagram outlining the pathway, as described in text below. "/>
                          <pic:cNvPicPr/>
                        </pic:nvPicPr>
                        <pic:blipFill>
                          <a:blip r:embed="rId36">
                            <a:extLst>
                              <a:ext uri="{96DAC541-7B7A-43D3-8B79-37D633B846F1}">
                                <asvg:svgBlip xmlns:asvg="http://schemas.microsoft.com/office/drawing/2016/SVG/main" r:embed="rId37"/>
                              </a:ext>
                            </a:extLst>
                          </a:blip>
                          <a:stretch>
                            <a:fillRect/>
                          </a:stretch>
                        </pic:blipFill>
                        <pic:spPr>
                          <a:xfrm>
                            <a:off x="0" y="0"/>
                            <a:ext cx="5667375" cy="2238375"/>
                          </a:xfrm>
                          <a:prstGeom prst="rect">
                            <a:avLst/>
                          </a:prstGeom>
                        </pic:spPr>
                      </pic:pic>
                    </a:graphicData>
                  </a:graphic>
                </wp:inline>
              </w:drawing>
            </w:r>
          </w:p>
          <w:p w14:paraId="4DBC1713" w14:textId="1E6EB729" w:rsidR="00057949" w:rsidRDefault="00057949" w:rsidP="00057949">
            <w:r>
              <w:t>TAFE NSW and the University of Canberra (UC) have collaborated to develop a pathway from Certificate I through VET in Schools, to a bachelor’s degree delivered by TAFE NSW in the area of tourism and event management.</w:t>
            </w:r>
            <w:r w:rsidR="00D96CD1">
              <w:t xml:space="preserve"> </w:t>
            </w:r>
            <w:r>
              <w:t xml:space="preserve">This program has specifically been designed for people who are the first in their family to access Higher Education and </w:t>
            </w:r>
            <w:r w:rsidRPr="00FC7D28">
              <w:t>exemplifies the potential benefits achievable under the tertiary harmonisation agenda, which aims to make tertiary education more accessible and inclusive.</w:t>
            </w:r>
          </w:p>
          <w:p w14:paraId="43CE17A2" w14:textId="77777777" w:rsidR="00057949" w:rsidRDefault="00057949" w:rsidP="00057949"/>
          <w:p w14:paraId="546D72A0" w14:textId="77777777" w:rsidR="00057949" w:rsidRDefault="00057949" w:rsidP="00057949">
            <w:r>
              <w:t>Features of this design include:</w:t>
            </w:r>
          </w:p>
          <w:p w14:paraId="05D336A0" w14:textId="77777777" w:rsidR="00057949" w:rsidRDefault="00057949" w:rsidP="00057949">
            <w:pPr>
              <w:pStyle w:val="ListBullet"/>
              <w:numPr>
                <w:ilvl w:val="0"/>
                <w:numId w:val="2"/>
              </w:numPr>
            </w:pPr>
            <w:r>
              <w:t>The option to commence VET study through a VET in Schools option, supporting retention and transition into a continued education pathway.</w:t>
            </w:r>
          </w:p>
          <w:p w14:paraId="12E34B14" w14:textId="77777777" w:rsidR="00057949" w:rsidRDefault="00057949" w:rsidP="00057949">
            <w:pPr>
              <w:pStyle w:val="ListBullet"/>
              <w:numPr>
                <w:ilvl w:val="0"/>
                <w:numId w:val="2"/>
              </w:numPr>
            </w:pPr>
            <w:r>
              <w:t>Complete nesting of VET qualifications, supporting students as the progress towards Higher Education qualifications, but with identified exit pathways along the way to ensure students can leave at any point with a qualification.</w:t>
            </w:r>
          </w:p>
          <w:p w14:paraId="34C40586" w14:textId="77777777" w:rsidR="00057949" w:rsidRDefault="00057949" w:rsidP="00057949">
            <w:pPr>
              <w:pStyle w:val="ListBullet"/>
              <w:numPr>
                <w:ilvl w:val="0"/>
                <w:numId w:val="2"/>
              </w:numPr>
            </w:pPr>
            <w:r>
              <w:t>Several pre-determined credit arrangements for both the Diploma and Advanced Diploma into the Bachelor degree. Credit recognition is also available for students who have completed the equivalent qualifications through a private provider, increasing its inclusivity.</w:t>
            </w:r>
          </w:p>
          <w:p w14:paraId="5F14B58D" w14:textId="77777777" w:rsidR="00057949" w:rsidRDefault="00057949" w:rsidP="00057949">
            <w:pPr>
              <w:pStyle w:val="ListBullet"/>
              <w:numPr>
                <w:ilvl w:val="0"/>
                <w:numId w:val="2"/>
              </w:numPr>
            </w:pPr>
            <w:r>
              <w:t>Higher Education program taught in TAFE NSW, providing students with a seamless education experience and a learning model that has a continued practical focus, with small class sizes with enhanced teacher access and support.</w:t>
            </w:r>
          </w:p>
          <w:p w14:paraId="3885D430" w14:textId="6C47E46D" w:rsidR="00057949" w:rsidRDefault="00057949" w:rsidP="00057949">
            <w:pPr>
              <w:pStyle w:val="BodyText"/>
            </w:pPr>
            <w:r>
              <w:t>The overall benefit of this arrangement is the utilisation of tertiary harmonisation to provide a well-supported education program for students who may prefer a VET-based deliver model, while being able to continue studies through to Higher Education.</w:t>
            </w:r>
            <w:r w:rsidR="00D96CD1">
              <w:t xml:space="preserve"> </w:t>
            </w:r>
            <w:r>
              <w:t>The pre-established credit arrangement also generates a time and cost saving benefit to students, who do not need to duplicate their learning across sectors.</w:t>
            </w:r>
          </w:p>
          <w:p w14:paraId="48165476" w14:textId="3C582FDC" w:rsidR="00B12045" w:rsidRDefault="00057949" w:rsidP="004262D2">
            <w:pPr>
              <w:pStyle w:val="Source"/>
            </w:pPr>
            <w:r>
              <w:t xml:space="preserve">Source: TAFE Directors Australia (2023), 'First in family students access university through TAFE NSW', </w:t>
            </w:r>
            <w:hyperlink r:id="rId38" w:history="1">
              <w:r w:rsidRPr="00306BC0">
                <w:rPr>
                  <w:rStyle w:val="Hyperlink"/>
                </w:rPr>
                <w:t>First in family students access university through TAFE NSW – TAFE Directors Australia</w:t>
              </w:r>
            </w:hyperlink>
            <w:r>
              <w:t>.</w:t>
            </w:r>
          </w:p>
        </w:tc>
      </w:tr>
    </w:tbl>
    <w:p w14:paraId="73E4C9AF" w14:textId="77777777" w:rsidR="00A06B0F" w:rsidRDefault="00A06B0F">
      <w:pPr>
        <w:pStyle w:val="Heading3"/>
      </w:pPr>
      <w:bookmarkStart w:id="106" w:name="_Toc179799940"/>
      <w:bookmarkStart w:id="107" w:name="_Toc189060438"/>
      <w:bookmarkStart w:id="108" w:name="_Toc189060528"/>
      <w:bookmarkStart w:id="109" w:name="_Toc189060786"/>
      <w:r w:rsidRPr="00C2228E">
        <w:lastRenderedPageBreak/>
        <w:t xml:space="preserve">Tackling </w:t>
      </w:r>
      <w:r>
        <w:t>n</w:t>
      </w:r>
      <w:r w:rsidRPr="00C2228E">
        <w:t xml:space="preserve">ational </w:t>
      </w:r>
      <w:r>
        <w:t>c</w:t>
      </w:r>
      <w:r w:rsidRPr="00C2228E">
        <w:t>hallenges</w:t>
      </w:r>
      <w:bookmarkEnd w:id="106"/>
      <w:bookmarkEnd w:id="107"/>
      <w:bookmarkEnd w:id="108"/>
      <w:bookmarkEnd w:id="109"/>
    </w:p>
    <w:p w14:paraId="2B1A4752" w14:textId="77777777" w:rsidR="00A06B0F" w:rsidRPr="00A06B0F" w:rsidRDefault="00A06B0F" w:rsidP="00650142">
      <w:pPr>
        <w:pStyle w:val="BodyText"/>
      </w:pPr>
      <w:r>
        <w:t>Australia</w:t>
      </w:r>
      <w:r w:rsidRPr="73271550">
        <w:t xml:space="preserve"> need</w:t>
      </w:r>
      <w:r>
        <w:t>s</w:t>
      </w:r>
      <w:r w:rsidRPr="73271550">
        <w:t xml:space="preserve"> </w:t>
      </w:r>
      <w:r>
        <w:t>an</w:t>
      </w:r>
      <w:r w:rsidRPr="73271550">
        <w:t xml:space="preserve"> industry-ready workforce, and in turn, </w:t>
      </w:r>
      <w:r>
        <w:t xml:space="preserve">an </w:t>
      </w:r>
      <w:r w:rsidRPr="73271550">
        <w:t xml:space="preserve">education and training system </w:t>
      </w:r>
      <w:r>
        <w:t>that</w:t>
      </w:r>
      <w:r w:rsidRPr="73271550">
        <w:t xml:space="preserve"> produce</w:t>
      </w:r>
      <w:r>
        <w:t>s</w:t>
      </w:r>
      <w:r w:rsidRPr="73271550">
        <w:t xml:space="preserve"> graduates capable of stepping into critical roles</w:t>
      </w:r>
      <w:r>
        <w:t xml:space="preserve">. If this can be achieved, it will be much easier to turn the </w:t>
      </w:r>
      <w:r w:rsidRPr="73271550">
        <w:t>challenges</w:t>
      </w:r>
      <w:r>
        <w:t xml:space="preserve"> Australia faces</w:t>
      </w:r>
      <w:r w:rsidRPr="73271550">
        <w:t xml:space="preserve"> into opportunities for positive national change.</w:t>
      </w:r>
    </w:p>
    <w:p w14:paraId="2A2EDB4C" w14:textId="77777777" w:rsidR="00A06B0F" w:rsidRPr="00A06B0F" w:rsidRDefault="00A06B0F" w:rsidP="00650142">
      <w:pPr>
        <w:pStyle w:val="BodyText"/>
      </w:pPr>
      <w:r w:rsidRPr="73271550">
        <w:t>Some of the</w:t>
      </w:r>
      <w:r>
        <w:t xml:space="preserve"> </w:t>
      </w:r>
      <w:r w:rsidRPr="73271550">
        <w:t>challenges</w:t>
      </w:r>
      <w:r>
        <w:t xml:space="preserve"> currently faced by Australia </w:t>
      </w:r>
      <w:r w:rsidRPr="73271550">
        <w:t>include:</w:t>
      </w:r>
    </w:p>
    <w:p w14:paraId="629FC986" w14:textId="6DC02E93" w:rsidR="00A06B0F" w:rsidRPr="00650142" w:rsidRDefault="00DA09F1" w:rsidP="00FB1F54">
      <w:pPr>
        <w:pStyle w:val="ListBullet"/>
        <w:numPr>
          <w:ilvl w:val="0"/>
          <w:numId w:val="2"/>
        </w:numPr>
      </w:pPr>
      <w:r>
        <w:t>t</w:t>
      </w:r>
      <w:r w:rsidR="00A06B0F" w:rsidRPr="00650142">
        <w:t>ransitioning to clean energy technologies to actively address climate change, while building international competitiveness as a renewable energy superpower, and strengthening domestic energy security.</w:t>
      </w:r>
    </w:p>
    <w:p w14:paraId="27030E7F" w14:textId="0A6D0C81" w:rsidR="00A06B0F" w:rsidRPr="00650142" w:rsidRDefault="00DA09F1" w:rsidP="00FB1F54">
      <w:pPr>
        <w:pStyle w:val="ListBullet"/>
        <w:numPr>
          <w:ilvl w:val="0"/>
          <w:numId w:val="2"/>
        </w:numPr>
      </w:pPr>
      <w:r>
        <w:t>s</w:t>
      </w:r>
      <w:r w:rsidR="00A06B0F" w:rsidRPr="00650142">
        <w:t>trengthening the health and wellbeing of people and communities through enhanced care services, as well as delivering improved infrastructure and affordable housing.</w:t>
      </w:r>
    </w:p>
    <w:p w14:paraId="7CCC2256" w14:textId="5FD8D575" w:rsidR="00586B29" w:rsidRPr="00650142" w:rsidRDefault="00F43E48" w:rsidP="00FB1F54">
      <w:pPr>
        <w:pStyle w:val="ListBullet"/>
        <w:numPr>
          <w:ilvl w:val="0"/>
          <w:numId w:val="2"/>
        </w:numPr>
      </w:pPr>
      <w:r>
        <w:t xml:space="preserve">fostering a sustainable and high-quality </w:t>
      </w:r>
      <w:r w:rsidR="0028387E">
        <w:t>early childhood education sector</w:t>
      </w:r>
      <w:r w:rsidR="00BC5E9B">
        <w:t xml:space="preserve"> </w:t>
      </w:r>
      <w:r w:rsidR="007178B7">
        <w:t xml:space="preserve">workforce </w:t>
      </w:r>
      <w:r w:rsidR="00521755">
        <w:t xml:space="preserve">by </w:t>
      </w:r>
      <w:r w:rsidR="000F2A65">
        <w:t xml:space="preserve">addressing </w:t>
      </w:r>
      <w:r w:rsidR="001F1465">
        <w:t>retention</w:t>
      </w:r>
      <w:r w:rsidR="00D621B3">
        <w:t xml:space="preserve">, </w:t>
      </w:r>
      <w:r w:rsidR="00D07D2C">
        <w:t xml:space="preserve">professional </w:t>
      </w:r>
      <w:r w:rsidR="002F405A">
        <w:t xml:space="preserve">development and </w:t>
      </w:r>
      <w:r w:rsidR="004722D6">
        <w:t xml:space="preserve">the </w:t>
      </w:r>
      <w:r w:rsidR="00541FEF">
        <w:t>wellbeing of those employed within the sector</w:t>
      </w:r>
      <w:r w:rsidR="00521755">
        <w:t>.</w:t>
      </w:r>
    </w:p>
    <w:p w14:paraId="5ED49769" w14:textId="77777777" w:rsidR="00D96CD1" w:rsidRDefault="00A06B0F" w:rsidP="00650142">
      <w:pPr>
        <w:pStyle w:val="BodyText"/>
      </w:pPr>
      <w:r>
        <w:t>At present, there are persistent</w:t>
      </w:r>
      <w:r w:rsidRPr="73271550">
        <w:t xml:space="preserve"> occupation shortages</w:t>
      </w:r>
      <w:sdt>
        <w:sdtPr>
          <w:id w:val="1149014352"/>
          <w:citation/>
        </w:sdtPr>
        <w:sdtContent>
          <w:r>
            <w:fldChar w:fldCharType="begin"/>
          </w:r>
          <w:r w:rsidR="00303199">
            <w:instrText xml:space="preserve">CITATION Job23 \l 3081 </w:instrText>
          </w:r>
          <w:r>
            <w:fldChar w:fldCharType="separate"/>
          </w:r>
          <w:r w:rsidR="00BD5991">
            <w:rPr>
              <w:noProof/>
            </w:rPr>
            <w:t xml:space="preserve"> (Jobs and Skills Australia, 2024)</w:t>
          </w:r>
          <w:r>
            <w:fldChar w:fldCharType="end"/>
          </w:r>
        </w:sdtContent>
      </w:sdt>
      <w:r>
        <w:t>,</w:t>
      </w:r>
      <w:r w:rsidRPr="73271550">
        <w:t xml:space="preserve"> and</w:t>
      </w:r>
      <w:r>
        <w:t xml:space="preserve"> the</w:t>
      </w:r>
      <w:r w:rsidRPr="73271550">
        <w:t xml:space="preserve"> potential </w:t>
      </w:r>
      <w:r>
        <w:t xml:space="preserve">for these </w:t>
      </w:r>
      <w:r w:rsidRPr="73271550">
        <w:t>shortage</w:t>
      </w:r>
      <w:r>
        <w:t>s to further</w:t>
      </w:r>
      <w:r w:rsidRPr="73271550">
        <w:t xml:space="preserve"> increase if the education system cannot meet industry needs</w:t>
      </w:r>
      <w:sdt>
        <w:sdtPr>
          <w:id w:val="112786246"/>
          <w:citation/>
        </w:sdtPr>
        <w:sdtContent>
          <w:r>
            <w:fldChar w:fldCharType="begin"/>
          </w:r>
          <w:r>
            <w:instrText xml:space="preserve">CITATION BIS23 \l 3081 </w:instrText>
          </w:r>
          <w:r>
            <w:fldChar w:fldCharType="separate"/>
          </w:r>
          <w:r w:rsidR="00BD5991">
            <w:rPr>
              <w:noProof/>
            </w:rPr>
            <w:t xml:space="preserve"> (BIS Oxford Economics Australia, 2023)</w:t>
          </w:r>
          <w:r>
            <w:fldChar w:fldCharType="end"/>
          </w:r>
        </w:sdtContent>
      </w:sdt>
      <w:r>
        <w:t>. If this major workforce disruption is not addressed, the ability to solve Australia’s national challenges will be hindered.</w:t>
      </w:r>
    </w:p>
    <w:p w14:paraId="7C2F7F99" w14:textId="77777777" w:rsidR="00D96CD1" w:rsidRDefault="00A06B0F" w:rsidP="00A824DB">
      <w:pPr>
        <w:pStyle w:val="BodyText"/>
      </w:pPr>
      <w:r w:rsidRPr="73271550">
        <w:t xml:space="preserve">Tertiary education </w:t>
      </w:r>
      <w:r w:rsidR="00A824DB">
        <w:t>will</w:t>
      </w:r>
      <w:r w:rsidRPr="73271550">
        <w:t xml:space="preserve"> play a key role in addressing national challenges by supporting</w:t>
      </w:r>
      <w:r w:rsidR="00A824DB">
        <w:t xml:space="preserve"> an </w:t>
      </w:r>
      <w:r w:rsidR="00737FF0">
        <w:t>i</w:t>
      </w:r>
      <w:r w:rsidR="00737FF0" w:rsidRPr="00650142">
        <w:t>ncreased</w:t>
      </w:r>
      <w:r w:rsidRPr="00650142">
        <w:t xml:space="preserve"> supply of industry ready graduates, both through school leaver</w:t>
      </w:r>
      <w:r w:rsidR="00A824DB">
        <w:t>s</w:t>
      </w:r>
      <w:r w:rsidRPr="00650142">
        <w:t>, and reskilling and upskilling non-school leaver pipelines</w:t>
      </w:r>
      <w:r w:rsidR="00A824DB">
        <w:t>.</w:t>
      </w:r>
    </w:p>
    <w:p w14:paraId="77FDA3CA" w14:textId="7169A017" w:rsidR="00A06B0F" w:rsidRPr="00650142" w:rsidRDefault="00A824DB" w:rsidP="00A824DB">
      <w:pPr>
        <w:pStyle w:val="BodyText"/>
      </w:pPr>
      <w:r>
        <w:t xml:space="preserve">It will </w:t>
      </w:r>
      <w:r w:rsidR="00234ED2">
        <w:t>invo</w:t>
      </w:r>
      <w:r w:rsidR="00392134">
        <w:t>lve</w:t>
      </w:r>
      <w:r w:rsidR="00234ED2">
        <w:t xml:space="preserve"> lifelong learning strateg</w:t>
      </w:r>
      <w:r w:rsidR="00F01B17">
        <w:t>i</w:t>
      </w:r>
      <w:r w:rsidR="00234ED2">
        <w:t>es to</w:t>
      </w:r>
      <w:r>
        <w:t xml:space="preserve"> enable m</w:t>
      </w:r>
      <w:r w:rsidR="00737FF0" w:rsidRPr="00650142">
        <w:t xml:space="preserve">ajor </w:t>
      </w:r>
      <w:r w:rsidR="00A06B0F" w:rsidRPr="00650142">
        <w:t xml:space="preserve">workforce transitions </w:t>
      </w:r>
      <w:r w:rsidR="00C35357">
        <w:t>that support individuals to continue to be engaged in the labour market through major changes</w:t>
      </w:r>
      <w:r w:rsidR="00567557">
        <w:t>. This in turn supports their overall wellbeing and socio-economic prospects and has continued productivity gains for the economy.</w:t>
      </w:r>
    </w:p>
    <w:p w14:paraId="4DC125F2" w14:textId="26637245" w:rsidR="00EC0169" w:rsidRDefault="00EC0169" w:rsidP="00EC0169">
      <w:pPr>
        <w:pStyle w:val="BodyText"/>
      </w:pPr>
      <w:r>
        <w:t xml:space="preserve">The World Economic Forum Future of Jobs Report </w:t>
      </w:r>
      <w:sdt>
        <w:sdtPr>
          <w:id w:val="803895164"/>
          <w:citation/>
        </w:sdtPr>
        <w:sdtContent>
          <w:r w:rsidR="00065A8C">
            <w:fldChar w:fldCharType="begin"/>
          </w:r>
          <w:r w:rsidR="00065A8C">
            <w:instrText xml:space="preserve"> CITATION Wor25 \l 3081 </w:instrText>
          </w:r>
          <w:r w:rsidR="00065A8C">
            <w:fldChar w:fldCharType="separate"/>
          </w:r>
          <w:r w:rsidR="00BD5991">
            <w:rPr>
              <w:noProof/>
            </w:rPr>
            <w:t>(World Economic Forum, 2025)</w:t>
          </w:r>
          <w:r w:rsidR="00065A8C">
            <w:fldChar w:fldCharType="end"/>
          </w:r>
        </w:sdtContent>
      </w:sdt>
      <w:r>
        <w:t xml:space="preserve"> demonstrates that skill gaps are 'categorically the biggest barrier to business transformation'. </w:t>
      </w:r>
      <w:r w:rsidR="00BC073D">
        <w:t>Upskilling</w:t>
      </w:r>
      <w:r>
        <w:t xml:space="preserve"> the workforce will require more graduates from both VET and </w:t>
      </w:r>
      <w:r w:rsidR="006E36F3">
        <w:t>Higher Education</w:t>
      </w:r>
      <w:r>
        <w:t xml:space="preserve"> and continuing learning development for existing employees. Without a more effective tertiary sector to address such skill gaps, Australia will not be competitive.</w:t>
      </w:r>
    </w:p>
    <w:p w14:paraId="6085050E" w14:textId="786F5B26" w:rsidR="00D60831" w:rsidRDefault="00EC0169" w:rsidP="00D60831">
      <w:pPr>
        <w:pStyle w:val="BodyText"/>
      </w:pPr>
      <w:r>
        <w:t xml:space="preserve">A more </w:t>
      </w:r>
      <w:r w:rsidR="003E275D" w:rsidRPr="003E275D">
        <w:t xml:space="preserve">harmonised </w:t>
      </w:r>
      <w:r>
        <w:t xml:space="preserve">tertiary sector will </w:t>
      </w:r>
      <w:r w:rsidR="00D60831">
        <w:t>boost the tertiary sector's</w:t>
      </w:r>
      <w:r w:rsidR="00D60831" w:rsidRPr="00A06B0F">
        <w:t xml:space="preserve"> agility in </w:t>
      </w:r>
      <w:r w:rsidR="009D6966">
        <w:t>its</w:t>
      </w:r>
      <w:r w:rsidR="00D60831">
        <w:t xml:space="preserve"> </w:t>
      </w:r>
      <w:r w:rsidR="00D60831" w:rsidRPr="00A06B0F">
        <w:t>response to rapidly changing economic, technological and environmental conditions</w:t>
      </w:r>
      <w:r w:rsidR="0097224F">
        <w:t>, including:</w:t>
      </w:r>
    </w:p>
    <w:p w14:paraId="2D137D98" w14:textId="1B5A69BB" w:rsidR="00EC0169" w:rsidRPr="00A06B0F" w:rsidRDefault="0097224F" w:rsidP="00EC0169">
      <w:pPr>
        <w:pStyle w:val="ListBullet"/>
        <w:numPr>
          <w:ilvl w:val="0"/>
          <w:numId w:val="2"/>
        </w:numPr>
      </w:pPr>
      <w:r>
        <w:t>f</w:t>
      </w:r>
      <w:r w:rsidR="00EC0169">
        <w:t>acilitating innovation in course design and offerings, including via work</w:t>
      </w:r>
      <w:r w:rsidR="0025356D">
        <w:noBreakHyphen/>
      </w:r>
      <w:r w:rsidR="00EC0169">
        <w:t>based training, which will have the further benefit of diversifying tertiary education</w:t>
      </w:r>
    </w:p>
    <w:p w14:paraId="5FC5F860" w14:textId="6AFF96A3" w:rsidR="00EC0169" w:rsidRDefault="0097224F" w:rsidP="00EC0169">
      <w:pPr>
        <w:pStyle w:val="ListBullet"/>
        <w:numPr>
          <w:ilvl w:val="0"/>
          <w:numId w:val="2"/>
        </w:numPr>
      </w:pPr>
      <w:r>
        <w:t>p</w:t>
      </w:r>
      <w:r w:rsidR="00EC0169">
        <w:t xml:space="preserve">roducing graduates in new and emerging fields more quickly </w:t>
      </w:r>
      <w:r w:rsidR="00EC0169" w:rsidRPr="00A06B0F">
        <w:t>to supply shifting demand for labour in a changing economy</w:t>
      </w:r>
    </w:p>
    <w:p w14:paraId="25000F43" w14:textId="50775666" w:rsidR="00EC0169" w:rsidRPr="00A06B0F" w:rsidRDefault="0097224F" w:rsidP="009D4779">
      <w:pPr>
        <w:pStyle w:val="ListBullet"/>
        <w:numPr>
          <w:ilvl w:val="0"/>
          <w:numId w:val="2"/>
        </w:numPr>
      </w:pPr>
      <w:r>
        <w:t>b</w:t>
      </w:r>
      <w:r w:rsidR="00971399">
        <w:t>etter enable lifelong learning for reskilling, upskilling and professional development in industries under transition and to increase Australia’s stock of human capital</w:t>
      </w:r>
    </w:p>
    <w:p w14:paraId="2B83427E" w14:textId="297EF57C" w:rsidR="003C3798" w:rsidRPr="00650142" w:rsidRDefault="00A06B0F" w:rsidP="00650142">
      <w:pPr>
        <w:pStyle w:val="BodyText"/>
      </w:pPr>
      <w:r w:rsidRPr="00650142">
        <w:t>Addressing national challenges is complex, and most of these challenges have inter-dependencies to achieve them. One sector alone cannot address such complex challenges. Successfully addressing challenges requires a connected tertiary system, where both sectors can collaborate to improve the timeliness and industry relevance of workforce supply.</w:t>
      </w:r>
      <w:r w:rsidR="007B0425" w:rsidRPr="007B0425">
        <w:t xml:space="preserve"> </w:t>
      </w:r>
      <w:r w:rsidR="007B0425">
        <w:t xml:space="preserve">Transitions in Australia’s economy are already under way, leading a growing number </w:t>
      </w:r>
      <w:r w:rsidR="007B0425">
        <w:lastRenderedPageBreak/>
        <w:t xml:space="preserve">of industries and institutions to </w:t>
      </w:r>
      <w:r w:rsidR="007B0425" w:rsidRPr="00A06B0F">
        <w:t xml:space="preserve">facilitate co-operation between VET and </w:t>
      </w:r>
      <w:r w:rsidR="006E36F3">
        <w:t>Higher Education</w:t>
      </w:r>
      <w:r w:rsidR="007B0425" w:rsidRPr="00A06B0F">
        <w:t>, despite the present impediments.</w:t>
      </w:r>
    </w:p>
    <w:p w14:paraId="231A05D5" w14:textId="77777777" w:rsidR="00A06B0F" w:rsidRPr="00A06B0F" w:rsidRDefault="00A06B0F" w:rsidP="00650142">
      <w:pPr>
        <w:pStyle w:val="BodyText"/>
      </w:pPr>
      <w:r w:rsidRPr="73271550">
        <w:t>This includes:</w:t>
      </w:r>
    </w:p>
    <w:p w14:paraId="385E8223" w14:textId="77777777" w:rsidR="00A06B0F" w:rsidRDefault="00A06B0F" w:rsidP="001A5D90">
      <w:pPr>
        <w:pStyle w:val="ListBullet"/>
        <w:numPr>
          <w:ilvl w:val="0"/>
          <w:numId w:val="2"/>
        </w:numPr>
      </w:pPr>
      <w:r w:rsidRPr="73271550">
        <w:t>Increasing overall graduates by:</w:t>
      </w:r>
    </w:p>
    <w:p w14:paraId="1CB356AD" w14:textId="77777777" w:rsidR="00A06B0F" w:rsidRDefault="00A06B0F" w:rsidP="001A5D90">
      <w:pPr>
        <w:pStyle w:val="ListBullet2"/>
        <w:numPr>
          <w:ilvl w:val="1"/>
          <w:numId w:val="2"/>
        </w:numPr>
      </w:pPr>
      <w:r w:rsidRPr="73271550">
        <w:t>Improving access and mobility across both sectors by improving tertiary recognition of existing skills and knowledge from education attainment and work experience</w:t>
      </w:r>
    </w:p>
    <w:p w14:paraId="2710FC26" w14:textId="77777777" w:rsidR="00A06B0F" w:rsidRDefault="00A06B0F" w:rsidP="001A5D90">
      <w:pPr>
        <w:pStyle w:val="ListBullet2"/>
        <w:numPr>
          <w:ilvl w:val="1"/>
          <w:numId w:val="2"/>
        </w:numPr>
      </w:pPr>
      <w:r w:rsidRPr="73271550">
        <w:t>Lifting parity of esteem across both sectors, to remove bias at a sector and industry level, and improve prospective student choice.</w:t>
      </w:r>
    </w:p>
    <w:p w14:paraId="51A5F45A" w14:textId="77BD7C98" w:rsidR="00A06B0F" w:rsidRDefault="00A06B0F" w:rsidP="001A5D90">
      <w:pPr>
        <w:pStyle w:val="ListBullet"/>
        <w:numPr>
          <w:ilvl w:val="0"/>
          <w:numId w:val="2"/>
        </w:numPr>
      </w:pPr>
      <w:r w:rsidRPr="73271550">
        <w:t>Improving graduate outcomes and their ongoing workforce resilience by developing education opportunities that have a blend of industry relevant skills and knowledge, that are less constrained by the artificial barriers in education design.</w:t>
      </w:r>
    </w:p>
    <w:p w14:paraId="106CB063" w14:textId="77777777" w:rsidR="00D96CD1" w:rsidRDefault="00A06B0F" w:rsidP="00FB1F54">
      <w:pPr>
        <w:pStyle w:val="BodyText"/>
      </w:pPr>
      <w:r>
        <w:t xml:space="preserve">To address national challenges, some workers will need new </w:t>
      </w:r>
      <w:r w:rsidR="00555455">
        <w:t xml:space="preserve">education and </w:t>
      </w:r>
      <w:r>
        <w:t>training</w:t>
      </w:r>
      <w:r w:rsidR="00EA103D">
        <w:t xml:space="preserve"> models</w:t>
      </w:r>
      <w:r>
        <w:t>, while other industries will benefit from the transfer of existing education and skills of workers into new fields.</w:t>
      </w:r>
    </w:p>
    <w:p w14:paraId="5D6BEF10" w14:textId="77777777" w:rsidR="00D96CD1" w:rsidRDefault="00A06B0F" w:rsidP="00FB1F54">
      <w:pPr>
        <w:pStyle w:val="BodyText"/>
      </w:pPr>
      <w:r>
        <w:t xml:space="preserve">RPL </w:t>
      </w:r>
      <w:r w:rsidRPr="00D30F97">
        <w:t xml:space="preserve">will be an </w:t>
      </w:r>
      <w:r w:rsidR="00DA4F7E">
        <w:t>in</w:t>
      </w:r>
      <w:r w:rsidRPr="00D30F97">
        <w:t>valuable tool in crediting existing skills and knowledge where relevant</w:t>
      </w:r>
      <w:r>
        <w:t xml:space="preserve"> and </w:t>
      </w:r>
      <w:r w:rsidRPr="00D30F97">
        <w:t xml:space="preserve">reducing re-education time and costs </w:t>
      </w:r>
      <w:r>
        <w:t>for those workers and employers</w:t>
      </w:r>
      <w:r w:rsidRPr="00D30F97">
        <w:t xml:space="preserve"> </w:t>
      </w:r>
      <w:r>
        <w:t>involved in skill transitions.</w:t>
      </w:r>
    </w:p>
    <w:p w14:paraId="749601D1" w14:textId="4BB0EC74" w:rsidR="00B1387A" w:rsidRDefault="000E6D20" w:rsidP="00FB1F54">
      <w:pPr>
        <w:pStyle w:val="BodyText"/>
      </w:pPr>
      <w:r>
        <w:t>Th</w:t>
      </w:r>
      <w:r w:rsidR="00B1387A">
        <w:t>e</w:t>
      </w:r>
      <w:r>
        <w:t xml:space="preserve"> </w:t>
      </w:r>
      <w:r w:rsidR="00B1387A">
        <w:t>next section</w:t>
      </w:r>
      <w:r>
        <w:t xml:space="preserve"> </w:t>
      </w:r>
      <w:r w:rsidR="006366CC">
        <w:t xml:space="preserve">discusses the role of tertiary harmonisation in </w:t>
      </w:r>
      <w:r>
        <w:t>b</w:t>
      </w:r>
      <w:r w:rsidRPr="00650142">
        <w:t>oosting national productivity and performance by increasing diverse workforce participation across industries and leveraging opportunities that digital technologies present.</w:t>
      </w:r>
    </w:p>
    <w:p w14:paraId="7EC04AC0" w14:textId="77777777" w:rsidR="00DE3F1A" w:rsidRDefault="00DE3F1A">
      <w:pPr>
        <w:spacing w:before="0" w:after="200" w:line="276" w:lineRule="auto"/>
        <w:rPr>
          <w:rFonts w:eastAsia="Times New Roman" w:cs="Arial"/>
          <w:b/>
          <w:color w:val="012749"/>
          <w:szCs w:val="21"/>
          <w:lang w:eastAsia="en-AU"/>
        </w:rPr>
      </w:pPr>
      <w:r>
        <w:br w:type="page"/>
      </w:r>
    </w:p>
    <w:tbl>
      <w:tblPr>
        <w:tblStyle w:val="TableGrid"/>
        <w:tblW w:w="9214" w:type="dxa"/>
        <w:tblInd w:w="-142" w:type="dxa"/>
        <w:tblLook w:val="0600" w:firstRow="0" w:lastRow="0" w:firstColumn="0" w:lastColumn="0" w:noHBand="1" w:noVBand="1"/>
      </w:tblPr>
      <w:tblGrid>
        <w:gridCol w:w="9214"/>
      </w:tblGrid>
      <w:tr w:rsidR="00B12045" w14:paraId="7D05FEE9" w14:textId="77777777" w:rsidTr="008903B0">
        <w:tc>
          <w:tcPr>
            <w:tcW w:w="9214" w:type="dxa"/>
            <w:tcBorders>
              <w:top w:val="nil"/>
              <w:left w:val="nil"/>
              <w:bottom w:val="nil"/>
              <w:right w:val="nil"/>
            </w:tcBorders>
            <w:shd w:val="clear" w:color="auto" w:fill="CCC1DA"/>
          </w:tcPr>
          <w:p w14:paraId="127AF4F6" w14:textId="77777777" w:rsidR="004262D2" w:rsidRDefault="004262D2" w:rsidP="004262D2">
            <w:pPr>
              <w:pStyle w:val="BoxHeading"/>
            </w:pPr>
            <w:r>
              <w:lastRenderedPageBreak/>
              <w:t>Case study - Industry-led innovation with dual qualification (RMIT and AI Group collaboration)</w:t>
            </w:r>
          </w:p>
          <w:p w14:paraId="12144422" w14:textId="77777777" w:rsidR="004262D2" w:rsidRDefault="004262D2" w:rsidP="004262D2">
            <w:pPr>
              <w:pStyle w:val="BoxHeading"/>
            </w:pPr>
            <w:r>
              <w:rPr>
                <w:noProof/>
              </w:rPr>
              <w:drawing>
                <wp:inline distT="0" distB="0" distL="0" distR="0" wp14:anchorId="4A755F06" wp14:editId="13CB5322">
                  <wp:extent cx="5667375" cy="3352800"/>
                  <wp:effectExtent l="0" t="0" r="0" b="0"/>
                  <wp:docPr id="1473808674" name="Graphic 9" descr="&quot;A diagram showing the three components of the engineering dual qualification. Consisting three components. &#10;An Advanced Diploma of Engineering (Mechanical), which is undertaken over two years with two days per week campus study. &#10;Work experience, which entails paid employment and on-the-job training with a leading industry partner (the employer).&#10;Finally, a Bachelor of Engineering (Mechanical Engineering) (Industry practice) undertaken over three years instead of the usual four, with two day per week on camp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903" name="Graphic 9" descr="&quot;A diagram showing the three components of the engineering dual qualification. Consisting three components. &#10;An Advanced Diploma of Engineering (Mechanical), which is undertaken over two years with two days per week campus study. &#10;Work experience, which entails paid employment and on-the-job training with a leading industry partner (the employer).&#10;Finally, a Bachelor of Engineering (Mechanical Engineering) (Industry practice) undertaken over three years instead of the usual four, with two day per week on campus.&quot;"/>
                          <pic:cNvPicPr/>
                        </pic:nvPicPr>
                        <pic:blipFill>
                          <a:blip r:embed="rId39">
                            <a:extLst>
                              <a:ext uri="{96DAC541-7B7A-43D3-8B79-37D633B846F1}">
                                <asvg:svgBlip xmlns:asvg="http://schemas.microsoft.com/office/drawing/2016/SVG/main" r:embed="rId40"/>
                              </a:ext>
                            </a:extLst>
                          </a:blip>
                          <a:stretch>
                            <a:fillRect/>
                          </a:stretch>
                        </pic:blipFill>
                        <pic:spPr>
                          <a:xfrm>
                            <a:off x="0" y="0"/>
                            <a:ext cx="5667375" cy="3352800"/>
                          </a:xfrm>
                          <a:prstGeom prst="rect">
                            <a:avLst/>
                          </a:prstGeom>
                        </pic:spPr>
                      </pic:pic>
                    </a:graphicData>
                  </a:graphic>
                </wp:inline>
              </w:drawing>
            </w:r>
          </w:p>
          <w:p w14:paraId="2E8679C2" w14:textId="340450A8" w:rsidR="004262D2" w:rsidRPr="00FA2F83" w:rsidRDefault="004262D2" w:rsidP="004262D2">
            <w:pPr>
              <w:pStyle w:val="Caption"/>
              <w:rPr>
                <w:lang w:eastAsia="en-AU"/>
              </w:rPr>
            </w:pPr>
            <w:bookmarkStart w:id="110" w:name="_Toc191381512"/>
            <w:r>
              <w:t xml:space="preserve">Figure </w:t>
            </w:r>
            <w:r>
              <w:fldChar w:fldCharType="begin"/>
            </w:r>
            <w:r>
              <w:instrText xml:space="preserve"> SEQ Figure \* ARABIC </w:instrText>
            </w:r>
            <w:r>
              <w:fldChar w:fldCharType="separate"/>
            </w:r>
            <w:r w:rsidR="004D7389">
              <w:rPr>
                <w:noProof/>
              </w:rPr>
              <w:t>6</w:t>
            </w:r>
            <w:r>
              <w:fldChar w:fldCharType="end"/>
            </w:r>
            <w:r>
              <w:t>. Engineering Dual Qualification - AI Group and RMIT</w:t>
            </w:r>
            <w:bookmarkEnd w:id="110"/>
          </w:p>
          <w:p w14:paraId="77F9E429" w14:textId="77777777" w:rsidR="004262D2" w:rsidRPr="00332305" w:rsidRDefault="004262D2" w:rsidP="004262D2">
            <w:pPr>
              <w:pStyle w:val="BodyText"/>
            </w:pPr>
            <w:r w:rsidRPr="00332305">
              <w:t>There is currently a national shortage of systems engineers, and this shortage is expected to grow as the country continues to develop its defence-related manufacturing. The Ai Group Centre for Education and Training partnered with industry and RMIT University to create a dual qualification in systems engineering that includes an apprenticeship.</w:t>
            </w:r>
          </w:p>
          <w:p w14:paraId="48B2ED2F" w14:textId="77777777" w:rsidR="004262D2" w:rsidRPr="00332305" w:rsidRDefault="004262D2" w:rsidP="004262D2">
            <w:pPr>
              <w:pStyle w:val="BodyText"/>
            </w:pPr>
            <w:r w:rsidRPr="00332305">
              <w:t>The program enables a student to complete an Advanced Diploma of Engineering, followed by the Bachelor of Engineering (Mechanical Engineering) (Industry Practice) (Honours), while retaining paid employment with an industry partner across the study period.</w:t>
            </w:r>
          </w:p>
          <w:p w14:paraId="1341FA52" w14:textId="77777777" w:rsidR="004262D2" w:rsidRPr="00332305" w:rsidRDefault="004262D2" w:rsidP="004262D2">
            <w:pPr>
              <w:pStyle w:val="BodyText"/>
            </w:pPr>
            <w:r w:rsidRPr="00332305">
              <w:t>This example of industry-led ha</w:t>
            </w:r>
            <w:r>
              <w:t>r</w:t>
            </w:r>
            <w:r w:rsidRPr="00332305">
              <w:t>monisation shows the multi-faceted benefits to system actors that harmonisation can bring:</w:t>
            </w:r>
          </w:p>
          <w:p w14:paraId="652CD1E3" w14:textId="77777777" w:rsidR="004262D2" w:rsidRPr="00332305" w:rsidRDefault="004262D2" w:rsidP="004262D2">
            <w:pPr>
              <w:pStyle w:val="ListBullet"/>
            </w:pPr>
            <w:r w:rsidRPr="00332305">
              <w:t>Employers gain highly employable, industry-ready graduates, and an ongoing pipeline of talent.</w:t>
            </w:r>
          </w:p>
          <w:p w14:paraId="037CD0DA" w14:textId="77777777" w:rsidR="004262D2" w:rsidRPr="00332305" w:rsidRDefault="004262D2" w:rsidP="004262D2">
            <w:pPr>
              <w:pStyle w:val="ListBullet"/>
            </w:pPr>
            <w:r w:rsidRPr="00332305">
              <w:t>Students are financially supported by employers through their studies, reduce their study time for the honours program, which is typically four years, and have high short and longer term employability prospects.</w:t>
            </w:r>
          </w:p>
          <w:p w14:paraId="6664F770" w14:textId="77777777" w:rsidR="004262D2" w:rsidRDefault="004262D2" w:rsidP="004262D2">
            <w:pPr>
              <w:pStyle w:val="Source"/>
            </w:pPr>
            <w:r>
              <w:t xml:space="preserve">Source: AI Group Apprentice &amp; Trainee Centre (n.d.), 'Victorian Mechanical Engineering Apprenticeship', </w:t>
            </w:r>
            <w:hyperlink r:id="rId41" w:history="1">
              <w:r w:rsidRPr="008D0202">
                <w:rPr>
                  <w:rStyle w:val="Hyperlink"/>
                </w:rPr>
                <w:t>Victorian Mechanical Engineering Apprenticeship - Ai Group Apprentice &amp; Trainee Centre</w:t>
              </w:r>
            </w:hyperlink>
            <w:r>
              <w:t>.</w:t>
            </w:r>
          </w:p>
          <w:p w14:paraId="08DC0DB1" w14:textId="77777777" w:rsidR="00B12045" w:rsidRDefault="00B12045" w:rsidP="008903B0">
            <w:pPr>
              <w:pStyle w:val="BodyText"/>
              <w:tabs>
                <w:tab w:val="clear" w:pos="357"/>
                <w:tab w:val="clear" w:pos="714"/>
                <w:tab w:val="clear" w:pos="1072"/>
                <w:tab w:val="clear" w:pos="1429"/>
              </w:tabs>
              <w:ind w:left="34"/>
            </w:pPr>
          </w:p>
        </w:tc>
      </w:tr>
    </w:tbl>
    <w:p w14:paraId="587C0A52" w14:textId="77777777" w:rsidR="00A06B0F" w:rsidRPr="00A06B0F" w:rsidRDefault="00A06B0F">
      <w:pPr>
        <w:pStyle w:val="Heading3"/>
      </w:pPr>
      <w:bookmarkStart w:id="111" w:name="_Toc179799941"/>
      <w:bookmarkStart w:id="112" w:name="_Toc189060439"/>
      <w:bookmarkStart w:id="113" w:name="_Toc189060529"/>
      <w:bookmarkStart w:id="114" w:name="_Toc189060787"/>
      <w:r w:rsidRPr="00C2228E">
        <w:t xml:space="preserve">Productivity and </w:t>
      </w:r>
      <w:bookmarkEnd w:id="111"/>
      <w:r>
        <w:t>l</w:t>
      </w:r>
      <w:r w:rsidRPr="00C2228E">
        <w:t xml:space="preserve">abour </w:t>
      </w:r>
      <w:r>
        <w:t>m</w:t>
      </w:r>
      <w:r w:rsidRPr="00C2228E">
        <w:t xml:space="preserve">arket </w:t>
      </w:r>
      <w:r>
        <w:t>o</w:t>
      </w:r>
      <w:r w:rsidRPr="00C2228E">
        <w:t>utcomes</w:t>
      </w:r>
      <w:bookmarkEnd w:id="112"/>
      <w:bookmarkEnd w:id="113"/>
      <w:bookmarkEnd w:id="114"/>
    </w:p>
    <w:p w14:paraId="465BA2B5" w14:textId="77777777" w:rsidR="00D96CD1" w:rsidRDefault="00A06B0F" w:rsidP="000E16C2">
      <w:pPr>
        <w:pStyle w:val="BodyText"/>
      </w:pPr>
      <w:r w:rsidRPr="00A06B0F">
        <w:t xml:space="preserve">An extensive literature links human capital investment </w:t>
      </w:r>
      <w:r w:rsidR="00BF59AA">
        <w:t>to</w:t>
      </w:r>
      <w:r w:rsidRPr="00A06B0F">
        <w:t xml:space="preserve"> productivity. Investments in education and training increase the knowledge, skills and capabilities of the workforce, which results in higher output per worker </w:t>
      </w:r>
      <w:sdt>
        <w:sdtPr>
          <w:id w:val="-1480910169"/>
          <w:citation/>
        </w:sdtPr>
        <w:sdtContent>
          <w:r w:rsidR="005A3B8D">
            <w:fldChar w:fldCharType="begin"/>
          </w:r>
          <w:r w:rsidR="005A3B8D">
            <w:instrText xml:space="preserve"> CITATION Cho03 \l 3081 </w:instrText>
          </w:r>
          <w:r w:rsidR="005A3B8D">
            <w:fldChar w:fldCharType="separate"/>
          </w:r>
          <w:r w:rsidR="00BD5991">
            <w:rPr>
              <w:noProof/>
            </w:rPr>
            <w:t>(Chou, 2003)</w:t>
          </w:r>
          <w:r w:rsidR="005A3B8D">
            <w:fldChar w:fldCharType="end"/>
          </w:r>
        </w:sdtContent>
      </w:sdt>
      <w:sdt>
        <w:sdtPr>
          <w:id w:val="-1440985533"/>
          <w:citation/>
        </w:sdtPr>
        <w:sdtContent>
          <w:r w:rsidR="00181930">
            <w:fldChar w:fldCharType="begin"/>
          </w:r>
          <w:r w:rsidR="00D2246D">
            <w:instrText xml:space="preserve">CITATION Ban16 \l 3081 </w:instrText>
          </w:r>
          <w:r w:rsidR="00181930">
            <w:fldChar w:fldCharType="separate"/>
          </w:r>
          <w:r w:rsidR="00BD5991">
            <w:rPr>
              <w:noProof/>
            </w:rPr>
            <w:t xml:space="preserve"> (Banerjee &amp; Wilson, 2016)</w:t>
          </w:r>
          <w:r w:rsidR="00181930">
            <w:fldChar w:fldCharType="end"/>
          </w:r>
        </w:sdtContent>
      </w:sdt>
      <w:sdt>
        <w:sdtPr>
          <w:id w:val="-919713041"/>
          <w:citation/>
        </w:sdtPr>
        <w:sdtContent>
          <w:r w:rsidR="00DF7363">
            <w:fldChar w:fldCharType="begin"/>
          </w:r>
          <w:r w:rsidR="00DF7363">
            <w:instrText xml:space="preserve">CITATION Bor24 \l 3081 </w:instrText>
          </w:r>
          <w:r w:rsidR="00DF7363">
            <w:fldChar w:fldCharType="separate"/>
          </w:r>
          <w:r w:rsidR="00BD5991">
            <w:rPr>
              <w:noProof/>
            </w:rPr>
            <w:t xml:space="preserve"> (Borland &amp; Smedes, 2024)</w:t>
          </w:r>
          <w:r w:rsidR="00DF7363">
            <w:fldChar w:fldCharType="end"/>
          </w:r>
        </w:sdtContent>
      </w:sdt>
      <w:r w:rsidRPr="00A06B0F">
        <w:t>.</w:t>
      </w:r>
    </w:p>
    <w:p w14:paraId="1041AF57" w14:textId="77777777" w:rsidR="00D96CD1" w:rsidRDefault="00A06B0F" w:rsidP="000E16C2">
      <w:pPr>
        <w:pStyle w:val="BodyText"/>
      </w:pPr>
      <w:r w:rsidRPr="00A06B0F">
        <w:lastRenderedPageBreak/>
        <w:t>The central</w:t>
      </w:r>
      <w:r w:rsidR="00FC0470">
        <w:t xml:space="preserve"> economic</w:t>
      </w:r>
      <w:r w:rsidRPr="00A06B0F">
        <w:t xml:space="preserve"> argument for a </w:t>
      </w:r>
      <w:r w:rsidR="00633C49">
        <w:t>harmonised</w:t>
      </w:r>
      <w:r w:rsidRPr="00A06B0F">
        <w:t xml:space="preserve"> tertiary education system is that</w:t>
      </w:r>
      <w:r w:rsidR="007265ED">
        <w:t xml:space="preserve"> by making</w:t>
      </w:r>
      <w:r w:rsidR="00CB3764">
        <w:t xml:space="preserve"> both VET and </w:t>
      </w:r>
      <w:r w:rsidR="006E36F3">
        <w:t>Higher Education</w:t>
      </w:r>
      <w:r w:rsidR="00CB3764">
        <w:t xml:space="preserve"> simultaneously accessible to individuals, school leavers and workers</w:t>
      </w:r>
      <w:r w:rsidRPr="00A06B0F">
        <w:t xml:space="preserve"> will be able to more readily obtain the skills they need from either </w:t>
      </w:r>
      <w:r w:rsidR="00427C2E">
        <w:t>part of the system</w:t>
      </w:r>
      <w:r w:rsidRPr="00A06B0F">
        <w:t xml:space="preserve">. Additionally, industry </w:t>
      </w:r>
      <w:r w:rsidR="00A42F34">
        <w:t>will</w:t>
      </w:r>
      <w:r w:rsidRPr="00A06B0F">
        <w:t xml:space="preserve"> </w:t>
      </w:r>
      <w:r w:rsidR="00EB4C5E">
        <w:t>be better positioned to</w:t>
      </w:r>
      <w:r w:rsidRPr="00A06B0F">
        <w:t xml:space="preserve"> obtain the workforce skills they need.</w:t>
      </w:r>
    </w:p>
    <w:p w14:paraId="16986E69" w14:textId="77777777" w:rsidR="00D96CD1" w:rsidRDefault="00A06B0F" w:rsidP="000E16C2">
      <w:pPr>
        <w:pStyle w:val="BodyText"/>
      </w:pPr>
      <w:r w:rsidRPr="00A06B0F">
        <w:t xml:space="preserve">Stronger pathways and partnerships between VET and </w:t>
      </w:r>
      <w:r w:rsidR="006E36F3">
        <w:t>Higher Education</w:t>
      </w:r>
      <w:r w:rsidRPr="00A06B0F">
        <w:t xml:space="preserve"> will also </w:t>
      </w:r>
      <w:r w:rsidR="004C0869">
        <w:t xml:space="preserve">reduce overlap and administrative friction, </w:t>
      </w:r>
      <w:r w:rsidRPr="00A06B0F">
        <w:t>mak</w:t>
      </w:r>
      <w:r w:rsidR="004C0869">
        <w:t>ing</w:t>
      </w:r>
      <w:r w:rsidRPr="00A06B0F">
        <w:t xml:space="preserve"> skill acquisition less costly.</w:t>
      </w:r>
    </w:p>
    <w:p w14:paraId="69CCDE9B" w14:textId="07850EE0" w:rsidR="00A06B0F" w:rsidRPr="00A06B0F" w:rsidRDefault="00A06B0F" w:rsidP="000E16C2">
      <w:pPr>
        <w:pStyle w:val="BodyText"/>
      </w:pPr>
      <w:r w:rsidRPr="00A06B0F">
        <w:t xml:space="preserve">A more </w:t>
      </w:r>
      <w:r w:rsidR="00D27F3A" w:rsidRPr="00D27F3A">
        <w:t xml:space="preserve">harmonised </w:t>
      </w:r>
      <w:r w:rsidRPr="00A06B0F">
        <w:t xml:space="preserve">system </w:t>
      </w:r>
      <w:r w:rsidR="00C243B9">
        <w:t>will</w:t>
      </w:r>
      <w:r w:rsidRPr="00A06B0F">
        <w:t xml:space="preserve"> provide greater transparency of the knowledge, skills and capabilities that workers possess, and that employers need from VET and </w:t>
      </w:r>
      <w:r w:rsidR="006E36F3">
        <w:t>Higher Education</w:t>
      </w:r>
      <w:r w:rsidRPr="00A06B0F">
        <w:t xml:space="preserve">. A National Skills Taxonomy mapped onto both VET and </w:t>
      </w:r>
      <w:r w:rsidR="006E36F3">
        <w:t>Higher Education</w:t>
      </w:r>
      <w:r w:rsidRPr="00A06B0F">
        <w:t xml:space="preserve"> credentials would better match people to jobs. The outcome </w:t>
      </w:r>
      <w:r w:rsidR="005D0FD8">
        <w:t>will</w:t>
      </w:r>
      <w:r w:rsidRPr="00A06B0F">
        <w:t xml:space="preserve"> be fewer skills shortages and higher productivity, in turn leading to higher wages.</w:t>
      </w:r>
      <w:r w:rsidR="00853483">
        <w:t xml:space="preserve"> It will reduce the skills </w:t>
      </w:r>
      <w:r w:rsidR="00B51684">
        <w:t>gap, highlighted</w:t>
      </w:r>
      <w:r w:rsidR="00415C8B">
        <w:t xml:space="preserve"> as an urgent issue</w:t>
      </w:r>
      <w:r w:rsidR="00B51684">
        <w:t xml:space="preserve"> in the World Economic Forum report</w:t>
      </w:r>
      <w:r w:rsidR="007F2230">
        <w:t xml:space="preserve"> </w:t>
      </w:r>
      <w:sdt>
        <w:sdtPr>
          <w:id w:val="1999537736"/>
          <w:citation/>
        </w:sdtPr>
        <w:sdtContent>
          <w:r w:rsidR="00B25F49">
            <w:fldChar w:fldCharType="begin"/>
          </w:r>
          <w:r w:rsidR="00B25F49">
            <w:instrText xml:space="preserve"> CITATION Wor25 \l 3081 </w:instrText>
          </w:r>
          <w:r w:rsidR="00B25F49">
            <w:fldChar w:fldCharType="separate"/>
          </w:r>
          <w:r w:rsidR="00BD5991">
            <w:rPr>
              <w:noProof/>
            </w:rPr>
            <w:t>(World Economic Forum, 2025)</w:t>
          </w:r>
          <w:r w:rsidR="00B25F49">
            <w:fldChar w:fldCharType="end"/>
          </w:r>
        </w:sdtContent>
      </w:sdt>
      <w:r w:rsidR="00B25F49">
        <w:t>.</w:t>
      </w:r>
    </w:p>
    <w:p w14:paraId="103AF103" w14:textId="5E1D3ADD" w:rsidR="00CB590C" w:rsidRDefault="00A06B0F" w:rsidP="000E16C2">
      <w:pPr>
        <w:pStyle w:val="BodyText"/>
      </w:pPr>
      <w:r w:rsidRPr="00A06B0F">
        <w:t xml:space="preserve">An advantage of this kind of investment relates to rising wages without inflationary effects. Better matching workers to jobs makes a more efficient skills market and lowers the non-accelerating inflation rate of unemployment (NAIRU). That is, this is how both lower unemployment and stable, low inflation </w:t>
      </w:r>
      <w:r w:rsidR="004075F9">
        <w:t xml:space="preserve">will </w:t>
      </w:r>
      <w:r w:rsidRPr="00A06B0F">
        <w:t>be achieved.</w:t>
      </w:r>
    </w:p>
    <w:p w14:paraId="192612AE" w14:textId="77777777" w:rsidR="00D96CD1" w:rsidRDefault="00C10945" w:rsidP="00C10945">
      <w:pPr>
        <w:pStyle w:val="BodyText"/>
      </w:pPr>
      <w:r w:rsidRPr="00C10945">
        <w:t>The potential labour market impacts of a harmonised tertiary education can be separated into the first-round or initial impacts and the subsequent benefits that flow thereafter.</w:t>
      </w:r>
    </w:p>
    <w:p w14:paraId="385A0E3B" w14:textId="77777777" w:rsidR="00D96CD1" w:rsidRDefault="00C10945" w:rsidP="000E16C2">
      <w:pPr>
        <w:pStyle w:val="BodyText"/>
      </w:pPr>
      <w:r w:rsidRPr="00C10945">
        <w:t>First round impacts include those which may directly arise from tertiary harmonisation and include the potential for improvements in the overall level of human capital available in the labour market, the better alignment of human capital with the needs of employers (firms and industry), improvements in labour market matching, and greater dynamism and responsiveness to opportunities and challenges.</w:t>
      </w:r>
    </w:p>
    <w:p w14:paraId="47D22F08" w14:textId="6591684C" w:rsidR="00483FD0" w:rsidRPr="006E3A48" w:rsidRDefault="00483FD0" w:rsidP="00483FD0">
      <w:pPr>
        <w:pStyle w:val="Caption"/>
      </w:pPr>
      <w:bookmarkStart w:id="115" w:name="_Toc191381513"/>
      <w:r w:rsidRPr="006E3A48">
        <w:t xml:space="preserve">Figure </w:t>
      </w:r>
      <w:r w:rsidRPr="006E3A48">
        <w:fldChar w:fldCharType="begin"/>
      </w:r>
      <w:r w:rsidRPr="006E3A48">
        <w:instrText xml:space="preserve"> SEQ Figure \* ARABIC </w:instrText>
      </w:r>
      <w:r w:rsidRPr="006E3A48">
        <w:fldChar w:fldCharType="separate"/>
      </w:r>
      <w:r w:rsidR="004D7389">
        <w:rPr>
          <w:noProof/>
        </w:rPr>
        <w:t>7</w:t>
      </w:r>
      <w:r w:rsidRPr="006E3A48">
        <w:fldChar w:fldCharType="end"/>
      </w:r>
      <w:r w:rsidR="00AF58F4">
        <w:t>.</w:t>
      </w:r>
      <w:r w:rsidRPr="006E3A48">
        <w:t xml:space="preserve"> Impacts and benefits of harmonisation</w:t>
      </w:r>
      <w:bookmarkEnd w:id="115"/>
    </w:p>
    <w:p w14:paraId="477BDD5D" w14:textId="57DA2C07" w:rsidR="009E002C" w:rsidRPr="009E002C" w:rsidRDefault="00D2326B" w:rsidP="009E002C">
      <w:pPr>
        <w:pStyle w:val="BodyText"/>
      </w:pPr>
      <w:r w:rsidRPr="00D2326B">
        <w:rPr>
          <w:noProof/>
        </w:rPr>
        <w:drawing>
          <wp:inline distT="0" distB="0" distL="0" distR="0" wp14:anchorId="67D7F14A" wp14:editId="6293EA68">
            <wp:extent cx="5731510" cy="3423285"/>
            <wp:effectExtent l="0" t="0" r="2540" b="5715"/>
            <wp:docPr id="1311521122" name="Picture 1" descr="A diagram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21122" name="Picture 1" descr="A diagram of different colored squares&#10;&#10;AI-generated content may be incorrect."/>
                    <pic:cNvPicPr/>
                  </pic:nvPicPr>
                  <pic:blipFill rotWithShape="1">
                    <a:blip r:embed="rId42"/>
                    <a:srcRect t="1372"/>
                    <a:stretch/>
                  </pic:blipFill>
                  <pic:spPr bwMode="auto">
                    <a:xfrm>
                      <a:off x="0" y="0"/>
                      <a:ext cx="5731510" cy="3423285"/>
                    </a:xfrm>
                    <a:prstGeom prst="rect">
                      <a:avLst/>
                    </a:prstGeom>
                    <a:ln>
                      <a:noFill/>
                    </a:ln>
                    <a:extLst>
                      <a:ext uri="{53640926-AAD7-44D8-BBD7-CCE9431645EC}">
                        <a14:shadowObscured xmlns:a14="http://schemas.microsoft.com/office/drawing/2010/main"/>
                      </a:ext>
                    </a:extLst>
                  </pic:spPr>
                </pic:pic>
              </a:graphicData>
            </a:graphic>
          </wp:inline>
        </w:drawing>
      </w:r>
    </w:p>
    <w:p w14:paraId="0DD87646" w14:textId="77777777" w:rsidR="00D96CD1" w:rsidRDefault="00870C72" w:rsidP="00870C72">
      <w:pPr>
        <w:pStyle w:val="BodyText"/>
        <w:rPr>
          <w:lang w:eastAsia="en-AU"/>
        </w:rPr>
      </w:pPr>
      <w:r w:rsidRPr="00870C72">
        <w:rPr>
          <w:lang w:eastAsia="en-AU"/>
        </w:rPr>
        <w:t xml:space="preserve">For </w:t>
      </w:r>
      <w:r w:rsidR="00CC7614">
        <w:t>enterprises</w:t>
      </w:r>
      <w:r w:rsidRPr="00870C72">
        <w:rPr>
          <w:lang w:eastAsia="en-AU"/>
        </w:rPr>
        <w:t xml:space="preserve">, the potential benefits take the form of higher productivity of their workers, which in turn leads to increased output and profit for the employer, as well as reduced labour shortages (which arises both via a decrease in the rate of unfilled vacancies and also a </w:t>
      </w:r>
      <w:r w:rsidRPr="00870C72">
        <w:rPr>
          <w:lang w:eastAsia="en-AU"/>
        </w:rPr>
        <w:lastRenderedPageBreak/>
        <w:t>faster speed to hire for those vacancies that go filled). There are a range of shared benefits, such as higher job satisfaction, which is beneficial to workers but is also linked to lower job turnover for firms.</w:t>
      </w:r>
    </w:p>
    <w:p w14:paraId="14B7E9D2" w14:textId="77777777" w:rsidR="00D96CD1" w:rsidRDefault="00870C72" w:rsidP="00870C72">
      <w:pPr>
        <w:pStyle w:val="BodyText"/>
        <w:rPr>
          <w:lang w:eastAsia="en-AU"/>
        </w:rPr>
      </w:pPr>
      <w:r w:rsidRPr="00870C72">
        <w:rPr>
          <w:lang w:eastAsia="en-AU"/>
        </w:rPr>
        <w:t>The combined potential impact of tertiary harmonisation will have broader economy-wide benefits, which may also have multiplier effects across the labour market. Examining the benefits for workers and organisations suggests that a more connected and holistic tertiary education system would lower the non-accelerating inflation rate of unemployment (NAIRU) - that is, a lower level of unemployment consistent with stable inflation.</w:t>
      </w:r>
    </w:p>
    <w:p w14:paraId="31E3ABF0" w14:textId="77777777" w:rsidR="00D96CD1" w:rsidRDefault="00DE09F5" w:rsidP="00870C72">
      <w:pPr>
        <w:pStyle w:val="BodyText"/>
      </w:pPr>
      <w:r w:rsidRPr="00DE09F5">
        <w:t>Put another way, tertiary harmonisation would see full employment occur at higher levels of employment and lower levels of unemployment, as result of the more efficient market for skills. With higher labour productivity, the benefits of tertiary harmonisation should also lead to higher levels of output (GDP) – both in aggregate, and on a per capita basis – with the benefits of higher productivity also spilling over into the rest of the economy via multiplier effects, including those that arise from higher real wages.</w:t>
      </w:r>
    </w:p>
    <w:p w14:paraId="1883320F" w14:textId="2B27D358" w:rsidR="007551C5" w:rsidRDefault="00997C22" w:rsidP="00952024">
      <w:pPr>
        <w:pStyle w:val="Heading4"/>
      </w:pPr>
      <w:r>
        <w:t>M</w:t>
      </w:r>
      <w:r w:rsidR="009A083F" w:rsidRPr="009A083F">
        <w:t>aximising the human capital of workers based on their individual circumstances</w:t>
      </w:r>
    </w:p>
    <w:p w14:paraId="506DA0B8" w14:textId="77777777" w:rsidR="00D96CD1" w:rsidRDefault="00997C22">
      <w:pPr>
        <w:pStyle w:val="BodyText"/>
      </w:pPr>
      <w:r w:rsidRPr="00997C22">
        <w:t xml:space="preserve">A more joined up tertiary education system can help optimise the human capital of individuals by enabling more people to undertake tertiary education, supporting people to complete the level of training most suited to their individual aptitude and personal circumstances, and facilitating the completion of lifelong learning that </w:t>
      </w:r>
      <w:r w:rsidR="00360C9B">
        <w:t xml:space="preserve">may </w:t>
      </w:r>
      <w:r w:rsidRPr="00997C22">
        <w:t>complement previous education</w:t>
      </w:r>
      <w:r w:rsidR="00360C9B">
        <w:t xml:space="preserve"> or facilitate a </w:t>
      </w:r>
      <w:r w:rsidR="001408BA">
        <w:t>new direction</w:t>
      </w:r>
      <w:r w:rsidRPr="00997C22">
        <w:t>.</w:t>
      </w:r>
    </w:p>
    <w:p w14:paraId="1B68F0E2" w14:textId="7ECB183C" w:rsidR="003444CE" w:rsidRDefault="003444CE">
      <w:pPr>
        <w:pStyle w:val="BodyText"/>
      </w:pPr>
      <w:r>
        <w:t xml:space="preserve">There is </w:t>
      </w:r>
      <w:r w:rsidRPr="003444CE">
        <w:t>a strong link between educational attainment and labour market</w:t>
      </w:r>
      <w:sdt>
        <w:sdtPr>
          <w:id w:val="301116761"/>
          <w:citation/>
        </w:sdtPr>
        <w:sdtContent>
          <w:r w:rsidR="002E05BF">
            <w:fldChar w:fldCharType="begin"/>
          </w:r>
          <w:r w:rsidR="002E05BF">
            <w:instrText xml:space="preserve"> CITATION Lei24 \l 3081 </w:instrText>
          </w:r>
          <w:r w:rsidR="002E05BF">
            <w:fldChar w:fldCharType="separate"/>
          </w:r>
          <w:r w:rsidR="00BD5991">
            <w:rPr>
              <w:noProof/>
            </w:rPr>
            <w:t xml:space="preserve"> (Leigh, 2024)</w:t>
          </w:r>
          <w:r w:rsidR="002E05BF">
            <w:fldChar w:fldCharType="end"/>
          </w:r>
        </w:sdtContent>
      </w:sdt>
      <w:r w:rsidRPr="003444CE">
        <w:t xml:space="preserve">. </w:t>
      </w:r>
      <w:r w:rsidR="00466FDE">
        <w:t>Data</w:t>
      </w:r>
      <w:r w:rsidRPr="003444CE">
        <w:t xml:space="preserve"> from the ABS Survey of Education and Work shows that those with tertiary qualifications are more likely to participate in the labour market, record lower rates of unemployment and receive higher wages</w:t>
      </w:r>
      <w:sdt>
        <w:sdtPr>
          <w:id w:val="390309119"/>
          <w:citation/>
        </w:sdtPr>
        <w:sdtContent>
          <w:r w:rsidR="002E05BF">
            <w:fldChar w:fldCharType="begin"/>
          </w:r>
          <w:r w:rsidR="002E05BF">
            <w:instrText xml:space="preserve"> CITATION Aus24 \l 3081 </w:instrText>
          </w:r>
          <w:r w:rsidR="002E05BF">
            <w:fldChar w:fldCharType="separate"/>
          </w:r>
          <w:r w:rsidR="00BD5991">
            <w:rPr>
              <w:noProof/>
            </w:rPr>
            <w:t xml:space="preserve"> (Australian Bureau of Statistics, 2024)</w:t>
          </w:r>
          <w:r w:rsidR="002E05BF">
            <w:fldChar w:fldCharType="end"/>
          </w:r>
        </w:sdtContent>
      </w:sdt>
      <w:r w:rsidRPr="003444CE">
        <w:t>.</w:t>
      </w:r>
    </w:p>
    <w:p w14:paraId="44CC45C0" w14:textId="77777777" w:rsidR="00D96CD1" w:rsidRDefault="004D07F4" w:rsidP="0044582C">
      <w:pPr>
        <w:pStyle w:val="BodyText"/>
        <w:rPr>
          <w:lang w:eastAsia="en-AU"/>
        </w:rPr>
      </w:pPr>
      <w:r>
        <w:t xml:space="preserve">From </w:t>
      </w:r>
      <w:r w:rsidR="0041321B">
        <w:t>the perspective of both merit</w:t>
      </w:r>
      <w:r w:rsidR="00253FCE">
        <w:t xml:space="preserve"> </w:t>
      </w:r>
      <w:r w:rsidR="00B26972">
        <w:t>(</w:t>
      </w:r>
      <w:r w:rsidR="00253FCE">
        <w:t>or aptitude</w:t>
      </w:r>
      <w:r w:rsidR="00B26972">
        <w:t>)</w:t>
      </w:r>
      <w:r w:rsidR="00253FCE">
        <w:t xml:space="preserve"> and</w:t>
      </w:r>
      <w:r>
        <w:t xml:space="preserve"> </w:t>
      </w:r>
      <w:r w:rsidR="00B74877" w:rsidRPr="00B36979">
        <w:rPr>
          <w:lang w:eastAsia="en-AU"/>
        </w:rPr>
        <w:t>equity</w:t>
      </w:r>
      <w:r>
        <w:t>, a</w:t>
      </w:r>
      <w:r w:rsidR="00487D5D">
        <w:t>l</w:t>
      </w:r>
      <w:r w:rsidR="00B36979" w:rsidRPr="00B36979">
        <w:rPr>
          <w:lang w:eastAsia="en-AU"/>
        </w:rPr>
        <w:t>l those with the capacity and capability to undertake higher levels of education should be supported to do so. Tertiary harmonisation can enable this, by creating greater links and pathways for individuals to undertake education and training.</w:t>
      </w:r>
    </w:p>
    <w:p w14:paraId="5A56D8AF" w14:textId="34B2A763" w:rsidR="00B36979" w:rsidRPr="00B36979" w:rsidRDefault="00B36979" w:rsidP="0044582C">
      <w:pPr>
        <w:pStyle w:val="BodyText"/>
        <w:rPr>
          <w:lang w:eastAsia="en-AU"/>
        </w:rPr>
      </w:pPr>
      <w:r w:rsidRPr="00B36979">
        <w:rPr>
          <w:lang w:eastAsia="en-AU"/>
        </w:rPr>
        <w:t xml:space="preserve">This </w:t>
      </w:r>
      <w:r w:rsidR="00235FE7">
        <w:t>will</w:t>
      </w:r>
      <w:r w:rsidRPr="00B36979">
        <w:rPr>
          <w:lang w:eastAsia="en-AU"/>
        </w:rPr>
        <w:t xml:space="preserve"> be enhanced through greater recognition of existing capabilities when individuals apply for and completing further training. Ideally this capability recognition would occur using a coherent and consistent method that is utilised for all tertiary </w:t>
      </w:r>
      <w:r w:rsidR="009A15FE" w:rsidRPr="00B36979">
        <w:rPr>
          <w:lang w:eastAsia="en-AU"/>
        </w:rPr>
        <w:t>education and</w:t>
      </w:r>
      <w:r w:rsidRPr="00B36979">
        <w:rPr>
          <w:lang w:eastAsia="en-AU"/>
        </w:rPr>
        <w:t xml:space="preserve"> linked to training pathways to identify what capabilities an individual already holds </w:t>
      </w:r>
      <w:r w:rsidR="009B20E9" w:rsidRPr="00B36979">
        <w:rPr>
          <w:lang w:eastAsia="en-AU"/>
        </w:rPr>
        <w:t>and</w:t>
      </w:r>
      <w:r w:rsidRPr="00B36979">
        <w:rPr>
          <w:lang w:eastAsia="en-AU"/>
        </w:rPr>
        <w:t xml:space="preserve"> what potential future training options may be suitable for them (including possibility for fast-tracked qualifications). </w:t>
      </w:r>
      <w:r w:rsidR="004A3FA3" w:rsidRPr="004A3FA3">
        <w:t xml:space="preserve">A harmonised system will </w:t>
      </w:r>
      <w:r w:rsidR="001E22CB">
        <w:t xml:space="preserve">do this better and </w:t>
      </w:r>
      <w:r w:rsidR="004A3FA3" w:rsidRPr="004A3FA3">
        <w:t xml:space="preserve">be able to </w:t>
      </w:r>
      <w:r w:rsidR="008018C4">
        <w:t>formally</w:t>
      </w:r>
      <w:r w:rsidR="004A3FA3" w:rsidRPr="004A3FA3">
        <w:t xml:space="preserve"> recognise a wider array of skills and experience than </w:t>
      </w:r>
      <w:r w:rsidR="008D0557">
        <w:t>is currently</w:t>
      </w:r>
      <w:r w:rsidR="004A3FA3" w:rsidRPr="004A3FA3">
        <w:t xml:space="preserve"> the case</w:t>
      </w:r>
      <w:r w:rsidR="004A3FA3">
        <w:t>.</w:t>
      </w:r>
    </w:p>
    <w:p w14:paraId="4DE6EC44" w14:textId="77777777" w:rsidR="00D96CD1" w:rsidRDefault="00B36979" w:rsidP="0044582C">
      <w:pPr>
        <w:pStyle w:val="BodyText"/>
        <w:rPr>
          <w:lang w:eastAsia="en-AU"/>
        </w:rPr>
      </w:pPr>
      <w:r w:rsidRPr="00B36979">
        <w:rPr>
          <w:lang w:eastAsia="en-AU"/>
        </w:rPr>
        <w:t xml:space="preserve">The result is that tertiary harmonisation </w:t>
      </w:r>
      <w:r w:rsidR="00D83E4A">
        <w:t>will</w:t>
      </w:r>
      <w:r w:rsidRPr="00B36979">
        <w:rPr>
          <w:lang w:eastAsia="en-AU"/>
        </w:rPr>
        <w:t xml:space="preserve"> enable more people to enrol in and complete tertiary education and training, with the speed at which qualifications are completed also increasing due to enhance capability recognition.</w:t>
      </w:r>
    </w:p>
    <w:p w14:paraId="09F762CD" w14:textId="3621E8A6" w:rsidR="00DE745B" w:rsidRPr="00521BCB" w:rsidRDefault="003274AA" w:rsidP="0044582C">
      <w:pPr>
        <w:pStyle w:val="BodyText"/>
      </w:pPr>
      <w:r>
        <w:t xml:space="preserve">This will maximise </w:t>
      </w:r>
      <w:r w:rsidR="005F39AC">
        <w:t xml:space="preserve">the value of </w:t>
      </w:r>
      <w:r w:rsidR="00155C76">
        <w:t xml:space="preserve">Australia's investment in </w:t>
      </w:r>
      <w:r w:rsidR="000036CA">
        <w:t>human capital, for individuals</w:t>
      </w:r>
      <w:r w:rsidR="00D67181">
        <w:t>,</w:t>
      </w:r>
      <w:r w:rsidR="000036CA">
        <w:t xml:space="preserve"> the workforce</w:t>
      </w:r>
      <w:r w:rsidR="00D67181">
        <w:t xml:space="preserve"> and wider social goals</w:t>
      </w:r>
      <w:r w:rsidR="000036CA">
        <w:t>.</w:t>
      </w:r>
    </w:p>
    <w:p w14:paraId="51DBD1FA" w14:textId="0295E18C" w:rsidR="009A083F" w:rsidRDefault="007855C7" w:rsidP="0044582C">
      <w:pPr>
        <w:pStyle w:val="Heading4"/>
      </w:pPr>
      <w:r>
        <w:lastRenderedPageBreak/>
        <w:t>A</w:t>
      </w:r>
      <w:r w:rsidRPr="00981256">
        <w:t xml:space="preserve">lignment </w:t>
      </w:r>
      <w:r w:rsidR="00981256" w:rsidRPr="00981256">
        <w:t>of the human capital of workers with the needs of industry </w:t>
      </w:r>
      <w:r w:rsidR="00CF7FA6">
        <w:t>and society</w:t>
      </w:r>
    </w:p>
    <w:p w14:paraId="598583B9" w14:textId="77777777" w:rsidR="00D96CD1" w:rsidRDefault="003B2EF4">
      <w:pPr>
        <w:pStyle w:val="BodyText"/>
      </w:pPr>
      <w:r>
        <w:t xml:space="preserve">Beyond the level of human capital, it is also important that workers </w:t>
      </w:r>
      <w:r w:rsidRPr="003B2EF4">
        <w:t>have the skills</w:t>
      </w:r>
      <w:r>
        <w:t xml:space="preserve"> industry needs. Harmonisation</w:t>
      </w:r>
      <w:r w:rsidR="003F4C92" w:rsidRPr="003F4C92">
        <w:t xml:space="preserve"> of the tertiary education system will </w:t>
      </w:r>
      <w:r w:rsidR="002C1084">
        <w:t>better align</w:t>
      </w:r>
      <w:r w:rsidR="003F4C92" w:rsidRPr="003F4C92">
        <w:t xml:space="preserve"> the subject matter of that human capital </w:t>
      </w:r>
      <w:r w:rsidR="002C1084">
        <w:t>to</w:t>
      </w:r>
      <w:r w:rsidR="003F4C92" w:rsidRPr="003F4C92">
        <w:t xml:space="preserve"> </w:t>
      </w:r>
      <w:r w:rsidR="00E84898">
        <w:t xml:space="preserve">social and economic </w:t>
      </w:r>
      <w:r w:rsidR="003F4C92" w:rsidRPr="003F4C92">
        <w:t>needs.</w:t>
      </w:r>
    </w:p>
    <w:p w14:paraId="37A0888E" w14:textId="449D16EE" w:rsidR="00521BCB" w:rsidRDefault="005033D0">
      <w:pPr>
        <w:pStyle w:val="BodyText"/>
      </w:pPr>
      <w:r>
        <w:t>Australia</w:t>
      </w:r>
      <w:r w:rsidR="00E84898">
        <w:t xml:space="preserve"> </w:t>
      </w:r>
      <w:r w:rsidR="003F4C92" w:rsidRPr="003F4C92">
        <w:t>require</w:t>
      </w:r>
      <w:r w:rsidR="006159F8">
        <w:t>s</w:t>
      </w:r>
      <w:r w:rsidR="003F4C92" w:rsidRPr="003F4C92">
        <w:t xml:space="preserve"> a range of skills and knowledge among </w:t>
      </w:r>
      <w:r>
        <w:t>our population. For industry, this includes</w:t>
      </w:r>
      <w:r w:rsidR="003F4C92" w:rsidRPr="003F4C92">
        <w:t xml:space="preserve"> capability mixes that may not be adequately captured through a single qualification or training pathway. A harmonised education system will help train workers to have a better mix of knowledge, </w:t>
      </w:r>
      <w:r w:rsidR="004B332C">
        <w:t>specific</w:t>
      </w:r>
      <w:r w:rsidR="003F4C92" w:rsidRPr="003F4C92">
        <w:t xml:space="preserve"> technical skills, general </w:t>
      </w:r>
      <w:r w:rsidR="004B332C">
        <w:t xml:space="preserve">and transferable </w:t>
      </w:r>
      <w:r w:rsidR="003F4C92" w:rsidRPr="003F4C92">
        <w:t>skills (such as communication, teamwork</w:t>
      </w:r>
      <w:r w:rsidR="004B332C">
        <w:t>, critical</w:t>
      </w:r>
      <w:r w:rsidR="003F4C92" w:rsidRPr="003F4C92">
        <w:t xml:space="preserve"> </w:t>
      </w:r>
      <w:r w:rsidR="00A44EA1">
        <w:t>inquiry, creative thinking</w:t>
      </w:r>
      <w:r w:rsidR="003F4C92" w:rsidRPr="003F4C92">
        <w:t xml:space="preserve"> and leadership) and foundation skills (such as language, literacy and numeracy) that is difficult to deliver </w:t>
      </w:r>
      <w:r w:rsidR="006D22F1">
        <w:t>in the current system</w:t>
      </w:r>
      <w:r w:rsidR="003F4C92" w:rsidRPr="003F4C92">
        <w:t>.</w:t>
      </w:r>
    </w:p>
    <w:p w14:paraId="06A717F7" w14:textId="35C22C0B" w:rsidR="00996DA6" w:rsidRPr="00996DA6" w:rsidRDefault="00996DA6" w:rsidP="00EF244A">
      <w:pPr>
        <w:pStyle w:val="BodyText"/>
        <w:rPr>
          <w:lang w:eastAsia="en-AU"/>
        </w:rPr>
      </w:pPr>
      <w:r>
        <w:t xml:space="preserve">This </w:t>
      </w:r>
      <w:r w:rsidR="003D02A5">
        <w:t xml:space="preserve">need </w:t>
      </w:r>
      <w:r w:rsidR="0008388D">
        <w:t>applies to</w:t>
      </w:r>
      <w:r w:rsidR="003D02A5">
        <w:t xml:space="preserve"> </w:t>
      </w:r>
      <w:r>
        <w:t>Australia's</w:t>
      </w:r>
      <w:r w:rsidRPr="00996DA6">
        <w:rPr>
          <w:lang w:eastAsia="en-AU"/>
        </w:rPr>
        <w:t xml:space="preserve"> existing workforce, as </w:t>
      </w:r>
      <w:r w:rsidR="00093A88">
        <w:t>individuals</w:t>
      </w:r>
      <w:r w:rsidRPr="00996DA6">
        <w:rPr>
          <w:lang w:eastAsia="en-AU"/>
        </w:rPr>
        <w:t xml:space="preserve"> undertake lifelong learning alongside participation in the labour market, as well as people beginning to undertake tertiary education</w:t>
      </w:r>
      <w:r w:rsidR="00214EEC">
        <w:t xml:space="preserve"> out of school, or later</w:t>
      </w:r>
      <w:r w:rsidRPr="00996DA6">
        <w:rPr>
          <w:lang w:eastAsia="en-AU"/>
        </w:rPr>
        <w:t xml:space="preserve">. Whether through new graduates or experienced workers, tertiary harmonisation will provide a better mix of </w:t>
      </w:r>
      <w:r w:rsidR="00600284">
        <w:t xml:space="preserve">knowledge and </w:t>
      </w:r>
      <w:r w:rsidRPr="00996DA6">
        <w:rPr>
          <w:lang w:eastAsia="en-AU"/>
        </w:rPr>
        <w:t>skills that more effectively meets the needs of employers.</w:t>
      </w:r>
    </w:p>
    <w:p w14:paraId="6B744A28" w14:textId="77777777" w:rsidR="00D96CD1" w:rsidRDefault="00996DA6">
      <w:pPr>
        <w:pStyle w:val="BodyText"/>
        <w:rPr>
          <w:lang w:eastAsia="en-AU"/>
        </w:rPr>
      </w:pPr>
      <w:r w:rsidRPr="00996DA6">
        <w:rPr>
          <w:lang w:eastAsia="en-AU"/>
        </w:rPr>
        <w:t xml:space="preserve">A better alignment between the skills of the workforce and the skills required by </w:t>
      </w:r>
      <w:r w:rsidR="00A478A8">
        <w:t>Australian enterprises</w:t>
      </w:r>
      <w:r w:rsidRPr="00996DA6">
        <w:rPr>
          <w:lang w:eastAsia="en-AU"/>
        </w:rPr>
        <w:t xml:space="preserve"> will reduce skills shortages. Organisations will be able to more readily access the skills they require, leading to higher fill rates for vacancies, and vacancies being filled more quickly, as </w:t>
      </w:r>
      <w:r w:rsidR="00F16BFA">
        <w:t>people</w:t>
      </w:r>
      <w:r w:rsidRPr="00996DA6">
        <w:rPr>
          <w:lang w:eastAsia="en-AU"/>
        </w:rPr>
        <w:t xml:space="preserve"> </w:t>
      </w:r>
      <w:r w:rsidR="00102042">
        <w:rPr>
          <w:lang w:eastAsia="en-AU"/>
        </w:rPr>
        <w:t xml:space="preserve">suitable </w:t>
      </w:r>
      <w:r w:rsidRPr="00996DA6">
        <w:rPr>
          <w:lang w:eastAsia="en-AU"/>
        </w:rPr>
        <w:t xml:space="preserve">for their positions </w:t>
      </w:r>
      <w:r w:rsidR="00F16BFA">
        <w:t>are</w:t>
      </w:r>
      <w:r w:rsidRPr="00996DA6">
        <w:rPr>
          <w:lang w:eastAsia="en-AU"/>
        </w:rPr>
        <w:t xml:space="preserve"> more readily available and</w:t>
      </w:r>
      <w:r>
        <w:t xml:space="preserve"> </w:t>
      </w:r>
      <w:r w:rsidRPr="00996DA6">
        <w:rPr>
          <w:lang w:eastAsia="en-AU"/>
        </w:rPr>
        <w:t>transferable.</w:t>
      </w:r>
    </w:p>
    <w:p w14:paraId="52001352" w14:textId="12D0B31E" w:rsidR="008B61AA" w:rsidRDefault="007B1C29">
      <w:pPr>
        <w:pStyle w:val="BodyText"/>
        <w:rPr>
          <w:lang w:eastAsia="en-AU"/>
        </w:rPr>
      </w:pPr>
      <w:r>
        <w:t>Harmonisation</w:t>
      </w:r>
      <w:r w:rsidR="00E40E3D" w:rsidRPr="00E40E3D">
        <w:rPr>
          <w:lang w:val="en-US"/>
        </w:rPr>
        <w:t xml:space="preserve"> </w:t>
      </w:r>
      <w:r w:rsidR="00E40E3D" w:rsidRPr="00E40E3D">
        <w:t>will</w:t>
      </w:r>
      <w:r w:rsidR="00E40E3D" w:rsidRPr="00E40E3D">
        <w:rPr>
          <w:lang w:val="en-US"/>
        </w:rPr>
        <w:t xml:space="preserve"> result in greater recognition and transparency of the knowledge, skills and capabilities that workers have</w:t>
      </w:r>
      <w:r w:rsidR="00E40E3D" w:rsidRPr="00E40E3D">
        <w:t>,</w:t>
      </w:r>
      <w:r w:rsidR="00E40E3D" w:rsidRPr="00E40E3D">
        <w:rPr>
          <w:lang w:val="en-US"/>
        </w:rPr>
        <w:t xml:space="preserve"> better matching people to jobs, leading to fewer skills shortages and higher productivity, which in turn </w:t>
      </w:r>
      <w:r w:rsidR="00E40E3D" w:rsidRPr="00E40E3D">
        <w:t>will</w:t>
      </w:r>
      <w:r w:rsidR="00E40E3D" w:rsidRPr="00E40E3D">
        <w:rPr>
          <w:lang w:val="en-US"/>
        </w:rPr>
        <w:t xml:space="preserve"> lead to higher wages.</w:t>
      </w:r>
      <w:r w:rsidR="00E40E3D" w:rsidRPr="00E40E3D">
        <w:t> </w:t>
      </w:r>
      <w:r w:rsidR="00996DA6" w:rsidRPr="00996DA6">
        <w:rPr>
          <w:lang w:eastAsia="en-AU"/>
        </w:rPr>
        <w:t xml:space="preserve">This means fewer skills gaps in the labour market, which enables </w:t>
      </w:r>
      <w:r w:rsidR="00BA36A1">
        <w:t>organisations</w:t>
      </w:r>
      <w:r w:rsidR="00996DA6" w:rsidRPr="00996DA6">
        <w:rPr>
          <w:lang w:eastAsia="en-AU"/>
        </w:rPr>
        <w:t xml:space="preserve"> to continue producing outputs and providing services that would otherwise be hindered by </w:t>
      </w:r>
      <w:r w:rsidR="00BC19DE">
        <w:t>labour</w:t>
      </w:r>
      <w:r w:rsidR="00996DA6" w:rsidRPr="00996DA6">
        <w:rPr>
          <w:lang w:eastAsia="en-AU"/>
        </w:rPr>
        <w:t xml:space="preserve"> limitations.</w:t>
      </w:r>
    </w:p>
    <w:p w14:paraId="13D0A693" w14:textId="77777777" w:rsidR="00D96CD1" w:rsidRDefault="000A7E63">
      <w:pPr>
        <w:pStyle w:val="BodyText"/>
      </w:pPr>
      <w:r w:rsidRPr="000A7E63">
        <w:t xml:space="preserve">Moreover, better alignment between the skills of the workforce and the skills required by </w:t>
      </w:r>
      <w:r w:rsidR="00587120">
        <w:t>organisations</w:t>
      </w:r>
      <w:r w:rsidRPr="000A7E63">
        <w:t xml:space="preserve"> will also reduce unemployment, including the duration of unemployment when workers are laid off. A harmonised tertiary education will make it easier for people to obtain the skills demanded by employers, and transition to new and emerging industries as their jobs </w:t>
      </w:r>
      <w:r w:rsidR="00271EC4">
        <w:t>are structured out</w:t>
      </w:r>
      <w:r w:rsidR="00194FE4">
        <w:t xml:space="preserve"> of the industry or economy</w:t>
      </w:r>
      <w:r w:rsidRPr="000A7E63">
        <w:t>, reducing the risk of unemployment</w:t>
      </w:r>
      <w:r w:rsidR="005D7ED0">
        <w:t>.</w:t>
      </w:r>
    </w:p>
    <w:p w14:paraId="22960C83" w14:textId="23B5E2F5" w:rsidR="00D96CD1" w:rsidRDefault="00603737" w:rsidP="00075681">
      <w:pPr>
        <w:pStyle w:val="Heading4"/>
      </w:pPr>
      <w:r>
        <w:t>S</w:t>
      </w:r>
      <w:r w:rsidRPr="001D432D">
        <w:t>upporting</w:t>
      </w:r>
      <w:r w:rsidR="001D432D" w:rsidRPr="001D432D">
        <w:t xml:space="preserve"> workers and firms to more effectively pivot to new opportunities and respond to emerging challenges, including National priorities</w:t>
      </w:r>
      <w:r w:rsidR="00A11658">
        <w:t>.</w:t>
      </w:r>
    </w:p>
    <w:p w14:paraId="56FD482E" w14:textId="693147A2" w:rsidR="00D96CD1" w:rsidRDefault="003F6FE2" w:rsidP="00075681">
      <w:pPr>
        <w:pStyle w:val="BodyText"/>
        <w:rPr>
          <w:lang w:eastAsia="en-AU"/>
        </w:rPr>
      </w:pPr>
      <w:r>
        <w:t>In a</w:t>
      </w:r>
      <w:r w:rsidRPr="003F6FE2">
        <w:rPr>
          <w:lang w:eastAsia="en-AU"/>
        </w:rPr>
        <w:t xml:space="preserve"> dynamic</w:t>
      </w:r>
      <w:r>
        <w:t xml:space="preserve"> </w:t>
      </w:r>
      <w:r w:rsidRPr="003F6FE2">
        <w:rPr>
          <w:lang w:eastAsia="en-AU"/>
        </w:rPr>
        <w:t>economy</w:t>
      </w:r>
      <w:r>
        <w:t xml:space="preserve">, </w:t>
      </w:r>
      <w:r w:rsidRPr="003F6FE2">
        <w:rPr>
          <w:lang w:eastAsia="en-AU"/>
        </w:rPr>
        <w:t xml:space="preserve">new challenges and opportunities require a response from both </w:t>
      </w:r>
      <w:r>
        <w:t>industry, employers</w:t>
      </w:r>
      <w:r w:rsidRPr="003F6FE2">
        <w:rPr>
          <w:lang w:eastAsia="en-AU"/>
        </w:rPr>
        <w:t xml:space="preserve"> and workers. </w:t>
      </w:r>
      <w:r>
        <w:t>E</w:t>
      </w:r>
      <w:r w:rsidRPr="003F6FE2">
        <w:rPr>
          <w:lang w:eastAsia="en-AU"/>
        </w:rPr>
        <w:t>ffective</w:t>
      </w:r>
      <w:r>
        <w:t xml:space="preserve"> responses need to be fast, reskilling workers, developing new individual skills and </w:t>
      </w:r>
      <w:r w:rsidRPr="003F6FE2">
        <w:rPr>
          <w:lang w:eastAsia="en-AU"/>
        </w:rPr>
        <w:t>increasing labour capacity. A more harmonised tertiary education sector will enable organisations and workers to more effectively respond to such opportunities and challenges, including through lifelong learning.</w:t>
      </w:r>
    </w:p>
    <w:p w14:paraId="4F9CBD02" w14:textId="77777777" w:rsidR="00D96CD1" w:rsidRDefault="003F6FE2" w:rsidP="00075681">
      <w:pPr>
        <w:pStyle w:val="BodyText"/>
        <w:rPr>
          <w:lang w:eastAsia="en-AU"/>
        </w:rPr>
      </w:pPr>
      <w:r w:rsidRPr="003F6FE2">
        <w:rPr>
          <w:lang w:eastAsia="en-AU"/>
        </w:rPr>
        <w:t xml:space="preserve">This is particularly the case as many new emerging opportunities and challenges require a combination of the knowledge-based, technical and </w:t>
      </w:r>
      <w:r w:rsidR="00C51A00">
        <w:t>transferable</w:t>
      </w:r>
      <w:r w:rsidR="000E6429">
        <w:t xml:space="preserve"> </w:t>
      </w:r>
      <w:r w:rsidRPr="003F6FE2">
        <w:rPr>
          <w:lang w:eastAsia="en-AU"/>
        </w:rPr>
        <w:t xml:space="preserve">skills best delivered through a </w:t>
      </w:r>
      <w:r w:rsidR="00AD15E0">
        <w:t>harmonised</w:t>
      </w:r>
      <w:r w:rsidRPr="003F6FE2">
        <w:rPr>
          <w:lang w:eastAsia="en-AU"/>
        </w:rPr>
        <w:t xml:space="preserve"> VET and </w:t>
      </w:r>
      <w:r w:rsidR="006E36F3">
        <w:rPr>
          <w:lang w:eastAsia="en-AU"/>
        </w:rPr>
        <w:t>Higher Education</w:t>
      </w:r>
      <w:r w:rsidRPr="003F6FE2">
        <w:rPr>
          <w:lang w:eastAsia="en-AU"/>
        </w:rPr>
        <w:t xml:space="preserve"> system. The increased flexibility and adaptiveness that will arise </w:t>
      </w:r>
      <w:r w:rsidR="00194FF2">
        <w:t>will</w:t>
      </w:r>
      <w:r w:rsidRPr="003F6FE2">
        <w:rPr>
          <w:lang w:eastAsia="en-AU"/>
        </w:rPr>
        <w:t xml:space="preserve"> be a significant improvement on current settings, which are often too slow to adapt to emerging needs.</w:t>
      </w:r>
    </w:p>
    <w:p w14:paraId="1B6DEC33" w14:textId="77777777" w:rsidR="00D96CD1" w:rsidRDefault="003F6FE2" w:rsidP="00075681">
      <w:pPr>
        <w:pStyle w:val="BodyText"/>
        <w:rPr>
          <w:lang w:eastAsia="en-AU"/>
        </w:rPr>
      </w:pPr>
      <w:r w:rsidRPr="003F6FE2">
        <w:rPr>
          <w:lang w:eastAsia="en-AU"/>
        </w:rPr>
        <w:lastRenderedPageBreak/>
        <w:t xml:space="preserve">Tertiary harmonisation offers the opportunity to </w:t>
      </w:r>
      <w:r w:rsidR="000804AD">
        <w:t>better integrate lifelong learning into indiv</w:t>
      </w:r>
      <w:r w:rsidR="00C1393B">
        <w:t>idual career pathways over a whole career</w:t>
      </w:r>
      <w:r w:rsidR="006A0724">
        <w:t xml:space="preserve"> as well as re-shaping our understanding of </w:t>
      </w:r>
      <w:r w:rsidR="00617789">
        <w:t xml:space="preserve">a flexible and </w:t>
      </w:r>
      <w:r w:rsidR="0000129B">
        <w:t>adaptive</w:t>
      </w:r>
      <w:r w:rsidR="006A0724">
        <w:t xml:space="preserve"> </w:t>
      </w:r>
      <w:r w:rsidR="005004E8">
        <w:t>work</w:t>
      </w:r>
      <w:r w:rsidR="00617789">
        <w:t>force</w:t>
      </w:r>
      <w:r w:rsidR="004335A2">
        <w:t>. By</w:t>
      </w:r>
      <w:r>
        <w:t xml:space="preserve"> </w:t>
      </w:r>
      <w:r w:rsidR="00E1601A">
        <w:t xml:space="preserve">transforming </w:t>
      </w:r>
      <w:r w:rsidRPr="003F6FE2">
        <w:rPr>
          <w:lang w:eastAsia="en-AU"/>
        </w:rPr>
        <w:t xml:space="preserve">the </w:t>
      </w:r>
      <w:r w:rsidR="00E1601A">
        <w:t>present</w:t>
      </w:r>
      <w:r w:rsidRPr="003F6FE2">
        <w:rPr>
          <w:lang w:eastAsia="en-AU"/>
        </w:rPr>
        <w:t xml:space="preserve"> informal designation or</w:t>
      </w:r>
    </w:p>
    <w:p w14:paraId="253BD023" w14:textId="08D62C4B" w:rsidR="00D96CD1" w:rsidRDefault="003F6FE2" w:rsidP="00075681">
      <w:pPr>
        <w:pStyle w:val="BodyText"/>
        <w:rPr>
          <w:lang w:eastAsia="en-AU"/>
        </w:rPr>
      </w:pPr>
      <w:r w:rsidRPr="003F6FE2">
        <w:rPr>
          <w:lang w:eastAsia="en-AU"/>
        </w:rPr>
        <w:t>categorisation of people into either VET or higher-education pathways towards a more comprehensive and holistic view of skills and capabilities</w:t>
      </w:r>
      <w:r w:rsidR="00851652">
        <w:t>, Australia's post-secondary education and training</w:t>
      </w:r>
      <w:r w:rsidR="00A3168C">
        <w:t xml:space="preserve"> system</w:t>
      </w:r>
      <w:r w:rsidR="00617789">
        <w:t xml:space="preserve"> can be part of lives </w:t>
      </w:r>
      <w:r w:rsidR="00702454">
        <w:t>over</w:t>
      </w:r>
      <w:r w:rsidR="003F5D49">
        <w:t xml:space="preserve"> a whole career. F</w:t>
      </w:r>
      <w:r w:rsidR="00702454">
        <w:t>or the wider workforce, it will</w:t>
      </w:r>
      <w:r w:rsidRPr="003F6FE2">
        <w:rPr>
          <w:lang w:eastAsia="en-AU"/>
        </w:rPr>
        <w:t xml:space="preserve"> </w:t>
      </w:r>
      <w:r w:rsidR="00E5767A">
        <w:t>ensure</w:t>
      </w:r>
      <w:r w:rsidR="00C050A3">
        <w:t xml:space="preserve"> aggregate</w:t>
      </w:r>
      <w:r w:rsidR="00E5767A">
        <w:t xml:space="preserve"> </w:t>
      </w:r>
      <w:r w:rsidR="00C050A3">
        <w:t>skills</w:t>
      </w:r>
      <w:r w:rsidR="00C050A3" w:rsidRPr="003F6FE2">
        <w:rPr>
          <w:lang w:eastAsia="en-AU"/>
        </w:rPr>
        <w:t xml:space="preserve"> </w:t>
      </w:r>
      <w:r w:rsidR="00702454">
        <w:t>better</w:t>
      </w:r>
      <w:r w:rsidRPr="003F6FE2">
        <w:rPr>
          <w:lang w:eastAsia="en-AU"/>
        </w:rPr>
        <w:t xml:space="preserve"> evolve and expand flexibly </w:t>
      </w:r>
      <w:r w:rsidR="005403AB">
        <w:t xml:space="preserve">with changes and disruptions to </w:t>
      </w:r>
      <w:r w:rsidR="006F6729">
        <w:t>the economic environment</w:t>
      </w:r>
      <w:r w:rsidRPr="003F6FE2">
        <w:rPr>
          <w:lang w:eastAsia="en-AU"/>
        </w:rPr>
        <w:t>.</w:t>
      </w:r>
    </w:p>
    <w:p w14:paraId="5DBBED20" w14:textId="0717559B" w:rsidR="004A16AE" w:rsidRDefault="009B6D86" w:rsidP="00575274">
      <w:pPr>
        <w:pStyle w:val="BodyText"/>
        <w:rPr>
          <w:lang w:eastAsia="en-AU"/>
        </w:rPr>
      </w:pPr>
      <w:r>
        <w:t>A roadmap will</w:t>
      </w:r>
      <w:r w:rsidR="003F6FE2" w:rsidRPr="003F6FE2">
        <w:rPr>
          <w:lang w:eastAsia="en-AU"/>
        </w:rPr>
        <w:t xml:space="preserve"> require analysis to move beyond the highest level of educational attainment as a proxy for human capital</w:t>
      </w:r>
      <w:r w:rsidR="00675492">
        <w:t>, currently collected in the census,</w:t>
      </w:r>
      <w:r w:rsidR="003F6FE2" w:rsidRPr="003F6FE2">
        <w:rPr>
          <w:lang w:eastAsia="en-AU"/>
        </w:rPr>
        <w:t xml:space="preserve"> to consider whole-of-life and cross-sector skill capability and knowledge development.</w:t>
      </w:r>
    </w:p>
    <w:p w14:paraId="1B348FC9" w14:textId="24019294" w:rsidR="00853140" w:rsidRDefault="00853140">
      <w:pPr>
        <w:spacing w:before="0" w:after="200" w:line="276" w:lineRule="auto"/>
        <w:rPr>
          <w:lang w:eastAsia="en-AU"/>
        </w:rPr>
      </w:pPr>
      <w:r>
        <w:rPr>
          <w:lang w:eastAsia="en-AU"/>
        </w:rPr>
        <w:br w:type="page"/>
      </w:r>
    </w:p>
    <w:p w14:paraId="496CDA21" w14:textId="77777777" w:rsidR="004C3132" w:rsidRDefault="00E36F85" w:rsidP="00E36F85">
      <w:pPr>
        <w:pStyle w:val="Heading1"/>
        <w:spacing w:after="0"/>
      </w:pPr>
      <w:bookmarkStart w:id="116" w:name="_Toc190980910"/>
      <w:r>
        <w:lastRenderedPageBreak/>
        <w:t>The Elements of Tertiary Harmonisation</w:t>
      </w:r>
      <w:bookmarkEnd w:id="116"/>
    </w:p>
    <w:p w14:paraId="109CE35F" w14:textId="75F4BFBE" w:rsidR="00645805" w:rsidRPr="00645805" w:rsidRDefault="00645805" w:rsidP="00645805">
      <w:bookmarkStart w:id="117" w:name="_Toc189060440"/>
      <w:bookmarkStart w:id="118" w:name="_Toc189060530"/>
    </w:p>
    <w:tbl>
      <w:tblPr>
        <w:tblStyle w:val="CustomTablekeythemes"/>
        <w:tblW w:w="0" w:type="auto"/>
        <w:tblLook w:val="04A0" w:firstRow="1" w:lastRow="0" w:firstColumn="1" w:lastColumn="0" w:noHBand="0" w:noVBand="1"/>
      </w:tblPr>
      <w:tblGrid>
        <w:gridCol w:w="9026"/>
      </w:tblGrid>
      <w:tr w:rsidR="00E00CFE" w14:paraId="5E781E99" w14:textId="77777777" w:rsidTr="004E37DB">
        <w:tc>
          <w:tcPr>
            <w:tcW w:w="9026" w:type="dxa"/>
          </w:tcPr>
          <w:bookmarkEnd w:id="117"/>
          <w:bookmarkEnd w:id="118"/>
          <w:p w14:paraId="3A7DDBD6" w14:textId="717F999C" w:rsidR="00E00CFE" w:rsidRPr="00E00CFE" w:rsidRDefault="00E00CFE" w:rsidP="00E00CFE">
            <w:pPr>
              <w:rPr>
                <w:rStyle w:val="Characterbold"/>
              </w:rPr>
            </w:pPr>
            <w:r w:rsidRPr="00041B44">
              <w:rPr>
                <w:rStyle w:val="Characterbold"/>
              </w:rPr>
              <w:t>K</w:t>
            </w:r>
            <w:r w:rsidRPr="00E00CFE">
              <w:rPr>
                <w:rStyle w:val="Characterbold"/>
              </w:rPr>
              <w:t>ey themes in this chapter</w:t>
            </w:r>
          </w:p>
          <w:p w14:paraId="676C364E" w14:textId="2D5372FF" w:rsidR="006503B0" w:rsidRDefault="006503B0" w:rsidP="006503B0">
            <w:pPr>
              <w:pStyle w:val="ListBullet"/>
              <w:numPr>
                <w:ilvl w:val="0"/>
                <w:numId w:val="2"/>
              </w:numPr>
            </w:pPr>
            <w:r>
              <w:t xml:space="preserve">Australia's tertiary sector is complex, consisting of diverse public and private actors in an intricate </w:t>
            </w:r>
            <w:r w:rsidR="005A0D21">
              <w:t>economic,</w:t>
            </w:r>
            <w:r>
              <w:t xml:space="preserve"> regulatory and administrative system.</w:t>
            </w:r>
          </w:p>
          <w:p w14:paraId="612727CA" w14:textId="77777777" w:rsidR="00D96CD1" w:rsidRDefault="00AF6673" w:rsidP="001A5D90">
            <w:pPr>
              <w:pStyle w:val="ListBullet"/>
              <w:numPr>
                <w:ilvl w:val="0"/>
                <w:numId w:val="2"/>
              </w:numPr>
            </w:pPr>
            <w:r>
              <w:t xml:space="preserve">JSA has developed a framework to </w:t>
            </w:r>
            <w:r w:rsidR="007E50F6">
              <w:t>help</w:t>
            </w:r>
            <w:r w:rsidR="007F3701">
              <w:t xml:space="preserve"> </w:t>
            </w:r>
            <w:r w:rsidR="00AD55D4">
              <w:t>stakeholders better</w:t>
            </w:r>
            <w:r w:rsidR="007F3701">
              <w:t xml:space="preserve"> </w:t>
            </w:r>
            <w:r>
              <w:t>understand the structure and function of Australia’s tertiary system</w:t>
            </w:r>
            <w:r w:rsidR="00B91B4A">
              <w:t xml:space="preserve">, </w:t>
            </w:r>
            <w:r w:rsidR="00697A01">
              <w:t xml:space="preserve">the elements </w:t>
            </w:r>
            <w:r w:rsidR="00AD55D4">
              <w:t xml:space="preserve">that </w:t>
            </w:r>
            <w:r w:rsidR="008F0D2F">
              <w:t>comprise it, and the interactions and relationships between them</w:t>
            </w:r>
            <w:r w:rsidR="003D5243">
              <w:t>.</w:t>
            </w:r>
          </w:p>
          <w:p w14:paraId="7146F03A" w14:textId="23286E96" w:rsidR="009314A6" w:rsidRDefault="00E40CE8" w:rsidP="001A5D90">
            <w:pPr>
              <w:pStyle w:val="ListBullet"/>
              <w:numPr>
                <w:ilvl w:val="0"/>
                <w:numId w:val="2"/>
              </w:numPr>
            </w:pPr>
            <w:r>
              <w:t>The framework outline</w:t>
            </w:r>
            <w:r w:rsidR="00227835">
              <w:t>s</w:t>
            </w:r>
            <w:r>
              <w:t xml:space="preserve"> the elements of the tertiary system</w:t>
            </w:r>
            <w:r w:rsidR="00560FF6">
              <w:t xml:space="preserve"> under three pillars</w:t>
            </w:r>
            <w:r w:rsidR="009314A6">
              <w:t>:</w:t>
            </w:r>
          </w:p>
          <w:p w14:paraId="3DCC5BFC" w14:textId="77777777" w:rsidR="00D96CD1" w:rsidRDefault="00601C2B" w:rsidP="00F1474A">
            <w:pPr>
              <w:pStyle w:val="ListBullet2"/>
            </w:pPr>
            <w:r>
              <w:t xml:space="preserve">Pillar </w:t>
            </w:r>
            <w:r w:rsidR="00537ABC">
              <w:t>1</w:t>
            </w:r>
            <w:r>
              <w:t>:</w:t>
            </w:r>
            <w:r w:rsidR="00537ABC">
              <w:t xml:space="preserve"> The key players in the system</w:t>
            </w:r>
            <w:r w:rsidR="00DF13FA">
              <w:t>, their roles and relationships</w:t>
            </w:r>
          </w:p>
          <w:p w14:paraId="4952BF9E" w14:textId="3DA6A9C9" w:rsidR="00CA5776" w:rsidRDefault="00C72C7F" w:rsidP="00F1474A">
            <w:pPr>
              <w:pStyle w:val="ListBullet2"/>
            </w:pPr>
            <w:r>
              <w:t>Pillar 2: The</w:t>
            </w:r>
            <w:r w:rsidR="00BA198B">
              <w:t xml:space="preserve"> </w:t>
            </w:r>
            <w:r w:rsidR="004E2AF3">
              <w:t>k</w:t>
            </w:r>
            <w:r w:rsidR="00BA198B">
              <w:t xml:space="preserve">nowledge, skills and qualifications </w:t>
            </w:r>
            <w:r w:rsidR="009D7670">
              <w:t>gained through the system including the</w:t>
            </w:r>
            <w:r w:rsidR="00EA6D45">
              <w:t xml:space="preserve"> system architecture that supports them</w:t>
            </w:r>
            <w:r w:rsidR="00DA74C9">
              <w:t>,</w:t>
            </w:r>
            <w:r w:rsidR="00EA6D45">
              <w:t xml:space="preserve"> and </w:t>
            </w:r>
            <w:r w:rsidR="00DA74C9">
              <w:t>how they are perceived</w:t>
            </w:r>
          </w:p>
          <w:p w14:paraId="5BCC045B" w14:textId="049968C8" w:rsidR="00560FF6" w:rsidRDefault="00CA5776" w:rsidP="00AF7F4F">
            <w:pPr>
              <w:pStyle w:val="ListBullet2"/>
            </w:pPr>
            <w:r>
              <w:t>Pillar</w:t>
            </w:r>
            <w:r w:rsidR="00BA198B">
              <w:t xml:space="preserve"> 3</w:t>
            </w:r>
            <w:r>
              <w:t>:</w:t>
            </w:r>
            <w:r w:rsidR="00BA198B">
              <w:t xml:space="preserve"> </w:t>
            </w:r>
            <w:r>
              <w:t>The</w:t>
            </w:r>
            <w:r w:rsidR="00BA198B">
              <w:t xml:space="preserve"> </w:t>
            </w:r>
            <w:r w:rsidR="004E2AF3">
              <w:t>l</w:t>
            </w:r>
            <w:r w:rsidR="00BA198B">
              <w:t>egislative, regulatory</w:t>
            </w:r>
            <w:r w:rsidR="00734708">
              <w:t>,</w:t>
            </w:r>
            <w:r w:rsidR="00BA198B">
              <w:t xml:space="preserve"> financial </w:t>
            </w:r>
            <w:r w:rsidR="00734708">
              <w:t>and data</w:t>
            </w:r>
            <w:r w:rsidR="00BA198B">
              <w:t xml:space="preserve"> architecture</w:t>
            </w:r>
            <w:r w:rsidR="00734708">
              <w:t xml:space="preserve"> that support</w:t>
            </w:r>
            <w:r w:rsidR="00DA74C9">
              <w:t>s</w:t>
            </w:r>
            <w:r w:rsidR="00892D76">
              <w:t>, enable</w:t>
            </w:r>
            <w:r w:rsidR="00DA74C9">
              <w:t>s</w:t>
            </w:r>
            <w:r w:rsidR="00892D76">
              <w:t>, and regulate</w:t>
            </w:r>
            <w:r w:rsidR="00DA74C9">
              <w:t>s</w:t>
            </w:r>
            <w:r w:rsidR="00892D76">
              <w:t xml:space="preserve"> the system</w:t>
            </w:r>
            <w:r w:rsidR="00E045AB">
              <w:t>.</w:t>
            </w:r>
          </w:p>
          <w:p w14:paraId="0967641B" w14:textId="5ECA4B63" w:rsidR="00F732E5" w:rsidRDefault="00D45C8A" w:rsidP="001A5D90">
            <w:pPr>
              <w:pStyle w:val="ListBullet"/>
              <w:numPr>
                <w:ilvl w:val="0"/>
                <w:numId w:val="2"/>
              </w:numPr>
            </w:pPr>
            <w:r>
              <w:t xml:space="preserve">Identifying </w:t>
            </w:r>
            <w:r w:rsidR="002960FC">
              <w:t>the</w:t>
            </w:r>
            <w:r>
              <w:t xml:space="preserve"> elements</w:t>
            </w:r>
            <w:r w:rsidR="00D97928">
              <w:t xml:space="preserve"> </w:t>
            </w:r>
            <w:r w:rsidR="008D7966">
              <w:t xml:space="preserve">of each pillar </w:t>
            </w:r>
            <w:r w:rsidR="00D97928">
              <w:t xml:space="preserve">and </w:t>
            </w:r>
            <w:r w:rsidR="00CE1E84">
              <w:t>understanding</w:t>
            </w:r>
            <w:r w:rsidR="00D97928">
              <w:t xml:space="preserve"> how tertiary harmonisation will affect and be affected by them</w:t>
            </w:r>
            <w:r>
              <w:t xml:space="preserve"> is a crucial step in developing a roadmap to tertiary harmonisation</w:t>
            </w:r>
            <w:r w:rsidR="00F732E5">
              <w:t>.</w:t>
            </w:r>
          </w:p>
        </w:tc>
      </w:tr>
    </w:tbl>
    <w:p w14:paraId="111BB4FD" w14:textId="77777777" w:rsidR="00224870" w:rsidRDefault="00224870" w:rsidP="00224870"/>
    <w:p w14:paraId="6EFB074D" w14:textId="54449F20" w:rsidR="00224870" w:rsidRDefault="00224870" w:rsidP="00224870">
      <w:pPr>
        <w:pStyle w:val="BodyText"/>
      </w:pPr>
      <w:r>
        <w:t xml:space="preserve">JSA has developed a framework to understand the structure and function of Australia’s tertiary system. The purpose of the framework is to identify the segments of the system that have a </w:t>
      </w:r>
      <w:r w:rsidR="008E026C">
        <w:t>role</w:t>
      </w:r>
      <w:r>
        <w:t xml:space="preserve"> in tertiary reform. Some of these elements are system actors, whose role needs to be articulated, and forms of collaboration established. Other elements are functional, including the nature and design of qualifications and their alignment to skill and knowledge frameworks</w:t>
      </w:r>
      <w:r w:rsidR="0083254F">
        <w:t>. The rest are</w:t>
      </w:r>
      <w:r>
        <w:t xml:space="preserve"> </w:t>
      </w:r>
      <w:r w:rsidR="006B1C76">
        <w:t>enabling</w:t>
      </w:r>
      <w:r w:rsidR="0083254F">
        <w:t xml:space="preserve"> elements</w:t>
      </w:r>
      <w:r>
        <w:t xml:space="preserve">, including legislative, funding and governance </w:t>
      </w:r>
      <w:r w:rsidR="00287F2B">
        <w:t>policies</w:t>
      </w:r>
      <w:r w:rsidR="005510E2">
        <w:t xml:space="preserve"> and </w:t>
      </w:r>
      <w:r w:rsidR="0083254F">
        <w:t>systems</w:t>
      </w:r>
      <w:r>
        <w:t>.</w:t>
      </w:r>
    </w:p>
    <w:p w14:paraId="033E5B1C" w14:textId="0DDEFB3D" w:rsidR="00AC3386" w:rsidRDefault="00966A19" w:rsidP="00224870">
      <w:pPr>
        <w:pStyle w:val="BodyText"/>
      </w:pPr>
      <w:r>
        <w:t xml:space="preserve">This framework is </w:t>
      </w:r>
      <w:r w:rsidR="00666E35">
        <w:t>strategically</w:t>
      </w:r>
      <w:r>
        <w:t xml:space="preserve"> necessary to develop a </w:t>
      </w:r>
      <w:r w:rsidR="00127FD7">
        <w:t xml:space="preserve">roadmap to harmonisation. By breaking down the </w:t>
      </w:r>
      <w:r w:rsidR="0057766D">
        <w:t>components of the tertiary sector that will need to be involved in the process of enabling</w:t>
      </w:r>
      <w:r w:rsidR="009D373F">
        <w:t xml:space="preserve"> </w:t>
      </w:r>
      <w:r w:rsidR="00F9727B">
        <w:t xml:space="preserve">a closer collaboration between VET and </w:t>
      </w:r>
      <w:r w:rsidR="006E36F3">
        <w:t>Higher Education</w:t>
      </w:r>
      <w:r w:rsidR="00FB08B9">
        <w:t xml:space="preserve">, this report sets </w:t>
      </w:r>
      <w:r w:rsidR="00B02DA9">
        <w:t xml:space="preserve">the agenda for </w:t>
      </w:r>
      <w:r w:rsidR="00624069">
        <w:t xml:space="preserve">system actors, including government and </w:t>
      </w:r>
      <w:r w:rsidR="00256D91">
        <w:t>'</w:t>
      </w:r>
      <w:r w:rsidR="00C34851">
        <w:t>first move</w:t>
      </w:r>
      <w:r w:rsidR="00967A61">
        <w:t>rs</w:t>
      </w:r>
      <w:r w:rsidR="00256D91">
        <w:t>'</w:t>
      </w:r>
      <w:r w:rsidR="00967A61">
        <w:t xml:space="preserve"> as well</w:t>
      </w:r>
      <w:r w:rsidR="00624069">
        <w:t xml:space="preserve"> </w:t>
      </w:r>
      <w:r w:rsidR="00967A61">
        <w:t>as other system</w:t>
      </w:r>
      <w:r w:rsidR="00624069">
        <w:t xml:space="preserve"> stakeholders</w:t>
      </w:r>
      <w:r w:rsidR="00967A61">
        <w:t>,</w:t>
      </w:r>
      <w:r w:rsidR="00624069">
        <w:t xml:space="preserve"> to </w:t>
      </w:r>
      <w:r w:rsidR="00967A61">
        <w:t xml:space="preserve">actively </w:t>
      </w:r>
      <w:r w:rsidR="00624069">
        <w:t>work</w:t>
      </w:r>
      <w:r w:rsidR="009D373F">
        <w:t xml:space="preserve"> </w:t>
      </w:r>
      <w:r w:rsidR="00874AE0">
        <w:t xml:space="preserve">together </w:t>
      </w:r>
      <w:r w:rsidR="00967A61">
        <w:t>towards a more harmonised system.</w:t>
      </w:r>
    </w:p>
    <w:p w14:paraId="2F541A6C" w14:textId="77777777" w:rsidR="00224870" w:rsidRPr="00C2228E" w:rsidRDefault="00224870" w:rsidP="00224870">
      <w:pPr>
        <w:pStyle w:val="Heading2"/>
      </w:pPr>
      <w:bookmarkStart w:id="119" w:name="_Toc189060441"/>
      <w:bookmarkStart w:id="120" w:name="_Toc189060531"/>
      <w:bookmarkStart w:id="121" w:name="_Toc190980911"/>
      <w:r>
        <w:lastRenderedPageBreak/>
        <w:t>Pillars and elements of the tertiary harmonisation framework</w:t>
      </w:r>
      <w:bookmarkEnd w:id="119"/>
      <w:bookmarkEnd w:id="120"/>
      <w:bookmarkEnd w:id="121"/>
    </w:p>
    <w:p w14:paraId="4886680B" w14:textId="1EF6D265" w:rsidR="00224870" w:rsidRDefault="00224870" w:rsidP="00224870">
      <w:pPr>
        <w:pStyle w:val="BodyText"/>
      </w:pPr>
      <w:r w:rsidRPr="00091043">
        <w:t>The</w:t>
      </w:r>
      <w:r>
        <w:t>re are twelve</w:t>
      </w:r>
      <w:r w:rsidRPr="00091043">
        <w:t xml:space="preserve"> elements of harmonisation</w:t>
      </w:r>
      <w:r>
        <w:t>, falling under three pillars</w:t>
      </w:r>
      <w:r w:rsidR="009E1FFF">
        <w:t>. Reform of these elements is</w:t>
      </w:r>
      <w:r>
        <w:t xml:space="preserve"> needed to </w:t>
      </w:r>
      <w:r w:rsidRPr="00091043">
        <w:t>enable the government and key actors in the system to address barriers to achieving scaled and consistent harmonisation.</w:t>
      </w:r>
    </w:p>
    <w:p w14:paraId="67523A6C" w14:textId="661C12E6" w:rsidR="00224870" w:rsidRDefault="008938FD" w:rsidP="00842308">
      <w:pPr>
        <w:pStyle w:val="Caption"/>
      </w:pPr>
      <w:bookmarkStart w:id="122" w:name="_Toc191381514"/>
      <w:r w:rsidRPr="008938FD">
        <w:t xml:space="preserve">Figure </w:t>
      </w:r>
      <w:r w:rsidRPr="008938FD">
        <w:fldChar w:fldCharType="begin"/>
      </w:r>
      <w:r w:rsidRPr="008938FD">
        <w:instrText xml:space="preserve"> SEQ Figure \* ARABIC </w:instrText>
      </w:r>
      <w:r w:rsidRPr="008938FD">
        <w:fldChar w:fldCharType="separate"/>
      </w:r>
      <w:r w:rsidR="004D7389">
        <w:rPr>
          <w:noProof/>
        </w:rPr>
        <w:t>8</w:t>
      </w:r>
      <w:r w:rsidRPr="008938FD">
        <w:fldChar w:fldCharType="end"/>
      </w:r>
      <w:r w:rsidR="00AF58F4">
        <w:t>.</w:t>
      </w:r>
      <w:r w:rsidRPr="008938FD">
        <w:t xml:space="preserve"> JSA Tertiary Harmonisation Framework</w:t>
      </w:r>
      <w:bookmarkEnd w:id="122"/>
    </w:p>
    <w:p w14:paraId="6E0BA016" w14:textId="6BFE0FAC" w:rsidR="00842308" w:rsidRDefault="00696273" w:rsidP="002F174E">
      <w:pPr>
        <w:pStyle w:val="BodyText"/>
      </w:pPr>
      <w:r>
        <w:rPr>
          <w:noProof/>
        </w:rPr>
        <w:drawing>
          <wp:inline distT="0" distB="0" distL="0" distR="0" wp14:anchorId="0CAB80FD" wp14:editId="0107FA3C">
            <wp:extent cx="5731510" cy="3012440"/>
            <wp:effectExtent l="0" t="0" r="2540" b="0"/>
            <wp:docPr id="735176120" name="Graphic 1" descr="A diagram outlining the three pillars and 12 elements of tertiary harmonisation which is described in the text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6120" name="Graphic 1" descr="A diagram outlining the three pillars and 12 elements of tertiary harmonisation which is described in the text below. "/>
                    <pic:cNvPicPr/>
                  </pic:nvPicPr>
                  <pic:blipFill>
                    <a:blip r:embed="rId43">
                      <a:extLst>
                        <a:ext uri="{96DAC541-7B7A-43D3-8B79-37D633B846F1}">
                          <asvg:svgBlip xmlns:asvg="http://schemas.microsoft.com/office/drawing/2016/SVG/main" r:embed="rId44"/>
                        </a:ext>
                      </a:extLst>
                    </a:blip>
                    <a:stretch>
                      <a:fillRect/>
                    </a:stretch>
                  </pic:blipFill>
                  <pic:spPr>
                    <a:xfrm>
                      <a:off x="0" y="0"/>
                      <a:ext cx="5731510" cy="3012440"/>
                    </a:xfrm>
                    <a:prstGeom prst="rect">
                      <a:avLst/>
                    </a:prstGeom>
                  </pic:spPr>
                </pic:pic>
              </a:graphicData>
            </a:graphic>
          </wp:inline>
        </w:drawing>
      </w:r>
    </w:p>
    <w:p w14:paraId="04490A03" w14:textId="0BD21548" w:rsidR="0023325C" w:rsidRPr="0023325C" w:rsidRDefault="0023325C" w:rsidP="0023325C">
      <w:pPr>
        <w:pStyle w:val="ListBullet"/>
      </w:pPr>
      <w:r w:rsidRPr="0023325C">
        <w:t>Pillar 1 refers to the actors and their relationships, including: governments; industry and professional organisations; unions and employers; tertiary education providers, including TAFEs; other RTOs; universities and other Higher Education providers.</w:t>
      </w:r>
    </w:p>
    <w:p w14:paraId="11EDBE7D" w14:textId="196A3288" w:rsidR="00224870" w:rsidRPr="00224870" w:rsidRDefault="00242E3D" w:rsidP="001B0B81">
      <w:pPr>
        <w:pStyle w:val="ListBullet"/>
      </w:pPr>
      <w:r w:rsidRPr="00242E3D">
        <w:t>Pillar 2 describes the system architecture in terms of skills, knowledge, qualifications, systems of RPL and credit recognition and cultural distinctions.</w:t>
      </w:r>
    </w:p>
    <w:p w14:paraId="68B1775B" w14:textId="0627A92D" w:rsidR="00224870" w:rsidRPr="00224870" w:rsidRDefault="00513954" w:rsidP="001B0B81">
      <w:pPr>
        <w:pStyle w:val="ListBullet"/>
      </w:pPr>
      <w:r w:rsidRPr="00513954">
        <w:t>Pillar 3 contains the enabling legislative and funding structures that regulate and drive the tertiary harmonisation system architecture</w:t>
      </w:r>
      <w:r w:rsidR="00224870" w:rsidRPr="00224870">
        <w:t>.</w:t>
      </w:r>
    </w:p>
    <w:p w14:paraId="7B3CD5DE" w14:textId="77777777" w:rsidR="00224870" w:rsidRDefault="00224870" w:rsidP="002B7DDF">
      <w:pPr>
        <w:pStyle w:val="BodyText"/>
      </w:pPr>
      <w:r>
        <w:t>Tertiary harmonisation will require policy alignment across all three pillars and between all twelve elements.</w:t>
      </w:r>
    </w:p>
    <w:p w14:paraId="697977DA" w14:textId="77777777" w:rsidR="00842308" w:rsidRDefault="00842308" w:rsidP="002B7DDF">
      <w:pPr>
        <w:pStyle w:val="BodyText"/>
      </w:pPr>
    </w:p>
    <w:p w14:paraId="6CE532DF" w14:textId="2D16EB5F" w:rsidR="00224870" w:rsidRDefault="00224870" w:rsidP="00224870">
      <w:pPr>
        <w:pStyle w:val="Heading2"/>
      </w:pPr>
      <w:bookmarkStart w:id="123" w:name="_Toc189060442"/>
      <w:bookmarkStart w:id="124" w:name="_Toc189060532"/>
      <w:bookmarkStart w:id="125" w:name="_Toc190980912"/>
      <w:r>
        <w:t>Elements of Pillar 1: Key Players: roles and relationships</w:t>
      </w:r>
      <w:bookmarkEnd w:id="123"/>
      <w:bookmarkEnd w:id="124"/>
      <w:bookmarkEnd w:id="125"/>
    </w:p>
    <w:p w14:paraId="1FB20DCE" w14:textId="04F41ED6" w:rsidR="00224870" w:rsidRPr="008C16E5" w:rsidRDefault="00224870" w:rsidP="002B7DDF">
      <w:pPr>
        <w:pStyle w:val="Heading3"/>
      </w:pPr>
      <w:bookmarkStart w:id="126" w:name="_Toc189060443"/>
      <w:bookmarkStart w:id="127" w:name="_Toc189060533"/>
      <w:bookmarkStart w:id="128" w:name="_Toc189060791"/>
      <w:r w:rsidRPr="008C16E5">
        <w:t>State</w:t>
      </w:r>
      <w:r w:rsidR="003470EA">
        <w:t xml:space="preserve"> and t</w:t>
      </w:r>
      <w:r w:rsidRPr="008C16E5">
        <w:t>erritory</w:t>
      </w:r>
      <w:r w:rsidR="003470EA">
        <w:t>,</w:t>
      </w:r>
      <w:r w:rsidRPr="008C16E5">
        <w:t xml:space="preserve"> and </w:t>
      </w:r>
      <w:r w:rsidR="009C1B5B">
        <w:t>Australian Government</w:t>
      </w:r>
      <w:r w:rsidRPr="008C16E5">
        <w:t xml:space="preserve"> relations</w:t>
      </w:r>
      <w:bookmarkEnd w:id="126"/>
      <w:bookmarkEnd w:id="127"/>
      <w:bookmarkEnd w:id="128"/>
    </w:p>
    <w:p w14:paraId="71BB6B14" w14:textId="77777777" w:rsidR="00D96CD1" w:rsidRDefault="00DD561D" w:rsidP="002B7DDF">
      <w:pPr>
        <w:pStyle w:val="BodyText"/>
      </w:pPr>
      <w:r>
        <w:t>Almost all u</w:t>
      </w:r>
      <w:r w:rsidR="00224870">
        <w:t xml:space="preserve">niversities </w:t>
      </w:r>
      <w:r>
        <w:t xml:space="preserve">and other </w:t>
      </w:r>
      <w:r w:rsidR="006E36F3">
        <w:t>Higher Education</w:t>
      </w:r>
      <w:r>
        <w:t xml:space="preserve"> provider</w:t>
      </w:r>
      <w:r w:rsidR="00583F06">
        <w:t>s</w:t>
      </w:r>
      <w:r w:rsidR="00224870">
        <w:t xml:space="preserve"> </w:t>
      </w:r>
      <w:r w:rsidR="008D12B2">
        <w:t>have been</w:t>
      </w:r>
      <w:r w:rsidR="00224870">
        <w:t xml:space="preserve"> established as statutory corporations under state </w:t>
      </w:r>
      <w:r w:rsidR="001A03DC">
        <w:t>or territory</w:t>
      </w:r>
      <w:r w:rsidR="00224870">
        <w:t xml:space="preserve"> legislation</w:t>
      </w:r>
      <w:r w:rsidR="00883751">
        <w:t>. However</w:t>
      </w:r>
      <w:r w:rsidR="00B37135">
        <w:t>,</w:t>
      </w:r>
      <w:r w:rsidR="00224870">
        <w:t xml:space="preserve"> the </w:t>
      </w:r>
      <w:r w:rsidR="00082C7C">
        <w:t xml:space="preserve">Australian Government </w:t>
      </w:r>
      <w:r w:rsidR="00224870">
        <w:t xml:space="preserve">is the primary funder </w:t>
      </w:r>
      <w:r w:rsidR="00224870" w:rsidRPr="00224870">
        <w:t xml:space="preserve">through grants such as the Commonwealth Grants Scheme (CGS) and the Higher Education Loan Program (HELP) scheme and is the level of government with primary responsibility for </w:t>
      </w:r>
      <w:r w:rsidR="006E36F3">
        <w:t>Higher Education</w:t>
      </w:r>
      <w:r w:rsidR="00224870" w:rsidRPr="00224870">
        <w:t xml:space="preserve"> policy.</w:t>
      </w:r>
      <w:r w:rsidR="00794C43">
        <w:t xml:space="preserve"> </w:t>
      </w:r>
      <w:r w:rsidR="00224870">
        <w:t>The regulator, TEQSA is also a</w:t>
      </w:r>
      <w:r w:rsidR="00251136">
        <w:t>n Australian</w:t>
      </w:r>
      <w:r w:rsidR="00224870">
        <w:t xml:space="preserve"> Government entity.</w:t>
      </w:r>
    </w:p>
    <w:p w14:paraId="0D7364BB" w14:textId="77777777" w:rsidR="00D96CD1" w:rsidRDefault="00224870" w:rsidP="002B7DDF">
      <w:pPr>
        <w:pStyle w:val="BodyText"/>
      </w:pPr>
      <w:r>
        <w:lastRenderedPageBreak/>
        <w:t>The VET sector is primarily the responsibility of the states</w:t>
      </w:r>
      <w:r w:rsidR="0020224D">
        <w:t xml:space="preserve"> and territories</w:t>
      </w:r>
      <w:r>
        <w:t>, as the major fund</w:t>
      </w:r>
      <w:r w:rsidR="0020224D">
        <w:t>ing bodies</w:t>
      </w:r>
      <w:r>
        <w:t xml:space="preserve"> who enter into funding agreements with providers, and own and run their respective TAFE systems.</w:t>
      </w:r>
    </w:p>
    <w:p w14:paraId="7FC78866" w14:textId="5225C13F" w:rsidR="00F62411" w:rsidRDefault="00224870" w:rsidP="002B7DDF">
      <w:pPr>
        <w:pStyle w:val="BodyText"/>
      </w:pPr>
      <w:r w:rsidRPr="00224870">
        <w:t xml:space="preserve">Substantial funding is also received from the </w:t>
      </w:r>
      <w:r w:rsidR="0020224D">
        <w:t>Australian Government</w:t>
      </w:r>
      <w:r w:rsidR="0020224D" w:rsidRPr="00224870">
        <w:t xml:space="preserve"> </w:t>
      </w:r>
      <w:r w:rsidRPr="00224870">
        <w:t xml:space="preserve">under </w:t>
      </w:r>
      <w:r w:rsidR="00B9751E">
        <w:t>the</w:t>
      </w:r>
      <w:r w:rsidRPr="00224870">
        <w:t xml:space="preserve"> National Skills Agreement. ASQA</w:t>
      </w:r>
      <w:r w:rsidR="00A63557">
        <w:t>, a</w:t>
      </w:r>
      <w:r w:rsidR="00D23C32">
        <w:t>n Australian Government</w:t>
      </w:r>
      <w:r w:rsidR="00A63557">
        <w:t xml:space="preserve"> body,</w:t>
      </w:r>
      <w:r w:rsidRPr="00224870">
        <w:t xml:space="preserve"> is the national regulator although some states (Western Australia and Victoria) have their own state regulator. There are also national training packages</w:t>
      </w:r>
      <w:r w:rsidR="00AA2BDB">
        <w:t xml:space="preserve"> which are</w:t>
      </w:r>
      <w:r w:rsidRPr="00224870">
        <w:t xml:space="preserve"> overseen by </w:t>
      </w:r>
      <w:r w:rsidR="00A667A3">
        <w:t xml:space="preserve">national </w:t>
      </w:r>
      <w:r w:rsidRPr="00224870">
        <w:t>Jobs and Skills Councils</w:t>
      </w:r>
      <w:r w:rsidR="00A667A3">
        <w:t xml:space="preserve">, established and funded by the </w:t>
      </w:r>
      <w:r w:rsidR="00D23C32">
        <w:t>Australian Government</w:t>
      </w:r>
      <w:r w:rsidRPr="00224870">
        <w:t xml:space="preserve">. </w:t>
      </w:r>
      <w:r w:rsidR="003F0401">
        <w:t xml:space="preserve">The </w:t>
      </w:r>
      <w:r w:rsidR="00D23C32">
        <w:t xml:space="preserve">Australian Government </w:t>
      </w:r>
      <w:r w:rsidR="003F0401">
        <w:t>also plays a significant role in the apprenticeship system through the incentives framework and the support services</w:t>
      </w:r>
      <w:r w:rsidR="00207304" w:rsidRPr="00224870">
        <w:t>.</w:t>
      </w:r>
    </w:p>
    <w:p w14:paraId="45662CCA" w14:textId="77777777" w:rsidR="00D96CD1" w:rsidRDefault="00C24948" w:rsidP="002B7DDF">
      <w:pPr>
        <w:pStyle w:val="BodyText"/>
        <w:rPr>
          <w:rStyle w:val="Characterbold"/>
          <w:b w:val="0"/>
        </w:rPr>
      </w:pPr>
      <w:r>
        <w:t>The path</w:t>
      </w:r>
      <w:r w:rsidR="00103475">
        <w:t xml:space="preserve"> </w:t>
      </w:r>
      <w:r w:rsidR="0093537C">
        <w:t>to</w:t>
      </w:r>
      <w:r w:rsidR="00103475">
        <w:t xml:space="preserve"> harmonisation does not </w:t>
      </w:r>
      <w:r>
        <w:t xml:space="preserve">rely on </w:t>
      </w:r>
      <w:r w:rsidR="00213067">
        <w:t>bringing all tertiary provision under one governmental umbrella. However, c</w:t>
      </w:r>
      <w:r w:rsidR="00224870" w:rsidRPr="00224870">
        <w:t xml:space="preserve">ommitment and support from all </w:t>
      </w:r>
      <w:r w:rsidR="00311B43">
        <w:t>governments</w:t>
      </w:r>
      <w:r w:rsidR="00224870" w:rsidRPr="00224870">
        <w:t xml:space="preserve"> </w:t>
      </w:r>
      <w:r w:rsidR="002A6F18">
        <w:t>will be</w:t>
      </w:r>
      <w:r w:rsidR="00224870" w:rsidRPr="00224870">
        <w:t xml:space="preserve"> key to ensuring a more harmonised system</w:t>
      </w:r>
      <w:r w:rsidR="00311B43">
        <w:t xml:space="preserve"> (</w:t>
      </w:r>
      <w:r w:rsidR="00FE0706">
        <w:t xml:space="preserve">see </w:t>
      </w:r>
      <w:r w:rsidR="00311B43">
        <w:t xml:space="preserve">Recommendation </w:t>
      </w:r>
      <w:r w:rsidR="00B44A44">
        <w:t>1</w:t>
      </w:r>
      <w:r w:rsidR="00311B43">
        <w:t>)</w:t>
      </w:r>
      <w:r w:rsidR="00224870" w:rsidRPr="00224870">
        <w:t>.</w:t>
      </w:r>
      <w:r w:rsidR="00CE0044">
        <w:t xml:space="preserve"> All governments will need to collaborate to develop a set of nationally </w:t>
      </w:r>
      <w:r w:rsidR="00CE0044" w:rsidRPr="00031225">
        <w:t xml:space="preserve">agreed principles </w:t>
      </w:r>
      <w:r w:rsidR="00CE0044">
        <w:t>for tertiary education funding to support harmonisation (Recommendation 1</w:t>
      </w:r>
      <w:r w:rsidR="00900679">
        <w:t>4</w:t>
      </w:r>
      <w:r w:rsidR="00CE0044">
        <w:t>).</w:t>
      </w:r>
      <w:r w:rsidR="005B1E61">
        <w:t xml:space="preserve"> </w:t>
      </w:r>
      <w:r w:rsidR="005B1E61" w:rsidRPr="00914A28">
        <w:rPr>
          <w:rStyle w:val="Characterbold"/>
          <w:b w:val="0"/>
          <w:bCs/>
        </w:rPr>
        <w:t>An</w:t>
      </w:r>
      <w:r w:rsidR="005B1E61" w:rsidRPr="00B80FF2">
        <w:rPr>
          <w:rStyle w:val="Characterbold"/>
          <w:b w:val="0"/>
        </w:rPr>
        <w:t xml:space="preserve"> appropriate governance structure</w:t>
      </w:r>
      <w:r w:rsidR="005B1E61" w:rsidRPr="008C4FCD">
        <w:rPr>
          <w:rStyle w:val="Characterbold"/>
          <w:b w:val="0"/>
        </w:rPr>
        <w:t xml:space="preserve"> involving </w:t>
      </w:r>
      <w:r w:rsidR="005B1E61">
        <w:rPr>
          <w:rStyle w:val="Characterbold"/>
          <w:b w:val="0"/>
        </w:rPr>
        <w:t>the Australian and state and territory governments</w:t>
      </w:r>
      <w:r w:rsidR="005B1E61" w:rsidRPr="008C4FCD">
        <w:rPr>
          <w:rStyle w:val="Characterbold"/>
          <w:b w:val="0"/>
        </w:rPr>
        <w:t xml:space="preserve"> and other key actors, </w:t>
      </w:r>
      <w:r w:rsidR="00914A28">
        <w:rPr>
          <w:rStyle w:val="Characterbold"/>
          <w:b w:val="0"/>
        </w:rPr>
        <w:t>will be needed</w:t>
      </w:r>
      <w:r w:rsidR="005B1E61" w:rsidRPr="008C4FCD">
        <w:rPr>
          <w:rStyle w:val="Characterbold"/>
          <w:b w:val="0"/>
        </w:rPr>
        <w:t xml:space="preserve"> </w:t>
      </w:r>
      <w:r w:rsidR="005B1E61" w:rsidRPr="00B80FF2">
        <w:rPr>
          <w:rStyle w:val="Characterbold"/>
          <w:b w:val="0"/>
        </w:rPr>
        <w:t>for the facilitation of the roadmap</w:t>
      </w:r>
      <w:r w:rsidR="005B1E61" w:rsidRPr="008C4FCD">
        <w:rPr>
          <w:rStyle w:val="Characterbold"/>
          <w:b w:val="0"/>
        </w:rPr>
        <w:t>, with ATEC leading the work on its development</w:t>
      </w:r>
      <w:r w:rsidR="00914A28">
        <w:rPr>
          <w:rStyle w:val="Characterbold"/>
          <w:b w:val="0"/>
        </w:rPr>
        <w:t xml:space="preserve"> </w:t>
      </w:r>
      <w:r w:rsidR="00A1630A">
        <w:rPr>
          <w:rStyle w:val="Characterbold"/>
          <w:b w:val="0"/>
        </w:rPr>
        <w:t xml:space="preserve">in collaboration with JSA </w:t>
      </w:r>
      <w:r w:rsidR="00914A28">
        <w:rPr>
          <w:rStyle w:val="Characterbold"/>
          <w:b w:val="0"/>
        </w:rPr>
        <w:t xml:space="preserve">(Recommendation </w:t>
      </w:r>
      <w:r w:rsidR="00A40784">
        <w:rPr>
          <w:rStyle w:val="Characterbold"/>
          <w:b w:val="0"/>
        </w:rPr>
        <w:t>3</w:t>
      </w:r>
      <w:r w:rsidR="00914A28">
        <w:rPr>
          <w:rStyle w:val="Characterbold"/>
          <w:b w:val="0"/>
        </w:rPr>
        <w:t>)</w:t>
      </w:r>
      <w:r w:rsidR="005B1E61">
        <w:rPr>
          <w:rStyle w:val="Characterbold"/>
          <w:b w:val="0"/>
        </w:rPr>
        <w:t>.</w:t>
      </w:r>
    </w:p>
    <w:p w14:paraId="13B8A550" w14:textId="74D90A1F" w:rsidR="00D96CD1" w:rsidRDefault="00F95317" w:rsidP="002B7DDF">
      <w:pPr>
        <w:pStyle w:val="BodyText"/>
      </w:pPr>
      <w:r>
        <w:t xml:space="preserve">State, territory and </w:t>
      </w:r>
      <w:r w:rsidR="0020224D">
        <w:t xml:space="preserve">the Australian </w:t>
      </w:r>
      <w:r w:rsidR="00D24B6B">
        <w:t>G</w:t>
      </w:r>
      <w:r>
        <w:t xml:space="preserve">overnment stand to benefit by pursuing a more efficient tertiary system, enabling budget allocations to </w:t>
      </w:r>
      <w:r w:rsidR="008B1BCA">
        <w:t>be used with less duplication and waste</w:t>
      </w:r>
      <w:r w:rsidR="00362A43">
        <w:t>.</w:t>
      </w:r>
      <w:r w:rsidR="008B1BCA">
        <w:t xml:space="preserve"> </w:t>
      </w:r>
      <w:r w:rsidR="007625C8">
        <w:t>Government investment in tertiary education has positive labour market effects</w:t>
      </w:r>
      <w:r w:rsidR="00D64C5A">
        <w:t>, boosts productivity</w:t>
      </w:r>
      <w:r w:rsidR="007625C8">
        <w:t xml:space="preserve"> and is likely to reduce inequality</w:t>
      </w:r>
      <w:r w:rsidR="00846067">
        <w:t>.</w:t>
      </w:r>
    </w:p>
    <w:p w14:paraId="7EA7100B" w14:textId="7AB1D801" w:rsidR="00224870" w:rsidRPr="008C16E5" w:rsidRDefault="00224870" w:rsidP="002B7DDF">
      <w:pPr>
        <w:pStyle w:val="Heading3"/>
      </w:pPr>
      <w:bookmarkStart w:id="129" w:name="_Toc189060444"/>
      <w:bookmarkStart w:id="130" w:name="_Toc189060534"/>
      <w:bookmarkStart w:id="131" w:name="_Toc189060792"/>
      <w:r w:rsidRPr="008C16E5">
        <w:t>Industry: employers</w:t>
      </w:r>
      <w:r>
        <w:t xml:space="preserve">, </w:t>
      </w:r>
      <w:r w:rsidRPr="008C16E5">
        <w:t>unions</w:t>
      </w:r>
      <w:r>
        <w:t xml:space="preserve">, </w:t>
      </w:r>
      <w:r w:rsidR="008B7E99">
        <w:t>licensing/</w:t>
      </w:r>
      <w:r>
        <w:t>accreditation bodies</w:t>
      </w:r>
      <w:bookmarkEnd w:id="129"/>
      <w:bookmarkEnd w:id="130"/>
      <w:bookmarkEnd w:id="131"/>
    </w:p>
    <w:p w14:paraId="6A1F6350" w14:textId="29B76F8F" w:rsidR="00224870" w:rsidRDefault="004B76C2" w:rsidP="002B7DDF">
      <w:pPr>
        <w:pStyle w:val="BodyText"/>
      </w:pPr>
      <w:r>
        <w:t>Employers</w:t>
      </w:r>
      <w:r w:rsidR="00224870" w:rsidRPr="008C16E5">
        <w:t xml:space="preserve"> </w:t>
      </w:r>
      <w:r w:rsidR="00A752B6">
        <w:t>benefit when</w:t>
      </w:r>
      <w:r w:rsidR="00224870" w:rsidRPr="008C16E5">
        <w:t xml:space="preserve"> high numbers of students participate in and complete tertiary education. </w:t>
      </w:r>
      <w:r w:rsidR="0032599A">
        <w:t>As noted earlier, there is a global trend for employers to</w:t>
      </w:r>
      <w:r w:rsidR="0056164D">
        <w:t xml:space="preserve"> upskill their workforce, both by recruiting new graduates and investing in professional development</w:t>
      </w:r>
      <w:r w:rsidR="00FC2227">
        <w:t xml:space="preserve"> </w:t>
      </w:r>
      <w:sdt>
        <w:sdtPr>
          <w:id w:val="-805692360"/>
          <w:citation/>
        </w:sdtPr>
        <w:sdtContent>
          <w:r w:rsidR="005A420B">
            <w:fldChar w:fldCharType="begin"/>
          </w:r>
          <w:r w:rsidR="005A420B">
            <w:instrText xml:space="preserve"> CITATION Wor25 \l 3081 </w:instrText>
          </w:r>
          <w:r w:rsidR="005A420B">
            <w:fldChar w:fldCharType="separate"/>
          </w:r>
          <w:r w:rsidR="00BD5991">
            <w:rPr>
              <w:noProof/>
            </w:rPr>
            <w:t>(World Economic Forum, 2025)</w:t>
          </w:r>
          <w:r w:rsidR="005A420B">
            <w:fldChar w:fldCharType="end"/>
          </w:r>
        </w:sdtContent>
      </w:sdt>
      <w:r w:rsidR="0056164D">
        <w:t>.</w:t>
      </w:r>
      <w:r w:rsidR="00B66B39">
        <w:t xml:space="preserve"> Australian employers will benefit </w:t>
      </w:r>
      <w:r w:rsidR="00104828">
        <w:t xml:space="preserve">more than they currently </w:t>
      </w:r>
      <w:r w:rsidR="00C46A1A">
        <w:t xml:space="preserve">are </w:t>
      </w:r>
      <w:r w:rsidR="00B66B39">
        <w:t xml:space="preserve">from an </w:t>
      </w:r>
      <w:r w:rsidR="002E1086">
        <w:t xml:space="preserve">increasingly </w:t>
      </w:r>
      <w:r w:rsidR="00B66B39">
        <w:t>efficient and effective tertiary education system.</w:t>
      </w:r>
    </w:p>
    <w:p w14:paraId="48CFF47C" w14:textId="5A755D05" w:rsidR="004B76C2" w:rsidRDefault="004B76C2" w:rsidP="002B7DDF">
      <w:pPr>
        <w:pStyle w:val="BodyText"/>
      </w:pPr>
      <w:r>
        <w:t xml:space="preserve">Industries </w:t>
      </w:r>
      <w:r w:rsidR="00E17F14">
        <w:t xml:space="preserve">face many challenges in the current environment, with </w:t>
      </w:r>
      <w:r w:rsidR="00146173">
        <w:t xml:space="preserve">the need to transition to new technologies and environmental priorities, as well as </w:t>
      </w:r>
      <w:r w:rsidR="00387F87">
        <w:t xml:space="preserve">major shifts in global capital flows. </w:t>
      </w:r>
      <w:r w:rsidR="00CB4EBF">
        <w:t xml:space="preserve">This is producing skills gaps that a more </w:t>
      </w:r>
      <w:r w:rsidR="009A402C">
        <w:t>harmonised</w:t>
      </w:r>
      <w:r w:rsidR="00CB4EBF">
        <w:t xml:space="preserve"> and agile tertiary sector will help address, with new flexibility for collaboration with one another and with industries</w:t>
      </w:r>
      <w:r w:rsidR="0021667F">
        <w:t xml:space="preserve"> and enterprises</w:t>
      </w:r>
      <w:r w:rsidR="00CB4EBF">
        <w:t>.</w:t>
      </w:r>
    </w:p>
    <w:p w14:paraId="22B4661E" w14:textId="15AB2DFD" w:rsidR="0056164D" w:rsidRDefault="0056164D" w:rsidP="002B7DDF">
      <w:pPr>
        <w:pStyle w:val="BodyText"/>
      </w:pPr>
      <w:r>
        <w:t>Industry</w:t>
      </w:r>
      <w:r w:rsidRPr="008C16E5">
        <w:t xml:space="preserve"> input into the design and delivery of courses ensures that the supply of graduates matches </w:t>
      </w:r>
      <w:r>
        <w:t>labour</w:t>
      </w:r>
      <w:r w:rsidRPr="008C16E5">
        <w:t xml:space="preserve"> demand by industry in both quality and quantity.</w:t>
      </w:r>
      <w:r w:rsidR="00E57FE6">
        <w:t xml:space="preserve"> The VET system has a structured system for industry </w:t>
      </w:r>
      <w:r w:rsidR="00457E88">
        <w:t>engagement</w:t>
      </w:r>
      <w:r w:rsidR="00E57FE6">
        <w:t xml:space="preserve"> with the development of training packages, </w:t>
      </w:r>
      <w:r w:rsidR="00457E88">
        <w:t>through</w:t>
      </w:r>
      <w:r w:rsidR="00E57FE6">
        <w:t xml:space="preserve"> the Jobs and Skills Council</w:t>
      </w:r>
      <w:r w:rsidR="00B217F1">
        <w:t xml:space="preserve">s. In the </w:t>
      </w:r>
      <w:r w:rsidR="006E36F3">
        <w:t>Higher Education</w:t>
      </w:r>
      <w:r w:rsidR="00B217F1">
        <w:t xml:space="preserve"> system, such </w:t>
      </w:r>
      <w:r w:rsidR="00457E88">
        <w:t>engagement</w:t>
      </w:r>
      <w:r w:rsidR="00B217F1">
        <w:t xml:space="preserve"> is </w:t>
      </w:r>
      <w:r w:rsidR="00632B1C">
        <w:t>not as structured</w:t>
      </w:r>
      <w:r w:rsidR="00B217F1">
        <w:t>.</w:t>
      </w:r>
    </w:p>
    <w:p w14:paraId="2A218798" w14:textId="470693CB" w:rsidR="00CB4EBF" w:rsidRDefault="0021667F" w:rsidP="002B7DDF">
      <w:pPr>
        <w:pStyle w:val="BodyText"/>
      </w:pPr>
      <w:r>
        <w:t>Unions</w:t>
      </w:r>
      <w:r w:rsidR="00640D0D">
        <w:t xml:space="preserve"> work to support their members' employment conditions, which are sometimes governed by awards linked to </w:t>
      </w:r>
      <w:r w:rsidR="00C66876">
        <w:t>specific VET skill sets and training packages. The opportunity to support their members to upskill and reskill in industries</w:t>
      </w:r>
      <w:r w:rsidR="00E761B2">
        <w:t>, especially those</w:t>
      </w:r>
      <w:r w:rsidR="00C66876">
        <w:t xml:space="preserve"> undergoing transition</w:t>
      </w:r>
      <w:r w:rsidR="00E761B2">
        <w:t>,</w:t>
      </w:r>
      <w:r w:rsidR="00C66876">
        <w:t xml:space="preserve"> will help </w:t>
      </w:r>
      <w:r w:rsidR="00C15105">
        <w:t xml:space="preserve">unions </w:t>
      </w:r>
      <w:r w:rsidR="00C66876">
        <w:t>secure improve</w:t>
      </w:r>
      <w:r w:rsidR="007B335E">
        <w:t>d</w:t>
      </w:r>
      <w:r w:rsidR="00C66876">
        <w:t xml:space="preserve"> pay</w:t>
      </w:r>
      <w:r w:rsidR="00E761B2">
        <w:t xml:space="preserve">, </w:t>
      </w:r>
      <w:r w:rsidR="00C66876">
        <w:t xml:space="preserve">conditions </w:t>
      </w:r>
      <w:r w:rsidR="00E761B2">
        <w:t>and emplo</w:t>
      </w:r>
      <w:r w:rsidR="00C15105">
        <w:t xml:space="preserve">yment opportunities </w:t>
      </w:r>
      <w:r w:rsidR="00C66876">
        <w:t xml:space="preserve">for </w:t>
      </w:r>
      <w:r w:rsidR="00C15105">
        <w:t>their members</w:t>
      </w:r>
      <w:r w:rsidR="00C66876">
        <w:t>.</w:t>
      </w:r>
    </w:p>
    <w:p w14:paraId="27DD1EEF" w14:textId="77777777" w:rsidR="00D96CD1" w:rsidRDefault="004B3367" w:rsidP="002B7DDF">
      <w:pPr>
        <w:pStyle w:val="BodyText"/>
      </w:pPr>
      <w:r>
        <w:t>Licensing and accreditation bodies (</w:t>
      </w:r>
      <w:r w:rsidR="00C56ED8">
        <w:t>e.g.</w:t>
      </w:r>
      <w:r>
        <w:t xml:space="preserve"> trade licensing authorities, professional accreditation </w:t>
      </w:r>
      <w:r w:rsidR="000807BD">
        <w:t>associations)</w:t>
      </w:r>
      <w:r w:rsidR="00CF4F96">
        <w:t xml:space="preserve"> </w:t>
      </w:r>
      <w:r w:rsidR="00EF097F">
        <w:t>maintain and often regulate</w:t>
      </w:r>
      <w:r w:rsidR="00D972CD">
        <w:t xml:space="preserve"> and accredit</w:t>
      </w:r>
      <w:r w:rsidR="00EF097F">
        <w:t xml:space="preserve"> standards for </w:t>
      </w:r>
      <w:r w:rsidR="000807BD">
        <w:t xml:space="preserve">industries </w:t>
      </w:r>
      <w:r w:rsidR="000807BD">
        <w:lastRenderedPageBreak/>
        <w:t xml:space="preserve">and occupations. In several sectors this includes </w:t>
      </w:r>
      <w:r w:rsidR="00BB5404">
        <w:t>the content of study, continuing professional development rules and career progression pathways</w:t>
      </w:r>
      <w:r w:rsidR="00AF6333">
        <w:t xml:space="preserve">. </w:t>
      </w:r>
      <w:r w:rsidR="000807BD">
        <w:t>Such organisations</w:t>
      </w:r>
      <w:r w:rsidR="004203D2">
        <w:t xml:space="preserve"> are key stakeholders in education</w:t>
      </w:r>
      <w:r w:rsidR="000807BD">
        <w:t xml:space="preserve"> and training. </w:t>
      </w:r>
      <w:r w:rsidR="00E34796">
        <w:t xml:space="preserve">A harmonised tertiary sector will </w:t>
      </w:r>
      <w:r w:rsidR="00AA2EB2">
        <w:t xml:space="preserve">enable </w:t>
      </w:r>
      <w:r w:rsidR="000807BD">
        <w:t>these organisations</w:t>
      </w:r>
      <w:r w:rsidR="00401EDE">
        <w:t xml:space="preserve"> to</w:t>
      </w:r>
      <w:r w:rsidR="000807BD">
        <w:t xml:space="preserve"> work collaboratively with institutions at multiple levels</w:t>
      </w:r>
      <w:r w:rsidR="00160273">
        <w:t>, especially in relation to</w:t>
      </w:r>
      <w:r w:rsidR="009615A5">
        <w:t xml:space="preserve"> lifelong learning</w:t>
      </w:r>
      <w:r w:rsidR="003A2520">
        <w:t>.</w:t>
      </w:r>
    </w:p>
    <w:p w14:paraId="5131F4DD" w14:textId="386222C8" w:rsidR="00224870" w:rsidRPr="008C16E5" w:rsidRDefault="00224870" w:rsidP="002B7DDF">
      <w:pPr>
        <w:pStyle w:val="Heading3"/>
      </w:pPr>
      <w:bookmarkStart w:id="132" w:name="_Toc189060445"/>
      <w:bookmarkStart w:id="133" w:name="_Toc189060535"/>
      <w:bookmarkStart w:id="134" w:name="_Toc189060793"/>
      <w:r w:rsidRPr="008C16E5">
        <w:t>Provider collaboration</w:t>
      </w:r>
      <w:bookmarkEnd w:id="132"/>
      <w:bookmarkEnd w:id="133"/>
      <w:bookmarkEnd w:id="134"/>
    </w:p>
    <w:p w14:paraId="2CD5E4A4" w14:textId="77777777" w:rsidR="00D96CD1" w:rsidRDefault="00545D93" w:rsidP="00F50279">
      <w:pPr>
        <w:pStyle w:val="BodyText"/>
      </w:pPr>
      <w:r>
        <w:t xml:space="preserve">Higher </w:t>
      </w:r>
      <w:r w:rsidR="006E36F3">
        <w:t>Education</w:t>
      </w:r>
      <w:r w:rsidR="00224870" w:rsidRPr="008C16E5">
        <w:t xml:space="preserve"> and VET institutions collaborate</w:t>
      </w:r>
      <w:r w:rsidR="0015467D">
        <w:t xml:space="preserve"> with </w:t>
      </w:r>
      <w:r w:rsidR="00DA120C">
        <w:t xml:space="preserve">professional and </w:t>
      </w:r>
      <w:r w:rsidR="00224870" w:rsidRPr="008C16E5">
        <w:t xml:space="preserve">industry partners to ensure that the curriculum and training packages </w:t>
      </w:r>
      <w:r w:rsidR="00367D69">
        <w:t>meet</w:t>
      </w:r>
      <w:r w:rsidR="00224870" w:rsidRPr="008C16E5">
        <w:t xml:space="preserve"> current industry standards and </w:t>
      </w:r>
      <w:r w:rsidR="00326AB7">
        <w:t xml:space="preserve">licensing </w:t>
      </w:r>
      <w:r w:rsidR="00224870" w:rsidRPr="008C16E5">
        <w:t>needs</w:t>
      </w:r>
      <w:r w:rsidR="00D54B92">
        <w:t>. In dual sector institutions and between some universities, TAFEs</w:t>
      </w:r>
      <w:r w:rsidR="00E81DC5">
        <w:t>,</w:t>
      </w:r>
      <w:r w:rsidR="00F0266A">
        <w:t xml:space="preserve"> other </w:t>
      </w:r>
      <w:r w:rsidR="006E36F3">
        <w:t>Higher Education</w:t>
      </w:r>
      <w:r w:rsidR="00F0266A">
        <w:t xml:space="preserve"> providers</w:t>
      </w:r>
      <w:r w:rsidR="00D54B92">
        <w:t xml:space="preserve"> and RTOs, </w:t>
      </w:r>
      <w:r w:rsidR="00542C94">
        <w:t>first movers</w:t>
      </w:r>
      <w:r w:rsidR="006424EB">
        <w:t xml:space="preserve"> are already</w:t>
      </w:r>
      <w:r w:rsidR="007C694C">
        <w:t xml:space="preserve"> collaborat</w:t>
      </w:r>
      <w:r w:rsidR="006424EB">
        <w:t>ing</w:t>
      </w:r>
      <w:r w:rsidR="007C694C">
        <w:t xml:space="preserve"> to </w:t>
      </w:r>
      <w:r w:rsidR="00B11BE2">
        <w:t>establish</w:t>
      </w:r>
      <w:r w:rsidR="007C694C">
        <w:t xml:space="preserve"> pipelines </w:t>
      </w:r>
      <w:r w:rsidR="000F5390">
        <w:t xml:space="preserve">through certificates and trades into </w:t>
      </w:r>
      <w:r w:rsidR="00486264">
        <w:t>degrees</w:t>
      </w:r>
      <w:r w:rsidR="00F50279">
        <w:t>, also accommodating</w:t>
      </w:r>
      <w:r w:rsidR="00224870" w:rsidRPr="008C16E5">
        <w:t xml:space="preserve"> students’ varying schedules and learning needs.</w:t>
      </w:r>
    </w:p>
    <w:p w14:paraId="69096AD1" w14:textId="77777777" w:rsidR="00D96CD1" w:rsidRDefault="002A0932" w:rsidP="00F50279">
      <w:pPr>
        <w:pStyle w:val="BodyText"/>
      </w:pPr>
      <w:r>
        <w:t xml:space="preserve">There are currently </w:t>
      </w:r>
      <w:r w:rsidR="00C27E42">
        <w:t>too many</w:t>
      </w:r>
      <w:r>
        <w:t xml:space="preserve"> barriers to collaboration </w:t>
      </w:r>
      <w:r w:rsidR="00C27E42">
        <w:t>to meet the goal of</w:t>
      </w:r>
      <w:r>
        <w:t xml:space="preserve"> </w:t>
      </w:r>
      <w:r w:rsidR="00D0496E">
        <w:t>fostering</w:t>
      </w:r>
      <w:r>
        <w:t xml:space="preserve"> </w:t>
      </w:r>
      <w:r w:rsidR="00E95420">
        <w:t>workforce mobility</w:t>
      </w:r>
      <w:r w:rsidR="001C6D94">
        <w:t xml:space="preserve"> in ways that will enable Australia to meet </w:t>
      </w:r>
      <w:r w:rsidR="004A5860">
        <w:t>skills shortages, a</w:t>
      </w:r>
      <w:r w:rsidR="00761860">
        <w:t xml:space="preserve">nd in supporting </w:t>
      </w:r>
      <w:r w:rsidR="00C000BA">
        <w:t xml:space="preserve">industries in transition. </w:t>
      </w:r>
      <w:r w:rsidR="0073101B">
        <w:t xml:space="preserve">A more </w:t>
      </w:r>
      <w:r w:rsidR="009A402C">
        <w:t>harmonised</w:t>
      </w:r>
      <w:r w:rsidR="0073101B">
        <w:t xml:space="preserve"> system</w:t>
      </w:r>
      <w:r w:rsidR="00F42A01">
        <w:t xml:space="preserve">, </w:t>
      </w:r>
      <w:r w:rsidR="006A70C0">
        <w:t xml:space="preserve">supported initially with an innovation fund (Recommendation </w:t>
      </w:r>
      <w:r w:rsidR="00F665B9">
        <w:t>10</w:t>
      </w:r>
      <w:r w:rsidR="006A70C0">
        <w:t>)</w:t>
      </w:r>
      <w:r w:rsidR="0073101B">
        <w:t xml:space="preserve"> will </w:t>
      </w:r>
      <w:r w:rsidR="006E5908">
        <w:t xml:space="preserve">facilitate closer collaboration </w:t>
      </w:r>
      <w:r w:rsidR="00F63BDE">
        <w:t xml:space="preserve">on nested </w:t>
      </w:r>
      <w:r w:rsidR="00B94F86">
        <w:t>programs (where students progress</w:t>
      </w:r>
      <w:r w:rsidR="00A51A32">
        <w:t xml:space="preserve"> from one sector to the other) and hybrid programs (where students take a</w:t>
      </w:r>
      <w:r w:rsidR="003946D8">
        <w:t>n integrated</w:t>
      </w:r>
      <w:r w:rsidR="00A51A32">
        <w:t xml:space="preserve"> combination of </w:t>
      </w:r>
      <w:r w:rsidR="006E36F3">
        <w:t>Higher Education</w:t>
      </w:r>
      <w:r w:rsidR="00A51A32">
        <w:t xml:space="preserve"> and VET</w:t>
      </w:r>
      <w:r w:rsidR="003946D8">
        <w:t xml:space="preserve">). </w:t>
      </w:r>
      <w:r w:rsidR="00362C02">
        <w:t xml:space="preserve">With guidelines to support </w:t>
      </w:r>
      <w:r w:rsidR="005D13AF">
        <w:t xml:space="preserve">such innovation (Recommendation </w:t>
      </w:r>
      <w:r w:rsidR="00B61709">
        <w:t>1</w:t>
      </w:r>
      <w:r w:rsidR="00F665B9">
        <w:t>1</w:t>
      </w:r>
      <w:r w:rsidR="005D13AF">
        <w:t>)</w:t>
      </w:r>
      <w:r w:rsidR="0079027F">
        <w:t>, this</w:t>
      </w:r>
      <w:r w:rsidR="003946D8">
        <w:t xml:space="preserve"> will </w:t>
      </w:r>
      <w:r w:rsidR="0073101B">
        <w:t xml:space="preserve">enable </w:t>
      </w:r>
      <w:r w:rsidR="00F15326">
        <w:t xml:space="preserve">faster implementation of </w:t>
      </w:r>
      <w:r w:rsidR="000C5CE1">
        <w:t>innovative and urgently</w:t>
      </w:r>
      <w:r w:rsidR="00197EF7">
        <w:t xml:space="preserve"> </w:t>
      </w:r>
      <w:r w:rsidR="000C5CE1">
        <w:t xml:space="preserve">needed </w:t>
      </w:r>
      <w:r w:rsidR="00CB6770">
        <w:t>upskilling</w:t>
      </w:r>
      <w:r w:rsidR="00F21180">
        <w:t>, with few</w:t>
      </w:r>
      <w:r w:rsidR="00AF2A0D">
        <w:t>er</w:t>
      </w:r>
      <w:r w:rsidR="00F21180">
        <w:t xml:space="preserve"> artificial </w:t>
      </w:r>
      <w:r w:rsidR="00412CE3">
        <w:t>obstacles</w:t>
      </w:r>
      <w:r w:rsidR="00F21180">
        <w:t xml:space="preserve"> between fields of study and skill sets</w:t>
      </w:r>
      <w:r w:rsidR="00CB6770">
        <w:t>.</w:t>
      </w:r>
    </w:p>
    <w:p w14:paraId="7C52D963" w14:textId="377D9D54" w:rsidR="00224870" w:rsidRPr="008C16E5" w:rsidRDefault="00224870" w:rsidP="00326A6F">
      <w:pPr>
        <w:pStyle w:val="Heading3"/>
      </w:pPr>
      <w:bookmarkStart w:id="135" w:name="_Toc189060446"/>
      <w:bookmarkStart w:id="136" w:name="_Toc189060536"/>
      <w:bookmarkStart w:id="137" w:name="_Toc189060794"/>
      <w:r w:rsidRPr="008C16E5">
        <w:t>Ownership of system elements</w:t>
      </w:r>
      <w:bookmarkEnd w:id="135"/>
      <w:bookmarkEnd w:id="136"/>
      <w:bookmarkEnd w:id="137"/>
    </w:p>
    <w:p w14:paraId="696A699E" w14:textId="77777777" w:rsidR="00D96CD1" w:rsidRDefault="00224870" w:rsidP="00326A6F">
      <w:pPr>
        <w:pStyle w:val="BodyText"/>
      </w:pPr>
      <w:r w:rsidRPr="008C16E5">
        <w:t>The ownership and control of tertiary harmonisation elements determines the extent to which system actors (and other parties) can implement tertiary harmonisation.</w:t>
      </w:r>
      <w:r w:rsidR="0064558C">
        <w:t xml:space="preserve"> For this reason, closer collaboration between </w:t>
      </w:r>
      <w:r w:rsidR="00AF7B8E">
        <w:t xml:space="preserve">sectors, </w:t>
      </w:r>
      <w:r w:rsidR="0064558C">
        <w:t>institutions</w:t>
      </w:r>
      <w:r w:rsidR="00AF7B8E">
        <w:t xml:space="preserve">, </w:t>
      </w:r>
      <w:r w:rsidR="00FA2019">
        <w:t>accreditation bodies, and governments</w:t>
      </w:r>
      <w:r w:rsidR="00AF7B8E">
        <w:t xml:space="preserve"> will </w:t>
      </w:r>
      <w:r w:rsidR="00E90973">
        <w:t>be crucial in developing the roadmap to tertiary harmonisation in ways that benefit all system actors.</w:t>
      </w:r>
    </w:p>
    <w:p w14:paraId="42EAD12A" w14:textId="3AA1BA07" w:rsidR="00224870" w:rsidRDefault="00224870" w:rsidP="00224870"/>
    <w:p w14:paraId="20252420" w14:textId="7538ECE7" w:rsidR="00224870" w:rsidRDefault="00224870" w:rsidP="00224870">
      <w:pPr>
        <w:pStyle w:val="Heading2"/>
      </w:pPr>
      <w:bookmarkStart w:id="138" w:name="_Toc189060447"/>
      <w:bookmarkStart w:id="139" w:name="_Toc189060537"/>
      <w:bookmarkStart w:id="140" w:name="_Toc190980913"/>
      <w:r>
        <w:t>Elements of Pillar 2: Knowledge, skills and qualifications: architecture and perceptions</w:t>
      </w:r>
      <w:bookmarkEnd w:id="138"/>
      <w:bookmarkEnd w:id="139"/>
      <w:bookmarkEnd w:id="140"/>
    </w:p>
    <w:p w14:paraId="5A2A4903" w14:textId="77777777" w:rsidR="00D96CD1" w:rsidRDefault="00224870" w:rsidP="00326A6F">
      <w:pPr>
        <w:pStyle w:val="Heading3"/>
      </w:pPr>
      <w:bookmarkStart w:id="141" w:name="_Toc189060448"/>
      <w:bookmarkStart w:id="142" w:name="_Toc189060538"/>
      <w:bookmarkStart w:id="143" w:name="_Toc189060796"/>
      <w:r>
        <w:t xml:space="preserve">VET and </w:t>
      </w:r>
      <w:r w:rsidR="006E36F3">
        <w:t>Higher Education</w:t>
      </w:r>
      <w:r>
        <w:t xml:space="preserve"> system</w:t>
      </w:r>
      <w:r w:rsidR="007A3637">
        <w:t>s</w:t>
      </w:r>
      <w:r>
        <w:t xml:space="preserve"> connect through </w:t>
      </w:r>
      <w:r w:rsidR="00E6122D">
        <w:t>knowledge and</w:t>
      </w:r>
      <w:r>
        <w:t xml:space="preserve"> skills</w:t>
      </w:r>
      <w:bookmarkEnd w:id="141"/>
      <w:bookmarkEnd w:id="142"/>
      <w:bookmarkEnd w:id="143"/>
    </w:p>
    <w:p w14:paraId="082853E3" w14:textId="77777777" w:rsidR="00D96CD1" w:rsidRDefault="00006D70" w:rsidP="00F10340">
      <w:pPr>
        <w:pStyle w:val="BodyText"/>
      </w:pPr>
      <w:r>
        <w:t>H</w:t>
      </w:r>
      <w:r w:rsidR="00C2060E">
        <w:t xml:space="preserve">igher </w:t>
      </w:r>
      <w:r w:rsidR="006E36F3">
        <w:t>Education</w:t>
      </w:r>
      <w:r w:rsidR="00C2060E">
        <w:t xml:space="preserve"> </w:t>
      </w:r>
      <w:r w:rsidR="00224870">
        <w:t xml:space="preserve">and VET rely </w:t>
      </w:r>
      <w:r w:rsidR="00681569">
        <w:t>on</w:t>
      </w:r>
      <w:r w:rsidR="00224870">
        <w:t xml:space="preserve"> interactions between skills and knowledge</w:t>
      </w:r>
      <w:r w:rsidR="00C97874">
        <w:t xml:space="preserve"> of different kinds</w:t>
      </w:r>
      <w:r w:rsidR="00224870">
        <w:t xml:space="preserve">. </w:t>
      </w:r>
      <w:r w:rsidR="00634580">
        <w:t xml:space="preserve">Their distinctiveness is important, but there are key overlaps in </w:t>
      </w:r>
      <w:r w:rsidR="009B4BA7">
        <w:t xml:space="preserve">disciplines, practices and </w:t>
      </w:r>
      <w:r w:rsidR="004F181C">
        <w:t xml:space="preserve">at the </w:t>
      </w:r>
      <w:r w:rsidR="002279F5">
        <w:t xml:space="preserve">interface of </w:t>
      </w:r>
      <w:r w:rsidR="0045564C">
        <w:t xml:space="preserve">AQF </w:t>
      </w:r>
      <w:r w:rsidR="008A2216">
        <w:t xml:space="preserve">5, </w:t>
      </w:r>
      <w:r w:rsidR="0045564C">
        <w:t>6 and 7</w:t>
      </w:r>
      <w:r w:rsidR="00717388">
        <w:t>.</w:t>
      </w:r>
    </w:p>
    <w:p w14:paraId="7BA2D4A5" w14:textId="77777777" w:rsidR="00D96CD1" w:rsidRDefault="0013796E" w:rsidP="00F10340">
      <w:pPr>
        <w:pStyle w:val="BodyText"/>
      </w:pPr>
      <w:r>
        <w:t xml:space="preserve">Tertiary harmonisation will make a strength of these overlaps, enabling </w:t>
      </w:r>
      <w:r w:rsidR="00E57176">
        <w:t xml:space="preserve">VET and </w:t>
      </w:r>
      <w:r w:rsidR="006E36F3">
        <w:t>Higher Education</w:t>
      </w:r>
      <w:r w:rsidR="00E57176">
        <w:t xml:space="preserve"> to </w:t>
      </w:r>
      <w:r w:rsidR="00644844">
        <w:t>locate</w:t>
      </w:r>
      <w:r w:rsidR="00E57176">
        <w:t xml:space="preserve"> common ground</w:t>
      </w:r>
      <w:r w:rsidR="00644844">
        <w:t xml:space="preserve">, especially </w:t>
      </w:r>
      <w:r w:rsidR="00E57176">
        <w:t xml:space="preserve">in </w:t>
      </w:r>
      <w:r w:rsidR="00644844">
        <w:t xml:space="preserve">relation to </w:t>
      </w:r>
      <w:r w:rsidR="00E57176">
        <w:t>skills</w:t>
      </w:r>
      <w:r w:rsidR="00644844">
        <w:t>.</w:t>
      </w:r>
    </w:p>
    <w:p w14:paraId="161C4776" w14:textId="77777777" w:rsidR="00D96CD1" w:rsidRDefault="00644844" w:rsidP="00F10340">
      <w:pPr>
        <w:pStyle w:val="BodyText"/>
      </w:pPr>
      <w:r>
        <w:t xml:space="preserve">This will not </w:t>
      </w:r>
      <w:r w:rsidR="00BD43F8">
        <w:t>diminish the importance of</w:t>
      </w:r>
      <w:r>
        <w:t xml:space="preserve"> </w:t>
      </w:r>
      <w:r w:rsidR="00271BEE">
        <w:t>critical inquiry</w:t>
      </w:r>
      <w:r>
        <w:t xml:space="preserve"> and disciplinary knowledge, </w:t>
      </w:r>
      <w:r w:rsidR="00DD6D5B">
        <w:t>which is valued highly</w:t>
      </w:r>
      <w:r w:rsidR="00CF3B73">
        <w:t xml:space="preserve"> by both sectors</w:t>
      </w:r>
      <w:r w:rsidR="008543F5">
        <w:t xml:space="preserve"> and especially </w:t>
      </w:r>
      <w:r w:rsidR="005660D7">
        <w:t xml:space="preserve">in </w:t>
      </w:r>
      <w:r w:rsidR="008543F5">
        <w:t>universities</w:t>
      </w:r>
      <w:r w:rsidR="00F97AC1">
        <w:t>,</w:t>
      </w:r>
      <w:r w:rsidR="00DD6D5B">
        <w:t xml:space="preserve"> </w:t>
      </w:r>
      <w:r>
        <w:t xml:space="preserve">but instead </w:t>
      </w:r>
      <w:r w:rsidR="00A470EB">
        <w:t xml:space="preserve">help to </w:t>
      </w:r>
      <w:r>
        <w:t xml:space="preserve">bring </w:t>
      </w:r>
      <w:r w:rsidR="009C76F4">
        <w:t>such knowledge</w:t>
      </w:r>
      <w:r w:rsidR="00F97AC1">
        <w:t xml:space="preserve"> into </w:t>
      </w:r>
      <w:r w:rsidR="005B3345">
        <w:t>the workplace</w:t>
      </w:r>
      <w:r w:rsidR="00FD0E2F">
        <w:t>.</w:t>
      </w:r>
      <w:r w:rsidR="008543F5">
        <w:t xml:space="preserve"> </w:t>
      </w:r>
      <w:r w:rsidR="00244933">
        <w:t>In this way</w:t>
      </w:r>
      <w:r w:rsidR="00157F27">
        <w:t>,</w:t>
      </w:r>
      <w:r w:rsidR="00244933">
        <w:t xml:space="preserve"> tertiary harmonisation</w:t>
      </w:r>
      <w:r w:rsidR="008543F5">
        <w:t xml:space="preserve"> will not only </w:t>
      </w:r>
      <w:r w:rsidR="00205610">
        <w:t>better bring the two halves of Australia's tertiary system closer</w:t>
      </w:r>
      <w:r w:rsidR="00845DC0">
        <w:t>, but i</w:t>
      </w:r>
      <w:r w:rsidR="008B3BB9">
        <w:t>t will also mean better transfer of new knowledge and techniques produced by research</w:t>
      </w:r>
      <w:r w:rsidR="00A75B0E">
        <w:t>ers</w:t>
      </w:r>
      <w:r w:rsidR="008B3BB9">
        <w:t xml:space="preserve"> </w:t>
      </w:r>
      <w:r w:rsidR="00E66973">
        <w:t>and applied in</w:t>
      </w:r>
      <w:r w:rsidR="00FF6EAD">
        <w:t xml:space="preserve"> practice</w:t>
      </w:r>
      <w:r w:rsidR="0042525D">
        <w:t xml:space="preserve"> and vice-versa, </w:t>
      </w:r>
      <w:r w:rsidR="0042525D">
        <w:lastRenderedPageBreak/>
        <w:t xml:space="preserve">where problems arising </w:t>
      </w:r>
      <w:r w:rsidR="00A95E07">
        <w:t xml:space="preserve">in workplaces </w:t>
      </w:r>
      <w:r w:rsidR="0042525D">
        <w:t>can be abstracted into new discoveries</w:t>
      </w:r>
      <w:r w:rsidR="001A7C27">
        <w:t>,</w:t>
      </w:r>
      <w:r w:rsidR="0042525D">
        <w:t xml:space="preserve"> </w:t>
      </w:r>
      <w:r w:rsidR="0016712A">
        <w:t>strengthening</w:t>
      </w:r>
      <w:r w:rsidR="002F6211">
        <w:t xml:space="preserve"> </w:t>
      </w:r>
      <w:r w:rsidR="00104D8C">
        <w:t>fields of education</w:t>
      </w:r>
      <w:r w:rsidR="002F6211">
        <w:t xml:space="preserve"> and industries alike</w:t>
      </w:r>
      <w:r w:rsidR="0016712A">
        <w:t>.</w:t>
      </w:r>
    </w:p>
    <w:p w14:paraId="3C50C05E" w14:textId="77777777" w:rsidR="00D96CD1" w:rsidRDefault="00B952F7" w:rsidP="00BC499E">
      <w:pPr>
        <w:pStyle w:val="BodyText"/>
      </w:pPr>
      <w:r>
        <w:t xml:space="preserve">Finding common ground </w:t>
      </w:r>
      <w:r w:rsidR="002B2A4E">
        <w:t>based on</w:t>
      </w:r>
      <w:r>
        <w:t xml:space="preserve"> skills w</w:t>
      </w:r>
      <w:r w:rsidR="0096343F">
        <w:t xml:space="preserve">ill benefit students in a similar way. </w:t>
      </w:r>
      <w:r w:rsidR="00FD0E2F">
        <w:t>A</w:t>
      </w:r>
      <w:r w:rsidR="00224870" w:rsidRPr="008C16E5">
        <w:t xml:space="preserve"> common unit of measure between the two sectors will allow interoperability, supporting improved student mobility and </w:t>
      </w:r>
      <w:r w:rsidR="00876060">
        <w:t>better draw</w:t>
      </w:r>
      <w:r w:rsidR="002D23C0">
        <w:t>ing</w:t>
      </w:r>
      <w:r w:rsidR="00876060">
        <w:t xml:space="preserve"> together knowledge and skill </w:t>
      </w:r>
      <w:r w:rsidR="00224870" w:rsidRPr="008C16E5">
        <w:t>outcomes. The architecture supporting the tertiary sector, such as the AQF and the NST needs to be designed to support system connectiveness and enable strategic alignment of the sector</w:t>
      </w:r>
      <w:r w:rsidR="00626F6F">
        <w:t xml:space="preserve"> (Recommendation</w:t>
      </w:r>
      <w:r w:rsidR="001A1A18">
        <w:t>s 1</w:t>
      </w:r>
      <w:r w:rsidR="00F665B9">
        <w:t>5</w:t>
      </w:r>
      <w:r w:rsidR="001A1A18">
        <w:t xml:space="preserve"> and 1</w:t>
      </w:r>
      <w:r w:rsidR="00F665B9">
        <w:t>6</w:t>
      </w:r>
      <w:r w:rsidR="00626F6F">
        <w:t>)</w:t>
      </w:r>
      <w:r w:rsidR="00224870" w:rsidRPr="008C16E5">
        <w:t>.</w:t>
      </w:r>
    </w:p>
    <w:p w14:paraId="729D9E87" w14:textId="0872EF3E" w:rsidR="00224870" w:rsidRDefault="008004D6" w:rsidP="00BC499E">
      <w:pPr>
        <w:pStyle w:val="BodyText"/>
      </w:pPr>
      <w:r>
        <w:t>Although system-wide change is needed, i</w:t>
      </w:r>
      <w:r w:rsidR="00B55072">
        <w:t xml:space="preserve">nstitutions and RTOs </w:t>
      </w:r>
      <w:r w:rsidR="00B6472C">
        <w:t>have different capacities, appetit</w:t>
      </w:r>
      <w:r w:rsidR="00F9401C">
        <w:t xml:space="preserve">es and markets for </w:t>
      </w:r>
      <w:r>
        <w:t>increased harmonisation</w:t>
      </w:r>
      <w:r w:rsidR="007A7B86">
        <w:t xml:space="preserve"> </w:t>
      </w:r>
      <w:r>
        <w:t xml:space="preserve">that will need to be </w:t>
      </w:r>
      <w:r w:rsidR="00D57AC1">
        <w:t xml:space="preserve">recognised in the </w:t>
      </w:r>
      <w:r w:rsidR="0078276A">
        <w:t>roadmap to harmonisation</w:t>
      </w:r>
      <w:r w:rsidR="00462FC3">
        <w:t xml:space="preserve"> (see</w:t>
      </w:r>
      <w:r w:rsidR="00FA41DE">
        <w:t xml:space="preserve"> Recommendation </w:t>
      </w:r>
      <w:r w:rsidR="006A6D3A">
        <w:t>5</w:t>
      </w:r>
      <w:r w:rsidR="00FA41DE">
        <w:t>).</w:t>
      </w:r>
    </w:p>
    <w:p w14:paraId="5FB0FF7B" w14:textId="77777777" w:rsidR="00B824D7" w:rsidRDefault="00B824D7" w:rsidP="00972893">
      <w:pPr>
        <w:pStyle w:val="Quote"/>
      </w:pPr>
    </w:p>
    <w:p w14:paraId="1DF671D0" w14:textId="73DC98AE" w:rsidR="00224870" w:rsidRDefault="00224870" w:rsidP="00FC58EA">
      <w:pPr>
        <w:pStyle w:val="Heading3"/>
      </w:pPr>
      <w:bookmarkStart w:id="144" w:name="_Toc188391193"/>
      <w:bookmarkStart w:id="145" w:name="_Toc188435709"/>
      <w:bookmarkStart w:id="146" w:name="_Toc189060449"/>
      <w:bookmarkStart w:id="147" w:name="_Toc189060539"/>
      <w:bookmarkStart w:id="148" w:name="_Toc189060797"/>
      <w:bookmarkEnd w:id="144"/>
      <w:bookmarkEnd w:id="145"/>
      <w:r>
        <w:t>Qualification Design and the AQF</w:t>
      </w:r>
      <w:bookmarkEnd w:id="146"/>
      <w:bookmarkEnd w:id="147"/>
      <w:bookmarkEnd w:id="148"/>
    </w:p>
    <w:p w14:paraId="1AC0FD0E" w14:textId="566FFAD2" w:rsidR="003503F0" w:rsidRDefault="000573F5" w:rsidP="00FC58EA">
      <w:pPr>
        <w:pStyle w:val="BodyText"/>
      </w:pPr>
      <w:r>
        <w:t>Expanding on</w:t>
      </w:r>
      <w:r w:rsidR="009C13ED">
        <w:t xml:space="preserve"> </w:t>
      </w:r>
      <w:r w:rsidR="00FE2844">
        <w:t xml:space="preserve">the proposals of the </w:t>
      </w:r>
      <w:r w:rsidR="00B5225F">
        <w:t xml:space="preserve">2019 </w:t>
      </w:r>
      <w:r w:rsidR="00FE2844" w:rsidRPr="008C16E5">
        <w:t xml:space="preserve">Noonan Review of the </w:t>
      </w:r>
      <w:r w:rsidR="00EC2A1C">
        <w:t>AQF</w:t>
      </w:r>
      <w:r w:rsidR="00FE2844">
        <w:t xml:space="preserve">, </w:t>
      </w:r>
      <w:r w:rsidR="007C40BD">
        <w:t xml:space="preserve">tertiary harmonisation </w:t>
      </w:r>
      <w:r w:rsidR="00A97B12">
        <w:t>will enable</w:t>
      </w:r>
      <w:r w:rsidR="00FE2844">
        <w:t xml:space="preserve"> more q</w:t>
      </w:r>
      <w:r w:rsidR="00224870" w:rsidRPr="008C16E5">
        <w:t xml:space="preserve">ualifications </w:t>
      </w:r>
      <w:r w:rsidR="00A97B12">
        <w:t>to</w:t>
      </w:r>
      <w:r w:rsidR="00224870" w:rsidRPr="008C16E5">
        <w:t xml:space="preserve"> be designed to allow students to move easily between </w:t>
      </w:r>
      <w:r w:rsidR="00176090">
        <w:t>AQF levels</w:t>
      </w:r>
      <w:r w:rsidR="00121338">
        <w:t xml:space="preserve">, </w:t>
      </w:r>
      <w:r w:rsidR="003E0F49">
        <w:t xml:space="preserve">educational </w:t>
      </w:r>
      <w:r w:rsidR="00224870" w:rsidRPr="008C16E5">
        <w:t>sectors</w:t>
      </w:r>
      <w:r w:rsidR="00DA69B6">
        <w:t xml:space="preserve"> as well as </w:t>
      </w:r>
      <w:r w:rsidR="00ED47EE">
        <w:t>segments of the labour market,</w:t>
      </w:r>
      <w:r w:rsidR="00224870" w:rsidRPr="008C16E5">
        <w:t xml:space="preserve"> and for </w:t>
      </w:r>
      <w:r w:rsidR="00A23552">
        <w:t xml:space="preserve">each </w:t>
      </w:r>
      <w:r w:rsidR="00224870" w:rsidRPr="008C16E5">
        <w:t xml:space="preserve">sector to have more flexibility in </w:t>
      </w:r>
      <w:r w:rsidR="00BF0899">
        <w:t xml:space="preserve">curriculum </w:t>
      </w:r>
      <w:r w:rsidR="00224870" w:rsidRPr="008C16E5">
        <w:t>design.</w:t>
      </w:r>
    </w:p>
    <w:p w14:paraId="42EB3748" w14:textId="77777777" w:rsidR="00D96CD1" w:rsidRDefault="00F73E48" w:rsidP="00FC58EA">
      <w:pPr>
        <w:pStyle w:val="BodyText"/>
      </w:pPr>
      <w:r>
        <w:t xml:space="preserve">There are many system actors with a stake in qualification design, including Jobs and Skills Councils, </w:t>
      </w:r>
      <w:r w:rsidR="008C3751">
        <w:t xml:space="preserve">unions, </w:t>
      </w:r>
      <w:r w:rsidR="00913CD2">
        <w:t xml:space="preserve">employers, </w:t>
      </w:r>
      <w:r w:rsidR="00056D89">
        <w:t xml:space="preserve">state </w:t>
      </w:r>
      <w:r w:rsidR="001A03DC">
        <w:t>and territory</w:t>
      </w:r>
      <w:r w:rsidR="00056D89">
        <w:t xml:space="preserve"> trade </w:t>
      </w:r>
      <w:r w:rsidR="00055F62" w:rsidRPr="00055F62">
        <w:t xml:space="preserve">licensing authorities </w:t>
      </w:r>
      <w:r w:rsidR="00056D89">
        <w:t>and professional associations.</w:t>
      </w:r>
    </w:p>
    <w:p w14:paraId="0A4F664D" w14:textId="0DDBC397" w:rsidR="00124F02" w:rsidRDefault="005B22D5" w:rsidP="00FC58EA">
      <w:pPr>
        <w:pStyle w:val="BodyText"/>
      </w:pPr>
      <w:r>
        <w:t>O</w:t>
      </w:r>
      <w:r w:rsidR="00124F02">
        <w:t>ffering students the opportunit</w:t>
      </w:r>
      <w:r w:rsidR="002D4956">
        <w:t xml:space="preserve">ies that increased flexibility enables will have benefits </w:t>
      </w:r>
      <w:r w:rsidR="00165E5A">
        <w:t>for their</w:t>
      </w:r>
      <w:r w:rsidR="002D4956">
        <w:t xml:space="preserve"> </w:t>
      </w:r>
      <w:r w:rsidR="001456E1">
        <w:t xml:space="preserve">careers and </w:t>
      </w:r>
      <w:r w:rsidR="008816A0">
        <w:t xml:space="preserve">the broader </w:t>
      </w:r>
      <w:r w:rsidR="001456E1">
        <w:t xml:space="preserve">labour market. </w:t>
      </w:r>
      <w:r w:rsidR="0044623C">
        <w:t>Organisations responsible</w:t>
      </w:r>
      <w:r w:rsidR="001456E1">
        <w:t xml:space="preserve"> for qualifications tied to </w:t>
      </w:r>
      <w:r w:rsidR="006E6333">
        <w:t xml:space="preserve">externally certified recognition </w:t>
      </w:r>
      <w:r w:rsidR="000E07E8">
        <w:t xml:space="preserve">may </w:t>
      </w:r>
      <w:r w:rsidR="0044623C">
        <w:t>also</w:t>
      </w:r>
      <w:r w:rsidR="000E07E8">
        <w:t xml:space="preserve"> </w:t>
      </w:r>
      <w:r w:rsidR="00C75E8C">
        <w:t>identify</w:t>
      </w:r>
      <w:r w:rsidR="00317534">
        <w:t xml:space="preserve"> benefits in enabling </w:t>
      </w:r>
      <w:r w:rsidR="0022543F">
        <w:t xml:space="preserve">students </w:t>
      </w:r>
      <w:r w:rsidR="000514F2">
        <w:t>or licensed workers</w:t>
      </w:r>
      <w:r w:rsidR="0022543F">
        <w:t xml:space="preserve"> access to other</w:t>
      </w:r>
      <w:r w:rsidR="000514F2">
        <w:t xml:space="preserve"> study</w:t>
      </w:r>
      <w:r w:rsidR="00C75E8C">
        <w:t>,</w:t>
      </w:r>
      <w:r w:rsidR="003660A8">
        <w:t xml:space="preserve"> such as project management</w:t>
      </w:r>
      <w:r w:rsidR="00A54B3D">
        <w:t>.</w:t>
      </w:r>
    </w:p>
    <w:p w14:paraId="12790CA3" w14:textId="5378CAF7" w:rsidR="00224870" w:rsidRPr="008C16E5" w:rsidRDefault="00224870" w:rsidP="00FC58EA">
      <w:pPr>
        <w:pStyle w:val="BodyText"/>
      </w:pPr>
      <w:r w:rsidRPr="008C16E5">
        <w:t xml:space="preserve">Flexibility of delivery also </w:t>
      </w:r>
      <w:r w:rsidR="00A17143">
        <w:t>includes</w:t>
      </w:r>
      <w:r w:rsidRPr="008C16E5">
        <w:t xml:space="preserve"> modes of course delivery, teaching arrangements, geographical accessibility and qualification design.</w:t>
      </w:r>
      <w:r w:rsidR="006D2EA2">
        <w:t xml:space="preserve"> These also </w:t>
      </w:r>
      <w:r w:rsidR="00FE0D18">
        <w:t>influence</w:t>
      </w:r>
      <w:r w:rsidR="006D2EA2">
        <w:t xml:space="preserve"> student mobility</w:t>
      </w:r>
      <w:r w:rsidR="00CB0235">
        <w:t xml:space="preserve"> and accessibility.</w:t>
      </w:r>
    </w:p>
    <w:p w14:paraId="48E6750C" w14:textId="377D9805" w:rsidR="00224870" w:rsidRPr="008C16E5" w:rsidRDefault="00224870" w:rsidP="00FC58EA">
      <w:pPr>
        <w:pStyle w:val="Heading3"/>
      </w:pPr>
      <w:bookmarkStart w:id="149" w:name="_Toc189060450"/>
      <w:bookmarkStart w:id="150" w:name="_Toc189060540"/>
      <w:bookmarkStart w:id="151" w:name="_Toc189060798"/>
      <w:r>
        <w:t>RPL and credit recognition to support student access and mobility</w:t>
      </w:r>
      <w:bookmarkEnd w:id="149"/>
      <w:bookmarkEnd w:id="150"/>
      <w:bookmarkEnd w:id="151"/>
    </w:p>
    <w:p w14:paraId="57F4DC80" w14:textId="77777777" w:rsidR="00D96CD1" w:rsidRDefault="00224870" w:rsidP="00FC58EA">
      <w:pPr>
        <w:pStyle w:val="BodyText"/>
      </w:pPr>
      <w:r w:rsidRPr="008C16E5">
        <w:t xml:space="preserve">Student mobility is about enabling students to move easily within and between </w:t>
      </w:r>
      <w:r w:rsidR="006E36F3">
        <w:t>Higher Education</w:t>
      </w:r>
      <w:r w:rsidRPr="008C16E5">
        <w:t xml:space="preserve"> and VET sectors to pursue their educational and career goals. </w:t>
      </w:r>
      <w:r w:rsidR="000B2201">
        <w:t xml:space="preserve">Mobility can also include </w:t>
      </w:r>
      <w:r w:rsidR="000B2201" w:rsidRPr="000B2201">
        <w:t xml:space="preserve">movement into and out of employment, career transitions, upskilling, </w:t>
      </w:r>
      <w:r w:rsidR="00082A16">
        <w:t xml:space="preserve">and </w:t>
      </w:r>
      <w:r w:rsidR="000B2201" w:rsidRPr="000B2201">
        <w:t>reskilling</w:t>
      </w:r>
      <w:r w:rsidR="00B747DC">
        <w:t>.</w:t>
      </w:r>
    </w:p>
    <w:p w14:paraId="20F1370D" w14:textId="5FB904AA" w:rsidR="00E640DE" w:rsidRDefault="00E640DE" w:rsidP="00FC58EA">
      <w:pPr>
        <w:pStyle w:val="BodyText"/>
      </w:pPr>
      <w:r>
        <w:t xml:space="preserve">However, there are considerable challenges for providers to create accessible, streamlined credit transfer arrangements and RPL, including the resource and time intensiveness of credit mapping and re-mapping, and interactions between changes in the National Training Package system and changes to </w:t>
      </w:r>
      <w:r w:rsidR="006E36F3">
        <w:t>Higher Education</w:t>
      </w:r>
      <w:r>
        <w:t xml:space="preserve"> course curriculum. Cultural and attitudinal barriers within the sectors also restrict student access to diverse credit transfer arrangements.</w:t>
      </w:r>
    </w:p>
    <w:p w14:paraId="6DB3EEA3" w14:textId="033E57A2" w:rsidR="00A04ADB" w:rsidRDefault="00A04ADB" w:rsidP="00FC58EA">
      <w:pPr>
        <w:pStyle w:val="BodyText"/>
      </w:pPr>
      <w:r>
        <w:t xml:space="preserve">Reducing the burden on providers and increasing access and information for students will be imperative to supporting more fit for purpose and efficient credit arrangements. Facilitating a more nationalised credit transfer system through a body such as the ATEC combined with leadership from both </w:t>
      </w:r>
      <w:r w:rsidR="00C52B41">
        <w:t>sectors</w:t>
      </w:r>
      <w:r>
        <w:t xml:space="preserve"> will also be important in effecting real change</w:t>
      </w:r>
      <w:r w:rsidR="005D2540">
        <w:t>.</w:t>
      </w:r>
    </w:p>
    <w:p w14:paraId="663F8294" w14:textId="77777777" w:rsidR="00D96CD1" w:rsidRDefault="00D73B14" w:rsidP="00FC58EA">
      <w:pPr>
        <w:pStyle w:val="BodyText"/>
      </w:pPr>
      <w:r>
        <w:lastRenderedPageBreak/>
        <w:t xml:space="preserve">To </w:t>
      </w:r>
      <w:r w:rsidR="00702615">
        <w:t>achieve</w:t>
      </w:r>
      <w:r>
        <w:t xml:space="preserve"> this will require</w:t>
      </w:r>
      <w:r w:rsidR="001B6C64">
        <w:t xml:space="preserve"> multiple measures, including</w:t>
      </w:r>
      <w:r w:rsidR="00224870" w:rsidRPr="008C16E5">
        <w:t xml:space="preserve"> enhancing credit transfer, </w:t>
      </w:r>
      <w:r w:rsidR="004E03A7">
        <w:t>enacting</w:t>
      </w:r>
      <w:r w:rsidR="00224870" w:rsidRPr="008C16E5">
        <w:t xml:space="preserve"> articulation agreements</w:t>
      </w:r>
      <w:r w:rsidR="004E03A7">
        <w:t>,</w:t>
      </w:r>
      <w:r w:rsidR="00224870" w:rsidRPr="008C16E5">
        <w:t xml:space="preserve"> and </w:t>
      </w:r>
      <w:r w:rsidR="004E03A7">
        <w:t>improving</w:t>
      </w:r>
      <w:r w:rsidR="00224870" w:rsidRPr="008C16E5">
        <w:t xml:space="preserve"> </w:t>
      </w:r>
      <w:r w:rsidR="001812F5">
        <w:t>RPL</w:t>
      </w:r>
      <w:r w:rsidR="000F5565">
        <w:t>.</w:t>
      </w:r>
    </w:p>
    <w:p w14:paraId="193578AB" w14:textId="0F66650E" w:rsidR="00B50FB5" w:rsidRDefault="007F32CF" w:rsidP="00FC58EA">
      <w:pPr>
        <w:pStyle w:val="BodyText"/>
      </w:pPr>
      <w:r>
        <w:t xml:space="preserve">There are many </w:t>
      </w:r>
      <w:r w:rsidR="00304B78">
        <w:t>procedural barriers to successful cr</w:t>
      </w:r>
      <w:r w:rsidR="001D58EB">
        <w:t>edit transfer and RPL</w:t>
      </w:r>
      <w:r>
        <w:t xml:space="preserve"> </w:t>
      </w:r>
      <w:r w:rsidR="00195608">
        <w:t>for students moving between institutions</w:t>
      </w:r>
      <w:r w:rsidR="003C1CCE">
        <w:t xml:space="preserve"> and for providers</w:t>
      </w:r>
      <w:r w:rsidR="00BA5D1C">
        <w:t xml:space="preserve"> seeking to partner for specific student cohort</w:t>
      </w:r>
      <w:r w:rsidR="006E2E5F">
        <w:t>s or targeted industry outcomes</w:t>
      </w:r>
      <w:r w:rsidR="00875344">
        <w:t xml:space="preserve">. </w:t>
      </w:r>
      <w:r w:rsidR="00BA5D1C">
        <w:t>Barriers to successful RPL and credit transfer</w:t>
      </w:r>
      <w:r w:rsidR="00FE6EE8">
        <w:t xml:space="preserve"> </w:t>
      </w:r>
      <w:r w:rsidR="00823783">
        <w:t>need to be overcome</w:t>
      </w:r>
      <w:r w:rsidR="00F954F4">
        <w:t xml:space="preserve"> regardless of the imperative to harmonisation</w:t>
      </w:r>
      <w:r w:rsidR="00FE6EE8">
        <w:t xml:space="preserve">. Tertiary harmonisation </w:t>
      </w:r>
      <w:r w:rsidR="00BA5D1C">
        <w:t xml:space="preserve">presents an opportunity to address a </w:t>
      </w:r>
      <w:r w:rsidR="000A13FA">
        <w:t>longstanding</w:t>
      </w:r>
      <w:r w:rsidR="00BA5D1C">
        <w:t xml:space="preserve"> problem</w:t>
      </w:r>
      <w:r w:rsidR="00DD795D">
        <w:t xml:space="preserve"> (Recommendation </w:t>
      </w:r>
      <w:r w:rsidR="006A6D3A">
        <w:t>9</w:t>
      </w:r>
      <w:r w:rsidR="00DD795D">
        <w:t>)</w:t>
      </w:r>
      <w:r w:rsidR="00BA5D1C">
        <w:t>.</w:t>
      </w:r>
    </w:p>
    <w:p w14:paraId="49DBF000" w14:textId="5F04CE12" w:rsidR="00224870" w:rsidRPr="008C16E5" w:rsidRDefault="00224870" w:rsidP="00FC58EA">
      <w:pPr>
        <w:pStyle w:val="Heading3"/>
      </w:pPr>
      <w:bookmarkStart w:id="152" w:name="_Toc189060451"/>
      <w:bookmarkStart w:id="153" w:name="_Toc189060541"/>
      <w:bookmarkStart w:id="154" w:name="_Toc189060799"/>
      <w:r w:rsidRPr="008C16E5">
        <w:t>Culture and perceptions in, and of, the tertiary system</w:t>
      </w:r>
      <w:r>
        <w:t>/sectors</w:t>
      </w:r>
      <w:bookmarkEnd w:id="152"/>
      <w:bookmarkEnd w:id="153"/>
      <w:bookmarkEnd w:id="154"/>
    </w:p>
    <w:p w14:paraId="511B7989" w14:textId="77777777" w:rsidR="00D96CD1" w:rsidRDefault="001A158C" w:rsidP="00FC58EA">
      <w:pPr>
        <w:pStyle w:val="BodyText"/>
      </w:pPr>
      <w:r>
        <w:t xml:space="preserve">Higher </w:t>
      </w:r>
      <w:r w:rsidR="006E36F3">
        <w:t>Education</w:t>
      </w:r>
      <w:r>
        <w:t xml:space="preserve"> and VET both have long traditions and distinctive m</w:t>
      </w:r>
      <w:r w:rsidR="00FB6AAC">
        <w:t xml:space="preserve">issions, which informs the experiences of </w:t>
      </w:r>
      <w:r w:rsidR="000917C1">
        <w:t xml:space="preserve">those </w:t>
      </w:r>
      <w:r w:rsidR="00FB6AAC">
        <w:t>working and studying in each sector.</w:t>
      </w:r>
      <w:r w:rsidR="002A4496">
        <w:t xml:space="preserve"> Each sector </w:t>
      </w:r>
      <w:r w:rsidR="001E6E3F">
        <w:t>has</w:t>
      </w:r>
      <w:r w:rsidR="002A4496">
        <w:t xml:space="preserve"> </w:t>
      </w:r>
      <w:r w:rsidR="00EE41BE">
        <w:t>trained students for spe</w:t>
      </w:r>
      <w:r w:rsidR="00CE34BF">
        <w:t>cific</w:t>
      </w:r>
      <w:r w:rsidR="00FF0469">
        <w:t xml:space="preserve"> professions, industries, trades and </w:t>
      </w:r>
      <w:r w:rsidR="009A7C51">
        <w:t>disciplines</w:t>
      </w:r>
      <w:r w:rsidR="001E6E3F">
        <w:t xml:space="preserve">. </w:t>
      </w:r>
      <w:r w:rsidR="00562EC4">
        <w:t>Their link to</w:t>
      </w:r>
      <w:r w:rsidR="001E6E3F">
        <w:t xml:space="preserve"> </w:t>
      </w:r>
      <w:r w:rsidR="00562EC4">
        <w:t>those occupations</w:t>
      </w:r>
      <w:r w:rsidR="001E6E3F">
        <w:t xml:space="preserve"> </w:t>
      </w:r>
      <w:r w:rsidR="00562EC4">
        <w:t>has also shaped</w:t>
      </w:r>
      <w:r w:rsidR="00633049">
        <w:t xml:space="preserve"> perceptions of </w:t>
      </w:r>
      <w:r w:rsidR="00562EC4">
        <w:t xml:space="preserve">the relative value of </w:t>
      </w:r>
      <w:r w:rsidR="00633049">
        <w:t xml:space="preserve">VET and </w:t>
      </w:r>
      <w:r w:rsidR="006E36F3">
        <w:t>Higher Education</w:t>
      </w:r>
      <w:r w:rsidR="00501F5B">
        <w:t>.</w:t>
      </w:r>
    </w:p>
    <w:p w14:paraId="5BC71EFB" w14:textId="77777777" w:rsidR="00D96CD1" w:rsidRDefault="008A0D4C" w:rsidP="00FC58EA">
      <w:pPr>
        <w:pStyle w:val="BodyText"/>
      </w:pPr>
      <w:r>
        <w:t>The c</w:t>
      </w:r>
      <w:r w:rsidR="00501F5B">
        <w:t>ultur</w:t>
      </w:r>
      <w:r>
        <w:t xml:space="preserve">al environment </w:t>
      </w:r>
      <w:r w:rsidR="000F2D45">
        <w:t>at school as well as in the wider community</w:t>
      </w:r>
      <w:r w:rsidR="00224870" w:rsidRPr="008C16E5">
        <w:t xml:space="preserve"> provides the context in which the tertiary education system functions</w:t>
      </w:r>
      <w:r w:rsidR="001135B2">
        <w:t xml:space="preserve">, guiding student choice, </w:t>
      </w:r>
      <w:r w:rsidR="002E5CD4">
        <w:t xml:space="preserve">inhibiting collaboration and </w:t>
      </w:r>
      <w:r w:rsidR="00C61C60">
        <w:t xml:space="preserve">skewing perceptions of </w:t>
      </w:r>
      <w:r w:rsidR="007434C3">
        <w:t>the jobs that graduate</w:t>
      </w:r>
      <w:r w:rsidR="000F2D45">
        <w:t>s</w:t>
      </w:r>
      <w:r w:rsidR="007434C3">
        <w:t xml:space="preserve"> </w:t>
      </w:r>
      <w:r w:rsidR="000F2D45">
        <w:t>will attain</w:t>
      </w:r>
      <w:r w:rsidR="007434C3">
        <w:t>.</w:t>
      </w:r>
    </w:p>
    <w:p w14:paraId="7FC35AC5" w14:textId="0A2C2D00" w:rsidR="00FC58EA" w:rsidRDefault="007434C3" w:rsidP="00FC58EA">
      <w:pPr>
        <w:pStyle w:val="BodyText"/>
      </w:pPr>
      <w:r>
        <w:t>It is important to maintain the distinctiveness of each sector</w:t>
      </w:r>
      <w:r w:rsidR="00171948">
        <w:t>, which is valued by those who work and study in each. However, addressing cultural and perception issues</w:t>
      </w:r>
      <w:r w:rsidR="000F2D45">
        <w:t>, especially in schools and the wider community,</w:t>
      </w:r>
      <w:r w:rsidR="00171948">
        <w:t xml:space="preserve"> will need to be incorporated into a roadmap towards tertiary harmonisation</w:t>
      </w:r>
      <w:r w:rsidR="00DA51DF">
        <w:t>.</w:t>
      </w:r>
      <w:r w:rsidR="00866CC5">
        <w:t xml:space="preserve"> There is also need for leadership to enable a shift in culture in both </w:t>
      </w:r>
      <w:r w:rsidR="006E36F3">
        <w:t>Higher Education</w:t>
      </w:r>
      <w:r w:rsidR="00866CC5">
        <w:t xml:space="preserve"> and VET.</w:t>
      </w:r>
      <w:r w:rsidR="00DA51DF">
        <w:t xml:space="preserve"> This will</w:t>
      </w:r>
      <w:r w:rsidR="0068626C">
        <w:t xml:space="preserve"> enable improved collaboration and widen student opportunities for career and study selection</w:t>
      </w:r>
      <w:r w:rsidR="00AA77D5">
        <w:t xml:space="preserve"> in ways that align to workforce needs, </w:t>
      </w:r>
      <w:r w:rsidR="00EB6232">
        <w:t xml:space="preserve">and </w:t>
      </w:r>
      <w:r w:rsidR="00AA77D5">
        <w:t>their own talents and ambitions</w:t>
      </w:r>
      <w:r w:rsidR="0068626C">
        <w:t>.</w:t>
      </w:r>
    </w:p>
    <w:p w14:paraId="3E9420D8" w14:textId="7EC08336" w:rsidR="00224870" w:rsidRPr="0056354E" w:rsidRDefault="00224870" w:rsidP="00DB2618">
      <w:pPr>
        <w:pStyle w:val="Heading2"/>
      </w:pPr>
      <w:bookmarkStart w:id="155" w:name="_Toc189060452"/>
      <w:bookmarkStart w:id="156" w:name="_Toc189060542"/>
      <w:bookmarkStart w:id="157" w:name="_Toc190980914"/>
      <w:r>
        <w:t>Elements of Pillar 3: Legislative, regulatory financial and data architecture</w:t>
      </w:r>
      <w:bookmarkEnd w:id="155"/>
      <w:bookmarkEnd w:id="156"/>
      <w:bookmarkEnd w:id="157"/>
    </w:p>
    <w:p w14:paraId="0EC04081" w14:textId="4376C613" w:rsidR="00224870" w:rsidRPr="008C16E5" w:rsidRDefault="00224870" w:rsidP="00FC58EA">
      <w:pPr>
        <w:pStyle w:val="Heading3"/>
      </w:pPr>
      <w:bookmarkStart w:id="158" w:name="_Toc189060453"/>
      <w:bookmarkStart w:id="159" w:name="_Toc189060543"/>
      <w:bookmarkStart w:id="160" w:name="_Toc189060801"/>
      <w:r w:rsidRPr="008C16E5">
        <w:t>Governance, regulation and legislative frameworks that improve tertiary sector operation</w:t>
      </w:r>
      <w:bookmarkEnd w:id="158"/>
      <w:bookmarkEnd w:id="159"/>
      <w:bookmarkEnd w:id="160"/>
    </w:p>
    <w:p w14:paraId="00774C04" w14:textId="7B7B56F2" w:rsidR="00224870" w:rsidRDefault="00224870" w:rsidP="00FC58EA">
      <w:pPr>
        <w:pStyle w:val="BodyText"/>
      </w:pPr>
      <w:r w:rsidRPr="008C16E5">
        <w:t xml:space="preserve">Regulatory </w:t>
      </w:r>
      <w:r w:rsidR="001449EE">
        <w:t>bodies</w:t>
      </w:r>
      <w:r w:rsidRPr="008C16E5">
        <w:t xml:space="preserve">, </w:t>
      </w:r>
      <w:r w:rsidR="001449EE">
        <w:t>especially</w:t>
      </w:r>
      <w:r w:rsidRPr="008C16E5">
        <w:t xml:space="preserve"> TEQSA </w:t>
      </w:r>
      <w:r w:rsidR="001449EE">
        <w:t>for</w:t>
      </w:r>
      <w:r w:rsidRPr="008C16E5">
        <w:t xml:space="preserve"> </w:t>
      </w:r>
      <w:r w:rsidR="006E36F3">
        <w:t>Higher Education</w:t>
      </w:r>
      <w:r w:rsidRPr="008C16E5">
        <w:t xml:space="preserve"> and ASQA </w:t>
      </w:r>
      <w:r w:rsidR="00521625">
        <w:t>for</w:t>
      </w:r>
      <w:r w:rsidR="00521625" w:rsidRPr="008C16E5">
        <w:t xml:space="preserve"> </w:t>
      </w:r>
      <w:r w:rsidRPr="008C16E5">
        <w:t xml:space="preserve">VET, </w:t>
      </w:r>
      <w:r w:rsidR="00444924">
        <w:t xml:space="preserve">will </w:t>
      </w:r>
      <w:r w:rsidRPr="008C16E5">
        <w:t xml:space="preserve">need to </w:t>
      </w:r>
      <w:r w:rsidR="00444924">
        <w:t>collaborate in ways that</w:t>
      </w:r>
      <w:r w:rsidRPr="008C16E5">
        <w:t xml:space="preserve"> enable and facilitate the harmonisation of the two sectors.</w:t>
      </w:r>
      <w:r w:rsidR="00DE7303">
        <w:t xml:space="preserve"> </w:t>
      </w:r>
      <w:r w:rsidR="004F3446">
        <w:t xml:space="preserve">This process has begun: </w:t>
      </w:r>
      <w:r w:rsidR="00DE7303" w:rsidRPr="00DE7303">
        <w:t xml:space="preserve">ASQA and TEQSA are </w:t>
      </w:r>
      <w:r w:rsidR="00783A8D">
        <w:t xml:space="preserve">in the process of </w:t>
      </w:r>
      <w:r w:rsidR="00DE7303">
        <w:t xml:space="preserve">developing </w:t>
      </w:r>
      <w:r w:rsidR="00DE7303" w:rsidRPr="00DE7303">
        <w:t xml:space="preserve">a strategy </w:t>
      </w:r>
      <w:r w:rsidR="001676D6">
        <w:t>to improve</w:t>
      </w:r>
      <w:r w:rsidR="00DE7303" w:rsidRPr="00DE7303">
        <w:t xml:space="preserve"> regulatory approaches for dual-sector providers. The strategy will provide a medium to long-term blueprint </w:t>
      </w:r>
      <w:r w:rsidR="004507A6">
        <w:t>that will</w:t>
      </w:r>
      <w:r w:rsidR="00DE7303" w:rsidRPr="00DE7303">
        <w:t xml:space="preserve"> support and guide regulatory collaboration and alignment.</w:t>
      </w:r>
    </w:p>
    <w:p w14:paraId="015A7F5D" w14:textId="4E9C4145" w:rsidR="004D4F08" w:rsidRDefault="004D4F08" w:rsidP="00FC58EA">
      <w:pPr>
        <w:pStyle w:val="BodyText"/>
      </w:pPr>
      <w:r>
        <w:t>Other governance</w:t>
      </w:r>
      <w:r w:rsidR="002C1CE3">
        <w:t xml:space="preserve"> and legislative frameworks, </w:t>
      </w:r>
      <w:r w:rsidR="007F2A1A">
        <w:t xml:space="preserve">across the tertiary sector and in </w:t>
      </w:r>
      <w:r w:rsidR="00521625">
        <w:t xml:space="preserve">all levels of </w:t>
      </w:r>
      <w:r w:rsidR="007F2A1A">
        <w:t>government, will also need to be reviewed</w:t>
      </w:r>
      <w:r w:rsidR="00E908E0">
        <w:t xml:space="preserve"> with a view to </w:t>
      </w:r>
      <w:r w:rsidR="006A48A6">
        <w:t xml:space="preserve">enabling </w:t>
      </w:r>
      <w:r w:rsidR="001C614A">
        <w:t xml:space="preserve">the level of </w:t>
      </w:r>
      <w:r w:rsidR="006A48A6">
        <w:t>collaboration</w:t>
      </w:r>
      <w:r w:rsidR="001C614A">
        <w:t xml:space="preserve"> and reform that will effectively </w:t>
      </w:r>
      <w:r w:rsidR="00B31C36">
        <w:t>harmonise post-school education</w:t>
      </w:r>
      <w:r w:rsidR="000E36CC">
        <w:t>.</w:t>
      </w:r>
    </w:p>
    <w:p w14:paraId="7BABDCF0" w14:textId="21ACD4B1" w:rsidR="00224870" w:rsidRPr="008C16E5" w:rsidRDefault="00224870" w:rsidP="00FC58EA">
      <w:pPr>
        <w:pStyle w:val="Heading3"/>
      </w:pPr>
      <w:bookmarkStart w:id="161" w:name="_Toc189060454"/>
      <w:bookmarkStart w:id="162" w:name="_Toc189060544"/>
      <w:bookmarkStart w:id="163" w:name="_Toc189060802"/>
      <w:r w:rsidRPr="008C16E5">
        <w:t>Funding incentives and arrangements to facilitate and enable provider parity and interaction</w:t>
      </w:r>
      <w:bookmarkEnd w:id="161"/>
      <w:bookmarkEnd w:id="162"/>
      <w:bookmarkEnd w:id="163"/>
    </w:p>
    <w:p w14:paraId="454A6C0E" w14:textId="77777777" w:rsidR="00D96CD1" w:rsidRDefault="00224870" w:rsidP="00FC58EA">
      <w:pPr>
        <w:pStyle w:val="BodyText"/>
      </w:pPr>
      <w:r w:rsidRPr="008C16E5">
        <w:t>Government funding to providers for different type</w:t>
      </w:r>
      <w:r w:rsidR="003A1807">
        <w:t>s</w:t>
      </w:r>
      <w:r w:rsidRPr="008C16E5">
        <w:t xml:space="preserve"> of courses in VET and </w:t>
      </w:r>
      <w:r w:rsidR="006E36F3">
        <w:t>Higher Education</w:t>
      </w:r>
      <w:r w:rsidRPr="008C16E5">
        <w:t xml:space="preserve">, vary widely not only between </w:t>
      </w:r>
      <w:r w:rsidR="003A1807">
        <w:t>the sectors</w:t>
      </w:r>
      <w:r w:rsidRPr="008C16E5">
        <w:t xml:space="preserve"> but also between different states and territories. This will need to be rigorously examined to test the view that these funding rates are not even-handed between VET and </w:t>
      </w:r>
      <w:r w:rsidR="006E36F3">
        <w:t>Higher Education</w:t>
      </w:r>
      <w:r w:rsidR="001059F2">
        <w:t>,</w:t>
      </w:r>
      <w:r w:rsidRPr="008C16E5">
        <w:t xml:space="preserve"> and between different subject areas.</w:t>
      </w:r>
    </w:p>
    <w:p w14:paraId="3A2EAB69" w14:textId="77777777" w:rsidR="00D96CD1" w:rsidRDefault="00B62B20" w:rsidP="00FC58EA">
      <w:pPr>
        <w:pStyle w:val="BodyText"/>
      </w:pPr>
      <w:r>
        <w:lastRenderedPageBreak/>
        <w:t>Funding</w:t>
      </w:r>
      <w:r w:rsidR="00D5468E">
        <w:t xml:space="preserve"> is an important component of tertiary harmonisation, which will seek to ensure that there are not inappropriate market levers driving students away from priority skill areas or</w:t>
      </w:r>
      <w:r w:rsidR="00D60961">
        <w:t xml:space="preserve"> offering disincentives to pursue </w:t>
      </w:r>
      <w:r w:rsidR="00B25F26">
        <w:t xml:space="preserve">the learning and career development that will </w:t>
      </w:r>
      <w:r w:rsidR="00265D0C">
        <w:t xml:space="preserve">best </w:t>
      </w:r>
      <w:r w:rsidR="00BB1A68">
        <w:t>suit</w:t>
      </w:r>
      <w:r w:rsidR="00B25F26">
        <w:t xml:space="preserve"> </w:t>
      </w:r>
      <w:r w:rsidR="00265D0C">
        <w:t>each student</w:t>
      </w:r>
      <w:r w:rsidR="00B25F26">
        <w:t>.</w:t>
      </w:r>
    </w:p>
    <w:p w14:paraId="7617940A" w14:textId="007240DA" w:rsidR="007B2137" w:rsidRDefault="007B2137" w:rsidP="00FC58EA">
      <w:pPr>
        <w:pStyle w:val="BodyText"/>
      </w:pPr>
      <w:r>
        <w:t xml:space="preserve">Funding structures should also </w:t>
      </w:r>
      <w:r w:rsidR="00783C04">
        <w:t xml:space="preserve">be examined with a view to </w:t>
      </w:r>
      <w:r>
        <w:t>signal</w:t>
      </w:r>
      <w:r w:rsidR="00783C04">
        <w:t>ling</w:t>
      </w:r>
      <w:r>
        <w:t xml:space="preserve"> to providers the </w:t>
      </w:r>
      <w:r w:rsidR="00542C94">
        <w:t xml:space="preserve">Australian </w:t>
      </w:r>
      <w:r w:rsidR="00D24B6B">
        <w:t>G</w:t>
      </w:r>
      <w:r>
        <w:t xml:space="preserve">overnment's commitment to </w:t>
      </w:r>
      <w:r w:rsidR="00B02DF9">
        <w:t>partnerships between</w:t>
      </w:r>
      <w:r w:rsidR="0079155C">
        <w:t xml:space="preserve"> VET and </w:t>
      </w:r>
      <w:r w:rsidR="006E36F3">
        <w:t>Higher Education</w:t>
      </w:r>
      <w:r w:rsidR="00783C04">
        <w:t>.</w:t>
      </w:r>
      <w:r w:rsidR="005E2AEC">
        <w:t xml:space="preserve"> This should be based on a set of principles (Recommendation 1</w:t>
      </w:r>
      <w:r w:rsidR="006A6D3A">
        <w:t>4</w:t>
      </w:r>
      <w:r w:rsidR="005E2AEC">
        <w:t>).</w:t>
      </w:r>
    </w:p>
    <w:p w14:paraId="5E5602C6" w14:textId="4E9E8595" w:rsidR="00224870" w:rsidRPr="008C16E5" w:rsidRDefault="00224870" w:rsidP="00FC58EA">
      <w:pPr>
        <w:pStyle w:val="Heading3"/>
      </w:pPr>
      <w:bookmarkStart w:id="164" w:name="_Toc189060455"/>
      <w:bookmarkStart w:id="165" w:name="_Toc189060545"/>
      <w:bookmarkStart w:id="166" w:name="_Toc189060803"/>
      <w:r w:rsidRPr="008C16E5">
        <w:t xml:space="preserve">Financial support </w:t>
      </w:r>
      <w:r w:rsidR="00255D65">
        <w:t>for</w:t>
      </w:r>
      <w:r w:rsidRPr="008C16E5">
        <w:t xml:space="preserve"> students to participate and succeed in learning</w:t>
      </w:r>
      <w:bookmarkEnd w:id="164"/>
      <w:bookmarkEnd w:id="165"/>
      <w:bookmarkEnd w:id="166"/>
    </w:p>
    <w:p w14:paraId="7C9F5B1E" w14:textId="77777777" w:rsidR="00D96CD1" w:rsidRDefault="00224870" w:rsidP="00FC58EA">
      <w:pPr>
        <w:pStyle w:val="BodyText"/>
      </w:pPr>
      <w:r w:rsidRPr="008C16E5">
        <w:t>Individuals can experience significant financial barriers that prevent them from participating in tertiary education</w:t>
      </w:r>
      <w:r w:rsidR="00D20809">
        <w:t xml:space="preserve"> and </w:t>
      </w:r>
      <w:r w:rsidR="007509F5">
        <w:t xml:space="preserve">this </w:t>
      </w:r>
      <w:r w:rsidR="00D20809">
        <w:t xml:space="preserve">can drive </w:t>
      </w:r>
      <w:r w:rsidR="006128CB">
        <w:t>students to leave their studies before they are complete</w:t>
      </w:r>
      <w:r w:rsidRPr="008C16E5">
        <w:t>.</w:t>
      </w:r>
    </w:p>
    <w:p w14:paraId="0B002A4F" w14:textId="77777777" w:rsidR="00D96CD1" w:rsidRDefault="00224870" w:rsidP="00FC58EA">
      <w:pPr>
        <w:pStyle w:val="BodyText"/>
      </w:pPr>
      <w:r w:rsidRPr="008C16E5">
        <w:t xml:space="preserve">Up-front fees for </w:t>
      </w:r>
      <w:r w:rsidR="00013D77">
        <w:t xml:space="preserve">many </w:t>
      </w:r>
      <w:r w:rsidRPr="008C16E5">
        <w:t xml:space="preserve">VET </w:t>
      </w:r>
      <w:r w:rsidR="00013D77">
        <w:t>students</w:t>
      </w:r>
      <w:r w:rsidRPr="008C16E5">
        <w:t xml:space="preserve"> impose an obstacle not experienced by </w:t>
      </w:r>
      <w:r w:rsidR="006E36F3">
        <w:t>Higher Education</w:t>
      </w:r>
      <w:r w:rsidRPr="008C16E5">
        <w:t xml:space="preserve"> students who have access to income contingent loans.</w:t>
      </w:r>
      <w:r w:rsidR="005B33C4">
        <w:t xml:space="preserve"> This acts as a </w:t>
      </w:r>
      <w:r w:rsidR="00DB67BA">
        <w:t>disincentive to pursue VET studies and a</w:t>
      </w:r>
      <w:r w:rsidR="005B33C4">
        <w:t xml:space="preserve"> barrier for moving between </w:t>
      </w:r>
      <w:r w:rsidR="006E36F3">
        <w:t>Higher Education</w:t>
      </w:r>
      <w:r w:rsidR="005B33C4">
        <w:t xml:space="preserve"> and VET</w:t>
      </w:r>
      <w:r w:rsidR="000F4530">
        <w:t>.</w:t>
      </w:r>
    </w:p>
    <w:p w14:paraId="628BD932" w14:textId="77777777" w:rsidR="00D96CD1" w:rsidRDefault="00971CE9" w:rsidP="00FC58EA">
      <w:pPr>
        <w:pStyle w:val="BodyText"/>
      </w:pPr>
      <w:r>
        <w:t>Recent government</w:t>
      </w:r>
      <w:r w:rsidRPr="008C16E5">
        <w:t xml:space="preserve"> initiatives include </w:t>
      </w:r>
      <w:r>
        <w:t xml:space="preserve">some </w:t>
      </w:r>
      <w:r w:rsidRPr="008C16E5">
        <w:t xml:space="preserve">support for placements and </w:t>
      </w:r>
      <w:r>
        <w:t xml:space="preserve">internships as well as continued </w:t>
      </w:r>
      <w:r w:rsidRPr="008C16E5">
        <w:t xml:space="preserve">study </w:t>
      </w:r>
      <w:r>
        <w:t>a</w:t>
      </w:r>
      <w:r w:rsidRPr="008C16E5">
        <w:t>ssistance. </w:t>
      </w:r>
      <w:r>
        <w:t>Further work</w:t>
      </w:r>
      <w:r w:rsidR="006A2212">
        <w:t xml:space="preserve"> with tertiary system actors and employers could </w:t>
      </w:r>
      <w:r w:rsidR="004E020D">
        <w:t xml:space="preserve">provide a financial basis for </w:t>
      </w:r>
      <w:r w:rsidR="006A2212">
        <w:t>expand</w:t>
      </w:r>
      <w:r w:rsidR="004E020D">
        <w:t>ing</w:t>
      </w:r>
      <w:r w:rsidR="006A2212">
        <w:t xml:space="preserve"> work-based</w:t>
      </w:r>
      <w:r w:rsidR="000B60F9">
        <w:t xml:space="preserve"> and work</w:t>
      </w:r>
      <w:r w:rsidR="000B60F9">
        <w:noBreakHyphen/>
        <w:t>integrated</w:t>
      </w:r>
      <w:r w:rsidR="006A2212">
        <w:t xml:space="preserve"> learning </w:t>
      </w:r>
      <w:r w:rsidR="00DA5B46">
        <w:t>in VET</w:t>
      </w:r>
      <w:r w:rsidR="006A2212">
        <w:t xml:space="preserve"> and </w:t>
      </w:r>
      <w:r w:rsidR="006E36F3">
        <w:t>Higher Education</w:t>
      </w:r>
      <w:r w:rsidR="00DA5B46">
        <w:t>.</w:t>
      </w:r>
    </w:p>
    <w:p w14:paraId="58FA5320" w14:textId="2E53DE81" w:rsidR="00224870" w:rsidRPr="00AA78D7" w:rsidRDefault="00224870" w:rsidP="00FC58EA">
      <w:pPr>
        <w:pStyle w:val="Heading3"/>
      </w:pPr>
      <w:bookmarkStart w:id="167" w:name="_Toc189060456"/>
      <w:bookmarkStart w:id="168" w:name="_Toc189060546"/>
      <w:bookmarkStart w:id="169" w:name="_Toc189060804"/>
      <w:r w:rsidRPr="00AA78D7">
        <w:t>Coherent data collection and reporting</w:t>
      </w:r>
      <w:bookmarkEnd w:id="167"/>
      <w:bookmarkEnd w:id="168"/>
      <w:bookmarkEnd w:id="169"/>
    </w:p>
    <w:p w14:paraId="102D646C" w14:textId="55B580DF" w:rsidR="003E134A" w:rsidRDefault="00224870" w:rsidP="00FC58EA">
      <w:pPr>
        <w:pStyle w:val="BodyText"/>
      </w:pPr>
      <w:r w:rsidRPr="008C16E5">
        <w:t xml:space="preserve">Currently </w:t>
      </w:r>
      <w:r w:rsidR="00483075">
        <w:t xml:space="preserve">VET and </w:t>
      </w:r>
      <w:r w:rsidR="006E36F3">
        <w:t>Higher Education</w:t>
      </w:r>
      <w:r w:rsidRPr="008C16E5">
        <w:t xml:space="preserve"> are not consistent or complementary in the way that they collect and report data. </w:t>
      </w:r>
      <w:r w:rsidR="00013D77">
        <w:t xml:space="preserve">This affects </w:t>
      </w:r>
      <w:r w:rsidR="001270AA">
        <w:t>student</w:t>
      </w:r>
      <w:r w:rsidR="00013D77">
        <w:t xml:space="preserve"> choice about </w:t>
      </w:r>
      <w:r w:rsidR="001270AA">
        <w:t>education</w:t>
      </w:r>
      <w:r w:rsidR="00013D77">
        <w:t xml:space="preserve"> pathways and the benefits t</w:t>
      </w:r>
      <w:r w:rsidR="001270AA">
        <w:t>h</w:t>
      </w:r>
      <w:r w:rsidR="00013D77">
        <w:t xml:space="preserve">ey offer, and also hinders the ability of governments to make </w:t>
      </w:r>
      <w:r w:rsidR="001270AA">
        <w:t>funding</w:t>
      </w:r>
      <w:r w:rsidR="00013D77">
        <w:t xml:space="preserve"> decisions based </w:t>
      </w:r>
      <w:r w:rsidR="001270AA">
        <w:t>o</w:t>
      </w:r>
      <w:r w:rsidR="00013D77">
        <w:t>n the best outcomes for students and the labour market</w:t>
      </w:r>
      <w:r w:rsidR="00EB39C7">
        <w:t xml:space="preserve"> (Recommendation 1</w:t>
      </w:r>
      <w:r w:rsidR="006A6D3A">
        <w:t>8</w:t>
      </w:r>
      <w:r w:rsidR="00EB39C7">
        <w:t>)</w:t>
      </w:r>
      <w:r w:rsidR="00013D77">
        <w:t>.</w:t>
      </w:r>
    </w:p>
    <w:p w14:paraId="3065393E" w14:textId="77777777" w:rsidR="00A24141" w:rsidRDefault="00224870" w:rsidP="00FC58EA">
      <w:pPr>
        <w:pStyle w:val="BodyText"/>
      </w:pPr>
      <w:r w:rsidRPr="008C16E5">
        <w:t xml:space="preserve">Efforts will need to be made to reconcile misaligned data collection and </w:t>
      </w:r>
      <w:r w:rsidR="00E71233" w:rsidRPr="008C16E5">
        <w:t>reporting and</w:t>
      </w:r>
      <w:r w:rsidRPr="008C16E5">
        <w:t xml:space="preserve"> generate </w:t>
      </w:r>
      <w:r w:rsidR="00D638A8">
        <w:t>data</w:t>
      </w:r>
      <w:r w:rsidRPr="008C16E5">
        <w:t xml:space="preserve"> to support harmonisation efforts.</w:t>
      </w:r>
    </w:p>
    <w:p w14:paraId="72612057" w14:textId="77777777" w:rsidR="00D96CD1" w:rsidRDefault="00A6558F" w:rsidP="00FC58EA">
      <w:pPr>
        <w:pStyle w:val="BodyText"/>
      </w:pPr>
      <w:r>
        <w:t xml:space="preserve">The path to boosting tertiary data harmonisation will help providers opt-in to </w:t>
      </w:r>
      <w:r w:rsidR="004B793B">
        <w:t xml:space="preserve">harmonisation initiatives by making potential </w:t>
      </w:r>
      <w:r w:rsidR="00605AE9">
        <w:t>partnerships more obvious</w:t>
      </w:r>
      <w:r w:rsidR="00A6760B">
        <w:t>. It</w:t>
      </w:r>
      <w:r w:rsidR="002567CC">
        <w:t xml:space="preserve"> will </w:t>
      </w:r>
      <w:r w:rsidR="00A6760B">
        <w:t>ease the administrative burden associated with</w:t>
      </w:r>
      <w:r w:rsidR="00EE6838">
        <w:t xml:space="preserve"> credit transfer and</w:t>
      </w:r>
      <w:r w:rsidR="002567CC">
        <w:t xml:space="preserve"> make </w:t>
      </w:r>
      <w:r w:rsidR="00CA6025">
        <w:t>student mobility more visible</w:t>
      </w:r>
      <w:r w:rsidR="006B000E">
        <w:t xml:space="preserve">, enabling </w:t>
      </w:r>
      <w:r w:rsidR="00203245">
        <w:t xml:space="preserve">institutions and industries to develop </w:t>
      </w:r>
      <w:r w:rsidR="006B000E">
        <w:t xml:space="preserve">targeted programs in areas of </w:t>
      </w:r>
      <w:r w:rsidR="00741A2A">
        <w:t>significant student</w:t>
      </w:r>
      <w:r w:rsidR="006B000E">
        <w:t xml:space="preserve"> demand</w:t>
      </w:r>
      <w:r w:rsidR="00D6415C">
        <w:t xml:space="preserve"> (</w:t>
      </w:r>
      <w:r w:rsidR="00F2770D">
        <w:t xml:space="preserve">see </w:t>
      </w:r>
      <w:r w:rsidR="00D6415C">
        <w:t xml:space="preserve">Recommendation </w:t>
      </w:r>
      <w:r w:rsidR="006A6D3A">
        <w:t>9</w:t>
      </w:r>
      <w:r w:rsidR="00D6415C">
        <w:t>)</w:t>
      </w:r>
      <w:r w:rsidR="006B000E">
        <w:t>.</w:t>
      </w:r>
    </w:p>
    <w:p w14:paraId="326A92A3" w14:textId="120F5CA0" w:rsidR="001A43D2" w:rsidRDefault="001A43D2">
      <w:pPr>
        <w:spacing w:before="0" w:after="200" w:line="276" w:lineRule="auto"/>
        <w:rPr>
          <w:lang w:eastAsia="en-AU"/>
        </w:rPr>
      </w:pPr>
      <w:r>
        <w:rPr>
          <w:lang w:eastAsia="en-AU"/>
        </w:rPr>
        <w:br w:type="page"/>
      </w:r>
    </w:p>
    <w:p w14:paraId="5BB45C17" w14:textId="2B496DF1" w:rsidR="000B717C" w:rsidRDefault="003510F5" w:rsidP="004E37DB">
      <w:pPr>
        <w:pStyle w:val="Heading1"/>
        <w:spacing w:before="0" w:after="120"/>
      </w:pPr>
      <w:bookmarkStart w:id="170" w:name="_Toc189060457"/>
      <w:bookmarkStart w:id="171" w:name="_Toc189060547"/>
      <w:bookmarkStart w:id="172" w:name="_Toc190980915"/>
      <w:r>
        <w:lastRenderedPageBreak/>
        <w:t>A pathway to harmonisation</w:t>
      </w:r>
      <w:r w:rsidR="00C563BA">
        <w:t xml:space="preserve"> </w:t>
      </w:r>
      <w:r w:rsidR="008647F9">
        <w:t>–</w:t>
      </w:r>
      <w:r w:rsidR="00E2460B">
        <w:t xml:space="preserve"> concluding remarks and recommendations</w:t>
      </w:r>
      <w:bookmarkEnd w:id="170"/>
      <w:bookmarkEnd w:id="171"/>
      <w:bookmarkEnd w:id="172"/>
    </w:p>
    <w:tbl>
      <w:tblPr>
        <w:tblStyle w:val="CustomTablekeythemes"/>
        <w:tblW w:w="9027" w:type="dxa"/>
        <w:tblLook w:val="04A0" w:firstRow="1" w:lastRow="0" w:firstColumn="1" w:lastColumn="0" w:noHBand="0" w:noVBand="1"/>
      </w:tblPr>
      <w:tblGrid>
        <w:gridCol w:w="9027"/>
      </w:tblGrid>
      <w:tr w:rsidR="00390711" w14:paraId="253C9B9F" w14:textId="77777777" w:rsidTr="008C2370">
        <w:tc>
          <w:tcPr>
            <w:tcW w:w="9027" w:type="dxa"/>
          </w:tcPr>
          <w:p w14:paraId="30C9A7E0" w14:textId="77777777" w:rsidR="00390711" w:rsidRPr="00390711" w:rsidRDefault="00390711" w:rsidP="00390711">
            <w:pPr>
              <w:rPr>
                <w:rStyle w:val="Characterbold"/>
              </w:rPr>
            </w:pPr>
            <w:r w:rsidRPr="00041B44">
              <w:rPr>
                <w:rStyle w:val="Characterbold"/>
              </w:rPr>
              <w:t>K</w:t>
            </w:r>
            <w:r w:rsidRPr="00390711">
              <w:rPr>
                <w:rStyle w:val="Characterbold"/>
              </w:rPr>
              <w:t>ey themes in this chapter</w:t>
            </w:r>
          </w:p>
          <w:p w14:paraId="57B2E2A2" w14:textId="77777777" w:rsidR="00D96CD1" w:rsidRDefault="00F27795" w:rsidP="001A5D90">
            <w:pPr>
              <w:pStyle w:val="ListBullet"/>
              <w:numPr>
                <w:ilvl w:val="0"/>
                <w:numId w:val="2"/>
              </w:numPr>
            </w:pPr>
            <w:r>
              <w:t>There is currently a window of opportunity to produce and implement a roadmap to tertiary reform</w:t>
            </w:r>
            <w:r w:rsidR="00B71906">
              <w:t xml:space="preserve"> –</w:t>
            </w:r>
            <w:r w:rsidR="00E936B1">
              <w:t xml:space="preserve"> building</w:t>
            </w:r>
            <w:r w:rsidR="00821003">
              <w:t xml:space="preserve"> on </w:t>
            </w:r>
            <w:r w:rsidR="007779B9">
              <w:t>accelerating momentum in the sector</w:t>
            </w:r>
            <w:r w:rsidR="00DD6871">
              <w:t xml:space="preserve"> and </w:t>
            </w:r>
            <w:r w:rsidR="00671E13">
              <w:t>the economic and strategic imperatives that have been growing for decades</w:t>
            </w:r>
            <w:r w:rsidR="00AC4291">
              <w:t>.</w:t>
            </w:r>
          </w:p>
          <w:p w14:paraId="234EF8FF" w14:textId="68D53DDB" w:rsidR="00390711" w:rsidRDefault="00485720" w:rsidP="001A5D90">
            <w:pPr>
              <w:pStyle w:val="ListBullet"/>
              <w:numPr>
                <w:ilvl w:val="0"/>
                <w:numId w:val="2"/>
              </w:numPr>
            </w:pPr>
            <w:r>
              <w:t xml:space="preserve">To enact </w:t>
            </w:r>
            <w:r w:rsidR="002D6D49">
              <w:t>this reform and harmonise</w:t>
            </w:r>
            <w:r w:rsidR="00EE5C9B">
              <w:t xml:space="preserve"> Australia's complex tertiary system </w:t>
            </w:r>
            <w:r w:rsidR="002D6D49">
              <w:t>will</w:t>
            </w:r>
            <w:r w:rsidR="00EE5C9B">
              <w:t xml:space="preserve"> require</w:t>
            </w:r>
            <w:r w:rsidR="00245369">
              <w:t xml:space="preserve"> a roadmap to enable system actors and elements to </w:t>
            </w:r>
            <w:r w:rsidR="002D6D49">
              <w:t>understand the</w:t>
            </w:r>
            <w:r w:rsidR="00D14BE5">
              <w:t xml:space="preserve"> pathway to harmonisation and to enable</w:t>
            </w:r>
            <w:r w:rsidR="002D6D49">
              <w:t xml:space="preserve"> </w:t>
            </w:r>
            <w:r w:rsidR="00CE1279">
              <w:t>collaborat</w:t>
            </w:r>
            <w:r w:rsidR="00D14BE5">
              <w:t>ion</w:t>
            </w:r>
            <w:r w:rsidR="0010415E">
              <w:t>.</w:t>
            </w:r>
          </w:p>
          <w:p w14:paraId="579ABFF8" w14:textId="4A5EEB81" w:rsidR="0053211C" w:rsidRPr="003926AC" w:rsidRDefault="00466769" w:rsidP="001A5D90">
            <w:pPr>
              <w:pStyle w:val="ListBullet"/>
              <w:numPr>
                <w:ilvl w:val="0"/>
                <w:numId w:val="2"/>
              </w:numPr>
              <w:rPr>
                <w:rStyle w:val="Characterbold"/>
                <w:bCs/>
              </w:rPr>
            </w:pPr>
            <w:r>
              <w:rPr>
                <w:rStyle w:val="Characterbold"/>
                <w:b w:val="0"/>
              </w:rPr>
              <w:t>A</w:t>
            </w:r>
            <w:r w:rsidR="00BF502B" w:rsidRPr="008C4FCD">
              <w:rPr>
                <w:rStyle w:val="Characterbold"/>
                <w:b w:val="0"/>
              </w:rPr>
              <w:t>n appropriate governance</w:t>
            </w:r>
            <w:r w:rsidR="00950A17" w:rsidRPr="008C4FCD">
              <w:rPr>
                <w:rStyle w:val="Characterbold"/>
                <w:b w:val="0"/>
              </w:rPr>
              <w:t xml:space="preserve"> </w:t>
            </w:r>
            <w:r w:rsidR="0053211C" w:rsidRPr="0053211C">
              <w:rPr>
                <w:rStyle w:val="Characterbold"/>
                <w:b w:val="0"/>
                <w:bCs/>
              </w:rPr>
              <w:t>structure</w:t>
            </w:r>
            <w:r w:rsidR="00BF502B" w:rsidRPr="008C4FCD">
              <w:rPr>
                <w:rStyle w:val="Characterbold"/>
                <w:b w:val="0"/>
              </w:rPr>
              <w:t xml:space="preserve"> </w:t>
            </w:r>
            <w:r w:rsidR="00950A17">
              <w:t xml:space="preserve">that includes the </w:t>
            </w:r>
            <w:r w:rsidR="00D23C32">
              <w:t>Australian</w:t>
            </w:r>
            <w:r w:rsidR="009E67D0">
              <w:t xml:space="preserve"> and </w:t>
            </w:r>
            <w:r w:rsidR="00D23C32">
              <w:t>s</w:t>
            </w:r>
            <w:r w:rsidR="009E67D0">
              <w:t xml:space="preserve">tate and </w:t>
            </w:r>
            <w:r w:rsidR="00D23C32">
              <w:t>t</w:t>
            </w:r>
            <w:r w:rsidR="009E67D0">
              <w:t xml:space="preserve">erritory </w:t>
            </w:r>
            <w:r w:rsidR="00D23C32">
              <w:t>g</w:t>
            </w:r>
            <w:r w:rsidR="009E67D0">
              <w:t xml:space="preserve">overnments </w:t>
            </w:r>
            <w:r w:rsidR="009E67D0" w:rsidRPr="008C4FCD">
              <w:rPr>
                <w:rStyle w:val="Characterbold"/>
                <w:b w:val="0"/>
              </w:rPr>
              <w:t>and other key actors</w:t>
            </w:r>
            <w:r w:rsidR="009E67D0">
              <w:t xml:space="preserve"> will be needed to</w:t>
            </w:r>
            <w:r w:rsidR="00D95FDB">
              <w:t xml:space="preserve"> facilitate</w:t>
            </w:r>
            <w:r w:rsidR="009E67D0">
              <w:t xml:space="preserve"> </w:t>
            </w:r>
            <w:r w:rsidR="00D95FDB" w:rsidRPr="008C4FCD">
              <w:rPr>
                <w:rStyle w:val="Characterbold"/>
                <w:b w:val="0"/>
              </w:rPr>
              <w:t>the roadmap, with ATEC leading the work on its development</w:t>
            </w:r>
            <w:r w:rsidR="003926AC">
              <w:rPr>
                <w:rStyle w:val="Characterbold"/>
                <w:b w:val="0"/>
                <w:bCs/>
              </w:rPr>
              <w:t xml:space="preserve"> </w:t>
            </w:r>
            <w:r w:rsidR="00973E71" w:rsidRPr="007B68C2">
              <w:rPr>
                <w:rStyle w:val="Characterbold"/>
                <w:b w:val="0"/>
              </w:rPr>
              <w:t>and ensuring</w:t>
            </w:r>
            <w:r w:rsidR="003926AC">
              <w:rPr>
                <w:rStyle w:val="Characterbold"/>
                <w:b w:val="0"/>
                <w:bCs/>
              </w:rPr>
              <w:t xml:space="preserve"> there are c</w:t>
            </w:r>
            <w:r w:rsidR="00464C54" w:rsidRPr="00464C54">
              <w:rPr>
                <w:rStyle w:val="Characterbold"/>
                <w:b w:val="0"/>
                <w:bCs/>
              </w:rPr>
              <w:t>lear roles and responsibilities</w:t>
            </w:r>
            <w:r w:rsidR="00352A76">
              <w:rPr>
                <w:rStyle w:val="Characterbold"/>
                <w:b w:val="0"/>
                <w:bCs/>
              </w:rPr>
              <w:t>.</w:t>
            </w:r>
          </w:p>
          <w:p w14:paraId="67E89814" w14:textId="77777777" w:rsidR="00D96CD1" w:rsidRDefault="006B4456" w:rsidP="001A5D90">
            <w:pPr>
              <w:pStyle w:val="ListBullet"/>
              <w:numPr>
                <w:ilvl w:val="0"/>
                <w:numId w:val="2"/>
              </w:numPr>
            </w:pPr>
            <w:r>
              <w:t xml:space="preserve">This report </w:t>
            </w:r>
            <w:r w:rsidR="001708FE">
              <w:t>outlines</w:t>
            </w:r>
            <w:r>
              <w:t xml:space="preserve"> </w:t>
            </w:r>
            <w:r w:rsidR="007F2074">
              <w:t>1</w:t>
            </w:r>
            <w:r w:rsidR="000B73AB">
              <w:t>9</w:t>
            </w:r>
            <w:r w:rsidR="007F2074">
              <w:t xml:space="preserve"> recommendations to enable the roadmap and set out key </w:t>
            </w:r>
            <w:r w:rsidR="00D60CCE">
              <w:t xml:space="preserve">early and medium-term </w:t>
            </w:r>
            <w:r w:rsidR="00E70F96">
              <w:t xml:space="preserve">roadmap </w:t>
            </w:r>
            <w:r w:rsidR="002B5680">
              <w:t>priorities.</w:t>
            </w:r>
          </w:p>
          <w:p w14:paraId="1698F5F6" w14:textId="0D50981F" w:rsidR="003926AC" w:rsidRDefault="0012607A" w:rsidP="001A5D90">
            <w:pPr>
              <w:pStyle w:val="ListBullet"/>
              <w:numPr>
                <w:ilvl w:val="0"/>
                <w:numId w:val="2"/>
              </w:numPr>
            </w:pPr>
            <w:r w:rsidRPr="0012607A">
              <w:t>Collaboration</w:t>
            </w:r>
            <w:r>
              <w:t xml:space="preserve"> between system actors to </w:t>
            </w:r>
            <w:r w:rsidR="00085D3A">
              <w:t>progress the harmonisation agenda</w:t>
            </w:r>
            <w:r w:rsidR="008628E6">
              <w:t xml:space="preserve"> is a key focus of the recommendations,</w:t>
            </w:r>
            <w:r w:rsidR="00F74189">
              <w:t xml:space="preserve"> </w:t>
            </w:r>
            <w:r w:rsidR="00085D3A">
              <w:t xml:space="preserve">including </w:t>
            </w:r>
            <w:r>
              <w:t>design</w:t>
            </w:r>
            <w:r w:rsidR="00085D3A">
              <w:t>ing</w:t>
            </w:r>
            <w:r>
              <w:t xml:space="preserve"> and develop</w:t>
            </w:r>
            <w:r w:rsidR="00085D3A">
              <w:t>ing</w:t>
            </w:r>
            <w:r>
              <w:t xml:space="preserve"> harmonisation projects</w:t>
            </w:r>
            <w:r w:rsidR="00F31471">
              <w:t xml:space="preserve"> </w:t>
            </w:r>
            <w:r w:rsidR="008F367D">
              <w:t xml:space="preserve">funded by industry and </w:t>
            </w:r>
            <w:r w:rsidR="00F31471">
              <w:t>government</w:t>
            </w:r>
            <w:r w:rsidR="00352A76">
              <w:t>.</w:t>
            </w:r>
          </w:p>
          <w:p w14:paraId="1CA1CF01" w14:textId="1C9D8B8B" w:rsidR="00352A76" w:rsidRDefault="00085D3A" w:rsidP="001A5D90">
            <w:pPr>
              <w:pStyle w:val="ListBullet"/>
              <w:numPr>
                <w:ilvl w:val="0"/>
                <w:numId w:val="2"/>
              </w:numPr>
            </w:pPr>
            <w:r>
              <w:t>Early priorities</w:t>
            </w:r>
            <w:r w:rsidR="00096813">
              <w:t xml:space="preserve"> include a national credit transfer system, </w:t>
            </w:r>
            <w:r w:rsidR="009F318B">
              <w:t xml:space="preserve">an innovation fund, </w:t>
            </w:r>
            <w:r w:rsidR="009A621C">
              <w:t xml:space="preserve">guidelines for nested and hybrid courses, </w:t>
            </w:r>
            <w:r w:rsidR="00470D8C">
              <w:t xml:space="preserve">extending </w:t>
            </w:r>
            <w:r w:rsidR="00F34F20">
              <w:t xml:space="preserve">existing </w:t>
            </w:r>
            <w:r w:rsidR="00470D8C">
              <w:t xml:space="preserve">collaboration </w:t>
            </w:r>
            <w:r w:rsidR="00F34F20">
              <w:t>between</w:t>
            </w:r>
            <w:r w:rsidR="004752A5">
              <w:t xml:space="preserve"> VET and </w:t>
            </w:r>
            <w:r w:rsidR="006E36F3">
              <w:t>Higher Education</w:t>
            </w:r>
            <w:r w:rsidR="00CF3A87">
              <w:t xml:space="preserve">, </w:t>
            </w:r>
            <w:r w:rsidR="00E53642">
              <w:t>consideration of CSP for TAFE</w:t>
            </w:r>
            <w:r w:rsidR="00192BA6">
              <w:t xml:space="preserve"> and </w:t>
            </w:r>
            <w:r w:rsidR="00182091">
              <w:t xml:space="preserve">a program of work for JSA </w:t>
            </w:r>
            <w:r w:rsidR="00C56FE2">
              <w:t>to work with</w:t>
            </w:r>
            <w:r w:rsidR="00182091">
              <w:t xml:space="preserve"> ATEC </w:t>
            </w:r>
            <w:r w:rsidR="00C56FE2">
              <w:t>on</w:t>
            </w:r>
            <w:r w:rsidR="00182091">
              <w:t xml:space="preserve"> VET funding models.</w:t>
            </w:r>
          </w:p>
          <w:p w14:paraId="433A0E1F" w14:textId="60445D23" w:rsidR="00CE1279" w:rsidRDefault="00363775" w:rsidP="001A5D90">
            <w:pPr>
              <w:pStyle w:val="ListBullet"/>
              <w:numPr>
                <w:ilvl w:val="0"/>
                <w:numId w:val="2"/>
              </w:numPr>
            </w:pPr>
            <w:r>
              <w:t xml:space="preserve">Medium term horizon priorities include AQF reform, </w:t>
            </w:r>
            <w:r w:rsidR="00307F3E">
              <w:t>the</w:t>
            </w:r>
            <w:r>
              <w:t xml:space="preserve"> NST</w:t>
            </w:r>
            <w:r w:rsidR="00307F3E">
              <w:t xml:space="preserve">, </w:t>
            </w:r>
            <w:r w:rsidR="00641D4B">
              <w:t xml:space="preserve">a strategy or tool to help students and industry navigate tertiary education, a </w:t>
            </w:r>
            <w:r w:rsidR="00641D4B" w:rsidRPr="00255987">
              <w:t>Tertiary Education National Data Asset</w:t>
            </w:r>
            <w:r w:rsidR="000A0988">
              <w:t xml:space="preserve">, </w:t>
            </w:r>
            <w:r w:rsidR="005143ED">
              <w:t xml:space="preserve">and </w:t>
            </w:r>
            <w:r w:rsidR="000A0988">
              <w:t xml:space="preserve">a set of nationally </w:t>
            </w:r>
            <w:r w:rsidR="000A0988" w:rsidRPr="00031225">
              <w:t xml:space="preserve">agreed principles </w:t>
            </w:r>
            <w:r w:rsidR="000A0988">
              <w:t>for tertiary education funding</w:t>
            </w:r>
            <w:r w:rsidR="005143ED">
              <w:t xml:space="preserve"> to support harmonisation.</w:t>
            </w:r>
          </w:p>
        </w:tc>
      </w:tr>
    </w:tbl>
    <w:p w14:paraId="36B7C223" w14:textId="77777777" w:rsidR="00D96CD1" w:rsidRDefault="00DD4C52" w:rsidP="00DE72E5">
      <w:pPr>
        <w:pStyle w:val="Heading2"/>
      </w:pPr>
      <w:bookmarkStart w:id="173" w:name="_Toc190980916"/>
      <w:bookmarkStart w:id="174" w:name="_Toc189060458"/>
      <w:bookmarkStart w:id="175" w:name="_Toc189060548"/>
      <w:r>
        <w:t>The path to harmonisation</w:t>
      </w:r>
      <w:bookmarkEnd w:id="173"/>
    </w:p>
    <w:p w14:paraId="6B87FD69" w14:textId="6E9073CF" w:rsidR="00DD4C52" w:rsidRDefault="00DD4C52" w:rsidP="00DD4C52">
      <w:pPr>
        <w:pStyle w:val="BodyText"/>
        <w:rPr>
          <w:lang w:eastAsia="en-GB"/>
        </w:rPr>
      </w:pPr>
      <w:r>
        <w:t xml:space="preserve">The imperative to build better connections between VET and </w:t>
      </w:r>
      <w:r w:rsidR="006E36F3">
        <w:t>Higher Education</w:t>
      </w:r>
      <w:r>
        <w:t xml:space="preserve"> has been growing for decades. Emerging s</w:t>
      </w:r>
      <w:r w:rsidRPr="0098455C">
        <w:t>trategic and economic drivers</w:t>
      </w:r>
      <w:r>
        <w:t xml:space="preserve"> are now making </w:t>
      </w:r>
      <w:r w:rsidRPr="0098455C">
        <w:t>harmonisation</w:t>
      </w:r>
      <w:r w:rsidRPr="00CC2FCC">
        <w:t xml:space="preserve"> </w:t>
      </w:r>
      <w:r>
        <w:t>more urgent. N</w:t>
      </w:r>
      <w:r w:rsidRPr="000F373B">
        <w:rPr>
          <w:lang w:eastAsia="en-GB"/>
        </w:rPr>
        <w:t>ational priorities and industrial transitions</w:t>
      </w:r>
      <w:r>
        <w:t xml:space="preserve"> in priority areas such as clean energy, early childhood education, health care and defence industries need a harmonised tertiary sector to produce graduates with the necessary skills.</w:t>
      </w:r>
    </w:p>
    <w:p w14:paraId="5B1194C9" w14:textId="77777777" w:rsidR="00DD4C52" w:rsidRDefault="00DD4C52" w:rsidP="00DD4C52">
      <w:r>
        <w:t xml:space="preserve">Momentum has accelerated in recent years, creating a window of opportunity to produce a roadmap to reform. This includes reforms already underway, pilot projects that test the </w:t>
      </w:r>
      <w:r>
        <w:lastRenderedPageBreak/>
        <w:t>veracity of tertiary harmonisation and government initiatives that establish some of the institutional infrastructure that will enable the roadmap to be developed.</w:t>
      </w:r>
    </w:p>
    <w:p w14:paraId="4C85D5BC" w14:textId="77777777" w:rsidR="00DD4C52" w:rsidRDefault="00DD4C52" w:rsidP="00DD4C52"/>
    <w:p w14:paraId="45656AA8" w14:textId="77777777" w:rsidR="00DD4C52" w:rsidRPr="00D34DC1" w:rsidRDefault="00DD4C52" w:rsidP="00DD4C52">
      <w:r>
        <w:t>Reforms and projects that have begun to forge the pathway to tertiary harmonisation include:</w:t>
      </w:r>
    </w:p>
    <w:p w14:paraId="5EB9954F" w14:textId="77777777" w:rsidR="00DD4C52" w:rsidRPr="0066657B" w:rsidRDefault="00DD4C52" w:rsidP="007A4E5A">
      <w:pPr>
        <w:pStyle w:val="ListBullet"/>
        <w:numPr>
          <w:ilvl w:val="0"/>
          <w:numId w:val="2"/>
        </w:numPr>
        <w:rPr>
          <w:rStyle w:val="Characterbold"/>
          <w:b w:val="0"/>
        </w:rPr>
      </w:pPr>
      <w:r w:rsidRPr="0066657B">
        <w:rPr>
          <w:rStyle w:val="Characterbold"/>
          <w:b w:val="0"/>
        </w:rPr>
        <w:t>AQF Review and moves to develop a National Skills Taxonomy</w:t>
      </w:r>
    </w:p>
    <w:p w14:paraId="10A1CF38" w14:textId="77777777" w:rsidR="00DD4C52" w:rsidRPr="0066657B" w:rsidRDefault="00DD4C52" w:rsidP="00DD4C52">
      <w:pPr>
        <w:pStyle w:val="ListBullet"/>
        <w:numPr>
          <w:ilvl w:val="0"/>
          <w:numId w:val="2"/>
        </w:numPr>
        <w:rPr>
          <w:rStyle w:val="Characterbold"/>
          <w:b w:val="0"/>
        </w:rPr>
      </w:pPr>
      <w:r w:rsidRPr="0066657B">
        <w:rPr>
          <w:rStyle w:val="Characterbold"/>
          <w:b w:val="0"/>
        </w:rPr>
        <w:t>VET Qualification reform, including revised models for VET qualifications</w:t>
      </w:r>
    </w:p>
    <w:p w14:paraId="5B8A6D02" w14:textId="11B45B87" w:rsidR="00DD4C52" w:rsidRDefault="00DD4C52">
      <w:pPr>
        <w:pStyle w:val="ListBullet"/>
        <w:numPr>
          <w:ilvl w:val="0"/>
          <w:numId w:val="2"/>
        </w:numPr>
      </w:pPr>
      <w:r w:rsidRPr="0066657B">
        <w:rPr>
          <w:rStyle w:val="Characterbold"/>
          <w:b w:val="0"/>
        </w:rPr>
        <w:t>Tertiary Harmonisation Budget Measures, including the implementation of the Australian Tertiary Education Commission.</w:t>
      </w:r>
    </w:p>
    <w:p w14:paraId="4A762FAA" w14:textId="29120D64" w:rsidR="00DD4C52" w:rsidRDefault="00DD4C52" w:rsidP="00DE72E5">
      <w:pPr>
        <w:pStyle w:val="Heading2"/>
      </w:pPr>
      <w:bookmarkStart w:id="176" w:name="_Toc190980917"/>
      <w:r w:rsidRPr="00B9286A">
        <w:t>Tertiary Harmonisation Roadmap</w:t>
      </w:r>
      <w:bookmarkEnd w:id="176"/>
    </w:p>
    <w:p w14:paraId="6EFA031B" w14:textId="77777777" w:rsidR="00DD4C52" w:rsidRDefault="00DD4C52" w:rsidP="00DD4C52">
      <w:pPr>
        <w:pStyle w:val="BodyText"/>
      </w:pPr>
      <w:r>
        <w:t xml:space="preserve">This report </w:t>
      </w:r>
      <w:r w:rsidRPr="00010917">
        <w:t>articulate</w:t>
      </w:r>
      <w:r>
        <w:t>s</w:t>
      </w:r>
      <w:r w:rsidRPr="00010917">
        <w:t xml:space="preserve"> the benefits of tertiary harmonisation, provide</w:t>
      </w:r>
      <w:r>
        <w:t>s</w:t>
      </w:r>
      <w:r w:rsidRPr="00010917">
        <w:t xml:space="preserve"> a definition and describe</w:t>
      </w:r>
      <w:r>
        <w:t>s</w:t>
      </w:r>
      <w:r w:rsidRPr="00010917">
        <w:t xml:space="preserve"> a pathway towards the implementation of tertiary harmonisation at a national scale through collaboration with system actors.</w:t>
      </w:r>
    </w:p>
    <w:p w14:paraId="4F41C51D" w14:textId="77777777" w:rsidR="00D96CD1" w:rsidRDefault="00DD4C52" w:rsidP="00DD4C52">
      <w:pPr>
        <w:pStyle w:val="BodyText"/>
      </w:pPr>
      <w:r>
        <w:t xml:space="preserve">This is an ambitious but achievable agenda where all key actors can cooperate. The segmentation of this challenge into the pillars and elements </w:t>
      </w:r>
      <w:r w:rsidR="000E5184">
        <w:t>will</w:t>
      </w:r>
      <w:r>
        <w:t xml:space="preserve"> help policy makers and tertiary system actors to make progress. It will be important, however, for the Australian and state and territory Governments to commit to a way forward that draws these elements together in a coherent and achievable manner.</w:t>
      </w:r>
    </w:p>
    <w:p w14:paraId="6C5BD252" w14:textId="4B928694" w:rsidR="00DD4C52" w:rsidRDefault="00DD4C52" w:rsidP="00DD4C52">
      <w:pPr>
        <w:pStyle w:val="BodyText"/>
      </w:pPr>
      <w:r>
        <w:t>The recommendations below outline a structure through which to achieve this.</w:t>
      </w:r>
    </w:p>
    <w:p w14:paraId="19A07340" w14:textId="3B01BF43" w:rsidR="00DD4C52" w:rsidRDefault="0095206E" w:rsidP="00DE72E5">
      <w:pPr>
        <w:pStyle w:val="Heading3"/>
      </w:pPr>
      <w:r>
        <w:t>Making a roadmap possible</w:t>
      </w:r>
    </w:p>
    <w:p w14:paraId="2284FEB8" w14:textId="77777777" w:rsidR="00D96CD1" w:rsidRDefault="004D7BE3" w:rsidP="004D7BE3">
      <w:pPr>
        <w:tabs>
          <w:tab w:val="left" w:pos="357"/>
          <w:tab w:val="left" w:pos="714"/>
          <w:tab w:val="left" w:pos="1072"/>
          <w:tab w:val="left" w:pos="1429"/>
        </w:tabs>
        <w:spacing w:before="120" w:after="120" w:line="276" w:lineRule="auto"/>
        <w:rPr>
          <w:b/>
        </w:rPr>
      </w:pPr>
      <w:r w:rsidRPr="004D7BE3">
        <w:rPr>
          <w:b/>
        </w:rPr>
        <w:t>Recommendation 1: That the Australian Government and state and territory governments agree to collaborate on the development and implementation of a roadmap for tertiary harmonisation.</w:t>
      </w:r>
    </w:p>
    <w:p w14:paraId="29F914A0" w14:textId="650F999D" w:rsidR="00D96CD1" w:rsidRDefault="00DD4C52" w:rsidP="00DD4C52">
      <w:pPr>
        <w:pStyle w:val="BodyText"/>
      </w:pPr>
      <w:r>
        <w:t xml:space="preserve">In agreeing on a roadmap, the Australian </w:t>
      </w:r>
      <w:r w:rsidR="007C52FF">
        <w:t>G</w:t>
      </w:r>
      <w:r>
        <w:t xml:space="preserve">overnment and the </w:t>
      </w:r>
      <w:r w:rsidR="00493248">
        <w:t>s</w:t>
      </w:r>
      <w:r>
        <w:t xml:space="preserve">tates and </w:t>
      </w:r>
      <w:r w:rsidR="00493248">
        <w:t>t</w:t>
      </w:r>
      <w:r>
        <w:t xml:space="preserve">erritories would note that tertiary harmonisation is the strategic alignment of the VET and </w:t>
      </w:r>
      <w:r w:rsidR="00BD643A">
        <w:t>H</w:t>
      </w:r>
      <w:r>
        <w:t xml:space="preserve">igher </w:t>
      </w:r>
      <w:r w:rsidR="00BD643A">
        <w:t>E</w:t>
      </w:r>
      <w:r>
        <w:t xml:space="preserve">ducation sectors, to enable learners to obtain the combination of knowledge and skills and the ability to apply that knowledge and </w:t>
      </w:r>
      <w:r w:rsidR="00481D46">
        <w:t xml:space="preserve">those </w:t>
      </w:r>
      <w:r>
        <w:t xml:space="preserve">skills in relevant contexts, </w:t>
      </w:r>
      <w:r w:rsidR="002D3F27">
        <w:t xml:space="preserve">which are </w:t>
      </w:r>
      <w:r>
        <w:t>needed to be successful in a changing labour market.</w:t>
      </w:r>
    </w:p>
    <w:p w14:paraId="7BA60F49" w14:textId="55CCB999" w:rsidR="00773013" w:rsidRDefault="00773013" w:rsidP="00773013">
      <w:pPr>
        <w:pStyle w:val="BodyText"/>
      </w:pPr>
      <w:r>
        <w:t>Tertiary harmonisation is not about merging or integrating VET and Higher Education. But tertiary harmonisation would result in a more joined-up tertiary system. This will facilitate greater collaboration between VET and Higher Education providers, enabling them to work together more effectively with learners and industry, making it easier to navigate between them.</w:t>
      </w:r>
    </w:p>
    <w:p w14:paraId="340F5878" w14:textId="77777777" w:rsidR="00DC752F" w:rsidRDefault="00DC752F" w:rsidP="00773013">
      <w:pPr>
        <w:pStyle w:val="BodyText"/>
      </w:pPr>
    </w:p>
    <w:p w14:paraId="56A5E1A2" w14:textId="4C3C2CAE" w:rsidR="0097360E" w:rsidRPr="0097360E" w:rsidRDefault="0097360E" w:rsidP="0097360E">
      <w:pPr>
        <w:pStyle w:val="BodyText"/>
        <w:rPr>
          <w:b/>
          <w:bCs/>
        </w:rPr>
      </w:pPr>
      <w:r>
        <w:rPr>
          <w:b/>
          <w:bCs/>
        </w:rPr>
        <w:t xml:space="preserve">Recommendation 2: </w:t>
      </w:r>
      <w:r w:rsidRPr="0097360E">
        <w:rPr>
          <w:b/>
          <w:bCs/>
        </w:rPr>
        <w:t xml:space="preserve">That the Australian and </w:t>
      </w:r>
      <w:r w:rsidR="002537FF">
        <w:rPr>
          <w:b/>
          <w:bCs/>
        </w:rPr>
        <w:t>s</w:t>
      </w:r>
      <w:r w:rsidRPr="0097360E">
        <w:rPr>
          <w:b/>
          <w:bCs/>
        </w:rPr>
        <w:t xml:space="preserve">tate and </w:t>
      </w:r>
      <w:r w:rsidR="002537FF">
        <w:rPr>
          <w:b/>
          <w:bCs/>
        </w:rPr>
        <w:t>t</w:t>
      </w:r>
      <w:r w:rsidRPr="0097360E">
        <w:rPr>
          <w:b/>
          <w:bCs/>
        </w:rPr>
        <w:t>erritory governments agree that the</w:t>
      </w:r>
      <w:r w:rsidR="00AC6196">
        <w:rPr>
          <w:b/>
          <w:bCs/>
        </w:rPr>
        <w:t xml:space="preserve"> </w:t>
      </w:r>
      <w:r w:rsidRPr="0097360E">
        <w:rPr>
          <w:b/>
          <w:bCs/>
        </w:rPr>
        <w:t>principal</w:t>
      </w:r>
      <w:r w:rsidR="00240697">
        <w:rPr>
          <w:b/>
          <w:bCs/>
        </w:rPr>
        <w:t xml:space="preserve"> </w:t>
      </w:r>
      <w:r w:rsidRPr="0097360E">
        <w:rPr>
          <w:b/>
          <w:bCs/>
        </w:rPr>
        <w:t>purpose</w:t>
      </w:r>
      <w:r w:rsidR="00240697">
        <w:rPr>
          <w:b/>
          <w:bCs/>
        </w:rPr>
        <w:t xml:space="preserve"> </w:t>
      </w:r>
      <w:r w:rsidRPr="0097360E">
        <w:rPr>
          <w:b/>
          <w:bCs/>
        </w:rPr>
        <w:t>of the roadmap</w:t>
      </w:r>
      <w:r w:rsidR="000F36D0">
        <w:rPr>
          <w:b/>
          <w:bCs/>
        </w:rPr>
        <w:t xml:space="preserve"> </w:t>
      </w:r>
      <w:r w:rsidR="0004506D">
        <w:rPr>
          <w:b/>
          <w:bCs/>
        </w:rPr>
        <w:t>is</w:t>
      </w:r>
      <w:r w:rsidRPr="0097360E">
        <w:rPr>
          <w:b/>
          <w:bCs/>
        </w:rPr>
        <w:t xml:space="preserve"> to support effective coordination and cooperation between the VET and Higher Education sectors in order to:</w:t>
      </w:r>
    </w:p>
    <w:p w14:paraId="07F1701E" w14:textId="77777777" w:rsidR="00D96CD1" w:rsidRDefault="0097360E" w:rsidP="00970499">
      <w:pPr>
        <w:pStyle w:val="BodyText"/>
        <w:numPr>
          <w:ilvl w:val="0"/>
          <w:numId w:val="26"/>
        </w:numPr>
        <w:tabs>
          <w:tab w:val="clear" w:pos="720"/>
          <w:tab w:val="left" w:pos="714"/>
        </w:tabs>
        <w:rPr>
          <w:b/>
          <w:bCs/>
        </w:rPr>
      </w:pPr>
      <w:r w:rsidRPr="0097360E">
        <w:rPr>
          <w:b/>
          <w:bCs/>
        </w:rPr>
        <w:t>enable learners</w:t>
      </w:r>
      <w:r w:rsidR="006159B8">
        <w:rPr>
          <w:b/>
          <w:bCs/>
        </w:rPr>
        <w:t xml:space="preserve"> </w:t>
      </w:r>
      <w:r w:rsidRPr="0097360E">
        <w:rPr>
          <w:b/>
          <w:bCs/>
        </w:rPr>
        <w:t>to</w:t>
      </w:r>
      <w:r w:rsidR="006159B8">
        <w:rPr>
          <w:b/>
          <w:bCs/>
        </w:rPr>
        <w:t xml:space="preserve"> </w:t>
      </w:r>
      <w:r w:rsidRPr="0097360E">
        <w:rPr>
          <w:b/>
          <w:bCs/>
        </w:rPr>
        <w:t>obtain the skills and knowledge they need to be successful in the labour market and life,</w:t>
      </w:r>
      <w:r w:rsidR="000F36D0">
        <w:rPr>
          <w:b/>
          <w:bCs/>
        </w:rPr>
        <w:t xml:space="preserve"> </w:t>
      </w:r>
      <w:r w:rsidRPr="0097360E">
        <w:rPr>
          <w:b/>
          <w:bCs/>
        </w:rPr>
        <w:t>and</w:t>
      </w:r>
    </w:p>
    <w:p w14:paraId="28D05272" w14:textId="77777777" w:rsidR="00D96CD1" w:rsidRDefault="0097360E">
      <w:pPr>
        <w:pStyle w:val="BodyText"/>
        <w:numPr>
          <w:ilvl w:val="0"/>
          <w:numId w:val="26"/>
        </w:numPr>
        <w:tabs>
          <w:tab w:val="clear" w:pos="720"/>
          <w:tab w:val="left" w:pos="714"/>
        </w:tabs>
        <w:rPr>
          <w:b/>
          <w:bCs/>
        </w:rPr>
      </w:pPr>
      <w:r w:rsidRPr="0097360E">
        <w:rPr>
          <w:b/>
          <w:bCs/>
        </w:rPr>
        <w:t>increase the productivity of Australian industry</w:t>
      </w:r>
      <w:r w:rsidR="003B011D" w:rsidRPr="003B011D">
        <w:rPr>
          <w:b/>
          <w:bCs/>
        </w:rPr>
        <w:t>;</w:t>
      </w:r>
    </w:p>
    <w:p w14:paraId="4FBD7ABF" w14:textId="1FF22DB6" w:rsidR="0097360E" w:rsidRPr="0097360E" w:rsidRDefault="003B011D" w:rsidP="008F5194">
      <w:pPr>
        <w:pStyle w:val="BodyText"/>
        <w:rPr>
          <w:b/>
          <w:bCs/>
        </w:rPr>
      </w:pPr>
      <w:r>
        <w:rPr>
          <w:b/>
          <w:bCs/>
        </w:rPr>
        <w:t>t</w:t>
      </w:r>
      <w:r w:rsidR="0097360E" w:rsidRPr="0097360E">
        <w:rPr>
          <w:b/>
          <w:bCs/>
        </w:rPr>
        <w:t>he</w:t>
      </w:r>
      <w:r w:rsidR="00967D92" w:rsidRPr="003B011D">
        <w:rPr>
          <w:b/>
          <w:bCs/>
        </w:rPr>
        <w:t xml:space="preserve"> </w:t>
      </w:r>
      <w:r w:rsidR="0097360E" w:rsidRPr="0097360E">
        <w:rPr>
          <w:b/>
          <w:bCs/>
        </w:rPr>
        <w:t>two</w:t>
      </w:r>
      <w:r w:rsidR="00967D92" w:rsidRPr="003B011D">
        <w:rPr>
          <w:b/>
          <w:bCs/>
        </w:rPr>
        <w:t xml:space="preserve"> </w:t>
      </w:r>
      <w:r w:rsidR="0097360E" w:rsidRPr="0097360E">
        <w:rPr>
          <w:b/>
          <w:bCs/>
        </w:rPr>
        <w:t>sectors being on an equal footing</w:t>
      </w:r>
      <w:r w:rsidR="00B42AA6" w:rsidRPr="003B011D">
        <w:rPr>
          <w:b/>
          <w:bCs/>
        </w:rPr>
        <w:t>,</w:t>
      </w:r>
      <w:r w:rsidR="0097360E" w:rsidRPr="0097360E">
        <w:rPr>
          <w:b/>
          <w:bCs/>
        </w:rPr>
        <w:t xml:space="preserve"> drawing on their distinct strengths and complementary roles in a dynamic tertiary education system.</w:t>
      </w:r>
    </w:p>
    <w:p w14:paraId="1561360E" w14:textId="77777777" w:rsidR="00D96CD1" w:rsidRDefault="00773013" w:rsidP="00773013">
      <w:pPr>
        <w:pStyle w:val="BodyText"/>
      </w:pPr>
      <w:r>
        <w:lastRenderedPageBreak/>
        <w:t>The harmonisation agenda will need to recognise the distinctive contributions that each sector makes to learners and to industry and the community.</w:t>
      </w:r>
    </w:p>
    <w:p w14:paraId="5299930E" w14:textId="0F74F82B" w:rsidR="00D96CD1" w:rsidRDefault="00773013" w:rsidP="00773013">
      <w:pPr>
        <w:pStyle w:val="BodyText"/>
      </w:pPr>
      <w:r>
        <w:t>It will be a valuable opportunity to work to reach a common understanding of what those distinctive contributions are, which need to be preserved and nurtured in the collaboration agenda.</w:t>
      </w:r>
    </w:p>
    <w:p w14:paraId="4CDD2A92" w14:textId="77777777" w:rsidR="00D96CD1" w:rsidRDefault="00773013" w:rsidP="00773013">
      <w:pPr>
        <w:pStyle w:val="BodyText"/>
      </w:pPr>
      <w:r>
        <w:t>For example, both sectors contribute to the knowledge and skills of learners and their ability to apply that knowledge and those skills. But they do so in different ways, use different learning styles and tend to have different but overlapping target learners. VET is especially focussed on generic, technical and work-related skills needed for a wide range of occupations, including technical, paraprofessional, services and care sector occupations. And their training packages are specifically linked to those occupations. But in so doing they also impart the knowledge needed to support those skills.</w:t>
      </w:r>
    </w:p>
    <w:p w14:paraId="3C65E5F9" w14:textId="0A648208" w:rsidR="00773013" w:rsidRDefault="00773013" w:rsidP="00773013">
      <w:pPr>
        <w:pStyle w:val="BodyText"/>
      </w:pPr>
      <w:r>
        <w:t>The VET sector also plays an important role in providing foundation skills to learners who require these skills before they can undertake tertiary qualifications that directly relate to occupations. It has a strong tradition of working closely with industry and Jobs and Skills Councils have a key role in bringing an industry lens to the design of training packages. The VET sector has a key role in the learning undertaken by trade apprentices. Their proximity to hands-on problems that arise in day-to-day work mean that the VET sector also undertakes some applied research.</w:t>
      </w:r>
    </w:p>
    <w:p w14:paraId="4B9596E3" w14:textId="77777777" w:rsidR="00D96CD1" w:rsidRDefault="00773013" w:rsidP="00773013">
      <w:pPr>
        <w:pStyle w:val="BodyText"/>
      </w:pPr>
      <w:r>
        <w:t>Higher Education generally focusses on a disciplinary or multi-disciplinary knowledge-led approach to learning but also develops generic and specific skills that help learners to be successful in a varying range of occupations depending on the qualification in question. The learners they support will typically be employed in professional, scientific or managerial occupations. The Higher Education sector does have some strong connections with industry and has shown increasing interest in work-integrated learning, but this is an area that needs further development. The Higher Education sector, especially universities, also plays a major role in the creation of new knowledge, technologies and techniques, through research.</w:t>
      </w:r>
    </w:p>
    <w:p w14:paraId="70EF9526" w14:textId="211C0918" w:rsidR="00773013" w:rsidRDefault="00773013" w:rsidP="00773013">
      <w:pPr>
        <w:pStyle w:val="BodyText"/>
      </w:pPr>
      <w:r>
        <w:t>Both sectors play important but distinctive roles in their communities and for the society at large.</w:t>
      </w:r>
    </w:p>
    <w:p w14:paraId="69DAE68F" w14:textId="77777777" w:rsidR="00D96CD1" w:rsidRDefault="00DD4C52" w:rsidP="00DD4C52">
      <w:pPr>
        <w:pStyle w:val="BodyText"/>
      </w:pPr>
      <w:r>
        <w:t>In promoting a harmonisation agenda, while it is important to recognise the distinctiveness of the two sectors, it is also important to recognise the blurring of the boundary between them and the increasing demand by learners and industry for a blend of knowledge and skills that requires input from both sectors.</w:t>
      </w:r>
    </w:p>
    <w:p w14:paraId="7024BDE3" w14:textId="2865F0FD" w:rsidR="00F40145" w:rsidRDefault="00F40145" w:rsidP="00491315">
      <w:pPr>
        <w:tabs>
          <w:tab w:val="left" w:pos="357"/>
          <w:tab w:val="left" w:pos="714"/>
          <w:tab w:val="left" w:pos="1072"/>
          <w:tab w:val="left" w:pos="1429"/>
        </w:tabs>
        <w:spacing w:before="120" w:after="120" w:line="276" w:lineRule="auto"/>
        <w:rPr>
          <w:b/>
        </w:rPr>
      </w:pPr>
    </w:p>
    <w:p w14:paraId="5D2A0E2E" w14:textId="33F95862" w:rsidR="00491315" w:rsidRPr="00D12267" w:rsidRDefault="00491315" w:rsidP="00491315">
      <w:pPr>
        <w:tabs>
          <w:tab w:val="left" w:pos="357"/>
          <w:tab w:val="left" w:pos="714"/>
          <w:tab w:val="left" w:pos="1072"/>
          <w:tab w:val="left" w:pos="1429"/>
        </w:tabs>
        <w:spacing w:before="120" w:after="120" w:line="276" w:lineRule="auto"/>
        <w:rPr>
          <w:b/>
        </w:rPr>
      </w:pPr>
      <w:r w:rsidRPr="00655C20">
        <w:rPr>
          <w:b/>
        </w:rPr>
        <w:t xml:space="preserve">Recommendation </w:t>
      </w:r>
      <w:r w:rsidR="00AE1480">
        <w:rPr>
          <w:b/>
        </w:rPr>
        <w:t>3</w:t>
      </w:r>
      <w:r w:rsidRPr="00655C20">
        <w:rPr>
          <w:b/>
        </w:rPr>
        <w:t xml:space="preserve">: </w:t>
      </w:r>
      <w:r w:rsidR="003E39B2" w:rsidRPr="00D12267">
        <w:rPr>
          <w:b/>
        </w:rPr>
        <w:t>That an appropriate governance structure, involving the Australian Government, state and territory governments, the VET sector, Higher Education, unions and employers, be established to advise on, support and guide the development of the roadmap, and that ATEC present the roadmap to relevant Ministerial Councils for their approval.</w:t>
      </w:r>
    </w:p>
    <w:p w14:paraId="26C26E71" w14:textId="77777777" w:rsidR="00F40145" w:rsidRDefault="00F40145" w:rsidP="00491315">
      <w:pPr>
        <w:tabs>
          <w:tab w:val="left" w:pos="357"/>
          <w:tab w:val="left" w:pos="714"/>
          <w:tab w:val="left" w:pos="1072"/>
          <w:tab w:val="left" w:pos="1429"/>
        </w:tabs>
        <w:spacing w:before="120" w:after="120" w:line="276" w:lineRule="auto"/>
        <w:rPr>
          <w:bCs/>
        </w:rPr>
      </w:pPr>
    </w:p>
    <w:p w14:paraId="316EE350" w14:textId="01C4CA32" w:rsidR="00491315" w:rsidRPr="003930ED" w:rsidRDefault="00491315" w:rsidP="00491315">
      <w:pPr>
        <w:tabs>
          <w:tab w:val="left" w:pos="357"/>
          <w:tab w:val="left" w:pos="714"/>
          <w:tab w:val="left" w:pos="1072"/>
          <w:tab w:val="left" w:pos="1429"/>
        </w:tabs>
        <w:spacing w:before="120" w:after="120" w:line="276" w:lineRule="auto"/>
        <w:rPr>
          <w:bCs/>
        </w:rPr>
      </w:pPr>
      <w:r w:rsidRPr="003930ED">
        <w:rPr>
          <w:bCs/>
        </w:rPr>
        <w:t>The creation of a coordination council as proposed by the House of Representatives Inquiry into the Perceptions and Status VET</w:t>
      </w:r>
      <w:r>
        <w:rPr>
          <w:bCs/>
        </w:rPr>
        <w:t xml:space="preserve">, potentially with an expanded membership </w:t>
      </w:r>
      <w:r w:rsidRPr="003930ED">
        <w:rPr>
          <w:bCs/>
        </w:rPr>
        <w:t>is very worthy of consideration</w:t>
      </w:r>
      <w:sdt>
        <w:sdtPr>
          <w:rPr>
            <w:rStyle w:val="Characterbold"/>
          </w:rPr>
          <w:id w:val="-618915408"/>
          <w:citation/>
        </w:sdtPr>
        <w:sdtEndPr>
          <w:rPr>
            <w:rStyle w:val="Characterbold"/>
            <w:bCs/>
          </w:rPr>
        </w:sdtEndPr>
        <w:sdtContent>
          <w:r w:rsidR="002A512D" w:rsidRPr="00655C20">
            <w:rPr>
              <w:rStyle w:val="Characterbold"/>
            </w:rPr>
            <w:fldChar w:fldCharType="begin"/>
          </w:r>
          <w:r w:rsidR="002A512D">
            <w:rPr>
              <w:rStyle w:val="Characterbold"/>
              <w:b w:val="0"/>
            </w:rPr>
            <w:instrText xml:space="preserve"> CITATION Hou24 \l 3081 </w:instrText>
          </w:r>
          <w:r w:rsidR="002A512D" w:rsidRPr="00655C20">
            <w:rPr>
              <w:rStyle w:val="Characterbold"/>
            </w:rPr>
            <w:fldChar w:fldCharType="separate"/>
          </w:r>
          <w:r w:rsidR="00BD5991">
            <w:rPr>
              <w:rStyle w:val="Characterbold"/>
              <w:b w:val="0"/>
              <w:noProof/>
            </w:rPr>
            <w:t xml:space="preserve"> </w:t>
          </w:r>
          <w:r w:rsidR="00BD5991">
            <w:rPr>
              <w:noProof/>
            </w:rPr>
            <w:t>(House of Representatives Standing Committee on Employment, Education and Training, 2024)</w:t>
          </w:r>
          <w:r w:rsidR="002A512D" w:rsidRPr="00655C20">
            <w:rPr>
              <w:rStyle w:val="Characterbold"/>
            </w:rPr>
            <w:fldChar w:fldCharType="end"/>
          </w:r>
        </w:sdtContent>
      </w:sdt>
      <w:r w:rsidR="00A5550B">
        <w:rPr>
          <w:bCs/>
        </w:rPr>
        <w:t>,</w:t>
      </w:r>
      <w:r>
        <w:rPr>
          <w:bCs/>
        </w:rPr>
        <w:t xml:space="preserve"> </w:t>
      </w:r>
      <w:r w:rsidR="00A5550B">
        <w:rPr>
          <w:bCs/>
        </w:rPr>
        <w:t>a</w:t>
      </w:r>
      <w:r w:rsidRPr="003930ED">
        <w:rPr>
          <w:bCs/>
        </w:rPr>
        <w:t>s the way to do that</w:t>
      </w:r>
      <w:r w:rsidR="00A5550B">
        <w:rPr>
          <w:bCs/>
        </w:rPr>
        <w:t>. A</w:t>
      </w:r>
      <w:r>
        <w:rPr>
          <w:bCs/>
        </w:rPr>
        <w:t>n ATEC Commissioner could chair this council.</w:t>
      </w:r>
    </w:p>
    <w:p w14:paraId="6D937D81" w14:textId="77777777" w:rsidR="00D96CD1" w:rsidRDefault="00DD4C52" w:rsidP="00DD4C52">
      <w:pPr>
        <w:pStyle w:val="BodyText"/>
      </w:pPr>
      <w:r>
        <w:lastRenderedPageBreak/>
        <w:t>A governance structure is required to enable the multitude of actors to cooperate in a coherent and efficient manner on developing and delivering the roadmap.</w:t>
      </w:r>
    </w:p>
    <w:p w14:paraId="240F974E" w14:textId="18AADAAA" w:rsidR="00DD4C52" w:rsidRDefault="00DD4C52" w:rsidP="00DD4C52">
      <w:pPr>
        <w:pStyle w:val="BodyText"/>
        <w:rPr>
          <w:rStyle w:val="Characterbold"/>
          <w:b w:val="0"/>
        </w:rPr>
      </w:pPr>
      <w:r>
        <w:t xml:space="preserve">The Australian Government has announced its commitment to establish the Australian Tertiary Education Commission (ATEC) which in addition to implementing landmark reforms in </w:t>
      </w:r>
      <w:r w:rsidR="006E36F3">
        <w:t>H</w:t>
      </w:r>
      <w:r>
        <w:t xml:space="preserve">igher </w:t>
      </w:r>
      <w:r w:rsidR="006E36F3">
        <w:t>E</w:t>
      </w:r>
      <w:r>
        <w:t xml:space="preserve">ducation will "work across the tertiary system on breaking down the barriers between </w:t>
      </w:r>
      <w:r w:rsidR="006E36F3">
        <w:t>H</w:t>
      </w:r>
      <w:r>
        <w:t xml:space="preserve">igher </w:t>
      </w:r>
      <w:r w:rsidR="006E36F3">
        <w:t>E</w:t>
      </w:r>
      <w:r>
        <w:t>ducation and vocational and training (VET)". (MYEFO December 2024).</w:t>
      </w:r>
    </w:p>
    <w:p w14:paraId="7F23FAAE" w14:textId="77777777" w:rsidR="00F40145" w:rsidRDefault="00F40145" w:rsidP="002D65D1">
      <w:pPr>
        <w:tabs>
          <w:tab w:val="left" w:pos="357"/>
          <w:tab w:val="left" w:pos="714"/>
          <w:tab w:val="left" w:pos="1072"/>
          <w:tab w:val="left" w:pos="1429"/>
        </w:tabs>
        <w:spacing w:before="120" w:after="120" w:line="276" w:lineRule="auto"/>
        <w:rPr>
          <w:b/>
        </w:rPr>
      </w:pPr>
    </w:p>
    <w:p w14:paraId="58D6E7B0" w14:textId="77777777" w:rsidR="00D96CD1" w:rsidRDefault="007A13B1" w:rsidP="002D65D1">
      <w:pPr>
        <w:tabs>
          <w:tab w:val="left" w:pos="357"/>
          <w:tab w:val="left" w:pos="714"/>
          <w:tab w:val="left" w:pos="1072"/>
          <w:tab w:val="left" w:pos="1429"/>
        </w:tabs>
        <w:spacing w:before="120" w:after="120" w:line="276" w:lineRule="auto"/>
        <w:rPr>
          <w:b/>
        </w:rPr>
      </w:pPr>
      <w:r w:rsidRPr="003930ED">
        <w:rPr>
          <w:b/>
        </w:rPr>
        <w:t xml:space="preserve">Recommendation </w:t>
      </w:r>
      <w:r w:rsidR="00AE1480">
        <w:rPr>
          <w:b/>
        </w:rPr>
        <w:t>4</w:t>
      </w:r>
      <w:r w:rsidRPr="003930ED">
        <w:rPr>
          <w:b/>
        </w:rPr>
        <w:t xml:space="preserve">: </w:t>
      </w:r>
      <w:r w:rsidRPr="00247C83">
        <w:rPr>
          <w:b/>
        </w:rPr>
        <w:t xml:space="preserve">That roles and responsibilities of different Australian </w:t>
      </w:r>
      <w:r w:rsidR="006E5F87" w:rsidRPr="00247C83">
        <w:rPr>
          <w:b/>
        </w:rPr>
        <w:t>G</w:t>
      </w:r>
      <w:r w:rsidRPr="00247C83">
        <w:rPr>
          <w:b/>
        </w:rPr>
        <w:t xml:space="preserve">overnment and </w:t>
      </w:r>
      <w:r w:rsidR="004864D9" w:rsidRPr="00247C83">
        <w:rPr>
          <w:b/>
        </w:rPr>
        <w:t>s</w:t>
      </w:r>
      <w:r w:rsidRPr="00247C83">
        <w:rPr>
          <w:b/>
        </w:rPr>
        <w:t xml:space="preserve">tate and </w:t>
      </w:r>
      <w:r w:rsidR="004864D9" w:rsidRPr="00247C83">
        <w:rPr>
          <w:b/>
        </w:rPr>
        <w:t>t</w:t>
      </w:r>
      <w:r w:rsidRPr="00247C83">
        <w:rPr>
          <w:b/>
        </w:rPr>
        <w:t>erritory agencies should be identified as part of the roadmap.</w:t>
      </w:r>
    </w:p>
    <w:p w14:paraId="38917C50" w14:textId="1F5D496F" w:rsidR="00F40145" w:rsidRDefault="00F40145" w:rsidP="00712A40">
      <w:pPr>
        <w:tabs>
          <w:tab w:val="left" w:pos="357"/>
          <w:tab w:val="left" w:pos="714"/>
          <w:tab w:val="left" w:pos="1072"/>
          <w:tab w:val="left" w:pos="1429"/>
        </w:tabs>
        <w:spacing w:before="120" w:after="120" w:line="276" w:lineRule="auto"/>
      </w:pPr>
    </w:p>
    <w:p w14:paraId="7CECE647" w14:textId="07855AF2" w:rsidR="00712A40" w:rsidRPr="003930ED" w:rsidRDefault="00DD4C52" w:rsidP="00712A40">
      <w:pPr>
        <w:tabs>
          <w:tab w:val="left" w:pos="357"/>
          <w:tab w:val="left" w:pos="714"/>
          <w:tab w:val="left" w:pos="1072"/>
          <w:tab w:val="left" w:pos="1429"/>
        </w:tabs>
        <w:spacing w:before="120" w:after="120" w:line="276" w:lineRule="auto"/>
      </w:pPr>
      <w:r>
        <w:t xml:space="preserve">Implementation will require clarity over the roles and responsibilities of a range of government agencies, including Australian </w:t>
      </w:r>
      <w:r w:rsidR="006E5F87">
        <w:t>G</w:t>
      </w:r>
      <w:r>
        <w:t>overnment and state and territory agencies at both territory levels and their corresponding budgets. These agencies will need to cover the scope of the activities implied by the pillars and elements, as well as the ability to connect with the system actors.</w:t>
      </w:r>
      <w:r w:rsidR="00712A40" w:rsidRPr="00712A40">
        <w:t xml:space="preserve"> </w:t>
      </w:r>
      <w:r w:rsidR="00712A40" w:rsidRPr="003930ED">
        <w:t xml:space="preserve">ATEC </w:t>
      </w:r>
      <w:r w:rsidR="00712A40">
        <w:t>c</w:t>
      </w:r>
      <w:r w:rsidR="00712A40" w:rsidRPr="003930ED">
        <w:t>ould assume a coordination role between these agencies.</w:t>
      </w:r>
    </w:p>
    <w:p w14:paraId="0F152FD1" w14:textId="77777777" w:rsidR="00F40145" w:rsidRDefault="00F40145" w:rsidP="008E5BAF">
      <w:pPr>
        <w:rPr>
          <w:b/>
        </w:rPr>
      </w:pPr>
    </w:p>
    <w:p w14:paraId="314FF71C" w14:textId="77036C21" w:rsidR="008E5BAF" w:rsidRPr="00785FF4" w:rsidRDefault="008E5BAF" w:rsidP="008E5BAF">
      <w:pPr>
        <w:rPr>
          <w:b/>
        </w:rPr>
      </w:pPr>
      <w:r w:rsidRPr="00785FF4">
        <w:rPr>
          <w:b/>
        </w:rPr>
        <w:t xml:space="preserve">Recommendation </w:t>
      </w:r>
      <w:r w:rsidR="00AE1480">
        <w:rPr>
          <w:b/>
        </w:rPr>
        <w:t>5</w:t>
      </w:r>
      <w:r w:rsidRPr="00785FF4">
        <w:rPr>
          <w:b/>
        </w:rPr>
        <w:t xml:space="preserve">: That Higher Education and VET providers are invited to </w:t>
      </w:r>
      <w:r w:rsidR="00844368">
        <w:rPr>
          <w:b/>
        </w:rPr>
        <w:t xml:space="preserve">express </w:t>
      </w:r>
      <w:r w:rsidR="00604A19">
        <w:rPr>
          <w:b/>
        </w:rPr>
        <w:t>interest in being</w:t>
      </w:r>
      <w:r w:rsidRPr="00785FF4">
        <w:rPr>
          <w:b/>
        </w:rPr>
        <w:t xml:space="preserve"> included in a recognised list of participants in collaborative harmonisation projects in a VET-Higher Education </w:t>
      </w:r>
      <w:r w:rsidR="00C35F01">
        <w:rPr>
          <w:b/>
        </w:rPr>
        <w:t>C</w:t>
      </w:r>
      <w:r w:rsidRPr="00785FF4">
        <w:rPr>
          <w:b/>
        </w:rPr>
        <w:t xml:space="preserve">ollaboration </w:t>
      </w:r>
      <w:r w:rsidR="00C35F01">
        <w:rPr>
          <w:b/>
        </w:rPr>
        <w:t>A</w:t>
      </w:r>
      <w:r w:rsidRPr="00785FF4">
        <w:rPr>
          <w:b/>
        </w:rPr>
        <w:t>genda.</w:t>
      </w:r>
      <w:r w:rsidR="00D96CD1">
        <w:rPr>
          <w:b/>
        </w:rPr>
        <w:t xml:space="preserve"> </w:t>
      </w:r>
      <w:r w:rsidR="009551FD">
        <w:rPr>
          <w:b/>
        </w:rPr>
        <w:t>E</w:t>
      </w:r>
      <w:r w:rsidR="00E80397">
        <w:rPr>
          <w:b/>
        </w:rPr>
        <w:t xml:space="preserve">ligibility and </w:t>
      </w:r>
      <w:r w:rsidRPr="00785FF4">
        <w:rPr>
          <w:b/>
        </w:rPr>
        <w:t xml:space="preserve">inclusion </w:t>
      </w:r>
      <w:r w:rsidR="00E80397">
        <w:rPr>
          <w:b/>
        </w:rPr>
        <w:t xml:space="preserve">criteria </w:t>
      </w:r>
      <w:r w:rsidRPr="00785FF4">
        <w:rPr>
          <w:b/>
        </w:rPr>
        <w:t xml:space="preserve">will </w:t>
      </w:r>
      <w:r w:rsidR="009D545F">
        <w:rPr>
          <w:b/>
        </w:rPr>
        <w:t xml:space="preserve">include an obligation to commit to </w:t>
      </w:r>
      <w:r w:rsidRPr="00785FF4">
        <w:rPr>
          <w:b/>
        </w:rPr>
        <w:t>agreed collaboration principles, to ensure that VET and Higher Education providers approach such a collaboration as genuine partners.</w:t>
      </w:r>
      <w:r w:rsidR="00292944">
        <w:rPr>
          <w:b/>
        </w:rPr>
        <w:t xml:space="preserve"> </w:t>
      </w:r>
      <w:r w:rsidR="00D12C7F">
        <w:rPr>
          <w:b/>
        </w:rPr>
        <w:t>This will build upon the collaboration already underway through TAFE Centres of Excellence and other VET-Higher Education partnerships.</w:t>
      </w:r>
    </w:p>
    <w:p w14:paraId="6F5FA7BD" w14:textId="77777777" w:rsidR="00F40145" w:rsidRDefault="00F40145" w:rsidP="00DD4C52">
      <w:pPr>
        <w:pStyle w:val="BodyText"/>
      </w:pPr>
    </w:p>
    <w:p w14:paraId="05F61E88" w14:textId="77777777" w:rsidR="00D96CD1" w:rsidRDefault="00DD4C52" w:rsidP="00DD4C52">
      <w:pPr>
        <w:pStyle w:val="BodyText"/>
      </w:pPr>
      <w:r>
        <w:t>Education providers are key in imparting knowledge and skills to students. This report seeks to outline both the challenges faced by providers currently and the opportunities for them if harmonisation is realised.</w:t>
      </w:r>
    </w:p>
    <w:p w14:paraId="5876BC93" w14:textId="77777777" w:rsidR="00D96CD1" w:rsidRDefault="00DD4C52" w:rsidP="00DD4C52">
      <w:pPr>
        <w:pStyle w:val="BodyText"/>
      </w:pPr>
      <w:r>
        <w:t>Throughout the roundtable consultations, a number of promising examples of harmonisation in action were presented. It was clear that different institutions had different appetites and capacities for particular aspects of harmonisation.</w:t>
      </w:r>
    </w:p>
    <w:p w14:paraId="2C36FCDF" w14:textId="77777777" w:rsidR="00D96CD1" w:rsidRDefault="00DD4C52" w:rsidP="00DD4C52">
      <w:pPr>
        <w:pStyle w:val="BodyText"/>
      </w:pPr>
      <w:r>
        <w:t xml:space="preserve">Enabling harmonisation at scale will require learning and adaptation by all participants. To this effect, </w:t>
      </w:r>
      <w:r w:rsidR="006E36F3">
        <w:t>Higher Education</w:t>
      </w:r>
      <w:r>
        <w:t xml:space="preserve"> and VET providers should be</w:t>
      </w:r>
      <w:r w:rsidDel="007F5525">
        <w:t xml:space="preserve"> </w:t>
      </w:r>
      <w:r>
        <w:t xml:space="preserve">invited to </w:t>
      </w:r>
      <w:r w:rsidR="00844368">
        <w:t>express interest in</w:t>
      </w:r>
      <w:r w:rsidR="004032F7">
        <w:t xml:space="preserve"> participat</w:t>
      </w:r>
      <w:r w:rsidR="00844368">
        <w:t xml:space="preserve">ing </w:t>
      </w:r>
      <w:r w:rsidR="004032F7">
        <w:t xml:space="preserve">in the </w:t>
      </w:r>
      <w:r>
        <w:t xml:space="preserve">VET-Higher Education Collaboration Agenda. The ATEC will broker </w:t>
      </w:r>
      <w:r w:rsidR="0038461A">
        <w:t xml:space="preserve">and </w:t>
      </w:r>
      <w:r w:rsidR="00537235">
        <w:t>assist these</w:t>
      </w:r>
      <w:r w:rsidR="0038461A">
        <w:t xml:space="preserve"> </w:t>
      </w:r>
      <w:r>
        <w:t>collaboration</w:t>
      </w:r>
      <w:r w:rsidR="0038461A">
        <w:t>s</w:t>
      </w:r>
      <w:r>
        <w:t xml:space="preserve"> by sharing information </w:t>
      </w:r>
      <w:r w:rsidR="00501C23">
        <w:t>and advice</w:t>
      </w:r>
      <w:r>
        <w:t>.</w:t>
      </w:r>
    </w:p>
    <w:p w14:paraId="0B731625" w14:textId="10807C8E" w:rsidR="00F40145" w:rsidRDefault="00F40145" w:rsidP="006F1233">
      <w:pPr>
        <w:tabs>
          <w:tab w:val="left" w:pos="357"/>
          <w:tab w:val="left" w:pos="714"/>
          <w:tab w:val="left" w:pos="1072"/>
          <w:tab w:val="left" w:pos="1429"/>
        </w:tabs>
        <w:spacing w:before="120" w:after="120" w:line="276" w:lineRule="auto"/>
        <w:rPr>
          <w:b/>
          <w:bCs/>
        </w:rPr>
      </w:pPr>
    </w:p>
    <w:p w14:paraId="79F0D00F" w14:textId="4353734B" w:rsidR="002B236B" w:rsidRDefault="006F1233" w:rsidP="006F1233">
      <w:pPr>
        <w:tabs>
          <w:tab w:val="left" w:pos="357"/>
          <w:tab w:val="left" w:pos="714"/>
          <w:tab w:val="left" w:pos="1072"/>
          <w:tab w:val="left" w:pos="1429"/>
        </w:tabs>
        <w:spacing w:before="120" w:after="120" w:line="276" w:lineRule="auto"/>
        <w:rPr>
          <w:b/>
          <w:bCs/>
        </w:rPr>
      </w:pPr>
      <w:r w:rsidRPr="006F1233">
        <w:rPr>
          <w:b/>
          <w:bCs/>
        </w:rPr>
        <w:t xml:space="preserve">Recommendation </w:t>
      </w:r>
      <w:r w:rsidR="00AE1480">
        <w:rPr>
          <w:b/>
          <w:bCs/>
        </w:rPr>
        <w:t>6</w:t>
      </w:r>
      <w:r w:rsidRPr="006F1233">
        <w:rPr>
          <w:b/>
          <w:bCs/>
        </w:rPr>
        <w:t>: That the proposed ATEC, when established, utilise all available levers to promote tertiary harmonisation and drive cultural change, for example the use of mission-based compacts to influence Higher Education providers.</w:t>
      </w:r>
    </w:p>
    <w:p w14:paraId="737AE8CC" w14:textId="77777777" w:rsidR="002B236B" w:rsidRDefault="002B236B">
      <w:pPr>
        <w:spacing w:before="0" w:after="200" w:line="276" w:lineRule="auto"/>
        <w:rPr>
          <w:b/>
          <w:bCs/>
        </w:rPr>
      </w:pPr>
      <w:r>
        <w:rPr>
          <w:b/>
          <w:bCs/>
        </w:rPr>
        <w:br w:type="page"/>
      </w:r>
    </w:p>
    <w:p w14:paraId="69F4F5E0" w14:textId="0D7ABA55" w:rsidR="00865942" w:rsidRDefault="00865942" w:rsidP="00865942">
      <w:pPr>
        <w:tabs>
          <w:tab w:val="left" w:pos="357"/>
          <w:tab w:val="left" w:pos="714"/>
          <w:tab w:val="left" w:pos="1072"/>
          <w:tab w:val="left" w:pos="1429"/>
        </w:tabs>
        <w:spacing w:before="120" w:after="120" w:line="276" w:lineRule="auto"/>
        <w:rPr>
          <w:b/>
          <w:bCs/>
        </w:rPr>
      </w:pPr>
      <w:r w:rsidRPr="00865942">
        <w:rPr>
          <w:b/>
          <w:bCs/>
        </w:rPr>
        <w:lastRenderedPageBreak/>
        <w:t xml:space="preserve">Recommendation </w:t>
      </w:r>
      <w:r w:rsidR="00AE1480">
        <w:rPr>
          <w:b/>
          <w:bCs/>
        </w:rPr>
        <w:t>7</w:t>
      </w:r>
      <w:r w:rsidRPr="00865942">
        <w:rPr>
          <w:b/>
          <w:bCs/>
        </w:rPr>
        <w:t>: That in monitoring the performance of the tertiary system, ATEC and JSA should have regard to evidence of improved tertiary harmonisation and enhanced collaboration between VET and Higher Education providers. This will include the development of measurable indicators of success.</w:t>
      </w:r>
    </w:p>
    <w:p w14:paraId="18A9FCED" w14:textId="77777777" w:rsidR="00F40145" w:rsidRDefault="00F40145" w:rsidP="00865942">
      <w:pPr>
        <w:tabs>
          <w:tab w:val="left" w:pos="357"/>
          <w:tab w:val="left" w:pos="714"/>
          <w:tab w:val="left" w:pos="1072"/>
          <w:tab w:val="left" w:pos="1429"/>
        </w:tabs>
        <w:spacing w:before="120" w:after="120" w:line="276" w:lineRule="auto"/>
        <w:rPr>
          <w:b/>
          <w:bCs/>
        </w:rPr>
      </w:pPr>
    </w:p>
    <w:p w14:paraId="41A61894" w14:textId="77777777" w:rsidR="00D96CD1" w:rsidRDefault="00865942" w:rsidP="00865942">
      <w:pPr>
        <w:tabs>
          <w:tab w:val="left" w:pos="357"/>
          <w:tab w:val="left" w:pos="714"/>
          <w:tab w:val="left" w:pos="1072"/>
          <w:tab w:val="left" w:pos="1429"/>
        </w:tabs>
        <w:spacing w:before="120" w:after="120" w:line="276" w:lineRule="auto"/>
        <w:rPr>
          <w:b/>
          <w:bCs/>
        </w:rPr>
      </w:pPr>
      <w:r w:rsidRPr="00865942">
        <w:rPr>
          <w:b/>
          <w:bCs/>
        </w:rPr>
        <w:t xml:space="preserve">Recommendation </w:t>
      </w:r>
      <w:r w:rsidR="00AE1480">
        <w:rPr>
          <w:b/>
          <w:bCs/>
        </w:rPr>
        <w:t>8</w:t>
      </w:r>
      <w:r w:rsidRPr="00865942">
        <w:rPr>
          <w:b/>
          <w:bCs/>
        </w:rPr>
        <w:t>: That in development of the roadmap, priority is given to drawing on the strengths of VET in driving skills development and growth in productivity. Furthermore, improving the outcomes and experiences of individual students and their current and prospective employers is the central driver of reform.</w:t>
      </w:r>
    </w:p>
    <w:p w14:paraId="7712BB08" w14:textId="026A4357" w:rsidR="00786671" w:rsidRDefault="00786671" w:rsidP="00DB5C01">
      <w:pPr>
        <w:pStyle w:val="BodyText"/>
      </w:pPr>
    </w:p>
    <w:p w14:paraId="20849824" w14:textId="7FE32DE7" w:rsidR="00DD4C52" w:rsidRPr="008C2370" w:rsidRDefault="00DD4C52" w:rsidP="00DE72E5">
      <w:pPr>
        <w:pStyle w:val="Heading3"/>
      </w:pPr>
      <w:r w:rsidRPr="008C2370">
        <w:t xml:space="preserve">Early priorities </w:t>
      </w:r>
      <w:r>
        <w:t>for the roadmap</w:t>
      </w:r>
    </w:p>
    <w:p w14:paraId="19CD6264" w14:textId="53250CD6" w:rsidR="00DD4C52" w:rsidRDefault="00DD4C52" w:rsidP="00DD4C52">
      <w:pPr>
        <w:pStyle w:val="BodyText"/>
      </w:pPr>
      <w:r>
        <w:t xml:space="preserve">Given the imperative to commence the work on harmonisation, early priorities for the inclusion in the roadmap are proposed </w:t>
      </w:r>
      <w:r w:rsidDel="00143EE5">
        <w:t>below</w:t>
      </w:r>
      <w:r w:rsidR="004E2610">
        <w:t>. S</w:t>
      </w:r>
      <w:r>
        <w:t xml:space="preserve">ome of </w:t>
      </w:r>
      <w:r w:rsidR="004E2610">
        <w:t>these</w:t>
      </w:r>
      <w:r>
        <w:t xml:space="preserve"> are already in motion, </w:t>
      </w:r>
      <w:r w:rsidR="00E834AE">
        <w:t>others</w:t>
      </w:r>
      <w:r>
        <w:t xml:space="preserve"> could commence in the near future.</w:t>
      </w:r>
    </w:p>
    <w:p w14:paraId="35FF1B13" w14:textId="77777777" w:rsidR="00F40145" w:rsidRDefault="00F40145" w:rsidP="0067068C">
      <w:pPr>
        <w:tabs>
          <w:tab w:val="left" w:pos="357"/>
          <w:tab w:val="left" w:pos="714"/>
          <w:tab w:val="left" w:pos="1072"/>
          <w:tab w:val="left" w:pos="1429"/>
        </w:tabs>
        <w:spacing w:before="120" w:after="120" w:line="276" w:lineRule="auto"/>
        <w:rPr>
          <w:b/>
        </w:rPr>
      </w:pPr>
    </w:p>
    <w:p w14:paraId="5C429D6A" w14:textId="77777777" w:rsidR="00D96CD1" w:rsidRDefault="0067068C" w:rsidP="0067068C">
      <w:pPr>
        <w:tabs>
          <w:tab w:val="left" w:pos="357"/>
          <w:tab w:val="left" w:pos="714"/>
          <w:tab w:val="left" w:pos="1072"/>
          <w:tab w:val="left" w:pos="1429"/>
        </w:tabs>
        <w:spacing w:before="120" w:after="120" w:line="276" w:lineRule="auto"/>
        <w:rPr>
          <w:b/>
          <w:bCs/>
        </w:rPr>
      </w:pPr>
      <w:r w:rsidRPr="003930ED">
        <w:rPr>
          <w:b/>
        </w:rPr>
        <w:t xml:space="preserve">Recommendation </w:t>
      </w:r>
      <w:r w:rsidR="00AE1480">
        <w:rPr>
          <w:b/>
        </w:rPr>
        <w:t>9</w:t>
      </w:r>
      <w:r w:rsidRPr="003930ED">
        <w:rPr>
          <w:b/>
        </w:rPr>
        <w:t xml:space="preserve">: </w:t>
      </w:r>
      <w:r w:rsidRPr="00F640B9">
        <w:rPr>
          <w:b/>
        </w:rPr>
        <w:t>That stakeholders work towards a national credit transfer system.</w:t>
      </w:r>
    </w:p>
    <w:p w14:paraId="4DF04233" w14:textId="30C04C79" w:rsidR="00F40145" w:rsidRDefault="00F40145" w:rsidP="00DD4C52">
      <w:pPr>
        <w:pStyle w:val="BodyText"/>
      </w:pPr>
    </w:p>
    <w:p w14:paraId="01F73574" w14:textId="27277D2B" w:rsidR="00D96CD1" w:rsidRDefault="00DD4C52" w:rsidP="00DD4C52">
      <w:pPr>
        <w:pStyle w:val="BodyText"/>
      </w:pPr>
      <w:r>
        <w:t>ATEC should define the features of a nationally consistent credit transfer system and encourage providers to display sector leadership in this area through the VET-Higher Education Collaboration Agenda.</w:t>
      </w:r>
      <w:r w:rsidR="00D96CD1">
        <w:t xml:space="preserve"> </w:t>
      </w:r>
      <w:r w:rsidRPr="00255987">
        <w:t>Reform of the AQF</w:t>
      </w:r>
      <w:r>
        <w:t xml:space="preserve"> and the development of a National Skills </w:t>
      </w:r>
      <w:r w:rsidDel="00AC29DD">
        <w:t xml:space="preserve">Taxonomy </w:t>
      </w:r>
      <w:r w:rsidRPr="00255987">
        <w:t>will assist with enabling a national credit transfer system</w:t>
      </w:r>
      <w:r w:rsidR="00DA2040" w:rsidRPr="00255987">
        <w:t>,</w:t>
      </w:r>
      <w:r w:rsidRPr="00255987">
        <w:t xml:space="preserve"> </w:t>
      </w:r>
      <w:r>
        <w:t>but</w:t>
      </w:r>
      <w:r w:rsidRPr="00255987">
        <w:t xml:space="preserve"> work </w:t>
      </w:r>
      <w:r w:rsidR="009F0FC6">
        <w:t>should</w:t>
      </w:r>
      <w:r>
        <w:t xml:space="preserve"> proceed </w:t>
      </w:r>
      <w:r w:rsidRPr="00255987">
        <w:t xml:space="preserve">on such a credit transfer system without waiting for the AQF reform </w:t>
      </w:r>
      <w:r>
        <w:t xml:space="preserve">or the National Skills Taxonomy </w:t>
      </w:r>
      <w:r w:rsidRPr="00255987">
        <w:t>to be complete.</w:t>
      </w:r>
    </w:p>
    <w:p w14:paraId="2E647FEC" w14:textId="77777777" w:rsidR="00D96CD1" w:rsidRDefault="00DD4C52" w:rsidP="00DD4C52">
      <w:pPr>
        <w:pStyle w:val="BodyText"/>
      </w:pPr>
      <w:r>
        <w:t>Throughout the roundtable consultations, credit-transfer was repeatedly highlighted as a key priority. This has been further confirmed by the work undertaken by the Department of Education and DEWR as part of the tertiary sandbox scoping study.</w:t>
      </w:r>
    </w:p>
    <w:p w14:paraId="34D1E872" w14:textId="4E9111CB" w:rsidR="00F40145" w:rsidRDefault="00F40145" w:rsidP="00F640B9">
      <w:pPr>
        <w:tabs>
          <w:tab w:val="left" w:pos="357"/>
          <w:tab w:val="left" w:pos="714"/>
          <w:tab w:val="left" w:pos="1072"/>
          <w:tab w:val="left" w:pos="1429"/>
        </w:tabs>
        <w:spacing w:before="120" w:after="120" w:line="276" w:lineRule="auto"/>
        <w:rPr>
          <w:b/>
        </w:rPr>
      </w:pPr>
    </w:p>
    <w:p w14:paraId="702380FF" w14:textId="0A6AF891" w:rsidR="00F640B9" w:rsidRPr="00F640B9" w:rsidRDefault="00F640B9" w:rsidP="00F640B9">
      <w:pPr>
        <w:tabs>
          <w:tab w:val="left" w:pos="357"/>
          <w:tab w:val="left" w:pos="714"/>
          <w:tab w:val="left" w:pos="1072"/>
          <w:tab w:val="left" w:pos="1429"/>
        </w:tabs>
        <w:spacing w:before="120" w:after="120" w:line="276" w:lineRule="auto"/>
        <w:rPr>
          <w:b/>
        </w:rPr>
      </w:pPr>
      <w:r w:rsidRPr="00F640B9">
        <w:rPr>
          <w:b/>
        </w:rPr>
        <w:t xml:space="preserve">Recommendation </w:t>
      </w:r>
      <w:r w:rsidR="00AE1480">
        <w:rPr>
          <w:b/>
        </w:rPr>
        <w:t>10</w:t>
      </w:r>
      <w:r w:rsidRPr="00F640B9">
        <w:rPr>
          <w:b/>
        </w:rPr>
        <w:t xml:space="preserve">: That an innovation fund be established to provide incentives for the expansion of collaboration between providers to foster tertiary harmonisation, for example, for the development of nested and hybrid qualifications. The innovation fund would be available to providers from both sectors who opt into a VET-Higher Education </w:t>
      </w:r>
      <w:r w:rsidR="0035657D">
        <w:rPr>
          <w:b/>
        </w:rPr>
        <w:t>C</w:t>
      </w:r>
      <w:r w:rsidR="0035657D" w:rsidRPr="00F640B9">
        <w:rPr>
          <w:b/>
        </w:rPr>
        <w:t xml:space="preserve">ollaboration </w:t>
      </w:r>
      <w:r w:rsidR="0035657D">
        <w:rPr>
          <w:b/>
        </w:rPr>
        <w:t>A</w:t>
      </w:r>
      <w:r w:rsidR="0035657D" w:rsidRPr="00F640B9">
        <w:rPr>
          <w:b/>
        </w:rPr>
        <w:t>genda</w:t>
      </w:r>
      <w:r w:rsidRPr="00F640B9">
        <w:rPr>
          <w:b/>
        </w:rPr>
        <w:t>.</w:t>
      </w:r>
    </w:p>
    <w:p w14:paraId="088DDA6A" w14:textId="77777777" w:rsidR="00F40145" w:rsidRDefault="00F40145" w:rsidP="00DD4C52">
      <w:pPr>
        <w:pStyle w:val="BodyText"/>
      </w:pPr>
    </w:p>
    <w:p w14:paraId="13746E18" w14:textId="4C8DA9C1" w:rsidR="002B236B" w:rsidRDefault="00DD4C52" w:rsidP="00DD4C52">
      <w:pPr>
        <w:pStyle w:val="BodyText"/>
      </w:pPr>
      <w:r>
        <w:t xml:space="preserve">Tying into the recommendation for innovative collaborative projects (Recommendation </w:t>
      </w:r>
      <w:r w:rsidR="002A061A">
        <w:t>5</w:t>
      </w:r>
      <w:r>
        <w:t>), this paper presented a case for</w:t>
      </w:r>
      <w:r w:rsidRPr="00255987">
        <w:t xml:space="preserve"> such a fund </w:t>
      </w:r>
      <w:r>
        <w:t>by showing that a harmonised system would result in</w:t>
      </w:r>
      <w:r w:rsidRPr="00255987">
        <w:t xml:space="preserve"> cost-effective ways for students to obtain the skills and knowledge they need.</w:t>
      </w:r>
      <w:r>
        <w:t xml:space="preserve"> It would therefore be expected that by boosting efficiency, this fund would more than pay for itself.</w:t>
      </w:r>
    </w:p>
    <w:p w14:paraId="71B62B79" w14:textId="77777777" w:rsidR="002B236B" w:rsidRDefault="002B236B">
      <w:pPr>
        <w:spacing w:before="0" w:after="200" w:line="276" w:lineRule="auto"/>
      </w:pPr>
      <w:r>
        <w:br w:type="page"/>
      </w:r>
    </w:p>
    <w:p w14:paraId="69A37E7A" w14:textId="1B954753" w:rsidR="00430F41" w:rsidRPr="00430F41" w:rsidRDefault="00430F41" w:rsidP="00430F41">
      <w:pPr>
        <w:tabs>
          <w:tab w:val="left" w:pos="357"/>
          <w:tab w:val="left" w:pos="714"/>
          <w:tab w:val="left" w:pos="1072"/>
          <w:tab w:val="left" w:pos="1429"/>
        </w:tabs>
        <w:spacing w:before="120" w:after="120" w:line="276" w:lineRule="auto"/>
        <w:rPr>
          <w:b/>
        </w:rPr>
      </w:pPr>
      <w:r w:rsidRPr="00430F41">
        <w:rPr>
          <w:b/>
        </w:rPr>
        <w:lastRenderedPageBreak/>
        <w:t>Recommendation 1</w:t>
      </w:r>
      <w:r w:rsidR="00AE1480">
        <w:rPr>
          <w:b/>
        </w:rPr>
        <w:t>1</w:t>
      </w:r>
      <w:r w:rsidRPr="00430F41">
        <w:rPr>
          <w:b/>
        </w:rPr>
        <w:t>: That guidelines are developed outlining the types of nested and hybrid qualifications that could be developed and receive support through an innovation fund.</w:t>
      </w:r>
    </w:p>
    <w:p w14:paraId="4C47E509" w14:textId="77777777" w:rsidR="00F40145" w:rsidRDefault="00F40145" w:rsidP="00DD4C52">
      <w:pPr>
        <w:pStyle w:val="BodyText"/>
      </w:pPr>
    </w:p>
    <w:p w14:paraId="3405F4D7" w14:textId="77777777" w:rsidR="00D96CD1" w:rsidRDefault="00DD4C52" w:rsidP="00DD4C52">
      <w:pPr>
        <w:pStyle w:val="BodyText"/>
      </w:pPr>
      <w:r>
        <w:t>Informed by this report,</w:t>
      </w:r>
      <w:r w:rsidR="003A2AD4">
        <w:t xml:space="preserve"> such</w:t>
      </w:r>
      <w:r>
        <w:t xml:space="preserve"> guidelines would help to ensure that the qualifications align with national frameworks, offer the flexibility and accessibility required, and clearly define progression pathways into further study should it be desired.</w:t>
      </w:r>
    </w:p>
    <w:p w14:paraId="7B395F0E" w14:textId="7C5A6C9E" w:rsidR="00F40145" w:rsidRDefault="00F40145" w:rsidP="00430F41">
      <w:pPr>
        <w:tabs>
          <w:tab w:val="left" w:pos="357"/>
          <w:tab w:val="left" w:pos="714"/>
          <w:tab w:val="left" w:pos="1072"/>
          <w:tab w:val="left" w:pos="1429"/>
        </w:tabs>
        <w:spacing w:before="120" w:after="120" w:line="276" w:lineRule="auto"/>
        <w:rPr>
          <w:b/>
        </w:rPr>
      </w:pPr>
    </w:p>
    <w:p w14:paraId="30747C29" w14:textId="3B1FE4B9" w:rsidR="00430F41" w:rsidRPr="00430F41" w:rsidRDefault="00430F41" w:rsidP="00430F41">
      <w:pPr>
        <w:tabs>
          <w:tab w:val="left" w:pos="357"/>
          <w:tab w:val="left" w:pos="714"/>
          <w:tab w:val="left" w:pos="1072"/>
          <w:tab w:val="left" w:pos="1429"/>
        </w:tabs>
        <w:spacing w:before="120" w:after="120" w:line="276" w:lineRule="auto"/>
        <w:rPr>
          <w:b/>
        </w:rPr>
      </w:pPr>
      <w:r w:rsidRPr="00430F41">
        <w:rPr>
          <w:b/>
        </w:rPr>
        <w:t>Recommendation 1</w:t>
      </w:r>
      <w:r w:rsidR="00AE1480">
        <w:rPr>
          <w:b/>
        </w:rPr>
        <w:t>2</w:t>
      </w:r>
      <w:r w:rsidRPr="00430F41">
        <w:rPr>
          <w:b/>
        </w:rPr>
        <w:t xml:space="preserve">: That </w:t>
      </w:r>
      <w:r w:rsidR="00B81082">
        <w:rPr>
          <w:b/>
        </w:rPr>
        <w:t>H</w:t>
      </w:r>
      <w:r w:rsidRPr="00430F41">
        <w:rPr>
          <w:b/>
        </w:rPr>
        <w:t xml:space="preserve">igher </w:t>
      </w:r>
      <w:r w:rsidR="00B81082">
        <w:rPr>
          <w:b/>
        </w:rPr>
        <w:t>E</w:t>
      </w:r>
      <w:r w:rsidRPr="00430F41">
        <w:rPr>
          <w:b/>
        </w:rPr>
        <w:t>ducation institutions are encouraged to collaborate with VET providers to move towards a systematic approach to enabling or preparatory courses that are nationally recognised and portable.</w:t>
      </w:r>
    </w:p>
    <w:p w14:paraId="59A9279D" w14:textId="77777777" w:rsidR="00F40145" w:rsidRDefault="00F40145" w:rsidP="00DD4C52">
      <w:pPr>
        <w:pStyle w:val="BodyText"/>
      </w:pPr>
    </w:p>
    <w:p w14:paraId="7F3CB32E" w14:textId="2F7371C2" w:rsidR="00DD4C52" w:rsidRDefault="00DD4C52" w:rsidP="00DD4C52">
      <w:pPr>
        <w:pStyle w:val="BodyText"/>
      </w:pPr>
      <w:r w:rsidRPr="00255987">
        <w:t xml:space="preserve">FEE-FREE </w:t>
      </w:r>
      <w:r>
        <w:t>Uni</w:t>
      </w:r>
      <w:r w:rsidR="00994F6D">
        <w:t xml:space="preserve"> </w:t>
      </w:r>
      <w:r w:rsidRPr="00255987">
        <w:t>Ready Courses</w:t>
      </w:r>
      <w:r>
        <w:t xml:space="preserve"> are an initiative that resulted from the Accord</w:t>
      </w:r>
      <w:r w:rsidR="00567E93" w:rsidRPr="00567E93">
        <w:t xml:space="preserve">. One step towards harmonisation would </w:t>
      </w:r>
      <w:r w:rsidR="00CD7556">
        <w:t xml:space="preserve">be </w:t>
      </w:r>
      <w:r>
        <w:t xml:space="preserve">to make TAFE Institutes eligible providers, noting for example the existence of a Certificate IV in Tertiary </w:t>
      </w:r>
      <w:r w:rsidR="00C2309B">
        <w:t>P</w:t>
      </w:r>
      <w:r>
        <w:t>reparation. The next step would be to think more broadly about VET-Higher Education collaboration in the provision of 'tertiary-ready' courses.</w:t>
      </w:r>
    </w:p>
    <w:p w14:paraId="09C9C5A7" w14:textId="77777777" w:rsidR="00F40145" w:rsidRDefault="00F40145" w:rsidP="00430F41">
      <w:pPr>
        <w:tabs>
          <w:tab w:val="left" w:pos="357"/>
          <w:tab w:val="left" w:pos="714"/>
          <w:tab w:val="left" w:pos="1072"/>
          <w:tab w:val="left" w:pos="1429"/>
        </w:tabs>
        <w:spacing w:before="120" w:after="120" w:line="276" w:lineRule="auto"/>
        <w:rPr>
          <w:b/>
        </w:rPr>
      </w:pPr>
    </w:p>
    <w:p w14:paraId="0F3E2B25" w14:textId="7B6920B1" w:rsidR="00430F41" w:rsidRPr="00430F41" w:rsidRDefault="00430F41" w:rsidP="00430F41">
      <w:pPr>
        <w:tabs>
          <w:tab w:val="left" w:pos="357"/>
          <w:tab w:val="left" w:pos="714"/>
          <w:tab w:val="left" w:pos="1072"/>
          <w:tab w:val="left" w:pos="1429"/>
        </w:tabs>
        <w:spacing w:before="120" w:after="120" w:line="276" w:lineRule="auto"/>
        <w:rPr>
          <w:b/>
        </w:rPr>
      </w:pPr>
      <w:r w:rsidRPr="00430F41">
        <w:rPr>
          <w:b/>
        </w:rPr>
        <w:t>Recommendation 1</w:t>
      </w:r>
      <w:r w:rsidR="003E6F49">
        <w:rPr>
          <w:b/>
        </w:rPr>
        <w:t>3</w:t>
      </w:r>
      <w:r w:rsidRPr="00430F41">
        <w:rPr>
          <w:b/>
        </w:rPr>
        <w:t xml:space="preserve">: That the </w:t>
      </w:r>
      <w:r w:rsidRPr="00430F41">
        <w:rPr>
          <w:rStyle w:val="Characterbold"/>
          <w:bCs/>
        </w:rPr>
        <w:t xml:space="preserve">Australian </w:t>
      </w:r>
      <w:r w:rsidR="00AA372B">
        <w:rPr>
          <w:rStyle w:val="Characterbold"/>
          <w:bCs/>
        </w:rPr>
        <w:t>G</w:t>
      </w:r>
      <w:r w:rsidRPr="00430F41">
        <w:rPr>
          <w:rStyle w:val="Characterbold"/>
          <w:bCs/>
        </w:rPr>
        <w:t>overnment</w:t>
      </w:r>
      <w:r w:rsidRPr="00430F41">
        <w:rPr>
          <w:rStyle w:val="Characterbold"/>
          <w:b w:val="0"/>
        </w:rPr>
        <w:t xml:space="preserve"> </w:t>
      </w:r>
      <w:r w:rsidRPr="00430F41">
        <w:rPr>
          <w:b/>
        </w:rPr>
        <w:t>consider using new CSP funding for TAFEs, and the ATEC’s role in allocating growth in CSPs, to promote the harmonisation agenda.</w:t>
      </w:r>
    </w:p>
    <w:p w14:paraId="1B5B9F15" w14:textId="77777777" w:rsidR="00F40145" w:rsidRDefault="00F40145" w:rsidP="00DD4C52">
      <w:pPr>
        <w:pStyle w:val="BodyText"/>
      </w:pPr>
    </w:p>
    <w:p w14:paraId="2A7B7176" w14:textId="1B419048" w:rsidR="00DD4C52" w:rsidRDefault="00DD4C52" w:rsidP="00DD4C52">
      <w:pPr>
        <w:pStyle w:val="BodyText"/>
      </w:pPr>
      <w:r>
        <w:t xml:space="preserve">In allocating CSP funding for TAFEs, the Australian </w:t>
      </w:r>
      <w:r w:rsidR="006E5F87">
        <w:t>G</w:t>
      </w:r>
      <w:r>
        <w:t xml:space="preserve">overnment should consider giving priority to providers developing </w:t>
      </w:r>
      <w:r w:rsidR="006E36F3">
        <w:t>Higher Education</w:t>
      </w:r>
      <w:r>
        <w:t xml:space="preserve"> qualifications that have nested VET qualifications embedded and ensure that the resultant degrees or associate degrees are vocational and take advantage of the distinctive capabilities of TAFE's in developing skills and knowledge that can be readily applied to the workplace.</w:t>
      </w:r>
    </w:p>
    <w:p w14:paraId="3957B379" w14:textId="77777777" w:rsidR="00350C14" w:rsidRDefault="00350C14" w:rsidP="00F4115B">
      <w:pPr>
        <w:tabs>
          <w:tab w:val="left" w:pos="357"/>
          <w:tab w:val="left" w:pos="714"/>
          <w:tab w:val="left" w:pos="1072"/>
          <w:tab w:val="left" w:pos="1429"/>
        </w:tabs>
        <w:spacing w:before="120" w:after="120" w:line="276" w:lineRule="auto"/>
        <w:rPr>
          <w:b/>
        </w:rPr>
      </w:pPr>
    </w:p>
    <w:p w14:paraId="761C549F" w14:textId="199FEC75" w:rsidR="002B236B" w:rsidRDefault="00F4115B" w:rsidP="00F4115B">
      <w:pPr>
        <w:tabs>
          <w:tab w:val="left" w:pos="357"/>
          <w:tab w:val="left" w:pos="714"/>
          <w:tab w:val="left" w:pos="1072"/>
          <w:tab w:val="left" w:pos="1429"/>
        </w:tabs>
        <w:spacing w:before="120" w:after="120" w:line="276" w:lineRule="auto"/>
        <w:rPr>
          <w:b/>
        </w:rPr>
      </w:pPr>
      <w:r w:rsidRPr="003930ED">
        <w:rPr>
          <w:b/>
        </w:rPr>
        <w:t xml:space="preserve">Recommendation </w:t>
      </w:r>
      <w:r w:rsidRPr="00247C83">
        <w:rPr>
          <w:b/>
        </w:rPr>
        <w:t>1</w:t>
      </w:r>
      <w:r w:rsidR="003E6F49">
        <w:rPr>
          <w:b/>
        </w:rPr>
        <w:t>4</w:t>
      </w:r>
      <w:r w:rsidRPr="003930ED">
        <w:rPr>
          <w:b/>
        </w:rPr>
        <w:t xml:space="preserve">: </w:t>
      </w:r>
      <w:r w:rsidR="00773A41" w:rsidRPr="00247C83">
        <w:rPr>
          <w:b/>
        </w:rPr>
        <w:t>That, under</w:t>
      </w:r>
      <w:r w:rsidRPr="00247C83">
        <w:rPr>
          <w:b/>
        </w:rPr>
        <w:t xml:space="preserve"> its legislated responsibility (section 9d</w:t>
      </w:r>
      <w:r w:rsidR="00773A41" w:rsidRPr="00247C83">
        <w:rPr>
          <w:b/>
        </w:rPr>
        <w:t xml:space="preserve"> of the </w:t>
      </w:r>
      <w:r w:rsidR="00773A41" w:rsidRPr="005F3D16">
        <w:rPr>
          <w:b/>
          <w:i/>
        </w:rPr>
        <w:t>Jobs and Skills Australia Act 2022</w:t>
      </w:r>
      <w:r w:rsidRPr="00247C83">
        <w:rPr>
          <w:b/>
        </w:rPr>
        <w:t xml:space="preserve">) to undertake research and analysis on the resourcing requirements for registered training organisations to deliver accessible quality VET courses, JSA should undertake work in collaboration with ATEC and in consultation with the states and territories about how VET funding models could be enhanced and also help foster collaboration with </w:t>
      </w:r>
      <w:r w:rsidR="006E36F3">
        <w:rPr>
          <w:b/>
        </w:rPr>
        <w:t>Higher Education</w:t>
      </w:r>
      <w:r w:rsidRPr="00247C83">
        <w:rPr>
          <w:b/>
        </w:rPr>
        <w:t xml:space="preserve"> and put VET on a level playing field with </w:t>
      </w:r>
      <w:r w:rsidR="006E36F3">
        <w:rPr>
          <w:b/>
        </w:rPr>
        <w:t>Higher Education</w:t>
      </w:r>
      <w:r w:rsidRPr="00247C83">
        <w:rPr>
          <w:b/>
        </w:rPr>
        <w:t xml:space="preserve">. This will help inform ATEC in a way that would help ensure that reforms to </w:t>
      </w:r>
      <w:r w:rsidR="006E36F3">
        <w:rPr>
          <w:b/>
        </w:rPr>
        <w:t>Higher Education</w:t>
      </w:r>
      <w:r w:rsidRPr="00247C83">
        <w:rPr>
          <w:b/>
        </w:rPr>
        <w:t xml:space="preserve"> funding are consistent with the harmonisation agenda.</w:t>
      </w:r>
    </w:p>
    <w:p w14:paraId="273F077E" w14:textId="77777777" w:rsidR="002B236B" w:rsidRDefault="002B236B">
      <w:pPr>
        <w:spacing w:before="0" w:after="200" w:line="276" w:lineRule="auto"/>
        <w:rPr>
          <w:b/>
        </w:rPr>
      </w:pPr>
      <w:r>
        <w:rPr>
          <w:b/>
        </w:rPr>
        <w:br w:type="page"/>
      </w:r>
    </w:p>
    <w:p w14:paraId="7241FA37" w14:textId="3FA5B9B1" w:rsidR="00DD4C52" w:rsidRPr="00B9286A" w:rsidRDefault="00DD4C52" w:rsidP="00DE72E5">
      <w:pPr>
        <w:pStyle w:val="Heading3"/>
      </w:pPr>
      <w:r>
        <w:lastRenderedPageBreak/>
        <w:t>Medium</w:t>
      </w:r>
      <w:r w:rsidR="00CF1328">
        <w:t>-</w:t>
      </w:r>
      <w:r>
        <w:t>term horizon roadmap priorities</w:t>
      </w:r>
    </w:p>
    <w:p w14:paraId="069E6A15" w14:textId="4047EF67" w:rsidR="00CC6F6C" w:rsidRPr="00CC6F6C" w:rsidRDefault="00CC6F6C" w:rsidP="00CC6F6C">
      <w:pPr>
        <w:tabs>
          <w:tab w:val="left" w:pos="357"/>
          <w:tab w:val="left" w:pos="714"/>
          <w:tab w:val="left" w:pos="1072"/>
          <w:tab w:val="left" w:pos="1429"/>
        </w:tabs>
        <w:spacing w:before="120" w:after="120" w:line="276" w:lineRule="auto"/>
        <w:rPr>
          <w:bCs/>
        </w:rPr>
      </w:pPr>
      <w:r w:rsidRPr="00CC6F6C">
        <w:rPr>
          <w:b/>
        </w:rPr>
        <w:t>Recommendation 1</w:t>
      </w:r>
      <w:r w:rsidR="003E6F49">
        <w:rPr>
          <w:b/>
        </w:rPr>
        <w:t>5</w:t>
      </w:r>
      <w:r w:rsidRPr="00CC6F6C">
        <w:rPr>
          <w:b/>
        </w:rPr>
        <w:t xml:space="preserve">: That reform proposals for the Australian Qualifications Framework are updated and finalised by ATEC, in agreement with the </w:t>
      </w:r>
      <w:r w:rsidRPr="00CC6F6C">
        <w:rPr>
          <w:rStyle w:val="Characterbold"/>
          <w:bCs/>
        </w:rPr>
        <w:t xml:space="preserve">Australian and </w:t>
      </w:r>
      <w:r w:rsidR="000D016E">
        <w:rPr>
          <w:rStyle w:val="Characterbold"/>
          <w:bCs/>
        </w:rPr>
        <w:t>s</w:t>
      </w:r>
      <w:r w:rsidRPr="00CC6F6C">
        <w:rPr>
          <w:rStyle w:val="Characterbold"/>
          <w:bCs/>
        </w:rPr>
        <w:t xml:space="preserve">tate and </w:t>
      </w:r>
      <w:r w:rsidR="000D016E">
        <w:rPr>
          <w:rStyle w:val="Characterbold"/>
          <w:bCs/>
        </w:rPr>
        <w:t>t</w:t>
      </w:r>
      <w:r w:rsidRPr="00CC6F6C">
        <w:rPr>
          <w:rStyle w:val="Characterbold"/>
          <w:bCs/>
        </w:rPr>
        <w:t xml:space="preserve">erritory </w:t>
      </w:r>
      <w:r w:rsidR="00BB66C6">
        <w:rPr>
          <w:rStyle w:val="Characterbold"/>
          <w:bCs/>
        </w:rPr>
        <w:t>G</w:t>
      </w:r>
      <w:r w:rsidRPr="00CC6F6C">
        <w:rPr>
          <w:rStyle w:val="Characterbold"/>
          <w:bCs/>
        </w:rPr>
        <w:t>overnments.</w:t>
      </w:r>
    </w:p>
    <w:p w14:paraId="0B817F4C" w14:textId="77777777" w:rsidR="00A01813" w:rsidRDefault="00A01813" w:rsidP="00DD4C52">
      <w:pPr>
        <w:pStyle w:val="BodyText"/>
      </w:pPr>
    </w:p>
    <w:p w14:paraId="09369A12" w14:textId="07E23114" w:rsidR="00DD4C52" w:rsidRDefault="00DD4C52" w:rsidP="00DD4C52">
      <w:pPr>
        <w:pStyle w:val="BodyText"/>
      </w:pPr>
      <w:r w:rsidRPr="0014194A">
        <w:t xml:space="preserve">The </w:t>
      </w:r>
      <w:r>
        <w:t>2019</w:t>
      </w:r>
      <w:r w:rsidRPr="0014194A">
        <w:t xml:space="preserve"> Noonan Review of the Australian Qualifications Framework provides </w:t>
      </w:r>
      <w:r>
        <w:t>for a good start for</w:t>
      </w:r>
      <w:r w:rsidRPr="0014194A">
        <w:t xml:space="preserve"> progressing </w:t>
      </w:r>
      <w:r>
        <w:t>AQF reform</w:t>
      </w:r>
      <w:r w:rsidR="002E2ECF">
        <w:t>.</w:t>
      </w:r>
      <w:r>
        <w:t xml:space="preserve"> </w:t>
      </w:r>
      <w:r w:rsidRPr="0014194A">
        <w:t xml:space="preserve">The </w:t>
      </w:r>
      <w:r>
        <w:t xml:space="preserve">direction of </w:t>
      </w:r>
      <w:r w:rsidRPr="0014194A">
        <w:t>that review was endorsed by the Accord Final Report</w:t>
      </w:r>
      <w:r w:rsidR="001634A2">
        <w:t>.</w:t>
      </w:r>
    </w:p>
    <w:p w14:paraId="4FEF7D0D" w14:textId="77777777" w:rsidR="00D96CD1" w:rsidRDefault="00DD4C52" w:rsidP="00DD4C52">
      <w:pPr>
        <w:pStyle w:val="BodyText"/>
      </w:pPr>
      <w:r w:rsidRPr="0014194A">
        <w:t xml:space="preserve">The Noonan Report argued for increasing the status of skills in the AQF to make it more equal with knowledge, and that the AQF should be more flexible in ways that would promote improved qualification design and enabling stronger pathways and more collaboration between VET and </w:t>
      </w:r>
      <w:r w:rsidR="006E36F3">
        <w:t>Higher Education</w:t>
      </w:r>
      <w:r w:rsidRPr="0014194A">
        <w:t xml:space="preserve"> in Qualifications design.</w:t>
      </w:r>
    </w:p>
    <w:p w14:paraId="54A04242" w14:textId="17B683EB" w:rsidR="00A01813" w:rsidRDefault="00A01813" w:rsidP="00E0014B">
      <w:pPr>
        <w:tabs>
          <w:tab w:val="left" w:pos="357"/>
          <w:tab w:val="left" w:pos="714"/>
          <w:tab w:val="left" w:pos="1072"/>
          <w:tab w:val="left" w:pos="1429"/>
        </w:tabs>
        <w:spacing w:before="120" w:after="120" w:line="276" w:lineRule="auto"/>
        <w:rPr>
          <w:b/>
        </w:rPr>
      </w:pPr>
    </w:p>
    <w:p w14:paraId="1785C83F" w14:textId="77777777" w:rsidR="00D96CD1" w:rsidRDefault="00E0014B" w:rsidP="00E0014B">
      <w:pPr>
        <w:tabs>
          <w:tab w:val="left" w:pos="357"/>
          <w:tab w:val="left" w:pos="714"/>
          <w:tab w:val="left" w:pos="1072"/>
          <w:tab w:val="left" w:pos="1429"/>
        </w:tabs>
        <w:spacing w:before="120" w:after="120" w:line="276" w:lineRule="auto"/>
        <w:rPr>
          <w:b/>
          <w:bCs/>
        </w:rPr>
      </w:pPr>
      <w:r w:rsidRPr="003930ED">
        <w:rPr>
          <w:b/>
        </w:rPr>
        <w:t xml:space="preserve">Recommendation </w:t>
      </w:r>
      <w:r w:rsidRPr="00247C83">
        <w:rPr>
          <w:b/>
        </w:rPr>
        <w:t>1</w:t>
      </w:r>
      <w:r w:rsidR="003E6F49">
        <w:rPr>
          <w:b/>
        </w:rPr>
        <w:t>6</w:t>
      </w:r>
      <w:r w:rsidRPr="003930ED">
        <w:rPr>
          <w:b/>
        </w:rPr>
        <w:t xml:space="preserve">: </w:t>
      </w:r>
      <w:r w:rsidRPr="00247C83">
        <w:rPr>
          <w:b/>
        </w:rPr>
        <w:t>That a National Skills Taxonomy is developed.</w:t>
      </w:r>
    </w:p>
    <w:p w14:paraId="5E77AADE" w14:textId="62133FDC" w:rsidR="00A01813" w:rsidRDefault="00A01813" w:rsidP="00DD4C52">
      <w:pPr>
        <w:pStyle w:val="BodyText"/>
      </w:pPr>
    </w:p>
    <w:p w14:paraId="0A06C711" w14:textId="52388CA0" w:rsidR="00DD4C52" w:rsidRDefault="007A4E4E" w:rsidP="00DD4C52">
      <w:pPr>
        <w:pStyle w:val="BodyText"/>
      </w:pPr>
      <w:r>
        <w:t>JSA</w:t>
      </w:r>
      <w:r w:rsidR="00DD4C52" w:rsidRPr="00255987">
        <w:t xml:space="preserve"> has commenced work on this </w:t>
      </w:r>
      <w:r w:rsidR="00DD4C52">
        <w:t xml:space="preserve">priority </w:t>
      </w:r>
      <w:r w:rsidR="00DD4C52" w:rsidRPr="00255987">
        <w:t>with the production of a consultation paper.</w:t>
      </w:r>
      <w:r w:rsidR="00DD4C52">
        <w:t xml:space="preserve"> This work aligns strongly with the call for</w:t>
      </w:r>
      <w:r w:rsidR="00DD4C52" w:rsidRPr="00255987">
        <w:t xml:space="preserve"> a common language</w:t>
      </w:r>
      <w:r w:rsidR="00DD4C52">
        <w:t xml:space="preserve"> for</w:t>
      </w:r>
      <w:r w:rsidR="00DD4C52" w:rsidRPr="00255987">
        <w:t xml:space="preserve"> knowledge and skills</w:t>
      </w:r>
      <w:r w:rsidR="00DD4C52">
        <w:t xml:space="preserve"> to connect the tertiary system.</w:t>
      </w:r>
    </w:p>
    <w:p w14:paraId="24A4ADFE" w14:textId="77777777" w:rsidR="00A01813" w:rsidRDefault="00A01813" w:rsidP="00FC53CA">
      <w:pPr>
        <w:tabs>
          <w:tab w:val="left" w:pos="357"/>
          <w:tab w:val="left" w:pos="714"/>
          <w:tab w:val="left" w:pos="1072"/>
          <w:tab w:val="left" w:pos="1429"/>
        </w:tabs>
        <w:spacing w:before="120" w:after="120" w:line="276" w:lineRule="auto"/>
        <w:rPr>
          <w:b/>
        </w:rPr>
      </w:pPr>
    </w:p>
    <w:p w14:paraId="5A9676ED" w14:textId="19BDE270" w:rsidR="00CC6F6C" w:rsidRDefault="00032F3E" w:rsidP="00FC53CA">
      <w:pPr>
        <w:tabs>
          <w:tab w:val="left" w:pos="357"/>
          <w:tab w:val="left" w:pos="714"/>
          <w:tab w:val="left" w:pos="1072"/>
          <w:tab w:val="left" w:pos="1429"/>
        </w:tabs>
        <w:spacing w:before="120" w:after="120" w:line="276" w:lineRule="auto"/>
      </w:pPr>
      <w:r w:rsidRPr="003930ED">
        <w:rPr>
          <w:b/>
        </w:rPr>
        <w:t xml:space="preserve">Recommendation </w:t>
      </w:r>
      <w:r w:rsidRPr="00247C83">
        <w:rPr>
          <w:b/>
        </w:rPr>
        <w:t>1</w:t>
      </w:r>
      <w:r w:rsidR="003E6F49">
        <w:rPr>
          <w:b/>
        </w:rPr>
        <w:t>7</w:t>
      </w:r>
      <w:r w:rsidRPr="003930ED">
        <w:rPr>
          <w:b/>
        </w:rPr>
        <w:t xml:space="preserve">: </w:t>
      </w:r>
      <w:r w:rsidRPr="00E11438">
        <w:rPr>
          <w:b/>
        </w:rPr>
        <w:t xml:space="preserve">That a strategy is developed and implemented to support students and industry in navigating the tertiary system to obtain the skills and knowledge they need, with </w:t>
      </w:r>
      <w:r w:rsidR="00CC6F6C" w:rsidRPr="00E11438">
        <w:rPr>
          <w:b/>
        </w:rPr>
        <w:t>required digital resources seen playing an important role as a core part of national infrastructure.</w:t>
      </w:r>
    </w:p>
    <w:p w14:paraId="74CA1758" w14:textId="77777777" w:rsidR="00A01813" w:rsidRDefault="00A01813" w:rsidP="00DD4C52">
      <w:pPr>
        <w:pStyle w:val="BodyText"/>
      </w:pPr>
    </w:p>
    <w:p w14:paraId="1D7229D7" w14:textId="77777777" w:rsidR="00D96CD1" w:rsidRDefault="00DD4C52" w:rsidP="00DD4C52">
      <w:pPr>
        <w:pStyle w:val="BodyText"/>
      </w:pPr>
      <w:r>
        <w:t xml:space="preserve">Various reviews including the Accord and the House of Representatives VET inquiry and the Review of University-Industry Collaboration, have made recommendations about the development of a national credentials platform and a </w:t>
      </w:r>
      <w:r w:rsidR="007834DD">
        <w:t>N</w:t>
      </w:r>
      <w:r>
        <w:t xml:space="preserve">ational </w:t>
      </w:r>
      <w:r w:rsidR="007834DD">
        <w:t>S</w:t>
      </w:r>
      <w:r>
        <w:t xml:space="preserve">kills </w:t>
      </w:r>
      <w:r w:rsidR="007834DD">
        <w:t>P</w:t>
      </w:r>
      <w:r>
        <w:t>assport, and the importance of providing valuable careers advice to learners.</w:t>
      </w:r>
    </w:p>
    <w:p w14:paraId="0C0D7CEE" w14:textId="3B3C9022" w:rsidR="002B236B" w:rsidRDefault="00DD4C52" w:rsidP="00DD4C52">
      <w:pPr>
        <w:pStyle w:val="BodyText"/>
      </w:pPr>
      <w:r>
        <w:t>Noting that there is ongoing work within government to consider the way forward in relation to these recommendations and to improve careers advice</w:t>
      </w:r>
      <w:r w:rsidR="005E59B3">
        <w:t>,</w:t>
      </w:r>
      <w:r>
        <w:t xml:space="preserve"> a strategy needs to be developed and progressively implemented to make it earlier for learners to navigate the tertiary education system as well as navigate the labour market. This should help them to find and enrol in programs of study that will provide them with the knowledge and skills and ability to apply them, in such way that supports their job and career aspiration and enables them to upskill or re-skill more efficiently and effectively to enable their careers to progress. The digital resources involved should also be utilised to support employers to find employees who possess the skills and knowledge they are looking for and identify ways in which they could be upskilled or re-skilled as their requirements change.</w:t>
      </w:r>
    </w:p>
    <w:p w14:paraId="54E37FAC" w14:textId="77777777" w:rsidR="002B236B" w:rsidRDefault="002B236B">
      <w:pPr>
        <w:spacing w:before="0" w:after="200" w:line="276" w:lineRule="auto"/>
      </w:pPr>
      <w:r>
        <w:br w:type="page"/>
      </w:r>
    </w:p>
    <w:p w14:paraId="12D0C71C" w14:textId="55A787DC" w:rsidR="00FB523B" w:rsidRPr="00FB523B" w:rsidRDefault="008626D8" w:rsidP="00FB523B">
      <w:pPr>
        <w:tabs>
          <w:tab w:val="left" w:pos="357"/>
          <w:tab w:val="left" w:pos="714"/>
          <w:tab w:val="left" w:pos="1072"/>
          <w:tab w:val="left" w:pos="1429"/>
        </w:tabs>
        <w:spacing w:before="120" w:after="120" w:line="276" w:lineRule="auto"/>
        <w:rPr>
          <w:b/>
          <w:bCs/>
        </w:rPr>
      </w:pPr>
      <w:r w:rsidRPr="00247C83">
        <w:rPr>
          <w:b/>
        </w:rPr>
        <w:lastRenderedPageBreak/>
        <w:t>Recommendation 1</w:t>
      </w:r>
      <w:r w:rsidR="003E6F49">
        <w:rPr>
          <w:b/>
        </w:rPr>
        <w:t>8</w:t>
      </w:r>
      <w:r w:rsidRPr="00247C83">
        <w:rPr>
          <w:b/>
        </w:rPr>
        <w:t xml:space="preserve">: </w:t>
      </w:r>
      <w:r w:rsidR="00FB523B" w:rsidRPr="00FB523B">
        <w:rPr>
          <w:b/>
          <w:bCs/>
        </w:rPr>
        <w:t>That a Tertiary Education National Data Asset is created, building on the good foundation and collaboration involved in the VET National Data Asset.</w:t>
      </w:r>
    </w:p>
    <w:p w14:paraId="26233F78" w14:textId="50FB6DD0" w:rsidR="00DD4C52" w:rsidRDefault="00DD4C52" w:rsidP="00DD4C52">
      <w:pPr>
        <w:pStyle w:val="BodyText"/>
      </w:pPr>
      <w:r>
        <w:t>Throughout the consultations and research, it was clear that data availability acted as a barrier towards a proper understanding of how the tertiary system functions, as well as a full understanding of the demand. This recommendation seeks to close this gap by e</w:t>
      </w:r>
      <w:r w:rsidRPr="00255987">
        <w:t>nhanc</w:t>
      </w:r>
      <w:r>
        <w:t xml:space="preserve">ing the quality and availability of </w:t>
      </w:r>
      <w:r w:rsidRPr="00255987">
        <w:t xml:space="preserve">data </w:t>
      </w:r>
      <w:r>
        <w:t>on</w:t>
      </w:r>
      <w:r w:rsidRPr="00255987">
        <w:t xml:space="preserve"> the joint effects of VET and Higher Education</w:t>
      </w:r>
      <w:r>
        <w:t>. It does this through</w:t>
      </w:r>
      <w:r w:rsidRPr="00255987">
        <w:t xml:space="preserve"> expanding the VET </w:t>
      </w:r>
      <w:r w:rsidR="0051132A">
        <w:t>N</w:t>
      </w:r>
      <w:r w:rsidRPr="00255987">
        <w:t xml:space="preserve">ational </w:t>
      </w:r>
      <w:r w:rsidR="0051132A">
        <w:t>D</w:t>
      </w:r>
      <w:r w:rsidRPr="00255987">
        <w:t xml:space="preserve">ata </w:t>
      </w:r>
      <w:r w:rsidR="0051132A">
        <w:t>A</w:t>
      </w:r>
      <w:r w:rsidRPr="00255987">
        <w:t>sset to become the Tertiary Education National Data Asset by including higher education.</w:t>
      </w:r>
    </w:p>
    <w:p w14:paraId="314693B8" w14:textId="77777777" w:rsidR="00DD4C52" w:rsidRDefault="00DD4C52" w:rsidP="00DD4C52">
      <w:pPr>
        <w:pStyle w:val="BodyText"/>
      </w:pPr>
      <w:r>
        <w:t>Alongside the development of a Tertiary Education National Data Asset there are other improvements in tertiary education data that need to be promoted in a tertiary education data strategy. This includes, for example, seeking to ensure that the next Population Census obtains data on all qualifications obtained, not just the "highest".</w:t>
      </w:r>
    </w:p>
    <w:p w14:paraId="2A313CE1" w14:textId="77777777" w:rsidR="00A01813" w:rsidRDefault="00A01813" w:rsidP="00FB523B">
      <w:pPr>
        <w:spacing w:before="0" w:after="200" w:line="276" w:lineRule="auto"/>
        <w:rPr>
          <w:b/>
        </w:rPr>
      </w:pPr>
    </w:p>
    <w:p w14:paraId="3496D702" w14:textId="77777777" w:rsidR="00D96CD1" w:rsidRDefault="001E75E8" w:rsidP="00FB523B">
      <w:pPr>
        <w:spacing w:before="0" w:after="200" w:line="276" w:lineRule="auto"/>
        <w:rPr>
          <w:b/>
          <w:bCs/>
        </w:rPr>
      </w:pPr>
      <w:r w:rsidRPr="00247C83">
        <w:rPr>
          <w:b/>
        </w:rPr>
        <w:t>Recommendation 1</w:t>
      </w:r>
      <w:r w:rsidR="003E6F49">
        <w:rPr>
          <w:b/>
        </w:rPr>
        <w:t>9</w:t>
      </w:r>
      <w:r w:rsidRPr="00247C83">
        <w:rPr>
          <w:b/>
        </w:rPr>
        <w:t>:</w:t>
      </w:r>
      <w:r w:rsidR="00FB523B">
        <w:rPr>
          <w:b/>
        </w:rPr>
        <w:t xml:space="preserve"> </w:t>
      </w:r>
      <w:r w:rsidR="00FB523B" w:rsidRPr="00FB523B">
        <w:rPr>
          <w:b/>
          <w:bCs/>
        </w:rPr>
        <w:t>Develop a set of nationally agreed principles for tertiary education funding to support harmonisation.</w:t>
      </w:r>
    </w:p>
    <w:p w14:paraId="1E80A164" w14:textId="283C83BE" w:rsidR="00A01813" w:rsidRDefault="00A01813" w:rsidP="00DD4C52">
      <w:pPr>
        <w:pStyle w:val="BodyText"/>
      </w:pPr>
    </w:p>
    <w:p w14:paraId="6F8FA099" w14:textId="1A753BB7" w:rsidR="00DD4C52" w:rsidRDefault="00DD4C52" w:rsidP="00DD4C52">
      <w:pPr>
        <w:pStyle w:val="BodyText"/>
      </w:pPr>
      <w:r>
        <w:t xml:space="preserve">Funding </w:t>
      </w:r>
      <w:r w:rsidR="000C6DA1">
        <w:t>incentives</w:t>
      </w:r>
      <w:r>
        <w:t xml:space="preserve"> were consistently identified as a major structural barrier to a</w:t>
      </w:r>
      <w:r w:rsidDel="00F479C1">
        <w:t xml:space="preserve"> </w:t>
      </w:r>
      <w:r>
        <w:t>harmonised system throughout the consultations. Any reforms must be supported by the right incentives, without which scalable solutions are challenging. Agreement is needed on principles that should underpin the funding of VET and Higher Education, put them on a level playing field, support collaboration and harmonisation, and do not distort the choices of students when investing in the skills and knowledge they need and the qualifications that provide them.</w:t>
      </w:r>
    </w:p>
    <w:p w14:paraId="74110A7C" w14:textId="63DB5B6E" w:rsidR="00DD4C52" w:rsidRDefault="00DD4C52" w:rsidP="00DD4C52">
      <w:pPr>
        <w:pStyle w:val="BodyText"/>
      </w:pPr>
      <w:r>
        <w:t xml:space="preserve">The work in developing these principles would be led by ATEC in consultation with states and territories, and with JSA building on the work done under </w:t>
      </w:r>
      <w:r w:rsidR="008F770C">
        <w:t>R</w:t>
      </w:r>
      <w:r>
        <w:t>ecommendation</w:t>
      </w:r>
      <w:r w:rsidR="008F770C">
        <w:t xml:space="preserve"> </w:t>
      </w:r>
      <w:r>
        <w:t>1</w:t>
      </w:r>
      <w:r w:rsidR="002A061A">
        <w:t>4</w:t>
      </w:r>
      <w:r>
        <w:t>.</w:t>
      </w:r>
    </w:p>
    <w:p w14:paraId="2FACA4C8" w14:textId="77777777" w:rsidR="00D96CD1" w:rsidRDefault="00DD4C52" w:rsidP="00DD4C52">
      <w:pPr>
        <w:pStyle w:val="BodyText"/>
        <w:rPr>
          <w:rStyle w:val="Characterbold"/>
        </w:rPr>
      </w:pPr>
      <w:r w:rsidRPr="001217C9">
        <w:rPr>
          <w:rStyle w:val="Characterbold"/>
        </w:rPr>
        <w:t xml:space="preserve">Further points raised </w:t>
      </w:r>
      <w:r w:rsidR="004F2F5A">
        <w:rPr>
          <w:rStyle w:val="Characterbold"/>
        </w:rPr>
        <w:t>through</w:t>
      </w:r>
      <w:r w:rsidRPr="001217C9">
        <w:rPr>
          <w:rStyle w:val="Characterbold"/>
        </w:rPr>
        <w:t xml:space="preserve"> the consultation</w:t>
      </w:r>
    </w:p>
    <w:p w14:paraId="131E095E" w14:textId="579FFCA8" w:rsidR="00DD4C52" w:rsidRDefault="00DD4C52" w:rsidP="00DD4C52">
      <w:pPr>
        <w:pStyle w:val="BodyText"/>
      </w:pPr>
      <w:r>
        <w:t xml:space="preserve">Whilst not at the level of specific recommendations, the </w:t>
      </w:r>
      <w:r w:rsidR="0092589A">
        <w:t>suggestions</w:t>
      </w:r>
      <w:r>
        <w:t xml:space="preserve"> </w:t>
      </w:r>
      <w:r w:rsidR="00AD6AD2">
        <w:t xml:space="preserve">were </w:t>
      </w:r>
      <w:r w:rsidR="0092589A">
        <w:t xml:space="preserve">also </w:t>
      </w:r>
      <w:r w:rsidR="00AD6AD2">
        <w:t>raised during consultations</w:t>
      </w:r>
      <w:r>
        <w:t>:</w:t>
      </w:r>
    </w:p>
    <w:p w14:paraId="0405E166" w14:textId="621D7E10" w:rsidR="00715618" w:rsidRPr="008C2370" w:rsidRDefault="00715618" w:rsidP="00715618">
      <w:pPr>
        <w:pStyle w:val="ListBullet"/>
      </w:pPr>
      <w:r>
        <w:t xml:space="preserve">Further work between </w:t>
      </w:r>
      <w:r w:rsidRPr="00EA1879">
        <w:t xml:space="preserve">the regulators responsible for the VET and </w:t>
      </w:r>
      <w:r>
        <w:t>higher education</w:t>
      </w:r>
      <w:r w:rsidRPr="00EA1879">
        <w:t xml:space="preserve"> sectors to reduce duplication and streamline process</w:t>
      </w:r>
      <w:r w:rsidR="009A199A">
        <w:t>. T</w:t>
      </w:r>
      <w:r w:rsidR="00B17E16">
        <w:t>his is in progress.</w:t>
      </w:r>
    </w:p>
    <w:p w14:paraId="5993C45B" w14:textId="77777777" w:rsidR="00DD4C52" w:rsidRPr="008C2370" w:rsidRDefault="00DD4C52" w:rsidP="00DD4C52">
      <w:pPr>
        <w:pStyle w:val="ListBullet"/>
      </w:pPr>
      <w:r>
        <w:t>The development of a</w:t>
      </w:r>
      <w:r w:rsidRPr="00EA1879">
        <w:t>n adaptive user-friendly framework for the recognition of prior learning</w:t>
      </w:r>
      <w:r>
        <w:t>.</w:t>
      </w:r>
    </w:p>
    <w:p w14:paraId="00AFA59A" w14:textId="557EAEFE" w:rsidR="002339B8" w:rsidRPr="008C2370" w:rsidRDefault="002339B8" w:rsidP="002339B8">
      <w:pPr>
        <w:pStyle w:val="ListBullet"/>
      </w:pPr>
      <w:r>
        <w:t>C</w:t>
      </w:r>
      <w:r w:rsidRPr="008C2370">
        <w:t>onsider</w:t>
      </w:r>
      <w:r>
        <w:t xml:space="preserve">ation whether </w:t>
      </w:r>
      <w:r w:rsidRPr="008C2370">
        <w:t xml:space="preserve">Fringe Benefits Tax </w:t>
      </w:r>
      <w:r>
        <w:t xml:space="preserve">on employers who support the </w:t>
      </w:r>
      <w:r w:rsidR="006E36F3">
        <w:t>Higher Education</w:t>
      </w:r>
      <w:r>
        <w:t xml:space="preserve"> of their employees</w:t>
      </w:r>
      <w:r>
        <w:rPr>
          <w:rStyle w:val="CommentReference"/>
          <w:rFonts w:eastAsiaTheme="minorHAnsi"/>
        </w:rPr>
        <w:t xml:space="preserve"> </w:t>
      </w:r>
      <w:r>
        <w:t xml:space="preserve">is an inappropriate </w:t>
      </w:r>
      <w:r w:rsidRPr="008C2370">
        <w:t>disincentive for investment in education and training</w:t>
      </w:r>
      <w:r>
        <w:t xml:space="preserve"> when investment in VET is not treated in that way.</w:t>
      </w:r>
    </w:p>
    <w:p w14:paraId="0BE66E1C" w14:textId="20D7ACF3" w:rsidR="00DD4C52" w:rsidRPr="008C2370" w:rsidRDefault="00DD4C52" w:rsidP="00DD4C52">
      <w:pPr>
        <w:pStyle w:val="ListBullet"/>
      </w:pPr>
      <w:r w:rsidRPr="008C2370">
        <w:t xml:space="preserve">Further quantitative and qualitative modelling as part of the roadmap to evaluate and plan for the impact of implementing tertiary harmonisation, including for establishing systems that incentivise harmonisation between VET and </w:t>
      </w:r>
      <w:r w:rsidR="006E36F3">
        <w:t>Higher Education</w:t>
      </w:r>
      <w:r w:rsidRPr="008C2370">
        <w:t>, and boost opportunities that include work</w:t>
      </w:r>
      <w:r>
        <w:t>-</w:t>
      </w:r>
      <w:r w:rsidRPr="008C2370">
        <w:t xml:space="preserve">based learning. This </w:t>
      </w:r>
      <w:r>
        <w:t>may include</w:t>
      </w:r>
      <w:r w:rsidRPr="008C2370">
        <w:t>:</w:t>
      </w:r>
    </w:p>
    <w:p w14:paraId="221AD20F" w14:textId="77777777" w:rsidR="00DD4C52" w:rsidRPr="008C2370" w:rsidRDefault="00DD4C52" w:rsidP="00DD4C52">
      <w:pPr>
        <w:pStyle w:val="ListBullet3"/>
      </w:pPr>
      <w:r w:rsidRPr="008C2370">
        <w:t>Modelling student demand and pathways in key areas to understand the extent of the effect on student load and the opportunities tertiary harmonisation presents for providers at all levels</w:t>
      </w:r>
      <w:r>
        <w:t>.</w:t>
      </w:r>
    </w:p>
    <w:p w14:paraId="79F95187" w14:textId="77777777" w:rsidR="00DD4C52" w:rsidRPr="008C2370" w:rsidRDefault="00DD4C52" w:rsidP="00DD4C52">
      <w:pPr>
        <w:pStyle w:val="ListBullet3"/>
      </w:pPr>
      <w:r w:rsidRPr="008C2370">
        <w:lastRenderedPageBreak/>
        <w:t>Modelling learner experience and impacts, in terms of debt accrual, career outcomes and earnings potential</w:t>
      </w:r>
      <w:r>
        <w:t>.</w:t>
      </w:r>
    </w:p>
    <w:p w14:paraId="6CB99E34" w14:textId="77777777" w:rsidR="00DD4C52" w:rsidRPr="008C2370" w:rsidRDefault="00DD4C52" w:rsidP="00DD4C52">
      <w:pPr>
        <w:pStyle w:val="ListBullet3"/>
      </w:pPr>
      <w:r w:rsidRPr="008C2370">
        <w:t>Analysing the administrative costs to institutions of a national credit transfer system and developing strategies to mitigate costs and constraints</w:t>
      </w:r>
      <w:r>
        <w:t>.</w:t>
      </w:r>
    </w:p>
    <w:p w14:paraId="27F71BF7" w14:textId="77777777" w:rsidR="00DD4C52" w:rsidRPr="008C2370" w:rsidRDefault="00DD4C52" w:rsidP="00DD4C52">
      <w:pPr>
        <w:pStyle w:val="ListBullet3"/>
      </w:pPr>
      <w:r w:rsidRPr="008C2370">
        <w:t>Quantifying opportunities for system efficiencies in terms of reduced overall student debt, more efficient training pipelines (especially for priority areas) and administrative costs</w:t>
      </w:r>
      <w:r>
        <w:t>.</w:t>
      </w:r>
    </w:p>
    <w:p w14:paraId="55830B6C" w14:textId="138ABAE8" w:rsidR="00DD4C52" w:rsidRDefault="00DD4C52" w:rsidP="00542083">
      <w:pPr>
        <w:pStyle w:val="ListBullet3"/>
      </w:pPr>
      <w:r w:rsidRPr="008C2370">
        <w:t>Modelling employer contributions to training at all levels (including traineeships, apprenticeships and lifelong learning)</w:t>
      </w:r>
      <w:r>
        <w:t>.</w:t>
      </w:r>
    </w:p>
    <w:p w14:paraId="1F5A01C8" w14:textId="133F2E3A" w:rsidR="00DD4C52" w:rsidRDefault="00DD4C52" w:rsidP="00DE72E5">
      <w:pPr>
        <w:pStyle w:val="Heading2"/>
      </w:pPr>
      <w:bookmarkStart w:id="177" w:name="_Toc190980918"/>
      <w:r>
        <w:t>Concluding remarks</w:t>
      </w:r>
      <w:bookmarkEnd w:id="177"/>
    </w:p>
    <w:p w14:paraId="5ED900F2" w14:textId="77777777" w:rsidR="00D96CD1" w:rsidRDefault="00DD4C52" w:rsidP="00DD4C52">
      <w:pPr>
        <w:pStyle w:val="BodyText"/>
      </w:pPr>
      <w:r w:rsidRPr="006C7DAB">
        <w:t>At a time of low productivity growth, significant skill shortages, and projected strong growth in demand for highly skilled workers to deal with major national challenge</w:t>
      </w:r>
      <w:r>
        <w:t>s</w:t>
      </w:r>
      <w:r w:rsidRPr="006C7DAB">
        <w:t>, there are increasingly high expectations of our tertiary education system. It needs to play a leadership role in confronting these challenges successfully.</w:t>
      </w:r>
    </w:p>
    <w:p w14:paraId="218D2BFA" w14:textId="2D56326B" w:rsidR="00DD4C52" w:rsidRPr="006C7DAB" w:rsidRDefault="00DD4C52" w:rsidP="00DD4C52">
      <w:pPr>
        <w:pStyle w:val="BodyText"/>
      </w:pPr>
      <w:r w:rsidRPr="006C7DAB">
        <w:t xml:space="preserve">This will require both VET and Higher Education sectors to sharpen their contribution to Australia’s skills needs and to work in a more </w:t>
      </w:r>
      <w:r w:rsidRPr="0032419F">
        <w:t xml:space="preserve">harmonised </w:t>
      </w:r>
      <w:r w:rsidRPr="006C7DAB">
        <w:t>way to improve the efficiency and effectiveness of the tertiary education system.</w:t>
      </w:r>
    </w:p>
    <w:p w14:paraId="54C0D46D" w14:textId="77777777" w:rsidR="00D96CD1" w:rsidRDefault="00DD4C52" w:rsidP="00DD4C52">
      <w:pPr>
        <w:pStyle w:val="BodyText"/>
      </w:pPr>
      <w:r w:rsidRPr="006C7DAB">
        <w:t>Australia currently has a disjointed tertiary system with a divide between VET and higher education. Distinct histories, tradition and cultures have created two system</w:t>
      </w:r>
      <w:r>
        <w:t>s</w:t>
      </w:r>
      <w:r w:rsidRPr="006C7DAB">
        <w:t xml:space="preserve"> that have been described as ‘worlds apart’ (Hurley, 2023). </w:t>
      </w:r>
      <w:r>
        <w:t xml:space="preserve">In some senses the distinctions are exaggerated, since both sectors need a combination of skills and knowledge, including original discovery and the application of the latest research and technology. Different approaches </w:t>
      </w:r>
      <w:r w:rsidRPr="006C7DAB">
        <w:t>pedagogy and assessment</w:t>
      </w:r>
      <w:r>
        <w:t xml:space="preserve"> are marked. Qualification reform in VET means that competency</w:t>
      </w:r>
      <w:r>
        <w:noBreakHyphen/>
        <w:t xml:space="preserve">based assessment of component skills is now moving to a 'qualifications first' approach that stresses coherence. Higher </w:t>
      </w:r>
      <w:r w:rsidR="006E36F3">
        <w:t>Education</w:t>
      </w:r>
      <w:r>
        <w:t xml:space="preserve"> includes a very wide range of approaches to assessment, differentiated largely by discipline with knowledge and skill acquisition linked to research.</w:t>
      </w:r>
    </w:p>
    <w:p w14:paraId="42333BFF" w14:textId="77777777" w:rsidR="00D96CD1" w:rsidRDefault="00DD4C52" w:rsidP="00DD4C52">
      <w:pPr>
        <w:pStyle w:val="BodyText"/>
      </w:pPr>
      <w:r w:rsidRPr="006C7DAB">
        <w:t xml:space="preserve">VET, unlike </w:t>
      </w:r>
      <w:r w:rsidR="006E36F3">
        <w:t>Higher Education</w:t>
      </w:r>
      <w:r w:rsidRPr="006C7DAB">
        <w:t xml:space="preserve">, has some significant links with the industrial system through AQF levels being referenced in Awards and a structured approach to industry engagement in qualification development. The regulators adopt completely different approaches to regulation, with VET being more compliance based and </w:t>
      </w:r>
      <w:r w:rsidR="006E36F3">
        <w:t>Higher Education</w:t>
      </w:r>
      <w:r w:rsidRPr="006C7DAB">
        <w:t xml:space="preserve"> more focussed on continuous quality improvement.</w:t>
      </w:r>
    </w:p>
    <w:p w14:paraId="0FFF6E75" w14:textId="1859A59D" w:rsidR="00DD4C52" w:rsidRPr="006C7DAB" w:rsidRDefault="00DD4C52" w:rsidP="00DD4C52">
      <w:pPr>
        <w:pStyle w:val="BodyText"/>
      </w:pPr>
      <w:r w:rsidRPr="006C7DAB">
        <w:t>This disjointedness also carries through to the funding and governance arrangements in the Higher Education and VET sectors. There is a disparity of esteem between VET and Higher Education, with VET being widely regarded as of lower value by many in the community.</w:t>
      </w:r>
    </w:p>
    <w:p w14:paraId="6EB59ED3" w14:textId="77777777" w:rsidR="00D96CD1" w:rsidRDefault="00DD4C52" w:rsidP="00DD4C52">
      <w:pPr>
        <w:pStyle w:val="BodyText"/>
      </w:pPr>
      <w:r w:rsidRPr="006C7DAB">
        <w:t>VET and Higher Education sectors have distinct contributions to make, and it would be a mistake to merge them together into one amorphous system. There is a lot to be gained from the diversity or qualifications and providers that two distinct sectors can provide. But that diversity needs to operate harmoniously and in the best interests of students, workers and industry, to enable to them to more efficiently and effectively navigate and benefit from the system.</w:t>
      </w:r>
    </w:p>
    <w:p w14:paraId="282BF66D" w14:textId="71B959C4" w:rsidR="00DD4C52" w:rsidRDefault="00DD4C52" w:rsidP="00DD4C52">
      <w:pPr>
        <w:pStyle w:val="BodyText"/>
      </w:pPr>
      <w:r w:rsidRPr="006C7DAB">
        <w:t>This report outlines the range of benefits that can be expected to result from such a harmonised system</w:t>
      </w:r>
      <w:r>
        <w:t xml:space="preserve"> and presents a roadmap to achieving through the collaboration of all tertiary system actors.</w:t>
      </w:r>
    </w:p>
    <w:p w14:paraId="1BE2DF94" w14:textId="77777777" w:rsidR="00D96CD1" w:rsidRDefault="00DD4C52" w:rsidP="00DD4C52">
      <w:pPr>
        <w:pStyle w:val="BodyText"/>
      </w:pPr>
      <w:r>
        <w:lastRenderedPageBreak/>
        <w:t>The challenge is formidable, but the benefits are even greater. T</w:t>
      </w:r>
      <w:r w:rsidRPr="006C7DAB">
        <w:t>he tertiary system would be more efficient, effective and transparent, in providing the blend of skills and knowledge that are needed.</w:t>
      </w:r>
    </w:p>
    <w:p w14:paraId="4FD17605" w14:textId="3ED210FF" w:rsidR="00DD4C52" w:rsidRPr="006C7DAB" w:rsidRDefault="00DD4C52" w:rsidP="00DD4C52">
      <w:pPr>
        <w:pStyle w:val="BodyText"/>
      </w:pPr>
      <w:r>
        <w:t>It will improve e</w:t>
      </w:r>
      <w:r w:rsidRPr="006C7DAB">
        <w:t xml:space="preserve">quity and access for disadvantaged groups, including </w:t>
      </w:r>
      <w:r>
        <w:t>F</w:t>
      </w:r>
      <w:r w:rsidRPr="006C7DAB">
        <w:t xml:space="preserve">irst </w:t>
      </w:r>
      <w:r>
        <w:t>N</w:t>
      </w:r>
      <w:r w:rsidRPr="006C7DAB">
        <w:t>ations people, those from lower socio-economic backgrounds, people with disabilit</w:t>
      </w:r>
      <w:r>
        <w:t>y,</w:t>
      </w:r>
      <w:r w:rsidRPr="006C7DAB">
        <w:t xml:space="preserve"> and those from regional rural and remote Australia. </w:t>
      </w:r>
      <w:r>
        <w:t>It is by bringing everyone inside the tent that Australians can achieve their full potential.</w:t>
      </w:r>
    </w:p>
    <w:p w14:paraId="19948FE0" w14:textId="77777777" w:rsidR="00D96CD1" w:rsidRDefault="00DD4C52" w:rsidP="00DD4C52">
      <w:pPr>
        <w:pStyle w:val="BodyText"/>
      </w:pPr>
      <w:r>
        <w:t xml:space="preserve">Finally, a harmonised system will </w:t>
      </w:r>
      <w:r w:rsidRPr="006C7DAB">
        <w:t xml:space="preserve">help Australia </w:t>
      </w:r>
      <w:r>
        <w:t xml:space="preserve">to </w:t>
      </w:r>
      <w:r w:rsidRPr="006C7DAB">
        <w:t xml:space="preserve">meet some of its biggest challenges such as decarbonisation and the ongoing strong growth in demand for healthcare. </w:t>
      </w:r>
      <w:r>
        <w:t>It</w:t>
      </w:r>
      <w:r w:rsidRPr="006C7DAB">
        <w:t xml:space="preserve"> can play a </w:t>
      </w:r>
      <w:r>
        <w:t>strong</w:t>
      </w:r>
      <w:r w:rsidRPr="006C7DAB">
        <w:t xml:space="preserve"> role in enhancing Australia’s productivity, meeting skill shortages, increasing employment and reducing unemployment.</w:t>
      </w:r>
    </w:p>
    <w:p w14:paraId="381006EF" w14:textId="35F52B8D" w:rsidR="002B236B" w:rsidRDefault="002B236B">
      <w:pPr>
        <w:spacing w:before="0" w:after="200" w:line="276" w:lineRule="auto"/>
      </w:pPr>
      <w:r>
        <w:br w:type="page"/>
      </w:r>
    </w:p>
    <w:p w14:paraId="164A3E3E" w14:textId="46143F0F" w:rsidR="005D6359" w:rsidRDefault="00B81445" w:rsidP="00831600">
      <w:pPr>
        <w:pStyle w:val="AppendixHeading1"/>
        <w:spacing w:after="120"/>
        <w:ind w:left="0" w:firstLine="0"/>
      </w:pPr>
      <w:bookmarkStart w:id="178" w:name="_Toc189060576"/>
      <w:bookmarkStart w:id="179" w:name="_Toc189060813"/>
      <w:bookmarkStart w:id="180" w:name="_Toc190077640"/>
      <w:bookmarkStart w:id="181" w:name="_Toc190980919"/>
      <w:bookmarkEnd w:id="174"/>
      <w:bookmarkEnd w:id="175"/>
      <w:r>
        <w:lastRenderedPageBreak/>
        <w:t xml:space="preserve">JSA tertiary harmonisation </w:t>
      </w:r>
      <w:r w:rsidR="005D6359">
        <w:t xml:space="preserve">roundtable </w:t>
      </w:r>
      <w:r w:rsidR="00B247FA">
        <w:t>consultations</w:t>
      </w:r>
      <w:bookmarkEnd w:id="178"/>
      <w:bookmarkEnd w:id="179"/>
      <w:bookmarkEnd w:id="180"/>
      <w:bookmarkEnd w:id="181"/>
    </w:p>
    <w:p w14:paraId="1B5F998C" w14:textId="2C33AA31" w:rsidR="005D6359" w:rsidRDefault="005D6359" w:rsidP="005D6359">
      <w:r>
        <w:t>Following early research and consultation, JSA undertook a national roundtable series between November 2024 and February 2025 to test early thinking and approaches to harmonisation with stakeholders.</w:t>
      </w:r>
      <w:r w:rsidR="00DF63B4">
        <w:t xml:space="preserve"> See Appendix </w:t>
      </w:r>
      <w:r w:rsidR="4AE9061B">
        <w:t>B</w:t>
      </w:r>
      <w:r w:rsidR="00DF63B4">
        <w:t xml:space="preserve"> for the details of </w:t>
      </w:r>
      <w:r w:rsidR="00494B5B">
        <w:t>the roundtables and attendance.</w:t>
      </w:r>
    </w:p>
    <w:p w14:paraId="3D92570B" w14:textId="77777777" w:rsidR="005D6359" w:rsidRDefault="005D6359" w:rsidP="005D6359"/>
    <w:p w14:paraId="322209E7" w14:textId="77777777" w:rsidR="005D6359" w:rsidRDefault="005D6359" w:rsidP="005D6359">
      <w:r>
        <w:t>Outlined below is an approach towards a more harmonised tertiary education system that identifies key issues that need to be resolved based on the combination of JSA’s research and the state and</w:t>
      </w:r>
      <w:r w:rsidDel="00F45540">
        <w:t xml:space="preserve"> </w:t>
      </w:r>
      <w:r>
        <w:t>territory roundtable consultations undertaken.</w:t>
      </w:r>
    </w:p>
    <w:p w14:paraId="5EE2B2A4" w14:textId="77777777" w:rsidR="005D6359" w:rsidRDefault="005D6359" w:rsidP="005D6359"/>
    <w:p w14:paraId="39EC219C" w14:textId="77777777" w:rsidR="005D6359" w:rsidRPr="005220EA" w:rsidRDefault="005D6359" w:rsidP="005D6359">
      <w:pPr>
        <w:pStyle w:val="Heading2"/>
        <w:numPr>
          <w:ilvl w:val="1"/>
          <w:numId w:val="16"/>
        </w:numPr>
      </w:pPr>
      <w:bookmarkStart w:id="182" w:name="_Toc189060485"/>
      <w:bookmarkStart w:id="183" w:name="_Toc189060577"/>
      <w:bookmarkStart w:id="184" w:name="_Toc189060814"/>
      <w:bookmarkStart w:id="185" w:name="_Toc190980920"/>
      <w:r w:rsidRPr="009E7AAD">
        <w:t>P</w:t>
      </w:r>
      <w:r w:rsidRPr="005220EA">
        <w:t>rioritisation</w:t>
      </w:r>
      <w:r w:rsidRPr="009E7AAD">
        <w:t xml:space="preserve"> and implementation of tertiary harmonisation</w:t>
      </w:r>
      <w:bookmarkEnd w:id="182"/>
      <w:bookmarkEnd w:id="183"/>
      <w:bookmarkEnd w:id="184"/>
      <w:bookmarkEnd w:id="185"/>
    </w:p>
    <w:p w14:paraId="32D223F5" w14:textId="77777777" w:rsidR="005D6359" w:rsidRDefault="005D6359" w:rsidP="005D6359"/>
    <w:p w14:paraId="42BA3004" w14:textId="1EB37F40" w:rsidR="005D6359" w:rsidRPr="00A02E2D" w:rsidRDefault="00855B7E" w:rsidP="005D6359">
      <w:pPr>
        <w:pStyle w:val="BodyText"/>
        <w:rPr>
          <w:rStyle w:val="Characterbolditalic"/>
        </w:rPr>
      </w:pPr>
      <w:r>
        <w:rPr>
          <w:rStyle w:val="Characterbolditalic"/>
        </w:rPr>
        <w:t>Measuring the benefits of t</w:t>
      </w:r>
      <w:r w:rsidR="005D6359" w:rsidRPr="00A02E2D">
        <w:rPr>
          <w:rStyle w:val="Characterbolditalic"/>
        </w:rPr>
        <w:t>ertiary harmonisation</w:t>
      </w:r>
    </w:p>
    <w:p w14:paraId="7BD0E443" w14:textId="77777777" w:rsidR="005D6359" w:rsidRDefault="005D6359" w:rsidP="005D6359">
      <w:pPr>
        <w:pStyle w:val="BodyText"/>
      </w:pPr>
      <w:r>
        <w:t>There was general support for a more harmonised system that enabled students to obtain the skills and knowledge they required efficiently and effectively. In turn, industry was supportive of measures in the tertiary system that helped employers get the right employees.</w:t>
      </w:r>
    </w:p>
    <w:p w14:paraId="17D1E43D" w14:textId="77777777" w:rsidR="005D6359" w:rsidRDefault="005D6359" w:rsidP="005D6359">
      <w:pPr>
        <w:pStyle w:val="BodyText"/>
      </w:pPr>
      <w:r>
        <w:t>The benefits outlined above, including enabling access to tertiary education for under</w:t>
      </w:r>
      <w:r>
        <w:noBreakHyphen/>
        <w:t>represented cohorts were understood to be a worthy cause.</w:t>
      </w:r>
    </w:p>
    <w:p w14:paraId="6A2DC269" w14:textId="5878E831" w:rsidR="005D6359" w:rsidRDefault="005D6359" w:rsidP="005D6359">
      <w:pPr>
        <w:pStyle w:val="BodyText"/>
      </w:pPr>
      <w:r>
        <w:t>Additional points raised regarding the benefits of harmonisation include:</w:t>
      </w:r>
    </w:p>
    <w:p w14:paraId="78883692" w14:textId="77777777" w:rsidR="005D6359" w:rsidRPr="00492704" w:rsidRDefault="005D6359" w:rsidP="005D6359">
      <w:pPr>
        <w:pStyle w:val="ListBullet"/>
        <w:numPr>
          <w:ilvl w:val="0"/>
          <w:numId w:val="2"/>
        </w:numPr>
      </w:pPr>
      <w:r>
        <w:t>Q</w:t>
      </w:r>
      <w:r w:rsidRPr="00492704">
        <w:t>uantitative evidence, including modelling is required on tertiary harmonisation to understand the economic benefits of harmonisation and the benefits that accrue to system actors.</w:t>
      </w:r>
    </w:p>
    <w:p w14:paraId="1CA2659E" w14:textId="77777777" w:rsidR="005D6359" w:rsidRPr="00492704" w:rsidRDefault="005D6359" w:rsidP="005D6359">
      <w:pPr>
        <w:pStyle w:val="ListBullet"/>
        <w:numPr>
          <w:ilvl w:val="0"/>
          <w:numId w:val="2"/>
        </w:numPr>
      </w:pPr>
      <w:r>
        <w:t xml:space="preserve">The </w:t>
      </w:r>
      <w:r w:rsidRPr="00492704">
        <w:t>cost/benefit of harmonisation need to be understood, particularly with respect to providers.</w:t>
      </w:r>
    </w:p>
    <w:p w14:paraId="1D212B81" w14:textId="77777777" w:rsidR="005D6359" w:rsidRPr="00492704" w:rsidRDefault="005D6359" w:rsidP="005D6359">
      <w:pPr>
        <w:pStyle w:val="ListBullet"/>
        <w:numPr>
          <w:ilvl w:val="0"/>
          <w:numId w:val="2"/>
        </w:numPr>
      </w:pPr>
      <w:r>
        <w:t xml:space="preserve">The </w:t>
      </w:r>
      <w:r w:rsidRPr="00492704">
        <w:t>demand for integrated qualifications needs to be understood.</w:t>
      </w:r>
    </w:p>
    <w:p w14:paraId="3ECCA90D" w14:textId="77777777" w:rsidR="00D96CD1" w:rsidRDefault="005D6359" w:rsidP="005D6359">
      <w:pPr>
        <w:pStyle w:val="ListBullet"/>
        <w:numPr>
          <w:ilvl w:val="0"/>
          <w:numId w:val="2"/>
        </w:numPr>
      </w:pPr>
      <w:r w:rsidRPr="0037741E">
        <w:t xml:space="preserve">The demand for education is </w:t>
      </w:r>
      <w:r w:rsidRPr="00492704">
        <w:t>now more complex than before. Students require flexibility in their qualification design so that they can access it when and where they need it.</w:t>
      </w:r>
    </w:p>
    <w:p w14:paraId="272F6C5C" w14:textId="50B4AFE4" w:rsidR="005D6359" w:rsidRPr="00492704" w:rsidRDefault="005D6359" w:rsidP="005D6359">
      <w:pPr>
        <w:pStyle w:val="ListBullet"/>
        <w:numPr>
          <w:ilvl w:val="0"/>
          <w:numId w:val="2"/>
        </w:numPr>
      </w:pPr>
      <w:r>
        <w:t>Lifelong learning represents a strong source of demand for tertiary harmonisation and was the focus of several providers.</w:t>
      </w:r>
    </w:p>
    <w:p w14:paraId="48264E77" w14:textId="7213A756" w:rsidR="005B2391" w:rsidRDefault="005D6359" w:rsidP="00E36F85">
      <w:pPr>
        <w:pStyle w:val="ListBullet"/>
        <w:numPr>
          <w:ilvl w:val="0"/>
          <w:numId w:val="2"/>
        </w:numPr>
      </w:pPr>
      <w:r>
        <w:t>A</w:t>
      </w:r>
      <w:r w:rsidRPr="00492704">
        <w:t>n expectation of a harmonised system is to accelerate the pathway to employment for students and lead to better matching of the demand and supply of skills for industry</w:t>
      </w:r>
    </w:p>
    <w:p w14:paraId="2A70C77C" w14:textId="77777777" w:rsidR="003131A4" w:rsidRDefault="003131A4" w:rsidP="005D6359"/>
    <w:p w14:paraId="38AA5683" w14:textId="77777777" w:rsidR="003131A4" w:rsidRDefault="003131A4" w:rsidP="005D6359"/>
    <w:p w14:paraId="5CF76362" w14:textId="57593759" w:rsidR="005D6359" w:rsidRPr="00972D0C" w:rsidRDefault="005D6359" w:rsidP="005D6359">
      <w:pPr>
        <w:rPr>
          <w:rStyle w:val="Characterbolditalic"/>
        </w:rPr>
      </w:pPr>
      <w:r w:rsidRPr="00972D0C">
        <w:rPr>
          <w:rStyle w:val="Characterbolditalic"/>
        </w:rPr>
        <w:t>Priorities and implementation of tertiary harmonisation</w:t>
      </w:r>
    </w:p>
    <w:p w14:paraId="19AC7BF3" w14:textId="77777777" w:rsidR="005D6359" w:rsidRDefault="005D6359" w:rsidP="005D6359"/>
    <w:p w14:paraId="091BC87C" w14:textId="77777777" w:rsidR="005D6359" w:rsidRDefault="005D6359" w:rsidP="005D6359">
      <w:pPr>
        <w:pStyle w:val="BodyText"/>
      </w:pPr>
      <w:r>
        <w:t>The complexity of implementation was a recurrent theme in discussions. It was recognised that both individual and coordinated stakeholder action from multiple system actors was necessary.</w:t>
      </w:r>
    </w:p>
    <w:p w14:paraId="09E70129" w14:textId="77777777" w:rsidR="005D6359" w:rsidRDefault="005D6359" w:rsidP="005D6359">
      <w:pPr>
        <w:pStyle w:val="BodyText"/>
      </w:pPr>
      <w:r>
        <w:lastRenderedPageBreak/>
        <w:t>The tertiary harmonisation framework, comprising the 3 pillars and 12 elements, and the system actors were generally recognised as a useful mechanism to enable implementation. Pillar 3 (Legislative, Regulatory and Funding) was identified regularly as being of the highest priority.</w:t>
      </w:r>
    </w:p>
    <w:p w14:paraId="0B051BEA" w14:textId="77777777" w:rsidR="00D96CD1" w:rsidRDefault="005D6359" w:rsidP="005D6359">
      <w:pPr>
        <w:pStyle w:val="BodyText"/>
      </w:pPr>
      <w:r>
        <w:t>In</w:t>
      </w:r>
      <w:r w:rsidDel="00D94293">
        <w:t xml:space="preserve"> </w:t>
      </w:r>
      <w:r>
        <w:t xml:space="preserve">pillar one (key players: roles and relationships), the </w:t>
      </w:r>
      <w:r w:rsidR="00905780">
        <w:t xml:space="preserve">two elements </w:t>
      </w:r>
      <w:r w:rsidR="00554B81">
        <w:t>of</w:t>
      </w:r>
      <w:r>
        <w:t xml:space="preserve"> state and territory and Australian </w:t>
      </w:r>
      <w:r w:rsidR="006E5F87">
        <w:t>G</w:t>
      </w:r>
      <w:r>
        <w:t>overnment relations; and the industry element</w:t>
      </w:r>
      <w:r w:rsidR="000A7F62">
        <w:t xml:space="preserve"> were viewed as being of equal priority and importance</w:t>
      </w:r>
      <w:r>
        <w:t xml:space="preserve">. It was agreed that implementation required strong state and territory government buy-in, as well as from Australian </w:t>
      </w:r>
      <w:r w:rsidR="004B1C43">
        <w:t>G</w:t>
      </w:r>
      <w:r>
        <w:t>overnment agencies.</w:t>
      </w:r>
    </w:p>
    <w:p w14:paraId="4EC427D0" w14:textId="69C378FB" w:rsidR="005D6359" w:rsidRDefault="005D6359" w:rsidP="005D6359">
      <w:pPr>
        <w:pStyle w:val="BodyText"/>
      </w:pPr>
      <w:r>
        <w:t>In pillar</w:t>
      </w:r>
      <w:r w:rsidDel="003F396B">
        <w:t xml:space="preserve"> </w:t>
      </w:r>
      <w:r>
        <w:t>2 (knowledge, skills and qualification: architecture and perceptions), credit transfer was identified as a major priority. Further, the development of a common skills language through the development of the NST was seen as a strong enabler of a system level reform that will enable connections across the tertiary sector.</w:t>
      </w:r>
    </w:p>
    <w:p w14:paraId="56382B4E" w14:textId="77777777" w:rsidR="005D6359" w:rsidRDefault="005D6359" w:rsidP="005D6359">
      <w:pPr>
        <w:pStyle w:val="BodyText"/>
      </w:pPr>
      <w:r>
        <w:t>Pillar</w:t>
      </w:r>
      <w:r w:rsidDel="00460281">
        <w:t xml:space="preserve"> </w:t>
      </w:r>
      <w:r>
        <w:t>3 (legislative, regulatory, financial and data architecture) was discussed as being a major priority, and within it, in particular funding incentives. It was noted that a lot of the current examples of harmonisation are ‘workarounds’ a funding system that is not designed for it.</w:t>
      </w:r>
    </w:p>
    <w:p w14:paraId="1051B011" w14:textId="77777777" w:rsidR="00D96CD1" w:rsidRDefault="005D6359" w:rsidP="005D6359">
      <w:pPr>
        <w:pStyle w:val="BodyText"/>
      </w:pPr>
      <w:r>
        <w:t>Union representatives raised that industrial relations, safety and ensuring the integrity of the training system were important aspects to consider.</w:t>
      </w:r>
    </w:p>
    <w:p w14:paraId="58D3782E" w14:textId="623B1997" w:rsidR="005D6359" w:rsidRDefault="005D6359" w:rsidP="005D6359">
      <w:pPr>
        <w:pStyle w:val="BodyText"/>
      </w:pPr>
      <w:r>
        <w:t>Employers emphasised the need for progress and urged a pragmatic and incremental approach.</w:t>
      </w:r>
    </w:p>
    <w:p w14:paraId="43B657D3" w14:textId="77777777" w:rsidR="005D6359" w:rsidRDefault="005D6359" w:rsidP="005D6359"/>
    <w:p w14:paraId="45540EB2" w14:textId="77777777" w:rsidR="005D6359" w:rsidRPr="00B50D68" w:rsidRDefault="005D6359" w:rsidP="005D6359">
      <w:pPr>
        <w:pStyle w:val="Heading2"/>
        <w:numPr>
          <w:ilvl w:val="1"/>
          <w:numId w:val="16"/>
        </w:numPr>
      </w:pPr>
      <w:bookmarkStart w:id="186" w:name="_Toc189060486"/>
      <w:bookmarkStart w:id="187" w:name="_Toc189060578"/>
      <w:bookmarkStart w:id="188" w:name="_Toc189060815"/>
      <w:bookmarkStart w:id="189" w:name="_Toc190980921"/>
      <w:r w:rsidRPr="00B50D68">
        <w:t xml:space="preserve">The tertiary harmonisation framework: </w:t>
      </w:r>
      <w:r w:rsidRPr="00CC2A7C">
        <w:t>Pillars, elements and system actors</w:t>
      </w:r>
      <w:bookmarkEnd w:id="186"/>
      <w:bookmarkEnd w:id="187"/>
      <w:bookmarkEnd w:id="188"/>
      <w:bookmarkEnd w:id="189"/>
    </w:p>
    <w:p w14:paraId="44C4A2B9" w14:textId="77777777" w:rsidR="005D6359" w:rsidRDefault="005D6359" w:rsidP="005D6359"/>
    <w:p w14:paraId="46A367CD" w14:textId="77777777" w:rsidR="005D6359" w:rsidRDefault="005D6359" w:rsidP="005D6359">
      <w:pPr>
        <w:pStyle w:val="BodyText"/>
      </w:pPr>
      <w:r>
        <w:t>As noted, the tertiary harmonisation framework was viewed as useful for the harmonisation of the two sectors. The coupling of the framework with the concept of tertiary system actors was regarded as helpful for the design of policy and programs to achieve harmonisation.</w:t>
      </w:r>
    </w:p>
    <w:p w14:paraId="05D20017" w14:textId="3406F45E" w:rsidR="005D6359" w:rsidRDefault="005D6359" w:rsidP="005D6359">
      <w:pPr>
        <w:pStyle w:val="BodyText"/>
      </w:pPr>
      <w:r>
        <w:t xml:space="preserve">Schools and VET in </w:t>
      </w:r>
      <w:r w:rsidR="00602F7A">
        <w:t>S</w:t>
      </w:r>
      <w:r>
        <w:t>chools were identified as an important part of harmonisation and it was suggested that it be included as either part of the framework elements and/or system actors.</w:t>
      </w:r>
    </w:p>
    <w:p w14:paraId="645A12F3" w14:textId="4FF909EB" w:rsidR="005D6359" w:rsidRPr="00492704" w:rsidRDefault="005D6359" w:rsidP="005D6359">
      <w:pPr>
        <w:pStyle w:val="BodyText"/>
      </w:pPr>
      <w:r>
        <w:t xml:space="preserve">It was raised that </w:t>
      </w:r>
      <w:r w:rsidRPr="00492704">
        <w:t xml:space="preserve">VET in </w:t>
      </w:r>
      <w:r w:rsidR="00602F7A">
        <w:t>S</w:t>
      </w:r>
      <w:r w:rsidRPr="00492704">
        <w:t xml:space="preserve">chools needed further support to be delivered effectively. It was acknowledged that a lot of students were not aware of it, or its benefits. </w:t>
      </w:r>
      <w:r>
        <w:t xml:space="preserve">Lack of access at scale to VET in </w:t>
      </w:r>
      <w:r w:rsidR="00602F7A">
        <w:t>S</w:t>
      </w:r>
      <w:r>
        <w:t>chools was also implied.</w:t>
      </w:r>
      <w:r w:rsidRPr="00492704">
        <w:t xml:space="preserve"> </w:t>
      </w:r>
      <w:r>
        <w:t xml:space="preserve">It was noted that the current school funding agreements between the </w:t>
      </w:r>
      <w:r w:rsidR="009B1A6C">
        <w:t>Australian and state and territory governments</w:t>
      </w:r>
      <w:r>
        <w:t xml:space="preserve"> were not conducive towards the VET in </w:t>
      </w:r>
      <w:r w:rsidR="008D07D2">
        <w:t>S</w:t>
      </w:r>
      <w:r>
        <w:t>chools program.</w:t>
      </w:r>
      <w:r w:rsidRPr="00492704">
        <w:t xml:space="preserve"> Further points raised in relation to VET in </w:t>
      </w:r>
      <w:r w:rsidR="008D07D2">
        <w:t>S</w:t>
      </w:r>
      <w:r w:rsidRPr="00492704">
        <w:t>chools included</w:t>
      </w:r>
      <w:r>
        <w:t xml:space="preserve"> that</w:t>
      </w:r>
      <w:r w:rsidRPr="00492704">
        <w:t>:</w:t>
      </w:r>
    </w:p>
    <w:p w14:paraId="6E95CEA3" w14:textId="77777777" w:rsidR="005D6359" w:rsidRPr="00492704" w:rsidRDefault="005D6359" w:rsidP="005D6359">
      <w:pPr>
        <w:pStyle w:val="ListBullet"/>
        <w:numPr>
          <w:ilvl w:val="0"/>
          <w:numId w:val="2"/>
        </w:numPr>
      </w:pPr>
      <w:r>
        <w:t>p</w:t>
      </w:r>
      <w:r w:rsidRPr="00492704">
        <w:t>athways into tertiary education and choices are shaped in the school system</w:t>
      </w:r>
    </w:p>
    <w:p w14:paraId="042545AB" w14:textId="6C974DEC" w:rsidR="005D6359" w:rsidRPr="00066041" w:rsidRDefault="005D6359" w:rsidP="005D6359">
      <w:pPr>
        <w:pStyle w:val="ListBullet"/>
        <w:numPr>
          <w:ilvl w:val="0"/>
          <w:numId w:val="2"/>
        </w:numPr>
      </w:pPr>
      <w:r w:rsidRPr="00066041">
        <w:t xml:space="preserve">VET in </w:t>
      </w:r>
      <w:r w:rsidR="00602F7A">
        <w:t>S</w:t>
      </w:r>
      <w:r w:rsidRPr="00066041">
        <w:t>chools is a part of the VET system and potentially in JSA’s remit</w:t>
      </w:r>
    </w:p>
    <w:p w14:paraId="24EE6DBD" w14:textId="77777777" w:rsidR="005D6359" w:rsidRPr="00492704" w:rsidRDefault="005D6359" w:rsidP="005D6359">
      <w:pPr>
        <w:pStyle w:val="ListBullet"/>
        <w:numPr>
          <w:ilvl w:val="0"/>
          <w:numId w:val="2"/>
        </w:numPr>
      </w:pPr>
      <w:r>
        <w:t>t</w:t>
      </w:r>
      <w:r w:rsidRPr="00492704">
        <w:t>he characteristics of the school leaver cohort will impact course design and types of offerings.</w:t>
      </w:r>
    </w:p>
    <w:p w14:paraId="69F4C379" w14:textId="77777777" w:rsidR="005D6359" w:rsidRDefault="005D6359" w:rsidP="005D6359">
      <w:pPr>
        <w:pStyle w:val="BodyText"/>
      </w:pPr>
      <w:r w:rsidRPr="00C233CB">
        <w:t xml:space="preserve">Most </w:t>
      </w:r>
      <w:r>
        <w:t xml:space="preserve">stakeholders </w:t>
      </w:r>
      <w:r w:rsidRPr="00C233CB">
        <w:t xml:space="preserve">agreed with students being </w:t>
      </w:r>
      <w:r>
        <w:t>the focal point of harmonisation ‘</w:t>
      </w:r>
      <w:r w:rsidRPr="00C233CB">
        <w:t>at the centre</w:t>
      </w:r>
      <w:r>
        <w:t xml:space="preserve">’ of the system actors. It was emphasised that students should not unduly bear any risks related to harmonisation and unintended consequences need to be considered, for example </w:t>
      </w:r>
      <w:r>
        <w:lastRenderedPageBreak/>
        <w:t xml:space="preserve">for awards. However, </w:t>
      </w:r>
      <w:r w:rsidRPr="00C233CB">
        <w:t xml:space="preserve">some </w:t>
      </w:r>
      <w:r>
        <w:t xml:space="preserve">stakeholders </w:t>
      </w:r>
      <w:r w:rsidRPr="00C233CB">
        <w:t xml:space="preserve">raised </w:t>
      </w:r>
      <w:r>
        <w:t xml:space="preserve">the concept of </w:t>
      </w:r>
      <w:r w:rsidRPr="00C233CB">
        <w:t>industry being at the centre as they are the ‘demand’ side of the tertiary education system and may also need support to make it work.</w:t>
      </w:r>
    </w:p>
    <w:p w14:paraId="6DFBF4A9" w14:textId="77777777" w:rsidR="005D6359" w:rsidRPr="00C233CB" w:rsidRDefault="005D6359" w:rsidP="005D6359">
      <w:pPr>
        <w:pStyle w:val="BodyText"/>
      </w:pPr>
      <w:r>
        <w:t>Professional accreditation bodies were identified as an important contributor to harmonisation. Based on this, this stakeholder group has been included as a system actor.</w:t>
      </w:r>
    </w:p>
    <w:p w14:paraId="75E5F353" w14:textId="77777777" w:rsidR="005D6359" w:rsidRDefault="005D6359" w:rsidP="005D6359"/>
    <w:p w14:paraId="11B4A1C7" w14:textId="77777777" w:rsidR="005D6359" w:rsidRPr="00CF696D" w:rsidRDefault="005D6359" w:rsidP="005D6359">
      <w:pPr>
        <w:pStyle w:val="Heading2"/>
        <w:numPr>
          <w:ilvl w:val="1"/>
          <w:numId w:val="16"/>
        </w:numPr>
      </w:pPr>
      <w:bookmarkStart w:id="190" w:name="_Toc189060487"/>
      <w:bookmarkStart w:id="191" w:name="_Toc189060579"/>
      <w:bookmarkStart w:id="192" w:name="_Toc189060816"/>
      <w:bookmarkStart w:id="193" w:name="_Toc190980922"/>
      <w:r w:rsidRPr="00CF696D">
        <w:t>Qualification design</w:t>
      </w:r>
      <w:bookmarkEnd w:id="190"/>
      <w:bookmarkEnd w:id="191"/>
      <w:bookmarkEnd w:id="192"/>
      <w:bookmarkEnd w:id="193"/>
    </w:p>
    <w:p w14:paraId="7266AC6C" w14:textId="77777777" w:rsidR="00D96CD1" w:rsidRDefault="005D6359" w:rsidP="005D6359">
      <w:pPr>
        <w:pStyle w:val="BodyText"/>
      </w:pPr>
      <w:r>
        <w:t xml:space="preserve">Innovation in qualification design was a common theme of discussion to help facilitate the connection of the </w:t>
      </w:r>
      <w:r w:rsidR="006E36F3">
        <w:t>Higher Education</w:t>
      </w:r>
      <w:r>
        <w:t xml:space="preserve"> and VET sectors for students. Multiple examples of harmonisation were presented, although they centred around the VET to </w:t>
      </w:r>
      <w:r w:rsidR="006E36F3">
        <w:t>Higher Education</w:t>
      </w:r>
      <w:r>
        <w:t xml:space="preserve"> pathway. It was discussed that </w:t>
      </w:r>
      <w:r w:rsidR="006E36F3">
        <w:t>Higher Education</w:t>
      </w:r>
      <w:r>
        <w:t xml:space="preserve"> to VET also needed equal attention but that it was more difficult to identify these instances as they tended to be an individual or company seeking skills and applications.</w:t>
      </w:r>
    </w:p>
    <w:p w14:paraId="2CC771AF" w14:textId="388571AC" w:rsidR="005D6359" w:rsidRDefault="005D6359" w:rsidP="005D6359">
      <w:pPr>
        <w:pStyle w:val="BodyText"/>
      </w:pPr>
      <w:r>
        <w:t xml:space="preserve">This in itself is perhaps an indication of challenges in the system. It was raised by several stakeholders that students or curriculum designers seeking a pathway from </w:t>
      </w:r>
      <w:r w:rsidR="006E36F3">
        <w:t>Higher Education</w:t>
      </w:r>
      <w:r>
        <w:t xml:space="preserve"> to VET was “near impossible”. One</w:t>
      </w:r>
      <w:r w:rsidRPr="008B1CB2">
        <w:t xml:space="preserve"> example</w:t>
      </w:r>
      <w:r>
        <w:t xml:space="preserve"> offered was</w:t>
      </w:r>
      <w:r w:rsidRPr="008B1CB2">
        <w:t xml:space="preserve"> in the engineering field</w:t>
      </w:r>
      <w:r>
        <w:t xml:space="preserve"> where</w:t>
      </w:r>
      <w:r w:rsidRPr="008B1CB2">
        <w:t xml:space="preserve"> it is common for employers to send qualified engineers to get </w:t>
      </w:r>
      <w:r>
        <w:t>the</w:t>
      </w:r>
      <w:r w:rsidRPr="008B1CB2">
        <w:t xml:space="preserve"> skills required from VET courses</w:t>
      </w:r>
      <w:r>
        <w:t>.</w:t>
      </w:r>
    </w:p>
    <w:p w14:paraId="7EC6EFCF" w14:textId="77777777" w:rsidR="00D96CD1" w:rsidRDefault="005D6359" w:rsidP="005D6359">
      <w:pPr>
        <w:pStyle w:val="BodyText"/>
      </w:pPr>
      <w:r>
        <w:t xml:space="preserve">The inclusion of Commonwealth Supported Places for TAFE was raised. An option to do this is through the re-imagining of degrees by including VET qualifications embedded into a </w:t>
      </w:r>
      <w:r w:rsidR="006E36F3">
        <w:t>Higher Education</w:t>
      </w:r>
      <w:r>
        <w:t xml:space="preserve"> qualification.</w:t>
      </w:r>
    </w:p>
    <w:p w14:paraId="2385885C" w14:textId="77777777" w:rsidR="00D96CD1" w:rsidRDefault="005D6359" w:rsidP="005D6359">
      <w:pPr>
        <w:pStyle w:val="BodyText"/>
      </w:pPr>
      <w:r>
        <w:t xml:space="preserve">The AQF reform process was raised in all roundtables as work that needs to be finished with the need to </w:t>
      </w:r>
      <w:r w:rsidR="007B3BFB">
        <w:t xml:space="preserve">ensure </w:t>
      </w:r>
      <w:r>
        <w:t>skills</w:t>
      </w:r>
      <w:r w:rsidR="007B3BFB">
        <w:t xml:space="preserve"> and knowledge are appropriately</w:t>
      </w:r>
      <w:r w:rsidR="003D4993">
        <w:t xml:space="preserve"> recognised</w:t>
      </w:r>
      <w:r>
        <w:t xml:space="preserve"> at all levels of the AQF. That is, skills are not confined to VET and knowledge is not the sole domain of </w:t>
      </w:r>
      <w:r w:rsidR="006E36F3">
        <w:t>Higher Education</w:t>
      </w:r>
      <w:r>
        <w:t>. Even in final year medical degrees students develop skills, not just 'knowledge'.</w:t>
      </w:r>
    </w:p>
    <w:p w14:paraId="46C01A91" w14:textId="6C696CF3" w:rsidR="005D6359" w:rsidRDefault="005D6359" w:rsidP="005D6359">
      <w:pPr>
        <w:pStyle w:val="BodyText"/>
      </w:pPr>
      <w:r>
        <w:t>It was thought that i</w:t>
      </w:r>
      <w:r w:rsidRPr="00D26E9B">
        <w:t xml:space="preserve">ncentivising and piloting is a way to introduce reforms. </w:t>
      </w:r>
      <w:r>
        <w:t>As an example, t</w:t>
      </w:r>
      <w:r w:rsidRPr="00D26E9B">
        <w:t>he Build Skills J</w:t>
      </w:r>
      <w:r>
        <w:t>obs and Skills Council (J</w:t>
      </w:r>
      <w:r w:rsidRPr="00D26E9B">
        <w:t>SC</w:t>
      </w:r>
      <w:r>
        <w:t>)</w:t>
      </w:r>
      <w:r w:rsidRPr="00D26E9B">
        <w:t xml:space="preserve"> is looking at ways to do this within the construction industry. </w:t>
      </w:r>
      <w:r>
        <w:t>All JSCs are involved in the qualifications reform work.</w:t>
      </w:r>
    </w:p>
    <w:p w14:paraId="52C7F6A1" w14:textId="77777777" w:rsidR="005D6359" w:rsidRPr="00004E39" w:rsidRDefault="005D6359" w:rsidP="005D6359">
      <w:pPr>
        <w:pStyle w:val="BodyText"/>
      </w:pPr>
      <w:r>
        <w:t>The following additional issues were raised at the roundtables:</w:t>
      </w:r>
    </w:p>
    <w:p w14:paraId="5C4D630A" w14:textId="77777777" w:rsidR="005D6359" w:rsidRPr="00492704" w:rsidRDefault="005D6359" w:rsidP="005D6359">
      <w:pPr>
        <w:pStyle w:val="ListBullet"/>
        <w:numPr>
          <w:ilvl w:val="0"/>
          <w:numId w:val="2"/>
        </w:numPr>
      </w:pPr>
      <w:r>
        <w:t xml:space="preserve">The role of </w:t>
      </w:r>
      <w:r w:rsidRPr="00492704">
        <w:t>microcredentials in a harmonised system. It was said that in some instances it is difficult to match skills gained through a microcredential to skills gained through other qualifications.</w:t>
      </w:r>
    </w:p>
    <w:p w14:paraId="1FDD6DB2" w14:textId="1E1BADA0" w:rsidR="005D6359" w:rsidRPr="00492704" w:rsidRDefault="005D6359" w:rsidP="005D6359">
      <w:pPr>
        <w:pStyle w:val="ListBullet"/>
        <w:numPr>
          <w:ilvl w:val="0"/>
          <w:numId w:val="2"/>
        </w:numPr>
      </w:pPr>
      <w:r w:rsidRPr="00BC4CFB">
        <w:t>Higher level apprenticeships were generally welcomed</w:t>
      </w:r>
      <w:r w:rsidRPr="00492704">
        <w:t xml:space="preserve">, </w:t>
      </w:r>
      <w:r>
        <w:t>while some roundtable participants were interested in exploring the concept of work integrated learning without it being tied to a formal apprenticeship model</w:t>
      </w:r>
      <w:r w:rsidR="00457296">
        <w:t xml:space="preserve"> to allow for more flexibility and a broader range of work</w:t>
      </w:r>
      <w:r w:rsidR="00801801">
        <w:t>-</w:t>
      </w:r>
      <w:r w:rsidR="00457296">
        <w:t>based experiences</w:t>
      </w:r>
      <w:r>
        <w:t>.</w:t>
      </w:r>
    </w:p>
    <w:p w14:paraId="1606D3FC" w14:textId="77777777" w:rsidR="00D96CD1" w:rsidRDefault="005D6359" w:rsidP="005D6359">
      <w:pPr>
        <w:pStyle w:val="ListBullet"/>
        <w:numPr>
          <w:ilvl w:val="0"/>
          <w:numId w:val="2"/>
        </w:numPr>
      </w:pPr>
      <w:r>
        <w:t>In the q</w:t>
      </w:r>
      <w:r w:rsidRPr="00492704">
        <w:t xml:space="preserve">ualifications reform space, </w:t>
      </w:r>
      <w:r>
        <w:t>some roundtable participants had the view that</w:t>
      </w:r>
      <w:r w:rsidRPr="00492704">
        <w:t xml:space="preserve"> training packages need to be broadened </w:t>
      </w:r>
      <w:r>
        <w:t>beyond</w:t>
      </w:r>
      <w:r w:rsidRPr="00492704">
        <w:t xml:space="preserve"> competencies</w:t>
      </w:r>
      <w:r>
        <w:t xml:space="preserve"> (as indeed is occurring via the </w:t>
      </w:r>
      <w:r w:rsidRPr="00706C20">
        <w:t>VET Qualification Reform</w:t>
      </w:r>
      <w:r>
        <w:t>)</w:t>
      </w:r>
      <w:r w:rsidRPr="00492704">
        <w:t>.</w:t>
      </w:r>
    </w:p>
    <w:p w14:paraId="588211F9" w14:textId="77777777" w:rsidR="00D96CD1" w:rsidRDefault="005D6359" w:rsidP="005D6359">
      <w:pPr>
        <w:pStyle w:val="ListBullet"/>
        <w:numPr>
          <w:ilvl w:val="0"/>
          <w:numId w:val="2"/>
        </w:numPr>
      </w:pPr>
      <w:r>
        <w:t xml:space="preserve">The </w:t>
      </w:r>
      <w:r w:rsidRPr="00492704">
        <w:t>AQF reforms need to be completed as per the Noonan review.</w:t>
      </w:r>
    </w:p>
    <w:p w14:paraId="625B850A" w14:textId="0F3DFF91" w:rsidR="005D6359" w:rsidRPr="00492704" w:rsidRDefault="005D6359" w:rsidP="005D6359">
      <w:pPr>
        <w:pStyle w:val="ListBullet"/>
        <w:numPr>
          <w:ilvl w:val="0"/>
          <w:numId w:val="2"/>
        </w:numPr>
      </w:pPr>
      <w:r w:rsidRPr="00E54DA0">
        <w:t>Harmonisation must leave space for agility and flexibility between the sectors. A one size fits all approach will not work.</w:t>
      </w:r>
    </w:p>
    <w:p w14:paraId="6C0BCA64" w14:textId="3CE0931F" w:rsidR="005D6359" w:rsidRPr="00492704" w:rsidRDefault="005D6359" w:rsidP="005D6359">
      <w:pPr>
        <w:pStyle w:val="ListBullet"/>
        <w:numPr>
          <w:ilvl w:val="0"/>
          <w:numId w:val="2"/>
        </w:numPr>
      </w:pPr>
      <w:r>
        <w:lastRenderedPageBreak/>
        <w:t>For VET, t</w:t>
      </w:r>
      <w:r w:rsidRPr="00492704">
        <w:t xml:space="preserve">he trainer must have vocational competencies in a unit to teach it. This is a capacity and capability risk. At times, one individual has to teach both a </w:t>
      </w:r>
      <w:r w:rsidR="006E36F3">
        <w:t>Higher Education</w:t>
      </w:r>
      <w:r w:rsidRPr="00492704">
        <w:t xml:space="preserve"> unit and a VET unit (dual sector provider).</w:t>
      </w:r>
    </w:p>
    <w:p w14:paraId="1A6FC22B" w14:textId="77777777" w:rsidR="00D96CD1" w:rsidRDefault="005D6359" w:rsidP="005D6359">
      <w:pPr>
        <w:pStyle w:val="ListBullet"/>
        <w:numPr>
          <w:ilvl w:val="0"/>
          <w:numId w:val="2"/>
        </w:numPr>
      </w:pPr>
      <w:r w:rsidRPr="00D26E9B">
        <w:t>Lifelong learning is important</w:t>
      </w:r>
      <w:r w:rsidRPr="00492704">
        <w:t xml:space="preserve"> to support a workforce that is equipped to adapt to technical advancements and industry changes. People need to be upskilled later in their careers and require ‘earn and learn’ models which allow for a work-based learning approach that combines tertiary education with paid employment.</w:t>
      </w:r>
    </w:p>
    <w:p w14:paraId="564BF04D" w14:textId="54CEBE84" w:rsidR="005D6359" w:rsidRPr="00492704" w:rsidRDefault="005D6359" w:rsidP="005D6359">
      <w:pPr>
        <w:pStyle w:val="ListBullet"/>
        <w:numPr>
          <w:ilvl w:val="0"/>
          <w:numId w:val="2"/>
        </w:numPr>
      </w:pPr>
      <w:r w:rsidRPr="00D26E9B">
        <w:t>A</w:t>
      </w:r>
      <w:r>
        <w:t xml:space="preserve"> more flexible</w:t>
      </w:r>
      <w:r w:rsidRPr="00D26E9B">
        <w:t xml:space="preserve"> </w:t>
      </w:r>
      <w:r>
        <w:t>'</w:t>
      </w:r>
      <w:r w:rsidRPr="00D26E9B">
        <w:t>stackable system</w:t>
      </w:r>
      <w:r>
        <w:t>'</w:t>
      </w:r>
      <w:r w:rsidRPr="00D26E9B">
        <w:t xml:space="preserve"> </w:t>
      </w:r>
      <w:r>
        <w:t>compiled from components (</w:t>
      </w:r>
      <w:r w:rsidR="006721EE">
        <w:t>e.g.</w:t>
      </w:r>
      <w:r>
        <w:t xml:space="preserve"> units, skill sets) of the education and training system </w:t>
      </w:r>
      <w:r w:rsidRPr="00D26E9B">
        <w:t xml:space="preserve">is required from </w:t>
      </w:r>
      <w:r w:rsidRPr="00492704">
        <w:t>secondary school onwards. Tech</w:t>
      </w:r>
      <w:r>
        <w:t>nical</w:t>
      </w:r>
      <w:r w:rsidRPr="00492704">
        <w:t xml:space="preserve"> schools </w:t>
      </w:r>
      <w:r>
        <w:t xml:space="preserve">were </w:t>
      </w:r>
      <w:r w:rsidRPr="00492704">
        <w:t xml:space="preserve">noted as a good example of pre-apprenticeship models. However, care needs to be taken in the way </w:t>
      </w:r>
      <w:r>
        <w:t>tertiary education</w:t>
      </w:r>
      <w:r w:rsidRPr="00492704">
        <w:t xml:space="preserve"> interacts with the awards system, </w:t>
      </w:r>
      <w:r>
        <w:t>and in any</w:t>
      </w:r>
      <w:r w:rsidRPr="00492704">
        <w:t xml:space="preserve"> industrial relations implications as </w:t>
      </w:r>
      <w:r>
        <w:t>some of these are constructed from</w:t>
      </w:r>
      <w:r w:rsidRPr="00492704">
        <w:t xml:space="preserve"> the current </w:t>
      </w:r>
      <w:r>
        <w:t>system of</w:t>
      </w:r>
      <w:r w:rsidRPr="00492704">
        <w:t xml:space="preserve"> skills and competencies.</w:t>
      </w:r>
    </w:p>
    <w:p w14:paraId="60B44198" w14:textId="77777777" w:rsidR="00D96CD1" w:rsidRDefault="005D6359" w:rsidP="005D6359">
      <w:pPr>
        <w:pStyle w:val="ListBullet"/>
        <w:numPr>
          <w:ilvl w:val="0"/>
          <w:numId w:val="2"/>
        </w:numPr>
      </w:pPr>
      <w:r>
        <w:t>I</w:t>
      </w:r>
      <w:r w:rsidRPr="00492704">
        <w:t xml:space="preserve">ndustry </w:t>
      </w:r>
      <w:r>
        <w:t>already does and needs to continue to</w:t>
      </w:r>
      <w:r w:rsidRPr="00492704">
        <w:t xml:space="preserve"> play a strong role in supporting and developing innovation in qualification design</w:t>
      </w:r>
      <w:r>
        <w:t>.</w:t>
      </w:r>
    </w:p>
    <w:p w14:paraId="72B78DAC" w14:textId="498A7B98" w:rsidR="005D6359" w:rsidRDefault="005D6359" w:rsidP="005D6359"/>
    <w:p w14:paraId="06C2F92C" w14:textId="77777777" w:rsidR="005D6359" w:rsidRDefault="005D6359" w:rsidP="005D6359">
      <w:pPr>
        <w:pStyle w:val="Heading2"/>
        <w:numPr>
          <w:ilvl w:val="1"/>
          <w:numId w:val="16"/>
        </w:numPr>
      </w:pPr>
      <w:bookmarkStart w:id="194" w:name="_Toc189060488"/>
      <w:bookmarkStart w:id="195" w:name="_Toc189060580"/>
      <w:bookmarkStart w:id="196" w:name="_Toc189060817"/>
      <w:bookmarkStart w:id="197" w:name="_Toc190980923"/>
      <w:r>
        <w:t>Making tertiary harmonisation work for providers</w:t>
      </w:r>
      <w:bookmarkEnd w:id="194"/>
      <w:bookmarkEnd w:id="195"/>
      <w:bookmarkEnd w:id="196"/>
      <w:bookmarkEnd w:id="197"/>
    </w:p>
    <w:p w14:paraId="00DDBFDD" w14:textId="77777777" w:rsidR="005D6359" w:rsidRDefault="005D6359" w:rsidP="005D6359"/>
    <w:p w14:paraId="56164193" w14:textId="77777777" w:rsidR="005D6359" w:rsidRPr="00492704" w:rsidRDefault="005D6359" w:rsidP="005D6359">
      <w:pPr>
        <w:pStyle w:val="BodyText"/>
      </w:pPr>
      <w:r>
        <w:t xml:space="preserve">Reinforcing the </w:t>
      </w:r>
      <w:r w:rsidRPr="00492704">
        <w:t xml:space="preserve">importance of the funding incentives element in </w:t>
      </w:r>
      <w:r>
        <w:t>pillar 3</w:t>
      </w:r>
      <w:r w:rsidRPr="00492704">
        <w:t>, it was emphasised that the funding system had to take into account the costs of tertiary harmonisation for providers in both sectors. The funding reforms currently in train arising from the Accord review were highlighted as a source of both opportunity and uncertainty that should be clarified. Points raised included:</w:t>
      </w:r>
    </w:p>
    <w:p w14:paraId="2EDE7866" w14:textId="77777777" w:rsidR="005D6359" w:rsidRPr="00492704" w:rsidRDefault="005D6359" w:rsidP="005D6359">
      <w:pPr>
        <w:pStyle w:val="ListBullet"/>
        <w:numPr>
          <w:ilvl w:val="0"/>
          <w:numId w:val="2"/>
        </w:numPr>
      </w:pPr>
      <w:r>
        <w:t>I</w:t>
      </w:r>
      <w:r w:rsidRPr="00492704">
        <w:t>ncreased mobility could result in ‘funding leakage’ e.g. losing first year HE funding to VET Diploma at different provider.</w:t>
      </w:r>
    </w:p>
    <w:p w14:paraId="27BDB7C0" w14:textId="77777777" w:rsidR="005D6359" w:rsidRPr="00492704" w:rsidRDefault="005D6359" w:rsidP="005D6359">
      <w:pPr>
        <w:pStyle w:val="ListBullet"/>
        <w:numPr>
          <w:ilvl w:val="0"/>
          <w:numId w:val="2"/>
        </w:numPr>
      </w:pPr>
      <w:r>
        <w:t xml:space="preserve">Funding </w:t>
      </w:r>
      <w:r w:rsidRPr="00492704">
        <w:t>parity is a measure of parity of esteem between the two sectors.</w:t>
      </w:r>
    </w:p>
    <w:p w14:paraId="343EFA4C" w14:textId="77777777" w:rsidR="005D6359" w:rsidRPr="00492704" w:rsidRDefault="005D6359" w:rsidP="005D6359">
      <w:pPr>
        <w:pStyle w:val="ListBullet"/>
        <w:numPr>
          <w:ilvl w:val="0"/>
          <w:numId w:val="2"/>
        </w:numPr>
      </w:pPr>
      <w:r w:rsidRPr="00492704">
        <w:t>Ideas such as ring-fencing Commonwealth Supported Places for harmonisation, or other funding mechanisms were considered in some jurisdictions.</w:t>
      </w:r>
    </w:p>
    <w:p w14:paraId="6F14FC44" w14:textId="77777777" w:rsidR="005D6359" w:rsidRPr="00492704" w:rsidRDefault="005D6359" w:rsidP="005D6359">
      <w:pPr>
        <w:pStyle w:val="ListBullet"/>
        <w:numPr>
          <w:ilvl w:val="0"/>
          <w:numId w:val="2"/>
        </w:numPr>
      </w:pPr>
      <w:r w:rsidRPr="00492704">
        <w:t>Mobility is positive in bringing more students into a provider but also increases the risk of losing students, particularly as other VET and HE providers are market competitors.</w:t>
      </w:r>
    </w:p>
    <w:p w14:paraId="131EA18F" w14:textId="77777777" w:rsidR="005D6359" w:rsidRPr="00492704" w:rsidRDefault="005D6359" w:rsidP="005D6359">
      <w:pPr>
        <w:pStyle w:val="ListBullet"/>
        <w:numPr>
          <w:ilvl w:val="0"/>
          <w:numId w:val="2"/>
        </w:numPr>
      </w:pPr>
      <w:r w:rsidRPr="00492704">
        <w:t>How does harmonisation impact institutional autonomy and points of differentiation between providers?</w:t>
      </w:r>
    </w:p>
    <w:p w14:paraId="1928B14F" w14:textId="77777777" w:rsidR="005D6359" w:rsidRPr="00492704" w:rsidRDefault="005D6359" w:rsidP="005D6359">
      <w:pPr>
        <w:pStyle w:val="ListBullet"/>
        <w:numPr>
          <w:ilvl w:val="0"/>
          <w:numId w:val="2"/>
        </w:numPr>
      </w:pPr>
      <w:r w:rsidRPr="00492704">
        <w:t>Implementation of tertiary harmonisation will be resource intensive for providers, how will this be resourced and supported?</w:t>
      </w:r>
    </w:p>
    <w:p w14:paraId="4926ECAE" w14:textId="77777777" w:rsidR="005D6359" w:rsidRDefault="005D6359" w:rsidP="005D6359">
      <w:pPr>
        <w:pStyle w:val="BodyText"/>
      </w:pPr>
    </w:p>
    <w:p w14:paraId="7552A5E6" w14:textId="6757D180" w:rsidR="005D6359" w:rsidRPr="00CF696D" w:rsidRDefault="005D6359" w:rsidP="005D6359">
      <w:pPr>
        <w:pStyle w:val="Heading2"/>
        <w:numPr>
          <w:ilvl w:val="1"/>
          <w:numId w:val="16"/>
        </w:numPr>
      </w:pPr>
      <w:bookmarkStart w:id="198" w:name="_Toc188391209"/>
      <w:bookmarkStart w:id="199" w:name="_Toc188435725"/>
      <w:bookmarkStart w:id="200" w:name="_Toc189060489"/>
      <w:bookmarkStart w:id="201" w:name="_Toc189060581"/>
      <w:bookmarkStart w:id="202" w:name="_Toc189060818"/>
      <w:bookmarkStart w:id="203" w:name="_Toc190980924"/>
      <w:bookmarkEnd w:id="198"/>
      <w:bookmarkEnd w:id="199"/>
      <w:r w:rsidRPr="00CF696D">
        <w:t xml:space="preserve">A mechanism to connect VET and </w:t>
      </w:r>
      <w:bookmarkEnd w:id="200"/>
      <w:bookmarkEnd w:id="201"/>
      <w:bookmarkEnd w:id="202"/>
      <w:r w:rsidR="006E36F3">
        <w:t>Higher Education</w:t>
      </w:r>
      <w:bookmarkEnd w:id="203"/>
    </w:p>
    <w:p w14:paraId="7EB36ED3" w14:textId="77777777" w:rsidR="005D6359" w:rsidRPr="00F1374A" w:rsidRDefault="005D6359" w:rsidP="005D6359">
      <w:pPr>
        <w:rPr>
          <w:rStyle w:val="Characterbolditalic"/>
        </w:rPr>
      </w:pPr>
      <w:r w:rsidRPr="00F1374A">
        <w:rPr>
          <w:rStyle w:val="Characterbolditalic"/>
        </w:rPr>
        <w:t>Credit transfer and RPL</w:t>
      </w:r>
    </w:p>
    <w:p w14:paraId="44AF81AC" w14:textId="77777777" w:rsidR="005D6359" w:rsidRPr="00121668" w:rsidRDefault="005D6359" w:rsidP="005D6359">
      <w:pPr>
        <w:pStyle w:val="BodyText"/>
      </w:pPr>
      <w:r>
        <w:t xml:space="preserve">Credit transfer and RPL were consistent topics of discussion throughout the consultations, with the acknowledgement that a student-centred approach is needed. It is important that qualifications are recognised nationally, regardless of the state or territory in which they have </w:t>
      </w:r>
      <w:r>
        <w:lastRenderedPageBreak/>
        <w:t>been obtained. It was argued that a national, standardised credit recognition is required for this.</w:t>
      </w:r>
    </w:p>
    <w:p w14:paraId="11DD55BB" w14:textId="77777777" w:rsidR="00D96CD1" w:rsidRDefault="005D6359" w:rsidP="005D6359">
      <w:pPr>
        <w:pStyle w:val="BodyText"/>
      </w:pPr>
      <w:r>
        <w:t xml:space="preserve">Credit transfer was noted as a priority by </w:t>
      </w:r>
      <w:r w:rsidR="008628F6">
        <w:t xml:space="preserve">providers across both sectors </w:t>
      </w:r>
      <w:r>
        <w:t xml:space="preserve">and seen as a way to facilitate the connection between the two </w:t>
      </w:r>
      <w:r w:rsidR="008628F6">
        <w:t>sectors</w:t>
      </w:r>
      <w:r>
        <w:t>. There was a suggestion of having credit mapped dynamically at a unit of competency level to help with some of the issues providers face when facilitating credit transfers.</w:t>
      </w:r>
    </w:p>
    <w:p w14:paraId="749417AE" w14:textId="4C130CC2" w:rsidR="005D6359" w:rsidRDefault="005D6359" w:rsidP="005D6359">
      <w:pPr>
        <w:pStyle w:val="BodyText"/>
      </w:pPr>
      <w:r>
        <w:t>Degrees and training packages change at different rates. An example was offered where this led to credit recognition databases becoming out of date relatively rapidly and consequently for pathway arrangements to ‘fall apart’. One of the reasons cited was that training packages were updated less frequently than degrees. Contrary to this were decades-long examples that showed maintaining connections was possible, and while requiring continued effort was a highly valued and beneficial investment.</w:t>
      </w:r>
    </w:p>
    <w:p w14:paraId="705D71DB" w14:textId="77777777" w:rsidR="005D6359" w:rsidRPr="00210D4A" w:rsidRDefault="005D6359" w:rsidP="005D6359">
      <w:pPr>
        <w:pStyle w:val="BodyText"/>
      </w:pPr>
      <w:r>
        <w:t>It was pointed out that RPL is recognised as being a more difficult process than credit transfer. RPL generally requires a more nuanced approach based on individual student skills, knowledge and experience. There was an acknowledgement there is a shortage of educators available to undertake RPL, along with criticism that the training</w:t>
      </w:r>
      <w:r w:rsidRPr="00121668">
        <w:t xml:space="preserve"> package</w:t>
      </w:r>
      <w:r>
        <w:t>s</w:t>
      </w:r>
      <w:r w:rsidRPr="00121668">
        <w:t xml:space="preserve"> </w:t>
      </w:r>
      <w:r>
        <w:t>are not as differentiated and flexible as they need to be.</w:t>
      </w:r>
    </w:p>
    <w:p w14:paraId="4BE5E44E" w14:textId="77777777" w:rsidR="005D6359" w:rsidRPr="00210D4A" w:rsidRDefault="005D6359" w:rsidP="005D6359"/>
    <w:p w14:paraId="4D746704" w14:textId="77777777" w:rsidR="005D6359" w:rsidRPr="00551665" w:rsidRDefault="005D6359" w:rsidP="005D6359">
      <w:pPr>
        <w:rPr>
          <w:rStyle w:val="Characterbolditalic"/>
        </w:rPr>
      </w:pPr>
      <w:r w:rsidRPr="00551665">
        <w:rPr>
          <w:rStyle w:val="Characterbolditalic"/>
        </w:rPr>
        <w:t>National Skills Taxonomy</w:t>
      </w:r>
    </w:p>
    <w:p w14:paraId="2B2B86E1" w14:textId="77777777" w:rsidR="00D96CD1" w:rsidRDefault="005D6359" w:rsidP="005D6359">
      <w:pPr>
        <w:pStyle w:val="BodyText"/>
      </w:pPr>
      <w:r>
        <w:t xml:space="preserve">The necessity of a common language of skills was identified throughout all roundtables and JSA’s National Skills Taxonomy (NST) was highlighted as a priority to support tertiary harmonisation. The National Skills Taxonomy was also identified as a strong priority for better enabling credit recognition and possibly playing a supporting role for RPL. It was thought that the mapping of skills between the VET and HE sectors was required at a disaggregated level, meaning at the level of units of competency and subjects. JSA’s experimental work with universities on mapping VET to </w:t>
      </w:r>
      <w:r w:rsidR="006E36F3">
        <w:t>Higher Education</w:t>
      </w:r>
      <w:r>
        <w:t xml:space="preserve"> qualifications was cited as an example of what may be possible. Additional points raised in relation to the requirement for a National Skills Taxonomy included:</w:t>
      </w:r>
    </w:p>
    <w:p w14:paraId="08C1864F" w14:textId="451E017A" w:rsidR="005D6359" w:rsidRPr="00492704" w:rsidRDefault="005D6359" w:rsidP="005D6359">
      <w:pPr>
        <w:pStyle w:val="ListBullet"/>
        <w:numPr>
          <w:ilvl w:val="0"/>
          <w:numId w:val="2"/>
        </w:numPr>
      </w:pPr>
      <w:r>
        <w:t>the need for a</w:t>
      </w:r>
      <w:r w:rsidRPr="00492704">
        <w:t xml:space="preserve"> common language, common datasets and a mechanism to use that language for the purpose of tertiary education design</w:t>
      </w:r>
    </w:p>
    <w:p w14:paraId="5B57452D" w14:textId="77777777" w:rsidR="00D96CD1" w:rsidRDefault="005D6359" w:rsidP="005D6359">
      <w:pPr>
        <w:pStyle w:val="ListBullet"/>
        <w:numPr>
          <w:ilvl w:val="0"/>
          <w:numId w:val="2"/>
        </w:numPr>
      </w:pPr>
      <w:r>
        <w:t>the need for a c</w:t>
      </w:r>
      <w:r w:rsidRPr="00492704">
        <w:t>lear explanation on how credit recognition is enabled through the taxonomy</w:t>
      </w:r>
    </w:p>
    <w:p w14:paraId="507C91FA" w14:textId="37DE0449" w:rsidR="005D6359" w:rsidRPr="00492704" w:rsidRDefault="005D6359" w:rsidP="005D6359">
      <w:pPr>
        <w:pStyle w:val="ListBullet"/>
        <w:numPr>
          <w:ilvl w:val="0"/>
          <w:numId w:val="2"/>
        </w:numPr>
      </w:pPr>
      <w:r>
        <w:t>better understanding of how r</w:t>
      </w:r>
      <w:r w:rsidRPr="00121668">
        <w:t xml:space="preserve">ecognition of prior learning </w:t>
      </w:r>
      <w:r w:rsidRPr="00492704">
        <w:t>could be supported</w:t>
      </w:r>
      <w:r>
        <w:t>,</w:t>
      </w:r>
      <w:r w:rsidRPr="00492704">
        <w:t xml:space="preserve"> </w:t>
      </w:r>
      <w:r>
        <w:t>noting that</w:t>
      </w:r>
      <w:r w:rsidRPr="00492704">
        <w:t xml:space="preserve"> it isn’t as straightforward as credit transfer</w:t>
      </w:r>
    </w:p>
    <w:p w14:paraId="55F907A0" w14:textId="77777777" w:rsidR="005D6359" w:rsidRPr="00492704" w:rsidRDefault="005D6359" w:rsidP="005D6359">
      <w:pPr>
        <w:pStyle w:val="ListBullet"/>
        <w:numPr>
          <w:ilvl w:val="0"/>
          <w:numId w:val="2"/>
        </w:numPr>
      </w:pPr>
      <w:r>
        <w:t>s</w:t>
      </w:r>
      <w:r w:rsidRPr="00121668">
        <w:t xml:space="preserve">ome concern about </w:t>
      </w:r>
      <w:r w:rsidRPr="00492704">
        <w:t>the use of a common language</w:t>
      </w:r>
      <w:r>
        <w:t>. While it was acknowledged that this</w:t>
      </w:r>
      <w:r w:rsidRPr="00492704">
        <w:t xml:space="preserve"> would be useful to the sectors, questions were asked about how much resourcing it would take institutions to implement.</w:t>
      </w:r>
    </w:p>
    <w:p w14:paraId="4DA673DE" w14:textId="30AB67DD" w:rsidR="005D6359" w:rsidRPr="00121668" w:rsidRDefault="005D6359" w:rsidP="005D6359">
      <w:pPr>
        <w:pStyle w:val="ListBullet"/>
        <w:numPr>
          <w:ilvl w:val="0"/>
          <w:numId w:val="2"/>
        </w:numPr>
      </w:pPr>
      <w:r>
        <w:t>questions around h</w:t>
      </w:r>
      <w:r w:rsidRPr="005563F2">
        <w:t xml:space="preserve">ow </w:t>
      </w:r>
      <w:r w:rsidRPr="00492704">
        <w:t xml:space="preserve">institutions design and map qualification outcomes without having to </w:t>
      </w:r>
      <w:r>
        <w:t xml:space="preserve">undertake </w:t>
      </w:r>
      <w:r w:rsidRPr="00492704">
        <w:t>redesign</w:t>
      </w:r>
      <w:r>
        <w:t xml:space="preserve">, </w:t>
      </w:r>
      <w:r w:rsidR="006721EE">
        <w:t xml:space="preserve">and </w:t>
      </w:r>
      <w:r w:rsidR="006721EE" w:rsidRPr="00492704">
        <w:t>how</w:t>
      </w:r>
      <w:r>
        <w:t xml:space="preserve"> this is</w:t>
      </w:r>
      <w:r w:rsidRPr="00492704">
        <w:t xml:space="preserve"> enabled through the </w:t>
      </w:r>
      <w:r>
        <w:t>NST</w:t>
      </w:r>
    </w:p>
    <w:p w14:paraId="4151CA76" w14:textId="77777777" w:rsidR="00D96CD1" w:rsidRDefault="005D6359" w:rsidP="005D6359">
      <w:pPr>
        <w:pStyle w:val="ListBullet"/>
        <w:numPr>
          <w:ilvl w:val="0"/>
          <w:numId w:val="2"/>
        </w:numPr>
      </w:pPr>
      <w:r>
        <w:t>acknowledgement that c</w:t>
      </w:r>
      <w:r w:rsidRPr="00AC782D">
        <w:t>oncepts, not just skills need to be considered</w:t>
      </w:r>
    </w:p>
    <w:p w14:paraId="66DAF9D3" w14:textId="298DD5DA" w:rsidR="00DB28BF" w:rsidRDefault="00DB28BF">
      <w:pPr>
        <w:spacing w:before="0" w:after="200" w:line="276" w:lineRule="auto"/>
        <w:rPr>
          <w:rFonts w:eastAsia="Times New Roman" w:cs="Times New Roman"/>
          <w:szCs w:val="24"/>
          <w:lang w:eastAsia="en-GB"/>
        </w:rPr>
      </w:pPr>
      <w:r>
        <w:br w:type="page"/>
      </w:r>
    </w:p>
    <w:p w14:paraId="7D97DF4D" w14:textId="77777777" w:rsidR="005D6359" w:rsidRPr="00CF696D" w:rsidRDefault="005D6359" w:rsidP="005D6359">
      <w:pPr>
        <w:pStyle w:val="Heading2"/>
        <w:numPr>
          <w:ilvl w:val="1"/>
          <w:numId w:val="16"/>
        </w:numPr>
      </w:pPr>
      <w:bookmarkStart w:id="204" w:name="_Toc189060490"/>
      <w:bookmarkStart w:id="205" w:name="_Toc189060582"/>
      <w:bookmarkStart w:id="206" w:name="_Toc189060819"/>
      <w:bookmarkStart w:id="207" w:name="_Toc190980925"/>
      <w:r w:rsidRPr="00CF696D">
        <w:lastRenderedPageBreak/>
        <w:t>Culture and operational barriers</w:t>
      </w:r>
      <w:bookmarkEnd w:id="204"/>
      <w:bookmarkEnd w:id="205"/>
      <w:bookmarkEnd w:id="206"/>
      <w:bookmarkEnd w:id="207"/>
    </w:p>
    <w:p w14:paraId="465E76FF" w14:textId="77777777" w:rsidR="005D6359" w:rsidRDefault="005D6359" w:rsidP="005D6359"/>
    <w:p w14:paraId="3107EF60" w14:textId="28F44363" w:rsidR="005D6359" w:rsidRDefault="005D6359" w:rsidP="005D6359">
      <w:pPr>
        <w:pStyle w:val="BodyText"/>
      </w:pPr>
      <w:r>
        <w:t xml:space="preserve">Cultural and operational differences between the VET and </w:t>
      </w:r>
      <w:r w:rsidR="006E36F3">
        <w:t>Higher Education</w:t>
      </w:r>
      <w:r>
        <w:t xml:space="preserve"> sectors were highlighted during the roundtables, with statements such as ‘an absence of a systematic approach’, ‘a lack of parity of esteem’ and ‘providers themselves continuing to create structural divide’ provided as insights into this issue. Additional points brought up include:</w:t>
      </w:r>
    </w:p>
    <w:p w14:paraId="18770E71" w14:textId="20730661" w:rsidR="005D6359" w:rsidRPr="00492704" w:rsidRDefault="005D6359" w:rsidP="005D6359">
      <w:pPr>
        <w:pStyle w:val="ListBullet"/>
        <w:numPr>
          <w:ilvl w:val="0"/>
          <w:numId w:val="2"/>
        </w:numPr>
      </w:pPr>
      <w:r>
        <w:t>How d</w:t>
      </w:r>
      <w:r w:rsidRPr="00F2482C">
        <w:t xml:space="preserve">ifferent employment agreements for </w:t>
      </w:r>
      <w:r w:rsidR="006E36F3">
        <w:t>Higher Education</w:t>
      </w:r>
      <w:r w:rsidRPr="00492704">
        <w:t xml:space="preserve"> and VET staff act as barriers to collaboration.</w:t>
      </w:r>
    </w:p>
    <w:p w14:paraId="7E2C031F" w14:textId="77777777" w:rsidR="00D96CD1" w:rsidRDefault="005D6359" w:rsidP="005D6359">
      <w:pPr>
        <w:pStyle w:val="ListBullet"/>
        <w:numPr>
          <w:ilvl w:val="0"/>
          <w:numId w:val="2"/>
        </w:numPr>
      </w:pPr>
      <w:r w:rsidRPr="00F2482C">
        <w:t>The</w:t>
      </w:r>
      <w:r>
        <w:t xml:space="preserve"> presence of</w:t>
      </w:r>
      <w:r w:rsidRPr="00F2482C">
        <w:t xml:space="preserve"> </w:t>
      </w:r>
      <w:r w:rsidRPr="00492704">
        <w:t xml:space="preserve">regulatory barriers that make it challenging for the teaching of hybrid qualifications, with different teaching requirements needed depending upon whether it is taught as a VET or </w:t>
      </w:r>
      <w:r w:rsidR="006E36F3">
        <w:t>Higher Education</w:t>
      </w:r>
      <w:r w:rsidRPr="00492704">
        <w:t xml:space="preserve"> qualification.</w:t>
      </w:r>
    </w:p>
    <w:p w14:paraId="6BC5F66A" w14:textId="6035773B" w:rsidR="005D6359" w:rsidRPr="00492704" w:rsidRDefault="005D6359" w:rsidP="005D6359">
      <w:pPr>
        <w:pStyle w:val="ListBullet"/>
        <w:numPr>
          <w:ilvl w:val="0"/>
          <w:numId w:val="2"/>
        </w:numPr>
      </w:pPr>
      <w:r>
        <w:t>The c</w:t>
      </w:r>
      <w:r w:rsidRPr="00492704">
        <w:t xml:space="preserve">ultural divide between VET and </w:t>
      </w:r>
      <w:r w:rsidR="006E36F3">
        <w:t>Higher Education</w:t>
      </w:r>
      <w:r w:rsidRPr="00492704">
        <w:t xml:space="preserve"> within institutions, with dual sector providers called out for at times operating essentially as two separate organisations.</w:t>
      </w:r>
    </w:p>
    <w:p w14:paraId="248B2EBB" w14:textId="77777777" w:rsidR="005D6359" w:rsidRPr="00492704" w:rsidRDefault="005D6359" w:rsidP="005D6359">
      <w:pPr>
        <w:pStyle w:val="ListBullet"/>
        <w:numPr>
          <w:ilvl w:val="0"/>
          <w:numId w:val="2"/>
        </w:numPr>
      </w:pPr>
      <w:r>
        <w:t xml:space="preserve">The potential for </w:t>
      </w:r>
      <w:r w:rsidRPr="00492704">
        <w:t>a lack of trust along with differing priorities between the two sectors, along with the added pressures of competing for students and funding.</w:t>
      </w:r>
    </w:p>
    <w:p w14:paraId="5DEA3F26" w14:textId="77777777" w:rsidR="00D96CD1" w:rsidRDefault="005D6359" w:rsidP="005D6359">
      <w:pPr>
        <w:pStyle w:val="ListBullet"/>
        <w:numPr>
          <w:ilvl w:val="0"/>
          <w:numId w:val="2"/>
        </w:numPr>
      </w:pPr>
      <w:r>
        <w:t>The importance of e</w:t>
      </w:r>
      <w:r w:rsidRPr="00492704">
        <w:t>quity and inclusion and the fact that cultural biases and systemic barriers aren’t understood enough. Ensuring that equal access to opportunities can be a challenge and these biases and systemic barriers need to be addressed.</w:t>
      </w:r>
    </w:p>
    <w:p w14:paraId="3F8437D9" w14:textId="77777777" w:rsidR="00D96CD1" w:rsidRDefault="005D6359" w:rsidP="005D6359">
      <w:pPr>
        <w:pStyle w:val="ListBullet"/>
        <w:numPr>
          <w:ilvl w:val="0"/>
          <w:numId w:val="2"/>
        </w:numPr>
      </w:pPr>
      <w:r>
        <w:t xml:space="preserve">The current misalignment of </w:t>
      </w:r>
      <w:r w:rsidRPr="00492704">
        <w:t xml:space="preserve">VET and </w:t>
      </w:r>
      <w:r w:rsidR="006E36F3">
        <w:t>Higher Education</w:t>
      </w:r>
      <w:r w:rsidR="008D1B64" w:rsidRPr="00492704">
        <w:t xml:space="preserve"> </w:t>
      </w:r>
      <w:r w:rsidRPr="00492704">
        <w:t xml:space="preserve">data systems </w:t>
      </w:r>
      <w:r>
        <w:t>and the inability to</w:t>
      </w:r>
      <w:r w:rsidRPr="00492704">
        <w:t xml:space="preserve"> track students moving between </w:t>
      </w:r>
      <w:r>
        <w:t>sectors</w:t>
      </w:r>
      <w:r w:rsidRPr="00492704">
        <w:t xml:space="preserve">. There was a suggestion </w:t>
      </w:r>
      <w:r>
        <w:t>by roundtable participants for</w:t>
      </w:r>
      <w:r w:rsidRPr="00492704">
        <w:t xml:space="preserve"> the need to introduce a common student identifier which allows movements of records between systems with less bureaucracy.</w:t>
      </w:r>
    </w:p>
    <w:p w14:paraId="242F197E" w14:textId="77777777" w:rsidR="00D96CD1" w:rsidRDefault="005D6359" w:rsidP="005D6359">
      <w:pPr>
        <w:pStyle w:val="ListBullet"/>
        <w:numPr>
          <w:ilvl w:val="0"/>
          <w:numId w:val="2"/>
        </w:numPr>
      </w:pPr>
      <w:r w:rsidRPr="00E7494B">
        <w:t xml:space="preserve">The </w:t>
      </w:r>
      <w:r w:rsidRPr="00492704">
        <w:t xml:space="preserve">different regulatory frameworks and standards set by ASQA for VET and TEQSA for </w:t>
      </w:r>
      <w:r w:rsidR="006E36F3">
        <w:t>Higher Education</w:t>
      </w:r>
      <w:r w:rsidRPr="00492704">
        <w:t>, mean</w:t>
      </w:r>
      <w:r>
        <w:t>ing</w:t>
      </w:r>
      <w:r w:rsidRPr="00492704">
        <w:t xml:space="preserve"> that regulations differ between the two sectors and can create barriers. ASQA and TEQSA will need to </w:t>
      </w:r>
      <w:r>
        <w:t xml:space="preserve">continue to </w:t>
      </w:r>
      <w:r w:rsidRPr="00492704">
        <w:t>work closely with each other to help overcome these barriers</w:t>
      </w:r>
      <w:r>
        <w:t>, building on the dual sector project under way</w:t>
      </w:r>
      <w:r w:rsidRPr="00492704">
        <w:t>.</w:t>
      </w:r>
    </w:p>
    <w:p w14:paraId="4B4FC4ED" w14:textId="4C779F82" w:rsidR="005D6359" w:rsidRPr="00492704" w:rsidRDefault="005D6359" w:rsidP="005D6359">
      <w:pPr>
        <w:pStyle w:val="ListBullet"/>
        <w:numPr>
          <w:ilvl w:val="0"/>
          <w:numId w:val="2"/>
        </w:numPr>
      </w:pPr>
      <w:r>
        <w:t>The</w:t>
      </w:r>
      <w:r w:rsidRPr="00492704">
        <w:t xml:space="preserve"> funding models of VET and </w:t>
      </w:r>
      <w:r w:rsidR="006E36F3">
        <w:t>Higher Education</w:t>
      </w:r>
      <w:r w:rsidRPr="00492704">
        <w:t xml:space="preserve"> differ significantly. If there are legislative and funding barriers, it's hard to take on tertiary harmonisation. Funding reform is a key challenge, and harmonisation will struggle without parity of funding for VET and </w:t>
      </w:r>
      <w:r w:rsidR="006E36F3">
        <w:t>Higher Education</w:t>
      </w:r>
      <w:r w:rsidRPr="00492704">
        <w:t>.</w:t>
      </w:r>
    </w:p>
    <w:p w14:paraId="4E42A352" w14:textId="77777777" w:rsidR="005D6359" w:rsidRDefault="005D6359" w:rsidP="005D6359">
      <w:pPr>
        <w:pStyle w:val="ListBullet"/>
        <w:numPr>
          <w:ilvl w:val="0"/>
          <w:numId w:val="2"/>
        </w:numPr>
      </w:pPr>
      <w:r>
        <w:t>Barriers relating to prior learning and skills attainment. An example of such a barrier was offered in</w:t>
      </w:r>
      <w:r w:rsidRPr="00492704">
        <w:t xml:space="preserve"> the construction sector, where low levels of functional literacy and numeracy are prevalent.</w:t>
      </w:r>
    </w:p>
    <w:p w14:paraId="6D8057DA" w14:textId="77777777" w:rsidR="005D6359" w:rsidRPr="005B02A0" w:rsidRDefault="005D6359" w:rsidP="005D6359">
      <w:pPr>
        <w:pStyle w:val="BodyText"/>
        <w:sectPr w:rsidR="005D6359" w:rsidRPr="005B02A0" w:rsidSect="005D6359">
          <w:headerReference w:type="even" r:id="rId45"/>
          <w:headerReference w:type="default" r:id="rId46"/>
          <w:headerReference w:type="first" r:id="rId47"/>
          <w:pgSz w:w="11906" w:h="16838"/>
          <w:pgMar w:top="1276" w:right="1440" w:bottom="1134" w:left="1440" w:header="0" w:footer="539" w:gutter="0"/>
          <w:cols w:space="708"/>
          <w:titlePg/>
          <w:docGrid w:linePitch="360"/>
        </w:sectPr>
      </w:pPr>
      <w:r>
        <w:t>Feedback from the roundtables provided valuable insight into the opportunities, concerns, ideas and priorities for stakeholders, and how they could be developed into a tertiary harmonisation roadmap.</w:t>
      </w:r>
    </w:p>
    <w:p w14:paraId="134CCAFD" w14:textId="4DF53725" w:rsidR="000E4017" w:rsidRDefault="00494B5B" w:rsidP="00BD35F4">
      <w:pPr>
        <w:pStyle w:val="AppendixHeading1"/>
        <w:tabs>
          <w:tab w:val="clear" w:pos="2268"/>
          <w:tab w:val="left" w:pos="142"/>
        </w:tabs>
        <w:spacing w:after="120"/>
        <w:ind w:left="0" w:firstLine="0"/>
      </w:pPr>
      <w:bookmarkStart w:id="208" w:name="_Toc189060583"/>
      <w:bookmarkStart w:id="209" w:name="_Toc189060820"/>
      <w:bookmarkStart w:id="210" w:name="_Toc190077641"/>
      <w:bookmarkStart w:id="211" w:name="_Toc190980926"/>
      <w:r>
        <w:lastRenderedPageBreak/>
        <w:t>JSA tertiary harmonisation r</w:t>
      </w:r>
      <w:r w:rsidR="000E4017">
        <w:t>oundtable</w:t>
      </w:r>
      <w:r>
        <w:t xml:space="preserve"> </w:t>
      </w:r>
      <w:r w:rsidR="00A96120">
        <w:t xml:space="preserve">stakeholder engagement </w:t>
      </w:r>
      <w:r>
        <w:t>details.</w:t>
      </w:r>
      <w:bookmarkEnd w:id="208"/>
      <w:bookmarkEnd w:id="209"/>
      <w:bookmarkEnd w:id="210"/>
      <w:bookmarkEnd w:id="211"/>
    </w:p>
    <w:p w14:paraId="7FDBA672" w14:textId="5E88F30C" w:rsidR="00F27526" w:rsidRDefault="00F27526" w:rsidP="00F27526">
      <w:pPr>
        <w:pStyle w:val="BodyText"/>
      </w:pPr>
      <w:r>
        <w:t>JSA held a series of roundtables in all states and territories</w:t>
      </w:r>
      <w:r w:rsidR="00923377">
        <w:t>.</w:t>
      </w:r>
      <w:r>
        <w:t xml:space="preserve"> The roundtable sought to </w:t>
      </w:r>
      <w:r w:rsidRPr="00672335">
        <w:t>understand what the benefits, opportunities and challenges of tertiary harmonisation are in the Australian context</w:t>
      </w:r>
      <w:r>
        <w:t>.</w:t>
      </w:r>
    </w:p>
    <w:p w14:paraId="3E05C7AA" w14:textId="77777777" w:rsidR="00D96CD1" w:rsidRDefault="003B3DDF" w:rsidP="00F27526">
      <w:pPr>
        <w:pStyle w:val="BodyText"/>
      </w:pPr>
      <w:r w:rsidRPr="003B3DDF">
        <w:t xml:space="preserve">There </w:t>
      </w:r>
      <w:r w:rsidR="003C0FC3" w:rsidRPr="003B3DDF">
        <w:t>w</w:t>
      </w:r>
      <w:r w:rsidR="003C0FC3">
        <w:t>as</w:t>
      </w:r>
      <w:r w:rsidR="00F97E03" w:rsidRPr="003B3DDF">
        <w:t xml:space="preserve"> </w:t>
      </w:r>
      <w:r w:rsidRPr="003B3DDF">
        <w:t xml:space="preserve">a total of </w:t>
      </w:r>
      <w:r w:rsidR="001D7B5B" w:rsidRPr="003B3DDF">
        <w:t>1</w:t>
      </w:r>
      <w:r w:rsidR="001D7B5B">
        <w:t>16</w:t>
      </w:r>
      <w:r w:rsidR="001D7B5B" w:rsidRPr="003B3DDF">
        <w:t xml:space="preserve"> </w:t>
      </w:r>
      <w:r w:rsidRPr="003B3DDF">
        <w:t xml:space="preserve">participants </w:t>
      </w:r>
      <w:r w:rsidR="00F27526">
        <w:t xml:space="preserve">from a range of organisations </w:t>
      </w:r>
      <w:r w:rsidRPr="003B3DDF">
        <w:t xml:space="preserve">across </w:t>
      </w:r>
      <w:r w:rsidR="001D7B5B">
        <w:t>8</w:t>
      </w:r>
      <w:r w:rsidR="001D7B5B" w:rsidRPr="003B3DDF">
        <w:t xml:space="preserve"> </w:t>
      </w:r>
      <w:r w:rsidRPr="003B3DDF">
        <w:t>roundtables</w:t>
      </w:r>
      <w:r w:rsidR="00F27526">
        <w:t>.</w:t>
      </w:r>
    </w:p>
    <w:p w14:paraId="2E690484" w14:textId="705517A7" w:rsidR="00D96CD1" w:rsidRDefault="00F27526" w:rsidP="00F27526">
      <w:pPr>
        <w:pStyle w:val="BodyText"/>
      </w:pPr>
      <w:r w:rsidRPr="003B3DDF">
        <w:t>The participants represented a diverse range of stakeholder groups, including universities, public and private VET providers, J</w:t>
      </w:r>
      <w:r>
        <w:t>obs and Skills Councils</w:t>
      </w:r>
      <w:r w:rsidRPr="003B3DDF">
        <w:t xml:space="preserve">, state/ territory and Commonwealth governments, regulators, industries, and unions. </w:t>
      </w:r>
      <w:r>
        <w:fldChar w:fldCharType="begin" w:fldLock="1"/>
      </w:r>
      <w:r>
        <w:instrText xml:space="preserve"> REF _Ref189060077 </w:instrText>
      </w:r>
      <w:r>
        <w:fldChar w:fldCharType="separate"/>
      </w:r>
      <w:r w:rsidR="00C5280E">
        <w:t xml:space="preserve">Table </w:t>
      </w:r>
      <w:r w:rsidR="00C5280E">
        <w:rPr>
          <w:noProof/>
        </w:rPr>
        <w:t>1</w:t>
      </w:r>
      <w:r w:rsidR="00C5280E">
        <w:t>.</w:t>
      </w:r>
      <w:r>
        <w:fldChar w:fldCharType="end"/>
      </w:r>
      <w:r w:rsidRPr="003B3DDF">
        <w:t>provides details of the stakeholder groups.</w:t>
      </w:r>
    </w:p>
    <w:p w14:paraId="69A87D4B" w14:textId="31308B9E" w:rsidR="003B3DDF" w:rsidRPr="003B3DDF" w:rsidRDefault="003B3DDF" w:rsidP="007929CD">
      <w:pPr>
        <w:pStyle w:val="BodyText"/>
      </w:pPr>
    </w:p>
    <w:p w14:paraId="6F58B2D5" w14:textId="082BCD5A" w:rsidR="00AD595F" w:rsidRDefault="0029421F" w:rsidP="00AD595F">
      <w:pPr>
        <w:pStyle w:val="Caption"/>
        <w:keepNext/>
      </w:pPr>
      <w:bookmarkStart w:id="212" w:name="_Toc191381515"/>
      <w:r w:rsidRPr="0029421F">
        <w:rPr>
          <w:noProof/>
        </w:rPr>
        <w:drawing>
          <wp:anchor distT="0" distB="0" distL="114300" distR="114300" simplePos="0" relativeHeight="251658245" behindDoc="0" locked="0" layoutInCell="1" allowOverlap="1" wp14:anchorId="2838BF74" wp14:editId="781945C9">
            <wp:simplePos x="0" y="0"/>
            <wp:positionH relativeFrom="column">
              <wp:align>left</wp:align>
            </wp:positionH>
            <wp:positionV relativeFrom="paragraph">
              <wp:posOffset>176098</wp:posOffset>
            </wp:positionV>
            <wp:extent cx="5731200" cy="3178800"/>
            <wp:effectExtent l="0" t="0" r="3175" b="3175"/>
            <wp:wrapNone/>
            <wp:docPr id="16392892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89227" name="Pictur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5731200" cy="3178800"/>
                    </a:xfrm>
                    <a:prstGeom prst="rect">
                      <a:avLst/>
                    </a:prstGeom>
                  </pic:spPr>
                </pic:pic>
              </a:graphicData>
            </a:graphic>
            <wp14:sizeRelH relativeFrom="page">
              <wp14:pctWidth>0</wp14:pctWidth>
            </wp14:sizeRelH>
            <wp14:sizeRelV relativeFrom="page">
              <wp14:pctHeight>0</wp14:pctHeight>
            </wp14:sizeRelV>
          </wp:anchor>
        </w:drawing>
      </w:r>
      <w:r w:rsidR="00475DE8">
        <w:t xml:space="preserve">Figure </w:t>
      </w:r>
      <w:r w:rsidR="00475DE8">
        <w:fldChar w:fldCharType="begin"/>
      </w:r>
      <w:r w:rsidR="00475DE8">
        <w:instrText xml:space="preserve"> SEQ Figure \* ARABIC </w:instrText>
      </w:r>
      <w:r w:rsidR="00475DE8">
        <w:fldChar w:fldCharType="separate"/>
      </w:r>
      <w:r w:rsidR="004D7389">
        <w:rPr>
          <w:noProof/>
        </w:rPr>
        <w:t>9</w:t>
      </w:r>
      <w:r w:rsidR="00475DE8">
        <w:fldChar w:fldCharType="end"/>
      </w:r>
      <w:r w:rsidR="00FA6336">
        <w:t>. N</w:t>
      </w:r>
      <w:r w:rsidR="00475DE8">
        <w:t>umber of roundtable participants by state or territory</w:t>
      </w:r>
      <w:bookmarkEnd w:id="2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
        <w:gridCol w:w="518"/>
      </w:tblGrid>
      <w:tr w:rsidR="000F56E5" w:rsidRPr="00D51EF2" w14:paraId="608B3D73" w14:textId="77777777" w:rsidTr="00D51EF2">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Pr>
          <w:p w14:paraId="499C6207" w14:textId="2790B49E" w:rsidR="000F56E5" w:rsidRPr="00D51EF2" w:rsidRDefault="000F56E5" w:rsidP="008903B0">
            <w:pPr>
              <w:rPr>
                <w:sz w:val="2"/>
                <w:szCs w:val="2"/>
              </w:rPr>
            </w:pPr>
            <w:r w:rsidRPr="00D51EF2">
              <w:rPr>
                <w:sz w:val="2"/>
                <w:szCs w:val="2"/>
              </w:rPr>
              <w:t>State/territory</w:t>
            </w:r>
          </w:p>
        </w:tc>
        <w:tc>
          <w:tcPr>
            <w:tcW w:w="0" w:type="auto"/>
            <w:shd w:val="clear" w:color="auto" w:fill="auto"/>
          </w:tcPr>
          <w:p w14:paraId="0F699524" w14:textId="77777777" w:rsidR="000F56E5" w:rsidRPr="00D51EF2" w:rsidRDefault="000F56E5" w:rsidP="008903B0">
            <w:pPr>
              <w:rPr>
                <w:sz w:val="2"/>
                <w:szCs w:val="2"/>
              </w:rPr>
            </w:pPr>
            <w:r w:rsidRPr="00D51EF2">
              <w:rPr>
                <w:sz w:val="2"/>
                <w:szCs w:val="2"/>
              </w:rPr>
              <w:t>Number of roundtable participants</w:t>
            </w:r>
          </w:p>
        </w:tc>
      </w:tr>
      <w:tr w:rsidR="000F56E5" w:rsidRPr="00D51EF2" w14:paraId="416695EB" w14:textId="77777777" w:rsidTr="00D51EF2">
        <w:tc>
          <w:tcPr>
            <w:tcW w:w="0" w:type="auto"/>
          </w:tcPr>
          <w:p w14:paraId="58C14788" w14:textId="77777777" w:rsidR="000F56E5" w:rsidRPr="00D51EF2" w:rsidRDefault="000F56E5" w:rsidP="008903B0">
            <w:pPr>
              <w:rPr>
                <w:sz w:val="2"/>
                <w:szCs w:val="2"/>
              </w:rPr>
            </w:pPr>
            <w:r w:rsidRPr="00D51EF2">
              <w:rPr>
                <w:sz w:val="2"/>
                <w:szCs w:val="2"/>
              </w:rPr>
              <w:t>Northern Territory</w:t>
            </w:r>
          </w:p>
        </w:tc>
        <w:tc>
          <w:tcPr>
            <w:tcW w:w="0" w:type="auto"/>
          </w:tcPr>
          <w:p w14:paraId="09E215AF" w14:textId="77777777" w:rsidR="000F56E5" w:rsidRPr="00D51EF2" w:rsidRDefault="000F56E5" w:rsidP="008903B0">
            <w:pPr>
              <w:rPr>
                <w:sz w:val="2"/>
                <w:szCs w:val="2"/>
              </w:rPr>
            </w:pPr>
            <w:r w:rsidRPr="00D51EF2">
              <w:rPr>
                <w:sz w:val="2"/>
                <w:szCs w:val="2"/>
              </w:rPr>
              <w:t>13</w:t>
            </w:r>
          </w:p>
        </w:tc>
      </w:tr>
      <w:tr w:rsidR="000F56E5" w:rsidRPr="00D51EF2" w14:paraId="472C0F25" w14:textId="77777777" w:rsidTr="00D51EF2">
        <w:tc>
          <w:tcPr>
            <w:tcW w:w="0" w:type="auto"/>
          </w:tcPr>
          <w:p w14:paraId="17922CD1" w14:textId="77777777" w:rsidR="000F56E5" w:rsidRPr="00D51EF2" w:rsidRDefault="000F56E5" w:rsidP="008903B0">
            <w:pPr>
              <w:rPr>
                <w:sz w:val="2"/>
                <w:szCs w:val="2"/>
              </w:rPr>
            </w:pPr>
            <w:r w:rsidRPr="00D51EF2">
              <w:rPr>
                <w:sz w:val="2"/>
                <w:szCs w:val="2"/>
              </w:rPr>
              <w:t>Queensland</w:t>
            </w:r>
          </w:p>
        </w:tc>
        <w:tc>
          <w:tcPr>
            <w:tcW w:w="0" w:type="auto"/>
          </w:tcPr>
          <w:p w14:paraId="5DCE1C99" w14:textId="77777777" w:rsidR="000F56E5" w:rsidRPr="00D51EF2" w:rsidRDefault="000F56E5" w:rsidP="008903B0">
            <w:pPr>
              <w:rPr>
                <w:sz w:val="2"/>
                <w:szCs w:val="2"/>
              </w:rPr>
            </w:pPr>
            <w:r w:rsidRPr="00D51EF2">
              <w:rPr>
                <w:sz w:val="2"/>
                <w:szCs w:val="2"/>
              </w:rPr>
              <w:t>18</w:t>
            </w:r>
          </w:p>
        </w:tc>
      </w:tr>
      <w:tr w:rsidR="000F56E5" w:rsidRPr="00D51EF2" w14:paraId="068547BD" w14:textId="77777777" w:rsidTr="00D51EF2">
        <w:tc>
          <w:tcPr>
            <w:tcW w:w="0" w:type="auto"/>
          </w:tcPr>
          <w:p w14:paraId="004DD80F" w14:textId="77777777" w:rsidR="000F56E5" w:rsidRPr="00D51EF2" w:rsidRDefault="000F56E5" w:rsidP="008903B0">
            <w:pPr>
              <w:rPr>
                <w:sz w:val="2"/>
                <w:szCs w:val="2"/>
              </w:rPr>
            </w:pPr>
            <w:r w:rsidRPr="00D51EF2">
              <w:rPr>
                <w:sz w:val="2"/>
                <w:szCs w:val="2"/>
              </w:rPr>
              <w:t>New South Wales</w:t>
            </w:r>
          </w:p>
        </w:tc>
        <w:tc>
          <w:tcPr>
            <w:tcW w:w="0" w:type="auto"/>
          </w:tcPr>
          <w:p w14:paraId="45667437" w14:textId="77777777" w:rsidR="000F56E5" w:rsidRPr="00D51EF2" w:rsidRDefault="000F56E5" w:rsidP="008903B0">
            <w:pPr>
              <w:rPr>
                <w:sz w:val="2"/>
                <w:szCs w:val="2"/>
              </w:rPr>
            </w:pPr>
            <w:r w:rsidRPr="00D51EF2">
              <w:rPr>
                <w:sz w:val="2"/>
                <w:szCs w:val="2"/>
              </w:rPr>
              <w:t>7</w:t>
            </w:r>
          </w:p>
        </w:tc>
      </w:tr>
      <w:tr w:rsidR="000F56E5" w:rsidRPr="00D51EF2" w14:paraId="74CEB1F2" w14:textId="77777777" w:rsidTr="00D51EF2">
        <w:tc>
          <w:tcPr>
            <w:tcW w:w="0" w:type="auto"/>
          </w:tcPr>
          <w:p w14:paraId="421DD2C9" w14:textId="77777777" w:rsidR="000F56E5" w:rsidRPr="00D51EF2" w:rsidRDefault="000F56E5" w:rsidP="008903B0">
            <w:pPr>
              <w:rPr>
                <w:sz w:val="2"/>
                <w:szCs w:val="2"/>
              </w:rPr>
            </w:pPr>
            <w:r w:rsidRPr="00D51EF2">
              <w:rPr>
                <w:sz w:val="2"/>
                <w:szCs w:val="2"/>
              </w:rPr>
              <w:t>Australian Capital Territory</w:t>
            </w:r>
          </w:p>
        </w:tc>
        <w:tc>
          <w:tcPr>
            <w:tcW w:w="0" w:type="auto"/>
          </w:tcPr>
          <w:p w14:paraId="0D2C3A8C" w14:textId="77777777" w:rsidR="000F56E5" w:rsidRPr="00D51EF2" w:rsidRDefault="000F56E5" w:rsidP="008903B0">
            <w:pPr>
              <w:rPr>
                <w:sz w:val="2"/>
                <w:szCs w:val="2"/>
              </w:rPr>
            </w:pPr>
            <w:r w:rsidRPr="00D51EF2">
              <w:rPr>
                <w:sz w:val="2"/>
                <w:szCs w:val="2"/>
              </w:rPr>
              <w:t>12</w:t>
            </w:r>
          </w:p>
        </w:tc>
      </w:tr>
      <w:tr w:rsidR="000F56E5" w:rsidRPr="00D51EF2" w14:paraId="3A25C617" w14:textId="77777777" w:rsidTr="00D51EF2">
        <w:tc>
          <w:tcPr>
            <w:tcW w:w="0" w:type="auto"/>
          </w:tcPr>
          <w:p w14:paraId="388D8DBF" w14:textId="77777777" w:rsidR="000F56E5" w:rsidRPr="00D51EF2" w:rsidRDefault="000F56E5" w:rsidP="008903B0">
            <w:pPr>
              <w:rPr>
                <w:sz w:val="2"/>
                <w:szCs w:val="2"/>
              </w:rPr>
            </w:pPr>
            <w:r w:rsidRPr="00D51EF2">
              <w:rPr>
                <w:sz w:val="2"/>
                <w:szCs w:val="2"/>
              </w:rPr>
              <w:t>Victoria</w:t>
            </w:r>
          </w:p>
        </w:tc>
        <w:tc>
          <w:tcPr>
            <w:tcW w:w="0" w:type="auto"/>
          </w:tcPr>
          <w:p w14:paraId="2983A38B" w14:textId="77777777" w:rsidR="000F56E5" w:rsidRPr="00D51EF2" w:rsidRDefault="000F56E5" w:rsidP="008903B0">
            <w:pPr>
              <w:rPr>
                <w:sz w:val="2"/>
                <w:szCs w:val="2"/>
              </w:rPr>
            </w:pPr>
            <w:r w:rsidRPr="00D51EF2">
              <w:rPr>
                <w:sz w:val="2"/>
                <w:szCs w:val="2"/>
              </w:rPr>
              <w:t>27</w:t>
            </w:r>
          </w:p>
        </w:tc>
      </w:tr>
      <w:tr w:rsidR="000F56E5" w:rsidRPr="00D51EF2" w14:paraId="42A941BA" w14:textId="77777777" w:rsidTr="00D51EF2">
        <w:tc>
          <w:tcPr>
            <w:tcW w:w="0" w:type="auto"/>
          </w:tcPr>
          <w:p w14:paraId="562D3BD8" w14:textId="77777777" w:rsidR="000F56E5" w:rsidRPr="00D51EF2" w:rsidRDefault="000F56E5" w:rsidP="008903B0">
            <w:pPr>
              <w:rPr>
                <w:sz w:val="2"/>
                <w:szCs w:val="2"/>
              </w:rPr>
            </w:pPr>
            <w:r w:rsidRPr="00D51EF2">
              <w:rPr>
                <w:sz w:val="2"/>
                <w:szCs w:val="2"/>
              </w:rPr>
              <w:t>Tasmania</w:t>
            </w:r>
          </w:p>
        </w:tc>
        <w:tc>
          <w:tcPr>
            <w:tcW w:w="0" w:type="auto"/>
          </w:tcPr>
          <w:p w14:paraId="205D9EFE" w14:textId="77777777" w:rsidR="000F56E5" w:rsidRPr="00D51EF2" w:rsidRDefault="000F56E5" w:rsidP="008903B0">
            <w:pPr>
              <w:rPr>
                <w:sz w:val="2"/>
                <w:szCs w:val="2"/>
              </w:rPr>
            </w:pPr>
            <w:r w:rsidRPr="00D51EF2">
              <w:rPr>
                <w:sz w:val="2"/>
                <w:szCs w:val="2"/>
              </w:rPr>
              <w:t>12</w:t>
            </w:r>
          </w:p>
        </w:tc>
      </w:tr>
      <w:tr w:rsidR="000F56E5" w:rsidRPr="00D51EF2" w14:paraId="54BD4D4F" w14:textId="77777777" w:rsidTr="00D51EF2">
        <w:tc>
          <w:tcPr>
            <w:tcW w:w="0" w:type="auto"/>
          </w:tcPr>
          <w:p w14:paraId="724B5309" w14:textId="77777777" w:rsidR="000F56E5" w:rsidRPr="00D51EF2" w:rsidRDefault="000F56E5" w:rsidP="008903B0">
            <w:pPr>
              <w:rPr>
                <w:sz w:val="2"/>
                <w:szCs w:val="2"/>
              </w:rPr>
            </w:pPr>
            <w:r w:rsidRPr="00D51EF2">
              <w:rPr>
                <w:sz w:val="2"/>
                <w:szCs w:val="2"/>
              </w:rPr>
              <w:t>South Australia</w:t>
            </w:r>
          </w:p>
        </w:tc>
        <w:tc>
          <w:tcPr>
            <w:tcW w:w="0" w:type="auto"/>
          </w:tcPr>
          <w:p w14:paraId="4EBD71A3" w14:textId="77777777" w:rsidR="000F56E5" w:rsidRPr="00D51EF2" w:rsidRDefault="000F56E5" w:rsidP="008903B0">
            <w:pPr>
              <w:rPr>
                <w:sz w:val="2"/>
                <w:szCs w:val="2"/>
              </w:rPr>
            </w:pPr>
            <w:r w:rsidRPr="00D51EF2">
              <w:rPr>
                <w:sz w:val="2"/>
                <w:szCs w:val="2"/>
              </w:rPr>
              <w:t>11</w:t>
            </w:r>
          </w:p>
        </w:tc>
      </w:tr>
      <w:tr w:rsidR="000F56E5" w:rsidRPr="00D51EF2" w14:paraId="2E409DB3" w14:textId="77777777" w:rsidTr="00D51EF2">
        <w:tc>
          <w:tcPr>
            <w:tcW w:w="0" w:type="auto"/>
          </w:tcPr>
          <w:p w14:paraId="7D4BBA65" w14:textId="77777777" w:rsidR="000F56E5" w:rsidRPr="00D51EF2" w:rsidRDefault="000F56E5" w:rsidP="008903B0">
            <w:pPr>
              <w:rPr>
                <w:sz w:val="2"/>
                <w:szCs w:val="2"/>
              </w:rPr>
            </w:pPr>
            <w:r w:rsidRPr="00D51EF2">
              <w:rPr>
                <w:sz w:val="2"/>
                <w:szCs w:val="2"/>
              </w:rPr>
              <w:t>Western Australia</w:t>
            </w:r>
          </w:p>
        </w:tc>
        <w:tc>
          <w:tcPr>
            <w:tcW w:w="0" w:type="auto"/>
          </w:tcPr>
          <w:p w14:paraId="5D3AA7B4" w14:textId="77777777" w:rsidR="000F56E5" w:rsidRPr="00D51EF2" w:rsidRDefault="000F56E5" w:rsidP="008903B0">
            <w:pPr>
              <w:rPr>
                <w:sz w:val="2"/>
                <w:szCs w:val="2"/>
              </w:rPr>
            </w:pPr>
            <w:r w:rsidRPr="00D51EF2">
              <w:rPr>
                <w:sz w:val="2"/>
                <w:szCs w:val="2"/>
              </w:rPr>
              <w:t>16</w:t>
            </w:r>
          </w:p>
        </w:tc>
      </w:tr>
    </w:tbl>
    <w:p w14:paraId="364D58DF" w14:textId="51885738" w:rsidR="003B3DDF" w:rsidRDefault="003B3DDF" w:rsidP="00F8491D">
      <w:pPr>
        <w:spacing w:after="4080"/>
      </w:pPr>
    </w:p>
    <w:p w14:paraId="4B419803" w14:textId="77777777" w:rsidR="00D96CD1" w:rsidRDefault="003B3DDF" w:rsidP="007929CD">
      <w:pPr>
        <w:pStyle w:val="BodyText"/>
      </w:pPr>
      <w:r w:rsidRPr="003B3DDF">
        <w:t>The participants represented a diverse range of stakeholder groups, including universities, public and private VET providers, J</w:t>
      </w:r>
      <w:r w:rsidR="002B1E3B">
        <w:t>obs and Skills Councils</w:t>
      </w:r>
      <w:r w:rsidRPr="003B3DDF">
        <w:t>, state</w:t>
      </w:r>
      <w:r w:rsidR="005427DB">
        <w:t xml:space="preserve"> and</w:t>
      </w:r>
      <w:r w:rsidRPr="003B3DDF">
        <w:t xml:space="preserve"> territory </w:t>
      </w:r>
      <w:r w:rsidR="009B1A6C">
        <w:t xml:space="preserve">governments </w:t>
      </w:r>
      <w:r w:rsidRPr="003B3DDF">
        <w:t xml:space="preserve">and </w:t>
      </w:r>
      <w:r w:rsidR="009B1A6C">
        <w:t>the Australian Government</w:t>
      </w:r>
      <w:r w:rsidRPr="003B3DDF">
        <w:t xml:space="preserve">, regulators, industries, and unions. </w:t>
      </w:r>
      <w:r w:rsidR="00A120D8">
        <w:t>Table 1</w:t>
      </w:r>
      <w:r w:rsidR="00975F70">
        <w:t xml:space="preserve"> </w:t>
      </w:r>
      <w:r w:rsidRPr="003B3DDF">
        <w:t>provides details of the stakeholder groups.</w:t>
      </w:r>
    </w:p>
    <w:p w14:paraId="7009FB50" w14:textId="7F85CE20" w:rsidR="007929CD" w:rsidRDefault="007929CD">
      <w:pPr>
        <w:spacing w:before="0" w:after="200" w:line="276" w:lineRule="auto"/>
      </w:pPr>
      <w:r>
        <w:br w:type="page"/>
      </w:r>
    </w:p>
    <w:p w14:paraId="448AEF9A" w14:textId="00F48B62" w:rsidR="00B92233" w:rsidRDefault="00B92233" w:rsidP="00B92233">
      <w:pPr>
        <w:pStyle w:val="Caption"/>
        <w:keepNext/>
      </w:pPr>
      <w:bookmarkStart w:id="213" w:name="_Ref189060077"/>
      <w:bookmarkStart w:id="214" w:name="_Toc190980937"/>
      <w:r>
        <w:lastRenderedPageBreak/>
        <w:t xml:space="preserve">Table </w:t>
      </w:r>
      <w:r>
        <w:fldChar w:fldCharType="begin"/>
      </w:r>
      <w:r>
        <w:instrText xml:space="preserve"> SEQ Table \* ARABIC </w:instrText>
      </w:r>
      <w:r>
        <w:fldChar w:fldCharType="separate"/>
      </w:r>
      <w:r w:rsidR="004D7389">
        <w:rPr>
          <w:noProof/>
        </w:rPr>
        <w:t>1</w:t>
      </w:r>
      <w:r>
        <w:fldChar w:fldCharType="end"/>
      </w:r>
      <w:r w:rsidR="003C0C2A">
        <w:t>.</w:t>
      </w:r>
      <w:bookmarkEnd w:id="213"/>
      <w:r>
        <w:t xml:space="preserve"> </w:t>
      </w:r>
      <w:r w:rsidR="00A41BAF">
        <w:t xml:space="preserve">Organisations that attended the </w:t>
      </w:r>
      <w:r w:rsidR="006E0815">
        <w:t>roundtables</w:t>
      </w:r>
      <w:bookmarkEnd w:id="214"/>
    </w:p>
    <w:p w14:paraId="7E8EB76A" w14:textId="77777777" w:rsidR="003B3DDF" w:rsidRDefault="003B3DDF" w:rsidP="003B3DDF"/>
    <w:tbl>
      <w:tblPr>
        <w:tblStyle w:val="CustomTableoption1"/>
        <w:tblW w:w="0" w:type="auto"/>
        <w:tblLayout w:type="fixed"/>
        <w:tblLook w:val="04A0" w:firstRow="1" w:lastRow="0" w:firstColumn="1" w:lastColumn="0" w:noHBand="0" w:noVBand="1"/>
      </w:tblPr>
      <w:tblGrid>
        <w:gridCol w:w="2547"/>
        <w:gridCol w:w="6468"/>
      </w:tblGrid>
      <w:tr w:rsidR="00DA38EC" w14:paraId="4774A3B4" w14:textId="77777777" w:rsidTr="00DA38E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505A1D08" w14:textId="77777777" w:rsidR="00DA38EC" w:rsidRDefault="00DA38EC" w:rsidP="00DA38EC">
            <w:r w:rsidRPr="003B3DDF">
              <w:t>Stakeholder categories</w:t>
            </w:r>
          </w:p>
        </w:tc>
        <w:tc>
          <w:tcPr>
            <w:tcW w:w="6468" w:type="dxa"/>
          </w:tcPr>
          <w:p w14:paraId="2C189E10" w14:textId="77777777" w:rsidR="00DA38EC" w:rsidRDefault="00DA38EC" w:rsidP="00DA38EC">
            <w:pPr>
              <w:cnfStyle w:val="100000000000" w:firstRow="1" w:lastRow="0" w:firstColumn="0" w:lastColumn="0" w:oddVBand="0" w:evenVBand="0" w:oddHBand="0" w:evenHBand="0" w:firstRowFirstColumn="0" w:firstRowLastColumn="0" w:lastRowFirstColumn="0" w:lastRowLastColumn="0"/>
            </w:pPr>
            <w:r w:rsidRPr="003B3DDF">
              <w:t>Details</w:t>
            </w:r>
          </w:p>
        </w:tc>
      </w:tr>
      <w:tr w:rsidR="00DA38EC" w14:paraId="3520A590" w14:textId="77777777" w:rsidTr="00DA38EC">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0B90CB3" w14:textId="77777777" w:rsidR="00DA38EC" w:rsidRDefault="00DA38EC" w:rsidP="00DA38EC">
            <w:r w:rsidRPr="003B3DDF">
              <w:t>Universities</w:t>
            </w:r>
          </w:p>
          <w:p w14:paraId="362926D7" w14:textId="77777777" w:rsidR="00DA38EC" w:rsidRDefault="00DA38EC" w:rsidP="00DA38EC">
            <w:r w:rsidRPr="003B3DDF">
              <w:t xml:space="preserve"> </w:t>
            </w:r>
          </w:p>
        </w:tc>
        <w:tc>
          <w:tcPr>
            <w:tcW w:w="6468" w:type="dxa"/>
          </w:tcPr>
          <w:p w14:paraId="6CD9F758" w14:textId="77777777"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Australian National University</w:t>
            </w:r>
          </w:p>
          <w:p w14:paraId="00F2EAF4" w14:textId="77777777" w:rsidR="00DA38EC" w:rsidRPr="003B3DDF"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Batchelor Institute</w:t>
            </w:r>
          </w:p>
          <w:p w14:paraId="022C376F" w14:textId="77777777" w:rsidR="00DA38EC" w:rsidRPr="003B3DDF"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Bond University</w:t>
            </w:r>
          </w:p>
          <w:p w14:paraId="755757EB" w14:textId="77777777" w:rsidR="00DA38EC"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Council of Deans of Nursing and Midwifery</w:t>
            </w:r>
          </w:p>
          <w:p w14:paraId="32D4B95C" w14:textId="74D28935"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Edith Cowan</w:t>
            </w:r>
            <w:r w:rsidR="00FA25C2">
              <w:t xml:space="preserve"> University</w:t>
            </w:r>
          </w:p>
          <w:p w14:paraId="25D7C7A1" w14:textId="77777777"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Flinders University</w:t>
            </w:r>
          </w:p>
          <w:p w14:paraId="621230B8" w14:textId="77777777"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Griffith University</w:t>
            </w:r>
          </w:p>
          <w:p w14:paraId="6EE3FCC0" w14:textId="07B550F6"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Monash</w:t>
            </w:r>
            <w:r w:rsidR="00D05CE0">
              <w:t xml:space="preserve"> University</w:t>
            </w:r>
          </w:p>
          <w:p w14:paraId="3B643FE5" w14:textId="31E4BB2C"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RMIT</w:t>
            </w:r>
            <w:r w:rsidR="00037EBA">
              <w:t xml:space="preserve"> University</w:t>
            </w:r>
          </w:p>
          <w:p w14:paraId="0FF40EA2" w14:textId="6429D9E8"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Swinburne</w:t>
            </w:r>
            <w:r w:rsidR="007741E6">
              <w:t xml:space="preserve"> University</w:t>
            </w:r>
          </w:p>
          <w:p w14:paraId="20E2198C" w14:textId="63212E43"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Uni</w:t>
            </w:r>
            <w:r w:rsidR="006D662F">
              <w:t>versity of</w:t>
            </w:r>
            <w:r>
              <w:t xml:space="preserve"> Adelaide</w:t>
            </w:r>
          </w:p>
          <w:p w14:paraId="1CFAC848" w14:textId="4AA4C844"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Uni</w:t>
            </w:r>
            <w:r w:rsidR="006D662F">
              <w:t>versity of</w:t>
            </w:r>
            <w:r>
              <w:t xml:space="preserve"> Newcastle</w:t>
            </w:r>
          </w:p>
          <w:p w14:paraId="123FB62F" w14:textId="77777777" w:rsidR="00E95DA6" w:rsidRDefault="00B73DAE" w:rsidP="00E95DA6">
            <w:pPr>
              <w:pStyle w:val="ListParagraph"/>
              <w:cnfStyle w:val="000000000000" w:firstRow="0" w:lastRow="0" w:firstColumn="0" w:lastColumn="0" w:oddVBand="0" w:evenVBand="0" w:oddHBand="0" w:evenHBand="0" w:firstRowFirstColumn="0" w:firstRowLastColumn="0" w:lastRowFirstColumn="0" w:lastRowLastColumn="0"/>
            </w:pPr>
            <w:r>
              <w:t>University of Canberra</w:t>
            </w:r>
          </w:p>
          <w:p w14:paraId="64996108" w14:textId="1B1BFBFE"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University of South Australia</w:t>
            </w:r>
          </w:p>
          <w:p w14:paraId="1ECAF470" w14:textId="555F2B38" w:rsidR="00E95DA6" w:rsidRDefault="00E95DA6" w:rsidP="00E95DA6">
            <w:pPr>
              <w:pStyle w:val="ListParagraph"/>
              <w:cnfStyle w:val="000000000000" w:firstRow="0" w:lastRow="0" w:firstColumn="0" w:lastColumn="0" w:oddVBand="0" w:evenVBand="0" w:oddHBand="0" w:evenHBand="0" w:firstRowFirstColumn="0" w:firstRowLastColumn="0" w:lastRowFirstColumn="0" w:lastRowLastColumn="0"/>
            </w:pPr>
            <w:r>
              <w:t>University of Tasmania</w:t>
            </w:r>
            <w:r w:rsidR="006C0657">
              <w:t xml:space="preserve"> (including </w:t>
            </w:r>
            <w:r w:rsidR="006C0657" w:rsidRPr="003B3DDF">
              <w:t>Aboriginal Student Adviser</w:t>
            </w:r>
            <w:r w:rsidR="006C0657">
              <w:t>)</w:t>
            </w:r>
          </w:p>
          <w:p w14:paraId="1E72CC9F" w14:textId="08DCE844" w:rsidR="00DA38EC" w:rsidRPr="003B3DDF" w:rsidRDefault="00E95DA6" w:rsidP="00DA38EC">
            <w:pPr>
              <w:pStyle w:val="ListParagraph"/>
              <w:cnfStyle w:val="000000000000" w:firstRow="0" w:lastRow="0" w:firstColumn="0" w:lastColumn="0" w:oddVBand="0" w:evenVBand="0" w:oddHBand="0" w:evenHBand="0" w:firstRowFirstColumn="0" w:firstRowLastColumn="0" w:lastRowFirstColumn="0" w:lastRowLastColumn="0"/>
            </w:pPr>
            <w:r>
              <w:t>University of the Sunshine Coast</w:t>
            </w:r>
          </w:p>
        </w:tc>
      </w:tr>
      <w:tr w:rsidR="00DA38EC" w14:paraId="401F4BFC" w14:textId="77777777" w:rsidTr="00DA38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407C48D3" w14:textId="77777777" w:rsidR="00DA38EC" w:rsidRDefault="00DA38EC" w:rsidP="00DA38EC">
            <w:r w:rsidRPr="003B3DDF">
              <w:t>TAFEs and Private RTOs</w:t>
            </w:r>
          </w:p>
          <w:p w14:paraId="7B029360" w14:textId="77777777" w:rsidR="00DA38EC" w:rsidRDefault="00DA38EC" w:rsidP="00DA38EC"/>
        </w:tc>
        <w:tc>
          <w:tcPr>
            <w:tcW w:w="6468" w:type="dxa"/>
          </w:tcPr>
          <w:p w14:paraId="5E4FC3F1"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Canberra Institute of Technology</w:t>
            </w:r>
          </w:p>
          <w:p w14:paraId="351CE65E"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Crest NT</w:t>
            </w:r>
          </w:p>
          <w:p w14:paraId="30BE7A9E" w14:textId="55972F95"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 xml:space="preserve">Independent Tertiary </w:t>
            </w:r>
            <w:r w:rsidR="006B4D7E">
              <w:t>Education Council Australia</w:t>
            </w:r>
          </w:p>
          <w:p w14:paraId="1672CA68"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Ironbark training (NSW)</w:t>
            </w:r>
          </w:p>
          <w:p w14:paraId="4CCBA470"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Key 2 Learning College</w:t>
            </w:r>
          </w:p>
          <w:p w14:paraId="45AFA53B" w14:textId="77777777" w:rsidR="00DA38EC" w:rsidRPr="003B3DDF" w:rsidRDefault="00DA38EC" w:rsidP="00DA38EC">
            <w:pPr>
              <w:pStyle w:val="ListParagraph"/>
              <w:cnfStyle w:val="000000010000" w:firstRow="0" w:lastRow="0" w:firstColumn="0" w:lastColumn="0" w:oddVBand="0" w:evenVBand="0" w:oddHBand="0" w:evenHBand="1" w:firstRowFirstColumn="0" w:firstRowLastColumn="0" w:lastRowFirstColumn="0" w:lastRowLastColumn="0"/>
            </w:pPr>
            <w:r w:rsidRPr="003B3DDF">
              <w:t>North Metropolitan TAFE (WA)</w:t>
            </w:r>
          </w:p>
          <w:p w14:paraId="7E6290E3" w14:textId="77777777" w:rsidR="00DA38EC" w:rsidRPr="003B3DDF" w:rsidRDefault="00DA38EC" w:rsidP="00DA38EC">
            <w:pPr>
              <w:pStyle w:val="ListParagraph"/>
              <w:cnfStyle w:val="000000010000" w:firstRow="0" w:lastRow="0" w:firstColumn="0" w:lastColumn="0" w:oddVBand="0" w:evenVBand="0" w:oddHBand="0" w:evenHBand="1" w:firstRowFirstColumn="0" w:firstRowLastColumn="0" w:lastRowFirstColumn="0" w:lastRowLastColumn="0"/>
            </w:pPr>
            <w:r w:rsidRPr="003B3DDF">
              <w:t>South Metropolitan TAFE (WA)</w:t>
            </w:r>
          </w:p>
          <w:p w14:paraId="0738A171"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TAFE NSW</w:t>
            </w:r>
          </w:p>
          <w:p w14:paraId="22961F01"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TAFE QLD</w:t>
            </w:r>
          </w:p>
          <w:p w14:paraId="7430309E"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TAFE SA</w:t>
            </w:r>
          </w:p>
          <w:p w14:paraId="77C613A2" w14:textId="77777777" w:rsidR="00120289" w:rsidRDefault="00120289" w:rsidP="00120289">
            <w:pPr>
              <w:pStyle w:val="ListParagraph"/>
              <w:cnfStyle w:val="000000010000" w:firstRow="0" w:lastRow="0" w:firstColumn="0" w:lastColumn="0" w:oddVBand="0" w:evenVBand="0" w:oddHBand="0" w:evenHBand="1" w:firstRowFirstColumn="0" w:firstRowLastColumn="0" w:lastRowFirstColumn="0" w:lastRowLastColumn="0"/>
            </w:pPr>
            <w:r>
              <w:t>TasTAFE</w:t>
            </w:r>
          </w:p>
          <w:p w14:paraId="677027AA" w14:textId="77777777" w:rsidR="00DA38EC" w:rsidRPr="003B3DDF" w:rsidRDefault="00DA38EC" w:rsidP="00DA38EC">
            <w:pPr>
              <w:pStyle w:val="ListParagraph"/>
              <w:cnfStyle w:val="000000010000" w:firstRow="0" w:lastRow="0" w:firstColumn="0" w:lastColumn="0" w:oddVBand="0" w:evenVBand="0" w:oddHBand="0" w:evenHBand="1" w:firstRowFirstColumn="0" w:firstRowLastColumn="0" w:lastRowFirstColumn="0" w:lastRowLastColumn="0"/>
            </w:pPr>
            <w:r w:rsidRPr="003B3DDF">
              <w:t>Unihub Spencer Gulf (SA)</w:t>
            </w:r>
          </w:p>
          <w:p w14:paraId="495795EC" w14:textId="4C3638A3" w:rsidR="00DA38EC" w:rsidRPr="003B3DDF" w:rsidRDefault="00DA38EC" w:rsidP="00DA38EC">
            <w:pPr>
              <w:pStyle w:val="ListParagraph"/>
              <w:cnfStyle w:val="000000010000" w:firstRow="0" w:lastRow="0" w:firstColumn="0" w:lastColumn="0" w:oddVBand="0" w:evenVBand="0" w:oddHBand="0" w:evenHBand="1" w:firstRowFirstColumn="0" w:firstRowLastColumn="0" w:lastRowFirstColumn="0" w:lastRowLastColumn="0"/>
            </w:pPr>
            <w:r>
              <w:t>William Angliss Institute</w:t>
            </w:r>
          </w:p>
        </w:tc>
      </w:tr>
      <w:tr w:rsidR="00DA38EC" w14:paraId="210C2840" w14:textId="77777777" w:rsidTr="00DA38EC">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0BB2E6CE" w14:textId="77777777" w:rsidR="00DA38EC" w:rsidRDefault="00DA38EC" w:rsidP="00DA38EC">
            <w:r w:rsidRPr="003B3DDF">
              <w:t>Industry</w:t>
            </w:r>
          </w:p>
          <w:p w14:paraId="694D21A8" w14:textId="77777777" w:rsidR="00DA38EC" w:rsidRDefault="00DA38EC" w:rsidP="00DA38EC"/>
        </w:tc>
        <w:tc>
          <w:tcPr>
            <w:tcW w:w="6468" w:type="dxa"/>
          </w:tcPr>
          <w:p w14:paraId="704D7DEE"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Administrative and Professional Services (Industry Training Council)</w:t>
            </w:r>
          </w:p>
          <w:p w14:paraId="67E5074C"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Ai Group</w:t>
            </w:r>
          </w:p>
          <w:p w14:paraId="5855E7EB"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Australian Academy of Sciences</w:t>
            </w:r>
          </w:p>
          <w:p w14:paraId="4F112C68" w14:textId="00749AA7" w:rsidR="00DA38EC" w:rsidRPr="003B3DDF"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A</w:t>
            </w:r>
            <w:r w:rsidR="00C42CFC">
              <w:t>ustralian Chamber of Commerce and Industry</w:t>
            </w:r>
          </w:p>
          <w:p w14:paraId="3E7E903F"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Business NSW</w:t>
            </w:r>
          </w:p>
          <w:p w14:paraId="18709316"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Business and Employment Southeast Tasmania</w:t>
            </w:r>
          </w:p>
          <w:p w14:paraId="31C7706F"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Business and Employment Southeast Tasmania</w:t>
            </w:r>
          </w:p>
          <w:p w14:paraId="4B312A11"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CheckUP Australia</w:t>
            </w:r>
          </w:p>
          <w:p w14:paraId="38279C8D"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Community Skills WA</w:t>
            </w:r>
          </w:p>
          <w:p w14:paraId="7D082C10" w14:textId="07AC8D23" w:rsidR="00C532C9" w:rsidRPr="003B3DDF" w:rsidRDefault="00C532C9" w:rsidP="00DA38EC">
            <w:pPr>
              <w:pStyle w:val="ListParagraph"/>
              <w:cnfStyle w:val="000000000000" w:firstRow="0" w:lastRow="0" w:firstColumn="0" w:lastColumn="0" w:oddVBand="0" w:evenVBand="0" w:oddHBand="0" w:evenHBand="0" w:firstRowFirstColumn="0" w:firstRowLastColumn="0" w:lastRowFirstColumn="0" w:lastRowLastColumn="0"/>
            </w:pPr>
            <w:r>
              <w:t>Council of Small Business Organisations Australia</w:t>
            </w:r>
          </w:p>
          <w:p w14:paraId="3AE922BE"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Energy Skills Australia</w:t>
            </w:r>
          </w:p>
          <w:p w14:paraId="1CE6B4A8"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Fibre &amp; Timber Industries Training Council</w:t>
            </w:r>
          </w:p>
          <w:p w14:paraId="59AD5E82"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Industry Skills Advisory Council NT</w:t>
            </w:r>
          </w:p>
          <w:p w14:paraId="6B0F7405"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Industry Skills Advisory Council NT</w:t>
            </w:r>
          </w:p>
          <w:p w14:paraId="4AE2D901"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Institute of Skills and Training Australia</w:t>
            </w:r>
          </w:p>
          <w:p w14:paraId="7BABD87F"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Master Builders Association</w:t>
            </w:r>
          </w:p>
          <w:p w14:paraId="499B04A7" w14:textId="77777777" w:rsidR="00DA38EC" w:rsidRPr="003B3DDF"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Mining and Automotive Industry Training Council</w:t>
            </w:r>
          </w:p>
          <w:p w14:paraId="560C8A0A" w14:textId="77777777" w:rsidR="00E4761D" w:rsidRDefault="00E4761D" w:rsidP="00E4761D">
            <w:pPr>
              <w:pStyle w:val="ListParagraph"/>
              <w:cnfStyle w:val="000000000000" w:firstRow="0" w:lastRow="0" w:firstColumn="0" w:lastColumn="0" w:oddVBand="0" w:evenVBand="0" w:oddHBand="0" w:evenHBand="0" w:firstRowFirstColumn="0" w:firstRowLastColumn="0" w:lastRowFirstColumn="0" w:lastRowLastColumn="0"/>
            </w:pPr>
            <w:r>
              <w:t>South Australian Business Chamber</w:t>
            </w:r>
          </w:p>
          <w:p w14:paraId="0956AC96" w14:textId="77777777" w:rsidR="00DA38EC" w:rsidRPr="003B3DDF"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Tasmanian Hospitality Association</w:t>
            </w:r>
          </w:p>
          <w:p w14:paraId="6E1B1BF3" w14:textId="43F170A3" w:rsidR="00DA38EC" w:rsidRPr="003B3DDF"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Western Australian Logistics and Defence (Industry Training Council)</w:t>
            </w:r>
          </w:p>
        </w:tc>
      </w:tr>
      <w:tr w:rsidR="00DA38EC" w14:paraId="7EF87458" w14:textId="77777777" w:rsidTr="00DA38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6A70D32C" w14:textId="77777777" w:rsidR="00DA38EC" w:rsidRDefault="00DA38EC" w:rsidP="00DA38EC">
            <w:r w:rsidRPr="003B3DDF">
              <w:lastRenderedPageBreak/>
              <w:t>Unions</w:t>
            </w:r>
          </w:p>
          <w:p w14:paraId="05623A78" w14:textId="77777777" w:rsidR="00DA38EC" w:rsidRDefault="00DA38EC" w:rsidP="00DA38EC"/>
        </w:tc>
        <w:tc>
          <w:tcPr>
            <w:tcW w:w="6468" w:type="dxa"/>
          </w:tcPr>
          <w:p w14:paraId="674D5FC4" w14:textId="77777777" w:rsidR="007B7009" w:rsidRDefault="00833074" w:rsidP="00DA38EC">
            <w:pPr>
              <w:pStyle w:val="ListParagraph"/>
              <w:cnfStyle w:val="000000010000" w:firstRow="0" w:lastRow="0" w:firstColumn="0" w:lastColumn="0" w:oddVBand="0" w:evenVBand="0" w:oddHBand="0" w:evenHBand="1" w:firstRowFirstColumn="0" w:firstRowLastColumn="0" w:lastRowFirstColumn="0" w:lastRowLastColumn="0"/>
            </w:pPr>
            <w:r w:rsidRPr="00833074">
              <w:t>Australian Council of Trade Unions</w:t>
            </w:r>
          </w:p>
          <w:p w14:paraId="1E5FD021" w14:textId="77777777" w:rsidR="001516C2" w:rsidRDefault="001516C2" w:rsidP="001516C2">
            <w:pPr>
              <w:pStyle w:val="ListParagraph"/>
              <w:cnfStyle w:val="000000010000" w:firstRow="0" w:lastRow="0" w:firstColumn="0" w:lastColumn="0" w:oddVBand="0" w:evenVBand="0" w:oddHBand="0" w:evenHBand="1" w:firstRowFirstColumn="0" w:firstRowLastColumn="0" w:lastRowFirstColumn="0" w:lastRowLastColumn="0"/>
            </w:pPr>
            <w:r>
              <w:t>Australian Education Union</w:t>
            </w:r>
          </w:p>
          <w:p w14:paraId="5CC03803" w14:textId="77777777" w:rsidR="007B7009" w:rsidRDefault="007B7009" w:rsidP="00DA38EC">
            <w:pPr>
              <w:pStyle w:val="ListParagraph"/>
              <w:cnfStyle w:val="000000010000" w:firstRow="0" w:lastRow="0" w:firstColumn="0" w:lastColumn="0" w:oddVBand="0" w:evenVBand="0" w:oddHBand="0" w:evenHBand="1" w:firstRowFirstColumn="0" w:firstRowLastColumn="0" w:lastRowFirstColumn="0" w:lastRowLastColumn="0"/>
            </w:pPr>
            <w:r w:rsidRPr="007B7009">
              <w:t>Australian Manufacturing Workers Union</w:t>
            </w:r>
          </w:p>
          <w:p w14:paraId="5531A381" w14:textId="51CDE6F9" w:rsidR="001516C2" w:rsidRDefault="00DA38EC" w:rsidP="001516C2">
            <w:pPr>
              <w:pStyle w:val="ListParagraph"/>
              <w:cnfStyle w:val="000000010000" w:firstRow="0" w:lastRow="0" w:firstColumn="0" w:lastColumn="0" w:oddVBand="0" w:evenVBand="0" w:oddHBand="0" w:evenHBand="1" w:firstRowFirstColumn="0" w:firstRowLastColumn="0" w:lastRowFirstColumn="0" w:lastRowLastColumn="0"/>
            </w:pPr>
            <w:r w:rsidRPr="003B3DDF">
              <w:t>Communication Electrical Plumbing Union</w:t>
            </w:r>
            <w:r w:rsidR="00E33F1C">
              <w:t xml:space="preserve"> (</w:t>
            </w:r>
            <w:r w:rsidR="00E33F1C" w:rsidRPr="003B3DDF">
              <w:t xml:space="preserve">Electrical </w:t>
            </w:r>
            <w:r w:rsidR="00E33F1C">
              <w:t>Trades</w:t>
            </w:r>
            <w:r w:rsidR="00E33F1C" w:rsidRPr="003B3DDF">
              <w:t xml:space="preserve"> </w:t>
            </w:r>
            <w:r w:rsidR="00E33F1C">
              <w:t>U</w:t>
            </w:r>
            <w:r w:rsidR="00E33F1C" w:rsidRPr="003B3DDF">
              <w:t>nion</w:t>
            </w:r>
            <w:r w:rsidR="00E33F1C">
              <w:t>)</w:t>
            </w:r>
          </w:p>
          <w:p w14:paraId="6C5A7296" w14:textId="77777777" w:rsidR="001516C2" w:rsidRDefault="001516C2" w:rsidP="001516C2">
            <w:pPr>
              <w:pStyle w:val="ListParagraph"/>
              <w:cnfStyle w:val="000000010000" w:firstRow="0" w:lastRow="0" w:firstColumn="0" w:lastColumn="0" w:oddVBand="0" w:evenVBand="0" w:oddHBand="0" w:evenHBand="1" w:firstRowFirstColumn="0" w:firstRowLastColumn="0" w:lastRowFirstColumn="0" w:lastRowLastColumn="0"/>
            </w:pPr>
            <w:r>
              <w:t>Health Services Union</w:t>
            </w:r>
          </w:p>
          <w:p w14:paraId="6BA39E2F" w14:textId="1C3ECADC" w:rsidR="00DA38EC" w:rsidRPr="003B3DDF" w:rsidRDefault="001516C2" w:rsidP="00DA38EC">
            <w:pPr>
              <w:pStyle w:val="ListParagraph"/>
              <w:cnfStyle w:val="000000010000" w:firstRow="0" w:lastRow="0" w:firstColumn="0" w:lastColumn="0" w:oddVBand="0" w:evenVBand="0" w:oddHBand="0" w:evenHBand="1" w:firstRowFirstColumn="0" w:firstRowLastColumn="0" w:lastRowFirstColumn="0" w:lastRowLastColumn="0"/>
            </w:pPr>
            <w:r>
              <w:t>National Tertiary Education Union</w:t>
            </w:r>
          </w:p>
        </w:tc>
      </w:tr>
      <w:tr w:rsidR="00DA38EC" w14:paraId="1C68DE2E" w14:textId="77777777" w:rsidTr="00DA38EC">
        <w:trPr>
          <w:trHeight w:val="300"/>
        </w:trPr>
        <w:tc>
          <w:tcPr>
            <w:cnfStyle w:val="001000000000" w:firstRow="0" w:lastRow="0" w:firstColumn="1" w:lastColumn="0" w:oddVBand="0" w:evenVBand="0" w:oddHBand="0" w:evenHBand="0" w:firstRowFirstColumn="0" w:firstRowLastColumn="0" w:lastRowFirstColumn="0" w:lastRowLastColumn="0"/>
            <w:tcW w:w="2547" w:type="dxa"/>
          </w:tcPr>
          <w:p w14:paraId="1C945D2A" w14:textId="77777777" w:rsidR="00DA38EC" w:rsidRDefault="00DA38EC" w:rsidP="00DA38EC">
            <w:r w:rsidRPr="003B3DDF">
              <w:t>J</w:t>
            </w:r>
            <w:r>
              <w:t>obs and Skills Councils</w:t>
            </w:r>
          </w:p>
          <w:p w14:paraId="02C6DE37" w14:textId="77777777" w:rsidR="00DA38EC" w:rsidRDefault="00DA38EC" w:rsidP="00DA38EC"/>
        </w:tc>
        <w:tc>
          <w:tcPr>
            <w:tcW w:w="6468" w:type="dxa"/>
          </w:tcPr>
          <w:p w14:paraId="2247A22C" w14:textId="77777777" w:rsidR="00DA38EC" w:rsidRPr="003B3DDF" w:rsidRDefault="00DA38EC" w:rsidP="00DA38EC">
            <w:pPr>
              <w:pStyle w:val="ListParagraph"/>
              <w:cnfStyle w:val="000000000000" w:firstRow="0" w:lastRow="0" w:firstColumn="0" w:lastColumn="0" w:oddVBand="0" w:evenVBand="0" w:oddHBand="0" w:evenHBand="0" w:firstRowFirstColumn="0" w:firstRowLastColumn="0" w:lastRowFirstColumn="0" w:lastRowLastColumn="0"/>
            </w:pPr>
            <w:r w:rsidRPr="003B3DDF">
              <w:t>Build Skills Australia</w:t>
            </w:r>
          </w:p>
          <w:p w14:paraId="0BEE26A7" w14:textId="4A4D8E83" w:rsidR="001516C2" w:rsidRDefault="001516C2" w:rsidP="00DA38EC">
            <w:pPr>
              <w:pStyle w:val="ListParagraph"/>
              <w:cnfStyle w:val="000000000000" w:firstRow="0" w:lastRow="0" w:firstColumn="0" w:lastColumn="0" w:oddVBand="0" w:evenVBand="0" w:oddHBand="0" w:evenHBand="0" w:firstRowFirstColumn="0" w:firstRowLastColumn="0" w:lastRowFirstColumn="0" w:lastRowLastColumn="0"/>
            </w:pPr>
            <w:r w:rsidRPr="003B3DDF">
              <w:t>Future Skills Organisation</w:t>
            </w:r>
          </w:p>
          <w:p w14:paraId="7D7C161A" w14:textId="691D1AA0" w:rsidR="00DA38EC" w:rsidRPr="003B3DDF" w:rsidRDefault="00DA38EC" w:rsidP="00C243E7">
            <w:pPr>
              <w:pStyle w:val="ListParagraph"/>
              <w:cnfStyle w:val="000000000000" w:firstRow="0" w:lastRow="0" w:firstColumn="0" w:lastColumn="0" w:oddVBand="0" w:evenVBand="0" w:oddHBand="0" w:evenHBand="0" w:firstRowFirstColumn="0" w:firstRowLastColumn="0" w:lastRowFirstColumn="0" w:lastRowLastColumn="0"/>
            </w:pPr>
            <w:r w:rsidRPr="003B3DDF">
              <w:t>Skills Insight</w:t>
            </w:r>
          </w:p>
        </w:tc>
      </w:tr>
      <w:tr w:rsidR="00DA38EC" w14:paraId="36C07E67" w14:textId="77777777" w:rsidTr="00DA38E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7" w:type="dxa"/>
          </w:tcPr>
          <w:p w14:paraId="7E205290" w14:textId="77777777" w:rsidR="00DA38EC" w:rsidRDefault="00DA38EC" w:rsidP="00DA38EC">
            <w:r w:rsidRPr="003B3DDF">
              <w:t>Government</w:t>
            </w:r>
            <w:r>
              <w:t>s</w:t>
            </w:r>
          </w:p>
          <w:p w14:paraId="390C65EF" w14:textId="77777777" w:rsidR="00DA38EC" w:rsidRDefault="00DA38EC" w:rsidP="00DA38EC">
            <w:r w:rsidRPr="003B3DDF">
              <w:t xml:space="preserve"> </w:t>
            </w:r>
          </w:p>
        </w:tc>
        <w:tc>
          <w:tcPr>
            <w:tcW w:w="6468" w:type="dxa"/>
          </w:tcPr>
          <w:p w14:paraId="2BAF52F9" w14:textId="77777777" w:rsidR="00DA38EC" w:rsidRPr="003B3DDF" w:rsidRDefault="00DA38EC" w:rsidP="00DA38EC">
            <w:pPr>
              <w:pStyle w:val="ListParagraph"/>
              <w:cnfStyle w:val="000000010000" w:firstRow="0" w:lastRow="0" w:firstColumn="0" w:lastColumn="0" w:oddVBand="0" w:evenVBand="0" w:oddHBand="0" w:evenHBand="1" w:firstRowFirstColumn="0" w:firstRowLastColumn="0" w:lastRowFirstColumn="0" w:lastRowLastColumn="0"/>
            </w:pPr>
            <w:r w:rsidRPr="003B3DDF">
              <w:t xml:space="preserve">All </w:t>
            </w:r>
            <w:r>
              <w:t>s</w:t>
            </w:r>
            <w:r w:rsidRPr="003B3DDF">
              <w:t xml:space="preserve">tate </w:t>
            </w:r>
            <w:r>
              <w:t>and territory g</w:t>
            </w:r>
            <w:r w:rsidRPr="003B3DDF">
              <w:t>overnments</w:t>
            </w:r>
          </w:p>
          <w:p w14:paraId="000EE970" w14:textId="77777777" w:rsidR="00DA38EC" w:rsidRPr="003B3DDF" w:rsidRDefault="00DA38EC" w:rsidP="00DA38EC">
            <w:pPr>
              <w:pStyle w:val="ListParagraph"/>
              <w:cnfStyle w:val="000000010000" w:firstRow="0" w:lastRow="0" w:firstColumn="0" w:lastColumn="0" w:oddVBand="0" w:evenVBand="0" w:oddHBand="0" w:evenHBand="1" w:firstRowFirstColumn="0" w:firstRowLastColumn="0" w:lastRowFirstColumn="0" w:lastRowLastColumn="0"/>
            </w:pPr>
            <w:r>
              <w:t>Australian Government</w:t>
            </w:r>
            <w:r w:rsidRPr="003B3DDF">
              <w:t>: Department of Employment and Workplace Relations; Department of Education</w:t>
            </w:r>
          </w:p>
          <w:p w14:paraId="571E0C08" w14:textId="4D91B392" w:rsidR="00DA38EC" w:rsidRPr="003B3DDF" w:rsidRDefault="00DA38EC" w:rsidP="00DA38EC">
            <w:pPr>
              <w:pStyle w:val="ListParagraph"/>
              <w:cnfStyle w:val="000000010000" w:firstRow="0" w:lastRow="0" w:firstColumn="0" w:lastColumn="0" w:oddVBand="0" w:evenVBand="0" w:oddHBand="0" w:evenHBand="1" w:firstRowFirstColumn="0" w:firstRowLastColumn="0" w:lastRowFirstColumn="0" w:lastRowLastColumn="0"/>
            </w:pPr>
            <w:r w:rsidRPr="003B3DDF">
              <w:t>Regulators: TEQSA, ASQA.</w:t>
            </w:r>
          </w:p>
        </w:tc>
      </w:tr>
    </w:tbl>
    <w:p w14:paraId="725AE3BB" w14:textId="77777777" w:rsidR="00DA38EC" w:rsidRDefault="00DA38EC" w:rsidP="003B3DDF"/>
    <w:p w14:paraId="79C2C0AE" w14:textId="77777777" w:rsidR="004766C1" w:rsidRDefault="004766C1" w:rsidP="003B3DDF"/>
    <w:p w14:paraId="441F4CDA" w14:textId="22FAA6E8" w:rsidR="003B3DDF" w:rsidRPr="00A46B4F" w:rsidRDefault="003B3DDF" w:rsidP="003B3DDF">
      <w:pPr>
        <w:rPr>
          <w:b/>
          <w:bCs/>
        </w:rPr>
      </w:pPr>
      <w:r w:rsidRPr="00A46B4F">
        <w:rPr>
          <w:b/>
          <w:bCs/>
        </w:rPr>
        <w:t xml:space="preserve">Consultation questions asked at the </w:t>
      </w:r>
      <w:r w:rsidR="00394F22" w:rsidRPr="00A46B4F">
        <w:rPr>
          <w:b/>
          <w:bCs/>
        </w:rPr>
        <w:t>s</w:t>
      </w:r>
      <w:r w:rsidRPr="00A46B4F">
        <w:rPr>
          <w:b/>
          <w:bCs/>
        </w:rPr>
        <w:t xml:space="preserve">tate and </w:t>
      </w:r>
      <w:r w:rsidR="00394F22" w:rsidRPr="00A46B4F">
        <w:rPr>
          <w:b/>
          <w:bCs/>
        </w:rPr>
        <w:t>t</w:t>
      </w:r>
      <w:r w:rsidRPr="00A46B4F">
        <w:rPr>
          <w:b/>
          <w:bCs/>
        </w:rPr>
        <w:t>erritory roundtable consultations</w:t>
      </w:r>
    </w:p>
    <w:p w14:paraId="7FD41E09" w14:textId="338A3368" w:rsidR="003B3DDF" w:rsidRPr="003B3DDF" w:rsidRDefault="003B3DDF" w:rsidP="003B3DDF">
      <w:pPr>
        <w:pStyle w:val="ListBullet"/>
        <w:rPr>
          <w:rFonts w:eastAsiaTheme="minorHAnsi"/>
        </w:rPr>
      </w:pPr>
      <w:r w:rsidRPr="003B3DDF">
        <w:rPr>
          <w:rFonts w:eastAsiaTheme="minorHAnsi"/>
        </w:rPr>
        <w:t>Which tertiary harmonisation elements do you consider a priority and why?</w:t>
      </w:r>
    </w:p>
    <w:p w14:paraId="07912D1E" w14:textId="0784B497" w:rsidR="003B3DDF" w:rsidRPr="003B3DDF" w:rsidRDefault="003B3DDF" w:rsidP="003B3DDF">
      <w:pPr>
        <w:pStyle w:val="ListBullet"/>
        <w:rPr>
          <w:rFonts w:eastAsiaTheme="minorHAnsi"/>
        </w:rPr>
      </w:pPr>
      <w:r w:rsidRPr="003B3DDF">
        <w:rPr>
          <w:rFonts w:eastAsiaTheme="minorHAnsi"/>
        </w:rPr>
        <w:t>Is there a reform agenda in your jurisdiction in relation to tertiary harmonisation?</w:t>
      </w:r>
    </w:p>
    <w:p w14:paraId="677C9676" w14:textId="0B1026CF" w:rsidR="003B3DDF" w:rsidRPr="003B3DDF" w:rsidRDefault="003B3DDF" w:rsidP="003B3DDF">
      <w:pPr>
        <w:pStyle w:val="ListBullet"/>
        <w:rPr>
          <w:rFonts w:eastAsiaTheme="minorHAnsi"/>
        </w:rPr>
      </w:pPr>
      <w:r w:rsidRPr="003B3DDF">
        <w:rPr>
          <w:rFonts w:eastAsiaTheme="minorHAnsi"/>
        </w:rPr>
        <w:t>Do you have any good examples of harmonisation initiatives that we could refer to in the report?</w:t>
      </w:r>
    </w:p>
    <w:p w14:paraId="31A52068" w14:textId="3529F81B" w:rsidR="003B3DDF" w:rsidRPr="003B3DDF" w:rsidRDefault="003B3DDF" w:rsidP="003B3DDF">
      <w:pPr>
        <w:pStyle w:val="ListBullet"/>
        <w:rPr>
          <w:rFonts w:eastAsiaTheme="minorHAnsi"/>
        </w:rPr>
      </w:pPr>
      <w:r w:rsidRPr="003B3DDF">
        <w:rPr>
          <w:rFonts w:eastAsiaTheme="minorHAnsi"/>
        </w:rPr>
        <w:t>What could be the early priorities for implementation?</w:t>
      </w:r>
    </w:p>
    <w:p w14:paraId="26D91312" w14:textId="630D63C1" w:rsidR="003B3DDF" w:rsidRPr="003B3DDF" w:rsidRDefault="003B3DDF" w:rsidP="003B3DDF">
      <w:pPr>
        <w:pStyle w:val="ListBullet"/>
        <w:rPr>
          <w:rFonts w:eastAsiaTheme="minorHAnsi"/>
        </w:rPr>
      </w:pPr>
      <w:r w:rsidRPr="003B3DDF">
        <w:rPr>
          <w:rFonts w:eastAsiaTheme="minorHAnsi"/>
        </w:rPr>
        <w:t>What do you see as the benefits and risks in tertiary harmonisation in your jurisdiction?</w:t>
      </w:r>
    </w:p>
    <w:p w14:paraId="70BD527B" w14:textId="70CB79BE" w:rsidR="003B3DDF" w:rsidRPr="003B3DDF" w:rsidRDefault="003B3DDF" w:rsidP="003B3DDF">
      <w:pPr>
        <w:pStyle w:val="ListBullet"/>
        <w:rPr>
          <w:rFonts w:eastAsiaTheme="minorHAnsi"/>
        </w:rPr>
      </w:pPr>
      <w:r w:rsidRPr="003B3DDF">
        <w:rPr>
          <w:rFonts w:eastAsiaTheme="minorHAnsi"/>
        </w:rPr>
        <w:t>What are the biggest barriers and challenges to tertiary harmonisation?</w:t>
      </w:r>
    </w:p>
    <w:p w14:paraId="2A123AB0" w14:textId="196669EF" w:rsidR="003B3DDF" w:rsidRPr="003B3DDF" w:rsidRDefault="003B3DDF" w:rsidP="003B3DDF">
      <w:pPr>
        <w:pStyle w:val="ListBullet"/>
        <w:rPr>
          <w:rFonts w:eastAsiaTheme="minorHAnsi"/>
        </w:rPr>
      </w:pPr>
      <w:r w:rsidRPr="003B3DDF">
        <w:rPr>
          <w:rFonts w:eastAsiaTheme="minorHAnsi"/>
        </w:rPr>
        <w:t>What are your views on recommendations and next steps to harmonisation?</w:t>
      </w:r>
    </w:p>
    <w:p w14:paraId="18622B1C" w14:textId="03CDFDA9" w:rsidR="003B3DDF" w:rsidRPr="003B3DDF" w:rsidRDefault="003B3DDF" w:rsidP="003B3DDF">
      <w:pPr>
        <w:pStyle w:val="ListBullet"/>
        <w:rPr>
          <w:rFonts w:eastAsiaTheme="minorHAnsi"/>
        </w:rPr>
        <w:sectPr w:rsidR="003B3DDF" w:rsidRPr="003B3DDF" w:rsidSect="003B3DDF">
          <w:headerReference w:type="even" r:id="rId49"/>
          <w:headerReference w:type="default" r:id="rId50"/>
          <w:footerReference w:type="even" r:id="rId51"/>
          <w:footerReference w:type="default" r:id="rId52"/>
          <w:headerReference w:type="first" r:id="rId53"/>
          <w:footerReference w:type="first" r:id="rId54"/>
          <w:pgSz w:w="11906" w:h="16838"/>
          <w:pgMar w:top="1276" w:right="1440" w:bottom="1134" w:left="1440" w:header="0" w:footer="539" w:gutter="0"/>
          <w:cols w:space="708"/>
          <w:titlePg/>
          <w:docGrid w:linePitch="360"/>
        </w:sectPr>
      </w:pPr>
      <w:r w:rsidRPr="003B3DDF">
        <w:rPr>
          <w:rFonts w:eastAsiaTheme="minorHAnsi"/>
        </w:rPr>
        <w:t xml:space="preserve">How could your jurisdiction work towards harmonisation with or without </w:t>
      </w:r>
      <w:r w:rsidR="00FB7F3D">
        <w:rPr>
          <w:rFonts w:eastAsiaTheme="minorHAnsi"/>
        </w:rPr>
        <w:t>Australian Government</w:t>
      </w:r>
      <w:r w:rsidRPr="003B3DDF">
        <w:rPr>
          <w:rFonts w:eastAsiaTheme="minorHAnsi"/>
        </w:rPr>
        <w:t xml:space="preserve"> support?</w:t>
      </w:r>
    </w:p>
    <w:p w14:paraId="3D183D14" w14:textId="32CF3160" w:rsidR="00FD3EE1" w:rsidRDefault="00FD3EE1" w:rsidP="00D623D8">
      <w:pPr>
        <w:pStyle w:val="Heading1unnumbered"/>
      </w:pPr>
      <w:bookmarkStart w:id="215" w:name="_Toc189060584"/>
      <w:bookmarkStart w:id="216" w:name="_Toc189060821"/>
      <w:bookmarkStart w:id="217" w:name="_Toc190980927"/>
      <w:r>
        <w:lastRenderedPageBreak/>
        <w:t>R</w:t>
      </w:r>
      <w:r w:rsidRPr="00FD3EE1">
        <w:t>eferences</w:t>
      </w:r>
      <w:bookmarkEnd w:id="215"/>
      <w:bookmarkEnd w:id="216"/>
      <w:bookmarkEnd w:id="217"/>
    </w:p>
    <w:p w14:paraId="654BF724" w14:textId="77777777" w:rsidR="00D623D8" w:rsidRPr="00D623D8" w:rsidRDefault="00D623D8" w:rsidP="00D623D8">
      <w:pPr>
        <w:pStyle w:val="BodyText"/>
        <w:rPr>
          <w:lang w:eastAsia="en-AU"/>
        </w:rPr>
      </w:pPr>
    </w:p>
    <w:p w14:paraId="68BB03F6" w14:textId="77777777" w:rsidR="00BD5991" w:rsidRDefault="00386F20">
      <w:pPr>
        <w:pStyle w:val="Bibliography"/>
        <w:ind w:left="720" w:hanging="720"/>
        <w:rPr>
          <w:noProof/>
          <w:sz w:val="24"/>
          <w:szCs w:val="24"/>
        </w:rPr>
      </w:pPr>
      <w:r>
        <w:rPr>
          <w:lang w:eastAsia="en-AU"/>
        </w:rPr>
        <w:fldChar w:fldCharType="begin"/>
      </w:r>
      <w:r>
        <w:rPr>
          <w:lang w:eastAsia="en-AU"/>
        </w:rPr>
        <w:instrText xml:space="preserve"> BIBLIOGRAPHY  \l 3081 </w:instrText>
      </w:r>
      <w:r>
        <w:rPr>
          <w:lang w:eastAsia="en-AU"/>
        </w:rPr>
        <w:fldChar w:fldCharType="separate"/>
      </w:r>
      <w:r w:rsidR="00BD5991">
        <w:rPr>
          <w:noProof/>
        </w:rPr>
        <w:t xml:space="preserve">ASQA &amp; TEQSA. (2016). </w:t>
      </w:r>
      <w:r w:rsidR="00BD5991">
        <w:rPr>
          <w:i/>
          <w:iCs/>
          <w:noProof/>
        </w:rPr>
        <w:t>ASQA and TEQSA Memorandum of Understanding.</w:t>
      </w:r>
      <w:r w:rsidR="00BD5991">
        <w:rPr>
          <w:noProof/>
        </w:rPr>
        <w:t xml:space="preserve"> Retrieved from https://www.asqa.gov.au/sites/default/files/teqsa_mou_signed_7_july_2016.pdf</w:t>
      </w:r>
    </w:p>
    <w:p w14:paraId="6993F491" w14:textId="77777777" w:rsidR="00BD5991" w:rsidRDefault="00BD5991">
      <w:pPr>
        <w:pStyle w:val="Bibliography"/>
        <w:ind w:left="720" w:hanging="720"/>
        <w:rPr>
          <w:noProof/>
        </w:rPr>
      </w:pPr>
      <w:r>
        <w:rPr>
          <w:noProof/>
        </w:rPr>
        <w:t xml:space="preserve">ASQA. (2024). </w:t>
      </w:r>
      <w:r>
        <w:rPr>
          <w:i/>
          <w:iCs/>
          <w:noProof/>
        </w:rPr>
        <w:t>VET sector regulation</w:t>
      </w:r>
      <w:r>
        <w:rPr>
          <w:noProof/>
        </w:rPr>
        <w:t>. Retrieved from Australian Skills Quality Authority: https://www.asqa.gov.au/resources/faqs/vet-sector-regulation</w:t>
      </w:r>
    </w:p>
    <w:p w14:paraId="6C1A56B5" w14:textId="77777777" w:rsidR="00BD5991" w:rsidRDefault="00BD5991">
      <w:pPr>
        <w:pStyle w:val="Bibliography"/>
        <w:ind w:left="720" w:hanging="720"/>
        <w:rPr>
          <w:noProof/>
        </w:rPr>
      </w:pPr>
      <w:r>
        <w:rPr>
          <w:noProof/>
        </w:rPr>
        <w:t xml:space="preserve">Australian and State and Territory Governments. (2023). </w:t>
      </w:r>
      <w:r>
        <w:rPr>
          <w:i/>
          <w:iCs/>
          <w:noProof/>
        </w:rPr>
        <w:t>National Skills Agreement.</w:t>
      </w:r>
      <w:r>
        <w:rPr>
          <w:noProof/>
        </w:rPr>
        <w:t xml:space="preserve"> Retrieved from Federal Financial Relations: https://federalfinancialrelations.gov.au/sites/federalfinancialrelations.gov.au/files/2023-12/national-skills-agreement.pdf</w:t>
      </w:r>
    </w:p>
    <w:p w14:paraId="497D5D82" w14:textId="77777777" w:rsidR="00BD5991" w:rsidRDefault="00BD5991">
      <w:pPr>
        <w:pStyle w:val="Bibliography"/>
        <w:ind w:left="720" w:hanging="720"/>
        <w:rPr>
          <w:noProof/>
        </w:rPr>
      </w:pPr>
      <w:r>
        <w:rPr>
          <w:noProof/>
        </w:rPr>
        <w:t xml:space="preserve">Australian and State and Territory Governments. (2024). </w:t>
      </w:r>
      <w:r>
        <w:rPr>
          <w:i/>
          <w:iCs/>
          <w:noProof/>
        </w:rPr>
        <w:t>National Skills Plan.</w:t>
      </w:r>
      <w:r>
        <w:rPr>
          <w:noProof/>
        </w:rPr>
        <w:t xml:space="preserve"> Retrieved from https://www.dewr.gov.au/download/16467/national-skills-plan/38272/national-skills-plan/pdf</w:t>
      </w:r>
    </w:p>
    <w:p w14:paraId="69791286" w14:textId="77777777" w:rsidR="00BD5991" w:rsidRDefault="00BD5991">
      <w:pPr>
        <w:pStyle w:val="Bibliography"/>
        <w:ind w:left="720" w:hanging="720"/>
        <w:rPr>
          <w:noProof/>
        </w:rPr>
      </w:pPr>
      <w:r>
        <w:rPr>
          <w:noProof/>
        </w:rPr>
        <w:t xml:space="preserve">Australian Bureau of Statistics. (2024). </w:t>
      </w:r>
      <w:r>
        <w:rPr>
          <w:i/>
          <w:iCs/>
          <w:noProof/>
        </w:rPr>
        <w:t>Education and Work, Australia</w:t>
      </w:r>
      <w:r>
        <w:rPr>
          <w:noProof/>
        </w:rPr>
        <w:t>. Retrieved from https://www.abs.gov.au/statistics/people/education/education-and-work-australia/latest-release</w:t>
      </w:r>
    </w:p>
    <w:p w14:paraId="64C897C3" w14:textId="77777777" w:rsidR="00BD5991" w:rsidRDefault="00BD5991">
      <w:pPr>
        <w:pStyle w:val="Bibliography"/>
        <w:ind w:left="720" w:hanging="720"/>
        <w:rPr>
          <w:noProof/>
        </w:rPr>
      </w:pPr>
      <w:r>
        <w:rPr>
          <w:noProof/>
        </w:rPr>
        <w:t xml:space="preserve">Banerjee, R., &amp; Wilson, J. K. (2016). Roles of education in productivity growth in Australia, 1860–1939. </w:t>
      </w:r>
      <w:r>
        <w:rPr>
          <w:i/>
          <w:iCs/>
          <w:noProof/>
        </w:rPr>
        <w:t>Economic record</w:t>
      </w:r>
      <w:r>
        <w:rPr>
          <w:noProof/>
        </w:rPr>
        <w:t>, 47-66.</w:t>
      </w:r>
    </w:p>
    <w:p w14:paraId="7E73020E" w14:textId="77777777" w:rsidR="00BD5991" w:rsidRDefault="00BD5991">
      <w:pPr>
        <w:pStyle w:val="Bibliography"/>
        <w:ind w:left="720" w:hanging="720"/>
        <w:rPr>
          <w:noProof/>
        </w:rPr>
      </w:pPr>
      <w:r>
        <w:rPr>
          <w:noProof/>
        </w:rPr>
        <w:t xml:space="preserve">Bean, M., &amp; Dawkins, P. (2021). </w:t>
      </w:r>
      <w:r>
        <w:rPr>
          <w:i/>
          <w:iCs/>
          <w:noProof/>
        </w:rPr>
        <w:t>Review of University-Industry Collaboration In Teaching and Learning.</w:t>
      </w:r>
      <w:r>
        <w:rPr>
          <w:noProof/>
        </w:rPr>
        <w:t xml:space="preserve"> Canberra: Department of Education, Skills and Employment.</w:t>
      </w:r>
    </w:p>
    <w:p w14:paraId="1D22DAB5" w14:textId="77777777" w:rsidR="00BD5991" w:rsidRDefault="00BD5991">
      <w:pPr>
        <w:pStyle w:val="Bibliography"/>
        <w:ind w:left="720" w:hanging="720"/>
        <w:rPr>
          <w:noProof/>
        </w:rPr>
      </w:pPr>
      <w:r>
        <w:rPr>
          <w:noProof/>
        </w:rPr>
        <w:t xml:space="preserve">BIS Oxford Economics Australia. (2023). </w:t>
      </w:r>
      <w:r>
        <w:rPr>
          <w:i/>
          <w:iCs/>
          <w:noProof/>
        </w:rPr>
        <w:t>Tertiary Education Qualification Demand.</w:t>
      </w:r>
      <w:r>
        <w:rPr>
          <w:noProof/>
        </w:rPr>
        <w:t xml:space="preserve"> Commonwealth Department of Education. Commonwealth Department of Education. Retrieved from https://www.education.gov.au/australian-universities-accord/resources/tertiary-education-qualifications-demand</w:t>
      </w:r>
    </w:p>
    <w:p w14:paraId="19378371" w14:textId="77777777" w:rsidR="00D96CD1" w:rsidRDefault="00BD5991">
      <w:pPr>
        <w:pStyle w:val="Bibliography"/>
        <w:ind w:left="720" w:hanging="720"/>
        <w:rPr>
          <w:noProof/>
        </w:rPr>
      </w:pPr>
      <w:r>
        <w:rPr>
          <w:noProof/>
        </w:rPr>
        <w:t xml:space="preserve">Borland, J., &amp; Smedes, M. (2024). A review of how economists thinking about human capital has evolved and the current state of research on human capital in Australia. </w:t>
      </w:r>
      <w:r>
        <w:rPr>
          <w:i/>
          <w:iCs/>
          <w:noProof/>
        </w:rPr>
        <w:t>2024 ABS/RBA Joint Conference on Human Capital.</w:t>
      </w:r>
    </w:p>
    <w:p w14:paraId="27A0C6E5" w14:textId="3691FA2E" w:rsidR="00BD5991" w:rsidRDefault="00BD5991">
      <w:pPr>
        <w:pStyle w:val="Bibliography"/>
        <w:ind w:left="720" w:hanging="720"/>
        <w:rPr>
          <w:noProof/>
        </w:rPr>
      </w:pPr>
      <w:r>
        <w:rPr>
          <w:noProof/>
        </w:rPr>
        <w:t>Chou, Y. K. (2003). he Australian Growth Experience, 1960–2000: Human Capital, R&amp;D or Steady</w:t>
      </w:r>
      <w:r>
        <w:rPr>
          <w:rFonts w:ascii="Cambria Math" w:hAnsi="Cambria Math" w:cs="Cambria Math"/>
          <w:noProof/>
        </w:rPr>
        <w:t>‐</w:t>
      </w:r>
      <w:r>
        <w:rPr>
          <w:noProof/>
        </w:rPr>
        <w:t xml:space="preserve">State Growth? </w:t>
      </w:r>
      <w:r>
        <w:rPr>
          <w:i/>
          <w:iCs/>
          <w:noProof/>
        </w:rPr>
        <w:t>Australian Economic Review</w:t>
      </w:r>
      <w:r>
        <w:rPr>
          <w:noProof/>
        </w:rPr>
        <w:t>, 397-414.</w:t>
      </w:r>
    </w:p>
    <w:p w14:paraId="5DFB03E6" w14:textId="77777777" w:rsidR="00BD5991" w:rsidRDefault="00BD5991">
      <w:pPr>
        <w:pStyle w:val="Bibliography"/>
        <w:ind w:left="720" w:hanging="720"/>
        <w:rPr>
          <w:noProof/>
        </w:rPr>
      </w:pPr>
      <w:r>
        <w:rPr>
          <w:noProof/>
        </w:rPr>
        <w:t xml:space="preserve">Davis, G. (2017). </w:t>
      </w:r>
      <w:r>
        <w:rPr>
          <w:i/>
          <w:iCs/>
          <w:noProof/>
        </w:rPr>
        <w:t>The Australian Idea of a University.</w:t>
      </w:r>
      <w:r>
        <w:rPr>
          <w:noProof/>
        </w:rPr>
        <w:t xml:space="preserve"> Melbourne: Melbourne University Press.</w:t>
      </w:r>
    </w:p>
    <w:p w14:paraId="01D17E0D" w14:textId="77777777" w:rsidR="00BD5991" w:rsidRDefault="00BD5991">
      <w:pPr>
        <w:pStyle w:val="Bibliography"/>
        <w:ind w:left="720" w:hanging="720"/>
        <w:rPr>
          <w:noProof/>
        </w:rPr>
      </w:pPr>
      <w:r>
        <w:rPr>
          <w:noProof/>
        </w:rPr>
        <w:t xml:space="preserve">Dawkins, P., Lilly, M., &amp; Pascoe, R. (2023). </w:t>
      </w:r>
      <w:r>
        <w:rPr>
          <w:i/>
          <w:iCs/>
          <w:noProof/>
        </w:rPr>
        <w:t>Rethinking Tertiary Education.</w:t>
      </w:r>
      <w:r>
        <w:rPr>
          <w:noProof/>
        </w:rPr>
        <w:t xml:space="preserve"> Melbourne: Melbourne University Press.</w:t>
      </w:r>
    </w:p>
    <w:p w14:paraId="5CDD76FD" w14:textId="77777777" w:rsidR="00BD5991" w:rsidRDefault="00BD5991">
      <w:pPr>
        <w:pStyle w:val="Bibliography"/>
        <w:ind w:left="720" w:hanging="720"/>
        <w:rPr>
          <w:noProof/>
        </w:rPr>
      </w:pPr>
      <w:r>
        <w:rPr>
          <w:noProof/>
        </w:rPr>
        <w:t xml:space="preserve">Department of Education. (2019). </w:t>
      </w:r>
      <w:r>
        <w:rPr>
          <w:i/>
          <w:iCs/>
          <w:noProof/>
        </w:rPr>
        <w:t>Australian Qualifications Framework Review.</w:t>
      </w:r>
      <w:r>
        <w:rPr>
          <w:noProof/>
        </w:rPr>
        <w:t xml:space="preserve"> Canberra: Australian Government.</w:t>
      </w:r>
    </w:p>
    <w:p w14:paraId="372A9F94" w14:textId="77777777" w:rsidR="00BD5991" w:rsidRDefault="00BD5991">
      <w:pPr>
        <w:pStyle w:val="Bibliography"/>
        <w:ind w:left="720" w:hanging="720"/>
        <w:rPr>
          <w:noProof/>
        </w:rPr>
      </w:pPr>
      <w:r>
        <w:rPr>
          <w:noProof/>
        </w:rPr>
        <w:t>Department of Education. (2023). Retrieved from Australian Universities Accord Panel Discussion Paper: https://www.education.gov.au/australian-universities-accord/resources/australian-universities-accord-panel-discussion-paper</w:t>
      </w:r>
    </w:p>
    <w:p w14:paraId="7938CF2C" w14:textId="77777777" w:rsidR="00BD5991" w:rsidRDefault="00BD5991">
      <w:pPr>
        <w:pStyle w:val="Bibliography"/>
        <w:ind w:left="720" w:hanging="720"/>
        <w:rPr>
          <w:noProof/>
        </w:rPr>
      </w:pPr>
      <w:r>
        <w:rPr>
          <w:noProof/>
        </w:rPr>
        <w:t xml:space="preserve">Department of Education. (2024). </w:t>
      </w:r>
      <w:r>
        <w:rPr>
          <w:i/>
          <w:iCs/>
          <w:noProof/>
        </w:rPr>
        <w:t>Australian Universities Accord Final Report.</w:t>
      </w:r>
      <w:r>
        <w:rPr>
          <w:noProof/>
        </w:rPr>
        <w:t xml:space="preserve"> Canberra: Commonwealth Department of Education. Retrieved September 2024, from https://www.education.gov.au/australian-universities-accord/resources/final-report</w:t>
      </w:r>
    </w:p>
    <w:p w14:paraId="1370C618" w14:textId="77777777" w:rsidR="00BD5991" w:rsidRDefault="00BD5991">
      <w:pPr>
        <w:pStyle w:val="Bibliography"/>
        <w:ind w:left="720" w:hanging="720"/>
        <w:rPr>
          <w:noProof/>
        </w:rPr>
      </w:pPr>
      <w:r>
        <w:rPr>
          <w:noProof/>
        </w:rPr>
        <w:t xml:space="preserve">Department of Education, Employment and Workplace Relations. (2008). </w:t>
      </w:r>
      <w:r>
        <w:rPr>
          <w:i/>
          <w:iCs/>
          <w:noProof/>
        </w:rPr>
        <w:t>Australian Higher Education: final report [Bradley Review].</w:t>
      </w:r>
      <w:r>
        <w:rPr>
          <w:noProof/>
        </w:rPr>
        <w:t xml:space="preserve"> Canberra: Commonwealth Department of Education, Employment and Workplace Relations. Retrieved October 2024, from https://www.voced.edu.au/content/ngv%3A32134</w:t>
      </w:r>
    </w:p>
    <w:p w14:paraId="686C4AFA" w14:textId="77777777" w:rsidR="00BD5991" w:rsidRDefault="00BD5991">
      <w:pPr>
        <w:pStyle w:val="Bibliography"/>
        <w:ind w:left="720" w:hanging="720"/>
        <w:rPr>
          <w:noProof/>
        </w:rPr>
      </w:pPr>
      <w:r>
        <w:rPr>
          <w:noProof/>
        </w:rPr>
        <w:t xml:space="preserve">Department of Employment and Workplace Relations. (2024). </w:t>
      </w:r>
      <w:r>
        <w:rPr>
          <w:i/>
          <w:iCs/>
          <w:noProof/>
        </w:rPr>
        <w:t>VET Qualification Reform</w:t>
      </w:r>
      <w:r>
        <w:rPr>
          <w:noProof/>
        </w:rPr>
        <w:t>. Retrieved from Department of Employment and Workplace Relations: https://www.dewr.gov.au/skills-reform/vet-qualification-reform</w:t>
      </w:r>
    </w:p>
    <w:p w14:paraId="1D8544DF" w14:textId="77777777" w:rsidR="00BD5991" w:rsidRDefault="00BD5991">
      <w:pPr>
        <w:pStyle w:val="Bibliography"/>
        <w:ind w:left="720" w:hanging="720"/>
        <w:rPr>
          <w:noProof/>
        </w:rPr>
      </w:pPr>
      <w:r>
        <w:rPr>
          <w:noProof/>
        </w:rPr>
        <w:lastRenderedPageBreak/>
        <w:t xml:space="preserve">Department of Treasury. (2023). </w:t>
      </w:r>
      <w:r>
        <w:rPr>
          <w:i/>
          <w:iCs/>
          <w:noProof/>
        </w:rPr>
        <w:t>Working Future: The Australian Government’s White Paper on Jobs and Opportunities.</w:t>
      </w:r>
      <w:r>
        <w:rPr>
          <w:noProof/>
        </w:rPr>
        <w:t xml:space="preserve"> Canberra: Commonwealth Department of Treasury. Retrieved September 2024, from https://treasury.gov.au/employment-whitepaper/final-report</w:t>
      </w:r>
    </w:p>
    <w:p w14:paraId="1CAFCFA5" w14:textId="77777777" w:rsidR="00BD5991" w:rsidRDefault="00BD5991">
      <w:pPr>
        <w:pStyle w:val="Bibliography"/>
        <w:ind w:left="720" w:hanging="720"/>
        <w:rPr>
          <w:noProof/>
        </w:rPr>
      </w:pPr>
      <w:r>
        <w:rPr>
          <w:noProof/>
        </w:rPr>
        <w:t xml:space="preserve">Hodge, S., &amp; Knight, E. (2021). </w:t>
      </w:r>
      <w:r>
        <w:rPr>
          <w:i/>
          <w:iCs/>
          <w:noProof/>
        </w:rPr>
        <w:t>The best of both worlds? Integrating VET and higher education.</w:t>
      </w:r>
      <w:r>
        <w:rPr>
          <w:noProof/>
        </w:rPr>
        <w:t xml:space="preserve"> Adelaide: National Centre for Vocational Education Research.</w:t>
      </w:r>
    </w:p>
    <w:p w14:paraId="1FBD9C00" w14:textId="77777777" w:rsidR="00BD5991" w:rsidRDefault="00BD5991">
      <w:pPr>
        <w:pStyle w:val="Bibliography"/>
        <w:ind w:left="720" w:hanging="720"/>
        <w:rPr>
          <w:noProof/>
        </w:rPr>
      </w:pPr>
      <w:r>
        <w:rPr>
          <w:noProof/>
        </w:rPr>
        <w:t xml:space="preserve">House of Representatives Standing Committee on Employment, Education and Training. (2024). </w:t>
      </w:r>
      <w:r>
        <w:rPr>
          <w:i/>
          <w:iCs/>
          <w:noProof/>
        </w:rPr>
        <w:t>Shared vision, equal pathways: Inquiry into the perceptions and status of vocational education and training.</w:t>
      </w:r>
      <w:r>
        <w:rPr>
          <w:noProof/>
        </w:rPr>
        <w:t xml:space="preserve"> Parliament of Australia.</w:t>
      </w:r>
    </w:p>
    <w:p w14:paraId="4816622C" w14:textId="77777777" w:rsidR="00BD5991" w:rsidRDefault="00BD5991">
      <w:pPr>
        <w:pStyle w:val="Bibliography"/>
        <w:ind w:left="720" w:hanging="720"/>
        <w:rPr>
          <w:noProof/>
        </w:rPr>
      </w:pPr>
      <w:r>
        <w:rPr>
          <w:noProof/>
        </w:rPr>
        <w:t xml:space="preserve">Hurley, P., &amp; Pilcher, S. (2023). One system, two sectors: worlds apart. In P. Dawkins, M. Lilly, &amp; R. Pascoe, </w:t>
      </w:r>
      <w:r>
        <w:rPr>
          <w:i/>
          <w:iCs/>
          <w:noProof/>
        </w:rPr>
        <w:t>Rethinking Tertiary Education.</w:t>
      </w:r>
      <w:r>
        <w:rPr>
          <w:noProof/>
        </w:rPr>
        <w:t xml:space="preserve"> Melbourne: Melbourne University Press.</w:t>
      </w:r>
    </w:p>
    <w:p w14:paraId="1DC11857" w14:textId="77777777" w:rsidR="00BD5991" w:rsidRDefault="00BD5991">
      <w:pPr>
        <w:pStyle w:val="Bibliography"/>
        <w:ind w:left="720" w:hanging="720"/>
        <w:rPr>
          <w:noProof/>
        </w:rPr>
      </w:pPr>
      <w:r>
        <w:rPr>
          <w:noProof/>
        </w:rPr>
        <w:t xml:space="preserve">Jobs and Skills Australia. (2024). </w:t>
      </w:r>
      <w:r>
        <w:rPr>
          <w:i/>
          <w:iCs/>
          <w:noProof/>
        </w:rPr>
        <w:t>Emerging Roles Report.</w:t>
      </w:r>
      <w:r>
        <w:rPr>
          <w:noProof/>
        </w:rPr>
        <w:t xml:space="preserve"> Canberra.</w:t>
      </w:r>
    </w:p>
    <w:p w14:paraId="13CF79BB" w14:textId="77777777" w:rsidR="00BD5991" w:rsidRDefault="00BD5991">
      <w:pPr>
        <w:pStyle w:val="Bibliography"/>
        <w:ind w:left="720" w:hanging="720"/>
        <w:rPr>
          <w:noProof/>
        </w:rPr>
      </w:pPr>
      <w:r>
        <w:rPr>
          <w:noProof/>
        </w:rPr>
        <w:t xml:space="preserve">Jobs and Skills Australia. (2024). </w:t>
      </w:r>
      <w:r>
        <w:rPr>
          <w:i/>
          <w:iCs/>
          <w:noProof/>
        </w:rPr>
        <w:t>Towards a National Jobs and Skills Roadmap: Annual Jobs and Skills Report 2024.</w:t>
      </w:r>
      <w:r>
        <w:rPr>
          <w:noProof/>
        </w:rPr>
        <w:t xml:space="preserve"> Jobs and Skills Australia. Retrieved August 2024, from https://www.jobsandskills.gov.au/publications/towards-national-jobs-and-skills-roadmap</w:t>
      </w:r>
    </w:p>
    <w:p w14:paraId="197DB049" w14:textId="77777777" w:rsidR="00BD5991" w:rsidRDefault="00BD5991">
      <w:pPr>
        <w:pStyle w:val="Bibliography"/>
        <w:ind w:left="720" w:hanging="720"/>
        <w:rPr>
          <w:noProof/>
        </w:rPr>
      </w:pPr>
      <w:r>
        <w:rPr>
          <w:noProof/>
        </w:rPr>
        <w:t xml:space="preserve">Jobs and Skills Australia. (2024). </w:t>
      </w:r>
      <w:r>
        <w:rPr>
          <w:i/>
          <w:iCs/>
          <w:noProof/>
        </w:rPr>
        <w:t>VET Workforce Study.</w:t>
      </w:r>
      <w:r>
        <w:rPr>
          <w:noProof/>
        </w:rPr>
        <w:t xml:space="preserve"> Canberra.</w:t>
      </w:r>
    </w:p>
    <w:p w14:paraId="05E0A096" w14:textId="77777777" w:rsidR="00BD5991" w:rsidRDefault="00BD5991">
      <w:pPr>
        <w:pStyle w:val="Bibliography"/>
        <w:ind w:left="720" w:hanging="720"/>
        <w:rPr>
          <w:noProof/>
        </w:rPr>
      </w:pPr>
      <w:r>
        <w:rPr>
          <w:noProof/>
        </w:rPr>
        <w:t xml:space="preserve">Leigh, A. (2024). Returns to Education in Australia 2001–2022. </w:t>
      </w:r>
      <w:r>
        <w:rPr>
          <w:i/>
          <w:iCs/>
          <w:noProof/>
        </w:rPr>
        <w:t>Economic Papers: A journal of applied economics and policy</w:t>
      </w:r>
      <w:r>
        <w:rPr>
          <w:noProof/>
        </w:rPr>
        <w:t>.</w:t>
      </w:r>
    </w:p>
    <w:p w14:paraId="157D5996" w14:textId="77777777" w:rsidR="00BD5991" w:rsidRDefault="00BD5991">
      <w:pPr>
        <w:pStyle w:val="Bibliography"/>
        <w:ind w:left="720" w:hanging="720"/>
        <w:rPr>
          <w:noProof/>
        </w:rPr>
      </w:pPr>
      <w:r>
        <w:rPr>
          <w:noProof/>
        </w:rPr>
        <w:t xml:space="preserve">SWMC. (2024). </w:t>
      </w:r>
      <w:r>
        <w:rPr>
          <w:i/>
          <w:iCs/>
          <w:noProof/>
        </w:rPr>
        <w:t>Skills and Workforce Ministerial Council Communique - September 2024.</w:t>
      </w:r>
      <w:r>
        <w:rPr>
          <w:noProof/>
        </w:rPr>
        <w:t xml:space="preserve"> Retrieved from https://www.dewr.gov.au/download/16465/skills-and-workforce-ministerial-council-communique-20-september-2024/38104/document/pdf</w:t>
      </w:r>
    </w:p>
    <w:p w14:paraId="04E280B9" w14:textId="77777777" w:rsidR="00BD5991" w:rsidRDefault="00BD5991">
      <w:pPr>
        <w:pStyle w:val="Bibliography"/>
        <w:ind w:left="720" w:hanging="720"/>
        <w:rPr>
          <w:noProof/>
        </w:rPr>
      </w:pPr>
      <w:r>
        <w:rPr>
          <w:noProof/>
        </w:rPr>
        <w:t xml:space="preserve">TEQSA. (2023). </w:t>
      </w:r>
      <w:r>
        <w:rPr>
          <w:i/>
          <w:iCs/>
          <w:noProof/>
        </w:rPr>
        <w:t>TEQSA submission to the Australian Universities Accord Panel.</w:t>
      </w:r>
      <w:r>
        <w:rPr>
          <w:noProof/>
        </w:rPr>
        <w:t xml:space="preserve"> Retrieved from https://www.education.gov.au/australian-universities-accord/consultations/australian-universities-accord-panel-discussion-paper-consultation/submission/16273</w:t>
      </w:r>
    </w:p>
    <w:p w14:paraId="0070F9A6" w14:textId="77777777" w:rsidR="00BD5991" w:rsidRDefault="00BD5991">
      <w:pPr>
        <w:pStyle w:val="Bibliography"/>
        <w:ind w:left="720" w:hanging="720"/>
        <w:rPr>
          <w:noProof/>
        </w:rPr>
      </w:pPr>
      <w:r>
        <w:rPr>
          <w:noProof/>
        </w:rPr>
        <w:t xml:space="preserve">TEQSA. (2024). </w:t>
      </w:r>
      <w:r>
        <w:rPr>
          <w:i/>
          <w:iCs/>
          <w:noProof/>
        </w:rPr>
        <w:t>Our approach to quality assurance and regulation</w:t>
      </w:r>
      <w:r>
        <w:rPr>
          <w:noProof/>
        </w:rPr>
        <w:t>. Retrieved from Tertiary Education Quality and Standards Agency: https://www.teqsa.gov.au/how-we-regulate/our-approach-quality-assurance-and-regulation#:~:text=TEQSA%20is%20the%20national%20regulator,standing%20of%20Australian%20higher%20education.</w:t>
      </w:r>
    </w:p>
    <w:p w14:paraId="092610E0" w14:textId="77777777" w:rsidR="00BD5991" w:rsidRDefault="00BD5991">
      <w:pPr>
        <w:pStyle w:val="Bibliography"/>
        <w:ind w:left="720" w:hanging="720"/>
        <w:rPr>
          <w:noProof/>
        </w:rPr>
      </w:pPr>
      <w:r>
        <w:rPr>
          <w:noProof/>
        </w:rPr>
        <w:t xml:space="preserve">World Economic Forum. (2025). </w:t>
      </w:r>
      <w:r>
        <w:rPr>
          <w:i/>
          <w:iCs/>
          <w:noProof/>
        </w:rPr>
        <w:t>Future of Jobs Report 2025.</w:t>
      </w:r>
      <w:r>
        <w:rPr>
          <w:noProof/>
        </w:rPr>
        <w:t xml:space="preserve"> Geneva: World Economic Forum.</w:t>
      </w:r>
    </w:p>
    <w:p w14:paraId="7CA443E8" w14:textId="7A731997" w:rsidR="00354CAA" w:rsidRDefault="00386F20" w:rsidP="00F8491D">
      <w:pPr>
        <w:pStyle w:val="BodyText"/>
        <w:rPr>
          <w:lang w:eastAsia="en-AU"/>
        </w:rPr>
      </w:pPr>
      <w:r>
        <w:rPr>
          <w:lang w:eastAsia="en-AU"/>
        </w:rPr>
        <w:fldChar w:fldCharType="end"/>
      </w:r>
      <w:r w:rsidR="00354CAA">
        <w:rPr>
          <w:lang w:eastAsia="en-AU"/>
        </w:rPr>
        <w:br w:type="page"/>
      </w:r>
    </w:p>
    <w:p w14:paraId="058BD282" w14:textId="04836647" w:rsidR="00FD3EE1" w:rsidRPr="00FD3EE1" w:rsidRDefault="00354CAA" w:rsidP="00FD3EE1">
      <w:pPr>
        <w:pStyle w:val="BodyText"/>
        <w:rPr>
          <w:lang w:eastAsia="en-AU"/>
        </w:rPr>
      </w:pPr>
      <w:r>
        <w:rPr>
          <w:noProof/>
          <w:lang w:eastAsia="en-AU"/>
        </w:rPr>
        <w:lastRenderedPageBreak/>
        <w:drawing>
          <wp:anchor distT="0" distB="0" distL="114300" distR="114300" simplePos="0" relativeHeight="251658240" behindDoc="0" locked="0" layoutInCell="1" allowOverlap="1" wp14:anchorId="3FF75755" wp14:editId="7B473263">
            <wp:simplePos x="0" y="0"/>
            <wp:positionH relativeFrom="page">
              <wp:align>left</wp:align>
            </wp:positionH>
            <wp:positionV relativeFrom="page">
              <wp:align>top</wp:align>
            </wp:positionV>
            <wp:extent cx="7560000" cy="10692000"/>
            <wp:effectExtent l="0" t="0" r="3175" b="0"/>
            <wp:wrapNone/>
            <wp:docPr id="110038566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85668" name="Picture 13">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FD3EE1" w:rsidRPr="00FD3EE1" w:rsidSect="00DB587F">
      <w:headerReference w:type="even" r:id="rId56"/>
      <w:headerReference w:type="default" r:id="rId57"/>
      <w:headerReference w:type="first" r:id="rId58"/>
      <w:footerReference w:type="first" r:id="rId59"/>
      <w:pgSz w:w="11907" w:h="16839" w:code="9"/>
      <w:pgMar w:top="1440" w:right="1270" w:bottom="1440" w:left="12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99C15" w14:textId="77777777" w:rsidR="0080172C" w:rsidRDefault="0080172C" w:rsidP="00E12845">
      <w:pPr>
        <w:spacing w:before="0" w:after="0"/>
      </w:pPr>
      <w:r>
        <w:separator/>
      </w:r>
    </w:p>
  </w:endnote>
  <w:endnote w:type="continuationSeparator" w:id="0">
    <w:p w14:paraId="138B65C0" w14:textId="77777777" w:rsidR="0080172C" w:rsidRDefault="0080172C" w:rsidP="00E12845">
      <w:pPr>
        <w:spacing w:before="0" w:after="0"/>
      </w:pPr>
      <w:r>
        <w:continuationSeparator/>
      </w:r>
    </w:p>
  </w:endnote>
  <w:endnote w:type="continuationNotice" w:id="1">
    <w:p w14:paraId="3F75D55A" w14:textId="77777777" w:rsidR="0080172C" w:rsidRDefault="0080172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2709672"/>
      <w:docPartObj>
        <w:docPartGallery w:val="Page Numbers (Bottom of Page)"/>
        <w:docPartUnique/>
      </w:docPartObj>
    </w:sdtPr>
    <w:sdtEndPr>
      <w:rPr>
        <w:noProof/>
      </w:rPr>
    </w:sdtEndPr>
    <w:sdtContent>
      <w:p w14:paraId="6D23C3D1" w14:textId="5D93A82D" w:rsidR="00576BAF" w:rsidRDefault="00943508">
        <w:pPr>
          <w:pStyle w:val="Footer"/>
        </w:pPr>
        <w:r>
          <w:fldChar w:fldCharType="begin"/>
        </w:r>
        <w:r>
          <w:instrText xml:space="preserve"> PAGE   \* MERGEFORMAT </w:instrText>
        </w:r>
        <w:r>
          <w:fldChar w:fldCharType="separate"/>
        </w:r>
        <w:r>
          <w:rPr>
            <w:noProof/>
          </w:rPr>
          <w:t>2</w:t>
        </w:r>
        <w:r>
          <w:rPr>
            <w:noProof/>
          </w:rPr>
          <w:fldChar w:fldCharType="end"/>
        </w:r>
        <w:r w:rsidR="00454B02">
          <w:rPr>
            <w:noProof/>
          </w:rPr>
          <w:t xml:space="preserve"> | </w:t>
        </w:r>
        <w:r w:rsidR="00454B02" w:rsidRPr="00835A0D">
          <w:t>Jobs and Skills Australia –</w:t>
        </w:r>
        <w:r w:rsidR="00454B02">
          <w:t xml:space="preserve"> </w:t>
        </w:r>
        <w:fldSimple w:instr="STYLEREF  Title  \* MERGEFORMAT">
          <w:r w:rsidR="004D7389">
            <w:rPr>
              <w:noProof/>
            </w:rPr>
            <w:t>Opportunity and Productivity:</w:t>
          </w:r>
        </w:fldSimple>
        <w:r w:rsidR="002D1DA3">
          <w:t xml:space="preserve"> </w:t>
        </w:r>
        <w:r w:rsidR="00DC1B54">
          <w:t xml:space="preserve">Towards a Tertiary Harmonisation </w:t>
        </w:r>
        <w:r w:rsidR="00E16DF4">
          <w:t>Roadmap</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269253"/>
      <w:docPartObj>
        <w:docPartGallery w:val="Page Numbers (Bottom of Page)"/>
        <w:docPartUnique/>
      </w:docPartObj>
    </w:sdtPr>
    <w:sdtEndPr>
      <w:rPr>
        <w:noProof/>
      </w:rPr>
    </w:sdtEndPr>
    <w:sdtContent>
      <w:p w14:paraId="6E1D320F" w14:textId="2F45D144" w:rsidR="001126F1" w:rsidRDefault="001126F1">
        <w:pPr>
          <w:pStyle w:val="Footer"/>
        </w:pPr>
        <w:r>
          <w:fldChar w:fldCharType="begin"/>
        </w:r>
        <w:r>
          <w:instrText xml:space="preserve"> PAGE   \* MERGEFORMAT </w:instrText>
        </w:r>
        <w:r>
          <w:fldChar w:fldCharType="separate"/>
        </w:r>
        <w:r>
          <w:t>18</w:t>
        </w:r>
        <w:r>
          <w:rPr>
            <w:noProof/>
          </w:rPr>
          <w:fldChar w:fldCharType="end"/>
        </w:r>
        <w:r>
          <w:rPr>
            <w:noProof/>
          </w:rPr>
          <w:t xml:space="preserve"> | </w:t>
        </w:r>
        <w:r w:rsidRPr="00835A0D">
          <w:t>Jobs and Skills Australia –</w:t>
        </w:r>
        <w:r>
          <w:t xml:space="preserve"> </w:t>
        </w:r>
        <w:fldSimple w:instr="STYLEREF  Title  \* MERGEFORMAT">
          <w:r w:rsidR="004D7389">
            <w:rPr>
              <w:noProof/>
            </w:rPr>
            <w:t>Opportunity and Productivity:</w:t>
          </w:r>
        </w:fldSimple>
        <w:r>
          <w:t xml:space="preserve"> Towards a Tertiary Harmonisation Roadmap</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0754B" w14:textId="240AE43E" w:rsidR="00CC684B" w:rsidRDefault="00CC684B">
    <w:pPr>
      <w:pStyle w:val="Footer"/>
    </w:pPr>
  </w:p>
  <w:p w14:paraId="0101BC3D" w14:textId="27A3B4DB" w:rsidR="003E03B5" w:rsidRDefault="003E03B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849467"/>
      <w:docPartObj>
        <w:docPartGallery w:val="Page Numbers (Bottom of Page)"/>
        <w:docPartUnique/>
      </w:docPartObj>
    </w:sdtPr>
    <w:sdtEndPr>
      <w:rPr>
        <w:noProof/>
      </w:rPr>
    </w:sdtEndPr>
    <w:sdtContent>
      <w:p w14:paraId="30A15472" w14:textId="0FA3B7CB" w:rsidR="006D48C7" w:rsidRPr="00576BAF" w:rsidRDefault="006D48C7" w:rsidP="00943508">
        <w:pPr>
          <w:pStyle w:val="Footer"/>
          <w:jc w:val="right"/>
        </w:pPr>
        <w:r w:rsidRPr="00835A0D">
          <w:t>Jobs and Skills Australia –</w:t>
        </w:r>
        <w:r>
          <w:t xml:space="preserve"> </w:t>
        </w:r>
        <w:fldSimple w:instr=" STYLEREF  Title  \* MERGEFORMAT ">
          <w:r w:rsidR="004D7389">
            <w:rPr>
              <w:noProof/>
            </w:rPr>
            <w:t>Opportunity and Productivity:</w:t>
          </w:r>
        </w:fldSimple>
        <w:r>
          <w:t xml:space="preserve"> | </w:t>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D80EC" w14:textId="3985D781" w:rsidR="00576BAF" w:rsidRPr="00576BAF" w:rsidRDefault="00000000" w:rsidP="00576BAF">
    <w:pPr>
      <w:pStyle w:val="Footer"/>
    </w:pPr>
    <w:sdt>
      <w:sdtPr>
        <w:id w:val="625434831"/>
        <w:docPartObj>
          <w:docPartGallery w:val="Page Numbers (Bottom of Page)"/>
          <w:docPartUnique/>
        </w:docPartObj>
      </w:sdtPr>
      <w:sdtEndPr>
        <w:rPr>
          <w:noProof/>
        </w:rPr>
      </w:sdtEndPr>
      <w:sdtContent>
        <w:r w:rsidR="00943508">
          <w:fldChar w:fldCharType="begin"/>
        </w:r>
        <w:r w:rsidR="00943508">
          <w:instrText xml:space="preserve"> PAGE   \* MERGEFORMAT </w:instrText>
        </w:r>
        <w:r w:rsidR="00943508">
          <w:fldChar w:fldCharType="separate"/>
        </w:r>
        <w:r w:rsidR="00943508">
          <w:rPr>
            <w:noProof/>
          </w:rPr>
          <w:t>2</w:t>
        </w:r>
        <w:r w:rsidR="00943508">
          <w:rPr>
            <w:noProof/>
          </w:rPr>
          <w:fldChar w:fldCharType="end"/>
        </w:r>
        <w:r w:rsidR="00454B02">
          <w:rPr>
            <w:noProof/>
          </w:rPr>
          <w:t xml:space="preserve"> | </w:t>
        </w:r>
        <w:r w:rsidR="00454B02" w:rsidRPr="00835A0D">
          <w:t>Jobs and Skills Australia –</w:t>
        </w:r>
        <w:r w:rsidR="00454B02">
          <w:t xml:space="preserve"> </w:t>
        </w:r>
        <w:fldSimple w:instr="STYLEREF  Title  \* MERGEFORMAT">
          <w:r w:rsidR="004D7389" w:rsidRPr="004D7389">
            <w:rPr>
              <w:b/>
              <w:bCs/>
              <w:noProof/>
              <w:lang w:val="en-US"/>
            </w:rPr>
            <w:t>Opportunity and Productivity:</w:t>
          </w:r>
        </w:fldSimple>
        <w:r w:rsidR="00011EEE">
          <w:rPr>
            <w:noProof/>
          </w:rPr>
          <w:t xml:space="preserve"> </w:t>
        </w:r>
      </w:sdtContent>
    </w:sdt>
    <w:r w:rsidR="00572F59">
      <w:rPr>
        <w:noProof/>
      </w:rPr>
      <w:t>Towards a Tertiary Harmonisation Roadmap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4B42" w14:textId="77777777" w:rsidR="003B3DDF" w:rsidRDefault="003B3D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6430293"/>
      <w:docPartObj>
        <w:docPartGallery w:val="Page Numbers (Bottom of Page)"/>
        <w:docPartUnique/>
      </w:docPartObj>
    </w:sdtPr>
    <w:sdtEndPr>
      <w:rPr>
        <w:noProof/>
      </w:rPr>
    </w:sdtEndPr>
    <w:sdtContent>
      <w:p w14:paraId="46903D91" w14:textId="7507FC1A" w:rsidR="003B3DDF" w:rsidRPr="00991526" w:rsidRDefault="003B3DDF">
        <w:pPr>
          <w:pStyle w:val="Footer"/>
        </w:pPr>
        <w:r w:rsidRPr="00991526">
          <w:t xml:space="preserve">Jobs and Skills Australia – </w:t>
        </w:r>
        <w:r w:rsidR="009E1F3C">
          <w:t>Opportunity and Productivity:</w:t>
        </w:r>
        <w:r>
          <w:tab/>
        </w:r>
        <w:r w:rsidRPr="00991526">
          <w:fldChar w:fldCharType="begin"/>
        </w:r>
        <w:r w:rsidRPr="00991526">
          <w:instrText xml:space="preserve"> PAGE   \* MERGEFORMAT </w:instrText>
        </w:r>
        <w:r w:rsidRPr="00991526">
          <w:fldChar w:fldCharType="separate"/>
        </w:r>
        <w:r w:rsidRPr="00991526">
          <w:rPr>
            <w:noProof/>
          </w:rPr>
          <w:t>2</w:t>
        </w:r>
        <w:r w:rsidRPr="00991526">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816897"/>
      <w:docPartObj>
        <w:docPartGallery w:val="Page Numbers (Bottom of Page)"/>
        <w:docPartUnique/>
      </w:docPartObj>
    </w:sdtPr>
    <w:sdtEndPr>
      <w:rPr>
        <w:noProof/>
      </w:rPr>
    </w:sdtEndPr>
    <w:sdtContent>
      <w:p w14:paraId="0A6044AD" w14:textId="3C337AAC" w:rsidR="003B3DDF" w:rsidRDefault="003B3DDF">
        <w:pPr>
          <w:pStyle w:val="Footer"/>
          <w:tabs>
            <w:tab w:val="left" w:pos="8925"/>
          </w:tabs>
        </w:pPr>
        <w:r w:rsidRPr="00991526">
          <w:t xml:space="preserve">Jobs and Skills Australia – </w:t>
        </w:r>
        <w:r w:rsidR="009E1F3C">
          <w:t>Opportunity and Productivity:</w:t>
        </w:r>
        <w:r>
          <w:tab/>
        </w:r>
        <w:r>
          <w:tab/>
        </w:r>
        <w:r w:rsidRPr="00991526">
          <w:fldChar w:fldCharType="begin"/>
        </w:r>
        <w:r w:rsidRPr="00991526">
          <w:instrText xml:space="preserve"> PAGE   \* MERGEFORMAT </w:instrText>
        </w:r>
        <w:r w:rsidRPr="00991526">
          <w:fldChar w:fldCharType="separate"/>
        </w:r>
        <w:r>
          <w:t>1</w:t>
        </w:r>
        <w:r w:rsidRPr="00991526">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AEC93"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p w14:paraId="6A7CFD54" w14:textId="77777777" w:rsidR="006C504F" w:rsidRDefault="006C50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0E0CD" w14:textId="77777777" w:rsidR="0080172C" w:rsidRDefault="0080172C" w:rsidP="00E12845">
      <w:pPr>
        <w:spacing w:before="0" w:after="0"/>
      </w:pPr>
      <w:r>
        <w:separator/>
      </w:r>
    </w:p>
  </w:footnote>
  <w:footnote w:type="continuationSeparator" w:id="0">
    <w:p w14:paraId="00FB68D9" w14:textId="77777777" w:rsidR="0080172C" w:rsidRDefault="0080172C" w:rsidP="00E12845">
      <w:pPr>
        <w:spacing w:before="0" w:after="0"/>
      </w:pPr>
      <w:r>
        <w:continuationSeparator/>
      </w:r>
    </w:p>
  </w:footnote>
  <w:footnote w:type="continuationNotice" w:id="1">
    <w:p w14:paraId="29B7EBBD" w14:textId="77777777" w:rsidR="0080172C" w:rsidRDefault="0080172C">
      <w:pPr>
        <w:spacing w:before="0" w:after="0"/>
      </w:pPr>
    </w:p>
  </w:footnote>
  <w:footnote w:id="2">
    <w:p w14:paraId="60B0755E" w14:textId="77777777" w:rsidR="00981B1A" w:rsidRDefault="00981B1A" w:rsidP="00981B1A">
      <w:pPr>
        <w:pStyle w:val="FootnoteText"/>
      </w:pPr>
      <w:r>
        <w:rPr>
          <w:rStyle w:val="FootnoteReference"/>
        </w:rPr>
        <w:footnoteRef/>
      </w:r>
      <w:r>
        <w:t xml:space="preserve"> JSA is currently undertaking work to </w:t>
      </w:r>
      <w:r w:rsidRPr="00D400B6">
        <w:t>establish a common definition of ‘skill’ that can lead to a common language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70CF0" w14:textId="10CBB86C" w:rsidR="00CC684B" w:rsidRDefault="00CC684B">
    <w:pPr>
      <w:pStyle w:val="Header"/>
    </w:pPr>
  </w:p>
  <w:p w14:paraId="2822A92C" w14:textId="4E5DF40C" w:rsidR="003E03B5" w:rsidRDefault="003E03B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59DC8" w14:textId="785F9180" w:rsidR="003B3DDF" w:rsidRDefault="003B3D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125DC" w14:textId="680CD423" w:rsidR="00EB0E81" w:rsidRDefault="00EB0E8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C3F27" w14:textId="4F33235F" w:rsidR="00EB0E81" w:rsidRDefault="00EB0E8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BD4D3" w14:textId="459E6170" w:rsidR="00EB0E81" w:rsidRDefault="00EB0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C8F82" w14:textId="25B41451" w:rsidR="00EB0E81" w:rsidRDefault="00EB0E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0673C" w14:textId="087C3DAC" w:rsidR="00EB0E81" w:rsidRDefault="00EB0E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B20B3" w14:textId="63BEB1B3" w:rsidR="00EB0E81" w:rsidRDefault="00EB0E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2360" w14:textId="141B2484" w:rsidR="00EB0E81" w:rsidRDefault="00EB0E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0979" w14:textId="70549831" w:rsidR="00EB0E81" w:rsidRDefault="00EB0E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47F88" w14:textId="2156A596" w:rsidR="00BC1B34" w:rsidRDefault="00BC1B3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9615" w14:textId="055DC587" w:rsidR="003B3DDF" w:rsidRDefault="003B3D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A4D07" w14:textId="796F806A" w:rsidR="003B3DDF" w:rsidRDefault="003B3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50B2"/>
    <w:multiLevelType w:val="multilevel"/>
    <w:tmpl w:val="9F703E2E"/>
    <w:numStyleLink w:val="ListBulletmaster"/>
  </w:abstractNum>
  <w:abstractNum w:abstractNumId="1" w15:restartNumberingAfterBreak="0">
    <w:nsid w:val="0DE5458F"/>
    <w:multiLevelType w:val="singleLevel"/>
    <w:tmpl w:val="0C090003"/>
    <w:lvl w:ilvl="0">
      <w:start w:val="1"/>
      <w:numFmt w:val="bullet"/>
      <w:pStyle w:val="ListBullet3"/>
      <w:lvlText w:val="o"/>
      <w:lvlJc w:val="left"/>
      <w:pPr>
        <w:ind w:left="717" w:hanging="360"/>
      </w:pPr>
      <w:rPr>
        <w:rFonts w:ascii="Courier New" w:hAnsi="Courier New" w:cs="Courier New" w:hint="default"/>
      </w:rPr>
    </w:lvl>
  </w:abstractNum>
  <w:abstractNum w:abstractNumId="2"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913431"/>
    <w:multiLevelType w:val="multilevel"/>
    <w:tmpl w:val="28F46D40"/>
    <w:numStyleLink w:val="ListNumbermaster"/>
  </w:abstractNum>
  <w:abstractNum w:abstractNumId="4" w15:restartNumberingAfterBreak="0">
    <w:nsid w:val="1A753D77"/>
    <w:multiLevelType w:val="multilevel"/>
    <w:tmpl w:val="113457F2"/>
    <w:styleLink w:val="Headingsmaster"/>
    <w:lvl w:ilvl="0">
      <w:start w:val="1"/>
      <w:numFmt w:val="decimal"/>
      <w:pStyle w:val="Heading1"/>
      <w:lvlText w:val="Chapter %1"/>
      <w:lvlJc w:val="left"/>
      <w:pPr>
        <w:ind w:left="0" w:firstLine="0"/>
      </w:pPr>
      <w:rPr>
        <w:rFonts w:hint="default"/>
      </w:rPr>
    </w:lvl>
    <w:lvl w:ilvl="1">
      <w:start w:val="1"/>
      <w:numFmt w:val="decimal"/>
      <w:pStyle w:val="Heading2"/>
      <w:lvlText w:val="%1.%2"/>
      <w:lvlJc w:val="left"/>
      <w:pPr>
        <w:ind w:left="1072" w:hanging="1072"/>
      </w:pPr>
      <w:rPr>
        <w:rFonts w:hint="default"/>
      </w:rPr>
    </w:lvl>
    <w:lvl w:ilvl="2">
      <w:start w:val="1"/>
      <w:numFmt w:val="decimal"/>
      <w:pStyle w:val="Heading3"/>
      <w:lvlText w:val="%1.%2.%3"/>
      <w:lvlJc w:val="left"/>
      <w:pPr>
        <w:ind w:left="1072" w:hanging="1072"/>
      </w:pPr>
      <w:rPr>
        <w:rFonts w:hint="default"/>
      </w:rPr>
    </w:lvl>
    <w:lvl w:ilvl="3">
      <w:start w:val="1"/>
      <w:numFmt w:val="decimal"/>
      <w:pStyle w:val="Heading4"/>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72143A"/>
    <w:multiLevelType w:val="multilevel"/>
    <w:tmpl w:val="DAD6D4B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7" w:hanging="360"/>
      </w:pPr>
      <w:rPr>
        <w:rFonts w:ascii="Symbol" w:hAnsi="Symbol" w:hint="default"/>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695D78"/>
    <w:multiLevelType w:val="multilevel"/>
    <w:tmpl w:val="EAA2F742"/>
    <w:numStyleLink w:val="TableListNumbermaster"/>
  </w:abstractNum>
  <w:abstractNum w:abstractNumId="8" w15:restartNumberingAfterBreak="0">
    <w:nsid w:val="242839DB"/>
    <w:multiLevelType w:val="multilevel"/>
    <w:tmpl w:val="A1224394"/>
    <w:styleLink w:val="ListLegalmaster"/>
    <w:lvl w:ilvl="0">
      <w:start w:val="1"/>
      <w:numFmt w:val="decimal"/>
      <w:lvlText w:val="%1."/>
      <w:lvlJc w:val="left"/>
      <w:pPr>
        <w:ind w:left="357" w:hanging="357"/>
      </w:pPr>
      <w:rPr>
        <w:rFonts w:ascii="Arial" w:hAnsi="Arial" w:hint="default"/>
        <w:b w:val="0"/>
        <w:i w:val="0"/>
        <w:color w:val="auto"/>
        <w:sz w:val="20"/>
      </w:rPr>
    </w:lvl>
    <w:lvl w:ilvl="1">
      <w:start w:val="1"/>
      <w:numFmt w:val="lowerLetter"/>
      <w:lvlText w:val="(%2)"/>
      <w:lvlJc w:val="left"/>
      <w:pPr>
        <w:tabs>
          <w:tab w:val="num" w:pos="720"/>
        </w:tabs>
        <w:ind w:left="714" w:hanging="357"/>
      </w:pPr>
      <w:rPr>
        <w:rFonts w:ascii="Arial" w:hAnsi="Arial" w:hint="default"/>
        <w:b w:val="0"/>
        <w:i w:val="0"/>
        <w:color w:val="auto"/>
        <w:sz w:val="20"/>
      </w:rPr>
    </w:lvl>
    <w:lvl w:ilvl="2">
      <w:start w:val="1"/>
      <w:numFmt w:val="lowerRoman"/>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85634C3"/>
    <w:multiLevelType w:val="hybridMultilevel"/>
    <w:tmpl w:val="9BACB9AE"/>
    <w:lvl w:ilvl="0" w:tplc="E75EAC20">
      <w:start w:val="1"/>
      <w:numFmt w:val="bullet"/>
      <w:lvlText w:val="•"/>
      <w:lvlJc w:val="left"/>
      <w:pPr>
        <w:tabs>
          <w:tab w:val="num" w:pos="720"/>
        </w:tabs>
        <w:ind w:left="720" w:hanging="360"/>
      </w:pPr>
      <w:rPr>
        <w:rFonts w:ascii="Times New Roman" w:hAnsi="Times New Roman" w:hint="default"/>
      </w:rPr>
    </w:lvl>
    <w:lvl w:ilvl="1" w:tplc="D5EA1A5E" w:tentative="1">
      <w:start w:val="1"/>
      <w:numFmt w:val="bullet"/>
      <w:lvlText w:val="•"/>
      <w:lvlJc w:val="left"/>
      <w:pPr>
        <w:tabs>
          <w:tab w:val="num" w:pos="1440"/>
        </w:tabs>
        <w:ind w:left="1440" w:hanging="360"/>
      </w:pPr>
      <w:rPr>
        <w:rFonts w:ascii="Times New Roman" w:hAnsi="Times New Roman" w:hint="default"/>
      </w:rPr>
    </w:lvl>
    <w:lvl w:ilvl="2" w:tplc="D1FE9BE0" w:tentative="1">
      <w:start w:val="1"/>
      <w:numFmt w:val="bullet"/>
      <w:lvlText w:val="•"/>
      <w:lvlJc w:val="left"/>
      <w:pPr>
        <w:tabs>
          <w:tab w:val="num" w:pos="2160"/>
        </w:tabs>
        <w:ind w:left="2160" w:hanging="360"/>
      </w:pPr>
      <w:rPr>
        <w:rFonts w:ascii="Times New Roman" w:hAnsi="Times New Roman" w:hint="default"/>
      </w:rPr>
    </w:lvl>
    <w:lvl w:ilvl="3" w:tplc="4A040AEE" w:tentative="1">
      <w:start w:val="1"/>
      <w:numFmt w:val="bullet"/>
      <w:lvlText w:val="•"/>
      <w:lvlJc w:val="left"/>
      <w:pPr>
        <w:tabs>
          <w:tab w:val="num" w:pos="2880"/>
        </w:tabs>
        <w:ind w:left="2880" w:hanging="360"/>
      </w:pPr>
      <w:rPr>
        <w:rFonts w:ascii="Times New Roman" w:hAnsi="Times New Roman" w:hint="default"/>
      </w:rPr>
    </w:lvl>
    <w:lvl w:ilvl="4" w:tplc="CC4CFE06" w:tentative="1">
      <w:start w:val="1"/>
      <w:numFmt w:val="bullet"/>
      <w:lvlText w:val="•"/>
      <w:lvlJc w:val="left"/>
      <w:pPr>
        <w:tabs>
          <w:tab w:val="num" w:pos="3600"/>
        </w:tabs>
        <w:ind w:left="3600" w:hanging="360"/>
      </w:pPr>
      <w:rPr>
        <w:rFonts w:ascii="Times New Roman" w:hAnsi="Times New Roman" w:hint="default"/>
      </w:rPr>
    </w:lvl>
    <w:lvl w:ilvl="5" w:tplc="D898D642" w:tentative="1">
      <w:start w:val="1"/>
      <w:numFmt w:val="bullet"/>
      <w:lvlText w:val="•"/>
      <w:lvlJc w:val="left"/>
      <w:pPr>
        <w:tabs>
          <w:tab w:val="num" w:pos="4320"/>
        </w:tabs>
        <w:ind w:left="4320" w:hanging="360"/>
      </w:pPr>
      <w:rPr>
        <w:rFonts w:ascii="Times New Roman" w:hAnsi="Times New Roman" w:hint="default"/>
      </w:rPr>
    </w:lvl>
    <w:lvl w:ilvl="6" w:tplc="34DA1BB2" w:tentative="1">
      <w:start w:val="1"/>
      <w:numFmt w:val="bullet"/>
      <w:lvlText w:val="•"/>
      <w:lvlJc w:val="left"/>
      <w:pPr>
        <w:tabs>
          <w:tab w:val="num" w:pos="5040"/>
        </w:tabs>
        <w:ind w:left="5040" w:hanging="360"/>
      </w:pPr>
      <w:rPr>
        <w:rFonts w:ascii="Times New Roman" w:hAnsi="Times New Roman" w:hint="default"/>
      </w:rPr>
    </w:lvl>
    <w:lvl w:ilvl="7" w:tplc="E9643D68" w:tentative="1">
      <w:start w:val="1"/>
      <w:numFmt w:val="bullet"/>
      <w:lvlText w:val="•"/>
      <w:lvlJc w:val="left"/>
      <w:pPr>
        <w:tabs>
          <w:tab w:val="num" w:pos="5760"/>
        </w:tabs>
        <w:ind w:left="5760" w:hanging="360"/>
      </w:pPr>
      <w:rPr>
        <w:rFonts w:ascii="Times New Roman" w:hAnsi="Times New Roman" w:hint="default"/>
      </w:rPr>
    </w:lvl>
    <w:lvl w:ilvl="8" w:tplc="2376CDB6"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0E4DE9"/>
    <w:multiLevelType w:val="multilevel"/>
    <w:tmpl w:val="56043EA4"/>
    <w:numStyleLink w:val="TableListBulletmaster"/>
  </w:abstractNum>
  <w:abstractNum w:abstractNumId="11"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EF9500E"/>
    <w:multiLevelType w:val="hybridMultilevel"/>
    <w:tmpl w:val="E76474B8"/>
    <w:lvl w:ilvl="0" w:tplc="58D2F448">
      <w:start w:val="1"/>
      <w:numFmt w:val="bullet"/>
      <w:lvlText w:val="•"/>
      <w:lvlJc w:val="left"/>
      <w:pPr>
        <w:tabs>
          <w:tab w:val="num" w:pos="720"/>
        </w:tabs>
        <w:ind w:left="720" w:hanging="360"/>
      </w:pPr>
      <w:rPr>
        <w:rFonts w:ascii="Times New Roman" w:hAnsi="Times New Roman" w:hint="default"/>
      </w:rPr>
    </w:lvl>
    <w:lvl w:ilvl="1" w:tplc="2FAC3072" w:tentative="1">
      <w:start w:val="1"/>
      <w:numFmt w:val="bullet"/>
      <w:lvlText w:val="•"/>
      <w:lvlJc w:val="left"/>
      <w:pPr>
        <w:tabs>
          <w:tab w:val="num" w:pos="1440"/>
        </w:tabs>
        <w:ind w:left="1440" w:hanging="360"/>
      </w:pPr>
      <w:rPr>
        <w:rFonts w:ascii="Times New Roman" w:hAnsi="Times New Roman" w:hint="default"/>
      </w:rPr>
    </w:lvl>
    <w:lvl w:ilvl="2" w:tplc="F4169D4C" w:tentative="1">
      <w:start w:val="1"/>
      <w:numFmt w:val="bullet"/>
      <w:lvlText w:val="•"/>
      <w:lvlJc w:val="left"/>
      <w:pPr>
        <w:tabs>
          <w:tab w:val="num" w:pos="2160"/>
        </w:tabs>
        <w:ind w:left="2160" w:hanging="360"/>
      </w:pPr>
      <w:rPr>
        <w:rFonts w:ascii="Times New Roman" w:hAnsi="Times New Roman" w:hint="default"/>
      </w:rPr>
    </w:lvl>
    <w:lvl w:ilvl="3" w:tplc="0C22D132" w:tentative="1">
      <w:start w:val="1"/>
      <w:numFmt w:val="bullet"/>
      <w:lvlText w:val="•"/>
      <w:lvlJc w:val="left"/>
      <w:pPr>
        <w:tabs>
          <w:tab w:val="num" w:pos="2880"/>
        </w:tabs>
        <w:ind w:left="2880" w:hanging="360"/>
      </w:pPr>
      <w:rPr>
        <w:rFonts w:ascii="Times New Roman" w:hAnsi="Times New Roman" w:hint="default"/>
      </w:rPr>
    </w:lvl>
    <w:lvl w:ilvl="4" w:tplc="FA4A6D92" w:tentative="1">
      <w:start w:val="1"/>
      <w:numFmt w:val="bullet"/>
      <w:lvlText w:val="•"/>
      <w:lvlJc w:val="left"/>
      <w:pPr>
        <w:tabs>
          <w:tab w:val="num" w:pos="3600"/>
        </w:tabs>
        <w:ind w:left="3600" w:hanging="360"/>
      </w:pPr>
      <w:rPr>
        <w:rFonts w:ascii="Times New Roman" w:hAnsi="Times New Roman" w:hint="default"/>
      </w:rPr>
    </w:lvl>
    <w:lvl w:ilvl="5" w:tplc="F384C656" w:tentative="1">
      <w:start w:val="1"/>
      <w:numFmt w:val="bullet"/>
      <w:lvlText w:val="•"/>
      <w:lvlJc w:val="left"/>
      <w:pPr>
        <w:tabs>
          <w:tab w:val="num" w:pos="4320"/>
        </w:tabs>
        <w:ind w:left="4320" w:hanging="360"/>
      </w:pPr>
      <w:rPr>
        <w:rFonts w:ascii="Times New Roman" w:hAnsi="Times New Roman" w:hint="default"/>
      </w:rPr>
    </w:lvl>
    <w:lvl w:ilvl="6" w:tplc="650275DE" w:tentative="1">
      <w:start w:val="1"/>
      <w:numFmt w:val="bullet"/>
      <w:lvlText w:val="•"/>
      <w:lvlJc w:val="left"/>
      <w:pPr>
        <w:tabs>
          <w:tab w:val="num" w:pos="5040"/>
        </w:tabs>
        <w:ind w:left="5040" w:hanging="360"/>
      </w:pPr>
      <w:rPr>
        <w:rFonts w:ascii="Times New Roman" w:hAnsi="Times New Roman" w:hint="default"/>
      </w:rPr>
    </w:lvl>
    <w:lvl w:ilvl="7" w:tplc="5576E338" w:tentative="1">
      <w:start w:val="1"/>
      <w:numFmt w:val="bullet"/>
      <w:lvlText w:val="•"/>
      <w:lvlJc w:val="left"/>
      <w:pPr>
        <w:tabs>
          <w:tab w:val="num" w:pos="5760"/>
        </w:tabs>
        <w:ind w:left="5760" w:hanging="360"/>
      </w:pPr>
      <w:rPr>
        <w:rFonts w:ascii="Times New Roman" w:hAnsi="Times New Roman" w:hint="default"/>
      </w:rPr>
    </w:lvl>
    <w:lvl w:ilvl="8" w:tplc="65E0C24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11066B6"/>
    <w:multiLevelType w:val="multilevel"/>
    <w:tmpl w:val="113457F2"/>
    <w:numStyleLink w:val="Headingsmaster"/>
  </w:abstractNum>
  <w:abstractNum w:abstractNumId="14" w15:restartNumberingAfterBreak="0">
    <w:nsid w:val="325110AC"/>
    <w:multiLevelType w:val="hybridMultilevel"/>
    <w:tmpl w:val="9EA491F2"/>
    <w:lvl w:ilvl="0" w:tplc="6562DB08">
      <w:start w:val="1"/>
      <w:numFmt w:val="bullet"/>
      <w:lvlText w:val=""/>
      <w:lvlJc w:val="left"/>
      <w:pPr>
        <w:ind w:left="1440" w:hanging="360"/>
      </w:pPr>
      <w:rPr>
        <w:rFonts w:ascii="Symbol" w:hAnsi="Symbol"/>
      </w:rPr>
    </w:lvl>
    <w:lvl w:ilvl="1" w:tplc="5E0C62F2">
      <w:start w:val="1"/>
      <w:numFmt w:val="bullet"/>
      <w:lvlText w:val=""/>
      <w:lvlJc w:val="left"/>
      <w:pPr>
        <w:ind w:left="1440" w:hanging="360"/>
      </w:pPr>
      <w:rPr>
        <w:rFonts w:ascii="Symbol" w:hAnsi="Symbol"/>
      </w:rPr>
    </w:lvl>
    <w:lvl w:ilvl="2" w:tplc="498E57A6">
      <w:start w:val="1"/>
      <w:numFmt w:val="bullet"/>
      <w:lvlText w:val=""/>
      <w:lvlJc w:val="left"/>
      <w:pPr>
        <w:ind w:left="1440" w:hanging="360"/>
      </w:pPr>
      <w:rPr>
        <w:rFonts w:ascii="Symbol" w:hAnsi="Symbol"/>
      </w:rPr>
    </w:lvl>
    <w:lvl w:ilvl="3" w:tplc="DDF24280">
      <w:start w:val="1"/>
      <w:numFmt w:val="bullet"/>
      <w:lvlText w:val=""/>
      <w:lvlJc w:val="left"/>
      <w:pPr>
        <w:ind w:left="1440" w:hanging="360"/>
      </w:pPr>
      <w:rPr>
        <w:rFonts w:ascii="Symbol" w:hAnsi="Symbol"/>
      </w:rPr>
    </w:lvl>
    <w:lvl w:ilvl="4" w:tplc="95E2AE40">
      <w:start w:val="1"/>
      <w:numFmt w:val="bullet"/>
      <w:lvlText w:val=""/>
      <w:lvlJc w:val="left"/>
      <w:pPr>
        <w:ind w:left="1440" w:hanging="360"/>
      </w:pPr>
      <w:rPr>
        <w:rFonts w:ascii="Symbol" w:hAnsi="Symbol"/>
      </w:rPr>
    </w:lvl>
    <w:lvl w:ilvl="5" w:tplc="6302C7A8">
      <w:start w:val="1"/>
      <w:numFmt w:val="bullet"/>
      <w:lvlText w:val=""/>
      <w:lvlJc w:val="left"/>
      <w:pPr>
        <w:ind w:left="1440" w:hanging="360"/>
      </w:pPr>
      <w:rPr>
        <w:rFonts w:ascii="Symbol" w:hAnsi="Symbol"/>
      </w:rPr>
    </w:lvl>
    <w:lvl w:ilvl="6" w:tplc="FCCA6F48">
      <w:start w:val="1"/>
      <w:numFmt w:val="bullet"/>
      <w:lvlText w:val=""/>
      <w:lvlJc w:val="left"/>
      <w:pPr>
        <w:ind w:left="1440" w:hanging="360"/>
      </w:pPr>
      <w:rPr>
        <w:rFonts w:ascii="Symbol" w:hAnsi="Symbol"/>
      </w:rPr>
    </w:lvl>
    <w:lvl w:ilvl="7" w:tplc="9CACF64E">
      <w:start w:val="1"/>
      <w:numFmt w:val="bullet"/>
      <w:lvlText w:val=""/>
      <w:lvlJc w:val="left"/>
      <w:pPr>
        <w:ind w:left="1440" w:hanging="360"/>
      </w:pPr>
      <w:rPr>
        <w:rFonts w:ascii="Symbol" w:hAnsi="Symbol"/>
      </w:rPr>
    </w:lvl>
    <w:lvl w:ilvl="8" w:tplc="9F74CD76">
      <w:start w:val="1"/>
      <w:numFmt w:val="bullet"/>
      <w:lvlText w:val=""/>
      <w:lvlJc w:val="left"/>
      <w:pPr>
        <w:ind w:left="1440" w:hanging="360"/>
      </w:pPr>
      <w:rPr>
        <w:rFonts w:ascii="Symbol" w:hAnsi="Symbol"/>
      </w:rPr>
    </w:lvl>
  </w:abstractNum>
  <w:abstractNum w:abstractNumId="15" w15:restartNumberingAfterBreak="0">
    <w:nsid w:val="36B75813"/>
    <w:multiLevelType w:val="multilevel"/>
    <w:tmpl w:val="0D96AACA"/>
    <w:numStyleLink w:val="AppendixHeadingmaster"/>
  </w:abstractNum>
  <w:abstractNum w:abstractNumId="16" w15:restartNumberingAfterBreak="0">
    <w:nsid w:val="39C575B6"/>
    <w:multiLevelType w:val="hybridMultilevel"/>
    <w:tmpl w:val="3088246C"/>
    <w:lvl w:ilvl="0" w:tplc="B80E6DE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DF339D"/>
    <w:multiLevelType w:val="multilevel"/>
    <w:tmpl w:val="E3909EA8"/>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E804833"/>
    <w:multiLevelType w:val="multilevel"/>
    <w:tmpl w:val="64DCD0C6"/>
    <w:lvl w:ilvl="0">
      <w:start w:val="1"/>
      <w:numFmt w:val="lowerRoman"/>
      <w:lvlText w:val="%1."/>
      <w:lvlJc w:val="righ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5101E38"/>
    <w:multiLevelType w:val="multilevel"/>
    <w:tmpl w:val="1C3A5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94867A1"/>
    <w:multiLevelType w:val="hybridMultilevel"/>
    <w:tmpl w:val="D18A2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B371FF6"/>
    <w:multiLevelType w:val="multilevel"/>
    <w:tmpl w:val="D78E1168"/>
    <w:name w:val="EDU - Alpha List"/>
    <w:lvl w:ilvl="0">
      <w:start w:val="1"/>
      <w:numFmt w:val="decimal"/>
      <w:pStyle w:val="List"/>
      <w:lvlText w:val="%1."/>
      <w:lvlJc w:val="left"/>
      <w:pPr>
        <w:tabs>
          <w:tab w:val="num" w:pos="397"/>
        </w:tabs>
        <w:ind w:left="397" w:hanging="397"/>
      </w:pPr>
      <w:rPr>
        <w:rFonts w:hint="default"/>
        <w:b w:val="0"/>
        <w:bCs/>
        <w:color w:val="auto"/>
        <w:sz w:val="22"/>
        <w:szCs w:val="22"/>
      </w:rPr>
    </w:lvl>
    <w:lvl w:ilvl="1">
      <w:start w:val="1"/>
      <w:numFmt w:val="lowerLetter"/>
      <w:pStyle w:val="List2"/>
      <w:lvlText w:val="%2."/>
      <w:lvlJc w:val="left"/>
      <w:pPr>
        <w:ind w:left="794" w:hanging="397"/>
      </w:pPr>
      <w:rPr>
        <w:b w:val="0"/>
        <w:bCs w:val="0"/>
        <w:i w:val="0"/>
        <w:iCs w:val="0"/>
        <w:color w:val="auto"/>
        <w:sz w:val="22"/>
        <w:szCs w:val="22"/>
      </w:rPr>
    </w:lvl>
    <w:lvl w:ilvl="2">
      <w:start w:val="1"/>
      <w:numFmt w:val="lowerRoman"/>
      <w:pStyle w:val="List3"/>
      <w:lvlText w:val="%3"/>
      <w:lvlJc w:val="left"/>
      <w:pPr>
        <w:ind w:left="1191" w:hanging="397"/>
      </w:pPr>
      <w:rPr>
        <w:b w:val="0"/>
        <w:bCs w:val="0"/>
        <w:color w:val="auto"/>
        <w:sz w:val="22"/>
        <w:szCs w:val="22"/>
      </w:rPr>
    </w:lvl>
    <w:lvl w:ilvl="3">
      <w:start w:val="1"/>
      <w:numFmt w:val="bullet"/>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48E6CBA"/>
    <w:multiLevelType w:val="multilevel"/>
    <w:tmpl w:val="9F703E2E"/>
    <w:styleLink w:val="ListBulletmaster"/>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3F031A"/>
    <w:multiLevelType w:val="multilevel"/>
    <w:tmpl w:val="A1224394"/>
    <w:numStyleLink w:val="ListLegalmaster"/>
  </w:abstractNum>
  <w:abstractNum w:abstractNumId="26" w15:restartNumberingAfterBreak="0">
    <w:nsid w:val="79F8707D"/>
    <w:multiLevelType w:val="multilevel"/>
    <w:tmpl w:val="A1224394"/>
    <w:numStyleLink w:val="ListLegalmaster"/>
  </w:abstractNum>
  <w:abstractNum w:abstractNumId="27" w15:restartNumberingAfterBreak="0">
    <w:nsid w:val="7ED869F2"/>
    <w:multiLevelType w:val="multilevel"/>
    <w:tmpl w:val="683AE1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328336156">
    <w:abstractNumId w:val="2"/>
  </w:num>
  <w:num w:numId="2" w16cid:durableId="1869679674">
    <w:abstractNumId w:val="24"/>
  </w:num>
  <w:num w:numId="3" w16cid:durableId="2032871560">
    <w:abstractNumId w:val="11"/>
  </w:num>
  <w:num w:numId="4" w16cid:durableId="310910324">
    <w:abstractNumId w:val="21"/>
  </w:num>
  <w:num w:numId="5" w16cid:durableId="753476416">
    <w:abstractNumId w:val="5"/>
  </w:num>
  <w:num w:numId="6" w16cid:durableId="1790736337">
    <w:abstractNumId w:val="18"/>
  </w:num>
  <w:num w:numId="7" w16cid:durableId="1926304350">
    <w:abstractNumId w:val="3"/>
  </w:num>
  <w:num w:numId="8" w16cid:durableId="107823657">
    <w:abstractNumId w:val="8"/>
  </w:num>
  <w:num w:numId="9" w16cid:durableId="2057582421">
    <w:abstractNumId w:val="25"/>
  </w:num>
  <w:num w:numId="10" w16cid:durableId="1221482542">
    <w:abstractNumId w:val="10"/>
  </w:num>
  <w:num w:numId="11" w16cid:durableId="2087678997">
    <w:abstractNumId w:val="7"/>
  </w:num>
  <w:num w:numId="12" w16cid:durableId="1742405919">
    <w:abstractNumId w:val="15"/>
    <w:lvlOverride w:ilvl="0">
      <w:lvl w:ilvl="0">
        <w:start w:val="1"/>
        <w:numFmt w:val="upperLetter"/>
        <w:pStyle w:val="AppendixHeading1"/>
        <w:lvlText w:val="Appendix %1"/>
        <w:lvlJc w:val="left"/>
        <w:pPr>
          <w:ind w:left="2268" w:hanging="2268"/>
        </w:pPr>
      </w:lvl>
    </w:lvlOverride>
  </w:num>
  <w:num w:numId="13" w16cid:durableId="1349261214">
    <w:abstractNumId w:val="13"/>
    <w:lvlOverride w:ilvl="0">
      <w:lvl w:ilvl="0">
        <w:start w:val="1"/>
        <w:numFmt w:val="decimal"/>
        <w:pStyle w:val="Heading1"/>
        <w:lvlText w:val="Chapter %1"/>
        <w:lvlJc w:val="left"/>
        <w:pPr>
          <w:ind w:left="0" w:firstLine="0"/>
        </w:pPr>
      </w:lvl>
    </w:lvlOverride>
    <w:lvlOverride w:ilvl="2">
      <w:lvl w:ilvl="2">
        <w:start w:val="1"/>
        <w:numFmt w:val="decimal"/>
        <w:pStyle w:val="Heading3"/>
        <w:lvlText w:val="%1.%2.%3"/>
        <w:lvlJc w:val="left"/>
        <w:pPr>
          <w:ind w:left="1072" w:hanging="1072"/>
        </w:pPr>
        <w:rPr>
          <w:rFonts w:hint="default"/>
        </w:rPr>
      </w:lvl>
    </w:lvlOverride>
    <w:lvlOverride w:ilvl="3">
      <w:lvl w:ilvl="3">
        <w:start w:val="1"/>
        <w:numFmt w:val="decimal"/>
        <w:pStyle w:val="Heading4"/>
        <w:lvlText w:val="%1.%2.%3.%4"/>
        <w:lvlJc w:val="left"/>
        <w:pPr>
          <w:ind w:left="1072" w:hanging="1072"/>
        </w:pPr>
        <w:rPr>
          <w:rFonts w:hint="default"/>
        </w:rPr>
      </w:lvl>
    </w:lvlOverride>
  </w:num>
  <w:num w:numId="14" w16cid:durableId="634800952">
    <w:abstractNumId w:val="1"/>
  </w:num>
  <w:num w:numId="15" w16cid:durableId="1417896489">
    <w:abstractNumId w:val="23"/>
  </w:num>
  <w:num w:numId="16" w16cid:durableId="1397969388">
    <w:abstractNumId w:val="4"/>
  </w:num>
  <w:num w:numId="17" w16cid:durableId="1720274935">
    <w:abstractNumId w:val="14"/>
  </w:num>
  <w:num w:numId="18" w16cid:durableId="205679496">
    <w:abstractNumId w:val="27"/>
  </w:num>
  <w:num w:numId="19" w16cid:durableId="1930505832">
    <w:abstractNumId w:val="26"/>
  </w:num>
  <w:num w:numId="20" w16cid:durableId="1425492874">
    <w:abstractNumId w:val="12"/>
  </w:num>
  <w:num w:numId="21" w16cid:durableId="623734098">
    <w:abstractNumId w:val="9"/>
  </w:num>
  <w:num w:numId="22" w16cid:durableId="386685049">
    <w:abstractNumId w:val="22"/>
  </w:num>
  <w:num w:numId="23" w16cid:durableId="864951567">
    <w:abstractNumId w:val="13"/>
    <w:lvlOverride w:ilvl="0">
      <w:lvl w:ilvl="0">
        <w:start w:val="1"/>
        <w:numFmt w:val="decimal"/>
        <w:pStyle w:val="Heading1"/>
        <w:lvlText w:val="Chapter %1"/>
        <w:lvlJc w:val="left"/>
        <w:pPr>
          <w:ind w:left="0" w:firstLine="0"/>
        </w:pPr>
      </w:lvl>
    </w:lvlOverride>
    <w:lvlOverride w:ilvl="2">
      <w:lvl w:ilvl="2">
        <w:start w:val="1"/>
        <w:numFmt w:val="decimal"/>
        <w:pStyle w:val="Heading3"/>
        <w:lvlText w:val="%1.%2.%3"/>
        <w:lvlJc w:val="left"/>
        <w:pPr>
          <w:ind w:left="1072" w:hanging="1072"/>
        </w:pPr>
        <w:rPr>
          <w:rFonts w:hint="default"/>
        </w:rPr>
      </w:lvl>
    </w:lvlOverride>
    <w:lvlOverride w:ilvl="3">
      <w:lvl w:ilvl="3">
        <w:start w:val="1"/>
        <w:numFmt w:val="decimal"/>
        <w:pStyle w:val="Heading4"/>
        <w:lvlText w:val="%1.%2.%3.%4"/>
        <w:lvlJc w:val="left"/>
        <w:pPr>
          <w:ind w:left="1072" w:hanging="1072"/>
        </w:pPr>
        <w:rPr>
          <w:rFonts w:hint="default"/>
        </w:rPr>
      </w:lvl>
    </w:lvlOverride>
  </w:num>
  <w:num w:numId="24" w16cid:durableId="744111060">
    <w:abstractNumId w:val="6"/>
  </w:num>
  <w:num w:numId="25" w16cid:durableId="352809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207991">
    <w:abstractNumId w:val="19"/>
  </w:num>
  <w:num w:numId="27" w16cid:durableId="1385518928">
    <w:abstractNumId w:val="17"/>
  </w:num>
  <w:num w:numId="28" w16cid:durableId="1031803480">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8C478F"/>
    <w:rsid w:val="0000006C"/>
    <w:rsid w:val="000006B4"/>
    <w:rsid w:val="0000076A"/>
    <w:rsid w:val="0000076C"/>
    <w:rsid w:val="0000086C"/>
    <w:rsid w:val="000008F9"/>
    <w:rsid w:val="00000A40"/>
    <w:rsid w:val="00000D89"/>
    <w:rsid w:val="00000DAB"/>
    <w:rsid w:val="000011E1"/>
    <w:rsid w:val="0000127A"/>
    <w:rsid w:val="0000129B"/>
    <w:rsid w:val="000015BC"/>
    <w:rsid w:val="000019DE"/>
    <w:rsid w:val="00001CD4"/>
    <w:rsid w:val="00001DB9"/>
    <w:rsid w:val="00001EB9"/>
    <w:rsid w:val="00002086"/>
    <w:rsid w:val="0000226C"/>
    <w:rsid w:val="000023C3"/>
    <w:rsid w:val="000023E9"/>
    <w:rsid w:val="0000289C"/>
    <w:rsid w:val="0000293E"/>
    <w:rsid w:val="000029EA"/>
    <w:rsid w:val="00002A61"/>
    <w:rsid w:val="00002F68"/>
    <w:rsid w:val="000030E5"/>
    <w:rsid w:val="00003100"/>
    <w:rsid w:val="000033E1"/>
    <w:rsid w:val="000035A8"/>
    <w:rsid w:val="000036CA"/>
    <w:rsid w:val="000036F3"/>
    <w:rsid w:val="00003945"/>
    <w:rsid w:val="00003AE7"/>
    <w:rsid w:val="00003CD2"/>
    <w:rsid w:val="00003D61"/>
    <w:rsid w:val="00003F30"/>
    <w:rsid w:val="00004687"/>
    <w:rsid w:val="00004B3D"/>
    <w:rsid w:val="00005329"/>
    <w:rsid w:val="00005662"/>
    <w:rsid w:val="000056C5"/>
    <w:rsid w:val="000056DC"/>
    <w:rsid w:val="000058CF"/>
    <w:rsid w:val="000058EC"/>
    <w:rsid w:val="000058F8"/>
    <w:rsid w:val="00005A45"/>
    <w:rsid w:val="00005C19"/>
    <w:rsid w:val="00005E98"/>
    <w:rsid w:val="00005ECE"/>
    <w:rsid w:val="000063C8"/>
    <w:rsid w:val="000065AC"/>
    <w:rsid w:val="00006891"/>
    <w:rsid w:val="00006A87"/>
    <w:rsid w:val="00006C22"/>
    <w:rsid w:val="00006D70"/>
    <w:rsid w:val="00006E05"/>
    <w:rsid w:val="00006F75"/>
    <w:rsid w:val="000070B1"/>
    <w:rsid w:val="00007169"/>
    <w:rsid w:val="00007190"/>
    <w:rsid w:val="000071B0"/>
    <w:rsid w:val="00007526"/>
    <w:rsid w:val="0000792F"/>
    <w:rsid w:val="000079B0"/>
    <w:rsid w:val="00007A19"/>
    <w:rsid w:val="00007B62"/>
    <w:rsid w:val="00007D7F"/>
    <w:rsid w:val="00007E92"/>
    <w:rsid w:val="00010108"/>
    <w:rsid w:val="0001012F"/>
    <w:rsid w:val="000101D3"/>
    <w:rsid w:val="000102EC"/>
    <w:rsid w:val="000106B4"/>
    <w:rsid w:val="00010744"/>
    <w:rsid w:val="00010917"/>
    <w:rsid w:val="00010993"/>
    <w:rsid w:val="00010BC1"/>
    <w:rsid w:val="00010C4B"/>
    <w:rsid w:val="00010D6B"/>
    <w:rsid w:val="00010ECF"/>
    <w:rsid w:val="00010FAF"/>
    <w:rsid w:val="00011142"/>
    <w:rsid w:val="00011665"/>
    <w:rsid w:val="000116C1"/>
    <w:rsid w:val="000118C5"/>
    <w:rsid w:val="0001193D"/>
    <w:rsid w:val="00011EEA"/>
    <w:rsid w:val="00011EEE"/>
    <w:rsid w:val="00012197"/>
    <w:rsid w:val="000125C3"/>
    <w:rsid w:val="000126FA"/>
    <w:rsid w:val="00012895"/>
    <w:rsid w:val="0001298A"/>
    <w:rsid w:val="00012AC3"/>
    <w:rsid w:val="00012C1B"/>
    <w:rsid w:val="00012C1D"/>
    <w:rsid w:val="000131DC"/>
    <w:rsid w:val="00013272"/>
    <w:rsid w:val="000132B5"/>
    <w:rsid w:val="0001336F"/>
    <w:rsid w:val="0001365E"/>
    <w:rsid w:val="00013808"/>
    <w:rsid w:val="000138A8"/>
    <w:rsid w:val="00013D77"/>
    <w:rsid w:val="000145BE"/>
    <w:rsid w:val="000146BB"/>
    <w:rsid w:val="0001475B"/>
    <w:rsid w:val="00014B2F"/>
    <w:rsid w:val="00014E00"/>
    <w:rsid w:val="00014E3A"/>
    <w:rsid w:val="000152CE"/>
    <w:rsid w:val="0001539D"/>
    <w:rsid w:val="0001540E"/>
    <w:rsid w:val="000158F3"/>
    <w:rsid w:val="000159BA"/>
    <w:rsid w:val="00015C66"/>
    <w:rsid w:val="00015E85"/>
    <w:rsid w:val="000161E1"/>
    <w:rsid w:val="00016228"/>
    <w:rsid w:val="00016461"/>
    <w:rsid w:val="00016800"/>
    <w:rsid w:val="00016D15"/>
    <w:rsid w:val="00016D66"/>
    <w:rsid w:val="00016E94"/>
    <w:rsid w:val="0001747B"/>
    <w:rsid w:val="000176FA"/>
    <w:rsid w:val="000178D9"/>
    <w:rsid w:val="00017BB0"/>
    <w:rsid w:val="00017C25"/>
    <w:rsid w:val="00017EC1"/>
    <w:rsid w:val="00020157"/>
    <w:rsid w:val="000202B0"/>
    <w:rsid w:val="0002062A"/>
    <w:rsid w:val="00020636"/>
    <w:rsid w:val="00020BAE"/>
    <w:rsid w:val="00020E35"/>
    <w:rsid w:val="00020F8F"/>
    <w:rsid w:val="000212BD"/>
    <w:rsid w:val="000213BD"/>
    <w:rsid w:val="00021496"/>
    <w:rsid w:val="000215B1"/>
    <w:rsid w:val="0002196E"/>
    <w:rsid w:val="00021CF4"/>
    <w:rsid w:val="00021CFE"/>
    <w:rsid w:val="000220CC"/>
    <w:rsid w:val="00022448"/>
    <w:rsid w:val="000225D9"/>
    <w:rsid w:val="00022EBF"/>
    <w:rsid w:val="00022F70"/>
    <w:rsid w:val="0002314A"/>
    <w:rsid w:val="00023170"/>
    <w:rsid w:val="000231C4"/>
    <w:rsid w:val="000235A7"/>
    <w:rsid w:val="000235AB"/>
    <w:rsid w:val="000237F4"/>
    <w:rsid w:val="0002389D"/>
    <w:rsid w:val="00023973"/>
    <w:rsid w:val="00023D1B"/>
    <w:rsid w:val="00023F1E"/>
    <w:rsid w:val="00023FFE"/>
    <w:rsid w:val="00024031"/>
    <w:rsid w:val="0002425E"/>
    <w:rsid w:val="000242B6"/>
    <w:rsid w:val="00024481"/>
    <w:rsid w:val="000245BC"/>
    <w:rsid w:val="000245EB"/>
    <w:rsid w:val="00024650"/>
    <w:rsid w:val="000246A1"/>
    <w:rsid w:val="0002498B"/>
    <w:rsid w:val="00025207"/>
    <w:rsid w:val="00025301"/>
    <w:rsid w:val="00025520"/>
    <w:rsid w:val="00025702"/>
    <w:rsid w:val="0002597A"/>
    <w:rsid w:val="0002598C"/>
    <w:rsid w:val="00025A06"/>
    <w:rsid w:val="00025B2A"/>
    <w:rsid w:val="00025E70"/>
    <w:rsid w:val="00025EC0"/>
    <w:rsid w:val="0002602E"/>
    <w:rsid w:val="00026437"/>
    <w:rsid w:val="00026528"/>
    <w:rsid w:val="00026563"/>
    <w:rsid w:val="00026A49"/>
    <w:rsid w:val="00026D0C"/>
    <w:rsid w:val="00026EBB"/>
    <w:rsid w:val="0002738A"/>
    <w:rsid w:val="000273CF"/>
    <w:rsid w:val="000274C9"/>
    <w:rsid w:val="000276CC"/>
    <w:rsid w:val="000276FF"/>
    <w:rsid w:val="00027C49"/>
    <w:rsid w:val="00027F88"/>
    <w:rsid w:val="00027FEF"/>
    <w:rsid w:val="00030111"/>
    <w:rsid w:val="0003034F"/>
    <w:rsid w:val="00030585"/>
    <w:rsid w:val="000308B1"/>
    <w:rsid w:val="000308FF"/>
    <w:rsid w:val="00030C0A"/>
    <w:rsid w:val="00030D70"/>
    <w:rsid w:val="00030D72"/>
    <w:rsid w:val="000310D7"/>
    <w:rsid w:val="000310F5"/>
    <w:rsid w:val="00031207"/>
    <w:rsid w:val="0003126E"/>
    <w:rsid w:val="00031657"/>
    <w:rsid w:val="000324A3"/>
    <w:rsid w:val="000324CF"/>
    <w:rsid w:val="00032588"/>
    <w:rsid w:val="000328DC"/>
    <w:rsid w:val="000328E9"/>
    <w:rsid w:val="000329EB"/>
    <w:rsid w:val="00032AFE"/>
    <w:rsid w:val="00032D8A"/>
    <w:rsid w:val="00032D9D"/>
    <w:rsid w:val="00032F3E"/>
    <w:rsid w:val="00033225"/>
    <w:rsid w:val="000335EC"/>
    <w:rsid w:val="00033963"/>
    <w:rsid w:val="00033A1E"/>
    <w:rsid w:val="00033AA4"/>
    <w:rsid w:val="00033AC6"/>
    <w:rsid w:val="00033C46"/>
    <w:rsid w:val="00033C92"/>
    <w:rsid w:val="0003446C"/>
    <w:rsid w:val="00034E26"/>
    <w:rsid w:val="00035028"/>
    <w:rsid w:val="00035102"/>
    <w:rsid w:val="0003517E"/>
    <w:rsid w:val="0003562A"/>
    <w:rsid w:val="00035642"/>
    <w:rsid w:val="000356F1"/>
    <w:rsid w:val="00035723"/>
    <w:rsid w:val="000358ED"/>
    <w:rsid w:val="00035956"/>
    <w:rsid w:val="00035C65"/>
    <w:rsid w:val="00035DD1"/>
    <w:rsid w:val="00035DD9"/>
    <w:rsid w:val="000362A7"/>
    <w:rsid w:val="0003655C"/>
    <w:rsid w:val="0003679A"/>
    <w:rsid w:val="00036A30"/>
    <w:rsid w:val="00036AD8"/>
    <w:rsid w:val="000371BC"/>
    <w:rsid w:val="0003730B"/>
    <w:rsid w:val="000377FB"/>
    <w:rsid w:val="0003793C"/>
    <w:rsid w:val="000379F2"/>
    <w:rsid w:val="00037EBA"/>
    <w:rsid w:val="00040138"/>
    <w:rsid w:val="000401C9"/>
    <w:rsid w:val="00040406"/>
    <w:rsid w:val="0004041C"/>
    <w:rsid w:val="000404D1"/>
    <w:rsid w:val="00040600"/>
    <w:rsid w:val="0004075B"/>
    <w:rsid w:val="000407B2"/>
    <w:rsid w:val="00040C07"/>
    <w:rsid w:val="00040C66"/>
    <w:rsid w:val="00040C6B"/>
    <w:rsid w:val="000410BF"/>
    <w:rsid w:val="000410FC"/>
    <w:rsid w:val="00041392"/>
    <w:rsid w:val="00041457"/>
    <w:rsid w:val="000416F5"/>
    <w:rsid w:val="0004185C"/>
    <w:rsid w:val="0004188F"/>
    <w:rsid w:val="0004196C"/>
    <w:rsid w:val="000419F4"/>
    <w:rsid w:val="00041AA9"/>
    <w:rsid w:val="00041B44"/>
    <w:rsid w:val="000420D7"/>
    <w:rsid w:val="000422B0"/>
    <w:rsid w:val="0004297D"/>
    <w:rsid w:val="00042A1E"/>
    <w:rsid w:val="00042ABE"/>
    <w:rsid w:val="00042AF3"/>
    <w:rsid w:val="00042FDD"/>
    <w:rsid w:val="00043731"/>
    <w:rsid w:val="0004376E"/>
    <w:rsid w:val="000438B4"/>
    <w:rsid w:val="00043D83"/>
    <w:rsid w:val="00043E19"/>
    <w:rsid w:val="000440E3"/>
    <w:rsid w:val="00044373"/>
    <w:rsid w:val="00044547"/>
    <w:rsid w:val="00044624"/>
    <w:rsid w:val="00044711"/>
    <w:rsid w:val="0004497B"/>
    <w:rsid w:val="00044E6D"/>
    <w:rsid w:val="00044EE8"/>
    <w:rsid w:val="0004506D"/>
    <w:rsid w:val="000457C8"/>
    <w:rsid w:val="00045818"/>
    <w:rsid w:val="0004597B"/>
    <w:rsid w:val="000460D6"/>
    <w:rsid w:val="0004610F"/>
    <w:rsid w:val="00046281"/>
    <w:rsid w:val="00046513"/>
    <w:rsid w:val="000466B2"/>
    <w:rsid w:val="00046869"/>
    <w:rsid w:val="00046877"/>
    <w:rsid w:val="0004688B"/>
    <w:rsid w:val="00046AF4"/>
    <w:rsid w:val="00046D93"/>
    <w:rsid w:val="000471D2"/>
    <w:rsid w:val="000473EA"/>
    <w:rsid w:val="000476D4"/>
    <w:rsid w:val="000476E4"/>
    <w:rsid w:val="0004794C"/>
    <w:rsid w:val="00047B6D"/>
    <w:rsid w:val="0005055D"/>
    <w:rsid w:val="0005058C"/>
    <w:rsid w:val="0005063A"/>
    <w:rsid w:val="00050767"/>
    <w:rsid w:val="00050AB1"/>
    <w:rsid w:val="0005104A"/>
    <w:rsid w:val="000514F2"/>
    <w:rsid w:val="000517AE"/>
    <w:rsid w:val="00051941"/>
    <w:rsid w:val="00051AA6"/>
    <w:rsid w:val="00051D13"/>
    <w:rsid w:val="00051E44"/>
    <w:rsid w:val="00051FE7"/>
    <w:rsid w:val="000522C6"/>
    <w:rsid w:val="0005250F"/>
    <w:rsid w:val="00052569"/>
    <w:rsid w:val="00052644"/>
    <w:rsid w:val="0005279A"/>
    <w:rsid w:val="00052C46"/>
    <w:rsid w:val="00052C56"/>
    <w:rsid w:val="00052F96"/>
    <w:rsid w:val="0005320D"/>
    <w:rsid w:val="0005324B"/>
    <w:rsid w:val="00053304"/>
    <w:rsid w:val="000533DA"/>
    <w:rsid w:val="00053448"/>
    <w:rsid w:val="000534C4"/>
    <w:rsid w:val="00053589"/>
    <w:rsid w:val="000535DF"/>
    <w:rsid w:val="00053C4F"/>
    <w:rsid w:val="000542F2"/>
    <w:rsid w:val="000547AC"/>
    <w:rsid w:val="00054D59"/>
    <w:rsid w:val="0005527A"/>
    <w:rsid w:val="0005548C"/>
    <w:rsid w:val="000559A0"/>
    <w:rsid w:val="00055C98"/>
    <w:rsid w:val="00055D43"/>
    <w:rsid w:val="00055D9A"/>
    <w:rsid w:val="00055F62"/>
    <w:rsid w:val="00055F6A"/>
    <w:rsid w:val="00056773"/>
    <w:rsid w:val="000567E6"/>
    <w:rsid w:val="00056874"/>
    <w:rsid w:val="000568C5"/>
    <w:rsid w:val="00056C5A"/>
    <w:rsid w:val="00056D4D"/>
    <w:rsid w:val="00056D89"/>
    <w:rsid w:val="000572F4"/>
    <w:rsid w:val="000573F5"/>
    <w:rsid w:val="0005740F"/>
    <w:rsid w:val="0005751B"/>
    <w:rsid w:val="000575DE"/>
    <w:rsid w:val="00057949"/>
    <w:rsid w:val="00057A55"/>
    <w:rsid w:val="0006009A"/>
    <w:rsid w:val="000601BD"/>
    <w:rsid w:val="000602C1"/>
    <w:rsid w:val="000603AB"/>
    <w:rsid w:val="000603BE"/>
    <w:rsid w:val="0006064A"/>
    <w:rsid w:val="000606E2"/>
    <w:rsid w:val="00060EFD"/>
    <w:rsid w:val="00060FDE"/>
    <w:rsid w:val="00061442"/>
    <w:rsid w:val="00061832"/>
    <w:rsid w:val="000618A8"/>
    <w:rsid w:val="00061AFE"/>
    <w:rsid w:val="00061DCF"/>
    <w:rsid w:val="0006200D"/>
    <w:rsid w:val="0006201D"/>
    <w:rsid w:val="0006216C"/>
    <w:rsid w:val="0006229F"/>
    <w:rsid w:val="00062343"/>
    <w:rsid w:val="000626D7"/>
    <w:rsid w:val="00062EAF"/>
    <w:rsid w:val="00062FC6"/>
    <w:rsid w:val="00063029"/>
    <w:rsid w:val="0006313F"/>
    <w:rsid w:val="00063153"/>
    <w:rsid w:val="00063909"/>
    <w:rsid w:val="00063A73"/>
    <w:rsid w:val="00063B52"/>
    <w:rsid w:val="00063BF3"/>
    <w:rsid w:val="00063D4E"/>
    <w:rsid w:val="00063D9B"/>
    <w:rsid w:val="00063FA1"/>
    <w:rsid w:val="000641E6"/>
    <w:rsid w:val="000641FC"/>
    <w:rsid w:val="00064255"/>
    <w:rsid w:val="00064603"/>
    <w:rsid w:val="00064834"/>
    <w:rsid w:val="00064848"/>
    <w:rsid w:val="0006484E"/>
    <w:rsid w:val="00064EBD"/>
    <w:rsid w:val="0006524A"/>
    <w:rsid w:val="000654BB"/>
    <w:rsid w:val="0006581F"/>
    <w:rsid w:val="00065952"/>
    <w:rsid w:val="00065A68"/>
    <w:rsid w:val="00065A8C"/>
    <w:rsid w:val="00065B71"/>
    <w:rsid w:val="0006620E"/>
    <w:rsid w:val="000663F4"/>
    <w:rsid w:val="000669AF"/>
    <w:rsid w:val="00066A06"/>
    <w:rsid w:val="00066A12"/>
    <w:rsid w:val="00066B58"/>
    <w:rsid w:val="00066D78"/>
    <w:rsid w:val="00066E85"/>
    <w:rsid w:val="00066F47"/>
    <w:rsid w:val="00066F76"/>
    <w:rsid w:val="00066FCA"/>
    <w:rsid w:val="000670D6"/>
    <w:rsid w:val="000676DA"/>
    <w:rsid w:val="00067F70"/>
    <w:rsid w:val="00070301"/>
    <w:rsid w:val="00070419"/>
    <w:rsid w:val="00070548"/>
    <w:rsid w:val="000706D7"/>
    <w:rsid w:val="00070E95"/>
    <w:rsid w:val="00070ECF"/>
    <w:rsid w:val="00070F60"/>
    <w:rsid w:val="00070F69"/>
    <w:rsid w:val="00071AA1"/>
    <w:rsid w:val="00071C15"/>
    <w:rsid w:val="00071D0B"/>
    <w:rsid w:val="00071DFC"/>
    <w:rsid w:val="00071E86"/>
    <w:rsid w:val="000721D2"/>
    <w:rsid w:val="000723EA"/>
    <w:rsid w:val="0007255B"/>
    <w:rsid w:val="0007258A"/>
    <w:rsid w:val="000725AE"/>
    <w:rsid w:val="00072855"/>
    <w:rsid w:val="00072884"/>
    <w:rsid w:val="00072CCA"/>
    <w:rsid w:val="00072D6B"/>
    <w:rsid w:val="00072E98"/>
    <w:rsid w:val="00072F9F"/>
    <w:rsid w:val="00073069"/>
    <w:rsid w:val="0007332B"/>
    <w:rsid w:val="0007336D"/>
    <w:rsid w:val="0007337D"/>
    <w:rsid w:val="00073B17"/>
    <w:rsid w:val="00073B88"/>
    <w:rsid w:val="00073E99"/>
    <w:rsid w:val="000742BB"/>
    <w:rsid w:val="00074477"/>
    <w:rsid w:val="00074683"/>
    <w:rsid w:val="0007473B"/>
    <w:rsid w:val="00074C0E"/>
    <w:rsid w:val="00074C0F"/>
    <w:rsid w:val="00074D8F"/>
    <w:rsid w:val="00074EEA"/>
    <w:rsid w:val="00074F74"/>
    <w:rsid w:val="00075348"/>
    <w:rsid w:val="0007537B"/>
    <w:rsid w:val="000753C6"/>
    <w:rsid w:val="00075650"/>
    <w:rsid w:val="00075681"/>
    <w:rsid w:val="00075837"/>
    <w:rsid w:val="000758B0"/>
    <w:rsid w:val="00075D58"/>
    <w:rsid w:val="000761B6"/>
    <w:rsid w:val="00076407"/>
    <w:rsid w:val="00076570"/>
    <w:rsid w:val="0007670D"/>
    <w:rsid w:val="00076918"/>
    <w:rsid w:val="00076B8B"/>
    <w:rsid w:val="000770BE"/>
    <w:rsid w:val="00077237"/>
    <w:rsid w:val="00077317"/>
    <w:rsid w:val="00077571"/>
    <w:rsid w:val="00077AE9"/>
    <w:rsid w:val="00077B41"/>
    <w:rsid w:val="00077CF4"/>
    <w:rsid w:val="00077D12"/>
    <w:rsid w:val="00077ECB"/>
    <w:rsid w:val="000801FD"/>
    <w:rsid w:val="000803B6"/>
    <w:rsid w:val="000804AD"/>
    <w:rsid w:val="000807BD"/>
    <w:rsid w:val="00080B10"/>
    <w:rsid w:val="00080B15"/>
    <w:rsid w:val="00080B65"/>
    <w:rsid w:val="00080FD3"/>
    <w:rsid w:val="00081378"/>
    <w:rsid w:val="000817C6"/>
    <w:rsid w:val="00081B87"/>
    <w:rsid w:val="0008202E"/>
    <w:rsid w:val="0008214C"/>
    <w:rsid w:val="0008229E"/>
    <w:rsid w:val="000828E6"/>
    <w:rsid w:val="00082A16"/>
    <w:rsid w:val="00082C7C"/>
    <w:rsid w:val="00082DCC"/>
    <w:rsid w:val="00082FE6"/>
    <w:rsid w:val="000832C6"/>
    <w:rsid w:val="000832D7"/>
    <w:rsid w:val="0008338C"/>
    <w:rsid w:val="0008388D"/>
    <w:rsid w:val="000838E0"/>
    <w:rsid w:val="00083D03"/>
    <w:rsid w:val="000841B9"/>
    <w:rsid w:val="00084300"/>
    <w:rsid w:val="000848F7"/>
    <w:rsid w:val="00084B10"/>
    <w:rsid w:val="00084BF0"/>
    <w:rsid w:val="00084C30"/>
    <w:rsid w:val="00084D30"/>
    <w:rsid w:val="00084D9A"/>
    <w:rsid w:val="0008569A"/>
    <w:rsid w:val="00085772"/>
    <w:rsid w:val="00085D1D"/>
    <w:rsid w:val="00085D3A"/>
    <w:rsid w:val="00085DC0"/>
    <w:rsid w:val="00085E84"/>
    <w:rsid w:val="000862C4"/>
    <w:rsid w:val="00086334"/>
    <w:rsid w:val="0008672D"/>
    <w:rsid w:val="00086757"/>
    <w:rsid w:val="00086A6D"/>
    <w:rsid w:val="00086B57"/>
    <w:rsid w:val="00087060"/>
    <w:rsid w:val="00087482"/>
    <w:rsid w:val="0008754F"/>
    <w:rsid w:val="0008763E"/>
    <w:rsid w:val="00087853"/>
    <w:rsid w:val="00087C4E"/>
    <w:rsid w:val="00087C92"/>
    <w:rsid w:val="00087CD7"/>
    <w:rsid w:val="000905C8"/>
    <w:rsid w:val="000906B5"/>
    <w:rsid w:val="00090764"/>
    <w:rsid w:val="00091084"/>
    <w:rsid w:val="000914FA"/>
    <w:rsid w:val="00091685"/>
    <w:rsid w:val="000916E2"/>
    <w:rsid w:val="000917C1"/>
    <w:rsid w:val="00091803"/>
    <w:rsid w:val="000919E8"/>
    <w:rsid w:val="00091C28"/>
    <w:rsid w:val="00091E57"/>
    <w:rsid w:val="00091F9D"/>
    <w:rsid w:val="0009214D"/>
    <w:rsid w:val="0009227A"/>
    <w:rsid w:val="000925E3"/>
    <w:rsid w:val="0009270C"/>
    <w:rsid w:val="0009271D"/>
    <w:rsid w:val="00092754"/>
    <w:rsid w:val="000928D9"/>
    <w:rsid w:val="00092B81"/>
    <w:rsid w:val="00092B9A"/>
    <w:rsid w:val="00092D9A"/>
    <w:rsid w:val="00092FF5"/>
    <w:rsid w:val="00093021"/>
    <w:rsid w:val="00093059"/>
    <w:rsid w:val="0009322D"/>
    <w:rsid w:val="00093262"/>
    <w:rsid w:val="00093658"/>
    <w:rsid w:val="000938F4"/>
    <w:rsid w:val="00093A88"/>
    <w:rsid w:val="00093D8A"/>
    <w:rsid w:val="00094451"/>
    <w:rsid w:val="00094482"/>
    <w:rsid w:val="0009484F"/>
    <w:rsid w:val="00094D11"/>
    <w:rsid w:val="000957EC"/>
    <w:rsid w:val="000958DC"/>
    <w:rsid w:val="000959D4"/>
    <w:rsid w:val="00095BDB"/>
    <w:rsid w:val="00095C26"/>
    <w:rsid w:val="00095C56"/>
    <w:rsid w:val="00095C8D"/>
    <w:rsid w:val="000960FC"/>
    <w:rsid w:val="0009644B"/>
    <w:rsid w:val="00096681"/>
    <w:rsid w:val="00096813"/>
    <w:rsid w:val="00096B30"/>
    <w:rsid w:val="00096B4A"/>
    <w:rsid w:val="00096D3A"/>
    <w:rsid w:val="0009738C"/>
    <w:rsid w:val="00097419"/>
    <w:rsid w:val="00097939"/>
    <w:rsid w:val="00097985"/>
    <w:rsid w:val="000A052E"/>
    <w:rsid w:val="000A0538"/>
    <w:rsid w:val="000A05AB"/>
    <w:rsid w:val="000A07CE"/>
    <w:rsid w:val="000A089F"/>
    <w:rsid w:val="000A08FA"/>
    <w:rsid w:val="000A0988"/>
    <w:rsid w:val="000A0A66"/>
    <w:rsid w:val="000A1175"/>
    <w:rsid w:val="000A132A"/>
    <w:rsid w:val="000A13FA"/>
    <w:rsid w:val="000A180D"/>
    <w:rsid w:val="000A1E7B"/>
    <w:rsid w:val="000A218E"/>
    <w:rsid w:val="000A2209"/>
    <w:rsid w:val="000A24B9"/>
    <w:rsid w:val="000A2673"/>
    <w:rsid w:val="000A2767"/>
    <w:rsid w:val="000A27CE"/>
    <w:rsid w:val="000A2867"/>
    <w:rsid w:val="000A287F"/>
    <w:rsid w:val="000A2ED8"/>
    <w:rsid w:val="000A2F8B"/>
    <w:rsid w:val="000A32DA"/>
    <w:rsid w:val="000A3373"/>
    <w:rsid w:val="000A33B6"/>
    <w:rsid w:val="000A33FD"/>
    <w:rsid w:val="000A34A3"/>
    <w:rsid w:val="000A34EA"/>
    <w:rsid w:val="000A34F7"/>
    <w:rsid w:val="000A3558"/>
    <w:rsid w:val="000A374F"/>
    <w:rsid w:val="000A37AD"/>
    <w:rsid w:val="000A39A2"/>
    <w:rsid w:val="000A3CA2"/>
    <w:rsid w:val="000A40C2"/>
    <w:rsid w:val="000A425F"/>
    <w:rsid w:val="000A42E0"/>
    <w:rsid w:val="000A4A91"/>
    <w:rsid w:val="000A4D2F"/>
    <w:rsid w:val="000A52EF"/>
    <w:rsid w:val="000A53F7"/>
    <w:rsid w:val="000A5D9D"/>
    <w:rsid w:val="000A5DF1"/>
    <w:rsid w:val="000A5F20"/>
    <w:rsid w:val="000A5FB5"/>
    <w:rsid w:val="000A6332"/>
    <w:rsid w:val="000A6365"/>
    <w:rsid w:val="000A6376"/>
    <w:rsid w:val="000A64A3"/>
    <w:rsid w:val="000A64F8"/>
    <w:rsid w:val="000A67A0"/>
    <w:rsid w:val="000A67D7"/>
    <w:rsid w:val="000A6BCD"/>
    <w:rsid w:val="000A6C1C"/>
    <w:rsid w:val="000A6C5C"/>
    <w:rsid w:val="000A6D11"/>
    <w:rsid w:val="000A6E2F"/>
    <w:rsid w:val="000A6EFA"/>
    <w:rsid w:val="000A6F37"/>
    <w:rsid w:val="000A78E0"/>
    <w:rsid w:val="000A7AAC"/>
    <w:rsid w:val="000A7C14"/>
    <w:rsid w:val="000A7C31"/>
    <w:rsid w:val="000A7C72"/>
    <w:rsid w:val="000A7E63"/>
    <w:rsid w:val="000A7F4B"/>
    <w:rsid w:val="000A7F62"/>
    <w:rsid w:val="000B077A"/>
    <w:rsid w:val="000B0DEE"/>
    <w:rsid w:val="000B10CE"/>
    <w:rsid w:val="000B1604"/>
    <w:rsid w:val="000B1A4D"/>
    <w:rsid w:val="000B1B90"/>
    <w:rsid w:val="000B21D5"/>
    <w:rsid w:val="000B2201"/>
    <w:rsid w:val="000B225D"/>
    <w:rsid w:val="000B2614"/>
    <w:rsid w:val="000B2C5A"/>
    <w:rsid w:val="000B2ED6"/>
    <w:rsid w:val="000B2F87"/>
    <w:rsid w:val="000B3365"/>
    <w:rsid w:val="000B33B1"/>
    <w:rsid w:val="000B3400"/>
    <w:rsid w:val="000B38E2"/>
    <w:rsid w:val="000B3921"/>
    <w:rsid w:val="000B3A22"/>
    <w:rsid w:val="000B3D42"/>
    <w:rsid w:val="000B4410"/>
    <w:rsid w:val="000B4AFA"/>
    <w:rsid w:val="000B4B93"/>
    <w:rsid w:val="000B4C08"/>
    <w:rsid w:val="000B4C49"/>
    <w:rsid w:val="000B4EF5"/>
    <w:rsid w:val="000B4F79"/>
    <w:rsid w:val="000B5084"/>
    <w:rsid w:val="000B515A"/>
    <w:rsid w:val="000B52A8"/>
    <w:rsid w:val="000B549C"/>
    <w:rsid w:val="000B54FF"/>
    <w:rsid w:val="000B56AE"/>
    <w:rsid w:val="000B5750"/>
    <w:rsid w:val="000B57BB"/>
    <w:rsid w:val="000B5BDD"/>
    <w:rsid w:val="000B5C32"/>
    <w:rsid w:val="000B5D9B"/>
    <w:rsid w:val="000B60F9"/>
    <w:rsid w:val="000B61B9"/>
    <w:rsid w:val="000B63C9"/>
    <w:rsid w:val="000B6652"/>
    <w:rsid w:val="000B6C7A"/>
    <w:rsid w:val="000B6D11"/>
    <w:rsid w:val="000B70CD"/>
    <w:rsid w:val="000B717C"/>
    <w:rsid w:val="000B721C"/>
    <w:rsid w:val="000B7366"/>
    <w:rsid w:val="000B73AB"/>
    <w:rsid w:val="000B756C"/>
    <w:rsid w:val="000B75F2"/>
    <w:rsid w:val="000B777B"/>
    <w:rsid w:val="000B78A9"/>
    <w:rsid w:val="000B7A48"/>
    <w:rsid w:val="000B7BA4"/>
    <w:rsid w:val="000B7E26"/>
    <w:rsid w:val="000C04B6"/>
    <w:rsid w:val="000C061A"/>
    <w:rsid w:val="000C0C8F"/>
    <w:rsid w:val="000C0C92"/>
    <w:rsid w:val="000C1105"/>
    <w:rsid w:val="000C1743"/>
    <w:rsid w:val="000C1A36"/>
    <w:rsid w:val="000C1A45"/>
    <w:rsid w:val="000C1B04"/>
    <w:rsid w:val="000C1B0B"/>
    <w:rsid w:val="000C1C41"/>
    <w:rsid w:val="000C1C68"/>
    <w:rsid w:val="000C1CD7"/>
    <w:rsid w:val="000C2047"/>
    <w:rsid w:val="000C20ED"/>
    <w:rsid w:val="000C2198"/>
    <w:rsid w:val="000C2406"/>
    <w:rsid w:val="000C2424"/>
    <w:rsid w:val="000C2596"/>
    <w:rsid w:val="000C261F"/>
    <w:rsid w:val="000C2F7B"/>
    <w:rsid w:val="000C335B"/>
    <w:rsid w:val="000C3374"/>
    <w:rsid w:val="000C35B4"/>
    <w:rsid w:val="000C39FA"/>
    <w:rsid w:val="000C3A30"/>
    <w:rsid w:val="000C3D69"/>
    <w:rsid w:val="000C3E1F"/>
    <w:rsid w:val="000C3EC9"/>
    <w:rsid w:val="000C3F62"/>
    <w:rsid w:val="000C474E"/>
    <w:rsid w:val="000C5107"/>
    <w:rsid w:val="000C525C"/>
    <w:rsid w:val="000C531D"/>
    <w:rsid w:val="000C53B0"/>
    <w:rsid w:val="000C54E8"/>
    <w:rsid w:val="000C550D"/>
    <w:rsid w:val="000C58BB"/>
    <w:rsid w:val="000C5A03"/>
    <w:rsid w:val="000C5ADA"/>
    <w:rsid w:val="000C5CE1"/>
    <w:rsid w:val="000C5E9B"/>
    <w:rsid w:val="000C5FE3"/>
    <w:rsid w:val="000C5FF6"/>
    <w:rsid w:val="000C60E6"/>
    <w:rsid w:val="000C619F"/>
    <w:rsid w:val="000C61C0"/>
    <w:rsid w:val="000C629D"/>
    <w:rsid w:val="000C63B4"/>
    <w:rsid w:val="000C6547"/>
    <w:rsid w:val="000C668B"/>
    <w:rsid w:val="000C6725"/>
    <w:rsid w:val="000C67F4"/>
    <w:rsid w:val="000C69F7"/>
    <w:rsid w:val="000C6B18"/>
    <w:rsid w:val="000C6DA1"/>
    <w:rsid w:val="000C70E8"/>
    <w:rsid w:val="000C70F4"/>
    <w:rsid w:val="000C7305"/>
    <w:rsid w:val="000C7393"/>
    <w:rsid w:val="000C751C"/>
    <w:rsid w:val="000C752A"/>
    <w:rsid w:val="000C752F"/>
    <w:rsid w:val="000C760C"/>
    <w:rsid w:val="000C7E03"/>
    <w:rsid w:val="000C7E1C"/>
    <w:rsid w:val="000C7EDE"/>
    <w:rsid w:val="000D0038"/>
    <w:rsid w:val="000D0089"/>
    <w:rsid w:val="000D016E"/>
    <w:rsid w:val="000D02FA"/>
    <w:rsid w:val="000D0557"/>
    <w:rsid w:val="000D07BC"/>
    <w:rsid w:val="000D080F"/>
    <w:rsid w:val="000D099E"/>
    <w:rsid w:val="000D0B09"/>
    <w:rsid w:val="000D10F6"/>
    <w:rsid w:val="000D11B1"/>
    <w:rsid w:val="000D144C"/>
    <w:rsid w:val="000D15DC"/>
    <w:rsid w:val="000D192A"/>
    <w:rsid w:val="000D1A7F"/>
    <w:rsid w:val="000D1E32"/>
    <w:rsid w:val="000D2205"/>
    <w:rsid w:val="000D223D"/>
    <w:rsid w:val="000D246D"/>
    <w:rsid w:val="000D25AA"/>
    <w:rsid w:val="000D2A2B"/>
    <w:rsid w:val="000D2AFA"/>
    <w:rsid w:val="000D2F23"/>
    <w:rsid w:val="000D3017"/>
    <w:rsid w:val="000D3206"/>
    <w:rsid w:val="000D38C1"/>
    <w:rsid w:val="000D3A72"/>
    <w:rsid w:val="000D3E0A"/>
    <w:rsid w:val="000D4147"/>
    <w:rsid w:val="000D431F"/>
    <w:rsid w:val="000D443E"/>
    <w:rsid w:val="000D44DE"/>
    <w:rsid w:val="000D4731"/>
    <w:rsid w:val="000D480A"/>
    <w:rsid w:val="000D481C"/>
    <w:rsid w:val="000D4974"/>
    <w:rsid w:val="000D4A65"/>
    <w:rsid w:val="000D4CEA"/>
    <w:rsid w:val="000D4E30"/>
    <w:rsid w:val="000D5028"/>
    <w:rsid w:val="000D5097"/>
    <w:rsid w:val="000D509F"/>
    <w:rsid w:val="000D5296"/>
    <w:rsid w:val="000D542D"/>
    <w:rsid w:val="000D54D7"/>
    <w:rsid w:val="000D55DF"/>
    <w:rsid w:val="000D58B5"/>
    <w:rsid w:val="000D6404"/>
    <w:rsid w:val="000D64D0"/>
    <w:rsid w:val="000D6924"/>
    <w:rsid w:val="000D6A30"/>
    <w:rsid w:val="000D6B33"/>
    <w:rsid w:val="000D6BF6"/>
    <w:rsid w:val="000D6DE7"/>
    <w:rsid w:val="000D6E77"/>
    <w:rsid w:val="000D6EAB"/>
    <w:rsid w:val="000D6FCC"/>
    <w:rsid w:val="000D7242"/>
    <w:rsid w:val="000D7446"/>
    <w:rsid w:val="000D74E3"/>
    <w:rsid w:val="000D75BD"/>
    <w:rsid w:val="000D787A"/>
    <w:rsid w:val="000D78D4"/>
    <w:rsid w:val="000D7944"/>
    <w:rsid w:val="000D7BC0"/>
    <w:rsid w:val="000D7E67"/>
    <w:rsid w:val="000D7FEB"/>
    <w:rsid w:val="000E0052"/>
    <w:rsid w:val="000E01AC"/>
    <w:rsid w:val="000E01D0"/>
    <w:rsid w:val="000E044D"/>
    <w:rsid w:val="000E053F"/>
    <w:rsid w:val="000E057D"/>
    <w:rsid w:val="000E05B6"/>
    <w:rsid w:val="000E062D"/>
    <w:rsid w:val="000E06CC"/>
    <w:rsid w:val="000E07E8"/>
    <w:rsid w:val="000E08DC"/>
    <w:rsid w:val="000E090E"/>
    <w:rsid w:val="000E0BF9"/>
    <w:rsid w:val="000E0E22"/>
    <w:rsid w:val="000E14A2"/>
    <w:rsid w:val="000E16C2"/>
    <w:rsid w:val="000E16D5"/>
    <w:rsid w:val="000E1801"/>
    <w:rsid w:val="000E183E"/>
    <w:rsid w:val="000E184E"/>
    <w:rsid w:val="000E1939"/>
    <w:rsid w:val="000E196F"/>
    <w:rsid w:val="000E19AA"/>
    <w:rsid w:val="000E1A0A"/>
    <w:rsid w:val="000E1BB9"/>
    <w:rsid w:val="000E1D50"/>
    <w:rsid w:val="000E2180"/>
    <w:rsid w:val="000E242A"/>
    <w:rsid w:val="000E260C"/>
    <w:rsid w:val="000E260E"/>
    <w:rsid w:val="000E2B2B"/>
    <w:rsid w:val="000E2C91"/>
    <w:rsid w:val="000E2DA4"/>
    <w:rsid w:val="000E3007"/>
    <w:rsid w:val="000E3044"/>
    <w:rsid w:val="000E31A6"/>
    <w:rsid w:val="000E33F4"/>
    <w:rsid w:val="000E347D"/>
    <w:rsid w:val="000E36CC"/>
    <w:rsid w:val="000E3761"/>
    <w:rsid w:val="000E3B87"/>
    <w:rsid w:val="000E3BF8"/>
    <w:rsid w:val="000E3C5A"/>
    <w:rsid w:val="000E3CEB"/>
    <w:rsid w:val="000E3DFE"/>
    <w:rsid w:val="000E3E77"/>
    <w:rsid w:val="000E4017"/>
    <w:rsid w:val="000E4242"/>
    <w:rsid w:val="000E45A2"/>
    <w:rsid w:val="000E484A"/>
    <w:rsid w:val="000E49C7"/>
    <w:rsid w:val="000E4B3E"/>
    <w:rsid w:val="000E4B93"/>
    <w:rsid w:val="000E4EBA"/>
    <w:rsid w:val="000E5058"/>
    <w:rsid w:val="000E5184"/>
    <w:rsid w:val="000E5378"/>
    <w:rsid w:val="000E5F27"/>
    <w:rsid w:val="000E6141"/>
    <w:rsid w:val="000E62AC"/>
    <w:rsid w:val="000E62C4"/>
    <w:rsid w:val="000E6429"/>
    <w:rsid w:val="000E647D"/>
    <w:rsid w:val="000E660B"/>
    <w:rsid w:val="000E66B4"/>
    <w:rsid w:val="000E67A4"/>
    <w:rsid w:val="000E6A8D"/>
    <w:rsid w:val="000E6C2A"/>
    <w:rsid w:val="000E6D20"/>
    <w:rsid w:val="000E6EDE"/>
    <w:rsid w:val="000E73B9"/>
    <w:rsid w:val="000E77E5"/>
    <w:rsid w:val="000E7F02"/>
    <w:rsid w:val="000F0162"/>
    <w:rsid w:val="000F022A"/>
    <w:rsid w:val="000F02FB"/>
    <w:rsid w:val="000F0523"/>
    <w:rsid w:val="000F0898"/>
    <w:rsid w:val="000F103B"/>
    <w:rsid w:val="000F113F"/>
    <w:rsid w:val="000F1648"/>
    <w:rsid w:val="000F176F"/>
    <w:rsid w:val="000F17E4"/>
    <w:rsid w:val="000F216D"/>
    <w:rsid w:val="000F2217"/>
    <w:rsid w:val="000F2780"/>
    <w:rsid w:val="000F28BA"/>
    <w:rsid w:val="000F28EF"/>
    <w:rsid w:val="000F2968"/>
    <w:rsid w:val="000F2A35"/>
    <w:rsid w:val="000F2A65"/>
    <w:rsid w:val="000F2D45"/>
    <w:rsid w:val="000F2DB8"/>
    <w:rsid w:val="000F3285"/>
    <w:rsid w:val="000F350E"/>
    <w:rsid w:val="000F357E"/>
    <w:rsid w:val="000F36D0"/>
    <w:rsid w:val="000F36ED"/>
    <w:rsid w:val="000F373B"/>
    <w:rsid w:val="000F39CB"/>
    <w:rsid w:val="000F3A50"/>
    <w:rsid w:val="000F3B78"/>
    <w:rsid w:val="000F3C1A"/>
    <w:rsid w:val="000F3E88"/>
    <w:rsid w:val="000F4039"/>
    <w:rsid w:val="000F407D"/>
    <w:rsid w:val="000F40E4"/>
    <w:rsid w:val="000F4530"/>
    <w:rsid w:val="000F4644"/>
    <w:rsid w:val="000F4E7B"/>
    <w:rsid w:val="000F5033"/>
    <w:rsid w:val="000F52DD"/>
    <w:rsid w:val="000F5390"/>
    <w:rsid w:val="000F5545"/>
    <w:rsid w:val="000F5565"/>
    <w:rsid w:val="000F55E4"/>
    <w:rsid w:val="000F56E5"/>
    <w:rsid w:val="000F5C0F"/>
    <w:rsid w:val="000F5C4E"/>
    <w:rsid w:val="000F5D1B"/>
    <w:rsid w:val="000F5D88"/>
    <w:rsid w:val="000F6022"/>
    <w:rsid w:val="000F606F"/>
    <w:rsid w:val="000F60DF"/>
    <w:rsid w:val="000F695F"/>
    <w:rsid w:val="000F6968"/>
    <w:rsid w:val="000F69AE"/>
    <w:rsid w:val="000F6C3B"/>
    <w:rsid w:val="000F7166"/>
    <w:rsid w:val="000F736D"/>
    <w:rsid w:val="000F73DC"/>
    <w:rsid w:val="000F744D"/>
    <w:rsid w:val="000F75E6"/>
    <w:rsid w:val="000F7627"/>
    <w:rsid w:val="000F769E"/>
    <w:rsid w:val="000F76BE"/>
    <w:rsid w:val="000F791A"/>
    <w:rsid w:val="000F7A31"/>
    <w:rsid w:val="000F7C13"/>
    <w:rsid w:val="000F7D22"/>
    <w:rsid w:val="000F7DDF"/>
    <w:rsid w:val="000F7E55"/>
    <w:rsid w:val="0010002F"/>
    <w:rsid w:val="00100191"/>
    <w:rsid w:val="00100265"/>
    <w:rsid w:val="0010033E"/>
    <w:rsid w:val="001003B2"/>
    <w:rsid w:val="00100562"/>
    <w:rsid w:val="001005CD"/>
    <w:rsid w:val="001005CF"/>
    <w:rsid w:val="00100657"/>
    <w:rsid w:val="00100812"/>
    <w:rsid w:val="001009F4"/>
    <w:rsid w:val="00100BC8"/>
    <w:rsid w:val="00100E64"/>
    <w:rsid w:val="00100F04"/>
    <w:rsid w:val="00100F77"/>
    <w:rsid w:val="00101159"/>
    <w:rsid w:val="0010119F"/>
    <w:rsid w:val="00101454"/>
    <w:rsid w:val="00101824"/>
    <w:rsid w:val="00101DA0"/>
    <w:rsid w:val="00101EFD"/>
    <w:rsid w:val="00101F98"/>
    <w:rsid w:val="00101FB5"/>
    <w:rsid w:val="00101FFA"/>
    <w:rsid w:val="00102042"/>
    <w:rsid w:val="00102102"/>
    <w:rsid w:val="00102145"/>
    <w:rsid w:val="00102AC5"/>
    <w:rsid w:val="00102D4F"/>
    <w:rsid w:val="00102EEA"/>
    <w:rsid w:val="00102F2D"/>
    <w:rsid w:val="00102FF1"/>
    <w:rsid w:val="00103119"/>
    <w:rsid w:val="00103475"/>
    <w:rsid w:val="001038B6"/>
    <w:rsid w:val="001038CD"/>
    <w:rsid w:val="00103A5A"/>
    <w:rsid w:val="00103CFB"/>
    <w:rsid w:val="00103F2E"/>
    <w:rsid w:val="0010415E"/>
    <w:rsid w:val="001041C1"/>
    <w:rsid w:val="001044C9"/>
    <w:rsid w:val="00104556"/>
    <w:rsid w:val="00104750"/>
    <w:rsid w:val="0010480C"/>
    <w:rsid w:val="00104828"/>
    <w:rsid w:val="00104839"/>
    <w:rsid w:val="00104891"/>
    <w:rsid w:val="00104956"/>
    <w:rsid w:val="00104D8C"/>
    <w:rsid w:val="00104E7D"/>
    <w:rsid w:val="00105270"/>
    <w:rsid w:val="00105516"/>
    <w:rsid w:val="001055F6"/>
    <w:rsid w:val="001057A3"/>
    <w:rsid w:val="0010586E"/>
    <w:rsid w:val="001059F2"/>
    <w:rsid w:val="00105AFB"/>
    <w:rsid w:val="00105C02"/>
    <w:rsid w:val="00105D6A"/>
    <w:rsid w:val="00105D88"/>
    <w:rsid w:val="00105DD4"/>
    <w:rsid w:val="00105E5C"/>
    <w:rsid w:val="00106083"/>
    <w:rsid w:val="001060A9"/>
    <w:rsid w:val="001069AF"/>
    <w:rsid w:val="00106D88"/>
    <w:rsid w:val="00106D89"/>
    <w:rsid w:val="001073EE"/>
    <w:rsid w:val="001074C0"/>
    <w:rsid w:val="00107536"/>
    <w:rsid w:val="00107A92"/>
    <w:rsid w:val="00107AFE"/>
    <w:rsid w:val="00107BE6"/>
    <w:rsid w:val="00107D0E"/>
    <w:rsid w:val="0011008D"/>
    <w:rsid w:val="00110329"/>
    <w:rsid w:val="001104A0"/>
    <w:rsid w:val="001107EA"/>
    <w:rsid w:val="00110A83"/>
    <w:rsid w:val="00110B82"/>
    <w:rsid w:val="001110A5"/>
    <w:rsid w:val="00111518"/>
    <w:rsid w:val="00111560"/>
    <w:rsid w:val="0011159F"/>
    <w:rsid w:val="00111684"/>
    <w:rsid w:val="00111820"/>
    <w:rsid w:val="00111A42"/>
    <w:rsid w:val="001123DB"/>
    <w:rsid w:val="001126F1"/>
    <w:rsid w:val="00112C02"/>
    <w:rsid w:val="00112E17"/>
    <w:rsid w:val="0011307C"/>
    <w:rsid w:val="001130E5"/>
    <w:rsid w:val="001132EC"/>
    <w:rsid w:val="0011331A"/>
    <w:rsid w:val="0011333B"/>
    <w:rsid w:val="001134AC"/>
    <w:rsid w:val="001135B2"/>
    <w:rsid w:val="00113785"/>
    <w:rsid w:val="00113941"/>
    <w:rsid w:val="00113A4D"/>
    <w:rsid w:val="0011406B"/>
    <w:rsid w:val="001140AB"/>
    <w:rsid w:val="0011416E"/>
    <w:rsid w:val="001142C0"/>
    <w:rsid w:val="001143F7"/>
    <w:rsid w:val="00114477"/>
    <w:rsid w:val="00114539"/>
    <w:rsid w:val="00114589"/>
    <w:rsid w:val="001145DA"/>
    <w:rsid w:val="00114893"/>
    <w:rsid w:val="0011498B"/>
    <w:rsid w:val="00114DA2"/>
    <w:rsid w:val="00115042"/>
    <w:rsid w:val="001151A5"/>
    <w:rsid w:val="001151AB"/>
    <w:rsid w:val="00115423"/>
    <w:rsid w:val="0011560F"/>
    <w:rsid w:val="00115662"/>
    <w:rsid w:val="00115A9F"/>
    <w:rsid w:val="00115E24"/>
    <w:rsid w:val="00115E58"/>
    <w:rsid w:val="00115FDB"/>
    <w:rsid w:val="00115FE7"/>
    <w:rsid w:val="00116132"/>
    <w:rsid w:val="0011618F"/>
    <w:rsid w:val="0011634A"/>
    <w:rsid w:val="001166DF"/>
    <w:rsid w:val="00116771"/>
    <w:rsid w:val="001173EF"/>
    <w:rsid w:val="0011761E"/>
    <w:rsid w:val="00117C47"/>
    <w:rsid w:val="00117ECF"/>
    <w:rsid w:val="00120068"/>
    <w:rsid w:val="00120289"/>
    <w:rsid w:val="001202F4"/>
    <w:rsid w:val="0012053E"/>
    <w:rsid w:val="001207E2"/>
    <w:rsid w:val="00120AE8"/>
    <w:rsid w:val="00120B78"/>
    <w:rsid w:val="00120C12"/>
    <w:rsid w:val="00120E6F"/>
    <w:rsid w:val="001212EF"/>
    <w:rsid w:val="00121338"/>
    <w:rsid w:val="001214EB"/>
    <w:rsid w:val="001216E8"/>
    <w:rsid w:val="00121786"/>
    <w:rsid w:val="001217C9"/>
    <w:rsid w:val="001218A9"/>
    <w:rsid w:val="00121950"/>
    <w:rsid w:val="00121C0B"/>
    <w:rsid w:val="00121C65"/>
    <w:rsid w:val="00121C76"/>
    <w:rsid w:val="00121D0F"/>
    <w:rsid w:val="00121EF3"/>
    <w:rsid w:val="001222AA"/>
    <w:rsid w:val="001226CD"/>
    <w:rsid w:val="00122A15"/>
    <w:rsid w:val="00122C5E"/>
    <w:rsid w:val="00122C90"/>
    <w:rsid w:val="00122FAD"/>
    <w:rsid w:val="00122FEE"/>
    <w:rsid w:val="0012321D"/>
    <w:rsid w:val="00123598"/>
    <w:rsid w:val="00123708"/>
    <w:rsid w:val="0012397A"/>
    <w:rsid w:val="00123A15"/>
    <w:rsid w:val="00123C28"/>
    <w:rsid w:val="00123D91"/>
    <w:rsid w:val="00123EEA"/>
    <w:rsid w:val="0012402A"/>
    <w:rsid w:val="00124032"/>
    <w:rsid w:val="0012404F"/>
    <w:rsid w:val="00124219"/>
    <w:rsid w:val="001244E0"/>
    <w:rsid w:val="00124E8A"/>
    <w:rsid w:val="00124ECA"/>
    <w:rsid w:val="00124F02"/>
    <w:rsid w:val="001250B5"/>
    <w:rsid w:val="0012522C"/>
    <w:rsid w:val="0012531B"/>
    <w:rsid w:val="00125805"/>
    <w:rsid w:val="00125856"/>
    <w:rsid w:val="00125A1A"/>
    <w:rsid w:val="00125B4E"/>
    <w:rsid w:val="00125CB9"/>
    <w:rsid w:val="00125DF3"/>
    <w:rsid w:val="00125E01"/>
    <w:rsid w:val="00125E48"/>
    <w:rsid w:val="00125F35"/>
    <w:rsid w:val="0012607A"/>
    <w:rsid w:val="0012626C"/>
    <w:rsid w:val="00126478"/>
    <w:rsid w:val="001264E6"/>
    <w:rsid w:val="00126727"/>
    <w:rsid w:val="0012681D"/>
    <w:rsid w:val="0012696B"/>
    <w:rsid w:val="00126CDB"/>
    <w:rsid w:val="00126F71"/>
    <w:rsid w:val="001270AA"/>
    <w:rsid w:val="001270E3"/>
    <w:rsid w:val="00127133"/>
    <w:rsid w:val="001271E5"/>
    <w:rsid w:val="001273E3"/>
    <w:rsid w:val="0012753B"/>
    <w:rsid w:val="00127AF0"/>
    <w:rsid w:val="00127CAC"/>
    <w:rsid w:val="00127DCB"/>
    <w:rsid w:val="00127F9F"/>
    <w:rsid w:val="00127FD7"/>
    <w:rsid w:val="00130121"/>
    <w:rsid w:val="001301BF"/>
    <w:rsid w:val="00130448"/>
    <w:rsid w:val="001304D0"/>
    <w:rsid w:val="0013092D"/>
    <w:rsid w:val="00130940"/>
    <w:rsid w:val="0013099D"/>
    <w:rsid w:val="001309C0"/>
    <w:rsid w:val="00130A0C"/>
    <w:rsid w:val="00130D12"/>
    <w:rsid w:val="0013158F"/>
    <w:rsid w:val="00131759"/>
    <w:rsid w:val="0013180B"/>
    <w:rsid w:val="00131C8E"/>
    <w:rsid w:val="0013218C"/>
    <w:rsid w:val="00132285"/>
    <w:rsid w:val="00132566"/>
    <w:rsid w:val="001326DE"/>
    <w:rsid w:val="001329BF"/>
    <w:rsid w:val="00132AE2"/>
    <w:rsid w:val="001332C8"/>
    <w:rsid w:val="00133578"/>
    <w:rsid w:val="001336B4"/>
    <w:rsid w:val="00133861"/>
    <w:rsid w:val="0013389D"/>
    <w:rsid w:val="00133F28"/>
    <w:rsid w:val="001340BA"/>
    <w:rsid w:val="001340E7"/>
    <w:rsid w:val="00134683"/>
    <w:rsid w:val="001346AE"/>
    <w:rsid w:val="00134D1E"/>
    <w:rsid w:val="00134DFF"/>
    <w:rsid w:val="00134E85"/>
    <w:rsid w:val="00134F74"/>
    <w:rsid w:val="00134F7C"/>
    <w:rsid w:val="00134FA3"/>
    <w:rsid w:val="00135192"/>
    <w:rsid w:val="0013534E"/>
    <w:rsid w:val="001353B8"/>
    <w:rsid w:val="00135724"/>
    <w:rsid w:val="00135844"/>
    <w:rsid w:val="001359EF"/>
    <w:rsid w:val="00135DA0"/>
    <w:rsid w:val="00136642"/>
    <w:rsid w:val="001366B7"/>
    <w:rsid w:val="001369BA"/>
    <w:rsid w:val="00136A74"/>
    <w:rsid w:val="00136F73"/>
    <w:rsid w:val="0013719B"/>
    <w:rsid w:val="0013719F"/>
    <w:rsid w:val="001372FB"/>
    <w:rsid w:val="00137536"/>
    <w:rsid w:val="00137711"/>
    <w:rsid w:val="001377C6"/>
    <w:rsid w:val="0013796E"/>
    <w:rsid w:val="00137CBC"/>
    <w:rsid w:val="00137D04"/>
    <w:rsid w:val="00137E20"/>
    <w:rsid w:val="0014001C"/>
    <w:rsid w:val="0014064E"/>
    <w:rsid w:val="001408BA"/>
    <w:rsid w:val="001408DE"/>
    <w:rsid w:val="00140D65"/>
    <w:rsid w:val="00140E80"/>
    <w:rsid w:val="00140F63"/>
    <w:rsid w:val="001410D3"/>
    <w:rsid w:val="001411F1"/>
    <w:rsid w:val="0014154C"/>
    <w:rsid w:val="001416B9"/>
    <w:rsid w:val="001417C0"/>
    <w:rsid w:val="00141864"/>
    <w:rsid w:val="00141896"/>
    <w:rsid w:val="001418AA"/>
    <w:rsid w:val="0014194A"/>
    <w:rsid w:val="00141A1C"/>
    <w:rsid w:val="00141B10"/>
    <w:rsid w:val="00141C12"/>
    <w:rsid w:val="001422CB"/>
    <w:rsid w:val="00142323"/>
    <w:rsid w:val="001423E2"/>
    <w:rsid w:val="001425F8"/>
    <w:rsid w:val="00142908"/>
    <w:rsid w:val="00142970"/>
    <w:rsid w:val="001429B5"/>
    <w:rsid w:val="00142E4F"/>
    <w:rsid w:val="00142F2E"/>
    <w:rsid w:val="0014324F"/>
    <w:rsid w:val="001432EC"/>
    <w:rsid w:val="00143413"/>
    <w:rsid w:val="00143EE5"/>
    <w:rsid w:val="00143FC9"/>
    <w:rsid w:val="001444B2"/>
    <w:rsid w:val="00144619"/>
    <w:rsid w:val="00144705"/>
    <w:rsid w:val="0014488D"/>
    <w:rsid w:val="001448EB"/>
    <w:rsid w:val="001449EE"/>
    <w:rsid w:val="00144D5B"/>
    <w:rsid w:val="00144FC2"/>
    <w:rsid w:val="0014535C"/>
    <w:rsid w:val="001456AE"/>
    <w:rsid w:val="001456E1"/>
    <w:rsid w:val="0014586E"/>
    <w:rsid w:val="001459FC"/>
    <w:rsid w:val="00145B2B"/>
    <w:rsid w:val="00145BF4"/>
    <w:rsid w:val="00145C9E"/>
    <w:rsid w:val="00145F5C"/>
    <w:rsid w:val="00145F64"/>
    <w:rsid w:val="00146173"/>
    <w:rsid w:val="001461CD"/>
    <w:rsid w:val="00146286"/>
    <w:rsid w:val="0014651C"/>
    <w:rsid w:val="00146904"/>
    <w:rsid w:val="00146D53"/>
    <w:rsid w:val="00146F31"/>
    <w:rsid w:val="00146F66"/>
    <w:rsid w:val="00147507"/>
    <w:rsid w:val="00147533"/>
    <w:rsid w:val="00147AFF"/>
    <w:rsid w:val="00147F35"/>
    <w:rsid w:val="001501D9"/>
    <w:rsid w:val="001508E6"/>
    <w:rsid w:val="00150AE3"/>
    <w:rsid w:val="00150EA5"/>
    <w:rsid w:val="00150EF8"/>
    <w:rsid w:val="001511BB"/>
    <w:rsid w:val="00151553"/>
    <w:rsid w:val="001516C2"/>
    <w:rsid w:val="0015196C"/>
    <w:rsid w:val="00151D2E"/>
    <w:rsid w:val="00151F5E"/>
    <w:rsid w:val="00152688"/>
    <w:rsid w:val="0015284F"/>
    <w:rsid w:val="00152EF4"/>
    <w:rsid w:val="001530E5"/>
    <w:rsid w:val="00153227"/>
    <w:rsid w:val="00153267"/>
    <w:rsid w:val="00153536"/>
    <w:rsid w:val="0015383D"/>
    <w:rsid w:val="00153F60"/>
    <w:rsid w:val="001540EA"/>
    <w:rsid w:val="00154187"/>
    <w:rsid w:val="001541EB"/>
    <w:rsid w:val="00154297"/>
    <w:rsid w:val="0015467D"/>
    <w:rsid w:val="00154A7C"/>
    <w:rsid w:val="001553C5"/>
    <w:rsid w:val="001553E3"/>
    <w:rsid w:val="00155514"/>
    <w:rsid w:val="0015568D"/>
    <w:rsid w:val="00155B08"/>
    <w:rsid w:val="00155C76"/>
    <w:rsid w:val="00155DE9"/>
    <w:rsid w:val="001563D6"/>
    <w:rsid w:val="00156637"/>
    <w:rsid w:val="00156710"/>
    <w:rsid w:val="00156AF8"/>
    <w:rsid w:val="00156E95"/>
    <w:rsid w:val="00156EDF"/>
    <w:rsid w:val="0015707B"/>
    <w:rsid w:val="001571A2"/>
    <w:rsid w:val="00157858"/>
    <w:rsid w:val="00157975"/>
    <w:rsid w:val="001579FF"/>
    <w:rsid w:val="00157A7C"/>
    <w:rsid w:val="00157F27"/>
    <w:rsid w:val="00160011"/>
    <w:rsid w:val="00160092"/>
    <w:rsid w:val="00160273"/>
    <w:rsid w:val="001602F8"/>
    <w:rsid w:val="0016068D"/>
    <w:rsid w:val="001609DB"/>
    <w:rsid w:val="00160D1B"/>
    <w:rsid w:val="00161253"/>
    <w:rsid w:val="0016130D"/>
    <w:rsid w:val="0016163B"/>
    <w:rsid w:val="001616DE"/>
    <w:rsid w:val="001616F8"/>
    <w:rsid w:val="00161738"/>
    <w:rsid w:val="00161838"/>
    <w:rsid w:val="00161AE2"/>
    <w:rsid w:val="00161B22"/>
    <w:rsid w:val="00161C35"/>
    <w:rsid w:val="00162339"/>
    <w:rsid w:val="0016246A"/>
    <w:rsid w:val="001624B9"/>
    <w:rsid w:val="001625CB"/>
    <w:rsid w:val="001629B8"/>
    <w:rsid w:val="00162C8C"/>
    <w:rsid w:val="0016317B"/>
    <w:rsid w:val="001632CA"/>
    <w:rsid w:val="00163322"/>
    <w:rsid w:val="001633AD"/>
    <w:rsid w:val="001633C6"/>
    <w:rsid w:val="001634A2"/>
    <w:rsid w:val="00163781"/>
    <w:rsid w:val="00163792"/>
    <w:rsid w:val="00163816"/>
    <w:rsid w:val="00163936"/>
    <w:rsid w:val="001639C1"/>
    <w:rsid w:val="001646CD"/>
    <w:rsid w:val="001649D4"/>
    <w:rsid w:val="00164F27"/>
    <w:rsid w:val="00165079"/>
    <w:rsid w:val="001650E5"/>
    <w:rsid w:val="001652FF"/>
    <w:rsid w:val="001655D8"/>
    <w:rsid w:val="0016574F"/>
    <w:rsid w:val="00165921"/>
    <w:rsid w:val="00165AB2"/>
    <w:rsid w:val="00165B58"/>
    <w:rsid w:val="00165C01"/>
    <w:rsid w:val="00165E5A"/>
    <w:rsid w:val="001660A3"/>
    <w:rsid w:val="00166159"/>
    <w:rsid w:val="0016632F"/>
    <w:rsid w:val="001666BC"/>
    <w:rsid w:val="00166A18"/>
    <w:rsid w:val="00166CB7"/>
    <w:rsid w:val="00166EA9"/>
    <w:rsid w:val="0016712A"/>
    <w:rsid w:val="00167139"/>
    <w:rsid w:val="0016715F"/>
    <w:rsid w:val="00167529"/>
    <w:rsid w:val="001676D6"/>
    <w:rsid w:val="001677F5"/>
    <w:rsid w:val="00167947"/>
    <w:rsid w:val="00167A04"/>
    <w:rsid w:val="00167ACB"/>
    <w:rsid w:val="00167C9A"/>
    <w:rsid w:val="00167D6B"/>
    <w:rsid w:val="00167DA0"/>
    <w:rsid w:val="0017048D"/>
    <w:rsid w:val="00170631"/>
    <w:rsid w:val="001706D9"/>
    <w:rsid w:val="001708FE"/>
    <w:rsid w:val="0017094F"/>
    <w:rsid w:val="00170AFE"/>
    <w:rsid w:val="00170BA5"/>
    <w:rsid w:val="00170D8C"/>
    <w:rsid w:val="0017121C"/>
    <w:rsid w:val="001712B4"/>
    <w:rsid w:val="001713B6"/>
    <w:rsid w:val="0017142E"/>
    <w:rsid w:val="00171948"/>
    <w:rsid w:val="001719E0"/>
    <w:rsid w:val="00171B87"/>
    <w:rsid w:val="00171C50"/>
    <w:rsid w:val="00171C56"/>
    <w:rsid w:val="00171D59"/>
    <w:rsid w:val="001720EE"/>
    <w:rsid w:val="001722DE"/>
    <w:rsid w:val="00172538"/>
    <w:rsid w:val="00172836"/>
    <w:rsid w:val="00172BF6"/>
    <w:rsid w:val="00172C9D"/>
    <w:rsid w:val="00172D2C"/>
    <w:rsid w:val="00172DC7"/>
    <w:rsid w:val="00173002"/>
    <w:rsid w:val="00173399"/>
    <w:rsid w:val="001733A7"/>
    <w:rsid w:val="00173548"/>
    <w:rsid w:val="0017396C"/>
    <w:rsid w:val="0017398F"/>
    <w:rsid w:val="00173D01"/>
    <w:rsid w:val="001740BE"/>
    <w:rsid w:val="001740D2"/>
    <w:rsid w:val="00174AC5"/>
    <w:rsid w:val="00174CD9"/>
    <w:rsid w:val="00174F21"/>
    <w:rsid w:val="00175452"/>
    <w:rsid w:val="001756CB"/>
    <w:rsid w:val="0017572C"/>
    <w:rsid w:val="00175736"/>
    <w:rsid w:val="00175C74"/>
    <w:rsid w:val="00176090"/>
    <w:rsid w:val="00176192"/>
    <w:rsid w:val="0017671F"/>
    <w:rsid w:val="001767D5"/>
    <w:rsid w:val="00176830"/>
    <w:rsid w:val="00176D37"/>
    <w:rsid w:val="00176E2F"/>
    <w:rsid w:val="001770C7"/>
    <w:rsid w:val="001770D0"/>
    <w:rsid w:val="0017747B"/>
    <w:rsid w:val="001776D8"/>
    <w:rsid w:val="00177938"/>
    <w:rsid w:val="00177BF6"/>
    <w:rsid w:val="00177C6C"/>
    <w:rsid w:val="00177E17"/>
    <w:rsid w:val="0018009D"/>
    <w:rsid w:val="001801A2"/>
    <w:rsid w:val="001804E8"/>
    <w:rsid w:val="00180759"/>
    <w:rsid w:val="00180C1B"/>
    <w:rsid w:val="00180CC0"/>
    <w:rsid w:val="00180F1C"/>
    <w:rsid w:val="0018104C"/>
    <w:rsid w:val="001812F5"/>
    <w:rsid w:val="00181416"/>
    <w:rsid w:val="00181444"/>
    <w:rsid w:val="0018155F"/>
    <w:rsid w:val="00181710"/>
    <w:rsid w:val="00181930"/>
    <w:rsid w:val="00182091"/>
    <w:rsid w:val="0018223D"/>
    <w:rsid w:val="00182333"/>
    <w:rsid w:val="001829C7"/>
    <w:rsid w:val="00182AB4"/>
    <w:rsid w:val="00183173"/>
    <w:rsid w:val="001833CC"/>
    <w:rsid w:val="00183423"/>
    <w:rsid w:val="00183560"/>
    <w:rsid w:val="00183624"/>
    <w:rsid w:val="00183A82"/>
    <w:rsid w:val="00183B67"/>
    <w:rsid w:val="00183CEB"/>
    <w:rsid w:val="00183D3E"/>
    <w:rsid w:val="001844EC"/>
    <w:rsid w:val="0018469A"/>
    <w:rsid w:val="00184762"/>
    <w:rsid w:val="001847B4"/>
    <w:rsid w:val="00184895"/>
    <w:rsid w:val="00184993"/>
    <w:rsid w:val="00184AB8"/>
    <w:rsid w:val="00184FF5"/>
    <w:rsid w:val="001854BD"/>
    <w:rsid w:val="0018556C"/>
    <w:rsid w:val="0018561E"/>
    <w:rsid w:val="001857C0"/>
    <w:rsid w:val="00185B78"/>
    <w:rsid w:val="00185FB2"/>
    <w:rsid w:val="00185FF0"/>
    <w:rsid w:val="00186028"/>
    <w:rsid w:val="00186099"/>
    <w:rsid w:val="001862AD"/>
    <w:rsid w:val="00186429"/>
    <w:rsid w:val="001869FA"/>
    <w:rsid w:val="00186EC6"/>
    <w:rsid w:val="00186FD0"/>
    <w:rsid w:val="00187100"/>
    <w:rsid w:val="00187281"/>
    <w:rsid w:val="001873F9"/>
    <w:rsid w:val="00187485"/>
    <w:rsid w:val="0018757D"/>
    <w:rsid w:val="00187A58"/>
    <w:rsid w:val="00187A68"/>
    <w:rsid w:val="00187C0F"/>
    <w:rsid w:val="00187E52"/>
    <w:rsid w:val="00190091"/>
    <w:rsid w:val="00190264"/>
    <w:rsid w:val="00190549"/>
    <w:rsid w:val="00190594"/>
    <w:rsid w:val="00190619"/>
    <w:rsid w:val="0019083F"/>
    <w:rsid w:val="001908BA"/>
    <w:rsid w:val="00190B2B"/>
    <w:rsid w:val="00190BC2"/>
    <w:rsid w:val="00190D15"/>
    <w:rsid w:val="00190D2E"/>
    <w:rsid w:val="00190EB9"/>
    <w:rsid w:val="00190FD3"/>
    <w:rsid w:val="001913D7"/>
    <w:rsid w:val="0019157E"/>
    <w:rsid w:val="00191A59"/>
    <w:rsid w:val="00191BE5"/>
    <w:rsid w:val="00191ECC"/>
    <w:rsid w:val="00192010"/>
    <w:rsid w:val="00192264"/>
    <w:rsid w:val="00192461"/>
    <w:rsid w:val="00192497"/>
    <w:rsid w:val="001926B4"/>
    <w:rsid w:val="001926ED"/>
    <w:rsid w:val="0019277B"/>
    <w:rsid w:val="00192868"/>
    <w:rsid w:val="00192994"/>
    <w:rsid w:val="001929C8"/>
    <w:rsid w:val="00192A45"/>
    <w:rsid w:val="00192AA2"/>
    <w:rsid w:val="00192BA6"/>
    <w:rsid w:val="00192D3F"/>
    <w:rsid w:val="00192F62"/>
    <w:rsid w:val="0019303B"/>
    <w:rsid w:val="00193A09"/>
    <w:rsid w:val="00193D34"/>
    <w:rsid w:val="00193EC7"/>
    <w:rsid w:val="0019401B"/>
    <w:rsid w:val="001940E9"/>
    <w:rsid w:val="001941B0"/>
    <w:rsid w:val="0019486F"/>
    <w:rsid w:val="00194959"/>
    <w:rsid w:val="00194D4B"/>
    <w:rsid w:val="00194FC7"/>
    <w:rsid w:val="00194FE4"/>
    <w:rsid w:val="00194FF2"/>
    <w:rsid w:val="00195124"/>
    <w:rsid w:val="00195249"/>
    <w:rsid w:val="00195259"/>
    <w:rsid w:val="00195401"/>
    <w:rsid w:val="00195608"/>
    <w:rsid w:val="00195677"/>
    <w:rsid w:val="00195867"/>
    <w:rsid w:val="0019596D"/>
    <w:rsid w:val="00195CE4"/>
    <w:rsid w:val="00195F54"/>
    <w:rsid w:val="0019600F"/>
    <w:rsid w:val="00196653"/>
    <w:rsid w:val="00196953"/>
    <w:rsid w:val="00196D0B"/>
    <w:rsid w:val="00196E67"/>
    <w:rsid w:val="00197604"/>
    <w:rsid w:val="0019779E"/>
    <w:rsid w:val="00197814"/>
    <w:rsid w:val="00197841"/>
    <w:rsid w:val="00197845"/>
    <w:rsid w:val="00197AE1"/>
    <w:rsid w:val="00197EF7"/>
    <w:rsid w:val="001A0103"/>
    <w:rsid w:val="001A0273"/>
    <w:rsid w:val="001A0333"/>
    <w:rsid w:val="001A0380"/>
    <w:rsid w:val="001A03DC"/>
    <w:rsid w:val="001A03E9"/>
    <w:rsid w:val="001A05EC"/>
    <w:rsid w:val="001A06AF"/>
    <w:rsid w:val="001A07D4"/>
    <w:rsid w:val="001A0870"/>
    <w:rsid w:val="001A0A68"/>
    <w:rsid w:val="001A0EEE"/>
    <w:rsid w:val="001A1150"/>
    <w:rsid w:val="001A1160"/>
    <w:rsid w:val="001A126D"/>
    <w:rsid w:val="001A158C"/>
    <w:rsid w:val="001A15ED"/>
    <w:rsid w:val="001A166A"/>
    <w:rsid w:val="001A176F"/>
    <w:rsid w:val="001A1A18"/>
    <w:rsid w:val="001A1B31"/>
    <w:rsid w:val="001A1B6E"/>
    <w:rsid w:val="001A1FBC"/>
    <w:rsid w:val="001A2005"/>
    <w:rsid w:val="001A247D"/>
    <w:rsid w:val="001A2536"/>
    <w:rsid w:val="001A2B9C"/>
    <w:rsid w:val="001A30E7"/>
    <w:rsid w:val="001A3460"/>
    <w:rsid w:val="001A3701"/>
    <w:rsid w:val="001A3813"/>
    <w:rsid w:val="001A39F7"/>
    <w:rsid w:val="001A3A7E"/>
    <w:rsid w:val="001A3ACE"/>
    <w:rsid w:val="001A3B0E"/>
    <w:rsid w:val="001A3DE1"/>
    <w:rsid w:val="001A43D2"/>
    <w:rsid w:val="001A45CA"/>
    <w:rsid w:val="001A46E5"/>
    <w:rsid w:val="001A4A46"/>
    <w:rsid w:val="001A4B6C"/>
    <w:rsid w:val="001A4C4E"/>
    <w:rsid w:val="001A4E83"/>
    <w:rsid w:val="001A4F69"/>
    <w:rsid w:val="001A4F70"/>
    <w:rsid w:val="001A5100"/>
    <w:rsid w:val="001A518F"/>
    <w:rsid w:val="001A5450"/>
    <w:rsid w:val="001A55B6"/>
    <w:rsid w:val="001A5600"/>
    <w:rsid w:val="001A56F2"/>
    <w:rsid w:val="001A5AC9"/>
    <w:rsid w:val="001A5CFC"/>
    <w:rsid w:val="001A5D90"/>
    <w:rsid w:val="001A5E3B"/>
    <w:rsid w:val="001A622F"/>
    <w:rsid w:val="001A6387"/>
    <w:rsid w:val="001A6418"/>
    <w:rsid w:val="001A641D"/>
    <w:rsid w:val="001A65AB"/>
    <w:rsid w:val="001A6879"/>
    <w:rsid w:val="001A68B7"/>
    <w:rsid w:val="001A6AB6"/>
    <w:rsid w:val="001A6AC8"/>
    <w:rsid w:val="001A7088"/>
    <w:rsid w:val="001A7819"/>
    <w:rsid w:val="001A7966"/>
    <w:rsid w:val="001A7BCC"/>
    <w:rsid w:val="001A7C27"/>
    <w:rsid w:val="001A7E36"/>
    <w:rsid w:val="001A7E3E"/>
    <w:rsid w:val="001A7F6B"/>
    <w:rsid w:val="001A7FA5"/>
    <w:rsid w:val="001B005E"/>
    <w:rsid w:val="001B018D"/>
    <w:rsid w:val="001B0297"/>
    <w:rsid w:val="001B03F3"/>
    <w:rsid w:val="001B0AFB"/>
    <w:rsid w:val="001B0B81"/>
    <w:rsid w:val="001B0CB6"/>
    <w:rsid w:val="001B13A1"/>
    <w:rsid w:val="001B1576"/>
    <w:rsid w:val="001B15C7"/>
    <w:rsid w:val="001B1A92"/>
    <w:rsid w:val="001B1BB2"/>
    <w:rsid w:val="001B2778"/>
    <w:rsid w:val="001B2927"/>
    <w:rsid w:val="001B2FD0"/>
    <w:rsid w:val="001B3388"/>
    <w:rsid w:val="001B3967"/>
    <w:rsid w:val="001B3CE6"/>
    <w:rsid w:val="001B3EF1"/>
    <w:rsid w:val="001B41CF"/>
    <w:rsid w:val="001B4358"/>
    <w:rsid w:val="001B5138"/>
    <w:rsid w:val="001B5403"/>
    <w:rsid w:val="001B5700"/>
    <w:rsid w:val="001B59C5"/>
    <w:rsid w:val="001B61AE"/>
    <w:rsid w:val="001B6242"/>
    <w:rsid w:val="001B6267"/>
    <w:rsid w:val="001B632F"/>
    <w:rsid w:val="001B6533"/>
    <w:rsid w:val="001B65C1"/>
    <w:rsid w:val="001B68D5"/>
    <w:rsid w:val="001B69D7"/>
    <w:rsid w:val="001B6C64"/>
    <w:rsid w:val="001B6F23"/>
    <w:rsid w:val="001B6F53"/>
    <w:rsid w:val="001B74D5"/>
    <w:rsid w:val="001B76A6"/>
    <w:rsid w:val="001B76C3"/>
    <w:rsid w:val="001B7C76"/>
    <w:rsid w:val="001C0014"/>
    <w:rsid w:val="001C0240"/>
    <w:rsid w:val="001C0423"/>
    <w:rsid w:val="001C07C0"/>
    <w:rsid w:val="001C0917"/>
    <w:rsid w:val="001C0D2B"/>
    <w:rsid w:val="001C0D81"/>
    <w:rsid w:val="001C0D93"/>
    <w:rsid w:val="001C1342"/>
    <w:rsid w:val="001C1414"/>
    <w:rsid w:val="001C14DE"/>
    <w:rsid w:val="001C1A22"/>
    <w:rsid w:val="001C1B8C"/>
    <w:rsid w:val="001C1CF7"/>
    <w:rsid w:val="001C1F75"/>
    <w:rsid w:val="001C2438"/>
    <w:rsid w:val="001C25AB"/>
    <w:rsid w:val="001C2FE0"/>
    <w:rsid w:val="001C32DF"/>
    <w:rsid w:val="001C340D"/>
    <w:rsid w:val="001C347A"/>
    <w:rsid w:val="001C372C"/>
    <w:rsid w:val="001C3861"/>
    <w:rsid w:val="001C3A68"/>
    <w:rsid w:val="001C3B8B"/>
    <w:rsid w:val="001C3BA2"/>
    <w:rsid w:val="001C3BD7"/>
    <w:rsid w:val="001C3D31"/>
    <w:rsid w:val="001C417F"/>
    <w:rsid w:val="001C4183"/>
    <w:rsid w:val="001C424D"/>
    <w:rsid w:val="001C438E"/>
    <w:rsid w:val="001C4C2A"/>
    <w:rsid w:val="001C4DFA"/>
    <w:rsid w:val="001C4EFD"/>
    <w:rsid w:val="001C4F49"/>
    <w:rsid w:val="001C4FC9"/>
    <w:rsid w:val="001C519A"/>
    <w:rsid w:val="001C5352"/>
    <w:rsid w:val="001C54D6"/>
    <w:rsid w:val="001C570B"/>
    <w:rsid w:val="001C614A"/>
    <w:rsid w:val="001C64C0"/>
    <w:rsid w:val="001C6675"/>
    <w:rsid w:val="001C68CB"/>
    <w:rsid w:val="001C69B6"/>
    <w:rsid w:val="001C6B74"/>
    <w:rsid w:val="001C6CD9"/>
    <w:rsid w:val="001C6D94"/>
    <w:rsid w:val="001C6E39"/>
    <w:rsid w:val="001C715F"/>
    <w:rsid w:val="001C72C3"/>
    <w:rsid w:val="001C74DB"/>
    <w:rsid w:val="001C75EE"/>
    <w:rsid w:val="001C78D8"/>
    <w:rsid w:val="001C7A70"/>
    <w:rsid w:val="001C7BCB"/>
    <w:rsid w:val="001C7C31"/>
    <w:rsid w:val="001C7CD5"/>
    <w:rsid w:val="001D02FE"/>
    <w:rsid w:val="001D03B8"/>
    <w:rsid w:val="001D0467"/>
    <w:rsid w:val="001D0AAD"/>
    <w:rsid w:val="001D0C23"/>
    <w:rsid w:val="001D0FFA"/>
    <w:rsid w:val="001D1170"/>
    <w:rsid w:val="001D1239"/>
    <w:rsid w:val="001D17B3"/>
    <w:rsid w:val="001D18F1"/>
    <w:rsid w:val="001D1909"/>
    <w:rsid w:val="001D1E20"/>
    <w:rsid w:val="001D1E65"/>
    <w:rsid w:val="001D20D5"/>
    <w:rsid w:val="001D2104"/>
    <w:rsid w:val="001D227C"/>
    <w:rsid w:val="001D238E"/>
    <w:rsid w:val="001D28A9"/>
    <w:rsid w:val="001D2A37"/>
    <w:rsid w:val="001D2DBF"/>
    <w:rsid w:val="001D3210"/>
    <w:rsid w:val="001D356F"/>
    <w:rsid w:val="001D366F"/>
    <w:rsid w:val="001D3C1D"/>
    <w:rsid w:val="001D3DA9"/>
    <w:rsid w:val="001D3E96"/>
    <w:rsid w:val="001D40BA"/>
    <w:rsid w:val="001D4300"/>
    <w:rsid w:val="001D432D"/>
    <w:rsid w:val="001D450D"/>
    <w:rsid w:val="001D4ACA"/>
    <w:rsid w:val="001D4C03"/>
    <w:rsid w:val="001D4E5F"/>
    <w:rsid w:val="001D4E61"/>
    <w:rsid w:val="001D4F68"/>
    <w:rsid w:val="001D519D"/>
    <w:rsid w:val="001D5208"/>
    <w:rsid w:val="001D522E"/>
    <w:rsid w:val="001D55F1"/>
    <w:rsid w:val="001D579D"/>
    <w:rsid w:val="001D58EB"/>
    <w:rsid w:val="001D5A5C"/>
    <w:rsid w:val="001D5DA3"/>
    <w:rsid w:val="001D6236"/>
    <w:rsid w:val="001D642B"/>
    <w:rsid w:val="001D64DD"/>
    <w:rsid w:val="001D68A8"/>
    <w:rsid w:val="001D69E6"/>
    <w:rsid w:val="001D6A2A"/>
    <w:rsid w:val="001D6B9A"/>
    <w:rsid w:val="001D73CB"/>
    <w:rsid w:val="001D7498"/>
    <w:rsid w:val="001D79E2"/>
    <w:rsid w:val="001D7B5B"/>
    <w:rsid w:val="001D7E66"/>
    <w:rsid w:val="001E0200"/>
    <w:rsid w:val="001E05CE"/>
    <w:rsid w:val="001E071E"/>
    <w:rsid w:val="001E0E14"/>
    <w:rsid w:val="001E10EE"/>
    <w:rsid w:val="001E147C"/>
    <w:rsid w:val="001E14B2"/>
    <w:rsid w:val="001E1532"/>
    <w:rsid w:val="001E1C7A"/>
    <w:rsid w:val="001E1D66"/>
    <w:rsid w:val="001E1ECB"/>
    <w:rsid w:val="001E21C2"/>
    <w:rsid w:val="001E22CB"/>
    <w:rsid w:val="001E23D1"/>
    <w:rsid w:val="001E2548"/>
    <w:rsid w:val="001E2B03"/>
    <w:rsid w:val="001E2C0D"/>
    <w:rsid w:val="001E2C6E"/>
    <w:rsid w:val="001E30A5"/>
    <w:rsid w:val="001E3153"/>
    <w:rsid w:val="001E3591"/>
    <w:rsid w:val="001E360C"/>
    <w:rsid w:val="001E3A17"/>
    <w:rsid w:val="001E3FCB"/>
    <w:rsid w:val="001E4342"/>
    <w:rsid w:val="001E4644"/>
    <w:rsid w:val="001E473F"/>
    <w:rsid w:val="001E474C"/>
    <w:rsid w:val="001E4A36"/>
    <w:rsid w:val="001E4AE6"/>
    <w:rsid w:val="001E4BD5"/>
    <w:rsid w:val="001E4BF9"/>
    <w:rsid w:val="001E4CC1"/>
    <w:rsid w:val="001E4E02"/>
    <w:rsid w:val="001E502F"/>
    <w:rsid w:val="001E5315"/>
    <w:rsid w:val="001E59E2"/>
    <w:rsid w:val="001E5A46"/>
    <w:rsid w:val="001E5F41"/>
    <w:rsid w:val="001E5FBB"/>
    <w:rsid w:val="001E6512"/>
    <w:rsid w:val="001E6560"/>
    <w:rsid w:val="001E69DB"/>
    <w:rsid w:val="001E6AFD"/>
    <w:rsid w:val="001E6B31"/>
    <w:rsid w:val="001E6E31"/>
    <w:rsid w:val="001E6E33"/>
    <w:rsid w:val="001E6E3F"/>
    <w:rsid w:val="001E72A5"/>
    <w:rsid w:val="001E7596"/>
    <w:rsid w:val="001E75E8"/>
    <w:rsid w:val="001E75FE"/>
    <w:rsid w:val="001E77DB"/>
    <w:rsid w:val="001E7802"/>
    <w:rsid w:val="001E7A40"/>
    <w:rsid w:val="001E7BCA"/>
    <w:rsid w:val="001E7E27"/>
    <w:rsid w:val="001E7EA2"/>
    <w:rsid w:val="001E7EBB"/>
    <w:rsid w:val="001F00AA"/>
    <w:rsid w:val="001F05F0"/>
    <w:rsid w:val="001F0832"/>
    <w:rsid w:val="001F0B5E"/>
    <w:rsid w:val="001F0C55"/>
    <w:rsid w:val="001F1355"/>
    <w:rsid w:val="001F139E"/>
    <w:rsid w:val="001F1438"/>
    <w:rsid w:val="001F1465"/>
    <w:rsid w:val="001F19D2"/>
    <w:rsid w:val="001F1DA0"/>
    <w:rsid w:val="001F2230"/>
    <w:rsid w:val="001F2261"/>
    <w:rsid w:val="001F2BF7"/>
    <w:rsid w:val="001F2CBF"/>
    <w:rsid w:val="001F2F56"/>
    <w:rsid w:val="001F30CD"/>
    <w:rsid w:val="001F338C"/>
    <w:rsid w:val="001F3540"/>
    <w:rsid w:val="001F356A"/>
    <w:rsid w:val="001F3646"/>
    <w:rsid w:val="001F374B"/>
    <w:rsid w:val="001F380C"/>
    <w:rsid w:val="001F394A"/>
    <w:rsid w:val="001F3D8A"/>
    <w:rsid w:val="001F3DFF"/>
    <w:rsid w:val="001F433F"/>
    <w:rsid w:val="001F46D2"/>
    <w:rsid w:val="001F4A8B"/>
    <w:rsid w:val="001F4D72"/>
    <w:rsid w:val="001F4DE7"/>
    <w:rsid w:val="001F4E11"/>
    <w:rsid w:val="001F4EBE"/>
    <w:rsid w:val="001F4F1B"/>
    <w:rsid w:val="001F5084"/>
    <w:rsid w:val="001F50AA"/>
    <w:rsid w:val="001F5354"/>
    <w:rsid w:val="001F5933"/>
    <w:rsid w:val="001F5C83"/>
    <w:rsid w:val="001F5CB8"/>
    <w:rsid w:val="001F60C9"/>
    <w:rsid w:val="001F6232"/>
    <w:rsid w:val="001F62F9"/>
    <w:rsid w:val="001F668F"/>
    <w:rsid w:val="001F67AA"/>
    <w:rsid w:val="001F696E"/>
    <w:rsid w:val="001F6ACD"/>
    <w:rsid w:val="001F6C3B"/>
    <w:rsid w:val="001F6D13"/>
    <w:rsid w:val="001F6E05"/>
    <w:rsid w:val="001F7133"/>
    <w:rsid w:val="001F72E7"/>
    <w:rsid w:val="001F755B"/>
    <w:rsid w:val="001F77C2"/>
    <w:rsid w:val="001F790C"/>
    <w:rsid w:val="001F7BE7"/>
    <w:rsid w:val="002005D0"/>
    <w:rsid w:val="002005F0"/>
    <w:rsid w:val="002005F1"/>
    <w:rsid w:val="00200A56"/>
    <w:rsid w:val="00200E7E"/>
    <w:rsid w:val="00200EAD"/>
    <w:rsid w:val="00201142"/>
    <w:rsid w:val="00201199"/>
    <w:rsid w:val="00201288"/>
    <w:rsid w:val="0020139C"/>
    <w:rsid w:val="00201548"/>
    <w:rsid w:val="0020157F"/>
    <w:rsid w:val="0020196D"/>
    <w:rsid w:val="00201DDF"/>
    <w:rsid w:val="00201FCD"/>
    <w:rsid w:val="0020212B"/>
    <w:rsid w:val="0020224D"/>
    <w:rsid w:val="002027BC"/>
    <w:rsid w:val="00203174"/>
    <w:rsid w:val="002031B1"/>
    <w:rsid w:val="00203245"/>
    <w:rsid w:val="00203BC1"/>
    <w:rsid w:val="00203D12"/>
    <w:rsid w:val="0020446C"/>
    <w:rsid w:val="00204661"/>
    <w:rsid w:val="002046D1"/>
    <w:rsid w:val="00204902"/>
    <w:rsid w:val="002049EA"/>
    <w:rsid w:val="00204B6A"/>
    <w:rsid w:val="002054C2"/>
    <w:rsid w:val="00205610"/>
    <w:rsid w:val="002058A1"/>
    <w:rsid w:val="00205972"/>
    <w:rsid w:val="0020598A"/>
    <w:rsid w:val="00205E0F"/>
    <w:rsid w:val="00206427"/>
    <w:rsid w:val="00206624"/>
    <w:rsid w:val="002069D4"/>
    <w:rsid w:val="00206BF8"/>
    <w:rsid w:val="002070A5"/>
    <w:rsid w:val="00207304"/>
    <w:rsid w:val="00207336"/>
    <w:rsid w:val="002073BB"/>
    <w:rsid w:val="0020777D"/>
    <w:rsid w:val="00207C1B"/>
    <w:rsid w:val="00207E8A"/>
    <w:rsid w:val="00207F16"/>
    <w:rsid w:val="00207F3D"/>
    <w:rsid w:val="002103EC"/>
    <w:rsid w:val="002107AF"/>
    <w:rsid w:val="00210817"/>
    <w:rsid w:val="002108D5"/>
    <w:rsid w:val="0021093F"/>
    <w:rsid w:val="00210C14"/>
    <w:rsid w:val="002110F1"/>
    <w:rsid w:val="00211115"/>
    <w:rsid w:val="002111EA"/>
    <w:rsid w:val="002112C2"/>
    <w:rsid w:val="002117D5"/>
    <w:rsid w:val="002118C1"/>
    <w:rsid w:val="00211AA9"/>
    <w:rsid w:val="00211CEB"/>
    <w:rsid w:val="00211DA4"/>
    <w:rsid w:val="00211FE4"/>
    <w:rsid w:val="00212426"/>
    <w:rsid w:val="002127DC"/>
    <w:rsid w:val="00212B49"/>
    <w:rsid w:val="00212CB7"/>
    <w:rsid w:val="00213067"/>
    <w:rsid w:val="00213BD8"/>
    <w:rsid w:val="00213C7C"/>
    <w:rsid w:val="00213CBE"/>
    <w:rsid w:val="00213FFD"/>
    <w:rsid w:val="002140CD"/>
    <w:rsid w:val="0021410A"/>
    <w:rsid w:val="00214118"/>
    <w:rsid w:val="002142B7"/>
    <w:rsid w:val="002142EC"/>
    <w:rsid w:val="002148F8"/>
    <w:rsid w:val="00214933"/>
    <w:rsid w:val="00214AA1"/>
    <w:rsid w:val="00214C38"/>
    <w:rsid w:val="00214D38"/>
    <w:rsid w:val="00214DB7"/>
    <w:rsid w:val="00214EEC"/>
    <w:rsid w:val="0021546E"/>
    <w:rsid w:val="00215D3A"/>
    <w:rsid w:val="00216034"/>
    <w:rsid w:val="00216093"/>
    <w:rsid w:val="00216168"/>
    <w:rsid w:val="0021656B"/>
    <w:rsid w:val="0021667F"/>
    <w:rsid w:val="00216751"/>
    <w:rsid w:val="00216BA1"/>
    <w:rsid w:val="00216D69"/>
    <w:rsid w:val="00216FF0"/>
    <w:rsid w:val="002170F9"/>
    <w:rsid w:val="002174A2"/>
    <w:rsid w:val="00217767"/>
    <w:rsid w:val="002179FB"/>
    <w:rsid w:val="00217B7C"/>
    <w:rsid w:val="002204E6"/>
    <w:rsid w:val="002209E7"/>
    <w:rsid w:val="00220E4A"/>
    <w:rsid w:val="00220E73"/>
    <w:rsid w:val="00220E78"/>
    <w:rsid w:val="00221189"/>
    <w:rsid w:val="00221468"/>
    <w:rsid w:val="0022151A"/>
    <w:rsid w:val="00221850"/>
    <w:rsid w:val="002218A9"/>
    <w:rsid w:val="00221B22"/>
    <w:rsid w:val="0022213D"/>
    <w:rsid w:val="00222249"/>
    <w:rsid w:val="00222322"/>
    <w:rsid w:val="00222DF6"/>
    <w:rsid w:val="00222F22"/>
    <w:rsid w:val="0022342A"/>
    <w:rsid w:val="002236A7"/>
    <w:rsid w:val="002237C0"/>
    <w:rsid w:val="00223990"/>
    <w:rsid w:val="00223AB1"/>
    <w:rsid w:val="00223D1A"/>
    <w:rsid w:val="00223E5E"/>
    <w:rsid w:val="00223E96"/>
    <w:rsid w:val="00224220"/>
    <w:rsid w:val="00224452"/>
    <w:rsid w:val="002245EC"/>
    <w:rsid w:val="00224863"/>
    <w:rsid w:val="00224870"/>
    <w:rsid w:val="00224BFD"/>
    <w:rsid w:val="0022543F"/>
    <w:rsid w:val="0022548E"/>
    <w:rsid w:val="002254C5"/>
    <w:rsid w:val="0022591B"/>
    <w:rsid w:val="00225C55"/>
    <w:rsid w:val="00225FAE"/>
    <w:rsid w:val="002262D8"/>
    <w:rsid w:val="00226456"/>
    <w:rsid w:val="00226769"/>
    <w:rsid w:val="002267D0"/>
    <w:rsid w:val="0022684F"/>
    <w:rsid w:val="002268FD"/>
    <w:rsid w:val="002269DC"/>
    <w:rsid w:val="002270CD"/>
    <w:rsid w:val="00227835"/>
    <w:rsid w:val="00227889"/>
    <w:rsid w:val="002279BC"/>
    <w:rsid w:val="002279F5"/>
    <w:rsid w:val="00227D61"/>
    <w:rsid w:val="00227DD7"/>
    <w:rsid w:val="00227F5E"/>
    <w:rsid w:val="00230274"/>
    <w:rsid w:val="002302F2"/>
    <w:rsid w:val="0023039A"/>
    <w:rsid w:val="002303F0"/>
    <w:rsid w:val="0023079E"/>
    <w:rsid w:val="002309C7"/>
    <w:rsid w:val="0023103B"/>
    <w:rsid w:val="00231201"/>
    <w:rsid w:val="0023128A"/>
    <w:rsid w:val="00231372"/>
    <w:rsid w:val="00231711"/>
    <w:rsid w:val="002318DF"/>
    <w:rsid w:val="00231ECF"/>
    <w:rsid w:val="00231FB4"/>
    <w:rsid w:val="0023204F"/>
    <w:rsid w:val="00232626"/>
    <w:rsid w:val="00232806"/>
    <w:rsid w:val="00232CAC"/>
    <w:rsid w:val="00232E87"/>
    <w:rsid w:val="00232FB4"/>
    <w:rsid w:val="00233173"/>
    <w:rsid w:val="00233249"/>
    <w:rsid w:val="0023325C"/>
    <w:rsid w:val="0023353A"/>
    <w:rsid w:val="00233958"/>
    <w:rsid w:val="002339B8"/>
    <w:rsid w:val="0023442E"/>
    <w:rsid w:val="0023492C"/>
    <w:rsid w:val="00234DF3"/>
    <w:rsid w:val="00234ED2"/>
    <w:rsid w:val="00234F3D"/>
    <w:rsid w:val="00235538"/>
    <w:rsid w:val="002357A5"/>
    <w:rsid w:val="002357DA"/>
    <w:rsid w:val="00235815"/>
    <w:rsid w:val="0023584D"/>
    <w:rsid w:val="00235F3B"/>
    <w:rsid w:val="00235FE7"/>
    <w:rsid w:val="00236224"/>
    <w:rsid w:val="002367C5"/>
    <w:rsid w:val="00236931"/>
    <w:rsid w:val="00236A87"/>
    <w:rsid w:val="00236DB0"/>
    <w:rsid w:val="00236EA2"/>
    <w:rsid w:val="00236EE8"/>
    <w:rsid w:val="00237019"/>
    <w:rsid w:val="0023742A"/>
    <w:rsid w:val="0023754A"/>
    <w:rsid w:val="002376C1"/>
    <w:rsid w:val="00237810"/>
    <w:rsid w:val="00237A0C"/>
    <w:rsid w:val="00237A27"/>
    <w:rsid w:val="00237C2B"/>
    <w:rsid w:val="0024020C"/>
    <w:rsid w:val="00240697"/>
    <w:rsid w:val="00240809"/>
    <w:rsid w:val="00240918"/>
    <w:rsid w:val="00240CE3"/>
    <w:rsid w:val="00240CEC"/>
    <w:rsid w:val="00240D3F"/>
    <w:rsid w:val="00240EAE"/>
    <w:rsid w:val="0024107C"/>
    <w:rsid w:val="00241113"/>
    <w:rsid w:val="002413DE"/>
    <w:rsid w:val="00241524"/>
    <w:rsid w:val="0024194E"/>
    <w:rsid w:val="00241AE2"/>
    <w:rsid w:val="00241CA7"/>
    <w:rsid w:val="00241D7A"/>
    <w:rsid w:val="002424D6"/>
    <w:rsid w:val="002427DA"/>
    <w:rsid w:val="0024290D"/>
    <w:rsid w:val="00242CCE"/>
    <w:rsid w:val="00242E3D"/>
    <w:rsid w:val="00242F3B"/>
    <w:rsid w:val="0024300A"/>
    <w:rsid w:val="002430B4"/>
    <w:rsid w:val="002430E8"/>
    <w:rsid w:val="0024327A"/>
    <w:rsid w:val="00243315"/>
    <w:rsid w:val="00243499"/>
    <w:rsid w:val="002434D8"/>
    <w:rsid w:val="002437B5"/>
    <w:rsid w:val="00243BAC"/>
    <w:rsid w:val="00243D7C"/>
    <w:rsid w:val="00243EC1"/>
    <w:rsid w:val="00244676"/>
    <w:rsid w:val="002447B2"/>
    <w:rsid w:val="00244933"/>
    <w:rsid w:val="00244C62"/>
    <w:rsid w:val="00244D65"/>
    <w:rsid w:val="00244F84"/>
    <w:rsid w:val="002451AA"/>
    <w:rsid w:val="00245369"/>
    <w:rsid w:val="0024544A"/>
    <w:rsid w:val="0024573A"/>
    <w:rsid w:val="0024578B"/>
    <w:rsid w:val="00245D0F"/>
    <w:rsid w:val="00246062"/>
    <w:rsid w:val="0024607B"/>
    <w:rsid w:val="002461A3"/>
    <w:rsid w:val="0024628F"/>
    <w:rsid w:val="0024660D"/>
    <w:rsid w:val="002466F8"/>
    <w:rsid w:val="0024697B"/>
    <w:rsid w:val="00246A35"/>
    <w:rsid w:val="00246BAA"/>
    <w:rsid w:val="00246D7C"/>
    <w:rsid w:val="00246E4D"/>
    <w:rsid w:val="00247485"/>
    <w:rsid w:val="00247612"/>
    <w:rsid w:val="00247948"/>
    <w:rsid w:val="00247A87"/>
    <w:rsid w:val="00247A9F"/>
    <w:rsid w:val="00247B4D"/>
    <w:rsid w:val="00247B6C"/>
    <w:rsid w:val="00247C83"/>
    <w:rsid w:val="00247CB2"/>
    <w:rsid w:val="00247D1C"/>
    <w:rsid w:val="00247DA3"/>
    <w:rsid w:val="002500C0"/>
    <w:rsid w:val="002501DC"/>
    <w:rsid w:val="002502A2"/>
    <w:rsid w:val="0025041B"/>
    <w:rsid w:val="0025049E"/>
    <w:rsid w:val="002509B3"/>
    <w:rsid w:val="00250A11"/>
    <w:rsid w:val="00250A23"/>
    <w:rsid w:val="00250AD7"/>
    <w:rsid w:val="00250B6A"/>
    <w:rsid w:val="00250BD2"/>
    <w:rsid w:val="00250DB2"/>
    <w:rsid w:val="00250F4A"/>
    <w:rsid w:val="00251136"/>
    <w:rsid w:val="00251214"/>
    <w:rsid w:val="0025146F"/>
    <w:rsid w:val="00251647"/>
    <w:rsid w:val="002516AA"/>
    <w:rsid w:val="002516FB"/>
    <w:rsid w:val="00251A80"/>
    <w:rsid w:val="0025238C"/>
    <w:rsid w:val="002528AD"/>
    <w:rsid w:val="00252A68"/>
    <w:rsid w:val="00252DE4"/>
    <w:rsid w:val="00252EA9"/>
    <w:rsid w:val="00252EB5"/>
    <w:rsid w:val="00253229"/>
    <w:rsid w:val="00253411"/>
    <w:rsid w:val="0025356D"/>
    <w:rsid w:val="00253705"/>
    <w:rsid w:val="002537FF"/>
    <w:rsid w:val="00253943"/>
    <w:rsid w:val="00253AF2"/>
    <w:rsid w:val="00253B7F"/>
    <w:rsid w:val="00253C81"/>
    <w:rsid w:val="00253FCE"/>
    <w:rsid w:val="002544ED"/>
    <w:rsid w:val="00254781"/>
    <w:rsid w:val="0025495C"/>
    <w:rsid w:val="002549CC"/>
    <w:rsid w:val="00254CB1"/>
    <w:rsid w:val="00254D80"/>
    <w:rsid w:val="002551CC"/>
    <w:rsid w:val="00255326"/>
    <w:rsid w:val="00255906"/>
    <w:rsid w:val="00255914"/>
    <w:rsid w:val="00255987"/>
    <w:rsid w:val="00255C48"/>
    <w:rsid w:val="00255C4F"/>
    <w:rsid w:val="00255C68"/>
    <w:rsid w:val="00255D65"/>
    <w:rsid w:val="00255E78"/>
    <w:rsid w:val="00255FA1"/>
    <w:rsid w:val="00256007"/>
    <w:rsid w:val="00256272"/>
    <w:rsid w:val="002562F5"/>
    <w:rsid w:val="0025644B"/>
    <w:rsid w:val="002564BD"/>
    <w:rsid w:val="002564F3"/>
    <w:rsid w:val="0025651D"/>
    <w:rsid w:val="00256590"/>
    <w:rsid w:val="002566DC"/>
    <w:rsid w:val="002567CC"/>
    <w:rsid w:val="00256866"/>
    <w:rsid w:val="00256980"/>
    <w:rsid w:val="00256D91"/>
    <w:rsid w:val="00256EC8"/>
    <w:rsid w:val="0025732C"/>
    <w:rsid w:val="002576A9"/>
    <w:rsid w:val="00257839"/>
    <w:rsid w:val="002578E5"/>
    <w:rsid w:val="00257BF6"/>
    <w:rsid w:val="00257D44"/>
    <w:rsid w:val="002604E7"/>
    <w:rsid w:val="00260520"/>
    <w:rsid w:val="0026094F"/>
    <w:rsid w:val="00260A1E"/>
    <w:rsid w:val="00260A78"/>
    <w:rsid w:val="00260F67"/>
    <w:rsid w:val="00261154"/>
    <w:rsid w:val="00261335"/>
    <w:rsid w:val="00261694"/>
    <w:rsid w:val="0026177A"/>
    <w:rsid w:val="0026181D"/>
    <w:rsid w:val="002618A0"/>
    <w:rsid w:val="00261EAF"/>
    <w:rsid w:val="0026201E"/>
    <w:rsid w:val="0026225B"/>
    <w:rsid w:val="00262337"/>
    <w:rsid w:val="002627A2"/>
    <w:rsid w:val="00262807"/>
    <w:rsid w:val="00262842"/>
    <w:rsid w:val="0026304B"/>
    <w:rsid w:val="002630FD"/>
    <w:rsid w:val="0026320F"/>
    <w:rsid w:val="002633FC"/>
    <w:rsid w:val="0026340F"/>
    <w:rsid w:val="00263664"/>
    <w:rsid w:val="002636D2"/>
    <w:rsid w:val="00263AC5"/>
    <w:rsid w:val="00263B30"/>
    <w:rsid w:val="00263CF8"/>
    <w:rsid w:val="00263D2E"/>
    <w:rsid w:val="002642A9"/>
    <w:rsid w:val="002642D5"/>
    <w:rsid w:val="00264461"/>
    <w:rsid w:val="0026446B"/>
    <w:rsid w:val="00264765"/>
    <w:rsid w:val="00264D88"/>
    <w:rsid w:val="00265019"/>
    <w:rsid w:val="002656FC"/>
    <w:rsid w:val="0026573F"/>
    <w:rsid w:val="002658DE"/>
    <w:rsid w:val="00265D0C"/>
    <w:rsid w:val="00265DDC"/>
    <w:rsid w:val="00265F55"/>
    <w:rsid w:val="00266011"/>
    <w:rsid w:val="002660DD"/>
    <w:rsid w:val="00266214"/>
    <w:rsid w:val="00266242"/>
    <w:rsid w:val="00266761"/>
    <w:rsid w:val="00266887"/>
    <w:rsid w:val="00266B15"/>
    <w:rsid w:val="00266DC9"/>
    <w:rsid w:val="00266DCF"/>
    <w:rsid w:val="00266F94"/>
    <w:rsid w:val="00266FE6"/>
    <w:rsid w:val="002670C0"/>
    <w:rsid w:val="002674C3"/>
    <w:rsid w:val="002677DD"/>
    <w:rsid w:val="002677E3"/>
    <w:rsid w:val="00267881"/>
    <w:rsid w:val="00267926"/>
    <w:rsid w:val="00267A7A"/>
    <w:rsid w:val="00267F39"/>
    <w:rsid w:val="00267F4D"/>
    <w:rsid w:val="00270702"/>
    <w:rsid w:val="00270811"/>
    <w:rsid w:val="0027096E"/>
    <w:rsid w:val="00270E83"/>
    <w:rsid w:val="00270F66"/>
    <w:rsid w:val="002710E3"/>
    <w:rsid w:val="00271241"/>
    <w:rsid w:val="0027183C"/>
    <w:rsid w:val="00271BEE"/>
    <w:rsid w:val="00271D03"/>
    <w:rsid w:val="00271D06"/>
    <w:rsid w:val="00271D2E"/>
    <w:rsid w:val="00271EC4"/>
    <w:rsid w:val="00272319"/>
    <w:rsid w:val="00272799"/>
    <w:rsid w:val="002727DD"/>
    <w:rsid w:val="00272821"/>
    <w:rsid w:val="00272B12"/>
    <w:rsid w:val="00272B34"/>
    <w:rsid w:val="00273266"/>
    <w:rsid w:val="00273294"/>
    <w:rsid w:val="00273615"/>
    <w:rsid w:val="00273741"/>
    <w:rsid w:val="0027388F"/>
    <w:rsid w:val="002739A1"/>
    <w:rsid w:val="00273AA0"/>
    <w:rsid w:val="002741CF"/>
    <w:rsid w:val="00274406"/>
    <w:rsid w:val="00274410"/>
    <w:rsid w:val="00274474"/>
    <w:rsid w:val="0027486D"/>
    <w:rsid w:val="00274884"/>
    <w:rsid w:val="00274CCA"/>
    <w:rsid w:val="00274D41"/>
    <w:rsid w:val="00274DD1"/>
    <w:rsid w:val="00274DEF"/>
    <w:rsid w:val="0027529C"/>
    <w:rsid w:val="00275480"/>
    <w:rsid w:val="0027580F"/>
    <w:rsid w:val="00275962"/>
    <w:rsid w:val="00275A2F"/>
    <w:rsid w:val="00275BBE"/>
    <w:rsid w:val="00275BEB"/>
    <w:rsid w:val="00275DE5"/>
    <w:rsid w:val="00275F2B"/>
    <w:rsid w:val="00276B64"/>
    <w:rsid w:val="00276CEE"/>
    <w:rsid w:val="0027727D"/>
    <w:rsid w:val="00277311"/>
    <w:rsid w:val="00277356"/>
    <w:rsid w:val="0027736D"/>
    <w:rsid w:val="002773D0"/>
    <w:rsid w:val="0027748D"/>
    <w:rsid w:val="00277902"/>
    <w:rsid w:val="00277A52"/>
    <w:rsid w:val="00277B19"/>
    <w:rsid w:val="00277BBE"/>
    <w:rsid w:val="00280543"/>
    <w:rsid w:val="002805BE"/>
    <w:rsid w:val="00280B5C"/>
    <w:rsid w:val="002810B4"/>
    <w:rsid w:val="0028115F"/>
    <w:rsid w:val="0028161E"/>
    <w:rsid w:val="00281A2F"/>
    <w:rsid w:val="00281D65"/>
    <w:rsid w:val="00281EE7"/>
    <w:rsid w:val="00282387"/>
    <w:rsid w:val="002823E4"/>
    <w:rsid w:val="002824B4"/>
    <w:rsid w:val="002825A3"/>
    <w:rsid w:val="00282621"/>
    <w:rsid w:val="002828C8"/>
    <w:rsid w:val="00282A71"/>
    <w:rsid w:val="00282ACE"/>
    <w:rsid w:val="00282BB7"/>
    <w:rsid w:val="00282D28"/>
    <w:rsid w:val="00282F0C"/>
    <w:rsid w:val="00282FAE"/>
    <w:rsid w:val="002830D6"/>
    <w:rsid w:val="002830E9"/>
    <w:rsid w:val="00283467"/>
    <w:rsid w:val="002834D9"/>
    <w:rsid w:val="002834FC"/>
    <w:rsid w:val="00283538"/>
    <w:rsid w:val="00283619"/>
    <w:rsid w:val="0028387E"/>
    <w:rsid w:val="00283947"/>
    <w:rsid w:val="00283B34"/>
    <w:rsid w:val="00283D84"/>
    <w:rsid w:val="002840DA"/>
    <w:rsid w:val="0028429C"/>
    <w:rsid w:val="002846A4"/>
    <w:rsid w:val="00284ACC"/>
    <w:rsid w:val="00284C86"/>
    <w:rsid w:val="00284CC1"/>
    <w:rsid w:val="00284F3F"/>
    <w:rsid w:val="002851C4"/>
    <w:rsid w:val="0028533D"/>
    <w:rsid w:val="0028539D"/>
    <w:rsid w:val="002856AF"/>
    <w:rsid w:val="00285B31"/>
    <w:rsid w:val="00285CB0"/>
    <w:rsid w:val="0028652C"/>
    <w:rsid w:val="00286613"/>
    <w:rsid w:val="00286799"/>
    <w:rsid w:val="00286BF7"/>
    <w:rsid w:val="00286C5B"/>
    <w:rsid w:val="002873D6"/>
    <w:rsid w:val="002875B0"/>
    <w:rsid w:val="00287CA3"/>
    <w:rsid w:val="00287F2B"/>
    <w:rsid w:val="002905FB"/>
    <w:rsid w:val="00290BAB"/>
    <w:rsid w:val="00291088"/>
    <w:rsid w:val="0029121E"/>
    <w:rsid w:val="00291313"/>
    <w:rsid w:val="0029135B"/>
    <w:rsid w:val="002913DE"/>
    <w:rsid w:val="002913FC"/>
    <w:rsid w:val="00291542"/>
    <w:rsid w:val="0029171E"/>
    <w:rsid w:val="00291805"/>
    <w:rsid w:val="00291947"/>
    <w:rsid w:val="00291FEF"/>
    <w:rsid w:val="00292432"/>
    <w:rsid w:val="00292542"/>
    <w:rsid w:val="0029254F"/>
    <w:rsid w:val="00292551"/>
    <w:rsid w:val="00292944"/>
    <w:rsid w:val="002929BF"/>
    <w:rsid w:val="00292BA2"/>
    <w:rsid w:val="00293099"/>
    <w:rsid w:val="002932A5"/>
    <w:rsid w:val="00293379"/>
    <w:rsid w:val="00293891"/>
    <w:rsid w:val="002938C9"/>
    <w:rsid w:val="00293A38"/>
    <w:rsid w:val="00293AC6"/>
    <w:rsid w:val="00293EFF"/>
    <w:rsid w:val="0029404D"/>
    <w:rsid w:val="0029406A"/>
    <w:rsid w:val="00294210"/>
    <w:rsid w:val="0029421F"/>
    <w:rsid w:val="00294261"/>
    <w:rsid w:val="002945E3"/>
    <w:rsid w:val="00294637"/>
    <w:rsid w:val="00294829"/>
    <w:rsid w:val="00294890"/>
    <w:rsid w:val="00294A81"/>
    <w:rsid w:val="00294BD5"/>
    <w:rsid w:val="00294E07"/>
    <w:rsid w:val="00294E99"/>
    <w:rsid w:val="00295021"/>
    <w:rsid w:val="00295100"/>
    <w:rsid w:val="00295777"/>
    <w:rsid w:val="0029597F"/>
    <w:rsid w:val="00295BC5"/>
    <w:rsid w:val="00295E9A"/>
    <w:rsid w:val="002960D1"/>
    <w:rsid w:val="002960FC"/>
    <w:rsid w:val="002961A3"/>
    <w:rsid w:val="00296615"/>
    <w:rsid w:val="0029667C"/>
    <w:rsid w:val="00296AB1"/>
    <w:rsid w:val="00296C5B"/>
    <w:rsid w:val="0029709C"/>
    <w:rsid w:val="002973ED"/>
    <w:rsid w:val="0029787A"/>
    <w:rsid w:val="002978C0"/>
    <w:rsid w:val="00297A16"/>
    <w:rsid w:val="00297BD0"/>
    <w:rsid w:val="002A0196"/>
    <w:rsid w:val="002A050A"/>
    <w:rsid w:val="002A061A"/>
    <w:rsid w:val="002A0932"/>
    <w:rsid w:val="002A0A58"/>
    <w:rsid w:val="002A0DED"/>
    <w:rsid w:val="002A10F3"/>
    <w:rsid w:val="002A13A9"/>
    <w:rsid w:val="002A13FB"/>
    <w:rsid w:val="002A1456"/>
    <w:rsid w:val="002A149F"/>
    <w:rsid w:val="002A14E7"/>
    <w:rsid w:val="002A16C1"/>
    <w:rsid w:val="002A1B62"/>
    <w:rsid w:val="002A1BB1"/>
    <w:rsid w:val="002A1D03"/>
    <w:rsid w:val="002A1D85"/>
    <w:rsid w:val="002A2261"/>
    <w:rsid w:val="002A2490"/>
    <w:rsid w:val="002A2572"/>
    <w:rsid w:val="002A2A2C"/>
    <w:rsid w:val="002A2BE5"/>
    <w:rsid w:val="002A2E60"/>
    <w:rsid w:val="002A31DE"/>
    <w:rsid w:val="002A35A2"/>
    <w:rsid w:val="002A3764"/>
    <w:rsid w:val="002A3902"/>
    <w:rsid w:val="002A3AD3"/>
    <w:rsid w:val="002A4007"/>
    <w:rsid w:val="002A4232"/>
    <w:rsid w:val="002A4496"/>
    <w:rsid w:val="002A46E9"/>
    <w:rsid w:val="002A4C04"/>
    <w:rsid w:val="002A4C0A"/>
    <w:rsid w:val="002A4F86"/>
    <w:rsid w:val="002A50E5"/>
    <w:rsid w:val="002A50F4"/>
    <w:rsid w:val="002A512D"/>
    <w:rsid w:val="002A514B"/>
    <w:rsid w:val="002A51E7"/>
    <w:rsid w:val="002A522B"/>
    <w:rsid w:val="002A5537"/>
    <w:rsid w:val="002A55A1"/>
    <w:rsid w:val="002A597A"/>
    <w:rsid w:val="002A5AA6"/>
    <w:rsid w:val="002A5B69"/>
    <w:rsid w:val="002A5EBF"/>
    <w:rsid w:val="002A5FEA"/>
    <w:rsid w:val="002A5FFC"/>
    <w:rsid w:val="002A6004"/>
    <w:rsid w:val="002A67E8"/>
    <w:rsid w:val="002A68D1"/>
    <w:rsid w:val="002A68F6"/>
    <w:rsid w:val="002A6B67"/>
    <w:rsid w:val="002A6F18"/>
    <w:rsid w:val="002A77FE"/>
    <w:rsid w:val="002A780A"/>
    <w:rsid w:val="002A7AD1"/>
    <w:rsid w:val="002A7C45"/>
    <w:rsid w:val="002A7F16"/>
    <w:rsid w:val="002A7F56"/>
    <w:rsid w:val="002B00E7"/>
    <w:rsid w:val="002B0528"/>
    <w:rsid w:val="002B0982"/>
    <w:rsid w:val="002B09D1"/>
    <w:rsid w:val="002B0CF8"/>
    <w:rsid w:val="002B0D7F"/>
    <w:rsid w:val="002B1070"/>
    <w:rsid w:val="002B1112"/>
    <w:rsid w:val="002B13C5"/>
    <w:rsid w:val="002B14FA"/>
    <w:rsid w:val="002B167A"/>
    <w:rsid w:val="002B175E"/>
    <w:rsid w:val="002B1E3B"/>
    <w:rsid w:val="002B1F1E"/>
    <w:rsid w:val="002B1FCA"/>
    <w:rsid w:val="002B2200"/>
    <w:rsid w:val="002B236B"/>
    <w:rsid w:val="002B2A43"/>
    <w:rsid w:val="002B2A4E"/>
    <w:rsid w:val="002B2DA3"/>
    <w:rsid w:val="002B3111"/>
    <w:rsid w:val="002B3632"/>
    <w:rsid w:val="002B3745"/>
    <w:rsid w:val="002B376F"/>
    <w:rsid w:val="002B3849"/>
    <w:rsid w:val="002B3BCD"/>
    <w:rsid w:val="002B3C9D"/>
    <w:rsid w:val="002B3E13"/>
    <w:rsid w:val="002B3E5D"/>
    <w:rsid w:val="002B406C"/>
    <w:rsid w:val="002B411B"/>
    <w:rsid w:val="002B4457"/>
    <w:rsid w:val="002B457E"/>
    <w:rsid w:val="002B4786"/>
    <w:rsid w:val="002B4AF0"/>
    <w:rsid w:val="002B4B79"/>
    <w:rsid w:val="002B4D60"/>
    <w:rsid w:val="002B4E69"/>
    <w:rsid w:val="002B504E"/>
    <w:rsid w:val="002B5100"/>
    <w:rsid w:val="002B55B5"/>
    <w:rsid w:val="002B5680"/>
    <w:rsid w:val="002B58E6"/>
    <w:rsid w:val="002B5A10"/>
    <w:rsid w:val="002B601F"/>
    <w:rsid w:val="002B60F8"/>
    <w:rsid w:val="002B615F"/>
    <w:rsid w:val="002B65E2"/>
    <w:rsid w:val="002B6A4A"/>
    <w:rsid w:val="002B6C35"/>
    <w:rsid w:val="002B6CF6"/>
    <w:rsid w:val="002B6DB7"/>
    <w:rsid w:val="002B6F40"/>
    <w:rsid w:val="002B76E4"/>
    <w:rsid w:val="002B7847"/>
    <w:rsid w:val="002B7922"/>
    <w:rsid w:val="002B7C00"/>
    <w:rsid w:val="002B7DDF"/>
    <w:rsid w:val="002C0394"/>
    <w:rsid w:val="002C0428"/>
    <w:rsid w:val="002C09F1"/>
    <w:rsid w:val="002C0CB6"/>
    <w:rsid w:val="002C0CDF"/>
    <w:rsid w:val="002C0E04"/>
    <w:rsid w:val="002C0E19"/>
    <w:rsid w:val="002C1084"/>
    <w:rsid w:val="002C10AA"/>
    <w:rsid w:val="002C1131"/>
    <w:rsid w:val="002C11A2"/>
    <w:rsid w:val="002C1576"/>
    <w:rsid w:val="002C1A3A"/>
    <w:rsid w:val="002C1CE3"/>
    <w:rsid w:val="002C1FA5"/>
    <w:rsid w:val="002C1FDC"/>
    <w:rsid w:val="002C20FF"/>
    <w:rsid w:val="002C211D"/>
    <w:rsid w:val="002C2891"/>
    <w:rsid w:val="002C29F3"/>
    <w:rsid w:val="002C2D95"/>
    <w:rsid w:val="002C2DD4"/>
    <w:rsid w:val="002C2F31"/>
    <w:rsid w:val="002C2FB9"/>
    <w:rsid w:val="002C3444"/>
    <w:rsid w:val="002C3476"/>
    <w:rsid w:val="002C3585"/>
    <w:rsid w:val="002C3682"/>
    <w:rsid w:val="002C373F"/>
    <w:rsid w:val="002C3781"/>
    <w:rsid w:val="002C3EBE"/>
    <w:rsid w:val="002C3EC6"/>
    <w:rsid w:val="002C4375"/>
    <w:rsid w:val="002C44A4"/>
    <w:rsid w:val="002C49A2"/>
    <w:rsid w:val="002C4A4C"/>
    <w:rsid w:val="002C4B88"/>
    <w:rsid w:val="002C4C08"/>
    <w:rsid w:val="002C53A7"/>
    <w:rsid w:val="002C548B"/>
    <w:rsid w:val="002C54D6"/>
    <w:rsid w:val="002C54FB"/>
    <w:rsid w:val="002C57A4"/>
    <w:rsid w:val="002C583C"/>
    <w:rsid w:val="002C5883"/>
    <w:rsid w:val="002C5913"/>
    <w:rsid w:val="002C5BE4"/>
    <w:rsid w:val="002C5DFE"/>
    <w:rsid w:val="002C60EA"/>
    <w:rsid w:val="002C67DE"/>
    <w:rsid w:val="002C6905"/>
    <w:rsid w:val="002C69C9"/>
    <w:rsid w:val="002C6DA0"/>
    <w:rsid w:val="002C716E"/>
    <w:rsid w:val="002C733D"/>
    <w:rsid w:val="002C73E2"/>
    <w:rsid w:val="002C7850"/>
    <w:rsid w:val="002C7973"/>
    <w:rsid w:val="002D00E1"/>
    <w:rsid w:val="002D0364"/>
    <w:rsid w:val="002D047D"/>
    <w:rsid w:val="002D0604"/>
    <w:rsid w:val="002D080E"/>
    <w:rsid w:val="002D0ADC"/>
    <w:rsid w:val="002D0D85"/>
    <w:rsid w:val="002D0E9B"/>
    <w:rsid w:val="002D12BC"/>
    <w:rsid w:val="002D16DD"/>
    <w:rsid w:val="002D170D"/>
    <w:rsid w:val="002D17A6"/>
    <w:rsid w:val="002D17FF"/>
    <w:rsid w:val="002D1920"/>
    <w:rsid w:val="002D1A7E"/>
    <w:rsid w:val="002D1AD7"/>
    <w:rsid w:val="002D1BD0"/>
    <w:rsid w:val="002D1C29"/>
    <w:rsid w:val="002D1DA3"/>
    <w:rsid w:val="002D1EBF"/>
    <w:rsid w:val="002D22D1"/>
    <w:rsid w:val="002D23C0"/>
    <w:rsid w:val="002D2FAB"/>
    <w:rsid w:val="002D3250"/>
    <w:rsid w:val="002D33B6"/>
    <w:rsid w:val="002D3402"/>
    <w:rsid w:val="002D344D"/>
    <w:rsid w:val="002D3664"/>
    <w:rsid w:val="002D3CAE"/>
    <w:rsid w:val="002D3CB8"/>
    <w:rsid w:val="002D3F27"/>
    <w:rsid w:val="002D3FFF"/>
    <w:rsid w:val="002D411B"/>
    <w:rsid w:val="002D428A"/>
    <w:rsid w:val="002D4956"/>
    <w:rsid w:val="002D498A"/>
    <w:rsid w:val="002D4AB4"/>
    <w:rsid w:val="002D4C9C"/>
    <w:rsid w:val="002D5065"/>
    <w:rsid w:val="002D529C"/>
    <w:rsid w:val="002D53D8"/>
    <w:rsid w:val="002D553F"/>
    <w:rsid w:val="002D57F9"/>
    <w:rsid w:val="002D59A1"/>
    <w:rsid w:val="002D5ABA"/>
    <w:rsid w:val="002D5D34"/>
    <w:rsid w:val="002D5D66"/>
    <w:rsid w:val="002D6163"/>
    <w:rsid w:val="002D6240"/>
    <w:rsid w:val="002D65D1"/>
    <w:rsid w:val="002D6D49"/>
    <w:rsid w:val="002D6D4B"/>
    <w:rsid w:val="002D7039"/>
    <w:rsid w:val="002D70CF"/>
    <w:rsid w:val="002D7129"/>
    <w:rsid w:val="002D723B"/>
    <w:rsid w:val="002D7299"/>
    <w:rsid w:val="002D79A4"/>
    <w:rsid w:val="002D7A03"/>
    <w:rsid w:val="002D7A23"/>
    <w:rsid w:val="002D7D74"/>
    <w:rsid w:val="002D7DF9"/>
    <w:rsid w:val="002E016F"/>
    <w:rsid w:val="002E02B9"/>
    <w:rsid w:val="002E05BF"/>
    <w:rsid w:val="002E0957"/>
    <w:rsid w:val="002E0D4E"/>
    <w:rsid w:val="002E0E96"/>
    <w:rsid w:val="002E1086"/>
    <w:rsid w:val="002E1129"/>
    <w:rsid w:val="002E1267"/>
    <w:rsid w:val="002E160B"/>
    <w:rsid w:val="002E17AB"/>
    <w:rsid w:val="002E1879"/>
    <w:rsid w:val="002E1942"/>
    <w:rsid w:val="002E1AB4"/>
    <w:rsid w:val="002E1BB0"/>
    <w:rsid w:val="002E1CB7"/>
    <w:rsid w:val="002E1D4E"/>
    <w:rsid w:val="002E1D91"/>
    <w:rsid w:val="002E1DF6"/>
    <w:rsid w:val="002E2032"/>
    <w:rsid w:val="002E211A"/>
    <w:rsid w:val="002E22D9"/>
    <w:rsid w:val="002E28AE"/>
    <w:rsid w:val="002E2BAE"/>
    <w:rsid w:val="002E2D07"/>
    <w:rsid w:val="002E2E44"/>
    <w:rsid w:val="002E2ECF"/>
    <w:rsid w:val="002E2F17"/>
    <w:rsid w:val="002E3109"/>
    <w:rsid w:val="002E3596"/>
    <w:rsid w:val="002E3857"/>
    <w:rsid w:val="002E3943"/>
    <w:rsid w:val="002E3984"/>
    <w:rsid w:val="002E3C2F"/>
    <w:rsid w:val="002E3C5D"/>
    <w:rsid w:val="002E3FDB"/>
    <w:rsid w:val="002E42F2"/>
    <w:rsid w:val="002E4331"/>
    <w:rsid w:val="002E443A"/>
    <w:rsid w:val="002E48ED"/>
    <w:rsid w:val="002E4914"/>
    <w:rsid w:val="002E4CBF"/>
    <w:rsid w:val="002E4D18"/>
    <w:rsid w:val="002E4ED8"/>
    <w:rsid w:val="002E4FC4"/>
    <w:rsid w:val="002E547C"/>
    <w:rsid w:val="002E56A1"/>
    <w:rsid w:val="002E5B35"/>
    <w:rsid w:val="002E5B5E"/>
    <w:rsid w:val="002E5BAA"/>
    <w:rsid w:val="002E5CA8"/>
    <w:rsid w:val="002E5CD4"/>
    <w:rsid w:val="002E6147"/>
    <w:rsid w:val="002E637C"/>
    <w:rsid w:val="002E651C"/>
    <w:rsid w:val="002E6528"/>
    <w:rsid w:val="002E6656"/>
    <w:rsid w:val="002E6690"/>
    <w:rsid w:val="002E66F6"/>
    <w:rsid w:val="002E67B8"/>
    <w:rsid w:val="002E682D"/>
    <w:rsid w:val="002E6C04"/>
    <w:rsid w:val="002E6CFB"/>
    <w:rsid w:val="002E6F7B"/>
    <w:rsid w:val="002E721E"/>
    <w:rsid w:val="002E7232"/>
    <w:rsid w:val="002E727D"/>
    <w:rsid w:val="002E749E"/>
    <w:rsid w:val="002E77D2"/>
    <w:rsid w:val="002E7949"/>
    <w:rsid w:val="002E79AA"/>
    <w:rsid w:val="002E7CDE"/>
    <w:rsid w:val="002E7D02"/>
    <w:rsid w:val="002E7EC5"/>
    <w:rsid w:val="002F0182"/>
    <w:rsid w:val="002F03B2"/>
    <w:rsid w:val="002F04C8"/>
    <w:rsid w:val="002F057B"/>
    <w:rsid w:val="002F0617"/>
    <w:rsid w:val="002F09A9"/>
    <w:rsid w:val="002F0C4F"/>
    <w:rsid w:val="002F0C8B"/>
    <w:rsid w:val="002F0D7F"/>
    <w:rsid w:val="002F12ED"/>
    <w:rsid w:val="002F174E"/>
    <w:rsid w:val="002F1866"/>
    <w:rsid w:val="002F1C61"/>
    <w:rsid w:val="002F1D70"/>
    <w:rsid w:val="002F1EE6"/>
    <w:rsid w:val="002F1FBE"/>
    <w:rsid w:val="002F1FD6"/>
    <w:rsid w:val="002F20B1"/>
    <w:rsid w:val="002F2220"/>
    <w:rsid w:val="002F23AB"/>
    <w:rsid w:val="002F247D"/>
    <w:rsid w:val="002F2692"/>
    <w:rsid w:val="002F276B"/>
    <w:rsid w:val="002F2927"/>
    <w:rsid w:val="002F2EB6"/>
    <w:rsid w:val="002F347F"/>
    <w:rsid w:val="002F34A4"/>
    <w:rsid w:val="002F34A6"/>
    <w:rsid w:val="002F3743"/>
    <w:rsid w:val="002F3906"/>
    <w:rsid w:val="002F3C06"/>
    <w:rsid w:val="002F3D50"/>
    <w:rsid w:val="002F3EC0"/>
    <w:rsid w:val="002F405A"/>
    <w:rsid w:val="002F43BE"/>
    <w:rsid w:val="002F48EA"/>
    <w:rsid w:val="002F48F5"/>
    <w:rsid w:val="002F4933"/>
    <w:rsid w:val="002F49AC"/>
    <w:rsid w:val="002F5017"/>
    <w:rsid w:val="002F5419"/>
    <w:rsid w:val="002F5428"/>
    <w:rsid w:val="002F548F"/>
    <w:rsid w:val="002F54A8"/>
    <w:rsid w:val="002F5559"/>
    <w:rsid w:val="002F5A86"/>
    <w:rsid w:val="002F5BF5"/>
    <w:rsid w:val="002F6042"/>
    <w:rsid w:val="002F606B"/>
    <w:rsid w:val="002F6211"/>
    <w:rsid w:val="002F6B4C"/>
    <w:rsid w:val="002F70AA"/>
    <w:rsid w:val="002F70E0"/>
    <w:rsid w:val="002F7521"/>
    <w:rsid w:val="002F776D"/>
    <w:rsid w:val="002F78DC"/>
    <w:rsid w:val="002F7AFA"/>
    <w:rsid w:val="002F7D5C"/>
    <w:rsid w:val="002F7DB5"/>
    <w:rsid w:val="002F7F78"/>
    <w:rsid w:val="003004CB"/>
    <w:rsid w:val="0030050F"/>
    <w:rsid w:val="00300713"/>
    <w:rsid w:val="003008CE"/>
    <w:rsid w:val="00300B4B"/>
    <w:rsid w:val="00300EF1"/>
    <w:rsid w:val="0030133C"/>
    <w:rsid w:val="00301577"/>
    <w:rsid w:val="003017EA"/>
    <w:rsid w:val="00301D2A"/>
    <w:rsid w:val="00301D97"/>
    <w:rsid w:val="003021AA"/>
    <w:rsid w:val="0030228E"/>
    <w:rsid w:val="0030235B"/>
    <w:rsid w:val="003025B4"/>
    <w:rsid w:val="0030269D"/>
    <w:rsid w:val="003027B7"/>
    <w:rsid w:val="00302A90"/>
    <w:rsid w:val="00302B73"/>
    <w:rsid w:val="00302BD7"/>
    <w:rsid w:val="0030305F"/>
    <w:rsid w:val="00303199"/>
    <w:rsid w:val="003032C9"/>
    <w:rsid w:val="0030334B"/>
    <w:rsid w:val="003033FE"/>
    <w:rsid w:val="00303417"/>
    <w:rsid w:val="0030374F"/>
    <w:rsid w:val="00303A23"/>
    <w:rsid w:val="00303B7B"/>
    <w:rsid w:val="00303BAF"/>
    <w:rsid w:val="00303D16"/>
    <w:rsid w:val="00304061"/>
    <w:rsid w:val="003040E9"/>
    <w:rsid w:val="00304AD4"/>
    <w:rsid w:val="00304B78"/>
    <w:rsid w:val="00304BCE"/>
    <w:rsid w:val="00305094"/>
    <w:rsid w:val="0030557C"/>
    <w:rsid w:val="003056CF"/>
    <w:rsid w:val="0030592C"/>
    <w:rsid w:val="00305B6B"/>
    <w:rsid w:val="00305F27"/>
    <w:rsid w:val="00306847"/>
    <w:rsid w:val="00306B10"/>
    <w:rsid w:val="00306B3C"/>
    <w:rsid w:val="00306BC0"/>
    <w:rsid w:val="00306E9A"/>
    <w:rsid w:val="00306FB1"/>
    <w:rsid w:val="0030717D"/>
    <w:rsid w:val="00307288"/>
    <w:rsid w:val="0030739D"/>
    <w:rsid w:val="00307477"/>
    <w:rsid w:val="0030749F"/>
    <w:rsid w:val="0030776B"/>
    <w:rsid w:val="00307BE3"/>
    <w:rsid w:val="00307F3E"/>
    <w:rsid w:val="00310369"/>
    <w:rsid w:val="0031036A"/>
    <w:rsid w:val="00310526"/>
    <w:rsid w:val="00310747"/>
    <w:rsid w:val="003108C6"/>
    <w:rsid w:val="00310B21"/>
    <w:rsid w:val="00310B3A"/>
    <w:rsid w:val="00311066"/>
    <w:rsid w:val="00311082"/>
    <w:rsid w:val="003110CB"/>
    <w:rsid w:val="0031133E"/>
    <w:rsid w:val="00311440"/>
    <w:rsid w:val="0031171A"/>
    <w:rsid w:val="003117D8"/>
    <w:rsid w:val="00311A33"/>
    <w:rsid w:val="00311B43"/>
    <w:rsid w:val="00311F18"/>
    <w:rsid w:val="0031217C"/>
    <w:rsid w:val="003121B5"/>
    <w:rsid w:val="00312782"/>
    <w:rsid w:val="00312A36"/>
    <w:rsid w:val="00312F49"/>
    <w:rsid w:val="00313055"/>
    <w:rsid w:val="003131A4"/>
    <w:rsid w:val="00313304"/>
    <w:rsid w:val="003133F0"/>
    <w:rsid w:val="003136C3"/>
    <w:rsid w:val="00313707"/>
    <w:rsid w:val="0031382B"/>
    <w:rsid w:val="00313A15"/>
    <w:rsid w:val="00313DB6"/>
    <w:rsid w:val="003140FA"/>
    <w:rsid w:val="00314567"/>
    <w:rsid w:val="003146A2"/>
    <w:rsid w:val="00314924"/>
    <w:rsid w:val="00314951"/>
    <w:rsid w:val="00314A08"/>
    <w:rsid w:val="00314C10"/>
    <w:rsid w:val="00314E9E"/>
    <w:rsid w:val="003151B0"/>
    <w:rsid w:val="0031525D"/>
    <w:rsid w:val="00315844"/>
    <w:rsid w:val="003159CF"/>
    <w:rsid w:val="00315EB4"/>
    <w:rsid w:val="00316229"/>
    <w:rsid w:val="003162EB"/>
    <w:rsid w:val="003162FB"/>
    <w:rsid w:val="0031637C"/>
    <w:rsid w:val="00316ADD"/>
    <w:rsid w:val="00316D5A"/>
    <w:rsid w:val="003172B3"/>
    <w:rsid w:val="00317359"/>
    <w:rsid w:val="00317534"/>
    <w:rsid w:val="00317631"/>
    <w:rsid w:val="00317676"/>
    <w:rsid w:val="00320A36"/>
    <w:rsid w:val="003219E2"/>
    <w:rsid w:val="00321AC5"/>
    <w:rsid w:val="00321B22"/>
    <w:rsid w:val="00321C48"/>
    <w:rsid w:val="0032207D"/>
    <w:rsid w:val="003224E0"/>
    <w:rsid w:val="00322C68"/>
    <w:rsid w:val="0032310A"/>
    <w:rsid w:val="0032358A"/>
    <w:rsid w:val="00323771"/>
    <w:rsid w:val="00323875"/>
    <w:rsid w:val="003238F8"/>
    <w:rsid w:val="00323F81"/>
    <w:rsid w:val="00323FFC"/>
    <w:rsid w:val="0032419F"/>
    <w:rsid w:val="003243DF"/>
    <w:rsid w:val="00324814"/>
    <w:rsid w:val="00324C08"/>
    <w:rsid w:val="00325326"/>
    <w:rsid w:val="003254F1"/>
    <w:rsid w:val="0032551A"/>
    <w:rsid w:val="00325686"/>
    <w:rsid w:val="00325719"/>
    <w:rsid w:val="003257D2"/>
    <w:rsid w:val="00325845"/>
    <w:rsid w:val="00325968"/>
    <w:rsid w:val="0032599A"/>
    <w:rsid w:val="00325D61"/>
    <w:rsid w:val="00325D8E"/>
    <w:rsid w:val="00325E14"/>
    <w:rsid w:val="00325E6F"/>
    <w:rsid w:val="00326238"/>
    <w:rsid w:val="00326380"/>
    <w:rsid w:val="00326472"/>
    <w:rsid w:val="00326925"/>
    <w:rsid w:val="00326A6F"/>
    <w:rsid w:val="00326AB7"/>
    <w:rsid w:val="00326C24"/>
    <w:rsid w:val="00326D14"/>
    <w:rsid w:val="00326D78"/>
    <w:rsid w:val="00326F3F"/>
    <w:rsid w:val="00326F9B"/>
    <w:rsid w:val="003274AA"/>
    <w:rsid w:val="00327634"/>
    <w:rsid w:val="003278D8"/>
    <w:rsid w:val="00327EE6"/>
    <w:rsid w:val="00330035"/>
    <w:rsid w:val="0033032C"/>
    <w:rsid w:val="00330588"/>
    <w:rsid w:val="00330693"/>
    <w:rsid w:val="0033098F"/>
    <w:rsid w:val="00330D48"/>
    <w:rsid w:val="00330ECA"/>
    <w:rsid w:val="00331788"/>
    <w:rsid w:val="003317E6"/>
    <w:rsid w:val="003320A0"/>
    <w:rsid w:val="003320E0"/>
    <w:rsid w:val="00332305"/>
    <w:rsid w:val="00332751"/>
    <w:rsid w:val="00332A0F"/>
    <w:rsid w:val="00332EA5"/>
    <w:rsid w:val="00333467"/>
    <w:rsid w:val="00333605"/>
    <w:rsid w:val="00333640"/>
    <w:rsid w:val="003336EB"/>
    <w:rsid w:val="0033385B"/>
    <w:rsid w:val="00333872"/>
    <w:rsid w:val="00333E4B"/>
    <w:rsid w:val="00333F09"/>
    <w:rsid w:val="00333F0F"/>
    <w:rsid w:val="00333F55"/>
    <w:rsid w:val="00334349"/>
    <w:rsid w:val="003344F9"/>
    <w:rsid w:val="003346DB"/>
    <w:rsid w:val="00334877"/>
    <w:rsid w:val="00334965"/>
    <w:rsid w:val="003349D4"/>
    <w:rsid w:val="00334A7E"/>
    <w:rsid w:val="00334BC0"/>
    <w:rsid w:val="00334BF3"/>
    <w:rsid w:val="00334D08"/>
    <w:rsid w:val="00334FEC"/>
    <w:rsid w:val="00335188"/>
    <w:rsid w:val="003351EE"/>
    <w:rsid w:val="003352B3"/>
    <w:rsid w:val="0033532E"/>
    <w:rsid w:val="003355A4"/>
    <w:rsid w:val="00335710"/>
    <w:rsid w:val="00335945"/>
    <w:rsid w:val="0033597D"/>
    <w:rsid w:val="00335C17"/>
    <w:rsid w:val="00335C33"/>
    <w:rsid w:val="00335D0F"/>
    <w:rsid w:val="0033614C"/>
    <w:rsid w:val="0033632F"/>
    <w:rsid w:val="003365BF"/>
    <w:rsid w:val="00337085"/>
    <w:rsid w:val="00337751"/>
    <w:rsid w:val="00337CB4"/>
    <w:rsid w:val="00337E97"/>
    <w:rsid w:val="00337F4B"/>
    <w:rsid w:val="003403AE"/>
    <w:rsid w:val="00340481"/>
    <w:rsid w:val="003407EE"/>
    <w:rsid w:val="00340B77"/>
    <w:rsid w:val="00340BAE"/>
    <w:rsid w:val="00340D55"/>
    <w:rsid w:val="00340DAF"/>
    <w:rsid w:val="003411A4"/>
    <w:rsid w:val="003412C2"/>
    <w:rsid w:val="003415AD"/>
    <w:rsid w:val="003415BA"/>
    <w:rsid w:val="0034189A"/>
    <w:rsid w:val="00341997"/>
    <w:rsid w:val="003419CF"/>
    <w:rsid w:val="00341C98"/>
    <w:rsid w:val="00342274"/>
    <w:rsid w:val="00342745"/>
    <w:rsid w:val="003427CB"/>
    <w:rsid w:val="00342B7D"/>
    <w:rsid w:val="00342BE7"/>
    <w:rsid w:val="00342FC3"/>
    <w:rsid w:val="00343167"/>
    <w:rsid w:val="0034340F"/>
    <w:rsid w:val="003434DD"/>
    <w:rsid w:val="0034353C"/>
    <w:rsid w:val="00343884"/>
    <w:rsid w:val="00343B5A"/>
    <w:rsid w:val="00343C66"/>
    <w:rsid w:val="00343CB5"/>
    <w:rsid w:val="00344081"/>
    <w:rsid w:val="003443B4"/>
    <w:rsid w:val="003444CE"/>
    <w:rsid w:val="003447E4"/>
    <w:rsid w:val="003447E6"/>
    <w:rsid w:val="00344B12"/>
    <w:rsid w:val="00344C9B"/>
    <w:rsid w:val="00344CAD"/>
    <w:rsid w:val="00344F2A"/>
    <w:rsid w:val="003451F5"/>
    <w:rsid w:val="0034551D"/>
    <w:rsid w:val="0034564B"/>
    <w:rsid w:val="003457EC"/>
    <w:rsid w:val="003458CC"/>
    <w:rsid w:val="00345AC2"/>
    <w:rsid w:val="0034621C"/>
    <w:rsid w:val="00346335"/>
    <w:rsid w:val="00346486"/>
    <w:rsid w:val="0034654F"/>
    <w:rsid w:val="003466C1"/>
    <w:rsid w:val="0034680B"/>
    <w:rsid w:val="00346899"/>
    <w:rsid w:val="0034690F"/>
    <w:rsid w:val="00346B12"/>
    <w:rsid w:val="00346DA6"/>
    <w:rsid w:val="00346DF6"/>
    <w:rsid w:val="003470EA"/>
    <w:rsid w:val="00347176"/>
    <w:rsid w:val="00347258"/>
    <w:rsid w:val="003472F9"/>
    <w:rsid w:val="00347656"/>
    <w:rsid w:val="003476D1"/>
    <w:rsid w:val="003477D7"/>
    <w:rsid w:val="003479B8"/>
    <w:rsid w:val="00347BF0"/>
    <w:rsid w:val="00347FC9"/>
    <w:rsid w:val="003503F0"/>
    <w:rsid w:val="0035046A"/>
    <w:rsid w:val="0035059F"/>
    <w:rsid w:val="00350670"/>
    <w:rsid w:val="00350794"/>
    <w:rsid w:val="00350C14"/>
    <w:rsid w:val="00350E53"/>
    <w:rsid w:val="00350E58"/>
    <w:rsid w:val="003510F5"/>
    <w:rsid w:val="00351152"/>
    <w:rsid w:val="00351245"/>
    <w:rsid w:val="00351471"/>
    <w:rsid w:val="00351485"/>
    <w:rsid w:val="0035164C"/>
    <w:rsid w:val="00351704"/>
    <w:rsid w:val="00351A16"/>
    <w:rsid w:val="00351BCE"/>
    <w:rsid w:val="00351DBB"/>
    <w:rsid w:val="00352074"/>
    <w:rsid w:val="00352619"/>
    <w:rsid w:val="0035272D"/>
    <w:rsid w:val="0035274B"/>
    <w:rsid w:val="003527B7"/>
    <w:rsid w:val="0035295D"/>
    <w:rsid w:val="00352968"/>
    <w:rsid w:val="00352A05"/>
    <w:rsid w:val="00352A76"/>
    <w:rsid w:val="00352DE8"/>
    <w:rsid w:val="00352F1B"/>
    <w:rsid w:val="00353030"/>
    <w:rsid w:val="003531B8"/>
    <w:rsid w:val="00353476"/>
    <w:rsid w:val="0035356A"/>
    <w:rsid w:val="003536BC"/>
    <w:rsid w:val="00353878"/>
    <w:rsid w:val="00353A21"/>
    <w:rsid w:val="00354136"/>
    <w:rsid w:val="003543F7"/>
    <w:rsid w:val="0035455D"/>
    <w:rsid w:val="003547CE"/>
    <w:rsid w:val="00354940"/>
    <w:rsid w:val="00354BA8"/>
    <w:rsid w:val="00354BFF"/>
    <w:rsid w:val="00354CAA"/>
    <w:rsid w:val="00354CB7"/>
    <w:rsid w:val="00354D11"/>
    <w:rsid w:val="00354EEE"/>
    <w:rsid w:val="00354F33"/>
    <w:rsid w:val="003550B3"/>
    <w:rsid w:val="003551F6"/>
    <w:rsid w:val="00355334"/>
    <w:rsid w:val="003555C7"/>
    <w:rsid w:val="00355643"/>
    <w:rsid w:val="00355B4B"/>
    <w:rsid w:val="00355C11"/>
    <w:rsid w:val="0035609B"/>
    <w:rsid w:val="003561DF"/>
    <w:rsid w:val="003562FD"/>
    <w:rsid w:val="0035657D"/>
    <w:rsid w:val="003567D1"/>
    <w:rsid w:val="00356874"/>
    <w:rsid w:val="0035691D"/>
    <w:rsid w:val="00356A1D"/>
    <w:rsid w:val="00356ADA"/>
    <w:rsid w:val="00356C69"/>
    <w:rsid w:val="00356F07"/>
    <w:rsid w:val="00356F7C"/>
    <w:rsid w:val="00357028"/>
    <w:rsid w:val="003570AB"/>
    <w:rsid w:val="003572EB"/>
    <w:rsid w:val="0035753A"/>
    <w:rsid w:val="003576F9"/>
    <w:rsid w:val="003576FD"/>
    <w:rsid w:val="003577DA"/>
    <w:rsid w:val="00357970"/>
    <w:rsid w:val="003600CD"/>
    <w:rsid w:val="00360155"/>
    <w:rsid w:val="003603AC"/>
    <w:rsid w:val="00360454"/>
    <w:rsid w:val="003604A6"/>
    <w:rsid w:val="0036071E"/>
    <w:rsid w:val="0036072A"/>
    <w:rsid w:val="00360C42"/>
    <w:rsid w:val="00360C9B"/>
    <w:rsid w:val="00360CB3"/>
    <w:rsid w:val="0036102E"/>
    <w:rsid w:val="003611DB"/>
    <w:rsid w:val="003616CD"/>
    <w:rsid w:val="00361895"/>
    <w:rsid w:val="003619D9"/>
    <w:rsid w:val="00361A9E"/>
    <w:rsid w:val="00361B18"/>
    <w:rsid w:val="00362397"/>
    <w:rsid w:val="003625D4"/>
    <w:rsid w:val="003625E6"/>
    <w:rsid w:val="0036276C"/>
    <w:rsid w:val="00362A43"/>
    <w:rsid w:val="00362C02"/>
    <w:rsid w:val="00362DAD"/>
    <w:rsid w:val="00363084"/>
    <w:rsid w:val="00363579"/>
    <w:rsid w:val="00363775"/>
    <w:rsid w:val="00363A82"/>
    <w:rsid w:val="00363C3C"/>
    <w:rsid w:val="00363E73"/>
    <w:rsid w:val="0036400B"/>
    <w:rsid w:val="00364267"/>
    <w:rsid w:val="003646C0"/>
    <w:rsid w:val="00364881"/>
    <w:rsid w:val="003648C6"/>
    <w:rsid w:val="0036490A"/>
    <w:rsid w:val="00364CD2"/>
    <w:rsid w:val="00364E19"/>
    <w:rsid w:val="003650BC"/>
    <w:rsid w:val="00365239"/>
    <w:rsid w:val="0036582B"/>
    <w:rsid w:val="003658BC"/>
    <w:rsid w:val="00365A4B"/>
    <w:rsid w:val="00365DA4"/>
    <w:rsid w:val="0036605A"/>
    <w:rsid w:val="003660A8"/>
    <w:rsid w:val="003661B5"/>
    <w:rsid w:val="00366255"/>
    <w:rsid w:val="00366334"/>
    <w:rsid w:val="003663C7"/>
    <w:rsid w:val="00366C95"/>
    <w:rsid w:val="003670C0"/>
    <w:rsid w:val="00367342"/>
    <w:rsid w:val="0036737C"/>
    <w:rsid w:val="003675A2"/>
    <w:rsid w:val="0036760B"/>
    <w:rsid w:val="00367821"/>
    <w:rsid w:val="00367938"/>
    <w:rsid w:val="00367C4F"/>
    <w:rsid w:val="00367D69"/>
    <w:rsid w:val="0037044F"/>
    <w:rsid w:val="00370620"/>
    <w:rsid w:val="00370678"/>
    <w:rsid w:val="00370889"/>
    <w:rsid w:val="00370E69"/>
    <w:rsid w:val="00371073"/>
    <w:rsid w:val="00371642"/>
    <w:rsid w:val="00371767"/>
    <w:rsid w:val="00371D90"/>
    <w:rsid w:val="00371E64"/>
    <w:rsid w:val="00371FD1"/>
    <w:rsid w:val="003721B1"/>
    <w:rsid w:val="003721D5"/>
    <w:rsid w:val="00372217"/>
    <w:rsid w:val="00372270"/>
    <w:rsid w:val="00372A41"/>
    <w:rsid w:val="00372D68"/>
    <w:rsid w:val="00372DCA"/>
    <w:rsid w:val="00372E65"/>
    <w:rsid w:val="00372E7A"/>
    <w:rsid w:val="00372F90"/>
    <w:rsid w:val="00372FC7"/>
    <w:rsid w:val="00373C55"/>
    <w:rsid w:val="00373CB2"/>
    <w:rsid w:val="0037400C"/>
    <w:rsid w:val="003742D2"/>
    <w:rsid w:val="00374461"/>
    <w:rsid w:val="003744C2"/>
    <w:rsid w:val="003744D1"/>
    <w:rsid w:val="0037598B"/>
    <w:rsid w:val="00375C7F"/>
    <w:rsid w:val="00375EB2"/>
    <w:rsid w:val="00375F93"/>
    <w:rsid w:val="003760BC"/>
    <w:rsid w:val="003762C0"/>
    <w:rsid w:val="003762DB"/>
    <w:rsid w:val="00376434"/>
    <w:rsid w:val="003764F7"/>
    <w:rsid w:val="00376759"/>
    <w:rsid w:val="003767D7"/>
    <w:rsid w:val="00376B43"/>
    <w:rsid w:val="00376EBD"/>
    <w:rsid w:val="0037746A"/>
    <w:rsid w:val="003774EF"/>
    <w:rsid w:val="003777A2"/>
    <w:rsid w:val="00377816"/>
    <w:rsid w:val="003778C2"/>
    <w:rsid w:val="003779DB"/>
    <w:rsid w:val="00377A7F"/>
    <w:rsid w:val="0038054A"/>
    <w:rsid w:val="003807A5"/>
    <w:rsid w:val="003807ED"/>
    <w:rsid w:val="00380B20"/>
    <w:rsid w:val="003811E8"/>
    <w:rsid w:val="0038126C"/>
    <w:rsid w:val="003814C4"/>
    <w:rsid w:val="0038153F"/>
    <w:rsid w:val="00381590"/>
    <w:rsid w:val="003819CF"/>
    <w:rsid w:val="00381B71"/>
    <w:rsid w:val="00381D85"/>
    <w:rsid w:val="00381EDB"/>
    <w:rsid w:val="003823E6"/>
    <w:rsid w:val="0038240D"/>
    <w:rsid w:val="00382425"/>
    <w:rsid w:val="003824BC"/>
    <w:rsid w:val="00382BF8"/>
    <w:rsid w:val="00382CD6"/>
    <w:rsid w:val="00382E1B"/>
    <w:rsid w:val="00382E78"/>
    <w:rsid w:val="00383066"/>
    <w:rsid w:val="00383622"/>
    <w:rsid w:val="00383A19"/>
    <w:rsid w:val="00383AFF"/>
    <w:rsid w:val="003840D6"/>
    <w:rsid w:val="00384286"/>
    <w:rsid w:val="00384297"/>
    <w:rsid w:val="0038431E"/>
    <w:rsid w:val="0038461A"/>
    <w:rsid w:val="00384753"/>
    <w:rsid w:val="0038488D"/>
    <w:rsid w:val="0038489D"/>
    <w:rsid w:val="00384A82"/>
    <w:rsid w:val="00384BFD"/>
    <w:rsid w:val="00384DA2"/>
    <w:rsid w:val="00384F3D"/>
    <w:rsid w:val="0038504F"/>
    <w:rsid w:val="0038545D"/>
    <w:rsid w:val="00385CC0"/>
    <w:rsid w:val="00386512"/>
    <w:rsid w:val="003866C7"/>
    <w:rsid w:val="00386BF7"/>
    <w:rsid w:val="00386D8C"/>
    <w:rsid w:val="00386F20"/>
    <w:rsid w:val="0038742C"/>
    <w:rsid w:val="00387680"/>
    <w:rsid w:val="00387A1A"/>
    <w:rsid w:val="00387ADC"/>
    <w:rsid w:val="00387C98"/>
    <w:rsid w:val="00387F7B"/>
    <w:rsid w:val="00387F87"/>
    <w:rsid w:val="0039029B"/>
    <w:rsid w:val="003905B3"/>
    <w:rsid w:val="00390711"/>
    <w:rsid w:val="00390A70"/>
    <w:rsid w:val="00390D33"/>
    <w:rsid w:val="00390E47"/>
    <w:rsid w:val="00391120"/>
    <w:rsid w:val="00391141"/>
    <w:rsid w:val="0039138A"/>
    <w:rsid w:val="00391472"/>
    <w:rsid w:val="00391673"/>
    <w:rsid w:val="003918A1"/>
    <w:rsid w:val="00391A0A"/>
    <w:rsid w:val="00391B2F"/>
    <w:rsid w:val="00391D07"/>
    <w:rsid w:val="00391F18"/>
    <w:rsid w:val="00392134"/>
    <w:rsid w:val="00392576"/>
    <w:rsid w:val="003926AC"/>
    <w:rsid w:val="00392716"/>
    <w:rsid w:val="00392798"/>
    <w:rsid w:val="003928D2"/>
    <w:rsid w:val="003930FE"/>
    <w:rsid w:val="003931D8"/>
    <w:rsid w:val="00393516"/>
    <w:rsid w:val="00393634"/>
    <w:rsid w:val="003945E6"/>
    <w:rsid w:val="003946D8"/>
    <w:rsid w:val="0039495F"/>
    <w:rsid w:val="00394A32"/>
    <w:rsid w:val="00394CA5"/>
    <w:rsid w:val="00394DB1"/>
    <w:rsid w:val="00394DC1"/>
    <w:rsid w:val="00394F20"/>
    <w:rsid w:val="00394F22"/>
    <w:rsid w:val="0039515A"/>
    <w:rsid w:val="0039545E"/>
    <w:rsid w:val="00395813"/>
    <w:rsid w:val="00395A7D"/>
    <w:rsid w:val="00395AEC"/>
    <w:rsid w:val="00396109"/>
    <w:rsid w:val="0039617B"/>
    <w:rsid w:val="00396359"/>
    <w:rsid w:val="003963FD"/>
    <w:rsid w:val="0039647C"/>
    <w:rsid w:val="0039655D"/>
    <w:rsid w:val="0039656E"/>
    <w:rsid w:val="00396621"/>
    <w:rsid w:val="00396898"/>
    <w:rsid w:val="00396D1A"/>
    <w:rsid w:val="00396F69"/>
    <w:rsid w:val="00397207"/>
    <w:rsid w:val="00397279"/>
    <w:rsid w:val="0039732A"/>
    <w:rsid w:val="00397331"/>
    <w:rsid w:val="00397587"/>
    <w:rsid w:val="00397978"/>
    <w:rsid w:val="00397B95"/>
    <w:rsid w:val="00397CF9"/>
    <w:rsid w:val="003A009F"/>
    <w:rsid w:val="003A02AC"/>
    <w:rsid w:val="003A05CA"/>
    <w:rsid w:val="003A078C"/>
    <w:rsid w:val="003A0BEF"/>
    <w:rsid w:val="003A1114"/>
    <w:rsid w:val="003A1265"/>
    <w:rsid w:val="003A12A5"/>
    <w:rsid w:val="003A14EB"/>
    <w:rsid w:val="003A1807"/>
    <w:rsid w:val="003A1AA0"/>
    <w:rsid w:val="003A1F2D"/>
    <w:rsid w:val="003A228A"/>
    <w:rsid w:val="003A237B"/>
    <w:rsid w:val="003A2520"/>
    <w:rsid w:val="003A2725"/>
    <w:rsid w:val="003A27EE"/>
    <w:rsid w:val="003A2867"/>
    <w:rsid w:val="003A2906"/>
    <w:rsid w:val="003A2AD4"/>
    <w:rsid w:val="003A2F25"/>
    <w:rsid w:val="003A2F5B"/>
    <w:rsid w:val="003A2F7D"/>
    <w:rsid w:val="003A3266"/>
    <w:rsid w:val="003A32F5"/>
    <w:rsid w:val="003A3630"/>
    <w:rsid w:val="003A3A32"/>
    <w:rsid w:val="003A3D97"/>
    <w:rsid w:val="003A3F1C"/>
    <w:rsid w:val="003A419E"/>
    <w:rsid w:val="003A43C8"/>
    <w:rsid w:val="003A4706"/>
    <w:rsid w:val="003A48FF"/>
    <w:rsid w:val="003A4DC8"/>
    <w:rsid w:val="003A4EF5"/>
    <w:rsid w:val="003A501A"/>
    <w:rsid w:val="003A55CD"/>
    <w:rsid w:val="003A585D"/>
    <w:rsid w:val="003A5E0E"/>
    <w:rsid w:val="003A6089"/>
    <w:rsid w:val="003A612F"/>
    <w:rsid w:val="003A6322"/>
    <w:rsid w:val="003A6348"/>
    <w:rsid w:val="003A64B6"/>
    <w:rsid w:val="003A64C6"/>
    <w:rsid w:val="003A68B3"/>
    <w:rsid w:val="003A6966"/>
    <w:rsid w:val="003A69DB"/>
    <w:rsid w:val="003A6D25"/>
    <w:rsid w:val="003A6F09"/>
    <w:rsid w:val="003A711C"/>
    <w:rsid w:val="003A7782"/>
    <w:rsid w:val="003A7839"/>
    <w:rsid w:val="003A7854"/>
    <w:rsid w:val="003A7F0B"/>
    <w:rsid w:val="003A7FC3"/>
    <w:rsid w:val="003B005B"/>
    <w:rsid w:val="003B011D"/>
    <w:rsid w:val="003B030F"/>
    <w:rsid w:val="003B049A"/>
    <w:rsid w:val="003B0611"/>
    <w:rsid w:val="003B08BE"/>
    <w:rsid w:val="003B0ACE"/>
    <w:rsid w:val="003B0DD2"/>
    <w:rsid w:val="003B1197"/>
    <w:rsid w:val="003B1419"/>
    <w:rsid w:val="003B172D"/>
    <w:rsid w:val="003B178C"/>
    <w:rsid w:val="003B21DA"/>
    <w:rsid w:val="003B2225"/>
    <w:rsid w:val="003B24EF"/>
    <w:rsid w:val="003B2596"/>
    <w:rsid w:val="003B2EB5"/>
    <w:rsid w:val="003B2EF4"/>
    <w:rsid w:val="003B2EFA"/>
    <w:rsid w:val="003B3017"/>
    <w:rsid w:val="003B320B"/>
    <w:rsid w:val="003B3402"/>
    <w:rsid w:val="003B3904"/>
    <w:rsid w:val="003B3DDF"/>
    <w:rsid w:val="003B4264"/>
    <w:rsid w:val="003B429C"/>
    <w:rsid w:val="003B44CF"/>
    <w:rsid w:val="003B46B0"/>
    <w:rsid w:val="003B46E9"/>
    <w:rsid w:val="003B48C6"/>
    <w:rsid w:val="003B491E"/>
    <w:rsid w:val="003B49A7"/>
    <w:rsid w:val="003B4DD3"/>
    <w:rsid w:val="003B4E58"/>
    <w:rsid w:val="003B501E"/>
    <w:rsid w:val="003B5166"/>
    <w:rsid w:val="003B52F8"/>
    <w:rsid w:val="003B54F2"/>
    <w:rsid w:val="003B5570"/>
    <w:rsid w:val="003B5791"/>
    <w:rsid w:val="003B5820"/>
    <w:rsid w:val="003B58F0"/>
    <w:rsid w:val="003B5BC7"/>
    <w:rsid w:val="003B5E15"/>
    <w:rsid w:val="003B6104"/>
    <w:rsid w:val="003B61AD"/>
    <w:rsid w:val="003B62C7"/>
    <w:rsid w:val="003B63D6"/>
    <w:rsid w:val="003B6471"/>
    <w:rsid w:val="003B64B5"/>
    <w:rsid w:val="003B664C"/>
    <w:rsid w:val="003B6724"/>
    <w:rsid w:val="003B6D25"/>
    <w:rsid w:val="003B6EA6"/>
    <w:rsid w:val="003B6ECE"/>
    <w:rsid w:val="003B6EEA"/>
    <w:rsid w:val="003B7064"/>
    <w:rsid w:val="003B71BD"/>
    <w:rsid w:val="003B7659"/>
    <w:rsid w:val="003B77C7"/>
    <w:rsid w:val="003B7BC7"/>
    <w:rsid w:val="003B7DB3"/>
    <w:rsid w:val="003B7EF4"/>
    <w:rsid w:val="003C0292"/>
    <w:rsid w:val="003C02CC"/>
    <w:rsid w:val="003C0342"/>
    <w:rsid w:val="003C03EF"/>
    <w:rsid w:val="003C0979"/>
    <w:rsid w:val="003C0A01"/>
    <w:rsid w:val="003C0C2A"/>
    <w:rsid w:val="003C0C8C"/>
    <w:rsid w:val="003C0FC3"/>
    <w:rsid w:val="003C17F7"/>
    <w:rsid w:val="003C1CCE"/>
    <w:rsid w:val="003C1D0E"/>
    <w:rsid w:val="003C1FA3"/>
    <w:rsid w:val="003C2045"/>
    <w:rsid w:val="003C20BF"/>
    <w:rsid w:val="003C2273"/>
    <w:rsid w:val="003C2384"/>
    <w:rsid w:val="003C260B"/>
    <w:rsid w:val="003C276E"/>
    <w:rsid w:val="003C2AC1"/>
    <w:rsid w:val="003C2F97"/>
    <w:rsid w:val="003C30DA"/>
    <w:rsid w:val="003C30E9"/>
    <w:rsid w:val="003C3183"/>
    <w:rsid w:val="003C3346"/>
    <w:rsid w:val="003C33FC"/>
    <w:rsid w:val="003C376B"/>
    <w:rsid w:val="003C3798"/>
    <w:rsid w:val="003C3A0F"/>
    <w:rsid w:val="003C3CEC"/>
    <w:rsid w:val="003C40FC"/>
    <w:rsid w:val="003C4438"/>
    <w:rsid w:val="003C45E4"/>
    <w:rsid w:val="003C4602"/>
    <w:rsid w:val="003C4713"/>
    <w:rsid w:val="003C4976"/>
    <w:rsid w:val="003C4A95"/>
    <w:rsid w:val="003C5064"/>
    <w:rsid w:val="003C51A1"/>
    <w:rsid w:val="003C580E"/>
    <w:rsid w:val="003C5C07"/>
    <w:rsid w:val="003C5D3D"/>
    <w:rsid w:val="003C5E56"/>
    <w:rsid w:val="003C60AD"/>
    <w:rsid w:val="003C61B2"/>
    <w:rsid w:val="003C6317"/>
    <w:rsid w:val="003C63FB"/>
    <w:rsid w:val="003C655D"/>
    <w:rsid w:val="003C69D7"/>
    <w:rsid w:val="003C6CC1"/>
    <w:rsid w:val="003C6CE6"/>
    <w:rsid w:val="003C6FFC"/>
    <w:rsid w:val="003C70CA"/>
    <w:rsid w:val="003C7246"/>
    <w:rsid w:val="003C771E"/>
    <w:rsid w:val="003C7969"/>
    <w:rsid w:val="003C7AC4"/>
    <w:rsid w:val="003C7B98"/>
    <w:rsid w:val="003C7CA6"/>
    <w:rsid w:val="003D0039"/>
    <w:rsid w:val="003D02A5"/>
    <w:rsid w:val="003D0399"/>
    <w:rsid w:val="003D046D"/>
    <w:rsid w:val="003D0707"/>
    <w:rsid w:val="003D071A"/>
    <w:rsid w:val="003D07A9"/>
    <w:rsid w:val="003D0BDF"/>
    <w:rsid w:val="003D0DC1"/>
    <w:rsid w:val="003D0DD2"/>
    <w:rsid w:val="003D0DDA"/>
    <w:rsid w:val="003D115A"/>
    <w:rsid w:val="003D1286"/>
    <w:rsid w:val="003D1308"/>
    <w:rsid w:val="003D153D"/>
    <w:rsid w:val="003D1665"/>
    <w:rsid w:val="003D1B5B"/>
    <w:rsid w:val="003D1BD5"/>
    <w:rsid w:val="003D1C84"/>
    <w:rsid w:val="003D1D21"/>
    <w:rsid w:val="003D1FD8"/>
    <w:rsid w:val="003D21CD"/>
    <w:rsid w:val="003D2291"/>
    <w:rsid w:val="003D229F"/>
    <w:rsid w:val="003D24BC"/>
    <w:rsid w:val="003D25E2"/>
    <w:rsid w:val="003D2AE8"/>
    <w:rsid w:val="003D2B56"/>
    <w:rsid w:val="003D2B76"/>
    <w:rsid w:val="003D2DFE"/>
    <w:rsid w:val="003D2E14"/>
    <w:rsid w:val="003D2E4E"/>
    <w:rsid w:val="003D379A"/>
    <w:rsid w:val="003D3A9C"/>
    <w:rsid w:val="003D3F5E"/>
    <w:rsid w:val="003D4108"/>
    <w:rsid w:val="003D4494"/>
    <w:rsid w:val="003D4992"/>
    <w:rsid w:val="003D4993"/>
    <w:rsid w:val="003D50AA"/>
    <w:rsid w:val="003D5243"/>
    <w:rsid w:val="003D531D"/>
    <w:rsid w:val="003D53D4"/>
    <w:rsid w:val="003D5432"/>
    <w:rsid w:val="003D5479"/>
    <w:rsid w:val="003D54CA"/>
    <w:rsid w:val="003D5739"/>
    <w:rsid w:val="003D5A8A"/>
    <w:rsid w:val="003D5E6E"/>
    <w:rsid w:val="003D6336"/>
    <w:rsid w:val="003D639C"/>
    <w:rsid w:val="003D6A13"/>
    <w:rsid w:val="003D6B5E"/>
    <w:rsid w:val="003D6DEB"/>
    <w:rsid w:val="003D75B9"/>
    <w:rsid w:val="003D75F4"/>
    <w:rsid w:val="003D7B2C"/>
    <w:rsid w:val="003D7E7F"/>
    <w:rsid w:val="003E0189"/>
    <w:rsid w:val="003E03B5"/>
    <w:rsid w:val="003E0478"/>
    <w:rsid w:val="003E06C7"/>
    <w:rsid w:val="003E07C0"/>
    <w:rsid w:val="003E0C20"/>
    <w:rsid w:val="003E0F49"/>
    <w:rsid w:val="003E109B"/>
    <w:rsid w:val="003E134A"/>
    <w:rsid w:val="003E1360"/>
    <w:rsid w:val="003E1651"/>
    <w:rsid w:val="003E1A71"/>
    <w:rsid w:val="003E1B9D"/>
    <w:rsid w:val="003E1BE3"/>
    <w:rsid w:val="003E1EF4"/>
    <w:rsid w:val="003E1F1D"/>
    <w:rsid w:val="003E24C8"/>
    <w:rsid w:val="003E275D"/>
    <w:rsid w:val="003E2B07"/>
    <w:rsid w:val="003E2D76"/>
    <w:rsid w:val="003E2F37"/>
    <w:rsid w:val="003E2F67"/>
    <w:rsid w:val="003E3399"/>
    <w:rsid w:val="003E3554"/>
    <w:rsid w:val="003E38E9"/>
    <w:rsid w:val="003E39B2"/>
    <w:rsid w:val="003E3BE6"/>
    <w:rsid w:val="003E3C55"/>
    <w:rsid w:val="003E3DCB"/>
    <w:rsid w:val="003E3DE9"/>
    <w:rsid w:val="003E452D"/>
    <w:rsid w:val="003E46C6"/>
    <w:rsid w:val="003E473B"/>
    <w:rsid w:val="003E4888"/>
    <w:rsid w:val="003E4AE0"/>
    <w:rsid w:val="003E4B02"/>
    <w:rsid w:val="003E511E"/>
    <w:rsid w:val="003E5152"/>
    <w:rsid w:val="003E5287"/>
    <w:rsid w:val="003E5294"/>
    <w:rsid w:val="003E5A02"/>
    <w:rsid w:val="003E5A82"/>
    <w:rsid w:val="003E6125"/>
    <w:rsid w:val="003E6160"/>
    <w:rsid w:val="003E63AE"/>
    <w:rsid w:val="003E6800"/>
    <w:rsid w:val="003E6839"/>
    <w:rsid w:val="003E6856"/>
    <w:rsid w:val="003E6C71"/>
    <w:rsid w:val="003E6CD1"/>
    <w:rsid w:val="003E6EB2"/>
    <w:rsid w:val="003E6EB4"/>
    <w:rsid w:val="003E6EC1"/>
    <w:rsid w:val="003E6F49"/>
    <w:rsid w:val="003E722F"/>
    <w:rsid w:val="003E75A5"/>
    <w:rsid w:val="003E75E9"/>
    <w:rsid w:val="003E769A"/>
    <w:rsid w:val="003E76E7"/>
    <w:rsid w:val="003E7A62"/>
    <w:rsid w:val="003E7A85"/>
    <w:rsid w:val="003E7C94"/>
    <w:rsid w:val="003E7F08"/>
    <w:rsid w:val="003F00F8"/>
    <w:rsid w:val="003F037F"/>
    <w:rsid w:val="003F0401"/>
    <w:rsid w:val="003F04AB"/>
    <w:rsid w:val="003F05EA"/>
    <w:rsid w:val="003F0771"/>
    <w:rsid w:val="003F0998"/>
    <w:rsid w:val="003F0AD9"/>
    <w:rsid w:val="003F0B9B"/>
    <w:rsid w:val="003F0D91"/>
    <w:rsid w:val="003F0E15"/>
    <w:rsid w:val="003F0F11"/>
    <w:rsid w:val="003F1254"/>
    <w:rsid w:val="003F16A5"/>
    <w:rsid w:val="003F1B7A"/>
    <w:rsid w:val="003F1B8A"/>
    <w:rsid w:val="003F1C5B"/>
    <w:rsid w:val="003F2067"/>
    <w:rsid w:val="003F212D"/>
    <w:rsid w:val="003F221F"/>
    <w:rsid w:val="003F2228"/>
    <w:rsid w:val="003F2295"/>
    <w:rsid w:val="003F2883"/>
    <w:rsid w:val="003F2B30"/>
    <w:rsid w:val="003F2C4F"/>
    <w:rsid w:val="003F2C9F"/>
    <w:rsid w:val="003F3496"/>
    <w:rsid w:val="003F3532"/>
    <w:rsid w:val="003F396B"/>
    <w:rsid w:val="003F3A0D"/>
    <w:rsid w:val="003F3AAC"/>
    <w:rsid w:val="003F3D10"/>
    <w:rsid w:val="003F463B"/>
    <w:rsid w:val="003F4832"/>
    <w:rsid w:val="003F4833"/>
    <w:rsid w:val="003F4B30"/>
    <w:rsid w:val="003F4C92"/>
    <w:rsid w:val="003F4EDA"/>
    <w:rsid w:val="003F5566"/>
    <w:rsid w:val="003F56F4"/>
    <w:rsid w:val="003F5A0B"/>
    <w:rsid w:val="003F5B5F"/>
    <w:rsid w:val="003F5D49"/>
    <w:rsid w:val="003F5EDB"/>
    <w:rsid w:val="003F5F27"/>
    <w:rsid w:val="003F627D"/>
    <w:rsid w:val="003F6770"/>
    <w:rsid w:val="003F6772"/>
    <w:rsid w:val="003F6A0C"/>
    <w:rsid w:val="003F6AD9"/>
    <w:rsid w:val="003F6C70"/>
    <w:rsid w:val="003F6CA1"/>
    <w:rsid w:val="003F6FE2"/>
    <w:rsid w:val="003F71C8"/>
    <w:rsid w:val="003F7568"/>
    <w:rsid w:val="003F7870"/>
    <w:rsid w:val="003F78F6"/>
    <w:rsid w:val="003F7B38"/>
    <w:rsid w:val="003F7BAD"/>
    <w:rsid w:val="003F7CCC"/>
    <w:rsid w:val="003F7D99"/>
    <w:rsid w:val="003F7DD2"/>
    <w:rsid w:val="003F7F56"/>
    <w:rsid w:val="004003F0"/>
    <w:rsid w:val="0040085A"/>
    <w:rsid w:val="00400C62"/>
    <w:rsid w:val="00400F36"/>
    <w:rsid w:val="00401116"/>
    <w:rsid w:val="0040114C"/>
    <w:rsid w:val="004017C3"/>
    <w:rsid w:val="00401E40"/>
    <w:rsid w:val="00401EDE"/>
    <w:rsid w:val="004021F2"/>
    <w:rsid w:val="00402293"/>
    <w:rsid w:val="0040231A"/>
    <w:rsid w:val="0040238E"/>
    <w:rsid w:val="004024D5"/>
    <w:rsid w:val="004026F8"/>
    <w:rsid w:val="0040280D"/>
    <w:rsid w:val="00402847"/>
    <w:rsid w:val="004029C0"/>
    <w:rsid w:val="00402B94"/>
    <w:rsid w:val="00402CD7"/>
    <w:rsid w:val="00402E22"/>
    <w:rsid w:val="00402E7E"/>
    <w:rsid w:val="00402EE8"/>
    <w:rsid w:val="00403008"/>
    <w:rsid w:val="004032F7"/>
    <w:rsid w:val="00403618"/>
    <w:rsid w:val="00403752"/>
    <w:rsid w:val="00403B4D"/>
    <w:rsid w:val="00403B85"/>
    <w:rsid w:val="00403FF8"/>
    <w:rsid w:val="004044F0"/>
    <w:rsid w:val="0040480D"/>
    <w:rsid w:val="004048BA"/>
    <w:rsid w:val="00404AE9"/>
    <w:rsid w:val="00404C25"/>
    <w:rsid w:val="00404C94"/>
    <w:rsid w:val="00405578"/>
    <w:rsid w:val="004055AC"/>
    <w:rsid w:val="00405656"/>
    <w:rsid w:val="0040569C"/>
    <w:rsid w:val="004057B5"/>
    <w:rsid w:val="00405C45"/>
    <w:rsid w:val="00405E94"/>
    <w:rsid w:val="00406337"/>
    <w:rsid w:val="004069D2"/>
    <w:rsid w:val="00406CD9"/>
    <w:rsid w:val="00406D97"/>
    <w:rsid w:val="00406EE4"/>
    <w:rsid w:val="00406F36"/>
    <w:rsid w:val="004074A5"/>
    <w:rsid w:val="0040756E"/>
    <w:rsid w:val="004075F9"/>
    <w:rsid w:val="00407873"/>
    <w:rsid w:val="00407B03"/>
    <w:rsid w:val="00407FB1"/>
    <w:rsid w:val="004105DC"/>
    <w:rsid w:val="004107FB"/>
    <w:rsid w:val="0041088C"/>
    <w:rsid w:val="004108F8"/>
    <w:rsid w:val="00410D4D"/>
    <w:rsid w:val="004111F0"/>
    <w:rsid w:val="0041142B"/>
    <w:rsid w:val="00411820"/>
    <w:rsid w:val="00411868"/>
    <w:rsid w:val="00411D15"/>
    <w:rsid w:val="0041252B"/>
    <w:rsid w:val="004125E2"/>
    <w:rsid w:val="00412655"/>
    <w:rsid w:val="00412CE3"/>
    <w:rsid w:val="00412D1F"/>
    <w:rsid w:val="00412D5E"/>
    <w:rsid w:val="00412E9C"/>
    <w:rsid w:val="0041321B"/>
    <w:rsid w:val="004136D9"/>
    <w:rsid w:val="004139C2"/>
    <w:rsid w:val="004139D8"/>
    <w:rsid w:val="00413A64"/>
    <w:rsid w:val="00413BF9"/>
    <w:rsid w:val="00413D25"/>
    <w:rsid w:val="00413F08"/>
    <w:rsid w:val="00413F33"/>
    <w:rsid w:val="00413FF6"/>
    <w:rsid w:val="00414124"/>
    <w:rsid w:val="004141FF"/>
    <w:rsid w:val="0041426F"/>
    <w:rsid w:val="004144B5"/>
    <w:rsid w:val="004146F1"/>
    <w:rsid w:val="00414883"/>
    <w:rsid w:val="00414939"/>
    <w:rsid w:val="00414966"/>
    <w:rsid w:val="00414AAA"/>
    <w:rsid w:val="0041520A"/>
    <w:rsid w:val="00415218"/>
    <w:rsid w:val="004152B2"/>
    <w:rsid w:val="004154A2"/>
    <w:rsid w:val="004154EB"/>
    <w:rsid w:val="00415C2B"/>
    <w:rsid w:val="00415C8B"/>
    <w:rsid w:val="00415CD9"/>
    <w:rsid w:val="004161F7"/>
    <w:rsid w:val="004165F8"/>
    <w:rsid w:val="00416832"/>
    <w:rsid w:val="00416B95"/>
    <w:rsid w:val="00416EE9"/>
    <w:rsid w:val="00417709"/>
    <w:rsid w:val="004177CA"/>
    <w:rsid w:val="004179A7"/>
    <w:rsid w:val="00417A25"/>
    <w:rsid w:val="00417A45"/>
    <w:rsid w:val="00417C1E"/>
    <w:rsid w:val="00417C97"/>
    <w:rsid w:val="0042000F"/>
    <w:rsid w:val="0042015C"/>
    <w:rsid w:val="00420251"/>
    <w:rsid w:val="004203D2"/>
    <w:rsid w:val="00420432"/>
    <w:rsid w:val="004205E2"/>
    <w:rsid w:val="0042086A"/>
    <w:rsid w:val="00420C37"/>
    <w:rsid w:val="004211BF"/>
    <w:rsid w:val="00421328"/>
    <w:rsid w:val="00421ADC"/>
    <w:rsid w:val="00421D96"/>
    <w:rsid w:val="0042211B"/>
    <w:rsid w:val="004223BA"/>
    <w:rsid w:val="0042260B"/>
    <w:rsid w:val="0042262C"/>
    <w:rsid w:val="00422E73"/>
    <w:rsid w:val="00422F06"/>
    <w:rsid w:val="00423142"/>
    <w:rsid w:val="0042339A"/>
    <w:rsid w:val="00423AC4"/>
    <w:rsid w:val="00423B71"/>
    <w:rsid w:val="00423F4D"/>
    <w:rsid w:val="00424808"/>
    <w:rsid w:val="00424A30"/>
    <w:rsid w:val="00424B48"/>
    <w:rsid w:val="00424CEA"/>
    <w:rsid w:val="00424E09"/>
    <w:rsid w:val="0042517B"/>
    <w:rsid w:val="0042522B"/>
    <w:rsid w:val="0042525D"/>
    <w:rsid w:val="004253D5"/>
    <w:rsid w:val="00425982"/>
    <w:rsid w:val="00425BB1"/>
    <w:rsid w:val="00425C82"/>
    <w:rsid w:val="00425D49"/>
    <w:rsid w:val="00425F1E"/>
    <w:rsid w:val="00425FB5"/>
    <w:rsid w:val="004262C2"/>
    <w:rsid w:val="004262D2"/>
    <w:rsid w:val="0042634C"/>
    <w:rsid w:val="004267D0"/>
    <w:rsid w:val="00426882"/>
    <w:rsid w:val="00426962"/>
    <w:rsid w:val="00426C65"/>
    <w:rsid w:val="0042743B"/>
    <w:rsid w:val="00427A1F"/>
    <w:rsid w:val="00427C2E"/>
    <w:rsid w:val="00427CA6"/>
    <w:rsid w:val="00427E06"/>
    <w:rsid w:val="004303E8"/>
    <w:rsid w:val="00430589"/>
    <w:rsid w:val="00430CB8"/>
    <w:rsid w:val="00430F41"/>
    <w:rsid w:val="00430FA5"/>
    <w:rsid w:val="004312AC"/>
    <w:rsid w:val="00431506"/>
    <w:rsid w:val="0043196D"/>
    <w:rsid w:val="00431A18"/>
    <w:rsid w:val="00431B15"/>
    <w:rsid w:val="00431D1B"/>
    <w:rsid w:val="00431DA4"/>
    <w:rsid w:val="00432004"/>
    <w:rsid w:val="0043219F"/>
    <w:rsid w:val="004322BD"/>
    <w:rsid w:val="0043249B"/>
    <w:rsid w:val="004324F7"/>
    <w:rsid w:val="004328C6"/>
    <w:rsid w:val="00432C96"/>
    <w:rsid w:val="00433006"/>
    <w:rsid w:val="004335A2"/>
    <w:rsid w:val="00433B8D"/>
    <w:rsid w:val="004342D4"/>
    <w:rsid w:val="00434461"/>
    <w:rsid w:val="004344E7"/>
    <w:rsid w:val="00434563"/>
    <w:rsid w:val="0043460D"/>
    <w:rsid w:val="0043467A"/>
    <w:rsid w:val="00434756"/>
    <w:rsid w:val="004347E6"/>
    <w:rsid w:val="00434A92"/>
    <w:rsid w:val="00434ACE"/>
    <w:rsid w:val="00434AD7"/>
    <w:rsid w:val="00434C40"/>
    <w:rsid w:val="00434CC0"/>
    <w:rsid w:val="00434D7B"/>
    <w:rsid w:val="00434E46"/>
    <w:rsid w:val="004351C0"/>
    <w:rsid w:val="0043550F"/>
    <w:rsid w:val="004356EC"/>
    <w:rsid w:val="004357AA"/>
    <w:rsid w:val="00435AD8"/>
    <w:rsid w:val="00435D28"/>
    <w:rsid w:val="00436213"/>
    <w:rsid w:val="0043639F"/>
    <w:rsid w:val="004369AC"/>
    <w:rsid w:val="00436B4E"/>
    <w:rsid w:val="00436C25"/>
    <w:rsid w:val="00436ECD"/>
    <w:rsid w:val="004372AE"/>
    <w:rsid w:val="004372CA"/>
    <w:rsid w:val="004373FC"/>
    <w:rsid w:val="00437419"/>
    <w:rsid w:val="004374C1"/>
    <w:rsid w:val="00437659"/>
    <w:rsid w:val="004376FC"/>
    <w:rsid w:val="004379B9"/>
    <w:rsid w:val="00437DC7"/>
    <w:rsid w:val="00437E9E"/>
    <w:rsid w:val="00437F50"/>
    <w:rsid w:val="00437F93"/>
    <w:rsid w:val="00440380"/>
    <w:rsid w:val="004406F0"/>
    <w:rsid w:val="004407B7"/>
    <w:rsid w:val="00440CEA"/>
    <w:rsid w:val="00440F8C"/>
    <w:rsid w:val="004412B1"/>
    <w:rsid w:val="00441856"/>
    <w:rsid w:val="004418FE"/>
    <w:rsid w:val="00441B1C"/>
    <w:rsid w:val="00441D1E"/>
    <w:rsid w:val="00441E88"/>
    <w:rsid w:val="0044233A"/>
    <w:rsid w:val="0044239A"/>
    <w:rsid w:val="00442455"/>
    <w:rsid w:val="00442516"/>
    <w:rsid w:val="004425FC"/>
    <w:rsid w:val="00442644"/>
    <w:rsid w:val="0044265F"/>
    <w:rsid w:val="004427D0"/>
    <w:rsid w:val="004428C9"/>
    <w:rsid w:val="004431C1"/>
    <w:rsid w:val="004432A1"/>
    <w:rsid w:val="004432B2"/>
    <w:rsid w:val="00443541"/>
    <w:rsid w:val="00443556"/>
    <w:rsid w:val="0044367C"/>
    <w:rsid w:val="00443E63"/>
    <w:rsid w:val="004442FE"/>
    <w:rsid w:val="00444505"/>
    <w:rsid w:val="00444844"/>
    <w:rsid w:val="00444924"/>
    <w:rsid w:val="0044498F"/>
    <w:rsid w:val="0044534F"/>
    <w:rsid w:val="004453EB"/>
    <w:rsid w:val="00445486"/>
    <w:rsid w:val="004454D0"/>
    <w:rsid w:val="004454F0"/>
    <w:rsid w:val="004455C0"/>
    <w:rsid w:val="004455EB"/>
    <w:rsid w:val="0044582C"/>
    <w:rsid w:val="00445D94"/>
    <w:rsid w:val="00445E72"/>
    <w:rsid w:val="00445EBF"/>
    <w:rsid w:val="0044600E"/>
    <w:rsid w:val="0044623C"/>
    <w:rsid w:val="00446635"/>
    <w:rsid w:val="00446AC8"/>
    <w:rsid w:val="00446C6B"/>
    <w:rsid w:val="00446D05"/>
    <w:rsid w:val="00446E8D"/>
    <w:rsid w:val="00446F12"/>
    <w:rsid w:val="00446F1B"/>
    <w:rsid w:val="00447033"/>
    <w:rsid w:val="00447882"/>
    <w:rsid w:val="00447C15"/>
    <w:rsid w:val="00447EBB"/>
    <w:rsid w:val="00447F10"/>
    <w:rsid w:val="00447F3D"/>
    <w:rsid w:val="00447F67"/>
    <w:rsid w:val="00447FC7"/>
    <w:rsid w:val="004503BF"/>
    <w:rsid w:val="00450556"/>
    <w:rsid w:val="004506C1"/>
    <w:rsid w:val="004507A6"/>
    <w:rsid w:val="00450902"/>
    <w:rsid w:val="00450D68"/>
    <w:rsid w:val="00450E9A"/>
    <w:rsid w:val="00451196"/>
    <w:rsid w:val="004516C8"/>
    <w:rsid w:val="00451842"/>
    <w:rsid w:val="00451B3E"/>
    <w:rsid w:val="00451D15"/>
    <w:rsid w:val="00451DA7"/>
    <w:rsid w:val="00451F9C"/>
    <w:rsid w:val="00452023"/>
    <w:rsid w:val="004524DC"/>
    <w:rsid w:val="004525FF"/>
    <w:rsid w:val="0045270E"/>
    <w:rsid w:val="00452A9D"/>
    <w:rsid w:val="00452B66"/>
    <w:rsid w:val="00452E58"/>
    <w:rsid w:val="00452F5F"/>
    <w:rsid w:val="00452F8F"/>
    <w:rsid w:val="00452F91"/>
    <w:rsid w:val="004535FF"/>
    <w:rsid w:val="00453665"/>
    <w:rsid w:val="00453792"/>
    <w:rsid w:val="0045379D"/>
    <w:rsid w:val="00453A14"/>
    <w:rsid w:val="00453B70"/>
    <w:rsid w:val="00453EAB"/>
    <w:rsid w:val="00454074"/>
    <w:rsid w:val="004541B1"/>
    <w:rsid w:val="004541BE"/>
    <w:rsid w:val="0045475A"/>
    <w:rsid w:val="00454AA3"/>
    <w:rsid w:val="00454B02"/>
    <w:rsid w:val="004553AB"/>
    <w:rsid w:val="004554A8"/>
    <w:rsid w:val="0045564C"/>
    <w:rsid w:val="004556FD"/>
    <w:rsid w:val="00455A2A"/>
    <w:rsid w:val="00455C71"/>
    <w:rsid w:val="00456147"/>
    <w:rsid w:val="004562E9"/>
    <w:rsid w:val="0045649D"/>
    <w:rsid w:val="0045655C"/>
    <w:rsid w:val="0045683C"/>
    <w:rsid w:val="00456846"/>
    <w:rsid w:val="00456864"/>
    <w:rsid w:val="00456BF4"/>
    <w:rsid w:val="00456C82"/>
    <w:rsid w:val="00456D54"/>
    <w:rsid w:val="00456EF8"/>
    <w:rsid w:val="00456F29"/>
    <w:rsid w:val="00457296"/>
    <w:rsid w:val="004572FA"/>
    <w:rsid w:val="00457DFB"/>
    <w:rsid w:val="00457E88"/>
    <w:rsid w:val="0046008D"/>
    <w:rsid w:val="0046017A"/>
    <w:rsid w:val="0046017B"/>
    <w:rsid w:val="00460281"/>
    <w:rsid w:val="00460493"/>
    <w:rsid w:val="00460562"/>
    <w:rsid w:val="004605F9"/>
    <w:rsid w:val="00461375"/>
    <w:rsid w:val="004616D6"/>
    <w:rsid w:val="00461825"/>
    <w:rsid w:val="00461D11"/>
    <w:rsid w:val="004620F8"/>
    <w:rsid w:val="00462484"/>
    <w:rsid w:val="00462FC3"/>
    <w:rsid w:val="0046344E"/>
    <w:rsid w:val="00463738"/>
    <w:rsid w:val="00463895"/>
    <w:rsid w:val="004638C3"/>
    <w:rsid w:val="00463F47"/>
    <w:rsid w:val="00464177"/>
    <w:rsid w:val="004642D3"/>
    <w:rsid w:val="00464371"/>
    <w:rsid w:val="00464557"/>
    <w:rsid w:val="0046494A"/>
    <w:rsid w:val="00464C54"/>
    <w:rsid w:val="00464C7B"/>
    <w:rsid w:val="00464FC5"/>
    <w:rsid w:val="00465154"/>
    <w:rsid w:val="004657AE"/>
    <w:rsid w:val="00465E59"/>
    <w:rsid w:val="00465FA1"/>
    <w:rsid w:val="004663AE"/>
    <w:rsid w:val="004665FE"/>
    <w:rsid w:val="00466769"/>
    <w:rsid w:val="004668E7"/>
    <w:rsid w:val="00466FDE"/>
    <w:rsid w:val="00467150"/>
    <w:rsid w:val="0046720D"/>
    <w:rsid w:val="004673FA"/>
    <w:rsid w:val="004674E5"/>
    <w:rsid w:val="00467546"/>
    <w:rsid w:val="00467575"/>
    <w:rsid w:val="004679DD"/>
    <w:rsid w:val="00467BD9"/>
    <w:rsid w:val="00467D19"/>
    <w:rsid w:val="0047009B"/>
    <w:rsid w:val="00470B79"/>
    <w:rsid w:val="00470C78"/>
    <w:rsid w:val="00470D8C"/>
    <w:rsid w:val="004710F8"/>
    <w:rsid w:val="00471483"/>
    <w:rsid w:val="004714FB"/>
    <w:rsid w:val="00471631"/>
    <w:rsid w:val="00471BD0"/>
    <w:rsid w:val="00471C50"/>
    <w:rsid w:val="0047224B"/>
    <w:rsid w:val="004722D6"/>
    <w:rsid w:val="00472381"/>
    <w:rsid w:val="00472898"/>
    <w:rsid w:val="00472A5B"/>
    <w:rsid w:val="00472C1C"/>
    <w:rsid w:val="00472D53"/>
    <w:rsid w:val="0047322E"/>
    <w:rsid w:val="00473261"/>
    <w:rsid w:val="0047355A"/>
    <w:rsid w:val="00473730"/>
    <w:rsid w:val="004737B1"/>
    <w:rsid w:val="0047394B"/>
    <w:rsid w:val="00473B0A"/>
    <w:rsid w:val="00473E17"/>
    <w:rsid w:val="00473E23"/>
    <w:rsid w:val="00473EC1"/>
    <w:rsid w:val="00473ECF"/>
    <w:rsid w:val="0047457E"/>
    <w:rsid w:val="004747A2"/>
    <w:rsid w:val="00474C16"/>
    <w:rsid w:val="00474F5C"/>
    <w:rsid w:val="004752A5"/>
    <w:rsid w:val="00475689"/>
    <w:rsid w:val="00475817"/>
    <w:rsid w:val="0047596A"/>
    <w:rsid w:val="00475DE8"/>
    <w:rsid w:val="00475FEF"/>
    <w:rsid w:val="004760CC"/>
    <w:rsid w:val="004760E8"/>
    <w:rsid w:val="004760F4"/>
    <w:rsid w:val="004764FD"/>
    <w:rsid w:val="00476558"/>
    <w:rsid w:val="004766C1"/>
    <w:rsid w:val="0047688A"/>
    <w:rsid w:val="00476C1D"/>
    <w:rsid w:val="00476ED5"/>
    <w:rsid w:val="00476F4C"/>
    <w:rsid w:val="0047701A"/>
    <w:rsid w:val="0047704A"/>
    <w:rsid w:val="0047709D"/>
    <w:rsid w:val="00477394"/>
    <w:rsid w:val="00477467"/>
    <w:rsid w:val="0047746A"/>
    <w:rsid w:val="00477516"/>
    <w:rsid w:val="00477534"/>
    <w:rsid w:val="004777F6"/>
    <w:rsid w:val="00480415"/>
    <w:rsid w:val="0048061E"/>
    <w:rsid w:val="004806AF"/>
    <w:rsid w:val="004807F6"/>
    <w:rsid w:val="00480AA5"/>
    <w:rsid w:val="00480D75"/>
    <w:rsid w:val="00480FF4"/>
    <w:rsid w:val="00481107"/>
    <w:rsid w:val="004815AC"/>
    <w:rsid w:val="00481630"/>
    <w:rsid w:val="004818EE"/>
    <w:rsid w:val="004819B0"/>
    <w:rsid w:val="00481B8B"/>
    <w:rsid w:val="00481BBA"/>
    <w:rsid w:val="00481D46"/>
    <w:rsid w:val="00482058"/>
    <w:rsid w:val="00482552"/>
    <w:rsid w:val="004826F4"/>
    <w:rsid w:val="00482786"/>
    <w:rsid w:val="00482860"/>
    <w:rsid w:val="004828B4"/>
    <w:rsid w:val="00482A42"/>
    <w:rsid w:val="00482A81"/>
    <w:rsid w:val="00482E52"/>
    <w:rsid w:val="00482F19"/>
    <w:rsid w:val="00483075"/>
    <w:rsid w:val="00483142"/>
    <w:rsid w:val="00483B54"/>
    <w:rsid w:val="00483D3A"/>
    <w:rsid w:val="00483FD0"/>
    <w:rsid w:val="00484052"/>
    <w:rsid w:val="00484245"/>
    <w:rsid w:val="00484381"/>
    <w:rsid w:val="004846E7"/>
    <w:rsid w:val="0048471F"/>
    <w:rsid w:val="00484B57"/>
    <w:rsid w:val="00484DD2"/>
    <w:rsid w:val="00484F1C"/>
    <w:rsid w:val="004850D0"/>
    <w:rsid w:val="00485284"/>
    <w:rsid w:val="00485315"/>
    <w:rsid w:val="0048539C"/>
    <w:rsid w:val="0048544A"/>
    <w:rsid w:val="00485656"/>
    <w:rsid w:val="00485720"/>
    <w:rsid w:val="00485BF2"/>
    <w:rsid w:val="00486264"/>
    <w:rsid w:val="00486277"/>
    <w:rsid w:val="00486443"/>
    <w:rsid w:val="004864D9"/>
    <w:rsid w:val="004868FA"/>
    <w:rsid w:val="00486B0C"/>
    <w:rsid w:val="00486C76"/>
    <w:rsid w:val="00486E92"/>
    <w:rsid w:val="00486ED4"/>
    <w:rsid w:val="004873D5"/>
    <w:rsid w:val="004874D7"/>
    <w:rsid w:val="00487700"/>
    <w:rsid w:val="00487859"/>
    <w:rsid w:val="00487AFA"/>
    <w:rsid w:val="00487D5D"/>
    <w:rsid w:val="00487DCB"/>
    <w:rsid w:val="00487E27"/>
    <w:rsid w:val="00487E30"/>
    <w:rsid w:val="004903E1"/>
    <w:rsid w:val="004906F7"/>
    <w:rsid w:val="004909E7"/>
    <w:rsid w:val="00490A06"/>
    <w:rsid w:val="00490D53"/>
    <w:rsid w:val="00490F0A"/>
    <w:rsid w:val="0049123A"/>
    <w:rsid w:val="00491315"/>
    <w:rsid w:val="004913E3"/>
    <w:rsid w:val="00491583"/>
    <w:rsid w:val="004915C8"/>
    <w:rsid w:val="0049168E"/>
    <w:rsid w:val="00491758"/>
    <w:rsid w:val="00491A72"/>
    <w:rsid w:val="00491B40"/>
    <w:rsid w:val="00491C8B"/>
    <w:rsid w:val="004924EC"/>
    <w:rsid w:val="00492521"/>
    <w:rsid w:val="004925A7"/>
    <w:rsid w:val="00492704"/>
    <w:rsid w:val="004928FC"/>
    <w:rsid w:val="00492B5F"/>
    <w:rsid w:val="00492CBA"/>
    <w:rsid w:val="00492E33"/>
    <w:rsid w:val="00492EC1"/>
    <w:rsid w:val="00493203"/>
    <w:rsid w:val="00493248"/>
    <w:rsid w:val="00493338"/>
    <w:rsid w:val="004933DB"/>
    <w:rsid w:val="0049342C"/>
    <w:rsid w:val="004938A1"/>
    <w:rsid w:val="00493ABE"/>
    <w:rsid w:val="00493FBF"/>
    <w:rsid w:val="0049408F"/>
    <w:rsid w:val="0049484F"/>
    <w:rsid w:val="00494883"/>
    <w:rsid w:val="0049489A"/>
    <w:rsid w:val="00494A07"/>
    <w:rsid w:val="00494B5B"/>
    <w:rsid w:val="00494C3E"/>
    <w:rsid w:val="00494EF6"/>
    <w:rsid w:val="00495401"/>
    <w:rsid w:val="0049561F"/>
    <w:rsid w:val="00495891"/>
    <w:rsid w:val="00495A92"/>
    <w:rsid w:val="00495C6D"/>
    <w:rsid w:val="00495D64"/>
    <w:rsid w:val="00495F99"/>
    <w:rsid w:val="00496008"/>
    <w:rsid w:val="0049608E"/>
    <w:rsid w:val="004964B6"/>
    <w:rsid w:val="004965A9"/>
    <w:rsid w:val="00496836"/>
    <w:rsid w:val="00496B52"/>
    <w:rsid w:val="00496E9C"/>
    <w:rsid w:val="004970BC"/>
    <w:rsid w:val="0049711B"/>
    <w:rsid w:val="00497425"/>
    <w:rsid w:val="00497B60"/>
    <w:rsid w:val="00497DA8"/>
    <w:rsid w:val="00497DB5"/>
    <w:rsid w:val="00497FEA"/>
    <w:rsid w:val="004A025E"/>
    <w:rsid w:val="004A03AC"/>
    <w:rsid w:val="004A0424"/>
    <w:rsid w:val="004A070D"/>
    <w:rsid w:val="004A0724"/>
    <w:rsid w:val="004A075D"/>
    <w:rsid w:val="004A0822"/>
    <w:rsid w:val="004A0BE9"/>
    <w:rsid w:val="004A0DD5"/>
    <w:rsid w:val="004A0E70"/>
    <w:rsid w:val="004A120C"/>
    <w:rsid w:val="004A12CC"/>
    <w:rsid w:val="004A1625"/>
    <w:rsid w:val="004A16AE"/>
    <w:rsid w:val="004A19C5"/>
    <w:rsid w:val="004A1D4A"/>
    <w:rsid w:val="004A1EFF"/>
    <w:rsid w:val="004A1F75"/>
    <w:rsid w:val="004A20CC"/>
    <w:rsid w:val="004A2321"/>
    <w:rsid w:val="004A2459"/>
    <w:rsid w:val="004A256F"/>
    <w:rsid w:val="004A265B"/>
    <w:rsid w:val="004A276F"/>
    <w:rsid w:val="004A29AF"/>
    <w:rsid w:val="004A2C00"/>
    <w:rsid w:val="004A2D11"/>
    <w:rsid w:val="004A2FC1"/>
    <w:rsid w:val="004A304D"/>
    <w:rsid w:val="004A30CC"/>
    <w:rsid w:val="004A3351"/>
    <w:rsid w:val="004A36B5"/>
    <w:rsid w:val="004A37CA"/>
    <w:rsid w:val="004A3A8A"/>
    <w:rsid w:val="004A3BD7"/>
    <w:rsid w:val="004A3EA9"/>
    <w:rsid w:val="004A3F18"/>
    <w:rsid w:val="004A3FA3"/>
    <w:rsid w:val="004A3FF5"/>
    <w:rsid w:val="004A426B"/>
    <w:rsid w:val="004A43EC"/>
    <w:rsid w:val="004A4443"/>
    <w:rsid w:val="004A4474"/>
    <w:rsid w:val="004A4805"/>
    <w:rsid w:val="004A49AB"/>
    <w:rsid w:val="004A4C09"/>
    <w:rsid w:val="004A4C13"/>
    <w:rsid w:val="004A4C1B"/>
    <w:rsid w:val="004A4F92"/>
    <w:rsid w:val="004A5021"/>
    <w:rsid w:val="004A5255"/>
    <w:rsid w:val="004A5860"/>
    <w:rsid w:val="004A5968"/>
    <w:rsid w:val="004A5A82"/>
    <w:rsid w:val="004A5C0C"/>
    <w:rsid w:val="004A5C85"/>
    <w:rsid w:val="004A611C"/>
    <w:rsid w:val="004A61A8"/>
    <w:rsid w:val="004A62DA"/>
    <w:rsid w:val="004A646F"/>
    <w:rsid w:val="004A65DF"/>
    <w:rsid w:val="004A69CF"/>
    <w:rsid w:val="004A6ADE"/>
    <w:rsid w:val="004A6B90"/>
    <w:rsid w:val="004A6E61"/>
    <w:rsid w:val="004A7188"/>
    <w:rsid w:val="004A7269"/>
    <w:rsid w:val="004A7377"/>
    <w:rsid w:val="004A75D3"/>
    <w:rsid w:val="004A7751"/>
    <w:rsid w:val="004A7829"/>
    <w:rsid w:val="004A7985"/>
    <w:rsid w:val="004A7B39"/>
    <w:rsid w:val="004A7E69"/>
    <w:rsid w:val="004A7EBC"/>
    <w:rsid w:val="004A7F47"/>
    <w:rsid w:val="004B00F6"/>
    <w:rsid w:val="004B036D"/>
    <w:rsid w:val="004B07B8"/>
    <w:rsid w:val="004B086D"/>
    <w:rsid w:val="004B08F5"/>
    <w:rsid w:val="004B09C9"/>
    <w:rsid w:val="004B0CD0"/>
    <w:rsid w:val="004B1126"/>
    <w:rsid w:val="004B1148"/>
    <w:rsid w:val="004B11F6"/>
    <w:rsid w:val="004B1555"/>
    <w:rsid w:val="004B160C"/>
    <w:rsid w:val="004B18F4"/>
    <w:rsid w:val="004B1A4C"/>
    <w:rsid w:val="004B1BA4"/>
    <w:rsid w:val="004B1C43"/>
    <w:rsid w:val="004B1D9E"/>
    <w:rsid w:val="004B1F46"/>
    <w:rsid w:val="004B2081"/>
    <w:rsid w:val="004B2379"/>
    <w:rsid w:val="004B26B0"/>
    <w:rsid w:val="004B2D1B"/>
    <w:rsid w:val="004B2F0B"/>
    <w:rsid w:val="004B2FB9"/>
    <w:rsid w:val="004B2FF8"/>
    <w:rsid w:val="004B315E"/>
    <w:rsid w:val="004B31EB"/>
    <w:rsid w:val="004B332C"/>
    <w:rsid w:val="004B3367"/>
    <w:rsid w:val="004B3615"/>
    <w:rsid w:val="004B3616"/>
    <w:rsid w:val="004B36F7"/>
    <w:rsid w:val="004B376D"/>
    <w:rsid w:val="004B39B5"/>
    <w:rsid w:val="004B3E19"/>
    <w:rsid w:val="004B4310"/>
    <w:rsid w:val="004B4342"/>
    <w:rsid w:val="004B43D9"/>
    <w:rsid w:val="004B43DE"/>
    <w:rsid w:val="004B4780"/>
    <w:rsid w:val="004B4A97"/>
    <w:rsid w:val="004B4DA4"/>
    <w:rsid w:val="004B4E6F"/>
    <w:rsid w:val="004B5072"/>
    <w:rsid w:val="004B5102"/>
    <w:rsid w:val="004B52D6"/>
    <w:rsid w:val="004B53C1"/>
    <w:rsid w:val="004B542C"/>
    <w:rsid w:val="004B55EE"/>
    <w:rsid w:val="004B5879"/>
    <w:rsid w:val="004B58F1"/>
    <w:rsid w:val="004B5CF0"/>
    <w:rsid w:val="004B61C6"/>
    <w:rsid w:val="004B6434"/>
    <w:rsid w:val="004B654B"/>
    <w:rsid w:val="004B69A0"/>
    <w:rsid w:val="004B6C82"/>
    <w:rsid w:val="004B6CED"/>
    <w:rsid w:val="004B6D4C"/>
    <w:rsid w:val="004B6E64"/>
    <w:rsid w:val="004B6E7A"/>
    <w:rsid w:val="004B6E83"/>
    <w:rsid w:val="004B72E7"/>
    <w:rsid w:val="004B76C2"/>
    <w:rsid w:val="004B77F1"/>
    <w:rsid w:val="004B7815"/>
    <w:rsid w:val="004B78EF"/>
    <w:rsid w:val="004B793B"/>
    <w:rsid w:val="004B7A89"/>
    <w:rsid w:val="004B7E7A"/>
    <w:rsid w:val="004C0330"/>
    <w:rsid w:val="004C0781"/>
    <w:rsid w:val="004C0869"/>
    <w:rsid w:val="004C08E9"/>
    <w:rsid w:val="004C0956"/>
    <w:rsid w:val="004C0BBA"/>
    <w:rsid w:val="004C0BC5"/>
    <w:rsid w:val="004C0CCF"/>
    <w:rsid w:val="004C0FC3"/>
    <w:rsid w:val="004C130A"/>
    <w:rsid w:val="004C139B"/>
    <w:rsid w:val="004C159C"/>
    <w:rsid w:val="004C19F0"/>
    <w:rsid w:val="004C1BDF"/>
    <w:rsid w:val="004C1EA6"/>
    <w:rsid w:val="004C219C"/>
    <w:rsid w:val="004C21BA"/>
    <w:rsid w:val="004C2255"/>
    <w:rsid w:val="004C2629"/>
    <w:rsid w:val="004C2770"/>
    <w:rsid w:val="004C27CE"/>
    <w:rsid w:val="004C2982"/>
    <w:rsid w:val="004C29A2"/>
    <w:rsid w:val="004C2CB7"/>
    <w:rsid w:val="004C2D7F"/>
    <w:rsid w:val="004C2DEC"/>
    <w:rsid w:val="004C3132"/>
    <w:rsid w:val="004C387B"/>
    <w:rsid w:val="004C3FD6"/>
    <w:rsid w:val="004C42C6"/>
    <w:rsid w:val="004C42F2"/>
    <w:rsid w:val="004C46B8"/>
    <w:rsid w:val="004C47C6"/>
    <w:rsid w:val="004C47EE"/>
    <w:rsid w:val="004C4C68"/>
    <w:rsid w:val="004C4EA1"/>
    <w:rsid w:val="004C4F10"/>
    <w:rsid w:val="004C5066"/>
    <w:rsid w:val="004C5A8C"/>
    <w:rsid w:val="004C5E43"/>
    <w:rsid w:val="004C63E6"/>
    <w:rsid w:val="004C65D2"/>
    <w:rsid w:val="004C6C18"/>
    <w:rsid w:val="004C7276"/>
    <w:rsid w:val="004C7279"/>
    <w:rsid w:val="004C73A1"/>
    <w:rsid w:val="004C777A"/>
    <w:rsid w:val="004C7868"/>
    <w:rsid w:val="004C7909"/>
    <w:rsid w:val="004C7A74"/>
    <w:rsid w:val="004C7BC3"/>
    <w:rsid w:val="004C7DE8"/>
    <w:rsid w:val="004C7FF6"/>
    <w:rsid w:val="004D020A"/>
    <w:rsid w:val="004D02E4"/>
    <w:rsid w:val="004D0311"/>
    <w:rsid w:val="004D046F"/>
    <w:rsid w:val="004D0688"/>
    <w:rsid w:val="004D07F4"/>
    <w:rsid w:val="004D0CB3"/>
    <w:rsid w:val="004D0FE7"/>
    <w:rsid w:val="004D117A"/>
    <w:rsid w:val="004D11A5"/>
    <w:rsid w:val="004D130D"/>
    <w:rsid w:val="004D1617"/>
    <w:rsid w:val="004D170C"/>
    <w:rsid w:val="004D1748"/>
    <w:rsid w:val="004D1796"/>
    <w:rsid w:val="004D18C1"/>
    <w:rsid w:val="004D18CE"/>
    <w:rsid w:val="004D2054"/>
    <w:rsid w:val="004D2139"/>
    <w:rsid w:val="004D2910"/>
    <w:rsid w:val="004D2943"/>
    <w:rsid w:val="004D296E"/>
    <w:rsid w:val="004D2F19"/>
    <w:rsid w:val="004D305B"/>
    <w:rsid w:val="004D30B1"/>
    <w:rsid w:val="004D3400"/>
    <w:rsid w:val="004D34D4"/>
    <w:rsid w:val="004D390F"/>
    <w:rsid w:val="004D3A5C"/>
    <w:rsid w:val="004D3B8E"/>
    <w:rsid w:val="004D3CB9"/>
    <w:rsid w:val="004D40B8"/>
    <w:rsid w:val="004D41BB"/>
    <w:rsid w:val="004D42B1"/>
    <w:rsid w:val="004D4455"/>
    <w:rsid w:val="004D446B"/>
    <w:rsid w:val="004D44C9"/>
    <w:rsid w:val="004D4586"/>
    <w:rsid w:val="004D47F0"/>
    <w:rsid w:val="004D4978"/>
    <w:rsid w:val="004D4C63"/>
    <w:rsid w:val="004D4E79"/>
    <w:rsid w:val="004D4F08"/>
    <w:rsid w:val="004D525F"/>
    <w:rsid w:val="004D5386"/>
    <w:rsid w:val="004D53B2"/>
    <w:rsid w:val="004D5669"/>
    <w:rsid w:val="004D5684"/>
    <w:rsid w:val="004D5A9F"/>
    <w:rsid w:val="004D5E0B"/>
    <w:rsid w:val="004D64EF"/>
    <w:rsid w:val="004D6686"/>
    <w:rsid w:val="004D6E9D"/>
    <w:rsid w:val="004D7237"/>
    <w:rsid w:val="004D7389"/>
    <w:rsid w:val="004D7407"/>
    <w:rsid w:val="004D745E"/>
    <w:rsid w:val="004D7574"/>
    <w:rsid w:val="004D78F8"/>
    <w:rsid w:val="004D79AE"/>
    <w:rsid w:val="004D7A1F"/>
    <w:rsid w:val="004D7BE3"/>
    <w:rsid w:val="004D7C18"/>
    <w:rsid w:val="004D7F4A"/>
    <w:rsid w:val="004E0080"/>
    <w:rsid w:val="004E020D"/>
    <w:rsid w:val="004E03A7"/>
    <w:rsid w:val="004E0541"/>
    <w:rsid w:val="004E0BF5"/>
    <w:rsid w:val="004E0C82"/>
    <w:rsid w:val="004E0D0F"/>
    <w:rsid w:val="004E0D44"/>
    <w:rsid w:val="004E12DF"/>
    <w:rsid w:val="004E14BF"/>
    <w:rsid w:val="004E15F8"/>
    <w:rsid w:val="004E17FF"/>
    <w:rsid w:val="004E18F3"/>
    <w:rsid w:val="004E199D"/>
    <w:rsid w:val="004E1C5D"/>
    <w:rsid w:val="004E1D26"/>
    <w:rsid w:val="004E1E51"/>
    <w:rsid w:val="004E2119"/>
    <w:rsid w:val="004E2139"/>
    <w:rsid w:val="004E2273"/>
    <w:rsid w:val="004E2279"/>
    <w:rsid w:val="004E234A"/>
    <w:rsid w:val="004E23E7"/>
    <w:rsid w:val="004E24C6"/>
    <w:rsid w:val="004E2610"/>
    <w:rsid w:val="004E2854"/>
    <w:rsid w:val="004E2A9F"/>
    <w:rsid w:val="004E2AB6"/>
    <w:rsid w:val="004E2ABA"/>
    <w:rsid w:val="004E2AF3"/>
    <w:rsid w:val="004E2F84"/>
    <w:rsid w:val="004E3163"/>
    <w:rsid w:val="004E348F"/>
    <w:rsid w:val="004E37DB"/>
    <w:rsid w:val="004E393E"/>
    <w:rsid w:val="004E39DF"/>
    <w:rsid w:val="004E3A8B"/>
    <w:rsid w:val="004E3B28"/>
    <w:rsid w:val="004E3C98"/>
    <w:rsid w:val="004E3E5C"/>
    <w:rsid w:val="004E3EFD"/>
    <w:rsid w:val="004E4079"/>
    <w:rsid w:val="004E44F0"/>
    <w:rsid w:val="004E474A"/>
    <w:rsid w:val="004E48DD"/>
    <w:rsid w:val="004E48E9"/>
    <w:rsid w:val="004E4F1B"/>
    <w:rsid w:val="004E51A2"/>
    <w:rsid w:val="004E55E1"/>
    <w:rsid w:val="004E5792"/>
    <w:rsid w:val="004E5A05"/>
    <w:rsid w:val="004E5B76"/>
    <w:rsid w:val="004E5E8D"/>
    <w:rsid w:val="004E5FD2"/>
    <w:rsid w:val="004E6343"/>
    <w:rsid w:val="004E7559"/>
    <w:rsid w:val="004E7AAF"/>
    <w:rsid w:val="004E7D5C"/>
    <w:rsid w:val="004E7D6E"/>
    <w:rsid w:val="004E7E04"/>
    <w:rsid w:val="004F0242"/>
    <w:rsid w:val="004F0279"/>
    <w:rsid w:val="004F0BA3"/>
    <w:rsid w:val="004F0D4E"/>
    <w:rsid w:val="004F1260"/>
    <w:rsid w:val="004F13DB"/>
    <w:rsid w:val="004F181C"/>
    <w:rsid w:val="004F1829"/>
    <w:rsid w:val="004F1842"/>
    <w:rsid w:val="004F1A2B"/>
    <w:rsid w:val="004F1AA1"/>
    <w:rsid w:val="004F1F9B"/>
    <w:rsid w:val="004F21E2"/>
    <w:rsid w:val="004F237E"/>
    <w:rsid w:val="004F2716"/>
    <w:rsid w:val="004F2759"/>
    <w:rsid w:val="004F2A8D"/>
    <w:rsid w:val="004F2B71"/>
    <w:rsid w:val="004F2CC4"/>
    <w:rsid w:val="004F2EBE"/>
    <w:rsid w:val="004F2F5A"/>
    <w:rsid w:val="004F3446"/>
    <w:rsid w:val="004F36CF"/>
    <w:rsid w:val="004F39CA"/>
    <w:rsid w:val="004F3BFB"/>
    <w:rsid w:val="004F43D4"/>
    <w:rsid w:val="004F501D"/>
    <w:rsid w:val="004F508C"/>
    <w:rsid w:val="004F5171"/>
    <w:rsid w:val="004F537A"/>
    <w:rsid w:val="004F53F8"/>
    <w:rsid w:val="004F550E"/>
    <w:rsid w:val="004F556D"/>
    <w:rsid w:val="004F56E0"/>
    <w:rsid w:val="004F57E8"/>
    <w:rsid w:val="004F5970"/>
    <w:rsid w:val="004F5D72"/>
    <w:rsid w:val="004F624B"/>
    <w:rsid w:val="004F6261"/>
    <w:rsid w:val="004F627F"/>
    <w:rsid w:val="004F6AFC"/>
    <w:rsid w:val="004F6B07"/>
    <w:rsid w:val="004F6B54"/>
    <w:rsid w:val="004F7172"/>
    <w:rsid w:val="004F736C"/>
    <w:rsid w:val="004F7468"/>
    <w:rsid w:val="004F7681"/>
    <w:rsid w:val="004F791C"/>
    <w:rsid w:val="004F7BCF"/>
    <w:rsid w:val="004F7DAF"/>
    <w:rsid w:val="004F7E67"/>
    <w:rsid w:val="004F7F6D"/>
    <w:rsid w:val="005000B5"/>
    <w:rsid w:val="005001A5"/>
    <w:rsid w:val="005002B4"/>
    <w:rsid w:val="005004E8"/>
    <w:rsid w:val="00500683"/>
    <w:rsid w:val="00500927"/>
    <w:rsid w:val="00500B19"/>
    <w:rsid w:val="00500B1F"/>
    <w:rsid w:val="00500D3E"/>
    <w:rsid w:val="00500DBD"/>
    <w:rsid w:val="00500E09"/>
    <w:rsid w:val="00501146"/>
    <w:rsid w:val="00501243"/>
    <w:rsid w:val="00501257"/>
    <w:rsid w:val="005012AF"/>
    <w:rsid w:val="005012B2"/>
    <w:rsid w:val="005015D0"/>
    <w:rsid w:val="005015F2"/>
    <w:rsid w:val="00501673"/>
    <w:rsid w:val="005016BE"/>
    <w:rsid w:val="00501738"/>
    <w:rsid w:val="00501898"/>
    <w:rsid w:val="00501A3E"/>
    <w:rsid w:val="00501C23"/>
    <w:rsid w:val="00501F5B"/>
    <w:rsid w:val="00501FA4"/>
    <w:rsid w:val="005020A6"/>
    <w:rsid w:val="00502193"/>
    <w:rsid w:val="005022FF"/>
    <w:rsid w:val="00502304"/>
    <w:rsid w:val="005023F4"/>
    <w:rsid w:val="0050270E"/>
    <w:rsid w:val="0050278B"/>
    <w:rsid w:val="00502D46"/>
    <w:rsid w:val="005033D0"/>
    <w:rsid w:val="0050341B"/>
    <w:rsid w:val="00503603"/>
    <w:rsid w:val="00503712"/>
    <w:rsid w:val="00503DBE"/>
    <w:rsid w:val="00504218"/>
    <w:rsid w:val="0050460B"/>
    <w:rsid w:val="0050471C"/>
    <w:rsid w:val="00504825"/>
    <w:rsid w:val="005049D7"/>
    <w:rsid w:val="00504E56"/>
    <w:rsid w:val="00505035"/>
    <w:rsid w:val="00505178"/>
    <w:rsid w:val="0050534C"/>
    <w:rsid w:val="00505821"/>
    <w:rsid w:val="005059AB"/>
    <w:rsid w:val="00505ACD"/>
    <w:rsid w:val="00505B10"/>
    <w:rsid w:val="00505D5C"/>
    <w:rsid w:val="00506078"/>
    <w:rsid w:val="0050608E"/>
    <w:rsid w:val="005060B5"/>
    <w:rsid w:val="00506356"/>
    <w:rsid w:val="00506783"/>
    <w:rsid w:val="0050682A"/>
    <w:rsid w:val="00507232"/>
    <w:rsid w:val="00507674"/>
    <w:rsid w:val="00507875"/>
    <w:rsid w:val="00507907"/>
    <w:rsid w:val="00507A2E"/>
    <w:rsid w:val="00507E6E"/>
    <w:rsid w:val="00510016"/>
    <w:rsid w:val="00510133"/>
    <w:rsid w:val="00510DB7"/>
    <w:rsid w:val="005110CC"/>
    <w:rsid w:val="0051132A"/>
    <w:rsid w:val="00511669"/>
    <w:rsid w:val="005116D8"/>
    <w:rsid w:val="005118EA"/>
    <w:rsid w:val="005120C9"/>
    <w:rsid w:val="00512117"/>
    <w:rsid w:val="005121F3"/>
    <w:rsid w:val="0051235E"/>
    <w:rsid w:val="00512409"/>
    <w:rsid w:val="00512BEC"/>
    <w:rsid w:val="00512C53"/>
    <w:rsid w:val="00512FDC"/>
    <w:rsid w:val="0051304D"/>
    <w:rsid w:val="005135CD"/>
    <w:rsid w:val="005136E7"/>
    <w:rsid w:val="00513753"/>
    <w:rsid w:val="00513795"/>
    <w:rsid w:val="00513954"/>
    <w:rsid w:val="00513992"/>
    <w:rsid w:val="005139E6"/>
    <w:rsid w:val="00513A7D"/>
    <w:rsid w:val="00513B6B"/>
    <w:rsid w:val="0051437C"/>
    <w:rsid w:val="005143BC"/>
    <w:rsid w:val="005143ED"/>
    <w:rsid w:val="005144DA"/>
    <w:rsid w:val="00514581"/>
    <w:rsid w:val="00514707"/>
    <w:rsid w:val="0051473D"/>
    <w:rsid w:val="00514AC0"/>
    <w:rsid w:val="00514B9D"/>
    <w:rsid w:val="00514E4F"/>
    <w:rsid w:val="00515008"/>
    <w:rsid w:val="00515109"/>
    <w:rsid w:val="005151BB"/>
    <w:rsid w:val="00515200"/>
    <w:rsid w:val="005153C4"/>
    <w:rsid w:val="005154DB"/>
    <w:rsid w:val="00515653"/>
    <w:rsid w:val="00515780"/>
    <w:rsid w:val="0051578D"/>
    <w:rsid w:val="00515B62"/>
    <w:rsid w:val="00515E2B"/>
    <w:rsid w:val="00516538"/>
    <w:rsid w:val="00517216"/>
    <w:rsid w:val="00517725"/>
    <w:rsid w:val="0051796C"/>
    <w:rsid w:val="00517B67"/>
    <w:rsid w:val="00517C78"/>
    <w:rsid w:val="00517FDD"/>
    <w:rsid w:val="00520021"/>
    <w:rsid w:val="005205D4"/>
    <w:rsid w:val="0052068A"/>
    <w:rsid w:val="005207A5"/>
    <w:rsid w:val="005207B3"/>
    <w:rsid w:val="00520909"/>
    <w:rsid w:val="005209F0"/>
    <w:rsid w:val="00520A22"/>
    <w:rsid w:val="00520BEB"/>
    <w:rsid w:val="0052119E"/>
    <w:rsid w:val="0052127B"/>
    <w:rsid w:val="00521625"/>
    <w:rsid w:val="00521755"/>
    <w:rsid w:val="00521BCB"/>
    <w:rsid w:val="00522416"/>
    <w:rsid w:val="00522605"/>
    <w:rsid w:val="00522A93"/>
    <w:rsid w:val="00522AAA"/>
    <w:rsid w:val="00522D22"/>
    <w:rsid w:val="00522E24"/>
    <w:rsid w:val="00522EB6"/>
    <w:rsid w:val="00522F6C"/>
    <w:rsid w:val="00523011"/>
    <w:rsid w:val="0052308A"/>
    <w:rsid w:val="005232D3"/>
    <w:rsid w:val="00523D5C"/>
    <w:rsid w:val="00523FCF"/>
    <w:rsid w:val="00524103"/>
    <w:rsid w:val="00524290"/>
    <w:rsid w:val="0052475D"/>
    <w:rsid w:val="0052482C"/>
    <w:rsid w:val="005248C2"/>
    <w:rsid w:val="00524E84"/>
    <w:rsid w:val="0052502A"/>
    <w:rsid w:val="005251A1"/>
    <w:rsid w:val="00525904"/>
    <w:rsid w:val="00525A00"/>
    <w:rsid w:val="00525A3A"/>
    <w:rsid w:val="00525C27"/>
    <w:rsid w:val="00525C8C"/>
    <w:rsid w:val="00525F56"/>
    <w:rsid w:val="005260D1"/>
    <w:rsid w:val="0052614F"/>
    <w:rsid w:val="005265AE"/>
    <w:rsid w:val="00526BA1"/>
    <w:rsid w:val="00527498"/>
    <w:rsid w:val="00527C95"/>
    <w:rsid w:val="00527E94"/>
    <w:rsid w:val="00530046"/>
    <w:rsid w:val="0053015F"/>
    <w:rsid w:val="0053026F"/>
    <w:rsid w:val="0053038C"/>
    <w:rsid w:val="005309D0"/>
    <w:rsid w:val="00531123"/>
    <w:rsid w:val="00531131"/>
    <w:rsid w:val="005315D3"/>
    <w:rsid w:val="00531BFC"/>
    <w:rsid w:val="00531C9B"/>
    <w:rsid w:val="00531F42"/>
    <w:rsid w:val="00531F8E"/>
    <w:rsid w:val="00531FAD"/>
    <w:rsid w:val="0053211C"/>
    <w:rsid w:val="005322D1"/>
    <w:rsid w:val="0053240C"/>
    <w:rsid w:val="0053240F"/>
    <w:rsid w:val="00532B86"/>
    <w:rsid w:val="00532BE8"/>
    <w:rsid w:val="00532DC7"/>
    <w:rsid w:val="005332A5"/>
    <w:rsid w:val="005332B2"/>
    <w:rsid w:val="00533B61"/>
    <w:rsid w:val="00534056"/>
    <w:rsid w:val="00534541"/>
    <w:rsid w:val="00534608"/>
    <w:rsid w:val="005346A7"/>
    <w:rsid w:val="0053477C"/>
    <w:rsid w:val="00534797"/>
    <w:rsid w:val="00534848"/>
    <w:rsid w:val="00534939"/>
    <w:rsid w:val="005349B8"/>
    <w:rsid w:val="00534A20"/>
    <w:rsid w:val="00534A7C"/>
    <w:rsid w:val="00534AB6"/>
    <w:rsid w:val="00535220"/>
    <w:rsid w:val="005352D8"/>
    <w:rsid w:val="00535555"/>
    <w:rsid w:val="005356CB"/>
    <w:rsid w:val="00535D3E"/>
    <w:rsid w:val="00536210"/>
    <w:rsid w:val="0053633B"/>
    <w:rsid w:val="0053651B"/>
    <w:rsid w:val="00536576"/>
    <w:rsid w:val="00536908"/>
    <w:rsid w:val="00536AD3"/>
    <w:rsid w:val="00536C42"/>
    <w:rsid w:val="0053711F"/>
    <w:rsid w:val="00537138"/>
    <w:rsid w:val="00537146"/>
    <w:rsid w:val="00537235"/>
    <w:rsid w:val="00537472"/>
    <w:rsid w:val="0053762F"/>
    <w:rsid w:val="005379D1"/>
    <w:rsid w:val="00537ABC"/>
    <w:rsid w:val="00540094"/>
    <w:rsid w:val="00540220"/>
    <w:rsid w:val="00540226"/>
    <w:rsid w:val="005403AB"/>
    <w:rsid w:val="005403E4"/>
    <w:rsid w:val="00540463"/>
    <w:rsid w:val="00540568"/>
    <w:rsid w:val="00540A6E"/>
    <w:rsid w:val="005410FC"/>
    <w:rsid w:val="00541307"/>
    <w:rsid w:val="0054188B"/>
    <w:rsid w:val="00541EAF"/>
    <w:rsid w:val="00541FEF"/>
    <w:rsid w:val="00542083"/>
    <w:rsid w:val="0054208A"/>
    <w:rsid w:val="005420CE"/>
    <w:rsid w:val="005425D1"/>
    <w:rsid w:val="005426C6"/>
    <w:rsid w:val="005427DB"/>
    <w:rsid w:val="005427FB"/>
    <w:rsid w:val="00542879"/>
    <w:rsid w:val="00542A01"/>
    <w:rsid w:val="00542B48"/>
    <w:rsid w:val="00542B5D"/>
    <w:rsid w:val="00542C28"/>
    <w:rsid w:val="00542C94"/>
    <w:rsid w:val="005433C3"/>
    <w:rsid w:val="00543750"/>
    <w:rsid w:val="00543A9E"/>
    <w:rsid w:val="00543DC1"/>
    <w:rsid w:val="0054409B"/>
    <w:rsid w:val="0054421A"/>
    <w:rsid w:val="005442BF"/>
    <w:rsid w:val="0054438F"/>
    <w:rsid w:val="0054454E"/>
    <w:rsid w:val="005445E5"/>
    <w:rsid w:val="00544654"/>
    <w:rsid w:val="0054480C"/>
    <w:rsid w:val="00544EC5"/>
    <w:rsid w:val="005452E4"/>
    <w:rsid w:val="005453E0"/>
    <w:rsid w:val="00545407"/>
    <w:rsid w:val="00545709"/>
    <w:rsid w:val="00545B4D"/>
    <w:rsid w:val="00545CCB"/>
    <w:rsid w:val="00545D93"/>
    <w:rsid w:val="00545D98"/>
    <w:rsid w:val="00545F31"/>
    <w:rsid w:val="00545F59"/>
    <w:rsid w:val="00546326"/>
    <w:rsid w:val="0054693C"/>
    <w:rsid w:val="005472E8"/>
    <w:rsid w:val="00547353"/>
    <w:rsid w:val="005473B8"/>
    <w:rsid w:val="00547879"/>
    <w:rsid w:val="00547A34"/>
    <w:rsid w:val="00547D66"/>
    <w:rsid w:val="00547E44"/>
    <w:rsid w:val="00550615"/>
    <w:rsid w:val="00550C0E"/>
    <w:rsid w:val="00550DE4"/>
    <w:rsid w:val="00550EF9"/>
    <w:rsid w:val="00550F10"/>
    <w:rsid w:val="00550FAA"/>
    <w:rsid w:val="00551092"/>
    <w:rsid w:val="005510AC"/>
    <w:rsid w:val="005510E2"/>
    <w:rsid w:val="005511A3"/>
    <w:rsid w:val="0055155B"/>
    <w:rsid w:val="00551665"/>
    <w:rsid w:val="00551A48"/>
    <w:rsid w:val="00551AAF"/>
    <w:rsid w:val="00551B35"/>
    <w:rsid w:val="00551B7F"/>
    <w:rsid w:val="00552224"/>
    <w:rsid w:val="005524CB"/>
    <w:rsid w:val="005525D6"/>
    <w:rsid w:val="00552791"/>
    <w:rsid w:val="005527BC"/>
    <w:rsid w:val="005528A9"/>
    <w:rsid w:val="00552DEE"/>
    <w:rsid w:val="00552E0A"/>
    <w:rsid w:val="00552E2E"/>
    <w:rsid w:val="00553049"/>
    <w:rsid w:val="00553238"/>
    <w:rsid w:val="00553B77"/>
    <w:rsid w:val="00553D2F"/>
    <w:rsid w:val="00553E08"/>
    <w:rsid w:val="0055418B"/>
    <w:rsid w:val="00554242"/>
    <w:rsid w:val="00554329"/>
    <w:rsid w:val="00554829"/>
    <w:rsid w:val="00554AB5"/>
    <w:rsid w:val="00554B81"/>
    <w:rsid w:val="0055512E"/>
    <w:rsid w:val="0055531A"/>
    <w:rsid w:val="00555397"/>
    <w:rsid w:val="00555455"/>
    <w:rsid w:val="005557B5"/>
    <w:rsid w:val="00555C54"/>
    <w:rsid w:val="00555D16"/>
    <w:rsid w:val="00555E4E"/>
    <w:rsid w:val="0055642E"/>
    <w:rsid w:val="0055656B"/>
    <w:rsid w:val="00556782"/>
    <w:rsid w:val="00556835"/>
    <w:rsid w:val="005568E7"/>
    <w:rsid w:val="0055696C"/>
    <w:rsid w:val="00556A13"/>
    <w:rsid w:val="005570C7"/>
    <w:rsid w:val="00557164"/>
    <w:rsid w:val="00557671"/>
    <w:rsid w:val="0055788F"/>
    <w:rsid w:val="00557FDA"/>
    <w:rsid w:val="00560056"/>
    <w:rsid w:val="0056007F"/>
    <w:rsid w:val="005600E1"/>
    <w:rsid w:val="00560347"/>
    <w:rsid w:val="0056061F"/>
    <w:rsid w:val="005606A4"/>
    <w:rsid w:val="00560921"/>
    <w:rsid w:val="0056095A"/>
    <w:rsid w:val="005609BB"/>
    <w:rsid w:val="00560A79"/>
    <w:rsid w:val="00560C56"/>
    <w:rsid w:val="00560E42"/>
    <w:rsid w:val="00560F58"/>
    <w:rsid w:val="00560FF6"/>
    <w:rsid w:val="00561238"/>
    <w:rsid w:val="005613CC"/>
    <w:rsid w:val="005614DB"/>
    <w:rsid w:val="0056164D"/>
    <w:rsid w:val="00561937"/>
    <w:rsid w:val="00561D26"/>
    <w:rsid w:val="00561DF7"/>
    <w:rsid w:val="0056200E"/>
    <w:rsid w:val="0056219B"/>
    <w:rsid w:val="00562860"/>
    <w:rsid w:val="00562A04"/>
    <w:rsid w:val="00562AA4"/>
    <w:rsid w:val="00562B1C"/>
    <w:rsid w:val="00562EC4"/>
    <w:rsid w:val="00562F6A"/>
    <w:rsid w:val="00563122"/>
    <w:rsid w:val="005631ED"/>
    <w:rsid w:val="00563268"/>
    <w:rsid w:val="005634A3"/>
    <w:rsid w:val="005637DC"/>
    <w:rsid w:val="00563D5D"/>
    <w:rsid w:val="00563DF1"/>
    <w:rsid w:val="00563E40"/>
    <w:rsid w:val="0056401A"/>
    <w:rsid w:val="00564140"/>
    <w:rsid w:val="00564623"/>
    <w:rsid w:val="005646FF"/>
    <w:rsid w:val="0056479A"/>
    <w:rsid w:val="00564816"/>
    <w:rsid w:val="0056499B"/>
    <w:rsid w:val="00564A2B"/>
    <w:rsid w:val="00564C6E"/>
    <w:rsid w:val="00564D52"/>
    <w:rsid w:val="00564EC9"/>
    <w:rsid w:val="00565188"/>
    <w:rsid w:val="005651D0"/>
    <w:rsid w:val="005652E3"/>
    <w:rsid w:val="00565425"/>
    <w:rsid w:val="00565846"/>
    <w:rsid w:val="005659BE"/>
    <w:rsid w:val="00565A61"/>
    <w:rsid w:val="00565CA0"/>
    <w:rsid w:val="00565D3E"/>
    <w:rsid w:val="00566095"/>
    <w:rsid w:val="005660D7"/>
    <w:rsid w:val="0056616A"/>
    <w:rsid w:val="00566286"/>
    <w:rsid w:val="0056639D"/>
    <w:rsid w:val="00566ADC"/>
    <w:rsid w:val="00566C54"/>
    <w:rsid w:val="00566D45"/>
    <w:rsid w:val="00566F33"/>
    <w:rsid w:val="005673B7"/>
    <w:rsid w:val="005674B5"/>
    <w:rsid w:val="00567557"/>
    <w:rsid w:val="00567717"/>
    <w:rsid w:val="00567824"/>
    <w:rsid w:val="00567942"/>
    <w:rsid w:val="005679F9"/>
    <w:rsid w:val="00567A8B"/>
    <w:rsid w:val="00567B81"/>
    <w:rsid w:val="00567D08"/>
    <w:rsid w:val="00567E93"/>
    <w:rsid w:val="0057021E"/>
    <w:rsid w:val="005705D3"/>
    <w:rsid w:val="0057185E"/>
    <w:rsid w:val="00571A9C"/>
    <w:rsid w:val="00571D57"/>
    <w:rsid w:val="00571F0B"/>
    <w:rsid w:val="00572205"/>
    <w:rsid w:val="0057230C"/>
    <w:rsid w:val="00572500"/>
    <w:rsid w:val="00572A65"/>
    <w:rsid w:val="00572BEE"/>
    <w:rsid w:val="00572F59"/>
    <w:rsid w:val="00572FDA"/>
    <w:rsid w:val="00573490"/>
    <w:rsid w:val="0057349E"/>
    <w:rsid w:val="005734F6"/>
    <w:rsid w:val="00573663"/>
    <w:rsid w:val="005737B7"/>
    <w:rsid w:val="00573BB4"/>
    <w:rsid w:val="00573C76"/>
    <w:rsid w:val="00573DC6"/>
    <w:rsid w:val="0057417B"/>
    <w:rsid w:val="005741C1"/>
    <w:rsid w:val="005742A8"/>
    <w:rsid w:val="0057448C"/>
    <w:rsid w:val="005745B2"/>
    <w:rsid w:val="005749B4"/>
    <w:rsid w:val="00574C05"/>
    <w:rsid w:val="00574D6C"/>
    <w:rsid w:val="00574EE1"/>
    <w:rsid w:val="00575169"/>
    <w:rsid w:val="00575274"/>
    <w:rsid w:val="00575DC6"/>
    <w:rsid w:val="005768B5"/>
    <w:rsid w:val="00576BAF"/>
    <w:rsid w:val="00577450"/>
    <w:rsid w:val="00577474"/>
    <w:rsid w:val="005775ED"/>
    <w:rsid w:val="0057766D"/>
    <w:rsid w:val="00577859"/>
    <w:rsid w:val="00577906"/>
    <w:rsid w:val="00577960"/>
    <w:rsid w:val="00577BB9"/>
    <w:rsid w:val="00577BCC"/>
    <w:rsid w:val="00577F33"/>
    <w:rsid w:val="00580009"/>
    <w:rsid w:val="0058025C"/>
    <w:rsid w:val="00580298"/>
    <w:rsid w:val="0058037B"/>
    <w:rsid w:val="005804C6"/>
    <w:rsid w:val="00580F83"/>
    <w:rsid w:val="005811CF"/>
    <w:rsid w:val="0058167F"/>
    <w:rsid w:val="005818E4"/>
    <w:rsid w:val="00581A3C"/>
    <w:rsid w:val="00581AC8"/>
    <w:rsid w:val="00581BEA"/>
    <w:rsid w:val="00581C53"/>
    <w:rsid w:val="00582709"/>
    <w:rsid w:val="005829DA"/>
    <w:rsid w:val="00582B57"/>
    <w:rsid w:val="00582BF0"/>
    <w:rsid w:val="00583253"/>
    <w:rsid w:val="00583363"/>
    <w:rsid w:val="005833B6"/>
    <w:rsid w:val="00583533"/>
    <w:rsid w:val="005835FC"/>
    <w:rsid w:val="005836CC"/>
    <w:rsid w:val="00583758"/>
    <w:rsid w:val="005838EF"/>
    <w:rsid w:val="00583F06"/>
    <w:rsid w:val="00584343"/>
    <w:rsid w:val="0058437A"/>
    <w:rsid w:val="00584D35"/>
    <w:rsid w:val="00584F8E"/>
    <w:rsid w:val="00584FBF"/>
    <w:rsid w:val="005853B0"/>
    <w:rsid w:val="005855D8"/>
    <w:rsid w:val="00585870"/>
    <w:rsid w:val="00585A61"/>
    <w:rsid w:val="00585B01"/>
    <w:rsid w:val="00585D24"/>
    <w:rsid w:val="0058670C"/>
    <w:rsid w:val="00586B29"/>
    <w:rsid w:val="005870B1"/>
    <w:rsid w:val="005870E5"/>
    <w:rsid w:val="00587120"/>
    <w:rsid w:val="00587180"/>
    <w:rsid w:val="005873F2"/>
    <w:rsid w:val="00587571"/>
    <w:rsid w:val="005877A7"/>
    <w:rsid w:val="005877CE"/>
    <w:rsid w:val="00587949"/>
    <w:rsid w:val="00587AD8"/>
    <w:rsid w:val="00590223"/>
    <w:rsid w:val="00590272"/>
    <w:rsid w:val="00590586"/>
    <w:rsid w:val="00590733"/>
    <w:rsid w:val="00590B1A"/>
    <w:rsid w:val="00590BF8"/>
    <w:rsid w:val="00590CBA"/>
    <w:rsid w:val="00591548"/>
    <w:rsid w:val="00591C1B"/>
    <w:rsid w:val="00591E77"/>
    <w:rsid w:val="00591EB9"/>
    <w:rsid w:val="00591F94"/>
    <w:rsid w:val="0059226D"/>
    <w:rsid w:val="00592274"/>
    <w:rsid w:val="0059246B"/>
    <w:rsid w:val="005925F7"/>
    <w:rsid w:val="005928AD"/>
    <w:rsid w:val="00592977"/>
    <w:rsid w:val="00592BD4"/>
    <w:rsid w:val="00592C0C"/>
    <w:rsid w:val="00592E41"/>
    <w:rsid w:val="00592F62"/>
    <w:rsid w:val="005931E8"/>
    <w:rsid w:val="005935CB"/>
    <w:rsid w:val="0059371B"/>
    <w:rsid w:val="00593795"/>
    <w:rsid w:val="005938B8"/>
    <w:rsid w:val="00593D5F"/>
    <w:rsid w:val="00593F62"/>
    <w:rsid w:val="00594764"/>
    <w:rsid w:val="0059481C"/>
    <w:rsid w:val="00594947"/>
    <w:rsid w:val="00594BEA"/>
    <w:rsid w:val="00595052"/>
    <w:rsid w:val="005953CB"/>
    <w:rsid w:val="0059554D"/>
    <w:rsid w:val="0059567C"/>
    <w:rsid w:val="005957BD"/>
    <w:rsid w:val="005957E2"/>
    <w:rsid w:val="00595AE1"/>
    <w:rsid w:val="00595C77"/>
    <w:rsid w:val="00595EEB"/>
    <w:rsid w:val="005960D4"/>
    <w:rsid w:val="005961D2"/>
    <w:rsid w:val="005962A0"/>
    <w:rsid w:val="005963B1"/>
    <w:rsid w:val="0059640A"/>
    <w:rsid w:val="005965A2"/>
    <w:rsid w:val="00596A44"/>
    <w:rsid w:val="00596B7B"/>
    <w:rsid w:val="00596D76"/>
    <w:rsid w:val="00596ED7"/>
    <w:rsid w:val="00597469"/>
    <w:rsid w:val="0059766E"/>
    <w:rsid w:val="005977C9"/>
    <w:rsid w:val="00597824"/>
    <w:rsid w:val="00597913"/>
    <w:rsid w:val="00597995"/>
    <w:rsid w:val="00597A33"/>
    <w:rsid w:val="00597BA8"/>
    <w:rsid w:val="005A052E"/>
    <w:rsid w:val="005A0604"/>
    <w:rsid w:val="005A06FA"/>
    <w:rsid w:val="005A0749"/>
    <w:rsid w:val="005A07CD"/>
    <w:rsid w:val="005A0B24"/>
    <w:rsid w:val="005A0BED"/>
    <w:rsid w:val="005A0D21"/>
    <w:rsid w:val="005A0D38"/>
    <w:rsid w:val="005A0EFD"/>
    <w:rsid w:val="005A0FBB"/>
    <w:rsid w:val="005A0FFF"/>
    <w:rsid w:val="005A1029"/>
    <w:rsid w:val="005A113B"/>
    <w:rsid w:val="005A12D3"/>
    <w:rsid w:val="005A177B"/>
    <w:rsid w:val="005A1A9A"/>
    <w:rsid w:val="005A1FD8"/>
    <w:rsid w:val="005A214A"/>
    <w:rsid w:val="005A21C3"/>
    <w:rsid w:val="005A252F"/>
    <w:rsid w:val="005A29E9"/>
    <w:rsid w:val="005A2AA3"/>
    <w:rsid w:val="005A3184"/>
    <w:rsid w:val="005A3792"/>
    <w:rsid w:val="005A39D5"/>
    <w:rsid w:val="005A3A05"/>
    <w:rsid w:val="005A3B8D"/>
    <w:rsid w:val="005A4174"/>
    <w:rsid w:val="005A420B"/>
    <w:rsid w:val="005A4233"/>
    <w:rsid w:val="005A44A8"/>
    <w:rsid w:val="005A49FC"/>
    <w:rsid w:val="005A4A50"/>
    <w:rsid w:val="005A4C67"/>
    <w:rsid w:val="005A4DB5"/>
    <w:rsid w:val="005A4E5E"/>
    <w:rsid w:val="005A4EB2"/>
    <w:rsid w:val="005A4F60"/>
    <w:rsid w:val="005A5114"/>
    <w:rsid w:val="005A5296"/>
    <w:rsid w:val="005A567B"/>
    <w:rsid w:val="005A572C"/>
    <w:rsid w:val="005A5786"/>
    <w:rsid w:val="005A5828"/>
    <w:rsid w:val="005A5A84"/>
    <w:rsid w:val="005A5C78"/>
    <w:rsid w:val="005A5FC0"/>
    <w:rsid w:val="005A6063"/>
    <w:rsid w:val="005A61AB"/>
    <w:rsid w:val="005A6248"/>
    <w:rsid w:val="005A670A"/>
    <w:rsid w:val="005A687A"/>
    <w:rsid w:val="005A6C78"/>
    <w:rsid w:val="005A6DA8"/>
    <w:rsid w:val="005A6EB7"/>
    <w:rsid w:val="005A7377"/>
    <w:rsid w:val="005A73C6"/>
    <w:rsid w:val="005A74FA"/>
    <w:rsid w:val="005A7873"/>
    <w:rsid w:val="005A7C19"/>
    <w:rsid w:val="005A7C8E"/>
    <w:rsid w:val="005A7D2A"/>
    <w:rsid w:val="005A7DA9"/>
    <w:rsid w:val="005A7DB5"/>
    <w:rsid w:val="005B00F8"/>
    <w:rsid w:val="005B0210"/>
    <w:rsid w:val="005B02A0"/>
    <w:rsid w:val="005B03A0"/>
    <w:rsid w:val="005B050C"/>
    <w:rsid w:val="005B058C"/>
    <w:rsid w:val="005B05A0"/>
    <w:rsid w:val="005B08DF"/>
    <w:rsid w:val="005B0AD9"/>
    <w:rsid w:val="005B0BDA"/>
    <w:rsid w:val="005B0E72"/>
    <w:rsid w:val="005B14CD"/>
    <w:rsid w:val="005B14CE"/>
    <w:rsid w:val="005B1637"/>
    <w:rsid w:val="005B1BE6"/>
    <w:rsid w:val="005B1BF5"/>
    <w:rsid w:val="005B1E35"/>
    <w:rsid w:val="005B1E61"/>
    <w:rsid w:val="005B2272"/>
    <w:rsid w:val="005B22D5"/>
    <w:rsid w:val="005B2391"/>
    <w:rsid w:val="005B2635"/>
    <w:rsid w:val="005B26A6"/>
    <w:rsid w:val="005B2A55"/>
    <w:rsid w:val="005B2B19"/>
    <w:rsid w:val="005B2C2A"/>
    <w:rsid w:val="005B2D9D"/>
    <w:rsid w:val="005B2DE2"/>
    <w:rsid w:val="005B307D"/>
    <w:rsid w:val="005B31E7"/>
    <w:rsid w:val="005B325E"/>
    <w:rsid w:val="005B3303"/>
    <w:rsid w:val="005B3345"/>
    <w:rsid w:val="005B33C4"/>
    <w:rsid w:val="005B35BD"/>
    <w:rsid w:val="005B38FE"/>
    <w:rsid w:val="005B3B7A"/>
    <w:rsid w:val="005B4253"/>
    <w:rsid w:val="005B4254"/>
    <w:rsid w:val="005B42D1"/>
    <w:rsid w:val="005B43A6"/>
    <w:rsid w:val="005B4446"/>
    <w:rsid w:val="005B4EC5"/>
    <w:rsid w:val="005B4FFE"/>
    <w:rsid w:val="005B52EA"/>
    <w:rsid w:val="005B5513"/>
    <w:rsid w:val="005B5760"/>
    <w:rsid w:val="005B58AB"/>
    <w:rsid w:val="005B58AE"/>
    <w:rsid w:val="005B593F"/>
    <w:rsid w:val="005B5C69"/>
    <w:rsid w:val="005B5D85"/>
    <w:rsid w:val="005B5F61"/>
    <w:rsid w:val="005B6006"/>
    <w:rsid w:val="005B64D4"/>
    <w:rsid w:val="005B6554"/>
    <w:rsid w:val="005B657C"/>
    <w:rsid w:val="005B6A04"/>
    <w:rsid w:val="005B6CD0"/>
    <w:rsid w:val="005B6CE1"/>
    <w:rsid w:val="005B6FDA"/>
    <w:rsid w:val="005B708C"/>
    <w:rsid w:val="005B7658"/>
    <w:rsid w:val="005B76C9"/>
    <w:rsid w:val="005B7760"/>
    <w:rsid w:val="005B7975"/>
    <w:rsid w:val="005B79B0"/>
    <w:rsid w:val="005B79E4"/>
    <w:rsid w:val="005B7B89"/>
    <w:rsid w:val="005C005C"/>
    <w:rsid w:val="005C053A"/>
    <w:rsid w:val="005C060B"/>
    <w:rsid w:val="005C07B1"/>
    <w:rsid w:val="005C0938"/>
    <w:rsid w:val="005C0D28"/>
    <w:rsid w:val="005C19E8"/>
    <w:rsid w:val="005C1A06"/>
    <w:rsid w:val="005C1D83"/>
    <w:rsid w:val="005C1E24"/>
    <w:rsid w:val="005C21C1"/>
    <w:rsid w:val="005C23ED"/>
    <w:rsid w:val="005C261D"/>
    <w:rsid w:val="005C2B85"/>
    <w:rsid w:val="005C2D94"/>
    <w:rsid w:val="005C2E1B"/>
    <w:rsid w:val="005C312E"/>
    <w:rsid w:val="005C3262"/>
    <w:rsid w:val="005C33F5"/>
    <w:rsid w:val="005C3441"/>
    <w:rsid w:val="005C3A99"/>
    <w:rsid w:val="005C3BE9"/>
    <w:rsid w:val="005C3DC5"/>
    <w:rsid w:val="005C3EB4"/>
    <w:rsid w:val="005C4077"/>
    <w:rsid w:val="005C427F"/>
    <w:rsid w:val="005C428E"/>
    <w:rsid w:val="005C4447"/>
    <w:rsid w:val="005C4560"/>
    <w:rsid w:val="005C4844"/>
    <w:rsid w:val="005C49A4"/>
    <w:rsid w:val="005C5127"/>
    <w:rsid w:val="005C54C0"/>
    <w:rsid w:val="005C5608"/>
    <w:rsid w:val="005C5A54"/>
    <w:rsid w:val="005C5C40"/>
    <w:rsid w:val="005C5E7D"/>
    <w:rsid w:val="005C634E"/>
    <w:rsid w:val="005C66D1"/>
    <w:rsid w:val="005C6FED"/>
    <w:rsid w:val="005C70C9"/>
    <w:rsid w:val="005C734A"/>
    <w:rsid w:val="005C7463"/>
    <w:rsid w:val="005C74D7"/>
    <w:rsid w:val="005C7773"/>
    <w:rsid w:val="005C77AB"/>
    <w:rsid w:val="005C7A7A"/>
    <w:rsid w:val="005C7C20"/>
    <w:rsid w:val="005C7CFA"/>
    <w:rsid w:val="005C7E51"/>
    <w:rsid w:val="005D0027"/>
    <w:rsid w:val="005D01CC"/>
    <w:rsid w:val="005D023F"/>
    <w:rsid w:val="005D0355"/>
    <w:rsid w:val="005D03DA"/>
    <w:rsid w:val="005D05B4"/>
    <w:rsid w:val="005D0746"/>
    <w:rsid w:val="005D08DA"/>
    <w:rsid w:val="005D0A5A"/>
    <w:rsid w:val="005D0BD1"/>
    <w:rsid w:val="005D0C99"/>
    <w:rsid w:val="005D0F71"/>
    <w:rsid w:val="005D0FD8"/>
    <w:rsid w:val="005D1241"/>
    <w:rsid w:val="005D126F"/>
    <w:rsid w:val="005D13AF"/>
    <w:rsid w:val="005D1451"/>
    <w:rsid w:val="005D14E4"/>
    <w:rsid w:val="005D1A75"/>
    <w:rsid w:val="005D1CF7"/>
    <w:rsid w:val="005D1D51"/>
    <w:rsid w:val="005D1FD6"/>
    <w:rsid w:val="005D2000"/>
    <w:rsid w:val="005D21DE"/>
    <w:rsid w:val="005D2273"/>
    <w:rsid w:val="005D22BE"/>
    <w:rsid w:val="005D22C0"/>
    <w:rsid w:val="005D232B"/>
    <w:rsid w:val="005D2540"/>
    <w:rsid w:val="005D26CA"/>
    <w:rsid w:val="005D2806"/>
    <w:rsid w:val="005D2A4A"/>
    <w:rsid w:val="005D2D25"/>
    <w:rsid w:val="005D2EE9"/>
    <w:rsid w:val="005D2FF7"/>
    <w:rsid w:val="005D3232"/>
    <w:rsid w:val="005D38A1"/>
    <w:rsid w:val="005D38DC"/>
    <w:rsid w:val="005D39F6"/>
    <w:rsid w:val="005D3ECE"/>
    <w:rsid w:val="005D45B1"/>
    <w:rsid w:val="005D4CC0"/>
    <w:rsid w:val="005D507E"/>
    <w:rsid w:val="005D5298"/>
    <w:rsid w:val="005D5596"/>
    <w:rsid w:val="005D5765"/>
    <w:rsid w:val="005D5925"/>
    <w:rsid w:val="005D5A7C"/>
    <w:rsid w:val="005D5C47"/>
    <w:rsid w:val="005D5FD0"/>
    <w:rsid w:val="005D61EA"/>
    <w:rsid w:val="005D6359"/>
    <w:rsid w:val="005D6FED"/>
    <w:rsid w:val="005D7029"/>
    <w:rsid w:val="005D7052"/>
    <w:rsid w:val="005D70A0"/>
    <w:rsid w:val="005D7264"/>
    <w:rsid w:val="005D77A9"/>
    <w:rsid w:val="005D77E4"/>
    <w:rsid w:val="005D7967"/>
    <w:rsid w:val="005D79A0"/>
    <w:rsid w:val="005D7ED0"/>
    <w:rsid w:val="005E017B"/>
    <w:rsid w:val="005E02D1"/>
    <w:rsid w:val="005E0842"/>
    <w:rsid w:val="005E0A3A"/>
    <w:rsid w:val="005E0DEA"/>
    <w:rsid w:val="005E0EAB"/>
    <w:rsid w:val="005E0F16"/>
    <w:rsid w:val="005E107A"/>
    <w:rsid w:val="005E1150"/>
    <w:rsid w:val="005E1478"/>
    <w:rsid w:val="005E1738"/>
    <w:rsid w:val="005E18F1"/>
    <w:rsid w:val="005E1C7B"/>
    <w:rsid w:val="005E205B"/>
    <w:rsid w:val="005E20F0"/>
    <w:rsid w:val="005E26EF"/>
    <w:rsid w:val="005E28C2"/>
    <w:rsid w:val="005E2AEC"/>
    <w:rsid w:val="005E2BFE"/>
    <w:rsid w:val="005E2CBF"/>
    <w:rsid w:val="005E2F23"/>
    <w:rsid w:val="005E3231"/>
    <w:rsid w:val="005E32E4"/>
    <w:rsid w:val="005E376E"/>
    <w:rsid w:val="005E3A5E"/>
    <w:rsid w:val="005E3D13"/>
    <w:rsid w:val="005E3DB9"/>
    <w:rsid w:val="005E46DE"/>
    <w:rsid w:val="005E46EA"/>
    <w:rsid w:val="005E48DC"/>
    <w:rsid w:val="005E4B84"/>
    <w:rsid w:val="005E4FB7"/>
    <w:rsid w:val="005E4FC5"/>
    <w:rsid w:val="005E5058"/>
    <w:rsid w:val="005E526C"/>
    <w:rsid w:val="005E5390"/>
    <w:rsid w:val="005E543A"/>
    <w:rsid w:val="005E5733"/>
    <w:rsid w:val="005E59B3"/>
    <w:rsid w:val="005E5A57"/>
    <w:rsid w:val="005E5A6F"/>
    <w:rsid w:val="005E63DD"/>
    <w:rsid w:val="005E6460"/>
    <w:rsid w:val="005E69D4"/>
    <w:rsid w:val="005E69DF"/>
    <w:rsid w:val="005E6A64"/>
    <w:rsid w:val="005E6B0B"/>
    <w:rsid w:val="005E6C46"/>
    <w:rsid w:val="005E7128"/>
    <w:rsid w:val="005E7154"/>
    <w:rsid w:val="005E7202"/>
    <w:rsid w:val="005E745F"/>
    <w:rsid w:val="005E7AE0"/>
    <w:rsid w:val="005E7D01"/>
    <w:rsid w:val="005E7F51"/>
    <w:rsid w:val="005F0201"/>
    <w:rsid w:val="005F020E"/>
    <w:rsid w:val="005F0241"/>
    <w:rsid w:val="005F03AD"/>
    <w:rsid w:val="005F0566"/>
    <w:rsid w:val="005F0600"/>
    <w:rsid w:val="005F0795"/>
    <w:rsid w:val="005F0D0B"/>
    <w:rsid w:val="005F0EEA"/>
    <w:rsid w:val="005F1150"/>
    <w:rsid w:val="005F132B"/>
    <w:rsid w:val="005F14A7"/>
    <w:rsid w:val="005F1768"/>
    <w:rsid w:val="005F19E2"/>
    <w:rsid w:val="005F1BB6"/>
    <w:rsid w:val="005F1D2D"/>
    <w:rsid w:val="005F1DDE"/>
    <w:rsid w:val="005F2141"/>
    <w:rsid w:val="005F215E"/>
    <w:rsid w:val="005F27CA"/>
    <w:rsid w:val="005F28BF"/>
    <w:rsid w:val="005F2B88"/>
    <w:rsid w:val="005F2B8B"/>
    <w:rsid w:val="005F3000"/>
    <w:rsid w:val="005F35A2"/>
    <w:rsid w:val="005F399B"/>
    <w:rsid w:val="005F39AC"/>
    <w:rsid w:val="005F3C29"/>
    <w:rsid w:val="005F3CEC"/>
    <w:rsid w:val="005F3D16"/>
    <w:rsid w:val="005F3FCF"/>
    <w:rsid w:val="005F4027"/>
    <w:rsid w:val="005F422A"/>
    <w:rsid w:val="005F49F2"/>
    <w:rsid w:val="005F4AEA"/>
    <w:rsid w:val="005F4B24"/>
    <w:rsid w:val="005F4EAD"/>
    <w:rsid w:val="005F4EFE"/>
    <w:rsid w:val="005F5127"/>
    <w:rsid w:val="005F51FB"/>
    <w:rsid w:val="005F5451"/>
    <w:rsid w:val="005F5492"/>
    <w:rsid w:val="005F559D"/>
    <w:rsid w:val="005F56CA"/>
    <w:rsid w:val="005F5934"/>
    <w:rsid w:val="005F5A38"/>
    <w:rsid w:val="005F60C6"/>
    <w:rsid w:val="005F64B2"/>
    <w:rsid w:val="005F69A3"/>
    <w:rsid w:val="005F713F"/>
    <w:rsid w:val="005F726B"/>
    <w:rsid w:val="005F7400"/>
    <w:rsid w:val="005F7849"/>
    <w:rsid w:val="005F78CB"/>
    <w:rsid w:val="005F7A79"/>
    <w:rsid w:val="005F7BFA"/>
    <w:rsid w:val="005F7DB5"/>
    <w:rsid w:val="00600004"/>
    <w:rsid w:val="00600272"/>
    <w:rsid w:val="00600284"/>
    <w:rsid w:val="006005B2"/>
    <w:rsid w:val="006009BF"/>
    <w:rsid w:val="00600A4C"/>
    <w:rsid w:val="00600B43"/>
    <w:rsid w:val="00600C2E"/>
    <w:rsid w:val="00600E06"/>
    <w:rsid w:val="00601120"/>
    <w:rsid w:val="006012AE"/>
    <w:rsid w:val="006012CD"/>
    <w:rsid w:val="006013DC"/>
    <w:rsid w:val="006015CA"/>
    <w:rsid w:val="0060171F"/>
    <w:rsid w:val="006017D0"/>
    <w:rsid w:val="006019E6"/>
    <w:rsid w:val="00601BD4"/>
    <w:rsid w:val="00601C2B"/>
    <w:rsid w:val="00601CD1"/>
    <w:rsid w:val="00601EE1"/>
    <w:rsid w:val="00601EE6"/>
    <w:rsid w:val="006020DA"/>
    <w:rsid w:val="00602455"/>
    <w:rsid w:val="00602695"/>
    <w:rsid w:val="00602A83"/>
    <w:rsid w:val="00602BB6"/>
    <w:rsid w:val="00602D14"/>
    <w:rsid w:val="00602E4E"/>
    <w:rsid w:val="00602F7A"/>
    <w:rsid w:val="00603737"/>
    <w:rsid w:val="0060375E"/>
    <w:rsid w:val="00603B36"/>
    <w:rsid w:val="00603C97"/>
    <w:rsid w:val="00603CAE"/>
    <w:rsid w:val="00603E26"/>
    <w:rsid w:val="0060421D"/>
    <w:rsid w:val="00604641"/>
    <w:rsid w:val="0060491E"/>
    <w:rsid w:val="00604A19"/>
    <w:rsid w:val="00604A7E"/>
    <w:rsid w:val="00604F40"/>
    <w:rsid w:val="00604F6B"/>
    <w:rsid w:val="00604FB2"/>
    <w:rsid w:val="006050DB"/>
    <w:rsid w:val="006050FF"/>
    <w:rsid w:val="006051D4"/>
    <w:rsid w:val="0060520D"/>
    <w:rsid w:val="00605504"/>
    <w:rsid w:val="0060554C"/>
    <w:rsid w:val="006056A4"/>
    <w:rsid w:val="006057B8"/>
    <w:rsid w:val="00605978"/>
    <w:rsid w:val="00605AE9"/>
    <w:rsid w:val="00605E13"/>
    <w:rsid w:val="00606029"/>
    <w:rsid w:val="0060641A"/>
    <w:rsid w:val="00606850"/>
    <w:rsid w:val="00606AF7"/>
    <w:rsid w:val="00606E82"/>
    <w:rsid w:val="00606F84"/>
    <w:rsid w:val="00607043"/>
    <w:rsid w:val="00607247"/>
    <w:rsid w:val="00607335"/>
    <w:rsid w:val="00607452"/>
    <w:rsid w:val="006075F8"/>
    <w:rsid w:val="0060766F"/>
    <w:rsid w:val="00607920"/>
    <w:rsid w:val="006079C6"/>
    <w:rsid w:val="00607D48"/>
    <w:rsid w:val="006105C2"/>
    <w:rsid w:val="0061068A"/>
    <w:rsid w:val="006106A8"/>
    <w:rsid w:val="006109BE"/>
    <w:rsid w:val="00610E95"/>
    <w:rsid w:val="006114E4"/>
    <w:rsid w:val="0061150F"/>
    <w:rsid w:val="00611582"/>
    <w:rsid w:val="00611719"/>
    <w:rsid w:val="00611970"/>
    <w:rsid w:val="00611B00"/>
    <w:rsid w:val="00611CFE"/>
    <w:rsid w:val="00611F3B"/>
    <w:rsid w:val="00611F48"/>
    <w:rsid w:val="00612385"/>
    <w:rsid w:val="00612408"/>
    <w:rsid w:val="0061242D"/>
    <w:rsid w:val="00612450"/>
    <w:rsid w:val="0061257C"/>
    <w:rsid w:val="006125DA"/>
    <w:rsid w:val="006128AF"/>
    <w:rsid w:val="006128CB"/>
    <w:rsid w:val="00612E81"/>
    <w:rsid w:val="00613048"/>
    <w:rsid w:val="0061318D"/>
    <w:rsid w:val="006133AB"/>
    <w:rsid w:val="006135D1"/>
    <w:rsid w:val="00613655"/>
    <w:rsid w:val="00613B1E"/>
    <w:rsid w:val="00613C29"/>
    <w:rsid w:val="00614649"/>
    <w:rsid w:val="00614701"/>
    <w:rsid w:val="00614999"/>
    <w:rsid w:val="00614A31"/>
    <w:rsid w:val="00614A52"/>
    <w:rsid w:val="00614AC3"/>
    <w:rsid w:val="00614C1D"/>
    <w:rsid w:val="00614D26"/>
    <w:rsid w:val="00614DF3"/>
    <w:rsid w:val="00615581"/>
    <w:rsid w:val="006156CB"/>
    <w:rsid w:val="00615930"/>
    <w:rsid w:val="006159B8"/>
    <w:rsid w:val="006159F8"/>
    <w:rsid w:val="00615A0E"/>
    <w:rsid w:val="00615D07"/>
    <w:rsid w:val="00615DA7"/>
    <w:rsid w:val="00616374"/>
    <w:rsid w:val="0061642C"/>
    <w:rsid w:val="00616758"/>
    <w:rsid w:val="00616F53"/>
    <w:rsid w:val="00616F9E"/>
    <w:rsid w:val="00617763"/>
    <w:rsid w:val="00617789"/>
    <w:rsid w:val="006179FB"/>
    <w:rsid w:val="00617A3E"/>
    <w:rsid w:val="00617AD9"/>
    <w:rsid w:val="00617B05"/>
    <w:rsid w:val="00617C6E"/>
    <w:rsid w:val="00617CDF"/>
    <w:rsid w:val="00617CFF"/>
    <w:rsid w:val="00617FE5"/>
    <w:rsid w:val="006200BC"/>
    <w:rsid w:val="006200D5"/>
    <w:rsid w:val="006200D7"/>
    <w:rsid w:val="00620346"/>
    <w:rsid w:val="0062034F"/>
    <w:rsid w:val="00620428"/>
    <w:rsid w:val="006205D8"/>
    <w:rsid w:val="006206C3"/>
    <w:rsid w:val="00620B46"/>
    <w:rsid w:val="00620B51"/>
    <w:rsid w:val="00620CA3"/>
    <w:rsid w:val="006212BE"/>
    <w:rsid w:val="006212D5"/>
    <w:rsid w:val="006214A9"/>
    <w:rsid w:val="0062177C"/>
    <w:rsid w:val="00621D3D"/>
    <w:rsid w:val="00621D86"/>
    <w:rsid w:val="0062238A"/>
    <w:rsid w:val="006225EE"/>
    <w:rsid w:val="00622766"/>
    <w:rsid w:val="006227D6"/>
    <w:rsid w:val="00622968"/>
    <w:rsid w:val="00622C07"/>
    <w:rsid w:val="00622FA8"/>
    <w:rsid w:val="006231BC"/>
    <w:rsid w:val="00623BC6"/>
    <w:rsid w:val="00623C0F"/>
    <w:rsid w:val="00623CDE"/>
    <w:rsid w:val="00623DF1"/>
    <w:rsid w:val="00624069"/>
    <w:rsid w:val="0062432B"/>
    <w:rsid w:val="006243AF"/>
    <w:rsid w:val="00624485"/>
    <w:rsid w:val="00624512"/>
    <w:rsid w:val="0062489D"/>
    <w:rsid w:val="00624A27"/>
    <w:rsid w:val="00625427"/>
    <w:rsid w:val="00625B3D"/>
    <w:rsid w:val="00625C11"/>
    <w:rsid w:val="00625F60"/>
    <w:rsid w:val="006264A8"/>
    <w:rsid w:val="00626516"/>
    <w:rsid w:val="00626594"/>
    <w:rsid w:val="00626BB5"/>
    <w:rsid w:val="00626F6F"/>
    <w:rsid w:val="00627010"/>
    <w:rsid w:val="0062701C"/>
    <w:rsid w:val="0062711E"/>
    <w:rsid w:val="00627423"/>
    <w:rsid w:val="00627650"/>
    <w:rsid w:val="00627666"/>
    <w:rsid w:val="00627709"/>
    <w:rsid w:val="00627D3C"/>
    <w:rsid w:val="00627D72"/>
    <w:rsid w:val="006301AD"/>
    <w:rsid w:val="006304BF"/>
    <w:rsid w:val="00630D34"/>
    <w:rsid w:val="00630DB4"/>
    <w:rsid w:val="006311F9"/>
    <w:rsid w:val="00631222"/>
    <w:rsid w:val="006315A5"/>
    <w:rsid w:val="0063167C"/>
    <w:rsid w:val="0063171A"/>
    <w:rsid w:val="00631A6E"/>
    <w:rsid w:val="00631F34"/>
    <w:rsid w:val="0063215F"/>
    <w:rsid w:val="0063220C"/>
    <w:rsid w:val="00632803"/>
    <w:rsid w:val="006328AE"/>
    <w:rsid w:val="006329AE"/>
    <w:rsid w:val="00632B1C"/>
    <w:rsid w:val="00632CFF"/>
    <w:rsid w:val="00632DC5"/>
    <w:rsid w:val="00633049"/>
    <w:rsid w:val="006332C4"/>
    <w:rsid w:val="006333E1"/>
    <w:rsid w:val="006333F2"/>
    <w:rsid w:val="0063345B"/>
    <w:rsid w:val="0063363A"/>
    <w:rsid w:val="0063364E"/>
    <w:rsid w:val="0063366E"/>
    <w:rsid w:val="00633827"/>
    <w:rsid w:val="006339C3"/>
    <w:rsid w:val="006339F4"/>
    <w:rsid w:val="00633AC9"/>
    <w:rsid w:val="00633BF1"/>
    <w:rsid w:val="00633C49"/>
    <w:rsid w:val="00633EFE"/>
    <w:rsid w:val="006342A1"/>
    <w:rsid w:val="00634580"/>
    <w:rsid w:val="006346BD"/>
    <w:rsid w:val="00634728"/>
    <w:rsid w:val="00634768"/>
    <w:rsid w:val="006347F5"/>
    <w:rsid w:val="00634F96"/>
    <w:rsid w:val="00634FD0"/>
    <w:rsid w:val="00635062"/>
    <w:rsid w:val="0063574E"/>
    <w:rsid w:val="006358B6"/>
    <w:rsid w:val="006358FE"/>
    <w:rsid w:val="00635975"/>
    <w:rsid w:val="006361B4"/>
    <w:rsid w:val="00636450"/>
    <w:rsid w:val="006364BB"/>
    <w:rsid w:val="006366CC"/>
    <w:rsid w:val="006368C3"/>
    <w:rsid w:val="00636AF0"/>
    <w:rsid w:val="00636B04"/>
    <w:rsid w:val="00636C50"/>
    <w:rsid w:val="0063725F"/>
    <w:rsid w:val="006377F8"/>
    <w:rsid w:val="00637918"/>
    <w:rsid w:val="00637FAC"/>
    <w:rsid w:val="006407CE"/>
    <w:rsid w:val="00640AB5"/>
    <w:rsid w:val="00640D0D"/>
    <w:rsid w:val="00640F8F"/>
    <w:rsid w:val="00641146"/>
    <w:rsid w:val="006413CE"/>
    <w:rsid w:val="006413E0"/>
    <w:rsid w:val="00641633"/>
    <w:rsid w:val="006416CF"/>
    <w:rsid w:val="006416DC"/>
    <w:rsid w:val="00641B8B"/>
    <w:rsid w:val="00641B95"/>
    <w:rsid w:val="00641D4B"/>
    <w:rsid w:val="006420DA"/>
    <w:rsid w:val="006421FD"/>
    <w:rsid w:val="006422A7"/>
    <w:rsid w:val="006423B6"/>
    <w:rsid w:val="00642458"/>
    <w:rsid w:val="006424EB"/>
    <w:rsid w:val="0064299F"/>
    <w:rsid w:val="00642AB6"/>
    <w:rsid w:val="00642AFB"/>
    <w:rsid w:val="00642BB3"/>
    <w:rsid w:val="00642DA3"/>
    <w:rsid w:val="00642DC4"/>
    <w:rsid w:val="00642F94"/>
    <w:rsid w:val="00643231"/>
    <w:rsid w:val="0064327A"/>
    <w:rsid w:val="006438CA"/>
    <w:rsid w:val="00643A69"/>
    <w:rsid w:val="00643AC3"/>
    <w:rsid w:val="00644844"/>
    <w:rsid w:val="00644AFE"/>
    <w:rsid w:val="00644C6D"/>
    <w:rsid w:val="00644DDA"/>
    <w:rsid w:val="00644F63"/>
    <w:rsid w:val="00644FCC"/>
    <w:rsid w:val="006453BE"/>
    <w:rsid w:val="0064558C"/>
    <w:rsid w:val="00645805"/>
    <w:rsid w:val="00645A24"/>
    <w:rsid w:val="00645A8D"/>
    <w:rsid w:val="00645B7F"/>
    <w:rsid w:val="00646688"/>
    <w:rsid w:val="00646B88"/>
    <w:rsid w:val="00646C15"/>
    <w:rsid w:val="0064792B"/>
    <w:rsid w:val="00647B69"/>
    <w:rsid w:val="00647C1B"/>
    <w:rsid w:val="00647C43"/>
    <w:rsid w:val="00647CE3"/>
    <w:rsid w:val="00650142"/>
    <w:rsid w:val="0065030D"/>
    <w:rsid w:val="006503B0"/>
    <w:rsid w:val="00650499"/>
    <w:rsid w:val="0065096B"/>
    <w:rsid w:val="00650ADB"/>
    <w:rsid w:val="00650EC9"/>
    <w:rsid w:val="00651063"/>
    <w:rsid w:val="0065121E"/>
    <w:rsid w:val="00651298"/>
    <w:rsid w:val="0065135F"/>
    <w:rsid w:val="0065166C"/>
    <w:rsid w:val="0065179D"/>
    <w:rsid w:val="00651AB8"/>
    <w:rsid w:val="00651AFA"/>
    <w:rsid w:val="00651D2A"/>
    <w:rsid w:val="00651D68"/>
    <w:rsid w:val="00651F5F"/>
    <w:rsid w:val="00651FD5"/>
    <w:rsid w:val="0065205B"/>
    <w:rsid w:val="006521D1"/>
    <w:rsid w:val="006523E8"/>
    <w:rsid w:val="006526C3"/>
    <w:rsid w:val="00652760"/>
    <w:rsid w:val="0065288B"/>
    <w:rsid w:val="00652EE4"/>
    <w:rsid w:val="00652F4E"/>
    <w:rsid w:val="0065309D"/>
    <w:rsid w:val="0065312A"/>
    <w:rsid w:val="0065335F"/>
    <w:rsid w:val="0065364F"/>
    <w:rsid w:val="00653680"/>
    <w:rsid w:val="006539B2"/>
    <w:rsid w:val="00654157"/>
    <w:rsid w:val="0065481E"/>
    <w:rsid w:val="00654B45"/>
    <w:rsid w:val="00654D3D"/>
    <w:rsid w:val="00654DCD"/>
    <w:rsid w:val="00655074"/>
    <w:rsid w:val="0065541C"/>
    <w:rsid w:val="0065554B"/>
    <w:rsid w:val="0065586A"/>
    <w:rsid w:val="006559E7"/>
    <w:rsid w:val="00655AE0"/>
    <w:rsid w:val="00655AF4"/>
    <w:rsid w:val="00655C07"/>
    <w:rsid w:val="00655C20"/>
    <w:rsid w:val="00655CA7"/>
    <w:rsid w:val="00655D08"/>
    <w:rsid w:val="00655FF9"/>
    <w:rsid w:val="00656169"/>
    <w:rsid w:val="006561F8"/>
    <w:rsid w:val="00656883"/>
    <w:rsid w:val="00656912"/>
    <w:rsid w:val="006569D5"/>
    <w:rsid w:val="00656BFD"/>
    <w:rsid w:val="00656C36"/>
    <w:rsid w:val="00656EE5"/>
    <w:rsid w:val="00656F4C"/>
    <w:rsid w:val="006570FD"/>
    <w:rsid w:val="00657297"/>
    <w:rsid w:val="00657381"/>
    <w:rsid w:val="00657A00"/>
    <w:rsid w:val="00657D03"/>
    <w:rsid w:val="00657EA8"/>
    <w:rsid w:val="00657F76"/>
    <w:rsid w:val="00657FAF"/>
    <w:rsid w:val="00660796"/>
    <w:rsid w:val="00660D79"/>
    <w:rsid w:val="00661113"/>
    <w:rsid w:val="00661444"/>
    <w:rsid w:val="00661491"/>
    <w:rsid w:val="00661863"/>
    <w:rsid w:val="00661904"/>
    <w:rsid w:val="006624FB"/>
    <w:rsid w:val="006625FC"/>
    <w:rsid w:val="0066275F"/>
    <w:rsid w:val="006627B7"/>
    <w:rsid w:val="00662972"/>
    <w:rsid w:val="006629F2"/>
    <w:rsid w:val="00662CED"/>
    <w:rsid w:val="00662E25"/>
    <w:rsid w:val="0066301E"/>
    <w:rsid w:val="00663259"/>
    <w:rsid w:val="00663270"/>
    <w:rsid w:val="00663708"/>
    <w:rsid w:val="00663C12"/>
    <w:rsid w:val="00663FA4"/>
    <w:rsid w:val="00664184"/>
    <w:rsid w:val="00664543"/>
    <w:rsid w:val="00664993"/>
    <w:rsid w:val="00665047"/>
    <w:rsid w:val="00665151"/>
    <w:rsid w:val="0066540E"/>
    <w:rsid w:val="00665754"/>
    <w:rsid w:val="006657B3"/>
    <w:rsid w:val="0066584E"/>
    <w:rsid w:val="00665981"/>
    <w:rsid w:val="00665D0A"/>
    <w:rsid w:val="0066608D"/>
    <w:rsid w:val="006663F9"/>
    <w:rsid w:val="0066657A"/>
    <w:rsid w:val="0066657B"/>
    <w:rsid w:val="0066692D"/>
    <w:rsid w:val="00666CDC"/>
    <w:rsid w:val="00666E35"/>
    <w:rsid w:val="006670D9"/>
    <w:rsid w:val="00667101"/>
    <w:rsid w:val="00667161"/>
    <w:rsid w:val="0066729F"/>
    <w:rsid w:val="006674E3"/>
    <w:rsid w:val="00667631"/>
    <w:rsid w:val="00667A3B"/>
    <w:rsid w:val="00667A9D"/>
    <w:rsid w:val="00667CF1"/>
    <w:rsid w:val="00667DA7"/>
    <w:rsid w:val="00667F2C"/>
    <w:rsid w:val="00667F56"/>
    <w:rsid w:val="00670087"/>
    <w:rsid w:val="00670134"/>
    <w:rsid w:val="00670223"/>
    <w:rsid w:val="006702E4"/>
    <w:rsid w:val="00670596"/>
    <w:rsid w:val="0067068C"/>
    <w:rsid w:val="006706AB"/>
    <w:rsid w:val="006706C3"/>
    <w:rsid w:val="006708F2"/>
    <w:rsid w:val="00670A2E"/>
    <w:rsid w:val="00670A39"/>
    <w:rsid w:val="00670B67"/>
    <w:rsid w:val="00670C25"/>
    <w:rsid w:val="00670C91"/>
    <w:rsid w:val="00670F31"/>
    <w:rsid w:val="0067112D"/>
    <w:rsid w:val="006714A0"/>
    <w:rsid w:val="00671811"/>
    <w:rsid w:val="00671B89"/>
    <w:rsid w:val="00671D0F"/>
    <w:rsid w:val="00671E02"/>
    <w:rsid w:val="00671E13"/>
    <w:rsid w:val="00671F9A"/>
    <w:rsid w:val="006721EE"/>
    <w:rsid w:val="006722C0"/>
    <w:rsid w:val="0067275A"/>
    <w:rsid w:val="006727F0"/>
    <w:rsid w:val="00672D71"/>
    <w:rsid w:val="00672D7C"/>
    <w:rsid w:val="0067312B"/>
    <w:rsid w:val="006734B4"/>
    <w:rsid w:val="006735BB"/>
    <w:rsid w:val="0067362C"/>
    <w:rsid w:val="00673AA6"/>
    <w:rsid w:val="00673BDB"/>
    <w:rsid w:val="00673D5A"/>
    <w:rsid w:val="00674144"/>
    <w:rsid w:val="00674183"/>
    <w:rsid w:val="00674199"/>
    <w:rsid w:val="006742D4"/>
    <w:rsid w:val="006752A8"/>
    <w:rsid w:val="00675433"/>
    <w:rsid w:val="00675492"/>
    <w:rsid w:val="00675538"/>
    <w:rsid w:val="0067564F"/>
    <w:rsid w:val="0067580E"/>
    <w:rsid w:val="00675810"/>
    <w:rsid w:val="00675A0B"/>
    <w:rsid w:val="00675B2F"/>
    <w:rsid w:val="00675CA9"/>
    <w:rsid w:val="00675F60"/>
    <w:rsid w:val="006761EB"/>
    <w:rsid w:val="00676274"/>
    <w:rsid w:val="006762AB"/>
    <w:rsid w:val="0067664D"/>
    <w:rsid w:val="0067685D"/>
    <w:rsid w:val="006768F6"/>
    <w:rsid w:val="0067694C"/>
    <w:rsid w:val="00676A0A"/>
    <w:rsid w:val="00676B0D"/>
    <w:rsid w:val="00676BED"/>
    <w:rsid w:val="00676C1A"/>
    <w:rsid w:val="00676E4B"/>
    <w:rsid w:val="00676EC0"/>
    <w:rsid w:val="00677287"/>
    <w:rsid w:val="006774CA"/>
    <w:rsid w:val="0067767F"/>
    <w:rsid w:val="006779F8"/>
    <w:rsid w:val="006801FD"/>
    <w:rsid w:val="00680370"/>
    <w:rsid w:val="00680557"/>
    <w:rsid w:val="006805D1"/>
    <w:rsid w:val="006806FD"/>
    <w:rsid w:val="0068097E"/>
    <w:rsid w:val="006809A9"/>
    <w:rsid w:val="00680A30"/>
    <w:rsid w:val="00680AC2"/>
    <w:rsid w:val="00680D7B"/>
    <w:rsid w:val="00681434"/>
    <w:rsid w:val="00681569"/>
    <w:rsid w:val="00681808"/>
    <w:rsid w:val="006819D3"/>
    <w:rsid w:val="0068206D"/>
    <w:rsid w:val="006828C4"/>
    <w:rsid w:val="00682916"/>
    <w:rsid w:val="00682AE9"/>
    <w:rsid w:val="00682C98"/>
    <w:rsid w:val="00682EFB"/>
    <w:rsid w:val="00683067"/>
    <w:rsid w:val="00683148"/>
    <w:rsid w:val="006835B6"/>
    <w:rsid w:val="00683616"/>
    <w:rsid w:val="00683BDE"/>
    <w:rsid w:val="00683BF6"/>
    <w:rsid w:val="00683F88"/>
    <w:rsid w:val="00683FB5"/>
    <w:rsid w:val="006841B7"/>
    <w:rsid w:val="00684285"/>
    <w:rsid w:val="006849E5"/>
    <w:rsid w:val="00684C09"/>
    <w:rsid w:val="00684E39"/>
    <w:rsid w:val="00685169"/>
    <w:rsid w:val="00685286"/>
    <w:rsid w:val="00685580"/>
    <w:rsid w:val="00685730"/>
    <w:rsid w:val="006859F0"/>
    <w:rsid w:val="00685C0E"/>
    <w:rsid w:val="00685D1C"/>
    <w:rsid w:val="00685D5C"/>
    <w:rsid w:val="00686262"/>
    <w:rsid w:val="0068626C"/>
    <w:rsid w:val="006863CE"/>
    <w:rsid w:val="0068653B"/>
    <w:rsid w:val="00686632"/>
    <w:rsid w:val="00686651"/>
    <w:rsid w:val="006866B1"/>
    <w:rsid w:val="006867B3"/>
    <w:rsid w:val="00686CDF"/>
    <w:rsid w:val="0068706F"/>
    <w:rsid w:val="0068711E"/>
    <w:rsid w:val="00687472"/>
    <w:rsid w:val="0068794B"/>
    <w:rsid w:val="00687FB3"/>
    <w:rsid w:val="00687FBB"/>
    <w:rsid w:val="0069066D"/>
    <w:rsid w:val="006909F6"/>
    <w:rsid w:val="00690A36"/>
    <w:rsid w:val="00690B2A"/>
    <w:rsid w:val="00690EBE"/>
    <w:rsid w:val="00690ED0"/>
    <w:rsid w:val="0069100B"/>
    <w:rsid w:val="0069136D"/>
    <w:rsid w:val="0069162A"/>
    <w:rsid w:val="006916DE"/>
    <w:rsid w:val="00691760"/>
    <w:rsid w:val="00691BEE"/>
    <w:rsid w:val="00691CE1"/>
    <w:rsid w:val="00691D6A"/>
    <w:rsid w:val="00691FF0"/>
    <w:rsid w:val="0069213B"/>
    <w:rsid w:val="00692175"/>
    <w:rsid w:val="006921BA"/>
    <w:rsid w:val="00692385"/>
    <w:rsid w:val="0069256E"/>
    <w:rsid w:val="00692D5A"/>
    <w:rsid w:val="00692EFC"/>
    <w:rsid w:val="00692FAE"/>
    <w:rsid w:val="00693035"/>
    <w:rsid w:val="00693222"/>
    <w:rsid w:val="0069339D"/>
    <w:rsid w:val="006936A3"/>
    <w:rsid w:val="0069376E"/>
    <w:rsid w:val="00693BB1"/>
    <w:rsid w:val="00693C27"/>
    <w:rsid w:val="00693DCA"/>
    <w:rsid w:val="006946E0"/>
    <w:rsid w:val="006947E1"/>
    <w:rsid w:val="006949E4"/>
    <w:rsid w:val="00694A3C"/>
    <w:rsid w:val="00694C6E"/>
    <w:rsid w:val="00694D02"/>
    <w:rsid w:val="00694EEC"/>
    <w:rsid w:val="006953D5"/>
    <w:rsid w:val="006958F8"/>
    <w:rsid w:val="00695CD7"/>
    <w:rsid w:val="00695D42"/>
    <w:rsid w:val="00695DD3"/>
    <w:rsid w:val="006961D7"/>
    <w:rsid w:val="00696273"/>
    <w:rsid w:val="006962DC"/>
    <w:rsid w:val="00696927"/>
    <w:rsid w:val="00696950"/>
    <w:rsid w:val="00696996"/>
    <w:rsid w:val="0069712A"/>
    <w:rsid w:val="00697222"/>
    <w:rsid w:val="0069743E"/>
    <w:rsid w:val="00697647"/>
    <w:rsid w:val="006976AC"/>
    <w:rsid w:val="006979E9"/>
    <w:rsid w:val="00697A01"/>
    <w:rsid w:val="00697AA4"/>
    <w:rsid w:val="00697C87"/>
    <w:rsid w:val="00697D26"/>
    <w:rsid w:val="006A03CE"/>
    <w:rsid w:val="006A0724"/>
    <w:rsid w:val="006A0740"/>
    <w:rsid w:val="006A0887"/>
    <w:rsid w:val="006A0EA1"/>
    <w:rsid w:val="006A108C"/>
    <w:rsid w:val="006A1134"/>
    <w:rsid w:val="006A1171"/>
    <w:rsid w:val="006A1253"/>
    <w:rsid w:val="006A16CF"/>
    <w:rsid w:val="006A19CB"/>
    <w:rsid w:val="006A1AC9"/>
    <w:rsid w:val="006A1CF6"/>
    <w:rsid w:val="006A1D96"/>
    <w:rsid w:val="006A1F43"/>
    <w:rsid w:val="006A2212"/>
    <w:rsid w:val="006A23EA"/>
    <w:rsid w:val="006A2522"/>
    <w:rsid w:val="006A2A31"/>
    <w:rsid w:val="006A2A86"/>
    <w:rsid w:val="006A2B9C"/>
    <w:rsid w:val="006A2E23"/>
    <w:rsid w:val="006A30BC"/>
    <w:rsid w:val="006A32A7"/>
    <w:rsid w:val="006A3323"/>
    <w:rsid w:val="006A338E"/>
    <w:rsid w:val="006A39B0"/>
    <w:rsid w:val="006A3A16"/>
    <w:rsid w:val="006A3F08"/>
    <w:rsid w:val="006A3FE7"/>
    <w:rsid w:val="006A4231"/>
    <w:rsid w:val="006A42FB"/>
    <w:rsid w:val="006A4358"/>
    <w:rsid w:val="006A48A6"/>
    <w:rsid w:val="006A48B7"/>
    <w:rsid w:val="006A4DFA"/>
    <w:rsid w:val="006A53BD"/>
    <w:rsid w:val="006A5520"/>
    <w:rsid w:val="006A5893"/>
    <w:rsid w:val="006A59BD"/>
    <w:rsid w:val="006A59DF"/>
    <w:rsid w:val="006A5B4F"/>
    <w:rsid w:val="006A5F94"/>
    <w:rsid w:val="006A6159"/>
    <w:rsid w:val="006A665A"/>
    <w:rsid w:val="006A66A7"/>
    <w:rsid w:val="006A6B37"/>
    <w:rsid w:val="006A6D3A"/>
    <w:rsid w:val="006A6D4C"/>
    <w:rsid w:val="006A70C0"/>
    <w:rsid w:val="006A73D4"/>
    <w:rsid w:val="006A74F8"/>
    <w:rsid w:val="006A76E8"/>
    <w:rsid w:val="006A7781"/>
    <w:rsid w:val="006A78D8"/>
    <w:rsid w:val="006A7B34"/>
    <w:rsid w:val="006A7EB4"/>
    <w:rsid w:val="006B000E"/>
    <w:rsid w:val="006B0267"/>
    <w:rsid w:val="006B0409"/>
    <w:rsid w:val="006B045F"/>
    <w:rsid w:val="006B0541"/>
    <w:rsid w:val="006B0892"/>
    <w:rsid w:val="006B08D6"/>
    <w:rsid w:val="006B0A94"/>
    <w:rsid w:val="006B0B01"/>
    <w:rsid w:val="006B1011"/>
    <w:rsid w:val="006B10B8"/>
    <w:rsid w:val="006B10E7"/>
    <w:rsid w:val="006B1283"/>
    <w:rsid w:val="006B13C0"/>
    <w:rsid w:val="006B1745"/>
    <w:rsid w:val="006B18CB"/>
    <w:rsid w:val="006B1BDB"/>
    <w:rsid w:val="006B1C76"/>
    <w:rsid w:val="006B1CF8"/>
    <w:rsid w:val="006B1FE3"/>
    <w:rsid w:val="006B216C"/>
    <w:rsid w:val="006B2286"/>
    <w:rsid w:val="006B236B"/>
    <w:rsid w:val="006B24C2"/>
    <w:rsid w:val="006B283D"/>
    <w:rsid w:val="006B2CB2"/>
    <w:rsid w:val="006B2E73"/>
    <w:rsid w:val="006B2EFA"/>
    <w:rsid w:val="006B3764"/>
    <w:rsid w:val="006B3AAC"/>
    <w:rsid w:val="006B3B22"/>
    <w:rsid w:val="006B3D2D"/>
    <w:rsid w:val="006B3FE3"/>
    <w:rsid w:val="006B40B6"/>
    <w:rsid w:val="006B4456"/>
    <w:rsid w:val="006B4A09"/>
    <w:rsid w:val="006B4A18"/>
    <w:rsid w:val="006B4A99"/>
    <w:rsid w:val="006B4D7E"/>
    <w:rsid w:val="006B4DF0"/>
    <w:rsid w:val="006B5259"/>
    <w:rsid w:val="006B5370"/>
    <w:rsid w:val="006B58BC"/>
    <w:rsid w:val="006B58C0"/>
    <w:rsid w:val="006B5AFC"/>
    <w:rsid w:val="006B5CBF"/>
    <w:rsid w:val="006B5F22"/>
    <w:rsid w:val="006B6634"/>
    <w:rsid w:val="006B67BC"/>
    <w:rsid w:val="006B6AAF"/>
    <w:rsid w:val="006B6AF0"/>
    <w:rsid w:val="006B6DB5"/>
    <w:rsid w:val="006B7372"/>
    <w:rsid w:val="006B73E7"/>
    <w:rsid w:val="006B7498"/>
    <w:rsid w:val="006B7690"/>
    <w:rsid w:val="006B76C1"/>
    <w:rsid w:val="006B7898"/>
    <w:rsid w:val="006B78A8"/>
    <w:rsid w:val="006B7A9D"/>
    <w:rsid w:val="006B7DE9"/>
    <w:rsid w:val="006B7FBF"/>
    <w:rsid w:val="006C010A"/>
    <w:rsid w:val="006C02EF"/>
    <w:rsid w:val="006C0489"/>
    <w:rsid w:val="006C0657"/>
    <w:rsid w:val="006C0BC1"/>
    <w:rsid w:val="006C0C24"/>
    <w:rsid w:val="006C0C54"/>
    <w:rsid w:val="006C0F8F"/>
    <w:rsid w:val="006C14C6"/>
    <w:rsid w:val="006C16A5"/>
    <w:rsid w:val="006C16A8"/>
    <w:rsid w:val="006C1B16"/>
    <w:rsid w:val="006C1C8D"/>
    <w:rsid w:val="006C1E0F"/>
    <w:rsid w:val="006C1E50"/>
    <w:rsid w:val="006C2177"/>
    <w:rsid w:val="006C2315"/>
    <w:rsid w:val="006C2486"/>
    <w:rsid w:val="006C24AC"/>
    <w:rsid w:val="006C2833"/>
    <w:rsid w:val="006C289D"/>
    <w:rsid w:val="006C2B87"/>
    <w:rsid w:val="006C2F3E"/>
    <w:rsid w:val="006C307D"/>
    <w:rsid w:val="006C313E"/>
    <w:rsid w:val="006C323F"/>
    <w:rsid w:val="006C325E"/>
    <w:rsid w:val="006C3365"/>
    <w:rsid w:val="006C38F5"/>
    <w:rsid w:val="006C3C1B"/>
    <w:rsid w:val="006C3EDB"/>
    <w:rsid w:val="006C46C7"/>
    <w:rsid w:val="006C47B5"/>
    <w:rsid w:val="006C504F"/>
    <w:rsid w:val="006C5473"/>
    <w:rsid w:val="006C54A7"/>
    <w:rsid w:val="006C54DC"/>
    <w:rsid w:val="006C554D"/>
    <w:rsid w:val="006C57DA"/>
    <w:rsid w:val="006C5939"/>
    <w:rsid w:val="006C5BA7"/>
    <w:rsid w:val="006C5D0C"/>
    <w:rsid w:val="006C5DE1"/>
    <w:rsid w:val="006C6287"/>
    <w:rsid w:val="006C6765"/>
    <w:rsid w:val="006C6781"/>
    <w:rsid w:val="006C68FE"/>
    <w:rsid w:val="006C6D9F"/>
    <w:rsid w:val="006C72D8"/>
    <w:rsid w:val="006C73C2"/>
    <w:rsid w:val="006C77F9"/>
    <w:rsid w:val="006C7CE9"/>
    <w:rsid w:val="006C7DAB"/>
    <w:rsid w:val="006C7E0F"/>
    <w:rsid w:val="006D0033"/>
    <w:rsid w:val="006D004B"/>
    <w:rsid w:val="006D01A4"/>
    <w:rsid w:val="006D0297"/>
    <w:rsid w:val="006D0381"/>
    <w:rsid w:val="006D043E"/>
    <w:rsid w:val="006D05BB"/>
    <w:rsid w:val="006D065C"/>
    <w:rsid w:val="006D0819"/>
    <w:rsid w:val="006D0D11"/>
    <w:rsid w:val="006D0E3E"/>
    <w:rsid w:val="006D0E5C"/>
    <w:rsid w:val="006D0F43"/>
    <w:rsid w:val="006D113A"/>
    <w:rsid w:val="006D117A"/>
    <w:rsid w:val="006D1345"/>
    <w:rsid w:val="006D1357"/>
    <w:rsid w:val="006D14A8"/>
    <w:rsid w:val="006D14BB"/>
    <w:rsid w:val="006D192B"/>
    <w:rsid w:val="006D1B66"/>
    <w:rsid w:val="006D1C30"/>
    <w:rsid w:val="006D22A7"/>
    <w:rsid w:val="006D22F1"/>
    <w:rsid w:val="006D2561"/>
    <w:rsid w:val="006D26D8"/>
    <w:rsid w:val="006D28FE"/>
    <w:rsid w:val="006D2A13"/>
    <w:rsid w:val="006D2A9E"/>
    <w:rsid w:val="006D2DCB"/>
    <w:rsid w:val="006D2EA2"/>
    <w:rsid w:val="006D2EB5"/>
    <w:rsid w:val="006D2F60"/>
    <w:rsid w:val="006D3030"/>
    <w:rsid w:val="006D32B6"/>
    <w:rsid w:val="006D3362"/>
    <w:rsid w:val="006D34D6"/>
    <w:rsid w:val="006D397E"/>
    <w:rsid w:val="006D3DF0"/>
    <w:rsid w:val="006D4457"/>
    <w:rsid w:val="006D44D3"/>
    <w:rsid w:val="006D47AC"/>
    <w:rsid w:val="006D48C7"/>
    <w:rsid w:val="006D4D79"/>
    <w:rsid w:val="006D4DB9"/>
    <w:rsid w:val="006D52C5"/>
    <w:rsid w:val="006D5379"/>
    <w:rsid w:val="006D5746"/>
    <w:rsid w:val="006D5848"/>
    <w:rsid w:val="006D59BD"/>
    <w:rsid w:val="006D5A80"/>
    <w:rsid w:val="006D5BF3"/>
    <w:rsid w:val="006D6013"/>
    <w:rsid w:val="006D6357"/>
    <w:rsid w:val="006D662F"/>
    <w:rsid w:val="006D6EA5"/>
    <w:rsid w:val="006D737C"/>
    <w:rsid w:val="006D741A"/>
    <w:rsid w:val="006D7427"/>
    <w:rsid w:val="006D746F"/>
    <w:rsid w:val="006D74BA"/>
    <w:rsid w:val="006D7A38"/>
    <w:rsid w:val="006D7BD6"/>
    <w:rsid w:val="006D7CF5"/>
    <w:rsid w:val="006E0044"/>
    <w:rsid w:val="006E03EF"/>
    <w:rsid w:val="006E0815"/>
    <w:rsid w:val="006E0B0D"/>
    <w:rsid w:val="006E0EF4"/>
    <w:rsid w:val="006E0F5C"/>
    <w:rsid w:val="006E106D"/>
    <w:rsid w:val="006E1364"/>
    <w:rsid w:val="006E16DF"/>
    <w:rsid w:val="006E1AAF"/>
    <w:rsid w:val="006E1CF1"/>
    <w:rsid w:val="006E1FD0"/>
    <w:rsid w:val="006E2039"/>
    <w:rsid w:val="006E209C"/>
    <w:rsid w:val="006E2163"/>
    <w:rsid w:val="006E23AD"/>
    <w:rsid w:val="006E26C3"/>
    <w:rsid w:val="006E2874"/>
    <w:rsid w:val="006E299B"/>
    <w:rsid w:val="006E2B9B"/>
    <w:rsid w:val="006E2C6E"/>
    <w:rsid w:val="006E2E5F"/>
    <w:rsid w:val="006E2EFD"/>
    <w:rsid w:val="006E2F47"/>
    <w:rsid w:val="006E33F7"/>
    <w:rsid w:val="006E36F3"/>
    <w:rsid w:val="006E398F"/>
    <w:rsid w:val="006E399B"/>
    <w:rsid w:val="006E3A48"/>
    <w:rsid w:val="006E4038"/>
    <w:rsid w:val="006E4205"/>
    <w:rsid w:val="006E42CF"/>
    <w:rsid w:val="006E42ED"/>
    <w:rsid w:val="006E4330"/>
    <w:rsid w:val="006E43C2"/>
    <w:rsid w:val="006E47E1"/>
    <w:rsid w:val="006E4ADA"/>
    <w:rsid w:val="006E4F12"/>
    <w:rsid w:val="006E57DE"/>
    <w:rsid w:val="006E5908"/>
    <w:rsid w:val="006E590A"/>
    <w:rsid w:val="006E5B30"/>
    <w:rsid w:val="006E5C69"/>
    <w:rsid w:val="006E5DE3"/>
    <w:rsid w:val="006E5F87"/>
    <w:rsid w:val="006E6254"/>
    <w:rsid w:val="006E6333"/>
    <w:rsid w:val="006E6C18"/>
    <w:rsid w:val="006E6D73"/>
    <w:rsid w:val="006E6DC6"/>
    <w:rsid w:val="006E730C"/>
    <w:rsid w:val="006E7421"/>
    <w:rsid w:val="006E7717"/>
    <w:rsid w:val="006F052D"/>
    <w:rsid w:val="006F05D9"/>
    <w:rsid w:val="006F0BF0"/>
    <w:rsid w:val="006F0C68"/>
    <w:rsid w:val="006F0E6D"/>
    <w:rsid w:val="006F0FF4"/>
    <w:rsid w:val="006F1233"/>
    <w:rsid w:val="006F13E2"/>
    <w:rsid w:val="006F1BD1"/>
    <w:rsid w:val="006F1BEE"/>
    <w:rsid w:val="006F1C38"/>
    <w:rsid w:val="006F2004"/>
    <w:rsid w:val="006F2176"/>
    <w:rsid w:val="006F27AB"/>
    <w:rsid w:val="006F27E5"/>
    <w:rsid w:val="006F28AE"/>
    <w:rsid w:val="006F2A0A"/>
    <w:rsid w:val="006F2A55"/>
    <w:rsid w:val="006F2B48"/>
    <w:rsid w:val="006F2B88"/>
    <w:rsid w:val="006F2EF8"/>
    <w:rsid w:val="006F33E7"/>
    <w:rsid w:val="006F3D66"/>
    <w:rsid w:val="006F3F43"/>
    <w:rsid w:val="006F3FB1"/>
    <w:rsid w:val="006F3FBC"/>
    <w:rsid w:val="006F406F"/>
    <w:rsid w:val="006F42B4"/>
    <w:rsid w:val="006F44B5"/>
    <w:rsid w:val="006F44BE"/>
    <w:rsid w:val="006F4629"/>
    <w:rsid w:val="006F46BF"/>
    <w:rsid w:val="006F49BE"/>
    <w:rsid w:val="006F4BCD"/>
    <w:rsid w:val="006F4C8C"/>
    <w:rsid w:val="006F51CD"/>
    <w:rsid w:val="006F51E0"/>
    <w:rsid w:val="006F5226"/>
    <w:rsid w:val="006F533E"/>
    <w:rsid w:val="006F54AD"/>
    <w:rsid w:val="006F556D"/>
    <w:rsid w:val="006F579D"/>
    <w:rsid w:val="006F5A99"/>
    <w:rsid w:val="006F5AC0"/>
    <w:rsid w:val="006F5B96"/>
    <w:rsid w:val="006F6004"/>
    <w:rsid w:val="006F607A"/>
    <w:rsid w:val="006F61D1"/>
    <w:rsid w:val="006F6434"/>
    <w:rsid w:val="006F6729"/>
    <w:rsid w:val="006F6CCC"/>
    <w:rsid w:val="006F6DA2"/>
    <w:rsid w:val="006F6EB6"/>
    <w:rsid w:val="006F7699"/>
    <w:rsid w:val="006F79B1"/>
    <w:rsid w:val="006F7A49"/>
    <w:rsid w:val="006F7CA7"/>
    <w:rsid w:val="006F7DDF"/>
    <w:rsid w:val="00700125"/>
    <w:rsid w:val="007002E3"/>
    <w:rsid w:val="007002E9"/>
    <w:rsid w:val="007004CB"/>
    <w:rsid w:val="0070069A"/>
    <w:rsid w:val="00700E5B"/>
    <w:rsid w:val="00701164"/>
    <w:rsid w:val="00701404"/>
    <w:rsid w:val="00701670"/>
    <w:rsid w:val="00701748"/>
    <w:rsid w:val="007018FE"/>
    <w:rsid w:val="00701F73"/>
    <w:rsid w:val="00702454"/>
    <w:rsid w:val="00702615"/>
    <w:rsid w:val="00702719"/>
    <w:rsid w:val="0070274E"/>
    <w:rsid w:val="00702B24"/>
    <w:rsid w:val="0070332E"/>
    <w:rsid w:val="007035EE"/>
    <w:rsid w:val="00703808"/>
    <w:rsid w:val="007039B7"/>
    <w:rsid w:val="007039FC"/>
    <w:rsid w:val="00703D04"/>
    <w:rsid w:val="0070425F"/>
    <w:rsid w:val="0070450D"/>
    <w:rsid w:val="007045F6"/>
    <w:rsid w:val="0070488A"/>
    <w:rsid w:val="007048D7"/>
    <w:rsid w:val="00704A8B"/>
    <w:rsid w:val="00704C5E"/>
    <w:rsid w:val="00704C78"/>
    <w:rsid w:val="007050B3"/>
    <w:rsid w:val="007050E5"/>
    <w:rsid w:val="0070553E"/>
    <w:rsid w:val="007055C7"/>
    <w:rsid w:val="00705954"/>
    <w:rsid w:val="007059FE"/>
    <w:rsid w:val="00705A90"/>
    <w:rsid w:val="00705DA0"/>
    <w:rsid w:val="00705DB1"/>
    <w:rsid w:val="00705E14"/>
    <w:rsid w:val="00705FB0"/>
    <w:rsid w:val="007060A4"/>
    <w:rsid w:val="007061A2"/>
    <w:rsid w:val="00706429"/>
    <w:rsid w:val="007064A9"/>
    <w:rsid w:val="0070654E"/>
    <w:rsid w:val="007065C4"/>
    <w:rsid w:val="00706803"/>
    <w:rsid w:val="00706A82"/>
    <w:rsid w:val="00706AB8"/>
    <w:rsid w:val="00706B06"/>
    <w:rsid w:val="00706C20"/>
    <w:rsid w:val="00706D2D"/>
    <w:rsid w:val="00707008"/>
    <w:rsid w:val="007070CC"/>
    <w:rsid w:val="007070E6"/>
    <w:rsid w:val="007072E1"/>
    <w:rsid w:val="007073A9"/>
    <w:rsid w:val="0070744E"/>
    <w:rsid w:val="007078DB"/>
    <w:rsid w:val="00707957"/>
    <w:rsid w:val="00707A1E"/>
    <w:rsid w:val="00707B74"/>
    <w:rsid w:val="00707BED"/>
    <w:rsid w:val="00707C01"/>
    <w:rsid w:val="00707E4B"/>
    <w:rsid w:val="00707EF0"/>
    <w:rsid w:val="0071028A"/>
    <w:rsid w:val="007102AB"/>
    <w:rsid w:val="00710543"/>
    <w:rsid w:val="00710798"/>
    <w:rsid w:val="0071098F"/>
    <w:rsid w:val="00710AA9"/>
    <w:rsid w:val="00710D8A"/>
    <w:rsid w:val="00710EC1"/>
    <w:rsid w:val="00710F40"/>
    <w:rsid w:val="007114DE"/>
    <w:rsid w:val="00711ACD"/>
    <w:rsid w:val="00711E94"/>
    <w:rsid w:val="00711EB0"/>
    <w:rsid w:val="00712A40"/>
    <w:rsid w:val="00712AAB"/>
    <w:rsid w:val="00712BFA"/>
    <w:rsid w:val="007131E2"/>
    <w:rsid w:val="00713506"/>
    <w:rsid w:val="007135F0"/>
    <w:rsid w:val="007138B8"/>
    <w:rsid w:val="00713C41"/>
    <w:rsid w:val="00713D67"/>
    <w:rsid w:val="00713F11"/>
    <w:rsid w:val="00714181"/>
    <w:rsid w:val="0071457E"/>
    <w:rsid w:val="0071459F"/>
    <w:rsid w:val="0071484E"/>
    <w:rsid w:val="00714AFA"/>
    <w:rsid w:val="00714B95"/>
    <w:rsid w:val="00714F21"/>
    <w:rsid w:val="00714F8D"/>
    <w:rsid w:val="0071545C"/>
    <w:rsid w:val="0071556E"/>
    <w:rsid w:val="00715618"/>
    <w:rsid w:val="0071561F"/>
    <w:rsid w:val="007156A5"/>
    <w:rsid w:val="00715718"/>
    <w:rsid w:val="00715D57"/>
    <w:rsid w:val="00715ECC"/>
    <w:rsid w:val="00716560"/>
    <w:rsid w:val="0071660F"/>
    <w:rsid w:val="0071669A"/>
    <w:rsid w:val="007167D8"/>
    <w:rsid w:val="007169E3"/>
    <w:rsid w:val="00716ABB"/>
    <w:rsid w:val="00716C71"/>
    <w:rsid w:val="00716D6A"/>
    <w:rsid w:val="00716D80"/>
    <w:rsid w:val="00716DA0"/>
    <w:rsid w:val="0071717C"/>
    <w:rsid w:val="00717345"/>
    <w:rsid w:val="00717388"/>
    <w:rsid w:val="007174F5"/>
    <w:rsid w:val="0071776F"/>
    <w:rsid w:val="007178B7"/>
    <w:rsid w:val="007178C6"/>
    <w:rsid w:val="00717C54"/>
    <w:rsid w:val="00717D90"/>
    <w:rsid w:val="007207D6"/>
    <w:rsid w:val="007207F9"/>
    <w:rsid w:val="0072091E"/>
    <w:rsid w:val="007209A3"/>
    <w:rsid w:val="00720AA3"/>
    <w:rsid w:val="00720C28"/>
    <w:rsid w:val="0072102A"/>
    <w:rsid w:val="00721135"/>
    <w:rsid w:val="0072113B"/>
    <w:rsid w:val="00721214"/>
    <w:rsid w:val="00721285"/>
    <w:rsid w:val="00721317"/>
    <w:rsid w:val="0072148F"/>
    <w:rsid w:val="00721D37"/>
    <w:rsid w:val="00721D58"/>
    <w:rsid w:val="00721DB1"/>
    <w:rsid w:val="00721DE6"/>
    <w:rsid w:val="00721E06"/>
    <w:rsid w:val="007221CE"/>
    <w:rsid w:val="007223E4"/>
    <w:rsid w:val="00722472"/>
    <w:rsid w:val="00722534"/>
    <w:rsid w:val="00722B59"/>
    <w:rsid w:val="00722FF9"/>
    <w:rsid w:val="00723199"/>
    <w:rsid w:val="0072332A"/>
    <w:rsid w:val="00723667"/>
    <w:rsid w:val="00723E21"/>
    <w:rsid w:val="00723EE6"/>
    <w:rsid w:val="00723F50"/>
    <w:rsid w:val="00723FCB"/>
    <w:rsid w:val="00724131"/>
    <w:rsid w:val="007242B6"/>
    <w:rsid w:val="00724366"/>
    <w:rsid w:val="00724390"/>
    <w:rsid w:val="0072446F"/>
    <w:rsid w:val="0072459E"/>
    <w:rsid w:val="007247AF"/>
    <w:rsid w:val="00724DEC"/>
    <w:rsid w:val="00724F5B"/>
    <w:rsid w:val="00725133"/>
    <w:rsid w:val="00725279"/>
    <w:rsid w:val="00725497"/>
    <w:rsid w:val="007259AD"/>
    <w:rsid w:val="00725B43"/>
    <w:rsid w:val="00725EA1"/>
    <w:rsid w:val="00725EE0"/>
    <w:rsid w:val="00725F3C"/>
    <w:rsid w:val="0072643B"/>
    <w:rsid w:val="007265ED"/>
    <w:rsid w:val="00726950"/>
    <w:rsid w:val="00726A3C"/>
    <w:rsid w:val="00726B6C"/>
    <w:rsid w:val="00726D4E"/>
    <w:rsid w:val="00727011"/>
    <w:rsid w:val="00727177"/>
    <w:rsid w:val="007277EE"/>
    <w:rsid w:val="00727A02"/>
    <w:rsid w:val="007301E1"/>
    <w:rsid w:val="007302B0"/>
    <w:rsid w:val="00730493"/>
    <w:rsid w:val="007304C9"/>
    <w:rsid w:val="00730515"/>
    <w:rsid w:val="0073095D"/>
    <w:rsid w:val="00730C10"/>
    <w:rsid w:val="00730C5E"/>
    <w:rsid w:val="0073101B"/>
    <w:rsid w:val="00731048"/>
    <w:rsid w:val="0073116C"/>
    <w:rsid w:val="0073123A"/>
    <w:rsid w:val="007312D0"/>
    <w:rsid w:val="007313FD"/>
    <w:rsid w:val="007316E8"/>
    <w:rsid w:val="00731903"/>
    <w:rsid w:val="0073198B"/>
    <w:rsid w:val="00731B9E"/>
    <w:rsid w:val="00731D71"/>
    <w:rsid w:val="00732009"/>
    <w:rsid w:val="007320A0"/>
    <w:rsid w:val="00732225"/>
    <w:rsid w:val="00732448"/>
    <w:rsid w:val="007324D6"/>
    <w:rsid w:val="00732523"/>
    <w:rsid w:val="007326FD"/>
    <w:rsid w:val="007327D5"/>
    <w:rsid w:val="007328C4"/>
    <w:rsid w:val="00732997"/>
    <w:rsid w:val="00732A39"/>
    <w:rsid w:val="00732BF1"/>
    <w:rsid w:val="00732CF4"/>
    <w:rsid w:val="00732EA4"/>
    <w:rsid w:val="00733160"/>
    <w:rsid w:val="007331FA"/>
    <w:rsid w:val="007335BC"/>
    <w:rsid w:val="00733981"/>
    <w:rsid w:val="00733BC2"/>
    <w:rsid w:val="00733BC7"/>
    <w:rsid w:val="00733C36"/>
    <w:rsid w:val="00734022"/>
    <w:rsid w:val="007343FA"/>
    <w:rsid w:val="0073467E"/>
    <w:rsid w:val="00734708"/>
    <w:rsid w:val="00734788"/>
    <w:rsid w:val="0073487A"/>
    <w:rsid w:val="00734B61"/>
    <w:rsid w:val="00734F70"/>
    <w:rsid w:val="007350CA"/>
    <w:rsid w:val="007350E3"/>
    <w:rsid w:val="00735118"/>
    <w:rsid w:val="00735285"/>
    <w:rsid w:val="00735399"/>
    <w:rsid w:val="0073556E"/>
    <w:rsid w:val="007356AA"/>
    <w:rsid w:val="007357B7"/>
    <w:rsid w:val="00735A1C"/>
    <w:rsid w:val="00735B41"/>
    <w:rsid w:val="00735B96"/>
    <w:rsid w:val="00736422"/>
    <w:rsid w:val="00736621"/>
    <w:rsid w:val="007369EA"/>
    <w:rsid w:val="00736B1B"/>
    <w:rsid w:val="00736BD2"/>
    <w:rsid w:val="00736E0C"/>
    <w:rsid w:val="007370E1"/>
    <w:rsid w:val="0073748A"/>
    <w:rsid w:val="007375DB"/>
    <w:rsid w:val="00737646"/>
    <w:rsid w:val="00737F73"/>
    <w:rsid w:val="00737FF0"/>
    <w:rsid w:val="007401E9"/>
    <w:rsid w:val="007402B3"/>
    <w:rsid w:val="00740840"/>
    <w:rsid w:val="00740975"/>
    <w:rsid w:val="00740A34"/>
    <w:rsid w:val="00740AB7"/>
    <w:rsid w:val="00740CF9"/>
    <w:rsid w:val="007410A8"/>
    <w:rsid w:val="007412B8"/>
    <w:rsid w:val="00741418"/>
    <w:rsid w:val="0074146A"/>
    <w:rsid w:val="0074175A"/>
    <w:rsid w:val="007419B8"/>
    <w:rsid w:val="00741A2A"/>
    <w:rsid w:val="00741D7C"/>
    <w:rsid w:val="00741DBD"/>
    <w:rsid w:val="00741FFC"/>
    <w:rsid w:val="00742221"/>
    <w:rsid w:val="007429E7"/>
    <w:rsid w:val="007429F1"/>
    <w:rsid w:val="007430C0"/>
    <w:rsid w:val="00743305"/>
    <w:rsid w:val="007433EF"/>
    <w:rsid w:val="00743471"/>
    <w:rsid w:val="007434C3"/>
    <w:rsid w:val="00743DBB"/>
    <w:rsid w:val="00743F8F"/>
    <w:rsid w:val="0074406E"/>
    <w:rsid w:val="007441BB"/>
    <w:rsid w:val="00744210"/>
    <w:rsid w:val="00744240"/>
    <w:rsid w:val="007444F8"/>
    <w:rsid w:val="00744880"/>
    <w:rsid w:val="00744FFD"/>
    <w:rsid w:val="0074513B"/>
    <w:rsid w:val="00745357"/>
    <w:rsid w:val="00745485"/>
    <w:rsid w:val="00745491"/>
    <w:rsid w:val="007456E9"/>
    <w:rsid w:val="00745744"/>
    <w:rsid w:val="007457E8"/>
    <w:rsid w:val="00745C17"/>
    <w:rsid w:val="00745CB3"/>
    <w:rsid w:val="00745DE6"/>
    <w:rsid w:val="00745DF4"/>
    <w:rsid w:val="00745E2F"/>
    <w:rsid w:val="00745EC8"/>
    <w:rsid w:val="00745F9D"/>
    <w:rsid w:val="00746054"/>
    <w:rsid w:val="00746A11"/>
    <w:rsid w:val="00746B3A"/>
    <w:rsid w:val="00746F5A"/>
    <w:rsid w:val="00746FAA"/>
    <w:rsid w:val="00747210"/>
    <w:rsid w:val="0074772C"/>
    <w:rsid w:val="007477C7"/>
    <w:rsid w:val="0074783A"/>
    <w:rsid w:val="00747A21"/>
    <w:rsid w:val="00747A39"/>
    <w:rsid w:val="00750557"/>
    <w:rsid w:val="007509F5"/>
    <w:rsid w:val="00750B09"/>
    <w:rsid w:val="00750BC9"/>
    <w:rsid w:val="00750D64"/>
    <w:rsid w:val="00750E4C"/>
    <w:rsid w:val="00750F61"/>
    <w:rsid w:val="00751002"/>
    <w:rsid w:val="00751150"/>
    <w:rsid w:val="00751334"/>
    <w:rsid w:val="00751396"/>
    <w:rsid w:val="007514A4"/>
    <w:rsid w:val="007514D7"/>
    <w:rsid w:val="00751563"/>
    <w:rsid w:val="007519A5"/>
    <w:rsid w:val="00751E87"/>
    <w:rsid w:val="00752138"/>
    <w:rsid w:val="0075216C"/>
    <w:rsid w:val="007527F1"/>
    <w:rsid w:val="00752D32"/>
    <w:rsid w:val="00752E97"/>
    <w:rsid w:val="007535B9"/>
    <w:rsid w:val="007536B9"/>
    <w:rsid w:val="0075372F"/>
    <w:rsid w:val="00753864"/>
    <w:rsid w:val="00753881"/>
    <w:rsid w:val="00753E09"/>
    <w:rsid w:val="00753EA9"/>
    <w:rsid w:val="00753F98"/>
    <w:rsid w:val="00753F9A"/>
    <w:rsid w:val="007540F7"/>
    <w:rsid w:val="00754223"/>
    <w:rsid w:val="00754501"/>
    <w:rsid w:val="0075450A"/>
    <w:rsid w:val="00754950"/>
    <w:rsid w:val="007549A7"/>
    <w:rsid w:val="00754EA0"/>
    <w:rsid w:val="00754F0F"/>
    <w:rsid w:val="00754F94"/>
    <w:rsid w:val="007551C5"/>
    <w:rsid w:val="0075524F"/>
    <w:rsid w:val="007554AA"/>
    <w:rsid w:val="00755553"/>
    <w:rsid w:val="007557F7"/>
    <w:rsid w:val="007558C7"/>
    <w:rsid w:val="0075597C"/>
    <w:rsid w:val="00755A1D"/>
    <w:rsid w:val="00755B1A"/>
    <w:rsid w:val="00755B9D"/>
    <w:rsid w:val="00755CED"/>
    <w:rsid w:val="00755CF1"/>
    <w:rsid w:val="00755F51"/>
    <w:rsid w:val="0075635A"/>
    <w:rsid w:val="0075652D"/>
    <w:rsid w:val="00756675"/>
    <w:rsid w:val="00756762"/>
    <w:rsid w:val="00756817"/>
    <w:rsid w:val="00756876"/>
    <w:rsid w:val="00756E48"/>
    <w:rsid w:val="00756EF1"/>
    <w:rsid w:val="00756F0A"/>
    <w:rsid w:val="007570DE"/>
    <w:rsid w:val="0075732E"/>
    <w:rsid w:val="007573A6"/>
    <w:rsid w:val="0075759E"/>
    <w:rsid w:val="00757764"/>
    <w:rsid w:val="0075776C"/>
    <w:rsid w:val="00757C8F"/>
    <w:rsid w:val="00757CFD"/>
    <w:rsid w:val="00757D03"/>
    <w:rsid w:val="00757E5C"/>
    <w:rsid w:val="00760084"/>
    <w:rsid w:val="0076036C"/>
    <w:rsid w:val="0076068C"/>
    <w:rsid w:val="00760779"/>
    <w:rsid w:val="00760978"/>
    <w:rsid w:val="00760A09"/>
    <w:rsid w:val="00760A75"/>
    <w:rsid w:val="00760AA8"/>
    <w:rsid w:val="00760B3D"/>
    <w:rsid w:val="00760F0B"/>
    <w:rsid w:val="00760F19"/>
    <w:rsid w:val="00760F55"/>
    <w:rsid w:val="0076106C"/>
    <w:rsid w:val="00761183"/>
    <w:rsid w:val="00761454"/>
    <w:rsid w:val="00761554"/>
    <w:rsid w:val="007615E3"/>
    <w:rsid w:val="0076169F"/>
    <w:rsid w:val="007617B0"/>
    <w:rsid w:val="00761860"/>
    <w:rsid w:val="00761EE8"/>
    <w:rsid w:val="00761F97"/>
    <w:rsid w:val="0076241F"/>
    <w:rsid w:val="007625C8"/>
    <w:rsid w:val="00762676"/>
    <w:rsid w:val="00762854"/>
    <w:rsid w:val="007629A8"/>
    <w:rsid w:val="007629CF"/>
    <w:rsid w:val="00762A61"/>
    <w:rsid w:val="00762BEE"/>
    <w:rsid w:val="007634AF"/>
    <w:rsid w:val="007636FE"/>
    <w:rsid w:val="00763B5C"/>
    <w:rsid w:val="00764250"/>
    <w:rsid w:val="00764CE4"/>
    <w:rsid w:val="00764E65"/>
    <w:rsid w:val="00764E84"/>
    <w:rsid w:val="00764F8A"/>
    <w:rsid w:val="007650F6"/>
    <w:rsid w:val="00765265"/>
    <w:rsid w:val="00765341"/>
    <w:rsid w:val="00765646"/>
    <w:rsid w:val="00765C0E"/>
    <w:rsid w:val="00765D4C"/>
    <w:rsid w:val="00765E46"/>
    <w:rsid w:val="00765E6A"/>
    <w:rsid w:val="00766213"/>
    <w:rsid w:val="00766350"/>
    <w:rsid w:val="007663CA"/>
    <w:rsid w:val="007664E6"/>
    <w:rsid w:val="007667D4"/>
    <w:rsid w:val="007669F7"/>
    <w:rsid w:val="00766A50"/>
    <w:rsid w:val="00767131"/>
    <w:rsid w:val="007679F7"/>
    <w:rsid w:val="00767D8F"/>
    <w:rsid w:val="00767ED2"/>
    <w:rsid w:val="007700AF"/>
    <w:rsid w:val="007702CF"/>
    <w:rsid w:val="00770308"/>
    <w:rsid w:val="007706A7"/>
    <w:rsid w:val="00770E26"/>
    <w:rsid w:val="007710F0"/>
    <w:rsid w:val="007714F4"/>
    <w:rsid w:val="007715FE"/>
    <w:rsid w:val="00771742"/>
    <w:rsid w:val="00771947"/>
    <w:rsid w:val="00771971"/>
    <w:rsid w:val="00771C5F"/>
    <w:rsid w:val="00771CBE"/>
    <w:rsid w:val="00771F50"/>
    <w:rsid w:val="007720E4"/>
    <w:rsid w:val="00772229"/>
    <w:rsid w:val="0077236D"/>
    <w:rsid w:val="00772845"/>
    <w:rsid w:val="00772990"/>
    <w:rsid w:val="00772B35"/>
    <w:rsid w:val="00772D30"/>
    <w:rsid w:val="00773013"/>
    <w:rsid w:val="007730D1"/>
    <w:rsid w:val="007731BC"/>
    <w:rsid w:val="00773370"/>
    <w:rsid w:val="0077342E"/>
    <w:rsid w:val="0077346C"/>
    <w:rsid w:val="00773522"/>
    <w:rsid w:val="00773A41"/>
    <w:rsid w:val="00773C31"/>
    <w:rsid w:val="007741E6"/>
    <w:rsid w:val="00774365"/>
    <w:rsid w:val="00774678"/>
    <w:rsid w:val="00774710"/>
    <w:rsid w:val="0077488B"/>
    <w:rsid w:val="007748C4"/>
    <w:rsid w:val="00774BAB"/>
    <w:rsid w:val="00774DB6"/>
    <w:rsid w:val="00775057"/>
    <w:rsid w:val="0077584B"/>
    <w:rsid w:val="00775FC8"/>
    <w:rsid w:val="0077643F"/>
    <w:rsid w:val="0077645E"/>
    <w:rsid w:val="00776AEA"/>
    <w:rsid w:val="00776BFB"/>
    <w:rsid w:val="00776F10"/>
    <w:rsid w:val="0077730B"/>
    <w:rsid w:val="0077741C"/>
    <w:rsid w:val="007774DB"/>
    <w:rsid w:val="00777819"/>
    <w:rsid w:val="007779B9"/>
    <w:rsid w:val="0078001F"/>
    <w:rsid w:val="00780182"/>
    <w:rsid w:val="00780350"/>
    <w:rsid w:val="00780530"/>
    <w:rsid w:val="00780761"/>
    <w:rsid w:val="007808FA"/>
    <w:rsid w:val="00780B2E"/>
    <w:rsid w:val="00780C24"/>
    <w:rsid w:val="00780C3F"/>
    <w:rsid w:val="00780CE0"/>
    <w:rsid w:val="00780D13"/>
    <w:rsid w:val="00780D2E"/>
    <w:rsid w:val="00780E50"/>
    <w:rsid w:val="0078154B"/>
    <w:rsid w:val="007818A0"/>
    <w:rsid w:val="0078191F"/>
    <w:rsid w:val="00781B22"/>
    <w:rsid w:val="00781F5B"/>
    <w:rsid w:val="00781FDB"/>
    <w:rsid w:val="0078200F"/>
    <w:rsid w:val="00782059"/>
    <w:rsid w:val="0078276A"/>
    <w:rsid w:val="00782955"/>
    <w:rsid w:val="007829D6"/>
    <w:rsid w:val="00782A9A"/>
    <w:rsid w:val="00782B14"/>
    <w:rsid w:val="00782C10"/>
    <w:rsid w:val="00782E84"/>
    <w:rsid w:val="00782FF3"/>
    <w:rsid w:val="007831D2"/>
    <w:rsid w:val="00783209"/>
    <w:rsid w:val="0078325C"/>
    <w:rsid w:val="00783295"/>
    <w:rsid w:val="00783476"/>
    <w:rsid w:val="007834DD"/>
    <w:rsid w:val="00783A8D"/>
    <w:rsid w:val="00783BA9"/>
    <w:rsid w:val="00783C04"/>
    <w:rsid w:val="00783EA6"/>
    <w:rsid w:val="00783F17"/>
    <w:rsid w:val="007840BE"/>
    <w:rsid w:val="007840F6"/>
    <w:rsid w:val="007841C4"/>
    <w:rsid w:val="007842D8"/>
    <w:rsid w:val="00784CFE"/>
    <w:rsid w:val="00784D71"/>
    <w:rsid w:val="00784FA6"/>
    <w:rsid w:val="007855C7"/>
    <w:rsid w:val="0078566C"/>
    <w:rsid w:val="00785940"/>
    <w:rsid w:val="00785AB3"/>
    <w:rsid w:val="00785B65"/>
    <w:rsid w:val="00785B6D"/>
    <w:rsid w:val="00785C74"/>
    <w:rsid w:val="00785D4A"/>
    <w:rsid w:val="00785DC5"/>
    <w:rsid w:val="00785FF4"/>
    <w:rsid w:val="007860EA"/>
    <w:rsid w:val="00786314"/>
    <w:rsid w:val="00786403"/>
    <w:rsid w:val="00786671"/>
    <w:rsid w:val="007866FC"/>
    <w:rsid w:val="00786763"/>
    <w:rsid w:val="00786849"/>
    <w:rsid w:val="007869DD"/>
    <w:rsid w:val="00786E40"/>
    <w:rsid w:val="007872B0"/>
    <w:rsid w:val="00787590"/>
    <w:rsid w:val="0078795C"/>
    <w:rsid w:val="00787BC7"/>
    <w:rsid w:val="00787C56"/>
    <w:rsid w:val="00787C96"/>
    <w:rsid w:val="00787DFC"/>
    <w:rsid w:val="007900CA"/>
    <w:rsid w:val="0079027F"/>
    <w:rsid w:val="00790306"/>
    <w:rsid w:val="00790915"/>
    <w:rsid w:val="00790967"/>
    <w:rsid w:val="00790B7B"/>
    <w:rsid w:val="00790BDD"/>
    <w:rsid w:val="00790C69"/>
    <w:rsid w:val="00790E5D"/>
    <w:rsid w:val="0079134E"/>
    <w:rsid w:val="0079155C"/>
    <w:rsid w:val="007915C9"/>
    <w:rsid w:val="0079197B"/>
    <w:rsid w:val="00791B91"/>
    <w:rsid w:val="007920FA"/>
    <w:rsid w:val="007921B4"/>
    <w:rsid w:val="00792497"/>
    <w:rsid w:val="0079251D"/>
    <w:rsid w:val="0079252B"/>
    <w:rsid w:val="00792791"/>
    <w:rsid w:val="00792854"/>
    <w:rsid w:val="007929CD"/>
    <w:rsid w:val="00792B41"/>
    <w:rsid w:val="00792BBD"/>
    <w:rsid w:val="00792C3F"/>
    <w:rsid w:val="00792D8D"/>
    <w:rsid w:val="00793A23"/>
    <w:rsid w:val="00793A8E"/>
    <w:rsid w:val="00793E4E"/>
    <w:rsid w:val="00793F61"/>
    <w:rsid w:val="0079409A"/>
    <w:rsid w:val="0079432A"/>
    <w:rsid w:val="007944AB"/>
    <w:rsid w:val="007945F2"/>
    <w:rsid w:val="00794C43"/>
    <w:rsid w:val="00794DC8"/>
    <w:rsid w:val="00795110"/>
    <w:rsid w:val="007952EB"/>
    <w:rsid w:val="0079559B"/>
    <w:rsid w:val="007955F2"/>
    <w:rsid w:val="007960EE"/>
    <w:rsid w:val="00796192"/>
    <w:rsid w:val="007961E3"/>
    <w:rsid w:val="007966B1"/>
    <w:rsid w:val="00796CFF"/>
    <w:rsid w:val="0079747E"/>
    <w:rsid w:val="007975FA"/>
    <w:rsid w:val="007977CD"/>
    <w:rsid w:val="007A050B"/>
    <w:rsid w:val="007A0534"/>
    <w:rsid w:val="007A05AF"/>
    <w:rsid w:val="007A0628"/>
    <w:rsid w:val="007A11E9"/>
    <w:rsid w:val="007A13B1"/>
    <w:rsid w:val="007A142F"/>
    <w:rsid w:val="007A15BA"/>
    <w:rsid w:val="007A171C"/>
    <w:rsid w:val="007A189E"/>
    <w:rsid w:val="007A193F"/>
    <w:rsid w:val="007A2152"/>
    <w:rsid w:val="007A219C"/>
    <w:rsid w:val="007A2699"/>
    <w:rsid w:val="007A2CA4"/>
    <w:rsid w:val="007A3017"/>
    <w:rsid w:val="007A31A1"/>
    <w:rsid w:val="007A3215"/>
    <w:rsid w:val="007A3341"/>
    <w:rsid w:val="007A3637"/>
    <w:rsid w:val="007A3914"/>
    <w:rsid w:val="007A3A67"/>
    <w:rsid w:val="007A3A81"/>
    <w:rsid w:val="007A3BAB"/>
    <w:rsid w:val="007A430C"/>
    <w:rsid w:val="007A4453"/>
    <w:rsid w:val="007A44CE"/>
    <w:rsid w:val="007A45FE"/>
    <w:rsid w:val="007A463B"/>
    <w:rsid w:val="007A47D1"/>
    <w:rsid w:val="007A489E"/>
    <w:rsid w:val="007A4E4E"/>
    <w:rsid w:val="007A4E5A"/>
    <w:rsid w:val="007A4EE9"/>
    <w:rsid w:val="007A4FB2"/>
    <w:rsid w:val="007A50CB"/>
    <w:rsid w:val="007A54F4"/>
    <w:rsid w:val="007A55EA"/>
    <w:rsid w:val="007A5671"/>
    <w:rsid w:val="007A5754"/>
    <w:rsid w:val="007A5D75"/>
    <w:rsid w:val="007A62B7"/>
    <w:rsid w:val="007A62D2"/>
    <w:rsid w:val="007A6382"/>
    <w:rsid w:val="007A6692"/>
    <w:rsid w:val="007A6910"/>
    <w:rsid w:val="007A6919"/>
    <w:rsid w:val="007A698B"/>
    <w:rsid w:val="007A69A5"/>
    <w:rsid w:val="007A6ECA"/>
    <w:rsid w:val="007A6EED"/>
    <w:rsid w:val="007A6FBA"/>
    <w:rsid w:val="007A74AD"/>
    <w:rsid w:val="007A74AE"/>
    <w:rsid w:val="007A74B6"/>
    <w:rsid w:val="007A75EC"/>
    <w:rsid w:val="007A7ACD"/>
    <w:rsid w:val="007A7B86"/>
    <w:rsid w:val="007B00A0"/>
    <w:rsid w:val="007B0381"/>
    <w:rsid w:val="007B0425"/>
    <w:rsid w:val="007B0AC0"/>
    <w:rsid w:val="007B0BD9"/>
    <w:rsid w:val="007B0CDE"/>
    <w:rsid w:val="007B0F0F"/>
    <w:rsid w:val="007B1115"/>
    <w:rsid w:val="007B126B"/>
    <w:rsid w:val="007B1296"/>
    <w:rsid w:val="007B1433"/>
    <w:rsid w:val="007B143D"/>
    <w:rsid w:val="007B19A2"/>
    <w:rsid w:val="007B19F2"/>
    <w:rsid w:val="007B1A12"/>
    <w:rsid w:val="007B1AF5"/>
    <w:rsid w:val="007B1B7F"/>
    <w:rsid w:val="007B1C29"/>
    <w:rsid w:val="007B1F24"/>
    <w:rsid w:val="007B2017"/>
    <w:rsid w:val="007B2137"/>
    <w:rsid w:val="007B21CF"/>
    <w:rsid w:val="007B22AB"/>
    <w:rsid w:val="007B22EB"/>
    <w:rsid w:val="007B2481"/>
    <w:rsid w:val="007B2662"/>
    <w:rsid w:val="007B282C"/>
    <w:rsid w:val="007B28AE"/>
    <w:rsid w:val="007B2913"/>
    <w:rsid w:val="007B335E"/>
    <w:rsid w:val="007B357B"/>
    <w:rsid w:val="007B39C9"/>
    <w:rsid w:val="007B3A28"/>
    <w:rsid w:val="007B3BDE"/>
    <w:rsid w:val="007B3BFB"/>
    <w:rsid w:val="007B3E0E"/>
    <w:rsid w:val="007B40AA"/>
    <w:rsid w:val="007B46AB"/>
    <w:rsid w:val="007B4A4F"/>
    <w:rsid w:val="007B4AEF"/>
    <w:rsid w:val="007B4B8E"/>
    <w:rsid w:val="007B4BB4"/>
    <w:rsid w:val="007B4DDD"/>
    <w:rsid w:val="007B4F9E"/>
    <w:rsid w:val="007B5162"/>
    <w:rsid w:val="007B516B"/>
    <w:rsid w:val="007B516D"/>
    <w:rsid w:val="007B54F3"/>
    <w:rsid w:val="007B568C"/>
    <w:rsid w:val="007B5BF0"/>
    <w:rsid w:val="007B5D3A"/>
    <w:rsid w:val="007B6236"/>
    <w:rsid w:val="007B63CE"/>
    <w:rsid w:val="007B6519"/>
    <w:rsid w:val="007B68C2"/>
    <w:rsid w:val="007B6A4E"/>
    <w:rsid w:val="007B6AF8"/>
    <w:rsid w:val="007B6B62"/>
    <w:rsid w:val="007B6CFF"/>
    <w:rsid w:val="007B6D1C"/>
    <w:rsid w:val="007B6E72"/>
    <w:rsid w:val="007B6EAA"/>
    <w:rsid w:val="007B6EB0"/>
    <w:rsid w:val="007B6F7D"/>
    <w:rsid w:val="007B6FF8"/>
    <w:rsid w:val="007B7009"/>
    <w:rsid w:val="007B722B"/>
    <w:rsid w:val="007B73E9"/>
    <w:rsid w:val="007B745B"/>
    <w:rsid w:val="007B74B3"/>
    <w:rsid w:val="007B75EA"/>
    <w:rsid w:val="007B76BA"/>
    <w:rsid w:val="007B7717"/>
    <w:rsid w:val="007C0071"/>
    <w:rsid w:val="007C0651"/>
    <w:rsid w:val="007C08CC"/>
    <w:rsid w:val="007C09D8"/>
    <w:rsid w:val="007C0BDB"/>
    <w:rsid w:val="007C0EA4"/>
    <w:rsid w:val="007C0F32"/>
    <w:rsid w:val="007C101A"/>
    <w:rsid w:val="007C1327"/>
    <w:rsid w:val="007C152D"/>
    <w:rsid w:val="007C18EB"/>
    <w:rsid w:val="007C1A44"/>
    <w:rsid w:val="007C1A58"/>
    <w:rsid w:val="007C1A88"/>
    <w:rsid w:val="007C1B11"/>
    <w:rsid w:val="007C1D10"/>
    <w:rsid w:val="007C2270"/>
    <w:rsid w:val="007C238E"/>
    <w:rsid w:val="007C25CD"/>
    <w:rsid w:val="007C29E1"/>
    <w:rsid w:val="007C2B13"/>
    <w:rsid w:val="007C2CBA"/>
    <w:rsid w:val="007C359B"/>
    <w:rsid w:val="007C36DE"/>
    <w:rsid w:val="007C3936"/>
    <w:rsid w:val="007C3A1D"/>
    <w:rsid w:val="007C3ACA"/>
    <w:rsid w:val="007C3B03"/>
    <w:rsid w:val="007C3BC7"/>
    <w:rsid w:val="007C40BD"/>
    <w:rsid w:val="007C421B"/>
    <w:rsid w:val="007C47D3"/>
    <w:rsid w:val="007C490E"/>
    <w:rsid w:val="007C4E25"/>
    <w:rsid w:val="007C5170"/>
    <w:rsid w:val="007C5190"/>
    <w:rsid w:val="007C52FF"/>
    <w:rsid w:val="007C5376"/>
    <w:rsid w:val="007C5475"/>
    <w:rsid w:val="007C54E5"/>
    <w:rsid w:val="007C5650"/>
    <w:rsid w:val="007C56E3"/>
    <w:rsid w:val="007C5A5A"/>
    <w:rsid w:val="007C5BA9"/>
    <w:rsid w:val="007C5D44"/>
    <w:rsid w:val="007C5E55"/>
    <w:rsid w:val="007C6099"/>
    <w:rsid w:val="007C61CC"/>
    <w:rsid w:val="007C65C7"/>
    <w:rsid w:val="007C6936"/>
    <w:rsid w:val="007C694C"/>
    <w:rsid w:val="007C69FB"/>
    <w:rsid w:val="007C6B0C"/>
    <w:rsid w:val="007C6C56"/>
    <w:rsid w:val="007C6C78"/>
    <w:rsid w:val="007C6E8C"/>
    <w:rsid w:val="007C7033"/>
    <w:rsid w:val="007C71B7"/>
    <w:rsid w:val="007C7208"/>
    <w:rsid w:val="007C7814"/>
    <w:rsid w:val="007C7D23"/>
    <w:rsid w:val="007C7E8A"/>
    <w:rsid w:val="007D0285"/>
    <w:rsid w:val="007D0A50"/>
    <w:rsid w:val="007D0B08"/>
    <w:rsid w:val="007D0CF4"/>
    <w:rsid w:val="007D1044"/>
    <w:rsid w:val="007D144E"/>
    <w:rsid w:val="007D1A5D"/>
    <w:rsid w:val="007D1B93"/>
    <w:rsid w:val="007D242A"/>
    <w:rsid w:val="007D2586"/>
    <w:rsid w:val="007D2614"/>
    <w:rsid w:val="007D267A"/>
    <w:rsid w:val="007D26CE"/>
    <w:rsid w:val="007D26EB"/>
    <w:rsid w:val="007D27F0"/>
    <w:rsid w:val="007D3153"/>
    <w:rsid w:val="007D316C"/>
    <w:rsid w:val="007D3199"/>
    <w:rsid w:val="007D31F7"/>
    <w:rsid w:val="007D3685"/>
    <w:rsid w:val="007D37DB"/>
    <w:rsid w:val="007D37DF"/>
    <w:rsid w:val="007D3AB6"/>
    <w:rsid w:val="007D3B33"/>
    <w:rsid w:val="007D3D32"/>
    <w:rsid w:val="007D419B"/>
    <w:rsid w:val="007D439A"/>
    <w:rsid w:val="007D45CC"/>
    <w:rsid w:val="007D46DB"/>
    <w:rsid w:val="007D49C3"/>
    <w:rsid w:val="007D4EA5"/>
    <w:rsid w:val="007D4F81"/>
    <w:rsid w:val="007D4FAF"/>
    <w:rsid w:val="007D5A86"/>
    <w:rsid w:val="007D5BA5"/>
    <w:rsid w:val="007D5C39"/>
    <w:rsid w:val="007D5EE9"/>
    <w:rsid w:val="007D5F65"/>
    <w:rsid w:val="007D6205"/>
    <w:rsid w:val="007D62BA"/>
    <w:rsid w:val="007D6579"/>
    <w:rsid w:val="007D665D"/>
    <w:rsid w:val="007D6A38"/>
    <w:rsid w:val="007D6CAA"/>
    <w:rsid w:val="007D6E17"/>
    <w:rsid w:val="007D6EA6"/>
    <w:rsid w:val="007D6FD3"/>
    <w:rsid w:val="007D724C"/>
    <w:rsid w:val="007D7467"/>
    <w:rsid w:val="007D7650"/>
    <w:rsid w:val="007D77A5"/>
    <w:rsid w:val="007D7804"/>
    <w:rsid w:val="007D7B1E"/>
    <w:rsid w:val="007D7B50"/>
    <w:rsid w:val="007D7C64"/>
    <w:rsid w:val="007D7C8C"/>
    <w:rsid w:val="007D7E3D"/>
    <w:rsid w:val="007D7F02"/>
    <w:rsid w:val="007E00B8"/>
    <w:rsid w:val="007E0378"/>
    <w:rsid w:val="007E054C"/>
    <w:rsid w:val="007E055C"/>
    <w:rsid w:val="007E0731"/>
    <w:rsid w:val="007E09E1"/>
    <w:rsid w:val="007E0CBF"/>
    <w:rsid w:val="007E0CF0"/>
    <w:rsid w:val="007E0D79"/>
    <w:rsid w:val="007E0D7C"/>
    <w:rsid w:val="007E1135"/>
    <w:rsid w:val="007E115B"/>
    <w:rsid w:val="007E151C"/>
    <w:rsid w:val="007E1B4D"/>
    <w:rsid w:val="007E1F48"/>
    <w:rsid w:val="007E1FA8"/>
    <w:rsid w:val="007E20E8"/>
    <w:rsid w:val="007E246B"/>
    <w:rsid w:val="007E24AE"/>
    <w:rsid w:val="007E2827"/>
    <w:rsid w:val="007E29C2"/>
    <w:rsid w:val="007E2F1B"/>
    <w:rsid w:val="007E2FB7"/>
    <w:rsid w:val="007E3258"/>
    <w:rsid w:val="007E32A0"/>
    <w:rsid w:val="007E33F1"/>
    <w:rsid w:val="007E35C6"/>
    <w:rsid w:val="007E3663"/>
    <w:rsid w:val="007E393A"/>
    <w:rsid w:val="007E3DB4"/>
    <w:rsid w:val="007E3FFE"/>
    <w:rsid w:val="007E406B"/>
    <w:rsid w:val="007E421E"/>
    <w:rsid w:val="007E4236"/>
    <w:rsid w:val="007E4362"/>
    <w:rsid w:val="007E45A8"/>
    <w:rsid w:val="007E4894"/>
    <w:rsid w:val="007E4A48"/>
    <w:rsid w:val="007E4DEF"/>
    <w:rsid w:val="007E4DF9"/>
    <w:rsid w:val="007E4E62"/>
    <w:rsid w:val="007E50F6"/>
    <w:rsid w:val="007E5360"/>
    <w:rsid w:val="007E542C"/>
    <w:rsid w:val="007E5522"/>
    <w:rsid w:val="007E567E"/>
    <w:rsid w:val="007E5AB4"/>
    <w:rsid w:val="007E5B2C"/>
    <w:rsid w:val="007E60CE"/>
    <w:rsid w:val="007E61B8"/>
    <w:rsid w:val="007E656A"/>
    <w:rsid w:val="007E662F"/>
    <w:rsid w:val="007E6A69"/>
    <w:rsid w:val="007E6A7D"/>
    <w:rsid w:val="007E6D91"/>
    <w:rsid w:val="007E6F1B"/>
    <w:rsid w:val="007E6FC0"/>
    <w:rsid w:val="007E73C8"/>
    <w:rsid w:val="007E773E"/>
    <w:rsid w:val="007E7DB6"/>
    <w:rsid w:val="007E7E1D"/>
    <w:rsid w:val="007F06D7"/>
    <w:rsid w:val="007F088C"/>
    <w:rsid w:val="007F097A"/>
    <w:rsid w:val="007F09BE"/>
    <w:rsid w:val="007F0F7B"/>
    <w:rsid w:val="007F10EC"/>
    <w:rsid w:val="007F118C"/>
    <w:rsid w:val="007F11FB"/>
    <w:rsid w:val="007F128C"/>
    <w:rsid w:val="007F1C3D"/>
    <w:rsid w:val="007F1C63"/>
    <w:rsid w:val="007F2074"/>
    <w:rsid w:val="007F20AA"/>
    <w:rsid w:val="007F2125"/>
    <w:rsid w:val="007F21A2"/>
    <w:rsid w:val="007F2230"/>
    <w:rsid w:val="007F229E"/>
    <w:rsid w:val="007F22B5"/>
    <w:rsid w:val="007F2317"/>
    <w:rsid w:val="007F25F3"/>
    <w:rsid w:val="007F264C"/>
    <w:rsid w:val="007F269A"/>
    <w:rsid w:val="007F2A1A"/>
    <w:rsid w:val="007F2B51"/>
    <w:rsid w:val="007F2B5B"/>
    <w:rsid w:val="007F2E12"/>
    <w:rsid w:val="007F2E25"/>
    <w:rsid w:val="007F2F08"/>
    <w:rsid w:val="007F308A"/>
    <w:rsid w:val="007F3193"/>
    <w:rsid w:val="007F32CF"/>
    <w:rsid w:val="007F336C"/>
    <w:rsid w:val="007F349F"/>
    <w:rsid w:val="007F3547"/>
    <w:rsid w:val="007F3701"/>
    <w:rsid w:val="007F3DFC"/>
    <w:rsid w:val="007F4005"/>
    <w:rsid w:val="007F4079"/>
    <w:rsid w:val="007F41EF"/>
    <w:rsid w:val="007F4289"/>
    <w:rsid w:val="007F43BD"/>
    <w:rsid w:val="007F477D"/>
    <w:rsid w:val="007F4873"/>
    <w:rsid w:val="007F48F1"/>
    <w:rsid w:val="007F4945"/>
    <w:rsid w:val="007F4BEF"/>
    <w:rsid w:val="007F4F57"/>
    <w:rsid w:val="007F500D"/>
    <w:rsid w:val="007F518E"/>
    <w:rsid w:val="007F52D9"/>
    <w:rsid w:val="007F530B"/>
    <w:rsid w:val="007F536D"/>
    <w:rsid w:val="007F538D"/>
    <w:rsid w:val="007F5525"/>
    <w:rsid w:val="007F563B"/>
    <w:rsid w:val="007F59EA"/>
    <w:rsid w:val="007F59F2"/>
    <w:rsid w:val="007F5A84"/>
    <w:rsid w:val="007F5C8A"/>
    <w:rsid w:val="007F5CD8"/>
    <w:rsid w:val="007F5F8F"/>
    <w:rsid w:val="007F603D"/>
    <w:rsid w:val="007F6082"/>
    <w:rsid w:val="007F63E4"/>
    <w:rsid w:val="007F6848"/>
    <w:rsid w:val="007F69C4"/>
    <w:rsid w:val="007F6AA2"/>
    <w:rsid w:val="007F6B97"/>
    <w:rsid w:val="007F6CAC"/>
    <w:rsid w:val="007F6D4D"/>
    <w:rsid w:val="007F6E8A"/>
    <w:rsid w:val="007F707E"/>
    <w:rsid w:val="007F70D2"/>
    <w:rsid w:val="007F723A"/>
    <w:rsid w:val="007F7322"/>
    <w:rsid w:val="007F73C0"/>
    <w:rsid w:val="007F7481"/>
    <w:rsid w:val="007F79C5"/>
    <w:rsid w:val="007F7E83"/>
    <w:rsid w:val="007F7EA7"/>
    <w:rsid w:val="007F7EAE"/>
    <w:rsid w:val="008001B3"/>
    <w:rsid w:val="008004D6"/>
    <w:rsid w:val="0080081A"/>
    <w:rsid w:val="00800B9B"/>
    <w:rsid w:val="00800D54"/>
    <w:rsid w:val="008010A6"/>
    <w:rsid w:val="00801134"/>
    <w:rsid w:val="0080144F"/>
    <w:rsid w:val="00801470"/>
    <w:rsid w:val="008015DF"/>
    <w:rsid w:val="0080172C"/>
    <w:rsid w:val="008017E7"/>
    <w:rsid w:val="00801801"/>
    <w:rsid w:val="008018C4"/>
    <w:rsid w:val="00801A32"/>
    <w:rsid w:val="00801D7F"/>
    <w:rsid w:val="00801E1F"/>
    <w:rsid w:val="00801EE8"/>
    <w:rsid w:val="008025A1"/>
    <w:rsid w:val="008025F7"/>
    <w:rsid w:val="008027A0"/>
    <w:rsid w:val="00802866"/>
    <w:rsid w:val="0080288D"/>
    <w:rsid w:val="00802A14"/>
    <w:rsid w:val="00802C67"/>
    <w:rsid w:val="00802CD5"/>
    <w:rsid w:val="00802D76"/>
    <w:rsid w:val="00802E10"/>
    <w:rsid w:val="00802F39"/>
    <w:rsid w:val="00803021"/>
    <w:rsid w:val="00803220"/>
    <w:rsid w:val="008033E7"/>
    <w:rsid w:val="00803406"/>
    <w:rsid w:val="008035AF"/>
    <w:rsid w:val="008035D8"/>
    <w:rsid w:val="0080372D"/>
    <w:rsid w:val="00803E8E"/>
    <w:rsid w:val="0080422D"/>
    <w:rsid w:val="008043AD"/>
    <w:rsid w:val="008043CE"/>
    <w:rsid w:val="008043D4"/>
    <w:rsid w:val="008049D7"/>
    <w:rsid w:val="00804A05"/>
    <w:rsid w:val="00804B73"/>
    <w:rsid w:val="00804D9E"/>
    <w:rsid w:val="00804EE9"/>
    <w:rsid w:val="0080536D"/>
    <w:rsid w:val="008053A7"/>
    <w:rsid w:val="008053D4"/>
    <w:rsid w:val="008053EC"/>
    <w:rsid w:val="0080561C"/>
    <w:rsid w:val="008058FB"/>
    <w:rsid w:val="00805932"/>
    <w:rsid w:val="00805C6E"/>
    <w:rsid w:val="00805E79"/>
    <w:rsid w:val="00805F05"/>
    <w:rsid w:val="008060FE"/>
    <w:rsid w:val="008063BD"/>
    <w:rsid w:val="0080683E"/>
    <w:rsid w:val="008068EC"/>
    <w:rsid w:val="00806980"/>
    <w:rsid w:val="00806A75"/>
    <w:rsid w:val="00806BCE"/>
    <w:rsid w:val="0080708E"/>
    <w:rsid w:val="008071A1"/>
    <w:rsid w:val="00807478"/>
    <w:rsid w:val="00807937"/>
    <w:rsid w:val="00807975"/>
    <w:rsid w:val="008079BF"/>
    <w:rsid w:val="00807F9C"/>
    <w:rsid w:val="00810025"/>
    <w:rsid w:val="00810234"/>
    <w:rsid w:val="008105A1"/>
    <w:rsid w:val="008105B4"/>
    <w:rsid w:val="0081070C"/>
    <w:rsid w:val="00810E76"/>
    <w:rsid w:val="008110CD"/>
    <w:rsid w:val="00811317"/>
    <w:rsid w:val="008119AB"/>
    <w:rsid w:val="00811CA0"/>
    <w:rsid w:val="00811D91"/>
    <w:rsid w:val="00811E8A"/>
    <w:rsid w:val="00811F64"/>
    <w:rsid w:val="00812098"/>
    <w:rsid w:val="00812203"/>
    <w:rsid w:val="008123B4"/>
    <w:rsid w:val="00812942"/>
    <w:rsid w:val="00812975"/>
    <w:rsid w:val="00813600"/>
    <w:rsid w:val="00813615"/>
    <w:rsid w:val="0081361B"/>
    <w:rsid w:val="00813890"/>
    <w:rsid w:val="008138C3"/>
    <w:rsid w:val="008138CC"/>
    <w:rsid w:val="00813A7E"/>
    <w:rsid w:val="00813CD7"/>
    <w:rsid w:val="008140EB"/>
    <w:rsid w:val="00814169"/>
    <w:rsid w:val="00814191"/>
    <w:rsid w:val="00814466"/>
    <w:rsid w:val="008144EF"/>
    <w:rsid w:val="0081454B"/>
    <w:rsid w:val="00814A31"/>
    <w:rsid w:val="00814A43"/>
    <w:rsid w:val="00814BD7"/>
    <w:rsid w:val="00814FC6"/>
    <w:rsid w:val="008151B1"/>
    <w:rsid w:val="0081562C"/>
    <w:rsid w:val="00815A3B"/>
    <w:rsid w:val="00815B6E"/>
    <w:rsid w:val="00815E89"/>
    <w:rsid w:val="00815F7C"/>
    <w:rsid w:val="00816125"/>
    <w:rsid w:val="00816166"/>
    <w:rsid w:val="008161F3"/>
    <w:rsid w:val="00816213"/>
    <w:rsid w:val="008165F1"/>
    <w:rsid w:val="008166C9"/>
    <w:rsid w:val="00816703"/>
    <w:rsid w:val="0081694E"/>
    <w:rsid w:val="00816D01"/>
    <w:rsid w:val="00816D23"/>
    <w:rsid w:val="00816DA5"/>
    <w:rsid w:val="00816E50"/>
    <w:rsid w:val="00817242"/>
    <w:rsid w:val="00817251"/>
    <w:rsid w:val="008172B3"/>
    <w:rsid w:val="00817394"/>
    <w:rsid w:val="008173AC"/>
    <w:rsid w:val="00817692"/>
    <w:rsid w:val="00817809"/>
    <w:rsid w:val="00817BC9"/>
    <w:rsid w:val="00817E58"/>
    <w:rsid w:val="00820197"/>
    <w:rsid w:val="008202A4"/>
    <w:rsid w:val="008202BD"/>
    <w:rsid w:val="008202D0"/>
    <w:rsid w:val="008204AB"/>
    <w:rsid w:val="00820619"/>
    <w:rsid w:val="0082075A"/>
    <w:rsid w:val="00820A3F"/>
    <w:rsid w:val="00820B5E"/>
    <w:rsid w:val="00820DF0"/>
    <w:rsid w:val="00820EFC"/>
    <w:rsid w:val="00821003"/>
    <w:rsid w:val="00821111"/>
    <w:rsid w:val="00821376"/>
    <w:rsid w:val="0082152E"/>
    <w:rsid w:val="0082190E"/>
    <w:rsid w:val="00821C30"/>
    <w:rsid w:val="00822347"/>
    <w:rsid w:val="008225C9"/>
    <w:rsid w:val="008227FC"/>
    <w:rsid w:val="00823164"/>
    <w:rsid w:val="008232AC"/>
    <w:rsid w:val="00823783"/>
    <w:rsid w:val="00823AD4"/>
    <w:rsid w:val="00823AD9"/>
    <w:rsid w:val="00823BD8"/>
    <w:rsid w:val="00823FAA"/>
    <w:rsid w:val="00824856"/>
    <w:rsid w:val="008249A4"/>
    <w:rsid w:val="008252F4"/>
    <w:rsid w:val="008254F6"/>
    <w:rsid w:val="00825508"/>
    <w:rsid w:val="0082550C"/>
    <w:rsid w:val="0082561A"/>
    <w:rsid w:val="0082564B"/>
    <w:rsid w:val="0082567E"/>
    <w:rsid w:val="00825EED"/>
    <w:rsid w:val="00825FB1"/>
    <w:rsid w:val="008263C3"/>
    <w:rsid w:val="008266D0"/>
    <w:rsid w:val="008267B1"/>
    <w:rsid w:val="00826A04"/>
    <w:rsid w:val="00826A16"/>
    <w:rsid w:val="00826A77"/>
    <w:rsid w:val="00826AD6"/>
    <w:rsid w:val="00826BC3"/>
    <w:rsid w:val="00826BDF"/>
    <w:rsid w:val="00826D37"/>
    <w:rsid w:val="00826E8A"/>
    <w:rsid w:val="00826F4F"/>
    <w:rsid w:val="00826FA4"/>
    <w:rsid w:val="008271E5"/>
    <w:rsid w:val="00830008"/>
    <w:rsid w:val="008300EA"/>
    <w:rsid w:val="00830651"/>
    <w:rsid w:val="0083068A"/>
    <w:rsid w:val="008307B3"/>
    <w:rsid w:val="0083080E"/>
    <w:rsid w:val="00830C84"/>
    <w:rsid w:val="00830CC6"/>
    <w:rsid w:val="00830ECA"/>
    <w:rsid w:val="008310D9"/>
    <w:rsid w:val="008311ED"/>
    <w:rsid w:val="00831412"/>
    <w:rsid w:val="00831600"/>
    <w:rsid w:val="008318C9"/>
    <w:rsid w:val="008318F8"/>
    <w:rsid w:val="00831BCA"/>
    <w:rsid w:val="00831C1C"/>
    <w:rsid w:val="00831CEB"/>
    <w:rsid w:val="00831E27"/>
    <w:rsid w:val="00831EE5"/>
    <w:rsid w:val="00832198"/>
    <w:rsid w:val="00832488"/>
    <w:rsid w:val="0083254F"/>
    <w:rsid w:val="008326C9"/>
    <w:rsid w:val="00832B14"/>
    <w:rsid w:val="00832CF6"/>
    <w:rsid w:val="00832EA1"/>
    <w:rsid w:val="00833074"/>
    <w:rsid w:val="008330F9"/>
    <w:rsid w:val="008331A3"/>
    <w:rsid w:val="00833611"/>
    <w:rsid w:val="00833773"/>
    <w:rsid w:val="008343B2"/>
    <w:rsid w:val="008345A2"/>
    <w:rsid w:val="008345DC"/>
    <w:rsid w:val="008345E7"/>
    <w:rsid w:val="008347A6"/>
    <w:rsid w:val="0083482A"/>
    <w:rsid w:val="008348CE"/>
    <w:rsid w:val="0083497F"/>
    <w:rsid w:val="00834ABA"/>
    <w:rsid w:val="00835131"/>
    <w:rsid w:val="00835566"/>
    <w:rsid w:val="00835942"/>
    <w:rsid w:val="00835A0D"/>
    <w:rsid w:val="00835DC7"/>
    <w:rsid w:val="00835EED"/>
    <w:rsid w:val="00835F7E"/>
    <w:rsid w:val="008361E1"/>
    <w:rsid w:val="008362DB"/>
    <w:rsid w:val="00836964"/>
    <w:rsid w:val="00836AAC"/>
    <w:rsid w:val="00836EAA"/>
    <w:rsid w:val="0083757E"/>
    <w:rsid w:val="0083763B"/>
    <w:rsid w:val="008376C1"/>
    <w:rsid w:val="00837D32"/>
    <w:rsid w:val="00837D5C"/>
    <w:rsid w:val="00837FA8"/>
    <w:rsid w:val="00837FAF"/>
    <w:rsid w:val="0084003D"/>
    <w:rsid w:val="008402B4"/>
    <w:rsid w:val="008403D8"/>
    <w:rsid w:val="00840604"/>
    <w:rsid w:val="008406A6"/>
    <w:rsid w:val="00840767"/>
    <w:rsid w:val="0084083C"/>
    <w:rsid w:val="00840945"/>
    <w:rsid w:val="00840D44"/>
    <w:rsid w:val="0084110D"/>
    <w:rsid w:val="008411A2"/>
    <w:rsid w:val="008412EF"/>
    <w:rsid w:val="00841462"/>
    <w:rsid w:val="008416D3"/>
    <w:rsid w:val="008417DB"/>
    <w:rsid w:val="00841B63"/>
    <w:rsid w:val="00841C4A"/>
    <w:rsid w:val="008420EB"/>
    <w:rsid w:val="00842308"/>
    <w:rsid w:val="008423B0"/>
    <w:rsid w:val="008423C3"/>
    <w:rsid w:val="008424EA"/>
    <w:rsid w:val="00842C90"/>
    <w:rsid w:val="00842DE8"/>
    <w:rsid w:val="00842EB9"/>
    <w:rsid w:val="00842EE2"/>
    <w:rsid w:val="0084300B"/>
    <w:rsid w:val="0084304D"/>
    <w:rsid w:val="00843118"/>
    <w:rsid w:val="0084337F"/>
    <w:rsid w:val="00843423"/>
    <w:rsid w:val="008435E3"/>
    <w:rsid w:val="00843677"/>
    <w:rsid w:val="00843943"/>
    <w:rsid w:val="008439ED"/>
    <w:rsid w:val="00843DE2"/>
    <w:rsid w:val="00843F15"/>
    <w:rsid w:val="0084403A"/>
    <w:rsid w:val="00844185"/>
    <w:rsid w:val="00844368"/>
    <w:rsid w:val="008445CC"/>
    <w:rsid w:val="0084491F"/>
    <w:rsid w:val="00844BD1"/>
    <w:rsid w:val="00844EE8"/>
    <w:rsid w:val="00845526"/>
    <w:rsid w:val="0084587F"/>
    <w:rsid w:val="00845973"/>
    <w:rsid w:val="00845C64"/>
    <w:rsid w:val="00845DC0"/>
    <w:rsid w:val="00846067"/>
    <w:rsid w:val="00846191"/>
    <w:rsid w:val="00846273"/>
    <w:rsid w:val="0084644E"/>
    <w:rsid w:val="008466A4"/>
    <w:rsid w:val="008469A7"/>
    <w:rsid w:val="0084700B"/>
    <w:rsid w:val="00847125"/>
    <w:rsid w:val="008475AA"/>
    <w:rsid w:val="0084763B"/>
    <w:rsid w:val="00847852"/>
    <w:rsid w:val="00847ACD"/>
    <w:rsid w:val="00847B5F"/>
    <w:rsid w:val="00847D6B"/>
    <w:rsid w:val="00847ECD"/>
    <w:rsid w:val="00847FCB"/>
    <w:rsid w:val="0085009A"/>
    <w:rsid w:val="00850199"/>
    <w:rsid w:val="008503DC"/>
    <w:rsid w:val="00850480"/>
    <w:rsid w:val="00850545"/>
    <w:rsid w:val="00850819"/>
    <w:rsid w:val="00850A0C"/>
    <w:rsid w:val="0085107D"/>
    <w:rsid w:val="00851652"/>
    <w:rsid w:val="00851A25"/>
    <w:rsid w:val="00851CB4"/>
    <w:rsid w:val="00851FEA"/>
    <w:rsid w:val="008520CE"/>
    <w:rsid w:val="008523EF"/>
    <w:rsid w:val="00852A6B"/>
    <w:rsid w:val="00852A97"/>
    <w:rsid w:val="00852B57"/>
    <w:rsid w:val="00852D75"/>
    <w:rsid w:val="00852DF8"/>
    <w:rsid w:val="00852F3A"/>
    <w:rsid w:val="00852F6A"/>
    <w:rsid w:val="00853140"/>
    <w:rsid w:val="00853164"/>
    <w:rsid w:val="00853258"/>
    <w:rsid w:val="0085330C"/>
    <w:rsid w:val="00853483"/>
    <w:rsid w:val="0085386A"/>
    <w:rsid w:val="00853897"/>
    <w:rsid w:val="00853A4B"/>
    <w:rsid w:val="00853B99"/>
    <w:rsid w:val="00853EAA"/>
    <w:rsid w:val="00854002"/>
    <w:rsid w:val="008543F5"/>
    <w:rsid w:val="00854635"/>
    <w:rsid w:val="0085482E"/>
    <w:rsid w:val="00854AE5"/>
    <w:rsid w:val="00854AEF"/>
    <w:rsid w:val="00854E58"/>
    <w:rsid w:val="008557B2"/>
    <w:rsid w:val="00855895"/>
    <w:rsid w:val="00855B7E"/>
    <w:rsid w:val="00855CF4"/>
    <w:rsid w:val="0085622C"/>
    <w:rsid w:val="0085624F"/>
    <w:rsid w:val="00856294"/>
    <w:rsid w:val="00856718"/>
    <w:rsid w:val="00856861"/>
    <w:rsid w:val="00856865"/>
    <w:rsid w:val="008568B1"/>
    <w:rsid w:val="00856CAA"/>
    <w:rsid w:val="00856D28"/>
    <w:rsid w:val="00856E16"/>
    <w:rsid w:val="00857923"/>
    <w:rsid w:val="00857CAC"/>
    <w:rsid w:val="00857D2C"/>
    <w:rsid w:val="008602E1"/>
    <w:rsid w:val="00860C12"/>
    <w:rsid w:val="00860C86"/>
    <w:rsid w:val="00860E2F"/>
    <w:rsid w:val="00860F8B"/>
    <w:rsid w:val="008618DB"/>
    <w:rsid w:val="0086199A"/>
    <w:rsid w:val="00861A1D"/>
    <w:rsid w:val="008622A8"/>
    <w:rsid w:val="008626D8"/>
    <w:rsid w:val="008628E6"/>
    <w:rsid w:val="008628F6"/>
    <w:rsid w:val="00862ED6"/>
    <w:rsid w:val="00862F34"/>
    <w:rsid w:val="00863305"/>
    <w:rsid w:val="00863574"/>
    <w:rsid w:val="008639BF"/>
    <w:rsid w:val="00863E96"/>
    <w:rsid w:val="00863F00"/>
    <w:rsid w:val="00864258"/>
    <w:rsid w:val="008645CC"/>
    <w:rsid w:val="008645CE"/>
    <w:rsid w:val="00864714"/>
    <w:rsid w:val="008647F9"/>
    <w:rsid w:val="0086544F"/>
    <w:rsid w:val="0086573A"/>
    <w:rsid w:val="00865942"/>
    <w:rsid w:val="008659A9"/>
    <w:rsid w:val="00865A0F"/>
    <w:rsid w:val="0086624B"/>
    <w:rsid w:val="008663E2"/>
    <w:rsid w:val="00866849"/>
    <w:rsid w:val="008668E2"/>
    <w:rsid w:val="00866CC5"/>
    <w:rsid w:val="00866D40"/>
    <w:rsid w:val="0086713C"/>
    <w:rsid w:val="00867258"/>
    <w:rsid w:val="00867273"/>
    <w:rsid w:val="008674A9"/>
    <w:rsid w:val="0086794F"/>
    <w:rsid w:val="00867B2B"/>
    <w:rsid w:val="00867F71"/>
    <w:rsid w:val="008702FA"/>
    <w:rsid w:val="008704BA"/>
    <w:rsid w:val="0087051E"/>
    <w:rsid w:val="00870979"/>
    <w:rsid w:val="00870B6D"/>
    <w:rsid w:val="00870C72"/>
    <w:rsid w:val="00870D55"/>
    <w:rsid w:val="00870F09"/>
    <w:rsid w:val="008710BA"/>
    <w:rsid w:val="008712CD"/>
    <w:rsid w:val="008716BB"/>
    <w:rsid w:val="00871A2A"/>
    <w:rsid w:val="00871A74"/>
    <w:rsid w:val="00871AAD"/>
    <w:rsid w:val="00871E2A"/>
    <w:rsid w:val="0087201E"/>
    <w:rsid w:val="00872416"/>
    <w:rsid w:val="0087254A"/>
    <w:rsid w:val="008726F5"/>
    <w:rsid w:val="008727D0"/>
    <w:rsid w:val="008727E2"/>
    <w:rsid w:val="0087294F"/>
    <w:rsid w:val="00872A0E"/>
    <w:rsid w:val="00872B62"/>
    <w:rsid w:val="00872C28"/>
    <w:rsid w:val="00872D75"/>
    <w:rsid w:val="00872F36"/>
    <w:rsid w:val="00872F9A"/>
    <w:rsid w:val="008730AA"/>
    <w:rsid w:val="008733C9"/>
    <w:rsid w:val="008735F2"/>
    <w:rsid w:val="00873866"/>
    <w:rsid w:val="00873B1B"/>
    <w:rsid w:val="00873EE5"/>
    <w:rsid w:val="00873F94"/>
    <w:rsid w:val="008740BB"/>
    <w:rsid w:val="00874407"/>
    <w:rsid w:val="008745FC"/>
    <w:rsid w:val="008746AF"/>
    <w:rsid w:val="00874855"/>
    <w:rsid w:val="008748D5"/>
    <w:rsid w:val="00874AE0"/>
    <w:rsid w:val="00874CA7"/>
    <w:rsid w:val="00874D12"/>
    <w:rsid w:val="00874F29"/>
    <w:rsid w:val="00874FD3"/>
    <w:rsid w:val="00875332"/>
    <w:rsid w:val="00875344"/>
    <w:rsid w:val="0087541B"/>
    <w:rsid w:val="0087562C"/>
    <w:rsid w:val="00875BEB"/>
    <w:rsid w:val="00875C85"/>
    <w:rsid w:val="00875F67"/>
    <w:rsid w:val="00876050"/>
    <w:rsid w:val="00876060"/>
    <w:rsid w:val="00876583"/>
    <w:rsid w:val="008767AA"/>
    <w:rsid w:val="008769AC"/>
    <w:rsid w:val="00876CC0"/>
    <w:rsid w:val="00876E8A"/>
    <w:rsid w:val="00877706"/>
    <w:rsid w:val="00877BAC"/>
    <w:rsid w:val="008801CA"/>
    <w:rsid w:val="0088038C"/>
    <w:rsid w:val="0088065C"/>
    <w:rsid w:val="00880805"/>
    <w:rsid w:val="00880943"/>
    <w:rsid w:val="008809A6"/>
    <w:rsid w:val="00880ADE"/>
    <w:rsid w:val="00880B40"/>
    <w:rsid w:val="00880D8D"/>
    <w:rsid w:val="00881368"/>
    <w:rsid w:val="0088156E"/>
    <w:rsid w:val="008815AA"/>
    <w:rsid w:val="008816A0"/>
    <w:rsid w:val="008816B3"/>
    <w:rsid w:val="00881895"/>
    <w:rsid w:val="008818AA"/>
    <w:rsid w:val="00881900"/>
    <w:rsid w:val="00881B31"/>
    <w:rsid w:val="00881F09"/>
    <w:rsid w:val="00881F55"/>
    <w:rsid w:val="00881F94"/>
    <w:rsid w:val="00881FE1"/>
    <w:rsid w:val="008820B4"/>
    <w:rsid w:val="008820D5"/>
    <w:rsid w:val="00882253"/>
    <w:rsid w:val="0088257F"/>
    <w:rsid w:val="00882D19"/>
    <w:rsid w:val="00882D6C"/>
    <w:rsid w:val="008830FD"/>
    <w:rsid w:val="00883398"/>
    <w:rsid w:val="008834B8"/>
    <w:rsid w:val="00883751"/>
    <w:rsid w:val="00884099"/>
    <w:rsid w:val="00884307"/>
    <w:rsid w:val="008844D6"/>
    <w:rsid w:val="00884809"/>
    <w:rsid w:val="00884B40"/>
    <w:rsid w:val="00884B4D"/>
    <w:rsid w:val="00884BCB"/>
    <w:rsid w:val="00884C4C"/>
    <w:rsid w:val="00884F20"/>
    <w:rsid w:val="00884FA5"/>
    <w:rsid w:val="008854B0"/>
    <w:rsid w:val="008857A8"/>
    <w:rsid w:val="00885A8A"/>
    <w:rsid w:val="00885EAB"/>
    <w:rsid w:val="0088654E"/>
    <w:rsid w:val="00886731"/>
    <w:rsid w:val="0088688C"/>
    <w:rsid w:val="00886A6E"/>
    <w:rsid w:val="00886C37"/>
    <w:rsid w:val="008877A0"/>
    <w:rsid w:val="00887831"/>
    <w:rsid w:val="00887B0A"/>
    <w:rsid w:val="00887EFB"/>
    <w:rsid w:val="0089008A"/>
    <w:rsid w:val="008902DF"/>
    <w:rsid w:val="008903B0"/>
    <w:rsid w:val="008903D3"/>
    <w:rsid w:val="008904F5"/>
    <w:rsid w:val="0089098C"/>
    <w:rsid w:val="00890B44"/>
    <w:rsid w:val="00890C10"/>
    <w:rsid w:val="00890F59"/>
    <w:rsid w:val="0089100E"/>
    <w:rsid w:val="00891179"/>
    <w:rsid w:val="00891568"/>
    <w:rsid w:val="00891B99"/>
    <w:rsid w:val="00891E50"/>
    <w:rsid w:val="00891F8A"/>
    <w:rsid w:val="008924B1"/>
    <w:rsid w:val="0089271E"/>
    <w:rsid w:val="008929A6"/>
    <w:rsid w:val="00892AAC"/>
    <w:rsid w:val="00892BCC"/>
    <w:rsid w:val="00892D76"/>
    <w:rsid w:val="00892DFA"/>
    <w:rsid w:val="00893172"/>
    <w:rsid w:val="00893414"/>
    <w:rsid w:val="008934A1"/>
    <w:rsid w:val="008934AE"/>
    <w:rsid w:val="00893520"/>
    <w:rsid w:val="008935D3"/>
    <w:rsid w:val="00893791"/>
    <w:rsid w:val="008938FD"/>
    <w:rsid w:val="00893BA7"/>
    <w:rsid w:val="00893BF3"/>
    <w:rsid w:val="0089417D"/>
    <w:rsid w:val="00894600"/>
    <w:rsid w:val="00894921"/>
    <w:rsid w:val="00894AB7"/>
    <w:rsid w:val="00894B62"/>
    <w:rsid w:val="00894CEB"/>
    <w:rsid w:val="00894DCD"/>
    <w:rsid w:val="00895025"/>
    <w:rsid w:val="008953A2"/>
    <w:rsid w:val="00895456"/>
    <w:rsid w:val="00895702"/>
    <w:rsid w:val="00895757"/>
    <w:rsid w:val="00895A66"/>
    <w:rsid w:val="00895ADE"/>
    <w:rsid w:val="00895CD2"/>
    <w:rsid w:val="00895DCC"/>
    <w:rsid w:val="0089603D"/>
    <w:rsid w:val="0089614F"/>
    <w:rsid w:val="0089619F"/>
    <w:rsid w:val="008961A3"/>
    <w:rsid w:val="008961BC"/>
    <w:rsid w:val="008962F9"/>
    <w:rsid w:val="008963BE"/>
    <w:rsid w:val="00896445"/>
    <w:rsid w:val="00896469"/>
    <w:rsid w:val="008967B6"/>
    <w:rsid w:val="00896AE1"/>
    <w:rsid w:val="00896BB3"/>
    <w:rsid w:val="00896F79"/>
    <w:rsid w:val="00897233"/>
    <w:rsid w:val="0089726D"/>
    <w:rsid w:val="00897375"/>
    <w:rsid w:val="008975A8"/>
    <w:rsid w:val="0089763F"/>
    <w:rsid w:val="00897690"/>
    <w:rsid w:val="008976BD"/>
    <w:rsid w:val="00897800"/>
    <w:rsid w:val="008978A4"/>
    <w:rsid w:val="00897CA3"/>
    <w:rsid w:val="00897E31"/>
    <w:rsid w:val="008A01FB"/>
    <w:rsid w:val="008A0322"/>
    <w:rsid w:val="008A03C7"/>
    <w:rsid w:val="008A089C"/>
    <w:rsid w:val="008A0ACC"/>
    <w:rsid w:val="008A0D4C"/>
    <w:rsid w:val="008A0E35"/>
    <w:rsid w:val="008A0EAD"/>
    <w:rsid w:val="008A10EB"/>
    <w:rsid w:val="008A13B3"/>
    <w:rsid w:val="008A1554"/>
    <w:rsid w:val="008A1637"/>
    <w:rsid w:val="008A1659"/>
    <w:rsid w:val="008A19E4"/>
    <w:rsid w:val="008A1CDC"/>
    <w:rsid w:val="008A212C"/>
    <w:rsid w:val="008A21D2"/>
    <w:rsid w:val="008A2216"/>
    <w:rsid w:val="008A22BF"/>
    <w:rsid w:val="008A22CD"/>
    <w:rsid w:val="008A2754"/>
    <w:rsid w:val="008A2A12"/>
    <w:rsid w:val="008A2A5E"/>
    <w:rsid w:val="008A2BA7"/>
    <w:rsid w:val="008A2EA1"/>
    <w:rsid w:val="008A3077"/>
    <w:rsid w:val="008A30E2"/>
    <w:rsid w:val="008A3562"/>
    <w:rsid w:val="008A394E"/>
    <w:rsid w:val="008A3DFB"/>
    <w:rsid w:val="008A4595"/>
    <w:rsid w:val="008A45E9"/>
    <w:rsid w:val="008A4922"/>
    <w:rsid w:val="008A4C6A"/>
    <w:rsid w:val="008A4CE9"/>
    <w:rsid w:val="008A4D05"/>
    <w:rsid w:val="008A4D21"/>
    <w:rsid w:val="008A51E4"/>
    <w:rsid w:val="008A5653"/>
    <w:rsid w:val="008A5BCA"/>
    <w:rsid w:val="008A5D28"/>
    <w:rsid w:val="008A6023"/>
    <w:rsid w:val="008A68E0"/>
    <w:rsid w:val="008A6C1E"/>
    <w:rsid w:val="008A731E"/>
    <w:rsid w:val="008A7F84"/>
    <w:rsid w:val="008A7F9E"/>
    <w:rsid w:val="008B014D"/>
    <w:rsid w:val="008B0983"/>
    <w:rsid w:val="008B0D8C"/>
    <w:rsid w:val="008B0FF1"/>
    <w:rsid w:val="008B1038"/>
    <w:rsid w:val="008B118D"/>
    <w:rsid w:val="008B15CB"/>
    <w:rsid w:val="008B19FA"/>
    <w:rsid w:val="008B1A90"/>
    <w:rsid w:val="008B1BCA"/>
    <w:rsid w:val="008B1DE2"/>
    <w:rsid w:val="008B1F39"/>
    <w:rsid w:val="008B1F8E"/>
    <w:rsid w:val="008B2133"/>
    <w:rsid w:val="008B22BD"/>
    <w:rsid w:val="008B2353"/>
    <w:rsid w:val="008B253A"/>
    <w:rsid w:val="008B2972"/>
    <w:rsid w:val="008B2B6B"/>
    <w:rsid w:val="008B2EB7"/>
    <w:rsid w:val="008B3135"/>
    <w:rsid w:val="008B3799"/>
    <w:rsid w:val="008B3AD4"/>
    <w:rsid w:val="008B3ADD"/>
    <w:rsid w:val="008B3BA4"/>
    <w:rsid w:val="008B3BB9"/>
    <w:rsid w:val="008B3C59"/>
    <w:rsid w:val="008B3D48"/>
    <w:rsid w:val="008B3DFE"/>
    <w:rsid w:val="008B3EDA"/>
    <w:rsid w:val="008B3F31"/>
    <w:rsid w:val="008B4384"/>
    <w:rsid w:val="008B45EB"/>
    <w:rsid w:val="008B4750"/>
    <w:rsid w:val="008B48B5"/>
    <w:rsid w:val="008B48D2"/>
    <w:rsid w:val="008B4B85"/>
    <w:rsid w:val="008B4D0B"/>
    <w:rsid w:val="008B4D77"/>
    <w:rsid w:val="008B4E14"/>
    <w:rsid w:val="008B4E4F"/>
    <w:rsid w:val="008B4EFD"/>
    <w:rsid w:val="008B4F6A"/>
    <w:rsid w:val="008B5174"/>
    <w:rsid w:val="008B54BD"/>
    <w:rsid w:val="008B5539"/>
    <w:rsid w:val="008B57FD"/>
    <w:rsid w:val="008B58E0"/>
    <w:rsid w:val="008B5E92"/>
    <w:rsid w:val="008B5EC8"/>
    <w:rsid w:val="008B6130"/>
    <w:rsid w:val="008B61AA"/>
    <w:rsid w:val="008B62F3"/>
    <w:rsid w:val="008B65B5"/>
    <w:rsid w:val="008B6707"/>
    <w:rsid w:val="008B6EAC"/>
    <w:rsid w:val="008B6FB0"/>
    <w:rsid w:val="008B70EE"/>
    <w:rsid w:val="008B7685"/>
    <w:rsid w:val="008B77C1"/>
    <w:rsid w:val="008B7C6C"/>
    <w:rsid w:val="008B7E99"/>
    <w:rsid w:val="008B7EC7"/>
    <w:rsid w:val="008C044E"/>
    <w:rsid w:val="008C05D3"/>
    <w:rsid w:val="008C0914"/>
    <w:rsid w:val="008C09D6"/>
    <w:rsid w:val="008C0A97"/>
    <w:rsid w:val="008C0F8C"/>
    <w:rsid w:val="008C0FF6"/>
    <w:rsid w:val="008C1162"/>
    <w:rsid w:val="008C133C"/>
    <w:rsid w:val="008C1626"/>
    <w:rsid w:val="008C167F"/>
    <w:rsid w:val="008C16B0"/>
    <w:rsid w:val="008C1877"/>
    <w:rsid w:val="008C1999"/>
    <w:rsid w:val="008C1ACD"/>
    <w:rsid w:val="008C20EA"/>
    <w:rsid w:val="008C226C"/>
    <w:rsid w:val="008C235F"/>
    <w:rsid w:val="008C2370"/>
    <w:rsid w:val="008C2B66"/>
    <w:rsid w:val="008C2CCB"/>
    <w:rsid w:val="008C2F5F"/>
    <w:rsid w:val="008C3262"/>
    <w:rsid w:val="008C32BD"/>
    <w:rsid w:val="008C34F9"/>
    <w:rsid w:val="008C36BF"/>
    <w:rsid w:val="008C3751"/>
    <w:rsid w:val="008C389A"/>
    <w:rsid w:val="008C38EB"/>
    <w:rsid w:val="008C3E24"/>
    <w:rsid w:val="008C402E"/>
    <w:rsid w:val="008C41F2"/>
    <w:rsid w:val="008C478F"/>
    <w:rsid w:val="008C4AA4"/>
    <w:rsid w:val="008C4C25"/>
    <w:rsid w:val="008C4E2D"/>
    <w:rsid w:val="008C4FCD"/>
    <w:rsid w:val="008C5A41"/>
    <w:rsid w:val="008C5B02"/>
    <w:rsid w:val="008C5B74"/>
    <w:rsid w:val="008C5BDB"/>
    <w:rsid w:val="008C6179"/>
    <w:rsid w:val="008C6417"/>
    <w:rsid w:val="008C65F6"/>
    <w:rsid w:val="008C68A7"/>
    <w:rsid w:val="008C6BC6"/>
    <w:rsid w:val="008C713C"/>
    <w:rsid w:val="008C727E"/>
    <w:rsid w:val="008C74E3"/>
    <w:rsid w:val="008C7520"/>
    <w:rsid w:val="008C7594"/>
    <w:rsid w:val="008C75AA"/>
    <w:rsid w:val="008C762B"/>
    <w:rsid w:val="008C76EE"/>
    <w:rsid w:val="008C78EE"/>
    <w:rsid w:val="008C7E14"/>
    <w:rsid w:val="008D0202"/>
    <w:rsid w:val="008D0557"/>
    <w:rsid w:val="008D069C"/>
    <w:rsid w:val="008D07D2"/>
    <w:rsid w:val="008D086A"/>
    <w:rsid w:val="008D087D"/>
    <w:rsid w:val="008D0E84"/>
    <w:rsid w:val="008D0EA5"/>
    <w:rsid w:val="008D12B2"/>
    <w:rsid w:val="008D13A7"/>
    <w:rsid w:val="008D1716"/>
    <w:rsid w:val="008D17A8"/>
    <w:rsid w:val="008D1B64"/>
    <w:rsid w:val="008D1CCD"/>
    <w:rsid w:val="008D1E8A"/>
    <w:rsid w:val="008D20AE"/>
    <w:rsid w:val="008D20D5"/>
    <w:rsid w:val="008D22A4"/>
    <w:rsid w:val="008D22C4"/>
    <w:rsid w:val="008D2325"/>
    <w:rsid w:val="008D2352"/>
    <w:rsid w:val="008D250A"/>
    <w:rsid w:val="008D2739"/>
    <w:rsid w:val="008D28C4"/>
    <w:rsid w:val="008D28C5"/>
    <w:rsid w:val="008D2A3D"/>
    <w:rsid w:val="008D2B7D"/>
    <w:rsid w:val="008D2BAE"/>
    <w:rsid w:val="008D2C1A"/>
    <w:rsid w:val="008D2F0E"/>
    <w:rsid w:val="008D2F62"/>
    <w:rsid w:val="008D33B3"/>
    <w:rsid w:val="008D35DE"/>
    <w:rsid w:val="008D36E6"/>
    <w:rsid w:val="008D401D"/>
    <w:rsid w:val="008D41CA"/>
    <w:rsid w:val="008D45D8"/>
    <w:rsid w:val="008D483B"/>
    <w:rsid w:val="008D4907"/>
    <w:rsid w:val="008D49BD"/>
    <w:rsid w:val="008D502A"/>
    <w:rsid w:val="008D50A6"/>
    <w:rsid w:val="008D51D3"/>
    <w:rsid w:val="008D5371"/>
    <w:rsid w:val="008D5415"/>
    <w:rsid w:val="008D554D"/>
    <w:rsid w:val="008D57E9"/>
    <w:rsid w:val="008D5CAB"/>
    <w:rsid w:val="008D5EFA"/>
    <w:rsid w:val="008D63C1"/>
    <w:rsid w:val="008D6453"/>
    <w:rsid w:val="008D6A06"/>
    <w:rsid w:val="008D6DB7"/>
    <w:rsid w:val="008D6DC7"/>
    <w:rsid w:val="008D6DDE"/>
    <w:rsid w:val="008D6ED0"/>
    <w:rsid w:val="008D6F2B"/>
    <w:rsid w:val="008D6F32"/>
    <w:rsid w:val="008D7116"/>
    <w:rsid w:val="008D71AE"/>
    <w:rsid w:val="008D723A"/>
    <w:rsid w:val="008D7896"/>
    <w:rsid w:val="008D78E4"/>
    <w:rsid w:val="008D793E"/>
    <w:rsid w:val="008D7966"/>
    <w:rsid w:val="008D7ACE"/>
    <w:rsid w:val="008D7C14"/>
    <w:rsid w:val="008E01D7"/>
    <w:rsid w:val="008E026C"/>
    <w:rsid w:val="008E04B4"/>
    <w:rsid w:val="008E0699"/>
    <w:rsid w:val="008E0BFB"/>
    <w:rsid w:val="008E0D93"/>
    <w:rsid w:val="008E0DBD"/>
    <w:rsid w:val="008E107E"/>
    <w:rsid w:val="008E11D2"/>
    <w:rsid w:val="008E1202"/>
    <w:rsid w:val="008E1250"/>
    <w:rsid w:val="008E138E"/>
    <w:rsid w:val="008E13A7"/>
    <w:rsid w:val="008E140F"/>
    <w:rsid w:val="008E15A6"/>
    <w:rsid w:val="008E1C0C"/>
    <w:rsid w:val="008E1F41"/>
    <w:rsid w:val="008E2500"/>
    <w:rsid w:val="008E2581"/>
    <w:rsid w:val="008E26AE"/>
    <w:rsid w:val="008E275C"/>
    <w:rsid w:val="008E279B"/>
    <w:rsid w:val="008E28DC"/>
    <w:rsid w:val="008E2B3B"/>
    <w:rsid w:val="008E2F1E"/>
    <w:rsid w:val="008E2F2F"/>
    <w:rsid w:val="008E31D9"/>
    <w:rsid w:val="008E34E6"/>
    <w:rsid w:val="008E378C"/>
    <w:rsid w:val="008E3855"/>
    <w:rsid w:val="008E3D82"/>
    <w:rsid w:val="008E414A"/>
    <w:rsid w:val="008E41AB"/>
    <w:rsid w:val="008E433A"/>
    <w:rsid w:val="008E45EA"/>
    <w:rsid w:val="008E4669"/>
    <w:rsid w:val="008E4B6D"/>
    <w:rsid w:val="008E4E75"/>
    <w:rsid w:val="008E5A67"/>
    <w:rsid w:val="008E5BAF"/>
    <w:rsid w:val="008E6590"/>
    <w:rsid w:val="008E67C3"/>
    <w:rsid w:val="008E6D93"/>
    <w:rsid w:val="008E6DCD"/>
    <w:rsid w:val="008E73AE"/>
    <w:rsid w:val="008E73B8"/>
    <w:rsid w:val="008E7422"/>
    <w:rsid w:val="008E75B9"/>
    <w:rsid w:val="008E7C57"/>
    <w:rsid w:val="008E7E75"/>
    <w:rsid w:val="008F0166"/>
    <w:rsid w:val="008F0218"/>
    <w:rsid w:val="008F02C1"/>
    <w:rsid w:val="008F038B"/>
    <w:rsid w:val="008F03BA"/>
    <w:rsid w:val="008F050F"/>
    <w:rsid w:val="008F057E"/>
    <w:rsid w:val="008F0682"/>
    <w:rsid w:val="008F0A0D"/>
    <w:rsid w:val="008F0B3F"/>
    <w:rsid w:val="008F0D2F"/>
    <w:rsid w:val="008F0F44"/>
    <w:rsid w:val="008F1347"/>
    <w:rsid w:val="008F14E1"/>
    <w:rsid w:val="008F1557"/>
    <w:rsid w:val="008F15B4"/>
    <w:rsid w:val="008F1B22"/>
    <w:rsid w:val="008F2139"/>
    <w:rsid w:val="008F2274"/>
    <w:rsid w:val="008F2308"/>
    <w:rsid w:val="008F25A9"/>
    <w:rsid w:val="008F28D8"/>
    <w:rsid w:val="008F29DE"/>
    <w:rsid w:val="008F2B02"/>
    <w:rsid w:val="008F2D46"/>
    <w:rsid w:val="008F2E5F"/>
    <w:rsid w:val="008F31F1"/>
    <w:rsid w:val="008F3566"/>
    <w:rsid w:val="008F367D"/>
    <w:rsid w:val="008F39AB"/>
    <w:rsid w:val="008F39CC"/>
    <w:rsid w:val="008F3CE5"/>
    <w:rsid w:val="008F3D32"/>
    <w:rsid w:val="008F4576"/>
    <w:rsid w:val="008F45AC"/>
    <w:rsid w:val="008F47D3"/>
    <w:rsid w:val="008F4822"/>
    <w:rsid w:val="008F4B57"/>
    <w:rsid w:val="008F4B86"/>
    <w:rsid w:val="008F4BED"/>
    <w:rsid w:val="008F4D26"/>
    <w:rsid w:val="008F5194"/>
    <w:rsid w:val="008F5309"/>
    <w:rsid w:val="008F5768"/>
    <w:rsid w:val="008F5B07"/>
    <w:rsid w:val="008F5CE4"/>
    <w:rsid w:val="008F5F8C"/>
    <w:rsid w:val="008F639B"/>
    <w:rsid w:val="008F63F2"/>
    <w:rsid w:val="008F64BE"/>
    <w:rsid w:val="008F6598"/>
    <w:rsid w:val="008F6A85"/>
    <w:rsid w:val="008F6CE1"/>
    <w:rsid w:val="008F6DAA"/>
    <w:rsid w:val="008F6ECA"/>
    <w:rsid w:val="008F6F05"/>
    <w:rsid w:val="008F702D"/>
    <w:rsid w:val="008F770C"/>
    <w:rsid w:val="008F7848"/>
    <w:rsid w:val="008F78B9"/>
    <w:rsid w:val="008F798C"/>
    <w:rsid w:val="008F79A0"/>
    <w:rsid w:val="008F7CCE"/>
    <w:rsid w:val="008F7E4E"/>
    <w:rsid w:val="008F7FF8"/>
    <w:rsid w:val="00900358"/>
    <w:rsid w:val="00900625"/>
    <w:rsid w:val="00900679"/>
    <w:rsid w:val="00900700"/>
    <w:rsid w:val="00900C30"/>
    <w:rsid w:val="00900E01"/>
    <w:rsid w:val="00901586"/>
    <w:rsid w:val="009016F9"/>
    <w:rsid w:val="009017A6"/>
    <w:rsid w:val="00901960"/>
    <w:rsid w:val="00901D3C"/>
    <w:rsid w:val="00901FF0"/>
    <w:rsid w:val="009020DC"/>
    <w:rsid w:val="0090222A"/>
    <w:rsid w:val="00902773"/>
    <w:rsid w:val="00902784"/>
    <w:rsid w:val="009029FD"/>
    <w:rsid w:val="00902D27"/>
    <w:rsid w:val="00902D82"/>
    <w:rsid w:val="00902F69"/>
    <w:rsid w:val="00902FAF"/>
    <w:rsid w:val="0090318B"/>
    <w:rsid w:val="00903348"/>
    <w:rsid w:val="0090341D"/>
    <w:rsid w:val="00903438"/>
    <w:rsid w:val="009034AA"/>
    <w:rsid w:val="009035CD"/>
    <w:rsid w:val="009036AF"/>
    <w:rsid w:val="009038EE"/>
    <w:rsid w:val="00903C89"/>
    <w:rsid w:val="00903D1A"/>
    <w:rsid w:val="00903D21"/>
    <w:rsid w:val="009041AA"/>
    <w:rsid w:val="009045FA"/>
    <w:rsid w:val="009047AE"/>
    <w:rsid w:val="00904880"/>
    <w:rsid w:val="00904AFD"/>
    <w:rsid w:val="00904BA3"/>
    <w:rsid w:val="009052D5"/>
    <w:rsid w:val="00905345"/>
    <w:rsid w:val="009054E6"/>
    <w:rsid w:val="0090564C"/>
    <w:rsid w:val="00905674"/>
    <w:rsid w:val="0090572D"/>
    <w:rsid w:val="00905733"/>
    <w:rsid w:val="00905780"/>
    <w:rsid w:val="009057EA"/>
    <w:rsid w:val="00905905"/>
    <w:rsid w:val="009059DD"/>
    <w:rsid w:val="00905CC6"/>
    <w:rsid w:val="00905E19"/>
    <w:rsid w:val="00905E68"/>
    <w:rsid w:val="00905EA7"/>
    <w:rsid w:val="00906393"/>
    <w:rsid w:val="009066EC"/>
    <w:rsid w:val="00906A2F"/>
    <w:rsid w:val="00906B20"/>
    <w:rsid w:val="00906FE9"/>
    <w:rsid w:val="009070E7"/>
    <w:rsid w:val="009071FE"/>
    <w:rsid w:val="00907296"/>
    <w:rsid w:val="00907302"/>
    <w:rsid w:val="009074E1"/>
    <w:rsid w:val="009076AC"/>
    <w:rsid w:val="009076EA"/>
    <w:rsid w:val="0090786A"/>
    <w:rsid w:val="00907A10"/>
    <w:rsid w:val="00907AE8"/>
    <w:rsid w:val="00907B8F"/>
    <w:rsid w:val="0091020F"/>
    <w:rsid w:val="00910311"/>
    <w:rsid w:val="0091047E"/>
    <w:rsid w:val="009105CD"/>
    <w:rsid w:val="0091098C"/>
    <w:rsid w:val="00910AB2"/>
    <w:rsid w:val="00910E5E"/>
    <w:rsid w:val="00910F07"/>
    <w:rsid w:val="0091105C"/>
    <w:rsid w:val="0091109F"/>
    <w:rsid w:val="0091120D"/>
    <w:rsid w:val="0091128C"/>
    <w:rsid w:val="009112B9"/>
    <w:rsid w:val="0091150E"/>
    <w:rsid w:val="0091168C"/>
    <w:rsid w:val="00911743"/>
    <w:rsid w:val="0091182D"/>
    <w:rsid w:val="0091188B"/>
    <w:rsid w:val="009119A8"/>
    <w:rsid w:val="00911B63"/>
    <w:rsid w:val="00911C6A"/>
    <w:rsid w:val="00911D15"/>
    <w:rsid w:val="00911E40"/>
    <w:rsid w:val="00912064"/>
    <w:rsid w:val="00912234"/>
    <w:rsid w:val="00912410"/>
    <w:rsid w:val="00912769"/>
    <w:rsid w:val="009128F2"/>
    <w:rsid w:val="00912A10"/>
    <w:rsid w:val="00912A80"/>
    <w:rsid w:val="00912BC7"/>
    <w:rsid w:val="00913148"/>
    <w:rsid w:val="009134F7"/>
    <w:rsid w:val="0091355B"/>
    <w:rsid w:val="0091386E"/>
    <w:rsid w:val="009139B0"/>
    <w:rsid w:val="00913A9C"/>
    <w:rsid w:val="00913B81"/>
    <w:rsid w:val="00913C85"/>
    <w:rsid w:val="00913CD2"/>
    <w:rsid w:val="00913CF1"/>
    <w:rsid w:val="00913DF6"/>
    <w:rsid w:val="00913E19"/>
    <w:rsid w:val="009141CE"/>
    <w:rsid w:val="0091426A"/>
    <w:rsid w:val="009142EB"/>
    <w:rsid w:val="00914427"/>
    <w:rsid w:val="009144E2"/>
    <w:rsid w:val="0091484D"/>
    <w:rsid w:val="00914908"/>
    <w:rsid w:val="00914A28"/>
    <w:rsid w:val="00914C55"/>
    <w:rsid w:val="00914F7E"/>
    <w:rsid w:val="00914FF7"/>
    <w:rsid w:val="009150F4"/>
    <w:rsid w:val="009152DE"/>
    <w:rsid w:val="0091543E"/>
    <w:rsid w:val="00915591"/>
    <w:rsid w:val="00915874"/>
    <w:rsid w:val="0091589D"/>
    <w:rsid w:val="009159A8"/>
    <w:rsid w:val="00915AD3"/>
    <w:rsid w:val="00915CCA"/>
    <w:rsid w:val="00915DBF"/>
    <w:rsid w:val="009165B9"/>
    <w:rsid w:val="009166AC"/>
    <w:rsid w:val="00916871"/>
    <w:rsid w:val="00916A0A"/>
    <w:rsid w:val="00916BDF"/>
    <w:rsid w:val="00916CE0"/>
    <w:rsid w:val="00916FD2"/>
    <w:rsid w:val="0091735A"/>
    <w:rsid w:val="0091777A"/>
    <w:rsid w:val="00917809"/>
    <w:rsid w:val="009178E3"/>
    <w:rsid w:val="00917C35"/>
    <w:rsid w:val="0092015F"/>
    <w:rsid w:val="00920188"/>
    <w:rsid w:val="009201E7"/>
    <w:rsid w:val="009202A3"/>
    <w:rsid w:val="00920455"/>
    <w:rsid w:val="009206BA"/>
    <w:rsid w:val="009207F1"/>
    <w:rsid w:val="00920C2F"/>
    <w:rsid w:val="00920C4E"/>
    <w:rsid w:val="009211B5"/>
    <w:rsid w:val="00921419"/>
    <w:rsid w:val="00921535"/>
    <w:rsid w:val="0092163A"/>
    <w:rsid w:val="00921E6B"/>
    <w:rsid w:val="00922094"/>
    <w:rsid w:val="00922761"/>
    <w:rsid w:val="009229F7"/>
    <w:rsid w:val="00922A79"/>
    <w:rsid w:val="00922E21"/>
    <w:rsid w:val="0092332F"/>
    <w:rsid w:val="00923377"/>
    <w:rsid w:val="00923551"/>
    <w:rsid w:val="00923553"/>
    <w:rsid w:val="009235EE"/>
    <w:rsid w:val="00923818"/>
    <w:rsid w:val="009238E3"/>
    <w:rsid w:val="009239E6"/>
    <w:rsid w:val="00923AD7"/>
    <w:rsid w:val="00923F3B"/>
    <w:rsid w:val="00923F9F"/>
    <w:rsid w:val="009241BB"/>
    <w:rsid w:val="00924421"/>
    <w:rsid w:val="0092470A"/>
    <w:rsid w:val="0092475F"/>
    <w:rsid w:val="0092478F"/>
    <w:rsid w:val="00924883"/>
    <w:rsid w:val="0092496B"/>
    <w:rsid w:val="00924A82"/>
    <w:rsid w:val="00924E81"/>
    <w:rsid w:val="00925145"/>
    <w:rsid w:val="00925200"/>
    <w:rsid w:val="00925371"/>
    <w:rsid w:val="0092589A"/>
    <w:rsid w:val="00925C1A"/>
    <w:rsid w:val="00926063"/>
    <w:rsid w:val="009263AA"/>
    <w:rsid w:val="009264EC"/>
    <w:rsid w:val="00926653"/>
    <w:rsid w:val="00926FD3"/>
    <w:rsid w:val="00927012"/>
    <w:rsid w:val="00927048"/>
    <w:rsid w:val="00927154"/>
    <w:rsid w:val="009272E1"/>
    <w:rsid w:val="009273E7"/>
    <w:rsid w:val="00927556"/>
    <w:rsid w:val="009276F8"/>
    <w:rsid w:val="009277E8"/>
    <w:rsid w:val="009279DF"/>
    <w:rsid w:val="00927A2F"/>
    <w:rsid w:val="00927BC8"/>
    <w:rsid w:val="009302ED"/>
    <w:rsid w:val="00930381"/>
    <w:rsid w:val="009308B9"/>
    <w:rsid w:val="009308E7"/>
    <w:rsid w:val="00930BF3"/>
    <w:rsid w:val="00930C4D"/>
    <w:rsid w:val="00930CEF"/>
    <w:rsid w:val="00930CFC"/>
    <w:rsid w:val="00930F93"/>
    <w:rsid w:val="0093127F"/>
    <w:rsid w:val="00931382"/>
    <w:rsid w:val="009314A6"/>
    <w:rsid w:val="0093158B"/>
    <w:rsid w:val="0093161F"/>
    <w:rsid w:val="009317A9"/>
    <w:rsid w:val="00931ECE"/>
    <w:rsid w:val="00931FF0"/>
    <w:rsid w:val="009322CB"/>
    <w:rsid w:val="00932478"/>
    <w:rsid w:val="00932747"/>
    <w:rsid w:val="00932CC6"/>
    <w:rsid w:val="00932E0B"/>
    <w:rsid w:val="00932FC2"/>
    <w:rsid w:val="00932FCB"/>
    <w:rsid w:val="00933067"/>
    <w:rsid w:val="00933166"/>
    <w:rsid w:val="0093322F"/>
    <w:rsid w:val="009332CB"/>
    <w:rsid w:val="009335CC"/>
    <w:rsid w:val="009336DA"/>
    <w:rsid w:val="00933726"/>
    <w:rsid w:val="0093372F"/>
    <w:rsid w:val="009338B2"/>
    <w:rsid w:val="00933B8F"/>
    <w:rsid w:val="00933E8B"/>
    <w:rsid w:val="0093410F"/>
    <w:rsid w:val="009342F0"/>
    <w:rsid w:val="009343C3"/>
    <w:rsid w:val="0093482E"/>
    <w:rsid w:val="009349EA"/>
    <w:rsid w:val="00934C90"/>
    <w:rsid w:val="00934D50"/>
    <w:rsid w:val="00934D95"/>
    <w:rsid w:val="00934F91"/>
    <w:rsid w:val="00934FA0"/>
    <w:rsid w:val="00935117"/>
    <w:rsid w:val="0093537C"/>
    <w:rsid w:val="00935395"/>
    <w:rsid w:val="0093561F"/>
    <w:rsid w:val="00935887"/>
    <w:rsid w:val="00935E0D"/>
    <w:rsid w:val="00935EEE"/>
    <w:rsid w:val="00935F89"/>
    <w:rsid w:val="0093615A"/>
    <w:rsid w:val="0093620A"/>
    <w:rsid w:val="009365A8"/>
    <w:rsid w:val="009367B2"/>
    <w:rsid w:val="009367DC"/>
    <w:rsid w:val="009369B7"/>
    <w:rsid w:val="00936AE6"/>
    <w:rsid w:val="00936B7E"/>
    <w:rsid w:val="00936C07"/>
    <w:rsid w:val="00936C76"/>
    <w:rsid w:val="00936EF1"/>
    <w:rsid w:val="0093713B"/>
    <w:rsid w:val="0093723F"/>
    <w:rsid w:val="00937291"/>
    <w:rsid w:val="00937505"/>
    <w:rsid w:val="00937646"/>
    <w:rsid w:val="00937683"/>
    <w:rsid w:val="00937687"/>
    <w:rsid w:val="00937724"/>
    <w:rsid w:val="00937840"/>
    <w:rsid w:val="009379EB"/>
    <w:rsid w:val="00937C3E"/>
    <w:rsid w:val="00937E96"/>
    <w:rsid w:val="00937FE9"/>
    <w:rsid w:val="00937FFD"/>
    <w:rsid w:val="009402C8"/>
    <w:rsid w:val="009406FA"/>
    <w:rsid w:val="00940808"/>
    <w:rsid w:val="00940BE3"/>
    <w:rsid w:val="00940C3A"/>
    <w:rsid w:val="00940ED6"/>
    <w:rsid w:val="00940F2F"/>
    <w:rsid w:val="009414AC"/>
    <w:rsid w:val="00941704"/>
    <w:rsid w:val="00941827"/>
    <w:rsid w:val="00941AD8"/>
    <w:rsid w:val="00941D12"/>
    <w:rsid w:val="00941E59"/>
    <w:rsid w:val="00941F1C"/>
    <w:rsid w:val="009420F7"/>
    <w:rsid w:val="009427FB"/>
    <w:rsid w:val="009429A1"/>
    <w:rsid w:val="00942A16"/>
    <w:rsid w:val="00942C21"/>
    <w:rsid w:val="00942C4A"/>
    <w:rsid w:val="00942EE7"/>
    <w:rsid w:val="009430C3"/>
    <w:rsid w:val="00943508"/>
    <w:rsid w:val="00943A83"/>
    <w:rsid w:val="00943E29"/>
    <w:rsid w:val="00944585"/>
    <w:rsid w:val="0094458C"/>
    <w:rsid w:val="00944AD1"/>
    <w:rsid w:val="00944C91"/>
    <w:rsid w:val="00944D54"/>
    <w:rsid w:val="00944EE9"/>
    <w:rsid w:val="00945010"/>
    <w:rsid w:val="00945314"/>
    <w:rsid w:val="00945437"/>
    <w:rsid w:val="009455B3"/>
    <w:rsid w:val="00945865"/>
    <w:rsid w:val="00945A17"/>
    <w:rsid w:val="009464D5"/>
    <w:rsid w:val="00946834"/>
    <w:rsid w:val="00946AF1"/>
    <w:rsid w:val="00946CAE"/>
    <w:rsid w:val="00946CE5"/>
    <w:rsid w:val="00946D6D"/>
    <w:rsid w:val="00946F38"/>
    <w:rsid w:val="00947400"/>
    <w:rsid w:val="00947984"/>
    <w:rsid w:val="009479AC"/>
    <w:rsid w:val="009479AE"/>
    <w:rsid w:val="00950246"/>
    <w:rsid w:val="009504A0"/>
    <w:rsid w:val="009506AB"/>
    <w:rsid w:val="009507ED"/>
    <w:rsid w:val="009508E1"/>
    <w:rsid w:val="009508FB"/>
    <w:rsid w:val="00950A17"/>
    <w:rsid w:val="0095105A"/>
    <w:rsid w:val="0095123E"/>
    <w:rsid w:val="009513BB"/>
    <w:rsid w:val="00951659"/>
    <w:rsid w:val="009518F0"/>
    <w:rsid w:val="00951A34"/>
    <w:rsid w:val="00951EC4"/>
    <w:rsid w:val="00952024"/>
    <w:rsid w:val="0095202E"/>
    <w:rsid w:val="0095206E"/>
    <w:rsid w:val="009524F9"/>
    <w:rsid w:val="0095250F"/>
    <w:rsid w:val="009527F2"/>
    <w:rsid w:val="00952930"/>
    <w:rsid w:val="00952CDE"/>
    <w:rsid w:val="0095352B"/>
    <w:rsid w:val="00953691"/>
    <w:rsid w:val="00954010"/>
    <w:rsid w:val="00954077"/>
    <w:rsid w:val="009544A7"/>
    <w:rsid w:val="00954E0A"/>
    <w:rsid w:val="00954FC1"/>
    <w:rsid w:val="00955118"/>
    <w:rsid w:val="009551E3"/>
    <w:rsid w:val="009551FD"/>
    <w:rsid w:val="00955297"/>
    <w:rsid w:val="009557B7"/>
    <w:rsid w:val="00955A5C"/>
    <w:rsid w:val="00955B2C"/>
    <w:rsid w:val="00955C39"/>
    <w:rsid w:val="00955DAF"/>
    <w:rsid w:val="00955DC9"/>
    <w:rsid w:val="00955EDD"/>
    <w:rsid w:val="00955EF8"/>
    <w:rsid w:val="009566EA"/>
    <w:rsid w:val="00956A23"/>
    <w:rsid w:val="00956E23"/>
    <w:rsid w:val="00957056"/>
    <w:rsid w:val="009574A1"/>
    <w:rsid w:val="0095758F"/>
    <w:rsid w:val="009575B1"/>
    <w:rsid w:val="00957AA4"/>
    <w:rsid w:val="00957F6E"/>
    <w:rsid w:val="00960738"/>
    <w:rsid w:val="0096094A"/>
    <w:rsid w:val="00960A04"/>
    <w:rsid w:val="00960AC5"/>
    <w:rsid w:val="00960CD1"/>
    <w:rsid w:val="00960D70"/>
    <w:rsid w:val="00960DA6"/>
    <w:rsid w:val="00960DE5"/>
    <w:rsid w:val="00960E01"/>
    <w:rsid w:val="00961049"/>
    <w:rsid w:val="00961112"/>
    <w:rsid w:val="009615A5"/>
    <w:rsid w:val="0096162B"/>
    <w:rsid w:val="00961A0E"/>
    <w:rsid w:val="00961D03"/>
    <w:rsid w:val="009624B8"/>
    <w:rsid w:val="009624E7"/>
    <w:rsid w:val="00962812"/>
    <w:rsid w:val="00962920"/>
    <w:rsid w:val="00962B31"/>
    <w:rsid w:val="00962C77"/>
    <w:rsid w:val="00962F58"/>
    <w:rsid w:val="00963329"/>
    <w:rsid w:val="0096343F"/>
    <w:rsid w:val="00963824"/>
    <w:rsid w:val="0096390E"/>
    <w:rsid w:val="0096392A"/>
    <w:rsid w:val="00963AF1"/>
    <w:rsid w:val="00963D2E"/>
    <w:rsid w:val="00963EB2"/>
    <w:rsid w:val="0096412E"/>
    <w:rsid w:val="0096427B"/>
    <w:rsid w:val="009645F4"/>
    <w:rsid w:val="00964704"/>
    <w:rsid w:val="0096499C"/>
    <w:rsid w:val="00964B2D"/>
    <w:rsid w:val="00964C8E"/>
    <w:rsid w:val="00964E7D"/>
    <w:rsid w:val="00964EA6"/>
    <w:rsid w:val="00964F26"/>
    <w:rsid w:val="00965349"/>
    <w:rsid w:val="0096554E"/>
    <w:rsid w:val="009655AA"/>
    <w:rsid w:val="009656C8"/>
    <w:rsid w:val="00965CC8"/>
    <w:rsid w:val="00966182"/>
    <w:rsid w:val="009661FC"/>
    <w:rsid w:val="009662E4"/>
    <w:rsid w:val="00966888"/>
    <w:rsid w:val="00966A19"/>
    <w:rsid w:val="00966FE4"/>
    <w:rsid w:val="00967289"/>
    <w:rsid w:val="009674CC"/>
    <w:rsid w:val="009677EC"/>
    <w:rsid w:val="00967A4C"/>
    <w:rsid w:val="00967A61"/>
    <w:rsid w:val="00967A82"/>
    <w:rsid w:val="00967B81"/>
    <w:rsid w:val="00967D92"/>
    <w:rsid w:val="00967F88"/>
    <w:rsid w:val="009700E7"/>
    <w:rsid w:val="00970499"/>
    <w:rsid w:val="009709DC"/>
    <w:rsid w:val="00970B16"/>
    <w:rsid w:val="00970B7D"/>
    <w:rsid w:val="00970D7D"/>
    <w:rsid w:val="00970DA3"/>
    <w:rsid w:val="00970E0D"/>
    <w:rsid w:val="00971399"/>
    <w:rsid w:val="009713FB"/>
    <w:rsid w:val="009714BF"/>
    <w:rsid w:val="009714C8"/>
    <w:rsid w:val="0097185B"/>
    <w:rsid w:val="00971A32"/>
    <w:rsid w:val="00971CE9"/>
    <w:rsid w:val="00971D1C"/>
    <w:rsid w:val="00971E76"/>
    <w:rsid w:val="00971F7F"/>
    <w:rsid w:val="00972080"/>
    <w:rsid w:val="0097224F"/>
    <w:rsid w:val="0097250E"/>
    <w:rsid w:val="0097273F"/>
    <w:rsid w:val="00972890"/>
    <w:rsid w:val="00972893"/>
    <w:rsid w:val="00972A24"/>
    <w:rsid w:val="00972B51"/>
    <w:rsid w:val="00972D0C"/>
    <w:rsid w:val="00972DAA"/>
    <w:rsid w:val="00972EC3"/>
    <w:rsid w:val="00973240"/>
    <w:rsid w:val="009733FF"/>
    <w:rsid w:val="0097360E"/>
    <w:rsid w:val="00973826"/>
    <w:rsid w:val="00973AE9"/>
    <w:rsid w:val="00973B1E"/>
    <w:rsid w:val="00973B42"/>
    <w:rsid w:val="00973B90"/>
    <w:rsid w:val="00973C01"/>
    <w:rsid w:val="00973E71"/>
    <w:rsid w:val="00973ECF"/>
    <w:rsid w:val="00973FBC"/>
    <w:rsid w:val="009745A9"/>
    <w:rsid w:val="00974766"/>
    <w:rsid w:val="00974CAF"/>
    <w:rsid w:val="009751D4"/>
    <w:rsid w:val="00975220"/>
    <w:rsid w:val="00975480"/>
    <w:rsid w:val="00975A93"/>
    <w:rsid w:val="00975C62"/>
    <w:rsid w:val="00975F70"/>
    <w:rsid w:val="009765C4"/>
    <w:rsid w:val="00976989"/>
    <w:rsid w:val="00976A0C"/>
    <w:rsid w:val="00976D26"/>
    <w:rsid w:val="00976E72"/>
    <w:rsid w:val="00976FA7"/>
    <w:rsid w:val="00977086"/>
    <w:rsid w:val="00977554"/>
    <w:rsid w:val="0097789D"/>
    <w:rsid w:val="009778FE"/>
    <w:rsid w:val="00977EA6"/>
    <w:rsid w:val="00977FAC"/>
    <w:rsid w:val="00980275"/>
    <w:rsid w:val="00980317"/>
    <w:rsid w:val="00980365"/>
    <w:rsid w:val="00980466"/>
    <w:rsid w:val="0098053C"/>
    <w:rsid w:val="009805EF"/>
    <w:rsid w:val="00980F19"/>
    <w:rsid w:val="00981256"/>
    <w:rsid w:val="0098138A"/>
    <w:rsid w:val="009813D5"/>
    <w:rsid w:val="009814D1"/>
    <w:rsid w:val="00981905"/>
    <w:rsid w:val="00981A29"/>
    <w:rsid w:val="00981B1A"/>
    <w:rsid w:val="00981E1A"/>
    <w:rsid w:val="0098219F"/>
    <w:rsid w:val="00982386"/>
    <w:rsid w:val="009823B8"/>
    <w:rsid w:val="009825D9"/>
    <w:rsid w:val="009825E6"/>
    <w:rsid w:val="009827E5"/>
    <w:rsid w:val="00982976"/>
    <w:rsid w:val="00982BCE"/>
    <w:rsid w:val="00982E98"/>
    <w:rsid w:val="00982EF6"/>
    <w:rsid w:val="009834AC"/>
    <w:rsid w:val="009839DC"/>
    <w:rsid w:val="009839EF"/>
    <w:rsid w:val="00983AD2"/>
    <w:rsid w:val="00983CA8"/>
    <w:rsid w:val="00984387"/>
    <w:rsid w:val="0098455C"/>
    <w:rsid w:val="00984BFC"/>
    <w:rsid w:val="00984C05"/>
    <w:rsid w:val="00984D4E"/>
    <w:rsid w:val="00984F53"/>
    <w:rsid w:val="0098502E"/>
    <w:rsid w:val="0098505D"/>
    <w:rsid w:val="0098508D"/>
    <w:rsid w:val="009853DD"/>
    <w:rsid w:val="00985713"/>
    <w:rsid w:val="00985950"/>
    <w:rsid w:val="00985AAB"/>
    <w:rsid w:val="00985B08"/>
    <w:rsid w:val="00985C6A"/>
    <w:rsid w:val="00985F4C"/>
    <w:rsid w:val="00985F6B"/>
    <w:rsid w:val="009861BE"/>
    <w:rsid w:val="00986521"/>
    <w:rsid w:val="00986583"/>
    <w:rsid w:val="009865D7"/>
    <w:rsid w:val="00986BB7"/>
    <w:rsid w:val="00986D71"/>
    <w:rsid w:val="009871BE"/>
    <w:rsid w:val="009875B4"/>
    <w:rsid w:val="00987A28"/>
    <w:rsid w:val="00987A9B"/>
    <w:rsid w:val="00987CAB"/>
    <w:rsid w:val="00987D3D"/>
    <w:rsid w:val="00987D43"/>
    <w:rsid w:val="00987E9A"/>
    <w:rsid w:val="009902C8"/>
    <w:rsid w:val="00990367"/>
    <w:rsid w:val="009907D7"/>
    <w:rsid w:val="00990844"/>
    <w:rsid w:val="009909A8"/>
    <w:rsid w:val="00990B35"/>
    <w:rsid w:val="00990B8B"/>
    <w:rsid w:val="00990BB1"/>
    <w:rsid w:val="009910F8"/>
    <w:rsid w:val="00991261"/>
    <w:rsid w:val="00991294"/>
    <w:rsid w:val="009912A0"/>
    <w:rsid w:val="00991E46"/>
    <w:rsid w:val="00991F12"/>
    <w:rsid w:val="00991FFA"/>
    <w:rsid w:val="00992161"/>
    <w:rsid w:val="00992697"/>
    <w:rsid w:val="0099272B"/>
    <w:rsid w:val="00992838"/>
    <w:rsid w:val="009929C8"/>
    <w:rsid w:val="00992A30"/>
    <w:rsid w:val="00992F0E"/>
    <w:rsid w:val="00993022"/>
    <w:rsid w:val="00993068"/>
    <w:rsid w:val="0099311B"/>
    <w:rsid w:val="00993A7D"/>
    <w:rsid w:val="00993E89"/>
    <w:rsid w:val="009945F4"/>
    <w:rsid w:val="00994757"/>
    <w:rsid w:val="00994766"/>
    <w:rsid w:val="00994816"/>
    <w:rsid w:val="009949F0"/>
    <w:rsid w:val="00994B4F"/>
    <w:rsid w:val="00994DC2"/>
    <w:rsid w:val="00994F6D"/>
    <w:rsid w:val="0099501A"/>
    <w:rsid w:val="00995493"/>
    <w:rsid w:val="009955A9"/>
    <w:rsid w:val="0099581A"/>
    <w:rsid w:val="00995C3C"/>
    <w:rsid w:val="0099653F"/>
    <w:rsid w:val="00996545"/>
    <w:rsid w:val="00996749"/>
    <w:rsid w:val="00996827"/>
    <w:rsid w:val="00996DA6"/>
    <w:rsid w:val="00997044"/>
    <w:rsid w:val="0099731E"/>
    <w:rsid w:val="00997791"/>
    <w:rsid w:val="0099779A"/>
    <w:rsid w:val="00997848"/>
    <w:rsid w:val="0099788B"/>
    <w:rsid w:val="00997A1A"/>
    <w:rsid w:val="00997A2E"/>
    <w:rsid w:val="00997B9D"/>
    <w:rsid w:val="00997C22"/>
    <w:rsid w:val="009A0038"/>
    <w:rsid w:val="009A0598"/>
    <w:rsid w:val="009A083F"/>
    <w:rsid w:val="009A099F"/>
    <w:rsid w:val="009A110C"/>
    <w:rsid w:val="009A11A0"/>
    <w:rsid w:val="009A1333"/>
    <w:rsid w:val="009A15FE"/>
    <w:rsid w:val="009A199A"/>
    <w:rsid w:val="009A1AD7"/>
    <w:rsid w:val="009A1C5A"/>
    <w:rsid w:val="009A1C76"/>
    <w:rsid w:val="009A1CBB"/>
    <w:rsid w:val="009A2064"/>
    <w:rsid w:val="009A2373"/>
    <w:rsid w:val="009A2451"/>
    <w:rsid w:val="009A2898"/>
    <w:rsid w:val="009A2CBF"/>
    <w:rsid w:val="009A2DF7"/>
    <w:rsid w:val="009A2EF8"/>
    <w:rsid w:val="009A350D"/>
    <w:rsid w:val="009A37E6"/>
    <w:rsid w:val="009A37E8"/>
    <w:rsid w:val="009A387A"/>
    <w:rsid w:val="009A3CE6"/>
    <w:rsid w:val="009A3D17"/>
    <w:rsid w:val="009A402C"/>
    <w:rsid w:val="009A406C"/>
    <w:rsid w:val="009A40CB"/>
    <w:rsid w:val="009A4100"/>
    <w:rsid w:val="009A41E2"/>
    <w:rsid w:val="009A4270"/>
    <w:rsid w:val="009A4998"/>
    <w:rsid w:val="009A49FF"/>
    <w:rsid w:val="009A4CD5"/>
    <w:rsid w:val="009A4CDD"/>
    <w:rsid w:val="009A4EA3"/>
    <w:rsid w:val="009A5B04"/>
    <w:rsid w:val="009A5C91"/>
    <w:rsid w:val="009A5D54"/>
    <w:rsid w:val="009A5EE3"/>
    <w:rsid w:val="009A5F5C"/>
    <w:rsid w:val="009A602C"/>
    <w:rsid w:val="009A6203"/>
    <w:rsid w:val="009A621C"/>
    <w:rsid w:val="009A63BC"/>
    <w:rsid w:val="009A64BA"/>
    <w:rsid w:val="009A659C"/>
    <w:rsid w:val="009A6943"/>
    <w:rsid w:val="009A6951"/>
    <w:rsid w:val="009A6E63"/>
    <w:rsid w:val="009A6E65"/>
    <w:rsid w:val="009A6EBE"/>
    <w:rsid w:val="009A7201"/>
    <w:rsid w:val="009A7331"/>
    <w:rsid w:val="009A73DE"/>
    <w:rsid w:val="009A755C"/>
    <w:rsid w:val="009A7694"/>
    <w:rsid w:val="009A78C0"/>
    <w:rsid w:val="009A794A"/>
    <w:rsid w:val="009A7AB4"/>
    <w:rsid w:val="009A7C51"/>
    <w:rsid w:val="009A7FB8"/>
    <w:rsid w:val="009B003A"/>
    <w:rsid w:val="009B013A"/>
    <w:rsid w:val="009B03FA"/>
    <w:rsid w:val="009B0458"/>
    <w:rsid w:val="009B0789"/>
    <w:rsid w:val="009B0CB7"/>
    <w:rsid w:val="009B0DC8"/>
    <w:rsid w:val="009B0E0B"/>
    <w:rsid w:val="009B0F3E"/>
    <w:rsid w:val="009B0FBC"/>
    <w:rsid w:val="009B1025"/>
    <w:rsid w:val="009B17A9"/>
    <w:rsid w:val="009B1855"/>
    <w:rsid w:val="009B18D4"/>
    <w:rsid w:val="009B19E0"/>
    <w:rsid w:val="009B1A6C"/>
    <w:rsid w:val="009B1BE0"/>
    <w:rsid w:val="009B20E9"/>
    <w:rsid w:val="009B21CE"/>
    <w:rsid w:val="009B261B"/>
    <w:rsid w:val="009B2801"/>
    <w:rsid w:val="009B29AE"/>
    <w:rsid w:val="009B2BDB"/>
    <w:rsid w:val="009B3208"/>
    <w:rsid w:val="009B329E"/>
    <w:rsid w:val="009B35F9"/>
    <w:rsid w:val="009B3675"/>
    <w:rsid w:val="009B3963"/>
    <w:rsid w:val="009B39EE"/>
    <w:rsid w:val="009B3ACB"/>
    <w:rsid w:val="009B3F2E"/>
    <w:rsid w:val="009B412B"/>
    <w:rsid w:val="009B4334"/>
    <w:rsid w:val="009B43F5"/>
    <w:rsid w:val="009B4740"/>
    <w:rsid w:val="009B4BA7"/>
    <w:rsid w:val="009B4C80"/>
    <w:rsid w:val="009B4EA1"/>
    <w:rsid w:val="009B50CF"/>
    <w:rsid w:val="009B52E6"/>
    <w:rsid w:val="009B538E"/>
    <w:rsid w:val="009B56A2"/>
    <w:rsid w:val="009B56DE"/>
    <w:rsid w:val="009B5777"/>
    <w:rsid w:val="009B5851"/>
    <w:rsid w:val="009B588F"/>
    <w:rsid w:val="009B599D"/>
    <w:rsid w:val="009B5F76"/>
    <w:rsid w:val="009B5F93"/>
    <w:rsid w:val="009B62E8"/>
    <w:rsid w:val="009B6439"/>
    <w:rsid w:val="009B6527"/>
    <w:rsid w:val="009B6741"/>
    <w:rsid w:val="009B6A09"/>
    <w:rsid w:val="009B6B1D"/>
    <w:rsid w:val="009B6D86"/>
    <w:rsid w:val="009B7453"/>
    <w:rsid w:val="009B7AD1"/>
    <w:rsid w:val="009B7B00"/>
    <w:rsid w:val="009B7CE3"/>
    <w:rsid w:val="009B7D34"/>
    <w:rsid w:val="009B7EA4"/>
    <w:rsid w:val="009C0191"/>
    <w:rsid w:val="009C0279"/>
    <w:rsid w:val="009C0891"/>
    <w:rsid w:val="009C0B53"/>
    <w:rsid w:val="009C0BBB"/>
    <w:rsid w:val="009C0D2D"/>
    <w:rsid w:val="009C0ED2"/>
    <w:rsid w:val="009C11F2"/>
    <w:rsid w:val="009C12BB"/>
    <w:rsid w:val="009C12E6"/>
    <w:rsid w:val="009C13ED"/>
    <w:rsid w:val="009C1519"/>
    <w:rsid w:val="009C15EC"/>
    <w:rsid w:val="009C1862"/>
    <w:rsid w:val="009C19F6"/>
    <w:rsid w:val="009C1B5B"/>
    <w:rsid w:val="009C2018"/>
    <w:rsid w:val="009C2116"/>
    <w:rsid w:val="009C24FF"/>
    <w:rsid w:val="009C250E"/>
    <w:rsid w:val="009C2592"/>
    <w:rsid w:val="009C26F1"/>
    <w:rsid w:val="009C274A"/>
    <w:rsid w:val="009C3267"/>
    <w:rsid w:val="009C3642"/>
    <w:rsid w:val="009C37E8"/>
    <w:rsid w:val="009C37F4"/>
    <w:rsid w:val="009C3974"/>
    <w:rsid w:val="009C3A78"/>
    <w:rsid w:val="009C3C89"/>
    <w:rsid w:val="009C3CE4"/>
    <w:rsid w:val="009C4222"/>
    <w:rsid w:val="009C4368"/>
    <w:rsid w:val="009C447F"/>
    <w:rsid w:val="009C4486"/>
    <w:rsid w:val="009C4859"/>
    <w:rsid w:val="009C489A"/>
    <w:rsid w:val="009C4935"/>
    <w:rsid w:val="009C4A56"/>
    <w:rsid w:val="009C4C74"/>
    <w:rsid w:val="009C4F92"/>
    <w:rsid w:val="009C5003"/>
    <w:rsid w:val="009C5068"/>
    <w:rsid w:val="009C51ED"/>
    <w:rsid w:val="009C5686"/>
    <w:rsid w:val="009C5A72"/>
    <w:rsid w:val="009C5AF6"/>
    <w:rsid w:val="009C5B89"/>
    <w:rsid w:val="009C5D2D"/>
    <w:rsid w:val="009C646E"/>
    <w:rsid w:val="009C6588"/>
    <w:rsid w:val="009C65D3"/>
    <w:rsid w:val="009C65FE"/>
    <w:rsid w:val="009C66C3"/>
    <w:rsid w:val="009C674D"/>
    <w:rsid w:val="009C6A8B"/>
    <w:rsid w:val="009C6B12"/>
    <w:rsid w:val="009C6B52"/>
    <w:rsid w:val="009C6CAC"/>
    <w:rsid w:val="009C7193"/>
    <w:rsid w:val="009C7347"/>
    <w:rsid w:val="009C7657"/>
    <w:rsid w:val="009C76BA"/>
    <w:rsid w:val="009C76F4"/>
    <w:rsid w:val="009C7B99"/>
    <w:rsid w:val="009C7EED"/>
    <w:rsid w:val="009D0209"/>
    <w:rsid w:val="009D043B"/>
    <w:rsid w:val="009D05F4"/>
    <w:rsid w:val="009D0646"/>
    <w:rsid w:val="009D0B8D"/>
    <w:rsid w:val="009D0C8F"/>
    <w:rsid w:val="009D0EA9"/>
    <w:rsid w:val="009D101D"/>
    <w:rsid w:val="009D1552"/>
    <w:rsid w:val="009D1555"/>
    <w:rsid w:val="009D16C4"/>
    <w:rsid w:val="009D1769"/>
    <w:rsid w:val="009D194B"/>
    <w:rsid w:val="009D1B1A"/>
    <w:rsid w:val="009D20B3"/>
    <w:rsid w:val="009D20F8"/>
    <w:rsid w:val="009D2184"/>
    <w:rsid w:val="009D23B9"/>
    <w:rsid w:val="009D27F7"/>
    <w:rsid w:val="009D292B"/>
    <w:rsid w:val="009D2A6A"/>
    <w:rsid w:val="009D2BFA"/>
    <w:rsid w:val="009D2E7C"/>
    <w:rsid w:val="009D33F2"/>
    <w:rsid w:val="009D34F5"/>
    <w:rsid w:val="009D36B4"/>
    <w:rsid w:val="009D36F8"/>
    <w:rsid w:val="009D371E"/>
    <w:rsid w:val="009D373F"/>
    <w:rsid w:val="009D39C3"/>
    <w:rsid w:val="009D3BCF"/>
    <w:rsid w:val="009D3C20"/>
    <w:rsid w:val="009D3ED8"/>
    <w:rsid w:val="009D40A8"/>
    <w:rsid w:val="009D436B"/>
    <w:rsid w:val="009D43FF"/>
    <w:rsid w:val="009D44BE"/>
    <w:rsid w:val="009D465A"/>
    <w:rsid w:val="009D4685"/>
    <w:rsid w:val="009D4698"/>
    <w:rsid w:val="009D4779"/>
    <w:rsid w:val="009D4789"/>
    <w:rsid w:val="009D47A3"/>
    <w:rsid w:val="009D5196"/>
    <w:rsid w:val="009D545F"/>
    <w:rsid w:val="009D589D"/>
    <w:rsid w:val="009D5C12"/>
    <w:rsid w:val="009D5D62"/>
    <w:rsid w:val="009D5FA4"/>
    <w:rsid w:val="009D651E"/>
    <w:rsid w:val="009D6966"/>
    <w:rsid w:val="009D6B44"/>
    <w:rsid w:val="009D6CCF"/>
    <w:rsid w:val="009D71BF"/>
    <w:rsid w:val="009D7670"/>
    <w:rsid w:val="009D7A5E"/>
    <w:rsid w:val="009D7B6B"/>
    <w:rsid w:val="009D7CB5"/>
    <w:rsid w:val="009D7ECC"/>
    <w:rsid w:val="009E002C"/>
    <w:rsid w:val="009E0189"/>
    <w:rsid w:val="009E018E"/>
    <w:rsid w:val="009E03E5"/>
    <w:rsid w:val="009E05A9"/>
    <w:rsid w:val="009E0705"/>
    <w:rsid w:val="009E0740"/>
    <w:rsid w:val="009E0F86"/>
    <w:rsid w:val="009E106A"/>
    <w:rsid w:val="009E1215"/>
    <w:rsid w:val="009E143C"/>
    <w:rsid w:val="009E1A56"/>
    <w:rsid w:val="009E1E39"/>
    <w:rsid w:val="009E1F3C"/>
    <w:rsid w:val="009E1FC0"/>
    <w:rsid w:val="009E1FFF"/>
    <w:rsid w:val="009E224F"/>
    <w:rsid w:val="009E23E9"/>
    <w:rsid w:val="009E251E"/>
    <w:rsid w:val="009E2564"/>
    <w:rsid w:val="009E25FB"/>
    <w:rsid w:val="009E268A"/>
    <w:rsid w:val="009E27C7"/>
    <w:rsid w:val="009E2819"/>
    <w:rsid w:val="009E2902"/>
    <w:rsid w:val="009E2B8B"/>
    <w:rsid w:val="009E2D9C"/>
    <w:rsid w:val="009E2E0C"/>
    <w:rsid w:val="009E3239"/>
    <w:rsid w:val="009E3652"/>
    <w:rsid w:val="009E394E"/>
    <w:rsid w:val="009E396A"/>
    <w:rsid w:val="009E3C08"/>
    <w:rsid w:val="009E3C4C"/>
    <w:rsid w:val="009E4148"/>
    <w:rsid w:val="009E41CF"/>
    <w:rsid w:val="009E464F"/>
    <w:rsid w:val="009E477F"/>
    <w:rsid w:val="009E4E25"/>
    <w:rsid w:val="009E5300"/>
    <w:rsid w:val="009E57AE"/>
    <w:rsid w:val="009E58C4"/>
    <w:rsid w:val="009E5B14"/>
    <w:rsid w:val="009E5B54"/>
    <w:rsid w:val="009E5DE7"/>
    <w:rsid w:val="009E605C"/>
    <w:rsid w:val="009E61A1"/>
    <w:rsid w:val="009E61FA"/>
    <w:rsid w:val="009E629C"/>
    <w:rsid w:val="009E62F9"/>
    <w:rsid w:val="009E6792"/>
    <w:rsid w:val="009E67D0"/>
    <w:rsid w:val="009E68D0"/>
    <w:rsid w:val="009E6A17"/>
    <w:rsid w:val="009E6A91"/>
    <w:rsid w:val="009E70F6"/>
    <w:rsid w:val="009E731A"/>
    <w:rsid w:val="009E747B"/>
    <w:rsid w:val="009E7628"/>
    <w:rsid w:val="009E78FD"/>
    <w:rsid w:val="009E79D5"/>
    <w:rsid w:val="009E7AD8"/>
    <w:rsid w:val="009E7BD8"/>
    <w:rsid w:val="009E7D1B"/>
    <w:rsid w:val="009E7D2D"/>
    <w:rsid w:val="009E7D57"/>
    <w:rsid w:val="009F00B2"/>
    <w:rsid w:val="009F0467"/>
    <w:rsid w:val="009F0736"/>
    <w:rsid w:val="009F0CBF"/>
    <w:rsid w:val="009F0FC6"/>
    <w:rsid w:val="009F121C"/>
    <w:rsid w:val="009F12C8"/>
    <w:rsid w:val="009F1661"/>
    <w:rsid w:val="009F166E"/>
    <w:rsid w:val="009F1EF7"/>
    <w:rsid w:val="009F208D"/>
    <w:rsid w:val="009F236D"/>
    <w:rsid w:val="009F2408"/>
    <w:rsid w:val="009F2709"/>
    <w:rsid w:val="009F2753"/>
    <w:rsid w:val="009F2971"/>
    <w:rsid w:val="009F299D"/>
    <w:rsid w:val="009F2AA3"/>
    <w:rsid w:val="009F318B"/>
    <w:rsid w:val="009F33D2"/>
    <w:rsid w:val="009F3995"/>
    <w:rsid w:val="009F3A59"/>
    <w:rsid w:val="009F3BF7"/>
    <w:rsid w:val="009F3D28"/>
    <w:rsid w:val="009F3E3D"/>
    <w:rsid w:val="009F4C6E"/>
    <w:rsid w:val="009F4D52"/>
    <w:rsid w:val="009F500E"/>
    <w:rsid w:val="009F50D5"/>
    <w:rsid w:val="009F5252"/>
    <w:rsid w:val="009F52FF"/>
    <w:rsid w:val="009F53CE"/>
    <w:rsid w:val="009F5537"/>
    <w:rsid w:val="009F5627"/>
    <w:rsid w:val="009F6033"/>
    <w:rsid w:val="009F6089"/>
    <w:rsid w:val="009F60AF"/>
    <w:rsid w:val="009F6199"/>
    <w:rsid w:val="009F621E"/>
    <w:rsid w:val="009F625D"/>
    <w:rsid w:val="009F6363"/>
    <w:rsid w:val="009F6385"/>
    <w:rsid w:val="009F66D6"/>
    <w:rsid w:val="009F683D"/>
    <w:rsid w:val="009F69CA"/>
    <w:rsid w:val="009F69ED"/>
    <w:rsid w:val="009F6BB7"/>
    <w:rsid w:val="009F6C75"/>
    <w:rsid w:val="009F6F10"/>
    <w:rsid w:val="009F6F67"/>
    <w:rsid w:val="009F6F93"/>
    <w:rsid w:val="009F74D6"/>
    <w:rsid w:val="009F762E"/>
    <w:rsid w:val="009F7684"/>
    <w:rsid w:val="009F76AD"/>
    <w:rsid w:val="009F77CA"/>
    <w:rsid w:val="009F7889"/>
    <w:rsid w:val="009F793F"/>
    <w:rsid w:val="009F7CBA"/>
    <w:rsid w:val="009F7D0D"/>
    <w:rsid w:val="00A00289"/>
    <w:rsid w:val="00A0050E"/>
    <w:rsid w:val="00A0053D"/>
    <w:rsid w:val="00A008D1"/>
    <w:rsid w:val="00A00C20"/>
    <w:rsid w:val="00A00CBC"/>
    <w:rsid w:val="00A00F40"/>
    <w:rsid w:val="00A01019"/>
    <w:rsid w:val="00A01091"/>
    <w:rsid w:val="00A01152"/>
    <w:rsid w:val="00A01813"/>
    <w:rsid w:val="00A01870"/>
    <w:rsid w:val="00A01A31"/>
    <w:rsid w:val="00A020D8"/>
    <w:rsid w:val="00A02405"/>
    <w:rsid w:val="00A028B6"/>
    <w:rsid w:val="00A02B1E"/>
    <w:rsid w:val="00A02B9A"/>
    <w:rsid w:val="00A02CAC"/>
    <w:rsid w:val="00A02DDA"/>
    <w:rsid w:val="00A02E2D"/>
    <w:rsid w:val="00A02F0C"/>
    <w:rsid w:val="00A02F11"/>
    <w:rsid w:val="00A03378"/>
    <w:rsid w:val="00A03612"/>
    <w:rsid w:val="00A03667"/>
    <w:rsid w:val="00A03751"/>
    <w:rsid w:val="00A039B5"/>
    <w:rsid w:val="00A03A56"/>
    <w:rsid w:val="00A0410F"/>
    <w:rsid w:val="00A042B2"/>
    <w:rsid w:val="00A043B2"/>
    <w:rsid w:val="00A0448D"/>
    <w:rsid w:val="00A04808"/>
    <w:rsid w:val="00A049B6"/>
    <w:rsid w:val="00A049BC"/>
    <w:rsid w:val="00A04ADB"/>
    <w:rsid w:val="00A04DF7"/>
    <w:rsid w:val="00A04F3D"/>
    <w:rsid w:val="00A05002"/>
    <w:rsid w:val="00A05015"/>
    <w:rsid w:val="00A05585"/>
    <w:rsid w:val="00A05B1A"/>
    <w:rsid w:val="00A060A7"/>
    <w:rsid w:val="00A060C5"/>
    <w:rsid w:val="00A060FE"/>
    <w:rsid w:val="00A061B0"/>
    <w:rsid w:val="00A06234"/>
    <w:rsid w:val="00A063F4"/>
    <w:rsid w:val="00A06522"/>
    <w:rsid w:val="00A06636"/>
    <w:rsid w:val="00A06745"/>
    <w:rsid w:val="00A067A3"/>
    <w:rsid w:val="00A067FF"/>
    <w:rsid w:val="00A0689E"/>
    <w:rsid w:val="00A06A1B"/>
    <w:rsid w:val="00A06B0F"/>
    <w:rsid w:val="00A06B2D"/>
    <w:rsid w:val="00A06F5D"/>
    <w:rsid w:val="00A07117"/>
    <w:rsid w:val="00A0787A"/>
    <w:rsid w:val="00A07996"/>
    <w:rsid w:val="00A07A8D"/>
    <w:rsid w:val="00A07AA3"/>
    <w:rsid w:val="00A07AF5"/>
    <w:rsid w:val="00A10262"/>
    <w:rsid w:val="00A10336"/>
    <w:rsid w:val="00A103AA"/>
    <w:rsid w:val="00A10406"/>
    <w:rsid w:val="00A1065C"/>
    <w:rsid w:val="00A109ED"/>
    <w:rsid w:val="00A10B11"/>
    <w:rsid w:val="00A10BF5"/>
    <w:rsid w:val="00A10DB7"/>
    <w:rsid w:val="00A10DDB"/>
    <w:rsid w:val="00A110B6"/>
    <w:rsid w:val="00A11245"/>
    <w:rsid w:val="00A11630"/>
    <w:rsid w:val="00A11658"/>
    <w:rsid w:val="00A11DCC"/>
    <w:rsid w:val="00A11EAF"/>
    <w:rsid w:val="00A120D8"/>
    <w:rsid w:val="00A12198"/>
    <w:rsid w:val="00A124C3"/>
    <w:rsid w:val="00A128B5"/>
    <w:rsid w:val="00A12A14"/>
    <w:rsid w:val="00A12F98"/>
    <w:rsid w:val="00A13229"/>
    <w:rsid w:val="00A13436"/>
    <w:rsid w:val="00A1372F"/>
    <w:rsid w:val="00A137DC"/>
    <w:rsid w:val="00A14011"/>
    <w:rsid w:val="00A142D7"/>
    <w:rsid w:val="00A1478F"/>
    <w:rsid w:val="00A14B35"/>
    <w:rsid w:val="00A14B9D"/>
    <w:rsid w:val="00A14DEB"/>
    <w:rsid w:val="00A15599"/>
    <w:rsid w:val="00A15944"/>
    <w:rsid w:val="00A15D3D"/>
    <w:rsid w:val="00A15D5D"/>
    <w:rsid w:val="00A1619D"/>
    <w:rsid w:val="00A1630A"/>
    <w:rsid w:val="00A16710"/>
    <w:rsid w:val="00A16B90"/>
    <w:rsid w:val="00A1709E"/>
    <w:rsid w:val="00A17143"/>
    <w:rsid w:val="00A17202"/>
    <w:rsid w:val="00A1724E"/>
    <w:rsid w:val="00A173E8"/>
    <w:rsid w:val="00A174B7"/>
    <w:rsid w:val="00A176E8"/>
    <w:rsid w:val="00A17A42"/>
    <w:rsid w:val="00A17D9A"/>
    <w:rsid w:val="00A201E6"/>
    <w:rsid w:val="00A202D8"/>
    <w:rsid w:val="00A206FD"/>
    <w:rsid w:val="00A20C36"/>
    <w:rsid w:val="00A21010"/>
    <w:rsid w:val="00A21012"/>
    <w:rsid w:val="00A2150E"/>
    <w:rsid w:val="00A21E13"/>
    <w:rsid w:val="00A21F7D"/>
    <w:rsid w:val="00A220C4"/>
    <w:rsid w:val="00A221ED"/>
    <w:rsid w:val="00A226C0"/>
    <w:rsid w:val="00A2275B"/>
    <w:rsid w:val="00A228E5"/>
    <w:rsid w:val="00A22A05"/>
    <w:rsid w:val="00A22AF2"/>
    <w:rsid w:val="00A22B34"/>
    <w:rsid w:val="00A22CBD"/>
    <w:rsid w:val="00A22D18"/>
    <w:rsid w:val="00A22EEA"/>
    <w:rsid w:val="00A231E4"/>
    <w:rsid w:val="00A23442"/>
    <w:rsid w:val="00A23552"/>
    <w:rsid w:val="00A2359A"/>
    <w:rsid w:val="00A237D9"/>
    <w:rsid w:val="00A2389A"/>
    <w:rsid w:val="00A23A68"/>
    <w:rsid w:val="00A23EAE"/>
    <w:rsid w:val="00A24141"/>
    <w:rsid w:val="00A2415D"/>
    <w:rsid w:val="00A24451"/>
    <w:rsid w:val="00A248E4"/>
    <w:rsid w:val="00A24A54"/>
    <w:rsid w:val="00A24ABC"/>
    <w:rsid w:val="00A24BF1"/>
    <w:rsid w:val="00A2506B"/>
    <w:rsid w:val="00A25535"/>
    <w:rsid w:val="00A25550"/>
    <w:rsid w:val="00A2556E"/>
    <w:rsid w:val="00A255CC"/>
    <w:rsid w:val="00A255DD"/>
    <w:rsid w:val="00A2590E"/>
    <w:rsid w:val="00A26082"/>
    <w:rsid w:val="00A26173"/>
    <w:rsid w:val="00A26623"/>
    <w:rsid w:val="00A26659"/>
    <w:rsid w:val="00A26662"/>
    <w:rsid w:val="00A26AF0"/>
    <w:rsid w:val="00A26B6B"/>
    <w:rsid w:val="00A26D77"/>
    <w:rsid w:val="00A27084"/>
    <w:rsid w:val="00A2729D"/>
    <w:rsid w:val="00A27567"/>
    <w:rsid w:val="00A27AA6"/>
    <w:rsid w:val="00A27AE3"/>
    <w:rsid w:val="00A27E80"/>
    <w:rsid w:val="00A300BC"/>
    <w:rsid w:val="00A3025C"/>
    <w:rsid w:val="00A302EE"/>
    <w:rsid w:val="00A304DE"/>
    <w:rsid w:val="00A30611"/>
    <w:rsid w:val="00A30810"/>
    <w:rsid w:val="00A30AEF"/>
    <w:rsid w:val="00A30C5F"/>
    <w:rsid w:val="00A30DCC"/>
    <w:rsid w:val="00A30DE1"/>
    <w:rsid w:val="00A30E3A"/>
    <w:rsid w:val="00A3141D"/>
    <w:rsid w:val="00A3168C"/>
    <w:rsid w:val="00A318D3"/>
    <w:rsid w:val="00A31944"/>
    <w:rsid w:val="00A31A23"/>
    <w:rsid w:val="00A31C2D"/>
    <w:rsid w:val="00A31D2A"/>
    <w:rsid w:val="00A31E15"/>
    <w:rsid w:val="00A31E35"/>
    <w:rsid w:val="00A32410"/>
    <w:rsid w:val="00A324BF"/>
    <w:rsid w:val="00A325E1"/>
    <w:rsid w:val="00A3293A"/>
    <w:rsid w:val="00A32A71"/>
    <w:rsid w:val="00A330D6"/>
    <w:rsid w:val="00A33122"/>
    <w:rsid w:val="00A33175"/>
    <w:rsid w:val="00A332A6"/>
    <w:rsid w:val="00A33665"/>
    <w:rsid w:val="00A338E8"/>
    <w:rsid w:val="00A33916"/>
    <w:rsid w:val="00A33A72"/>
    <w:rsid w:val="00A33EE7"/>
    <w:rsid w:val="00A33F17"/>
    <w:rsid w:val="00A3423C"/>
    <w:rsid w:val="00A34531"/>
    <w:rsid w:val="00A3472B"/>
    <w:rsid w:val="00A3474D"/>
    <w:rsid w:val="00A349B3"/>
    <w:rsid w:val="00A34E8E"/>
    <w:rsid w:val="00A351FF"/>
    <w:rsid w:val="00A35516"/>
    <w:rsid w:val="00A35D9D"/>
    <w:rsid w:val="00A36054"/>
    <w:rsid w:val="00A36396"/>
    <w:rsid w:val="00A364C0"/>
    <w:rsid w:val="00A36539"/>
    <w:rsid w:val="00A365CC"/>
    <w:rsid w:val="00A36A21"/>
    <w:rsid w:val="00A36EB1"/>
    <w:rsid w:val="00A37054"/>
    <w:rsid w:val="00A370EC"/>
    <w:rsid w:val="00A371CC"/>
    <w:rsid w:val="00A3744B"/>
    <w:rsid w:val="00A375B6"/>
    <w:rsid w:val="00A375CA"/>
    <w:rsid w:val="00A37685"/>
    <w:rsid w:val="00A37721"/>
    <w:rsid w:val="00A37D25"/>
    <w:rsid w:val="00A37DAA"/>
    <w:rsid w:val="00A400E2"/>
    <w:rsid w:val="00A4039F"/>
    <w:rsid w:val="00A4040F"/>
    <w:rsid w:val="00A40448"/>
    <w:rsid w:val="00A40538"/>
    <w:rsid w:val="00A40633"/>
    <w:rsid w:val="00A406FB"/>
    <w:rsid w:val="00A40784"/>
    <w:rsid w:val="00A40F23"/>
    <w:rsid w:val="00A41069"/>
    <w:rsid w:val="00A41271"/>
    <w:rsid w:val="00A41527"/>
    <w:rsid w:val="00A41580"/>
    <w:rsid w:val="00A4197F"/>
    <w:rsid w:val="00A41A20"/>
    <w:rsid w:val="00A41A2E"/>
    <w:rsid w:val="00A41ACF"/>
    <w:rsid w:val="00A41BAF"/>
    <w:rsid w:val="00A41D18"/>
    <w:rsid w:val="00A41ED2"/>
    <w:rsid w:val="00A41F49"/>
    <w:rsid w:val="00A41F86"/>
    <w:rsid w:val="00A42031"/>
    <w:rsid w:val="00A4237A"/>
    <w:rsid w:val="00A423ED"/>
    <w:rsid w:val="00A42592"/>
    <w:rsid w:val="00A42B06"/>
    <w:rsid w:val="00A42B5C"/>
    <w:rsid w:val="00A42E87"/>
    <w:rsid w:val="00A42E91"/>
    <w:rsid w:val="00A42F34"/>
    <w:rsid w:val="00A43078"/>
    <w:rsid w:val="00A43997"/>
    <w:rsid w:val="00A43B79"/>
    <w:rsid w:val="00A43B7B"/>
    <w:rsid w:val="00A43BAB"/>
    <w:rsid w:val="00A4400A"/>
    <w:rsid w:val="00A44072"/>
    <w:rsid w:val="00A4426E"/>
    <w:rsid w:val="00A4458D"/>
    <w:rsid w:val="00A447FD"/>
    <w:rsid w:val="00A44879"/>
    <w:rsid w:val="00A44947"/>
    <w:rsid w:val="00A44A6D"/>
    <w:rsid w:val="00A44BC0"/>
    <w:rsid w:val="00A44EA1"/>
    <w:rsid w:val="00A450A5"/>
    <w:rsid w:val="00A451A5"/>
    <w:rsid w:val="00A4520C"/>
    <w:rsid w:val="00A4561C"/>
    <w:rsid w:val="00A4568C"/>
    <w:rsid w:val="00A458EF"/>
    <w:rsid w:val="00A45C1E"/>
    <w:rsid w:val="00A45CAE"/>
    <w:rsid w:val="00A46036"/>
    <w:rsid w:val="00A46286"/>
    <w:rsid w:val="00A46975"/>
    <w:rsid w:val="00A46B4F"/>
    <w:rsid w:val="00A46C7C"/>
    <w:rsid w:val="00A46E34"/>
    <w:rsid w:val="00A4707F"/>
    <w:rsid w:val="00A470EB"/>
    <w:rsid w:val="00A472CC"/>
    <w:rsid w:val="00A4755A"/>
    <w:rsid w:val="00A477AB"/>
    <w:rsid w:val="00A478A8"/>
    <w:rsid w:val="00A4791A"/>
    <w:rsid w:val="00A47C8A"/>
    <w:rsid w:val="00A47CC6"/>
    <w:rsid w:val="00A47E8E"/>
    <w:rsid w:val="00A47FFD"/>
    <w:rsid w:val="00A50338"/>
    <w:rsid w:val="00A50343"/>
    <w:rsid w:val="00A50483"/>
    <w:rsid w:val="00A509ED"/>
    <w:rsid w:val="00A50BAA"/>
    <w:rsid w:val="00A50DD0"/>
    <w:rsid w:val="00A50ECA"/>
    <w:rsid w:val="00A511C5"/>
    <w:rsid w:val="00A51674"/>
    <w:rsid w:val="00A51943"/>
    <w:rsid w:val="00A51A32"/>
    <w:rsid w:val="00A51AA1"/>
    <w:rsid w:val="00A51D8A"/>
    <w:rsid w:val="00A51E54"/>
    <w:rsid w:val="00A51F8E"/>
    <w:rsid w:val="00A521CD"/>
    <w:rsid w:val="00A522BC"/>
    <w:rsid w:val="00A523E1"/>
    <w:rsid w:val="00A52541"/>
    <w:rsid w:val="00A52672"/>
    <w:rsid w:val="00A52974"/>
    <w:rsid w:val="00A52AC1"/>
    <w:rsid w:val="00A52FD8"/>
    <w:rsid w:val="00A534C4"/>
    <w:rsid w:val="00A53781"/>
    <w:rsid w:val="00A53CD5"/>
    <w:rsid w:val="00A53D32"/>
    <w:rsid w:val="00A53DFA"/>
    <w:rsid w:val="00A53EE2"/>
    <w:rsid w:val="00A540C3"/>
    <w:rsid w:val="00A54726"/>
    <w:rsid w:val="00A548F0"/>
    <w:rsid w:val="00A54B3D"/>
    <w:rsid w:val="00A54B9D"/>
    <w:rsid w:val="00A54C77"/>
    <w:rsid w:val="00A553C4"/>
    <w:rsid w:val="00A5550B"/>
    <w:rsid w:val="00A5552E"/>
    <w:rsid w:val="00A55556"/>
    <w:rsid w:val="00A55642"/>
    <w:rsid w:val="00A556DD"/>
    <w:rsid w:val="00A557AE"/>
    <w:rsid w:val="00A55A56"/>
    <w:rsid w:val="00A55E68"/>
    <w:rsid w:val="00A55ED2"/>
    <w:rsid w:val="00A560FA"/>
    <w:rsid w:val="00A56204"/>
    <w:rsid w:val="00A56331"/>
    <w:rsid w:val="00A56452"/>
    <w:rsid w:val="00A56481"/>
    <w:rsid w:val="00A56798"/>
    <w:rsid w:val="00A56957"/>
    <w:rsid w:val="00A56B6E"/>
    <w:rsid w:val="00A56DB6"/>
    <w:rsid w:val="00A56EF6"/>
    <w:rsid w:val="00A574C6"/>
    <w:rsid w:val="00A57655"/>
    <w:rsid w:val="00A5786B"/>
    <w:rsid w:val="00A578A6"/>
    <w:rsid w:val="00A601B5"/>
    <w:rsid w:val="00A60487"/>
    <w:rsid w:val="00A60921"/>
    <w:rsid w:val="00A60E83"/>
    <w:rsid w:val="00A611CA"/>
    <w:rsid w:val="00A611FB"/>
    <w:rsid w:val="00A614EC"/>
    <w:rsid w:val="00A6166C"/>
    <w:rsid w:val="00A6167A"/>
    <w:rsid w:val="00A61AE6"/>
    <w:rsid w:val="00A61B3E"/>
    <w:rsid w:val="00A61EF5"/>
    <w:rsid w:val="00A62250"/>
    <w:rsid w:val="00A6228D"/>
    <w:rsid w:val="00A62462"/>
    <w:rsid w:val="00A62638"/>
    <w:rsid w:val="00A62854"/>
    <w:rsid w:val="00A628AC"/>
    <w:rsid w:val="00A62949"/>
    <w:rsid w:val="00A62C27"/>
    <w:rsid w:val="00A62E40"/>
    <w:rsid w:val="00A62EFC"/>
    <w:rsid w:val="00A63467"/>
    <w:rsid w:val="00A63557"/>
    <w:rsid w:val="00A6372A"/>
    <w:rsid w:val="00A639BA"/>
    <w:rsid w:val="00A63E86"/>
    <w:rsid w:val="00A63EA2"/>
    <w:rsid w:val="00A63FC2"/>
    <w:rsid w:val="00A6431D"/>
    <w:rsid w:val="00A643B0"/>
    <w:rsid w:val="00A64709"/>
    <w:rsid w:val="00A6472C"/>
    <w:rsid w:val="00A64A25"/>
    <w:rsid w:val="00A64DDC"/>
    <w:rsid w:val="00A65219"/>
    <w:rsid w:val="00A65475"/>
    <w:rsid w:val="00A6558F"/>
    <w:rsid w:val="00A65981"/>
    <w:rsid w:val="00A65B35"/>
    <w:rsid w:val="00A65B9B"/>
    <w:rsid w:val="00A65E20"/>
    <w:rsid w:val="00A65F47"/>
    <w:rsid w:val="00A667A3"/>
    <w:rsid w:val="00A66B19"/>
    <w:rsid w:val="00A66C43"/>
    <w:rsid w:val="00A66C9F"/>
    <w:rsid w:val="00A66E08"/>
    <w:rsid w:val="00A66F95"/>
    <w:rsid w:val="00A670E2"/>
    <w:rsid w:val="00A6711C"/>
    <w:rsid w:val="00A672D3"/>
    <w:rsid w:val="00A673E3"/>
    <w:rsid w:val="00A674CA"/>
    <w:rsid w:val="00A6760B"/>
    <w:rsid w:val="00A67A51"/>
    <w:rsid w:val="00A67C4E"/>
    <w:rsid w:val="00A67CAE"/>
    <w:rsid w:val="00A7011F"/>
    <w:rsid w:val="00A7033C"/>
    <w:rsid w:val="00A703AB"/>
    <w:rsid w:val="00A703C7"/>
    <w:rsid w:val="00A70B32"/>
    <w:rsid w:val="00A70D9D"/>
    <w:rsid w:val="00A70DA0"/>
    <w:rsid w:val="00A70F1B"/>
    <w:rsid w:val="00A71073"/>
    <w:rsid w:val="00A71095"/>
    <w:rsid w:val="00A7110A"/>
    <w:rsid w:val="00A717B1"/>
    <w:rsid w:val="00A71AD4"/>
    <w:rsid w:val="00A721F4"/>
    <w:rsid w:val="00A7226B"/>
    <w:rsid w:val="00A722CA"/>
    <w:rsid w:val="00A7234B"/>
    <w:rsid w:val="00A7262E"/>
    <w:rsid w:val="00A7275B"/>
    <w:rsid w:val="00A72808"/>
    <w:rsid w:val="00A729B1"/>
    <w:rsid w:val="00A72F82"/>
    <w:rsid w:val="00A732AA"/>
    <w:rsid w:val="00A73312"/>
    <w:rsid w:val="00A734B2"/>
    <w:rsid w:val="00A73531"/>
    <w:rsid w:val="00A7369D"/>
    <w:rsid w:val="00A73ACD"/>
    <w:rsid w:val="00A73B4B"/>
    <w:rsid w:val="00A73F9B"/>
    <w:rsid w:val="00A74134"/>
    <w:rsid w:val="00A74491"/>
    <w:rsid w:val="00A74642"/>
    <w:rsid w:val="00A74671"/>
    <w:rsid w:val="00A7474F"/>
    <w:rsid w:val="00A748E8"/>
    <w:rsid w:val="00A74A86"/>
    <w:rsid w:val="00A74D0D"/>
    <w:rsid w:val="00A75123"/>
    <w:rsid w:val="00A75170"/>
    <w:rsid w:val="00A75233"/>
    <w:rsid w:val="00A752B6"/>
    <w:rsid w:val="00A7536F"/>
    <w:rsid w:val="00A755AF"/>
    <w:rsid w:val="00A75B0E"/>
    <w:rsid w:val="00A75BF2"/>
    <w:rsid w:val="00A75E19"/>
    <w:rsid w:val="00A75F28"/>
    <w:rsid w:val="00A76120"/>
    <w:rsid w:val="00A76247"/>
    <w:rsid w:val="00A763CC"/>
    <w:rsid w:val="00A764DC"/>
    <w:rsid w:val="00A76723"/>
    <w:rsid w:val="00A76782"/>
    <w:rsid w:val="00A76912"/>
    <w:rsid w:val="00A76D9C"/>
    <w:rsid w:val="00A778F2"/>
    <w:rsid w:val="00A77BF0"/>
    <w:rsid w:val="00A77C04"/>
    <w:rsid w:val="00A77DB5"/>
    <w:rsid w:val="00A80030"/>
    <w:rsid w:val="00A8004B"/>
    <w:rsid w:val="00A8028F"/>
    <w:rsid w:val="00A809A2"/>
    <w:rsid w:val="00A809FD"/>
    <w:rsid w:val="00A80C37"/>
    <w:rsid w:val="00A812D7"/>
    <w:rsid w:val="00A814AD"/>
    <w:rsid w:val="00A817CC"/>
    <w:rsid w:val="00A81E8D"/>
    <w:rsid w:val="00A81EFC"/>
    <w:rsid w:val="00A8227C"/>
    <w:rsid w:val="00A82282"/>
    <w:rsid w:val="00A82296"/>
    <w:rsid w:val="00A8232C"/>
    <w:rsid w:val="00A824DB"/>
    <w:rsid w:val="00A827E9"/>
    <w:rsid w:val="00A828C4"/>
    <w:rsid w:val="00A82A33"/>
    <w:rsid w:val="00A82D45"/>
    <w:rsid w:val="00A82FA6"/>
    <w:rsid w:val="00A832E5"/>
    <w:rsid w:val="00A83308"/>
    <w:rsid w:val="00A83778"/>
    <w:rsid w:val="00A839E2"/>
    <w:rsid w:val="00A839FE"/>
    <w:rsid w:val="00A83ECB"/>
    <w:rsid w:val="00A83F23"/>
    <w:rsid w:val="00A83F6A"/>
    <w:rsid w:val="00A841D7"/>
    <w:rsid w:val="00A842C8"/>
    <w:rsid w:val="00A84326"/>
    <w:rsid w:val="00A84341"/>
    <w:rsid w:val="00A84B1E"/>
    <w:rsid w:val="00A84B75"/>
    <w:rsid w:val="00A84E08"/>
    <w:rsid w:val="00A851FD"/>
    <w:rsid w:val="00A8527C"/>
    <w:rsid w:val="00A8529E"/>
    <w:rsid w:val="00A856A3"/>
    <w:rsid w:val="00A858AC"/>
    <w:rsid w:val="00A858F2"/>
    <w:rsid w:val="00A85A27"/>
    <w:rsid w:val="00A85C1E"/>
    <w:rsid w:val="00A85D04"/>
    <w:rsid w:val="00A85D34"/>
    <w:rsid w:val="00A85DCA"/>
    <w:rsid w:val="00A85F03"/>
    <w:rsid w:val="00A86071"/>
    <w:rsid w:val="00A8607B"/>
    <w:rsid w:val="00A86194"/>
    <w:rsid w:val="00A86586"/>
    <w:rsid w:val="00A865CE"/>
    <w:rsid w:val="00A867C7"/>
    <w:rsid w:val="00A868C4"/>
    <w:rsid w:val="00A86901"/>
    <w:rsid w:val="00A86B29"/>
    <w:rsid w:val="00A86C5B"/>
    <w:rsid w:val="00A86F20"/>
    <w:rsid w:val="00A8708E"/>
    <w:rsid w:val="00A87351"/>
    <w:rsid w:val="00A873B7"/>
    <w:rsid w:val="00A873DA"/>
    <w:rsid w:val="00A875DC"/>
    <w:rsid w:val="00A87F3F"/>
    <w:rsid w:val="00A9076D"/>
    <w:rsid w:val="00A908AA"/>
    <w:rsid w:val="00A90B4F"/>
    <w:rsid w:val="00A90C9C"/>
    <w:rsid w:val="00A90D57"/>
    <w:rsid w:val="00A90F3A"/>
    <w:rsid w:val="00A910C4"/>
    <w:rsid w:val="00A91D4E"/>
    <w:rsid w:val="00A91E89"/>
    <w:rsid w:val="00A91FB9"/>
    <w:rsid w:val="00A92006"/>
    <w:rsid w:val="00A9222F"/>
    <w:rsid w:val="00A928BB"/>
    <w:rsid w:val="00A92A09"/>
    <w:rsid w:val="00A92B25"/>
    <w:rsid w:val="00A92C04"/>
    <w:rsid w:val="00A92D4C"/>
    <w:rsid w:val="00A92E6C"/>
    <w:rsid w:val="00A93346"/>
    <w:rsid w:val="00A934BD"/>
    <w:rsid w:val="00A9352E"/>
    <w:rsid w:val="00A935CA"/>
    <w:rsid w:val="00A936A2"/>
    <w:rsid w:val="00A936D1"/>
    <w:rsid w:val="00A93918"/>
    <w:rsid w:val="00A93919"/>
    <w:rsid w:val="00A93EC3"/>
    <w:rsid w:val="00A94234"/>
    <w:rsid w:val="00A9446D"/>
    <w:rsid w:val="00A944C3"/>
    <w:rsid w:val="00A94692"/>
    <w:rsid w:val="00A947D2"/>
    <w:rsid w:val="00A94840"/>
    <w:rsid w:val="00A94881"/>
    <w:rsid w:val="00A94E9D"/>
    <w:rsid w:val="00A95054"/>
    <w:rsid w:val="00A95265"/>
    <w:rsid w:val="00A95E07"/>
    <w:rsid w:val="00A96110"/>
    <w:rsid w:val="00A96120"/>
    <w:rsid w:val="00A9614A"/>
    <w:rsid w:val="00A96835"/>
    <w:rsid w:val="00A96CA7"/>
    <w:rsid w:val="00A96D6E"/>
    <w:rsid w:val="00A97237"/>
    <w:rsid w:val="00A975DA"/>
    <w:rsid w:val="00A9761A"/>
    <w:rsid w:val="00A97791"/>
    <w:rsid w:val="00A97A02"/>
    <w:rsid w:val="00A97A74"/>
    <w:rsid w:val="00A97B12"/>
    <w:rsid w:val="00A97CE1"/>
    <w:rsid w:val="00A97D9D"/>
    <w:rsid w:val="00AA00EB"/>
    <w:rsid w:val="00AA01FB"/>
    <w:rsid w:val="00AA02A8"/>
    <w:rsid w:val="00AA03BF"/>
    <w:rsid w:val="00AA0546"/>
    <w:rsid w:val="00AA06B7"/>
    <w:rsid w:val="00AA076D"/>
    <w:rsid w:val="00AA09CB"/>
    <w:rsid w:val="00AA0C45"/>
    <w:rsid w:val="00AA0EAE"/>
    <w:rsid w:val="00AA114C"/>
    <w:rsid w:val="00AA11D7"/>
    <w:rsid w:val="00AA13AB"/>
    <w:rsid w:val="00AA1D38"/>
    <w:rsid w:val="00AA20BB"/>
    <w:rsid w:val="00AA21B3"/>
    <w:rsid w:val="00AA21DE"/>
    <w:rsid w:val="00AA24FD"/>
    <w:rsid w:val="00AA2838"/>
    <w:rsid w:val="00AA2950"/>
    <w:rsid w:val="00AA2BDB"/>
    <w:rsid w:val="00AA2C25"/>
    <w:rsid w:val="00AA2D95"/>
    <w:rsid w:val="00AA2EB2"/>
    <w:rsid w:val="00AA2F3B"/>
    <w:rsid w:val="00AA2FC8"/>
    <w:rsid w:val="00AA32A9"/>
    <w:rsid w:val="00AA34FD"/>
    <w:rsid w:val="00AA3505"/>
    <w:rsid w:val="00AA358C"/>
    <w:rsid w:val="00AA372B"/>
    <w:rsid w:val="00AA3BBB"/>
    <w:rsid w:val="00AA3D23"/>
    <w:rsid w:val="00AA408F"/>
    <w:rsid w:val="00AA419F"/>
    <w:rsid w:val="00AA42C6"/>
    <w:rsid w:val="00AA43FD"/>
    <w:rsid w:val="00AA47DB"/>
    <w:rsid w:val="00AA48B6"/>
    <w:rsid w:val="00AA493F"/>
    <w:rsid w:val="00AA4E11"/>
    <w:rsid w:val="00AA4F04"/>
    <w:rsid w:val="00AA505C"/>
    <w:rsid w:val="00AA5122"/>
    <w:rsid w:val="00AA53FD"/>
    <w:rsid w:val="00AA566D"/>
    <w:rsid w:val="00AA5774"/>
    <w:rsid w:val="00AA5782"/>
    <w:rsid w:val="00AA5AB7"/>
    <w:rsid w:val="00AA5EA1"/>
    <w:rsid w:val="00AA5F6D"/>
    <w:rsid w:val="00AA60C1"/>
    <w:rsid w:val="00AA616E"/>
    <w:rsid w:val="00AA620F"/>
    <w:rsid w:val="00AA65E1"/>
    <w:rsid w:val="00AA672F"/>
    <w:rsid w:val="00AA67D2"/>
    <w:rsid w:val="00AA68A4"/>
    <w:rsid w:val="00AA6CCA"/>
    <w:rsid w:val="00AA6CDE"/>
    <w:rsid w:val="00AA7555"/>
    <w:rsid w:val="00AA7602"/>
    <w:rsid w:val="00AA77D5"/>
    <w:rsid w:val="00AA7933"/>
    <w:rsid w:val="00AA7B9A"/>
    <w:rsid w:val="00AA7FEA"/>
    <w:rsid w:val="00AB0276"/>
    <w:rsid w:val="00AB0579"/>
    <w:rsid w:val="00AB0C90"/>
    <w:rsid w:val="00AB0CCD"/>
    <w:rsid w:val="00AB0E30"/>
    <w:rsid w:val="00AB15E7"/>
    <w:rsid w:val="00AB1621"/>
    <w:rsid w:val="00AB1C40"/>
    <w:rsid w:val="00AB1E1F"/>
    <w:rsid w:val="00AB1E3B"/>
    <w:rsid w:val="00AB2043"/>
    <w:rsid w:val="00AB2279"/>
    <w:rsid w:val="00AB2677"/>
    <w:rsid w:val="00AB280B"/>
    <w:rsid w:val="00AB29E8"/>
    <w:rsid w:val="00AB2AE4"/>
    <w:rsid w:val="00AB2B3F"/>
    <w:rsid w:val="00AB2DA5"/>
    <w:rsid w:val="00AB2F32"/>
    <w:rsid w:val="00AB3001"/>
    <w:rsid w:val="00AB3019"/>
    <w:rsid w:val="00AB3790"/>
    <w:rsid w:val="00AB382B"/>
    <w:rsid w:val="00AB384F"/>
    <w:rsid w:val="00AB3BB3"/>
    <w:rsid w:val="00AB3C0F"/>
    <w:rsid w:val="00AB3C4D"/>
    <w:rsid w:val="00AB3D5F"/>
    <w:rsid w:val="00AB3E64"/>
    <w:rsid w:val="00AB3F43"/>
    <w:rsid w:val="00AB44D5"/>
    <w:rsid w:val="00AB452E"/>
    <w:rsid w:val="00AB458C"/>
    <w:rsid w:val="00AB46C0"/>
    <w:rsid w:val="00AB46CF"/>
    <w:rsid w:val="00AB47D4"/>
    <w:rsid w:val="00AB493E"/>
    <w:rsid w:val="00AB498D"/>
    <w:rsid w:val="00AB4FF6"/>
    <w:rsid w:val="00AB5268"/>
    <w:rsid w:val="00AB573C"/>
    <w:rsid w:val="00AB5AA9"/>
    <w:rsid w:val="00AB5C39"/>
    <w:rsid w:val="00AB6157"/>
    <w:rsid w:val="00AB61C1"/>
    <w:rsid w:val="00AB648D"/>
    <w:rsid w:val="00AB64F2"/>
    <w:rsid w:val="00AB6CBB"/>
    <w:rsid w:val="00AB6CE2"/>
    <w:rsid w:val="00AB6D5A"/>
    <w:rsid w:val="00AB6FC8"/>
    <w:rsid w:val="00AB717A"/>
    <w:rsid w:val="00AB73CC"/>
    <w:rsid w:val="00AB7526"/>
    <w:rsid w:val="00AB7710"/>
    <w:rsid w:val="00AB7858"/>
    <w:rsid w:val="00AB79DB"/>
    <w:rsid w:val="00AB7B05"/>
    <w:rsid w:val="00AB7B5E"/>
    <w:rsid w:val="00AB7CB2"/>
    <w:rsid w:val="00AC00D4"/>
    <w:rsid w:val="00AC01DC"/>
    <w:rsid w:val="00AC05FC"/>
    <w:rsid w:val="00AC079A"/>
    <w:rsid w:val="00AC0807"/>
    <w:rsid w:val="00AC0C77"/>
    <w:rsid w:val="00AC15A4"/>
    <w:rsid w:val="00AC16E7"/>
    <w:rsid w:val="00AC1706"/>
    <w:rsid w:val="00AC1B0F"/>
    <w:rsid w:val="00AC1FF1"/>
    <w:rsid w:val="00AC2899"/>
    <w:rsid w:val="00AC29DD"/>
    <w:rsid w:val="00AC2B93"/>
    <w:rsid w:val="00AC2BF1"/>
    <w:rsid w:val="00AC2EE7"/>
    <w:rsid w:val="00AC3030"/>
    <w:rsid w:val="00AC304F"/>
    <w:rsid w:val="00AC30E0"/>
    <w:rsid w:val="00AC3386"/>
    <w:rsid w:val="00AC33C3"/>
    <w:rsid w:val="00AC3749"/>
    <w:rsid w:val="00AC37F7"/>
    <w:rsid w:val="00AC37FD"/>
    <w:rsid w:val="00AC387E"/>
    <w:rsid w:val="00AC3C58"/>
    <w:rsid w:val="00AC3D21"/>
    <w:rsid w:val="00AC3DD2"/>
    <w:rsid w:val="00AC3DF8"/>
    <w:rsid w:val="00AC3F97"/>
    <w:rsid w:val="00AC4062"/>
    <w:rsid w:val="00AC4291"/>
    <w:rsid w:val="00AC44C1"/>
    <w:rsid w:val="00AC47D0"/>
    <w:rsid w:val="00AC4804"/>
    <w:rsid w:val="00AC49F5"/>
    <w:rsid w:val="00AC4CAB"/>
    <w:rsid w:val="00AC554C"/>
    <w:rsid w:val="00AC5877"/>
    <w:rsid w:val="00AC5B8D"/>
    <w:rsid w:val="00AC5BC4"/>
    <w:rsid w:val="00AC5C74"/>
    <w:rsid w:val="00AC5D68"/>
    <w:rsid w:val="00AC6196"/>
    <w:rsid w:val="00AC645F"/>
    <w:rsid w:val="00AC657B"/>
    <w:rsid w:val="00AC70BC"/>
    <w:rsid w:val="00AC75FD"/>
    <w:rsid w:val="00AC7770"/>
    <w:rsid w:val="00AC77A1"/>
    <w:rsid w:val="00AC7AC2"/>
    <w:rsid w:val="00AC7DB3"/>
    <w:rsid w:val="00AD018E"/>
    <w:rsid w:val="00AD01E9"/>
    <w:rsid w:val="00AD0410"/>
    <w:rsid w:val="00AD0550"/>
    <w:rsid w:val="00AD0F6B"/>
    <w:rsid w:val="00AD117F"/>
    <w:rsid w:val="00AD119D"/>
    <w:rsid w:val="00AD12E3"/>
    <w:rsid w:val="00AD14E2"/>
    <w:rsid w:val="00AD15E0"/>
    <w:rsid w:val="00AD15FF"/>
    <w:rsid w:val="00AD1A20"/>
    <w:rsid w:val="00AD1C46"/>
    <w:rsid w:val="00AD1FCD"/>
    <w:rsid w:val="00AD209A"/>
    <w:rsid w:val="00AD22C3"/>
    <w:rsid w:val="00AD269C"/>
    <w:rsid w:val="00AD287C"/>
    <w:rsid w:val="00AD2C31"/>
    <w:rsid w:val="00AD331C"/>
    <w:rsid w:val="00AD34C3"/>
    <w:rsid w:val="00AD365B"/>
    <w:rsid w:val="00AD37B1"/>
    <w:rsid w:val="00AD3983"/>
    <w:rsid w:val="00AD451F"/>
    <w:rsid w:val="00AD4560"/>
    <w:rsid w:val="00AD4C45"/>
    <w:rsid w:val="00AD4FF9"/>
    <w:rsid w:val="00AD5028"/>
    <w:rsid w:val="00AD5033"/>
    <w:rsid w:val="00AD529A"/>
    <w:rsid w:val="00AD55D4"/>
    <w:rsid w:val="00AD595F"/>
    <w:rsid w:val="00AD5F14"/>
    <w:rsid w:val="00AD6139"/>
    <w:rsid w:val="00AD628D"/>
    <w:rsid w:val="00AD63D5"/>
    <w:rsid w:val="00AD6840"/>
    <w:rsid w:val="00AD6AD2"/>
    <w:rsid w:val="00AD6B5D"/>
    <w:rsid w:val="00AD6EA4"/>
    <w:rsid w:val="00AD7068"/>
    <w:rsid w:val="00AD714A"/>
    <w:rsid w:val="00AD7472"/>
    <w:rsid w:val="00AD74FF"/>
    <w:rsid w:val="00AD777F"/>
    <w:rsid w:val="00AD78FD"/>
    <w:rsid w:val="00AD793E"/>
    <w:rsid w:val="00AD7957"/>
    <w:rsid w:val="00AD79F6"/>
    <w:rsid w:val="00AD7B19"/>
    <w:rsid w:val="00AD7B8C"/>
    <w:rsid w:val="00AD7BD4"/>
    <w:rsid w:val="00AD7E9C"/>
    <w:rsid w:val="00AE006E"/>
    <w:rsid w:val="00AE012B"/>
    <w:rsid w:val="00AE0185"/>
    <w:rsid w:val="00AE0440"/>
    <w:rsid w:val="00AE04E8"/>
    <w:rsid w:val="00AE054B"/>
    <w:rsid w:val="00AE0574"/>
    <w:rsid w:val="00AE0792"/>
    <w:rsid w:val="00AE0802"/>
    <w:rsid w:val="00AE08F8"/>
    <w:rsid w:val="00AE0CAC"/>
    <w:rsid w:val="00AE0D00"/>
    <w:rsid w:val="00AE0F37"/>
    <w:rsid w:val="00AE0F9F"/>
    <w:rsid w:val="00AE108A"/>
    <w:rsid w:val="00AE10E2"/>
    <w:rsid w:val="00AE1145"/>
    <w:rsid w:val="00AE1480"/>
    <w:rsid w:val="00AE1935"/>
    <w:rsid w:val="00AE19AD"/>
    <w:rsid w:val="00AE1DD5"/>
    <w:rsid w:val="00AE1ECA"/>
    <w:rsid w:val="00AE1F37"/>
    <w:rsid w:val="00AE246C"/>
    <w:rsid w:val="00AE24C2"/>
    <w:rsid w:val="00AE27FD"/>
    <w:rsid w:val="00AE298B"/>
    <w:rsid w:val="00AE2CF1"/>
    <w:rsid w:val="00AE305E"/>
    <w:rsid w:val="00AE31A6"/>
    <w:rsid w:val="00AE3450"/>
    <w:rsid w:val="00AE3575"/>
    <w:rsid w:val="00AE3579"/>
    <w:rsid w:val="00AE375D"/>
    <w:rsid w:val="00AE3CC7"/>
    <w:rsid w:val="00AE3E1F"/>
    <w:rsid w:val="00AE3F12"/>
    <w:rsid w:val="00AE3F2C"/>
    <w:rsid w:val="00AE3FF0"/>
    <w:rsid w:val="00AE4055"/>
    <w:rsid w:val="00AE46DD"/>
    <w:rsid w:val="00AE4954"/>
    <w:rsid w:val="00AE4AB9"/>
    <w:rsid w:val="00AE4ADA"/>
    <w:rsid w:val="00AE4CBE"/>
    <w:rsid w:val="00AE53E5"/>
    <w:rsid w:val="00AE5638"/>
    <w:rsid w:val="00AE5C50"/>
    <w:rsid w:val="00AE5C68"/>
    <w:rsid w:val="00AE5C70"/>
    <w:rsid w:val="00AE5DE8"/>
    <w:rsid w:val="00AE5E39"/>
    <w:rsid w:val="00AE61C3"/>
    <w:rsid w:val="00AE6C2C"/>
    <w:rsid w:val="00AE6DF1"/>
    <w:rsid w:val="00AE6E10"/>
    <w:rsid w:val="00AE6F21"/>
    <w:rsid w:val="00AE75A8"/>
    <w:rsid w:val="00AE7643"/>
    <w:rsid w:val="00AE79AF"/>
    <w:rsid w:val="00AE7CAA"/>
    <w:rsid w:val="00AF01AC"/>
    <w:rsid w:val="00AF026D"/>
    <w:rsid w:val="00AF036B"/>
    <w:rsid w:val="00AF070B"/>
    <w:rsid w:val="00AF0D03"/>
    <w:rsid w:val="00AF111E"/>
    <w:rsid w:val="00AF17C9"/>
    <w:rsid w:val="00AF1956"/>
    <w:rsid w:val="00AF1D60"/>
    <w:rsid w:val="00AF2197"/>
    <w:rsid w:val="00AF2208"/>
    <w:rsid w:val="00AF224B"/>
    <w:rsid w:val="00AF23E2"/>
    <w:rsid w:val="00AF245D"/>
    <w:rsid w:val="00AF248C"/>
    <w:rsid w:val="00AF2649"/>
    <w:rsid w:val="00AF2A0D"/>
    <w:rsid w:val="00AF2B86"/>
    <w:rsid w:val="00AF31D2"/>
    <w:rsid w:val="00AF349C"/>
    <w:rsid w:val="00AF35AC"/>
    <w:rsid w:val="00AF3623"/>
    <w:rsid w:val="00AF36AF"/>
    <w:rsid w:val="00AF3823"/>
    <w:rsid w:val="00AF3834"/>
    <w:rsid w:val="00AF3B24"/>
    <w:rsid w:val="00AF3B81"/>
    <w:rsid w:val="00AF3C66"/>
    <w:rsid w:val="00AF3C7F"/>
    <w:rsid w:val="00AF3D8E"/>
    <w:rsid w:val="00AF3E7D"/>
    <w:rsid w:val="00AF3ECA"/>
    <w:rsid w:val="00AF4164"/>
    <w:rsid w:val="00AF4749"/>
    <w:rsid w:val="00AF47B9"/>
    <w:rsid w:val="00AF490E"/>
    <w:rsid w:val="00AF49C5"/>
    <w:rsid w:val="00AF4A5B"/>
    <w:rsid w:val="00AF4D26"/>
    <w:rsid w:val="00AF501B"/>
    <w:rsid w:val="00AF5175"/>
    <w:rsid w:val="00AF5287"/>
    <w:rsid w:val="00AF5298"/>
    <w:rsid w:val="00AF530E"/>
    <w:rsid w:val="00AF54EB"/>
    <w:rsid w:val="00AF55F1"/>
    <w:rsid w:val="00AF5605"/>
    <w:rsid w:val="00AF571E"/>
    <w:rsid w:val="00AF58F4"/>
    <w:rsid w:val="00AF5F00"/>
    <w:rsid w:val="00AF6002"/>
    <w:rsid w:val="00AF6074"/>
    <w:rsid w:val="00AF6333"/>
    <w:rsid w:val="00AF654A"/>
    <w:rsid w:val="00AF658C"/>
    <w:rsid w:val="00AF6667"/>
    <w:rsid w:val="00AF6673"/>
    <w:rsid w:val="00AF68D4"/>
    <w:rsid w:val="00AF6CAB"/>
    <w:rsid w:val="00AF6CDE"/>
    <w:rsid w:val="00AF6EA5"/>
    <w:rsid w:val="00AF7023"/>
    <w:rsid w:val="00AF75CE"/>
    <w:rsid w:val="00AF7B8E"/>
    <w:rsid w:val="00AF7F4F"/>
    <w:rsid w:val="00AF7F54"/>
    <w:rsid w:val="00B00049"/>
    <w:rsid w:val="00B006F1"/>
    <w:rsid w:val="00B00C95"/>
    <w:rsid w:val="00B00EA5"/>
    <w:rsid w:val="00B00F6C"/>
    <w:rsid w:val="00B0101E"/>
    <w:rsid w:val="00B011E1"/>
    <w:rsid w:val="00B01393"/>
    <w:rsid w:val="00B01599"/>
    <w:rsid w:val="00B01DC2"/>
    <w:rsid w:val="00B01DD9"/>
    <w:rsid w:val="00B01DDD"/>
    <w:rsid w:val="00B01F44"/>
    <w:rsid w:val="00B01F5B"/>
    <w:rsid w:val="00B0273A"/>
    <w:rsid w:val="00B0299D"/>
    <w:rsid w:val="00B02A74"/>
    <w:rsid w:val="00B02DA9"/>
    <w:rsid w:val="00B02DF9"/>
    <w:rsid w:val="00B02F20"/>
    <w:rsid w:val="00B034CD"/>
    <w:rsid w:val="00B037A8"/>
    <w:rsid w:val="00B03C25"/>
    <w:rsid w:val="00B03EE6"/>
    <w:rsid w:val="00B040B8"/>
    <w:rsid w:val="00B045C6"/>
    <w:rsid w:val="00B049CD"/>
    <w:rsid w:val="00B04AA1"/>
    <w:rsid w:val="00B04AB2"/>
    <w:rsid w:val="00B04E67"/>
    <w:rsid w:val="00B06002"/>
    <w:rsid w:val="00B0629A"/>
    <w:rsid w:val="00B06344"/>
    <w:rsid w:val="00B0637E"/>
    <w:rsid w:val="00B0648E"/>
    <w:rsid w:val="00B064BD"/>
    <w:rsid w:val="00B066A3"/>
    <w:rsid w:val="00B06B46"/>
    <w:rsid w:val="00B06F86"/>
    <w:rsid w:val="00B06FBB"/>
    <w:rsid w:val="00B072C6"/>
    <w:rsid w:val="00B072F4"/>
    <w:rsid w:val="00B075AA"/>
    <w:rsid w:val="00B077EC"/>
    <w:rsid w:val="00B07950"/>
    <w:rsid w:val="00B07FD3"/>
    <w:rsid w:val="00B10230"/>
    <w:rsid w:val="00B10506"/>
    <w:rsid w:val="00B106B0"/>
    <w:rsid w:val="00B10971"/>
    <w:rsid w:val="00B10AC6"/>
    <w:rsid w:val="00B10B9E"/>
    <w:rsid w:val="00B10DD5"/>
    <w:rsid w:val="00B10F15"/>
    <w:rsid w:val="00B10FFE"/>
    <w:rsid w:val="00B1108A"/>
    <w:rsid w:val="00B114DB"/>
    <w:rsid w:val="00B11554"/>
    <w:rsid w:val="00B118DF"/>
    <w:rsid w:val="00B11BE2"/>
    <w:rsid w:val="00B11DB6"/>
    <w:rsid w:val="00B12045"/>
    <w:rsid w:val="00B120BD"/>
    <w:rsid w:val="00B120DE"/>
    <w:rsid w:val="00B124ED"/>
    <w:rsid w:val="00B12724"/>
    <w:rsid w:val="00B127E1"/>
    <w:rsid w:val="00B12996"/>
    <w:rsid w:val="00B12D96"/>
    <w:rsid w:val="00B1311A"/>
    <w:rsid w:val="00B13395"/>
    <w:rsid w:val="00B133E6"/>
    <w:rsid w:val="00B1387A"/>
    <w:rsid w:val="00B13947"/>
    <w:rsid w:val="00B13AB9"/>
    <w:rsid w:val="00B13B7E"/>
    <w:rsid w:val="00B13C5F"/>
    <w:rsid w:val="00B13C8F"/>
    <w:rsid w:val="00B13EF6"/>
    <w:rsid w:val="00B1413B"/>
    <w:rsid w:val="00B141DD"/>
    <w:rsid w:val="00B14A46"/>
    <w:rsid w:val="00B14AB6"/>
    <w:rsid w:val="00B14E3D"/>
    <w:rsid w:val="00B14F44"/>
    <w:rsid w:val="00B1505E"/>
    <w:rsid w:val="00B151F9"/>
    <w:rsid w:val="00B15504"/>
    <w:rsid w:val="00B1553B"/>
    <w:rsid w:val="00B155E5"/>
    <w:rsid w:val="00B1597F"/>
    <w:rsid w:val="00B16296"/>
    <w:rsid w:val="00B1633A"/>
    <w:rsid w:val="00B165EF"/>
    <w:rsid w:val="00B16648"/>
    <w:rsid w:val="00B16F53"/>
    <w:rsid w:val="00B16FBF"/>
    <w:rsid w:val="00B1707C"/>
    <w:rsid w:val="00B17755"/>
    <w:rsid w:val="00B178F6"/>
    <w:rsid w:val="00B17CAA"/>
    <w:rsid w:val="00B17D89"/>
    <w:rsid w:val="00B17E16"/>
    <w:rsid w:val="00B20261"/>
    <w:rsid w:val="00B2041E"/>
    <w:rsid w:val="00B2042B"/>
    <w:rsid w:val="00B20585"/>
    <w:rsid w:val="00B2086B"/>
    <w:rsid w:val="00B20EC5"/>
    <w:rsid w:val="00B20EFA"/>
    <w:rsid w:val="00B2117D"/>
    <w:rsid w:val="00B214CA"/>
    <w:rsid w:val="00B217F1"/>
    <w:rsid w:val="00B21C21"/>
    <w:rsid w:val="00B21C45"/>
    <w:rsid w:val="00B21D4C"/>
    <w:rsid w:val="00B2253F"/>
    <w:rsid w:val="00B2290D"/>
    <w:rsid w:val="00B2291C"/>
    <w:rsid w:val="00B229A4"/>
    <w:rsid w:val="00B22A5F"/>
    <w:rsid w:val="00B22ADC"/>
    <w:rsid w:val="00B22C47"/>
    <w:rsid w:val="00B22E80"/>
    <w:rsid w:val="00B23167"/>
    <w:rsid w:val="00B231C9"/>
    <w:rsid w:val="00B231E2"/>
    <w:rsid w:val="00B23217"/>
    <w:rsid w:val="00B23429"/>
    <w:rsid w:val="00B23520"/>
    <w:rsid w:val="00B236A5"/>
    <w:rsid w:val="00B236C2"/>
    <w:rsid w:val="00B23A62"/>
    <w:rsid w:val="00B23F91"/>
    <w:rsid w:val="00B2413C"/>
    <w:rsid w:val="00B24276"/>
    <w:rsid w:val="00B2475A"/>
    <w:rsid w:val="00B247B9"/>
    <w:rsid w:val="00B247FA"/>
    <w:rsid w:val="00B24975"/>
    <w:rsid w:val="00B24A87"/>
    <w:rsid w:val="00B24B68"/>
    <w:rsid w:val="00B24FB1"/>
    <w:rsid w:val="00B24FD5"/>
    <w:rsid w:val="00B2521D"/>
    <w:rsid w:val="00B25638"/>
    <w:rsid w:val="00B25644"/>
    <w:rsid w:val="00B256B2"/>
    <w:rsid w:val="00B25AFF"/>
    <w:rsid w:val="00B25B3E"/>
    <w:rsid w:val="00B25F26"/>
    <w:rsid w:val="00B25F49"/>
    <w:rsid w:val="00B25F50"/>
    <w:rsid w:val="00B25FA6"/>
    <w:rsid w:val="00B260D1"/>
    <w:rsid w:val="00B260E8"/>
    <w:rsid w:val="00B26234"/>
    <w:rsid w:val="00B26237"/>
    <w:rsid w:val="00B2634F"/>
    <w:rsid w:val="00B26972"/>
    <w:rsid w:val="00B26A69"/>
    <w:rsid w:val="00B26B7E"/>
    <w:rsid w:val="00B26C53"/>
    <w:rsid w:val="00B26C73"/>
    <w:rsid w:val="00B26EA3"/>
    <w:rsid w:val="00B27290"/>
    <w:rsid w:val="00B278A5"/>
    <w:rsid w:val="00B300F4"/>
    <w:rsid w:val="00B30199"/>
    <w:rsid w:val="00B30374"/>
    <w:rsid w:val="00B307FF"/>
    <w:rsid w:val="00B30875"/>
    <w:rsid w:val="00B30AA2"/>
    <w:rsid w:val="00B30AC2"/>
    <w:rsid w:val="00B30B23"/>
    <w:rsid w:val="00B30C03"/>
    <w:rsid w:val="00B30D07"/>
    <w:rsid w:val="00B30EB3"/>
    <w:rsid w:val="00B30F8D"/>
    <w:rsid w:val="00B3173D"/>
    <w:rsid w:val="00B317E3"/>
    <w:rsid w:val="00B31B3A"/>
    <w:rsid w:val="00B31C36"/>
    <w:rsid w:val="00B31F00"/>
    <w:rsid w:val="00B324E2"/>
    <w:rsid w:val="00B3262F"/>
    <w:rsid w:val="00B326BD"/>
    <w:rsid w:val="00B32862"/>
    <w:rsid w:val="00B32AAA"/>
    <w:rsid w:val="00B32B6D"/>
    <w:rsid w:val="00B32EFE"/>
    <w:rsid w:val="00B330BB"/>
    <w:rsid w:val="00B331B6"/>
    <w:rsid w:val="00B3322D"/>
    <w:rsid w:val="00B33772"/>
    <w:rsid w:val="00B33A75"/>
    <w:rsid w:val="00B33B89"/>
    <w:rsid w:val="00B33BAC"/>
    <w:rsid w:val="00B3414B"/>
    <w:rsid w:val="00B34290"/>
    <w:rsid w:val="00B343B0"/>
    <w:rsid w:val="00B34C60"/>
    <w:rsid w:val="00B34EB7"/>
    <w:rsid w:val="00B35202"/>
    <w:rsid w:val="00B354CC"/>
    <w:rsid w:val="00B35625"/>
    <w:rsid w:val="00B359EA"/>
    <w:rsid w:val="00B3602B"/>
    <w:rsid w:val="00B362A3"/>
    <w:rsid w:val="00B36979"/>
    <w:rsid w:val="00B3697E"/>
    <w:rsid w:val="00B369F9"/>
    <w:rsid w:val="00B36B2D"/>
    <w:rsid w:val="00B36C0F"/>
    <w:rsid w:val="00B37135"/>
    <w:rsid w:val="00B37734"/>
    <w:rsid w:val="00B37801"/>
    <w:rsid w:val="00B37B35"/>
    <w:rsid w:val="00B37D34"/>
    <w:rsid w:val="00B37DEE"/>
    <w:rsid w:val="00B37F9A"/>
    <w:rsid w:val="00B4017B"/>
    <w:rsid w:val="00B402D7"/>
    <w:rsid w:val="00B407B6"/>
    <w:rsid w:val="00B4089D"/>
    <w:rsid w:val="00B408F1"/>
    <w:rsid w:val="00B410FF"/>
    <w:rsid w:val="00B41239"/>
    <w:rsid w:val="00B412D2"/>
    <w:rsid w:val="00B41480"/>
    <w:rsid w:val="00B415F7"/>
    <w:rsid w:val="00B417C4"/>
    <w:rsid w:val="00B41824"/>
    <w:rsid w:val="00B418F5"/>
    <w:rsid w:val="00B41A67"/>
    <w:rsid w:val="00B41D60"/>
    <w:rsid w:val="00B41D63"/>
    <w:rsid w:val="00B41DB7"/>
    <w:rsid w:val="00B41E56"/>
    <w:rsid w:val="00B42037"/>
    <w:rsid w:val="00B42284"/>
    <w:rsid w:val="00B4230D"/>
    <w:rsid w:val="00B42601"/>
    <w:rsid w:val="00B4263B"/>
    <w:rsid w:val="00B426F0"/>
    <w:rsid w:val="00B429CB"/>
    <w:rsid w:val="00B42AA6"/>
    <w:rsid w:val="00B42B34"/>
    <w:rsid w:val="00B42E25"/>
    <w:rsid w:val="00B43275"/>
    <w:rsid w:val="00B43436"/>
    <w:rsid w:val="00B43D8A"/>
    <w:rsid w:val="00B44192"/>
    <w:rsid w:val="00B44195"/>
    <w:rsid w:val="00B4440F"/>
    <w:rsid w:val="00B44705"/>
    <w:rsid w:val="00B4491F"/>
    <w:rsid w:val="00B44953"/>
    <w:rsid w:val="00B44A44"/>
    <w:rsid w:val="00B44B52"/>
    <w:rsid w:val="00B452C9"/>
    <w:rsid w:val="00B45BFC"/>
    <w:rsid w:val="00B45CDF"/>
    <w:rsid w:val="00B4613E"/>
    <w:rsid w:val="00B46211"/>
    <w:rsid w:val="00B46222"/>
    <w:rsid w:val="00B463C1"/>
    <w:rsid w:val="00B463E4"/>
    <w:rsid w:val="00B465AC"/>
    <w:rsid w:val="00B4660A"/>
    <w:rsid w:val="00B46932"/>
    <w:rsid w:val="00B47450"/>
    <w:rsid w:val="00B477C5"/>
    <w:rsid w:val="00B47BA7"/>
    <w:rsid w:val="00B47C67"/>
    <w:rsid w:val="00B47C8F"/>
    <w:rsid w:val="00B47DBA"/>
    <w:rsid w:val="00B47E66"/>
    <w:rsid w:val="00B47EB6"/>
    <w:rsid w:val="00B47F36"/>
    <w:rsid w:val="00B47F6D"/>
    <w:rsid w:val="00B50000"/>
    <w:rsid w:val="00B50137"/>
    <w:rsid w:val="00B50500"/>
    <w:rsid w:val="00B50662"/>
    <w:rsid w:val="00B50A48"/>
    <w:rsid w:val="00B50E0C"/>
    <w:rsid w:val="00B50FB5"/>
    <w:rsid w:val="00B51684"/>
    <w:rsid w:val="00B519E0"/>
    <w:rsid w:val="00B51B2C"/>
    <w:rsid w:val="00B51B34"/>
    <w:rsid w:val="00B51B79"/>
    <w:rsid w:val="00B51BC3"/>
    <w:rsid w:val="00B51C7D"/>
    <w:rsid w:val="00B51DAE"/>
    <w:rsid w:val="00B520F8"/>
    <w:rsid w:val="00B5225F"/>
    <w:rsid w:val="00B5359A"/>
    <w:rsid w:val="00B53908"/>
    <w:rsid w:val="00B53CDD"/>
    <w:rsid w:val="00B53DB4"/>
    <w:rsid w:val="00B540DA"/>
    <w:rsid w:val="00B540F1"/>
    <w:rsid w:val="00B544C0"/>
    <w:rsid w:val="00B55072"/>
    <w:rsid w:val="00B551AE"/>
    <w:rsid w:val="00B55229"/>
    <w:rsid w:val="00B5537D"/>
    <w:rsid w:val="00B553AE"/>
    <w:rsid w:val="00B55603"/>
    <w:rsid w:val="00B55658"/>
    <w:rsid w:val="00B5596A"/>
    <w:rsid w:val="00B56586"/>
    <w:rsid w:val="00B566BC"/>
    <w:rsid w:val="00B5686B"/>
    <w:rsid w:val="00B5688E"/>
    <w:rsid w:val="00B568BB"/>
    <w:rsid w:val="00B568D2"/>
    <w:rsid w:val="00B56A19"/>
    <w:rsid w:val="00B56C07"/>
    <w:rsid w:val="00B56C0D"/>
    <w:rsid w:val="00B56DC4"/>
    <w:rsid w:val="00B56E7E"/>
    <w:rsid w:val="00B56FC0"/>
    <w:rsid w:val="00B5726C"/>
    <w:rsid w:val="00B57297"/>
    <w:rsid w:val="00B572E6"/>
    <w:rsid w:val="00B5748C"/>
    <w:rsid w:val="00B57A6B"/>
    <w:rsid w:val="00B57DC0"/>
    <w:rsid w:val="00B57ECB"/>
    <w:rsid w:val="00B600E4"/>
    <w:rsid w:val="00B601A1"/>
    <w:rsid w:val="00B603A4"/>
    <w:rsid w:val="00B60946"/>
    <w:rsid w:val="00B60999"/>
    <w:rsid w:val="00B60BC8"/>
    <w:rsid w:val="00B61338"/>
    <w:rsid w:val="00B61709"/>
    <w:rsid w:val="00B618D2"/>
    <w:rsid w:val="00B61F70"/>
    <w:rsid w:val="00B62274"/>
    <w:rsid w:val="00B6253E"/>
    <w:rsid w:val="00B625FE"/>
    <w:rsid w:val="00B627B2"/>
    <w:rsid w:val="00B62958"/>
    <w:rsid w:val="00B6299A"/>
    <w:rsid w:val="00B62AFB"/>
    <w:rsid w:val="00B62B20"/>
    <w:rsid w:val="00B62BC4"/>
    <w:rsid w:val="00B62E24"/>
    <w:rsid w:val="00B62E42"/>
    <w:rsid w:val="00B62FF7"/>
    <w:rsid w:val="00B6344B"/>
    <w:rsid w:val="00B63473"/>
    <w:rsid w:val="00B635A3"/>
    <w:rsid w:val="00B63848"/>
    <w:rsid w:val="00B63B5F"/>
    <w:rsid w:val="00B63D6F"/>
    <w:rsid w:val="00B63F8E"/>
    <w:rsid w:val="00B6414E"/>
    <w:rsid w:val="00B64293"/>
    <w:rsid w:val="00B6445E"/>
    <w:rsid w:val="00B644FA"/>
    <w:rsid w:val="00B645D9"/>
    <w:rsid w:val="00B646AB"/>
    <w:rsid w:val="00B646C5"/>
    <w:rsid w:val="00B6472C"/>
    <w:rsid w:val="00B6480C"/>
    <w:rsid w:val="00B64AD8"/>
    <w:rsid w:val="00B64C02"/>
    <w:rsid w:val="00B652D9"/>
    <w:rsid w:val="00B65328"/>
    <w:rsid w:val="00B6534A"/>
    <w:rsid w:val="00B65A67"/>
    <w:rsid w:val="00B65C75"/>
    <w:rsid w:val="00B660B3"/>
    <w:rsid w:val="00B6658C"/>
    <w:rsid w:val="00B66658"/>
    <w:rsid w:val="00B66A8F"/>
    <w:rsid w:val="00B66B39"/>
    <w:rsid w:val="00B66CE1"/>
    <w:rsid w:val="00B66FC4"/>
    <w:rsid w:val="00B66FC7"/>
    <w:rsid w:val="00B672EB"/>
    <w:rsid w:val="00B675B4"/>
    <w:rsid w:val="00B67731"/>
    <w:rsid w:val="00B67A4E"/>
    <w:rsid w:val="00B67C06"/>
    <w:rsid w:val="00B67D1C"/>
    <w:rsid w:val="00B70548"/>
    <w:rsid w:val="00B706DF"/>
    <w:rsid w:val="00B7076B"/>
    <w:rsid w:val="00B708B8"/>
    <w:rsid w:val="00B70AE5"/>
    <w:rsid w:val="00B70FA3"/>
    <w:rsid w:val="00B716AE"/>
    <w:rsid w:val="00B71715"/>
    <w:rsid w:val="00B71906"/>
    <w:rsid w:val="00B719BD"/>
    <w:rsid w:val="00B7202E"/>
    <w:rsid w:val="00B72315"/>
    <w:rsid w:val="00B72855"/>
    <w:rsid w:val="00B72E6F"/>
    <w:rsid w:val="00B72EE7"/>
    <w:rsid w:val="00B72F4D"/>
    <w:rsid w:val="00B7318C"/>
    <w:rsid w:val="00B731E0"/>
    <w:rsid w:val="00B732A7"/>
    <w:rsid w:val="00B7366E"/>
    <w:rsid w:val="00B737A1"/>
    <w:rsid w:val="00B737E2"/>
    <w:rsid w:val="00B73A58"/>
    <w:rsid w:val="00B73B57"/>
    <w:rsid w:val="00B73C0C"/>
    <w:rsid w:val="00B73CD6"/>
    <w:rsid w:val="00B73DAE"/>
    <w:rsid w:val="00B740B9"/>
    <w:rsid w:val="00B745F0"/>
    <w:rsid w:val="00B747B1"/>
    <w:rsid w:val="00B747DC"/>
    <w:rsid w:val="00B74877"/>
    <w:rsid w:val="00B74938"/>
    <w:rsid w:val="00B74B3C"/>
    <w:rsid w:val="00B7516A"/>
    <w:rsid w:val="00B75441"/>
    <w:rsid w:val="00B7551D"/>
    <w:rsid w:val="00B757E0"/>
    <w:rsid w:val="00B76090"/>
    <w:rsid w:val="00B763BA"/>
    <w:rsid w:val="00B764B8"/>
    <w:rsid w:val="00B765F8"/>
    <w:rsid w:val="00B766C1"/>
    <w:rsid w:val="00B76792"/>
    <w:rsid w:val="00B76820"/>
    <w:rsid w:val="00B769BF"/>
    <w:rsid w:val="00B76A54"/>
    <w:rsid w:val="00B76D61"/>
    <w:rsid w:val="00B7703F"/>
    <w:rsid w:val="00B772CC"/>
    <w:rsid w:val="00B774E9"/>
    <w:rsid w:val="00B7760C"/>
    <w:rsid w:val="00B7786A"/>
    <w:rsid w:val="00B778EB"/>
    <w:rsid w:val="00B77A38"/>
    <w:rsid w:val="00B77A86"/>
    <w:rsid w:val="00B77AD9"/>
    <w:rsid w:val="00B77BBB"/>
    <w:rsid w:val="00B77F7E"/>
    <w:rsid w:val="00B77FFE"/>
    <w:rsid w:val="00B80291"/>
    <w:rsid w:val="00B803A4"/>
    <w:rsid w:val="00B80427"/>
    <w:rsid w:val="00B806E2"/>
    <w:rsid w:val="00B808FD"/>
    <w:rsid w:val="00B80FF2"/>
    <w:rsid w:val="00B81082"/>
    <w:rsid w:val="00B81200"/>
    <w:rsid w:val="00B81445"/>
    <w:rsid w:val="00B81581"/>
    <w:rsid w:val="00B81D20"/>
    <w:rsid w:val="00B81E08"/>
    <w:rsid w:val="00B81EFD"/>
    <w:rsid w:val="00B8219A"/>
    <w:rsid w:val="00B82316"/>
    <w:rsid w:val="00B823E1"/>
    <w:rsid w:val="00B824D7"/>
    <w:rsid w:val="00B82762"/>
    <w:rsid w:val="00B82989"/>
    <w:rsid w:val="00B82B91"/>
    <w:rsid w:val="00B82C1D"/>
    <w:rsid w:val="00B82C76"/>
    <w:rsid w:val="00B82E07"/>
    <w:rsid w:val="00B82E6B"/>
    <w:rsid w:val="00B82F31"/>
    <w:rsid w:val="00B83184"/>
    <w:rsid w:val="00B83241"/>
    <w:rsid w:val="00B83843"/>
    <w:rsid w:val="00B83C14"/>
    <w:rsid w:val="00B83C8C"/>
    <w:rsid w:val="00B842F6"/>
    <w:rsid w:val="00B84B48"/>
    <w:rsid w:val="00B85636"/>
    <w:rsid w:val="00B857A6"/>
    <w:rsid w:val="00B85843"/>
    <w:rsid w:val="00B85C2D"/>
    <w:rsid w:val="00B85D85"/>
    <w:rsid w:val="00B85DFE"/>
    <w:rsid w:val="00B85E05"/>
    <w:rsid w:val="00B85EE4"/>
    <w:rsid w:val="00B86249"/>
    <w:rsid w:val="00B863E7"/>
    <w:rsid w:val="00B865EB"/>
    <w:rsid w:val="00B8665F"/>
    <w:rsid w:val="00B866A9"/>
    <w:rsid w:val="00B86748"/>
    <w:rsid w:val="00B87324"/>
    <w:rsid w:val="00B8766D"/>
    <w:rsid w:val="00B87742"/>
    <w:rsid w:val="00B87901"/>
    <w:rsid w:val="00B87BB3"/>
    <w:rsid w:val="00B87BC8"/>
    <w:rsid w:val="00B87FB1"/>
    <w:rsid w:val="00B87FB8"/>
    <w:rsid w:val="00B87FC5"/>
    <w:rsid w:val="00B9012B"/>
    <w:rsid w:val="00B90241"/>
    <w:rsid w:val="00B9024B"/>
    <w:rsid w:val="00B90833"/>
    <w:rsid w:val="00B90ACB"/>
    <w:rsid w:val="00B90B3F"/>
    <w:rsid w:val="00B91091"/>
    <w:rsid w:val="00B910AC"/>
    <w:rsid w:val="00B9127A"/>
    <w:rsid w:val="00B913D7"/>
    <w:rsid w:val="00B9150E"/>
    <w:rsid w:val="00B915EC"/>
    <w:rsid w:val="00B918CE"/>
    <w:rsid w:val="00B919C3"/>
    <w:rsid w:val="00B91B4A"/>
    <w:rsid w:val="00B91B6C"/>
    <w:rsid w:val="00B91D2D"/>
    <w:rsid w:val="00B9200F"/>
    <w:rsid w:val="00B9201A"/>
    <w:rsid w:val="00B921F2"/>
    <w:rsid w:val="00B92233"/>
    <w:rsid w:val="00B92FF5"/>
    <w:rsid w:val="00B9314F"/>
    <w:rsid w:val="00B932B8"/>
    <w:rsid w:val="00B935BA"/>
    <w:rsid w:val="00B9381E"/>
    <w:rsid w:val="00B939DA"/>
    <w:rsid w:val="00B93A2D"/>
    <w:rsid w:val="00B93B4B"/>
    <w:rsid w:val="00B93EF3"/>
    <w:rsid w:val="00B94968"/>
    <w:rsid w:val="00B94A64"/>
    <w:rsid w:val="00B94CE1"/>
    <w:rsid w:val="00B94D1B"/>
    <w:rsid w:val="00B94F86"/>
    <w:rsid w:val="00B95245"/>
    <w:rsid w:val="00B952A2"/>
    <w:rsid w:val="00B952F7"/>
    <w:rsid w:val="00B95668"/>
    <w:rsid w:val="00B95A25"/>
    <w:rsid w:val="00B95B05"/>
    <w:rsid w:val="00B95C55"/>
    <w:rsid w:val="00B95CB6"/>
    <w:rsid w:val="00B95F78"/>
    <w:rsid w:val="00B96011"/>
    <w:rsid w:val="00B96202"/>
    <w:rsid w:val="00B962F6"/>
    <w:rsid w:val="00B966E5"/>
    <w:rsid w:val="00B96716"/>
    <w:rsid w:val="00B96866"/>
    <w:rsid w:val="00B97158"/>
    <w:rsid w:val="00B9747B"/>
    <w:rsid w:val="00B9751E"/>
    <w:rsid w:val="00B9752D"/>
    <w:rsid w:val="00B9760F"/>
    <w:rsid w:val="00B977F7"/>
    <w:rsid w:val="00B978C7"/>
    <w:rsid w:val="00B97FA6"/>
    <w:rsid w:val="00BA0022"/>
    <w:rsid w:val="00BA01CD"/>
    <w:rsid w:val="00BA04A9"/>
    <w:rsid w:val="00BA05E7"/>
    <w:rsid w:val="00BA0621"/>
    <w:rsid w:val="00BA0BAF"/>
    <w:rsid w:val="00BA0FAE"/>
    <w:rsid w:val="00BA1136"/>
    <w:rsid w:val="00BA15B9"/>
    <w:rsid w:val="00BA1684"/>
    <w:rsid w:val="00BA1934"/>
    <w:rsid w:val="00BA198B"/>
    <w:rsid w:val="00BA1DCE"/>
    <w:rsid w:val="00BA1F7A"/>
    <w:rsid w:val="00BA2163"/>
    <w:rsid w:val="00BA2193"/>
    <w:rsid w:val="00BA22D9"/>
    <w:rsid w:val="00BA24E0"/>
    <w:rsid w:val="00BA250A"/>
    <w:rsid w:val="00BA2814"/>
    <w:rsid w:val="00BA29A0"/>
    <w:rsid w:val="00BA2B37"/>
    <w:rsid w:val="00BA2F39"/>
    <w:rsid w:val="00BA2FA2"/>
    <w:rsid w:val="00BA2FC1"/>
    <w:rsid w:val="00BA2FD6"/>
    <w:rsid w:val="00BA3259"/>
    <w:rsid w:val="00BA326D"/>
    <w:rsid w:val="00BA348E"/>
    <w:rsid w:val="00BA3580"/>
    <w:rsid w:val="00BA36A1"/>
    <w:rsid w:val="00BA3732"/>
    <w:rsid w:val="00BA38AF"/>
    <w:rsid w:val="00BA420F"/>
    <w:rsid w:val="00BA468D"/>
    <w:rsid w:val="00BA490C"/>
    <w:rsid w:val="00BA49E3"/>
    <w:rsid w:val="00BA4A2E"/>
    <w:rsid w:val="00BA4B70"/>
    <w:rsid w:val="00BA4B8D"/>
    <w:rsid w:val="00BA4C63"/>
    <w:rsid w:val="00BA4E2B"/>
    <w:rsid w:val="00BA4EC3"/>
    <w:rsid w:val="00BA5057"/>
    <w:rsid w:val="00BA547F"/>
    <w:rsid w:val="00BA5655"/>
    <w:rsid w:val="00BA5795"/>
    <w:rsid w:val="00BA5D1C"/>
    <w:rsid w:val="00BA5F50"/>
    <w:rsid w:val="00BA65E5"/>
    <w:rsid w:val="00BA6D50"/>
    <w:rsid w:val="00BA6DD1"/>
    <w:rsid w:val="00BA6ED9"/>
    <w:rsid w:val="00BA6F54"/>
    <w:rsid w:val="00BA702C"/>
    <w:rsid w:val="00BA717E"/>
    <w:rsid w:val="00BA7235"/>
    <w:rsid w:val="00BA729B"/>
    <w:rsid w:val="00BA785E"/>
    <w:rsid w:val="00BA78FE"/>
    <w:rsid w:val="00BA7E3C"/>
    <w:rsid w:val="00BA7EEB"/>
    <w:rsid w:val="00BB00EC"/>
    <w:rsid w:val="00BB0232"/>
    <w:rsid w:val="00BB02E1"/>
    <w:rsid w:val="00BB04C9"/>
    <w:rsid w:val="00BB0614"/>
    <w:rsid w:val="00BB086E"/>
    <w:rsid w:val="00BB0945"/>
    <w:rsid w:val="00BB0E16"/>
    <w:rsid w:val="00BB0EF3"/>
    <w:rsid w:val="00BB1127"/>
    <w:rsid w:val="00BB1251"/>
    <w:rsid w:val="00BB12B1"/>
    <w:rsid w:val="00BB1331"/>
    <w:rsid w:val="00BB19C3"/>
    <w:rsid w:val="00BB1A68"/>
    <w:rsid w:val="00BB2005"/>
    <w:rsid w:val="00BB22F8"/>
    <w:rsid w:val="00BB23E1"/>
    <w:rsid w:val="00BB25A5"/>
    <w:rsid w:val="00BB2993"/>
    <w:rsid w:val="00BB2A17"/>
    <w:rsid w:val="00BB2A49"/>
    <w:rsid w:val="00BB2BFC"/>
    <w:rsid w:val="00BB2C90"/>
    <w:rsid w:val="00BB2E47"/>
    <w:rsid w:val="00BB3170"/>
    <w:rsid w:val="00BB327B"/>
    <w:rsid w:val="00BB32A4"/>
    <w:rsid w:val="00BB32CE"/>
    <w:rsid w:val="00BB3434"/>
    <w:rsid w:val="00BB399E"/>
    <w:rsid w:val="00BB3A57"/>
    <w:rsid w:val="00BB3AB0"/>
    <w:rsid w:val="00BB3D2A"/>
    <w:rsid w:val="00BB4115"/>
    <w:rsid w:val="00BB41AD"/>
    <w:rsid w:val="00BB4551"/>
    <w:rsid w:val="00BB4871"/>
    <w:rsid w:val="00BB48BE"/>
    <w:rsid w:val="00BB4C73"/>
    <w:rsid w:val="00BB4D46"/>
    <w:rsid w:val="00BB5043"/>
    <w:rsid w:val="00BB5404"/>
    <w:rsid w:val="00BB54C4"/>
    <w:rsid w:val="00BB5662"/>
    <w:rsid w:val="00BB5C77"/>
    <w:rsid w:val="00BB5C91"/>
    <w:rsid w:val="00BB5F11"/>
    <w:rsid w:val="00BB61EB"/>
    <w:rsid w:val="00BB61F5"/>
    <w:rsid w:val="00BB623B"/>
    <w:rsid w:val="00BB62A4"/>
    <w:rsid w:val="00BB6450"/>
    <w:rsid w:val="00BB6547"/>
    <w:rsid w:val="00BB66C6"/>
    <w:rsid w:val="00BB67BB"/>
    <w:rsid w:val="00BB67F4"/>
    <w:rsid w:val="00BB6A1B"/>
    <w:rsid w:val="00BB6D8E"/>
    <w:rsid w:val="00BB6F33"/>
    <w:rsid w:val="00BB71FF"/>
    <w:rsid w:val="00BB740B"/>
    <w:rsid w:val="00BB7680"/>
    <w:rsid w:val="00BB7B79"/>
    <w:rsid w:val="00BB7DA9"/>
    <w:rsid w:val="00BB7EF8"/>
    <w:rsid w:val="00BC0053"/>
    <w:rsid w:val="00BC01E4"/>
    <w:rsid w:val="00BC023A"/>
    <w:rsid w:val="00BC0359"/>
    <w:rsid w:val="00BC0567"/>
    <w:rsid w:val="00BC05FF"/>
    <w:rsid w:val="00BC0656"/>
    <w:rsid w:val="00BC0687"/>
    <w:rsid w:val="00BC073D"/>
    <w:rsid w:val="00BC0814"/>
    <w:rsid w:val="00BC0BB8"/>
    <w:rsid w:val="00BC0D6B"/>
    <w:rsid w:val="00BC0D9E"/>
    <w:rsid w:val="00BC1110"/>
    <w:rsid w:val="00BC1260"/>
    <w:rsid w:val="00BC12A1"/>
    <w:rsid w:val="00BC14B8"/>
    <w:rsid w:val="00BC19DE"/>
    <w:rsid w:val="00BC19E5"/>
    <w:rsid w:val="00BC19F9"/>
    <w:rsid w:val="00BC1B34"/>
    <w:rsid w:val="00BC1B72"/>
    <w:rsid w:val="00BC1C0C"/>
    <w:rsid w:val="00BC201F"/>
    <w:rsid w:val="00BC2110"/>
    <w:rsid w:val="00BC214A"/>
    <w:rsid w:val="00BC234D"/>
    <w:rsid w:val="00BC248B"/>
    <w:rsid w:val="00BC24FB"/>
    <w:rsid w:val="00BC27AE"/>
    <w:rsid w:val="00BC2B67"/>
    <w:rsid w:val="00BC2B88"/>
    <w:rsid w:val="00BC2D09"/>
    <w:rsid w:val="00BC2D2C"/>
    <w:rsid w:val="00BC2FEC"/>
    <w:rsid w:val="00BC2FF7"/>
    <w:rsid w:val="00BC2FFB"/>
    <w:rsid w:val="00BC301E"/>
    <w:rsid w:val="00BC33B4"/>
    <w:rsid w:val="00BC35C2"/>
    <w:rsid w:val="00BC3658"/>
    <w:rsid w:val="00BC3EB3"/>
    <w:rsid w:val="00BC40BF"/>
    <w:rsid w:val="00BC4447"/>
    <w:rsid w:val="00BC4626"/>
    <w:rsid w:val="00BC46E7"/>
    <w:rsid w:val="00BC48C2"/>
    <w:rsid w:val="00BC4971"/>
    <w:rsid w:val="00BC499E"/>
    <w:rsid w:val="00BC4A3C"/>
    <w:rsid w:val="00BC4B44"/>
    <w:rsid w:val="00BC4E31"/>
    <w:rsid w:val="00BC4F09"/>
    <w:rsid w:val="00BC4FED"/>
    <w:rsid w:val="00BC5064"/>
    <w:rsid w:val="00BC5229"/>
    <w:rsid w:val="00BC5364"/>
    <w:rsid w:val="00BC56D0"/>
    <w:rsid w:val="00BC5C89"/>
    <w:rsid w:val="00BC5E9B"/>
    <w:rsid w:val="00BC5F72"/>
    <w:rsid w:val="00BC617C"/>
    <w:rsid w:val="00BC62BE"/>
    <w:rsid w:val="00BC6391"/>
    <w:rsid w:val="00BC65A6"/>
    <w:rsid w:val="00BC66E5"/>
    <w:rsid w:val="00BC6713"/>
    <w:rsid w:val="00BC6C05"/>
    <w:rsid w:val="00BC6C4A"/>
    <w:rsid w:val="00BC702D"/>
    <w:rsid w:val="00BC721E"/>
    <w:rsid w:val="00BC7248"/>
    <w:rsid w:val="00BC73B2"/>
    <w:rsid w:val="00BC742A"/>
    <w:rsid w:val="00BC7446"/>
    <w:rsid w:val="00BC74BD"/>
    <w:rsid w:val="00BC78A4"/>
    <w:rsid w:val="00BC7910"/>
    <w:rsid w:val="00BC79C8"/>
    <w:rsid w:val="00BC79CF"/>
    <w:rsid w:val="00BC7A6C"/>
    <w:rsid w:val="00BC7BF8"/>
    <w:rsid w:val="00BC7DB5"/>
    <w:rsid w:val="00BC7DBF"/>
    <w:rsid w:val="00BC7F06"/>
    <w:rsid w:val="00BD0307"/>
    <w:rsid w:val="00BD0558"/>
    <w:rsid w:val="00BD071B"/>
    <w:rsid w:val="00BD0720"/>
    <w:rsid w:val="00BD0926"/>
    <w:rsid w:val="00BD0E0A"/>
    <w:rsid w:val="00BD0F11"/>
    <w:rsid w:val="00BD10B5"/>
    <w:rsid w:val="00BD1274"/>
    <w:rsid w:val="00BD1406"/>
    <w:rsid w:val="00BD14ED"/>
    <w:rsid w:val="00BD1595"/>
    <w:rsid w:val="00BD1683"/>
    <w:rsid w:val="00BD1A35"/>
    <w:rsid w:val="00BD1AFA"/>
    <w:rsid w:val="00BD2454"/>
    <w:rsid w:val="00BD26FB"/>
    <w:rsid w:val="00BD291F"/>
    <w:rsid w:val="00BD3002"/>
    <w:rsid w:val="00BD323B"/>
    <w:rsid w:val="00BD343A"/>
    <w:rsid w:val="00BD35F4"/>
    <w:rsid w:val="00BD409D"/>
    <w:rsid w:val="00BD43F8"/>
    <w:rsid w:val="00BD4B3F"/>
    <w:rsid w:val="00BD4D2B"/>
    <w:rsid w:val="00BD5020"/>
    <w:rsid w:val="00BD52F1"/>
    <w:rsid w:val="00BD53AB"/>
    <w:rsid w:val="00BD5593"/>
    <w:rsid w:val="00BD56C2"/>
    <w:rsid w:val="00BD5991"/>
    <w:rsid w:val="00BD59EA"/>
    <w:rsid w:val="00BD5AAD"/>
    <w:rsid w:val="00BD5C86"/>
    <w:rsid w:val="00BD5E87"/>
    <w:rsid w:val="00BD5F5B"/>
    <w:rsid w:val="00BD6267"/>
    <w:rsid w:val="00BD6354"/>
    <w:rsid w:val="00BD63BE"/>
    <w:rsid w:val="00BD643A"/>
    <w:rsid w:val="00BD646A"/>
    <w:rsid w:val="00BD674A"/>
    <w:rsid w:val="00BD6BED"/>
    <w:rsid w:val="00BD7016"/>
    <w:rsid w:val="00BD7164"/>
    <w:rsid w:val="00BD726C"/>
    <w:rsid w:val="00BD75FA"/>
    <w:rsid w:val="00BD7685"/>
    <w:rsid w:val="00BD7AEB"/>
    <w:rsid w:val="00BD7C71"/>
    <w:rsid w:val="00BD7CAA"/>
    <w:rsid w:val="00BD7F8D"/>
    <w:rsid w:val="00BD7FA6"/>
    <w:rsid w:val="00BE01B3"/>
    <w:rsid w:val="00BE01D7"/>
    <w:rsid w:val="00BE01FC"/>
    <w:rsid w:val="00BE045F"/>
    <w:rsid w:val="00BE0532"/>
    <w:rsid w:val="00BE0553"/>
    <w:rsid w:val="00BE08EB"/>
    <w:rsid w:val="00BE10C0"/>
    <w:rsid w:val="00BE11DA"/>
    <w:rsid w:val="00BE1256"/>
    <w:rsid w:val="00BE13AA"/>
    <w:rsid w:val="00BE168D"/>
    <w:rsid w:val="00BE170F"/>
    <w:rsid w:val="00BE1BCA"/>
    <w:rsid w:val="00BE1CB8"/>
    <w:rsid w:val="00BE1E84"/>
    <w:rsid w:val="00BE1E89"/>
    <w:rsid w:val="00BE2116"/>
    <w:rsid w:val="00BE288A"/>
    <w:rsid w:val="00BE2919"/>
    <w:rsid w:val="00BE2F46"/>
    <w:rsid w:val="00BE31BD"/>
    <w:rsid w:val="00BE32DB"/>
    <w:rsid w:val="00BE3436"/>
    <w:rsid w:val="00BE356B"/>
    <w:rsid w:val="00BE366B"/>
    <w:rsid w:val="00BE395E"/>
    <w:rsid w:val="00BE3960"/>
    <w:rsid w:val="00BE3A1F"/>
    <w:rsid w:val="00BE3B53"/>
    <w:rsid w:val="00BE3D55"/>
    <w:rsid w:val="00BE3E4A"/>
    <w:rsid w:val="00BE3ED3"/>
    <w:rsid w:val="00BE43BB"/>
    <w:rsid w:val="00BE44E4"/>
    <w:rsid w:val="00BE4A94"/>
    <w:rsid w:val="00BE4C03"/>
    <w:rsid w:val="00BE4CE5"/>
    <w:rsid w:val="00BE4D27"/>
    <w:rsid w:val="00BE50A0"/>
    <w:rsid w:val="00BE5238"/>
    <w:rsid w:val="00BE54F5"/>
    <w:rsid w:val="00BE56D8"/>
    <w:rsid w:val="00BE585C"/>
    <w:rsid w:val="00BE5E35"/>
    <w:rsid w:val="00BE5F6C"/>
    <w:rsid w:val="00BE60D2"/>
    <w:rsid w:val="00BE61D3"/>
    <w:rsid w:val="00BE6C89"/>
    <w:rsid w:val="00BE714A"/>
    <w:rsid w:val="00BE7319"/>
    <w:rsid w:val="00BE7581"/>
    <w:rsid w:val="00BE77D9"/>
    <w:rsid w:val="00BE78B0"/>
    <w:rsid w:val="00BE79C3"/>
    <w:rsid w:val="00BE7D66"/>
    <w:rsid w:val="00BF0293"/>
    <w:rsid w:val="00BF0766"/>
    <w:rsid w:val="00BF083A"/>
    <w:rsid w:val="00BF087F"/>
    <w:rsid w:val="00BF0899"/>
    <w:rsid w:val="00BF093D"/>
    <w:rsid w:val="00BF094E"/>
    <w:rsid w:val="00BF0A42"/>
    <w:rsid w:val="00BF0AC2"/>
    <w:rsid w:val="00BF0ACF"/>
    <w:rsid w:val="00BF0BA3"/>
    <w:rsid w:val="00BF0BD1"/>
    <w:rsid w:val="00BF0C28"/>
    <w:rsid w:val="00BF0E3F"/>
    <w:rsid w:val="00BF0E94"/>
    <w:rsid w:val="00BF13B0"/>
    <w:rsid w:val="00BF1667"/>
    <w:rsid w:val="00BF175E"/>
    <w:rsid w:val="00BF2080"/>
    <w:rsid w:val="00BF20B5"/>
    <w:rsid w:val="00BF2186"/>
    <w:rsid w:val="00BF22C3"/>
    <w:rsid w:val="00BF2856"/>
    <w:rsid w:val="00BF2929"/>
    <w:rsid w:val="00BF29DF"/>
    <w:rsid w:val="00BF2B20"/>
    <w:rsid w:val="00BF2C34"/>
    <w:rsid w:val="00BF2CA1"/>
    <w:rsid w:val="00BF2CAD"/>
    <w:rsid w:val="00BF32E1"/>
    <w:rsid w:val="00BF3385"/>
    <w:rsid w:val="00BF3582"/>
    <w:rsid w:val="00BF3BED"/>
    <w:rsid w:val="00BF3EC8"/>
    <w:rsid w:val="00BF44A3"/>
    <w:rsid w:val="00BF44C6"/>
    <w:rsid w:val="00BF4517"/>
    <w:rsid w:val="00BF46F4"/>
    <w:rsid w:val="00BF502B"/>
    <w:rsid w:val="00BF5181"/>
    <w:rsid w:val="00BF5385"/>
    <w:rsid w:val="00BF5621"/>
    <w:rsid w:val="00BF56F3"/>
    <w:rsid w:val="00BF59AA"/>
    <w:rsid w:val="00BF5B9B"/>
    <w:rsid w:val="00BF5DE6"/>
    <w:rsid w:val="00BF6025"/>
    <w:rsid w:val="00BF644A"/>
    <w:rsid w:val="00BF646A"/>
    <w:rsid w:val="00BF65E1"/>
    <w:rsid w:val="00BF6801"/>
    <w:rsid w:val="00BF6913"/>
    <w:rsid w:val="00BF6CAD"/>
    <w:rsid w:val="00BF704B"/>
    <w:rsid w:val="00BF71E7"/>
    <w:rsid w:val="00BF7476"/>
    <w:rsid w:val="00BF777B"/>
    <w:rsid w:val="00BF7932"/>
    <w:rsid w:val="00BF7967"/>
    <w:rsid w:val="00BF7B28"/>
    <w:rsid w:val="00BF7D18"/>
    <w:rsid w:val="00BF7EA6"/>
    <w:rsid w:val="00BF7F87"/>
    <w:rsid w:val="00BF7FAB"/>
    <w:rsid w:val="00C000BA"/>
    <w:rsid w:val="00C002A1"/>
    <w:rsid w:val="00C002BA"/>
    <w:rsid w:val="00C003C8"/>
    <w:rsid w:val="00C003ED"/>
    <w:rsid w:val="00C00623"/>
    <w:rsid w:val="00C009DC"/>
    <w:rsid w:val="00C00CBC"/>
    <w:rsid w:val="00C00ED5"/>
    <w:rsid w:val="00C00EEA"/>
    <w:rsid w:val="00C0109E"/>
    <w:rsid w:val="00C0113D"/>
    <w:rsid w:val="00C01381"/>
    <w:rsid w:val="00C013E1"/>
    <w:rsid w:val="00C01517"/>
    <w:rsid w:val="00C01813"/>
    <w:rsid w:val="00C018E3"/>
    <w:rsid w:val="00C01C5A"/>
    <w:rsid w:val="00C0212F"/>
    <w:rsid w:val="00C02140"/>
    <w:rsid w:val="00C0230A"/>
    <w:rsid w:val="00C025BC"/>
    <w:rsid w:val="00C02958"/>
    <w:rsid w:val="00C02991"/>
    <w:rsid w:val="00C02B8A"/>
    <w:rsid w:val="00C03184"/>
    <w:rsid w:val="00C03292"/>
    <w:rsid w:val="00C033AB"/>
    <w:rsid w:val="00C0353B"/>
    <w:rsid w:val="00C0358B"/>
    <w:rsid w:val="00C036D6"/>
    <w:rsid w:val="00C03E0F"/>
    <w:rsid w:val="00C041D9"/>
    <w:rsid w:val="00C04227"/>
    <w:rsid w:val="00C04336"/>
    <w:rsid w:val="00C04375"/>
    <w:rsid w:val="00C0466B"/>
    <w:rsid w:val="00C0475F"/>
    <w:rsid w:val="00C04760"/>
    <w:rsid w:val="00C048B9"/>
    <w:rsid w:val="00C048FE"/>
    <w:rsid w:val="00C049E5"/>
    <w:rsid w:val="00C04A99"/>
    <w:rsid w:val="00C050A3"/>
    <w:rsid w:val="00C0524A"/>
    <w:rsid w:val="00C053E9"/>
    <w:rsid w:val="00C05408"/>
    <w:rsid w:val="00C056A7"/>
    <w:rsid w:val="00C05A06"/>
    <w:rsid w:val="00C05A7F"/>
    <w:rsid w:val="00C05C49"/>
    <w:rsid w:val="00C05CB6"/>
    <w:rsid w:val="00C05CBE"/>
    <w:rsid w:val="00C05F01"/>
    <w:rsid w:val="00C05F4E"/>
    <w:rsid w:val="00C061B9"/>
    <w:rsid w:val="00C06314"/>
    <w:rsid w:val="00C06514"/>
    <w:rsid w:val="00C06728"/>
    <w:rsid w:val="00C06991"/>
    <w:rsid w:val="00C06BB9"/>
    <w:rsid w:val="00C06DBE"/>
    <w:rsid w:val="00C06E56"/>
    <w:rsid w:val="00C06FD8"/>
    <w:rsid w:val="00C077F2"/>
    <w:rsid w:val="00C0785E"/>
    <w:rsid w:val="00C07919"/>
    <w:rsid w:val="00C07BD5"/>
    <w:rsid w:val="00C07E12"/>
    <w:rsid w:val="00C07EE0"/>
    <w:rsid w:val="00C1001A"/>
    <w:rsid w:val="00C1001C"/>
    <w:rsid w:val="00C108B5"/>
    <w:rsid w:val="00C10933"/>
    <w:rsid w:val="00C10945"/>
    <w:rsid w:val="00C10CA3"/>
    <w:rsid w:val="00C10DB1"/>
    <w:rsid w:val="00C11AD3"/>
    <w:rsid w:val="00C11B8C"/>
    <w:rsid w:val="00C11BDA"/>
    <w:rsid w:val="00C120CE"/>
    <w:rsid w:val="00C121F3"/>
    <w:rsid w:val="00C1239F"/>
    <w:rsid w:val="00C12412"/>
    <w:rsid w:val="00C12660"/>
    <w:rsid w:val="00C12A86"/>
    <w:rsid w:val="00C12C4D"/>
    <w:rsid w:val="00C12C6F"/>
    <w:rsid w:val="00C12CC4"/>
    <w:rsid w:val="00C12D71"/>
    <w:rsid w:val="00C12F34"/>
    <w:rsid w:val="00C13113"/>
    <w:rsid w:val="00C1313A"/>
    <w:rsid w:val="00C13602"/>
    <w:rsid w:val="00C1376D"/>
    <w:rsid w:val="00C13796"/>
    <w:rsid w:val="00C1393B"/>
    <w:rsid w:val="00C141FB"/>
    <w:rsid w:val="00C14237"/>
    <w:rsid w:val="00C1434F"/>
    <w:rsid w:val="00C1447F"/>
    <w:rsid w:val="00C1480D"/>
    <w:rsid w:val="00C14C06"/>
    <w:rsid w:val="00C14C2A"/>
    <w:rsid w:val="00C14D09"/>
    <w:rsid w:val="00C14E4E"/>
    <w:rsid w:val="00C150B0"/>
    <w:rsid w:val="00C15105"/>
    <w:rsid w:val="00C1543D"/>
    <w:rsid w:val="00C1576F"/>
    <w:rsid w:val="00C15801"/>
    <w:rsid w:val="00C15839"/>
    <w:rsid w:val="00C15C05"/>
    <w:rsid w:val="00C15C09"/>
    <w:rsid w:val="00C15D5E"/>
    <w:rsid w:val="00C15D9F"/>
    <w:rsid w:val="00C15E64"/>
    <w:rsid w:val="00C1631B"/>
    <w:rsid w:val="00C16391"/>
    <w:rsid w:val="00C1648A"/>
    <w:rsid w:val="00C16A35"/>
    <w:rsid w:val="00C16A60"/>
    <w:rsid w:val="00C16AC7"/>
    <w:rsid w:val="00C16E36"/>
    <w:rsid w:val="00C173AC"/>
    <w:rsid w:val="00C17408"/>
    <w:rsid w:val="00C175C7"/>
    <w:rsid w:val="00C176E2"/>
    <w:rsid w:val="00C17739"/>
    <w:rsid w:val="00C17C46"/>
    <w:rsid w:val="00C17D43"/>
    <w:rsid w:val="00C20081"/>
    <w:rsid w:val="00C2017B"/>
    <w:rsid w:val="00C2060E"/>
    <w:rsid w:val="00C20A19"/>
    <w:rsid w:val="00C20AFC"/>
    <w:rsid w:val="00C20B4C"/>
    <w:rsid w:val="00C20C64"/>
    <w:rsid w:val="00C20E35"/>
    <w:rsid w:val="00C20EEA"/>
    <w:rsid w:val="00C20F5E"/>
    <w:rsid w:val="00C210C4"/>
    <w:rsid w:val="00C21376"/>
    <w:rsid w:val="00C216F3"/>
    <w:rsid w:val="00C21764"/>
    <w:rsid w:val="00C2192B"/>
    <w:rsid w:val="00C21AD5"/>
    <w:rsid w:val="00C22039"/>
    <w:rsid w:val="00C22059"/>
    <w:rsid w:val="00C220BE"/>
    <w:rsid w:val="00C220C2"/>
    <w:rsid w:val="00C22240"/>
    <w:rsid w:val="00C22421"/>
    <w:rsid w:val="00C228F0"/>
    <w:rsid w:val="00C22985"/>
    <w:rsid w:val="00C22A24"/>
    <w:rsid w:val="00C22BE3"/>
    <w:rsid w:val="00C22E20"/>
    <w:rsid w:val="00C2309B"/>
    <w:rsid w:val="00C238AD"/>
    <w:rsid w:val="00C23A92"/>
    <w:rsid w:val="00C23BBE"/>
    <w:rsid w:val="00C23CAA"/>
    <w:rsid w:val="00C2414C"/>
    <w:rsid w:val="00C243B9"/>
    <w:rsid w:val="00C243E7"/>
    <w:rsid w:val="00C24735"/>
    <w:rsid w:val="00C248F4"/>
    <w:rsid w:val="00C24948"/>
    <w:rsid w:val="00C249D7"/>
    <w:rsid w:val="00C253E1"/>
    <w:rsid w:val="00C255F8"/>
    <w:rsid w:val="00C2573E"/>
    <w:rsid w:val="00C2594A"/>
    <w:rsid w:val="00C25E4A"/>
    <w:rsid w:val="00C25E55"/>
    <w:rsid w:val="00C263CD"/>
    <w:rsid w:val="00C268FC"/>
    <w:rsid w:val="00C26968"/>
    <w:rsid w:val="00C26AC0"/>
    <w:rsid w:val="00C26C1E"/>
    <w:rsid w:val="00C26CE9"/>
    <w:rsid w:val="00C26EBF"/>
    <w:rsid w:val="00C272D6"/>
    <w:rsid w:val="00C27882"/>
    <w:rsid w:val="00C27A73"/>
    <w:rsid w:val="00C27DCC"/>
    <w:rsid w:val="00C27E42"/>
    <w:rsid w:val="00C300E1"/>
    <w:rsid w:val="00C3029F"/>
    <w:rsid w:val="00C307D4"/>
    <w:rsid w:val="00C307DE"/>
    <w:rsid w:val="00C30AE9"/>
    <w:rsid w:val="00C30F2B"/>
    <w:rsid w:val="00C3107B"/>
    <w:rsid w:val="00C31622"/>
    <w:rsid w:val="00C318C6"/>
    <w:rsid w:val="00C31ABD"/>
    <w:rsid w:val="00C31D17"/>
    <w:rsid w:val="00C320A2"/>
    <w:rsid w:val="00C3234F"/>
    <w:rsid w:val="00C323D9"/>
    <w:rsid w:val="00C327D8"/>
    <w:rsid w:val="00C32985"/>
    <w:rsid w:val="00C32B91"/>
    <w:rsid w:val="00C32CAD"/>
    <w:rsid w:val="00C32CD8"/>
    <w:rsid w:val="00C32D72"/>
    <w:rsid w:val="00C32FD1"/>
    <w:rsid w:val="00C330DB"/>
    <w:rsid w:val="00C331CF"/>
    <w:rsid w:val="00C33362"/>
    <w:rsid w:val="00C33926"/>
    <w:rsid w:val="00C33CA7"/>
    <w:rsid w:val="00C340FB"/>
    <w:rsid w:val="00C341C2"/>
    <w:rsid w:val="00C3423E"/>
    <w:rsid w:val="00C34851"/>
    <w:rsid w:val="00C3487A"/>
    <w:rsid w:val="00C34F88"/>
    <w:rsid w:val="00C35132"/>
    <w:rsid w:val="00C35357"/>
    <w:rsid w:val="00C355BF"/>
    <w:rsid w:val="00C35788"/>
    <w:rsid w:val="00C357C2"/>
    <w:rsid w:val="00C35E69"/>
    <w:rsid w:val="00C35E9D"/>
    <w:rsid w:val="00C35F01"/>
    <w:rsid w:val="00C368FF"/>
    <w:rsid w:val="00C369B2"/>
    <w:rsid w:val="00C369D1"/>
    <w:rsid w:val="00C36A7D"/>
    <w:rsid w:val="00C36A9F"/>
    <w:rsid w:val="00C36BB3"/>
    <w:rsid w:val="00C37107"/>
    <w:rsid w:val="00C37260"/>
    <w:rsid w:val="00C37363"/>
    <w:rsid w:val="00C37374"/>
    <w:rsid w:val="00C37763"/>
    <w:rsid w:val="00C37CDE"/>
    <w:rsid w:val="00C4007E"/>
    <w:rsid w:val="00C40439"/>
    <w:rsid w:val="00C404F0"/>
    <w:rsid w:val="00C40E42"/>
    <w:rsid w:val="00C40F21"/>
    <w:rsid w:val="00C4135F"/>
    <w:rsid w:val="00C413AD"/>
    <w:rsid w:val="00C413F1"/>
    <w:rsid w:val="00C41409"/>
    <w:rsid w:val="00C41433"/>
    <w:rsid w:val="00C41794"/>
    <w:rsid w:val="00C417A9"/>
    <w:rsid w:val="00C418E1"/>
    <w:rsid w:val="00C41CE8"/>
    <w:rsid w:val="00C41D07"/>
    <w:rsid w:val="00C41F6B"/>
    <w:rsid w:val="00C42035"/>
    <w:rsid w:val="00C42435"/>
    <w:rsid w:val="00C42BD9"/>
    <w:rsid w:val="00C42CFC"/>
    <w:rsid w:val="00C42D0F"/>
    <w:rsid w:val="00C42D77"/>
    <w:rsid w:val="00C42DB4"/>
    <w:rsid w:val="00C42E77"/>
    <w:rsid w:val="00C42F24"/>
    <w:rsid w:val="00C42F4E"/>
    <w:rsid w:val="00C430AA"/>
    <w:rsid w:val="00C4310E"/>
    <w:rsid w:val="00C433A5"/>
    <w:rsid w:val="00C43537"/>
    <w:rsid w:val="00C43819"/>
    <w:rsid w:val="00C43AF6"/>
    <w:rsid w:val="00C43CE6"/>
    <w:rsid w:val="00C43EFC"/>
    <w:rsid w:val="00C441FD"/>
    <w:rsid w:val="00C44293"/>
    <w:rsid w:val="00C4441F"/>
    <w:rsid w:val="00C445C4"/>
    <w:rsid w:val="00C448C1"/>
    <w:rsid w:val="00C44D9B"/>
    <w:rsid w:val="00C451A3"/>
    <w:rsid w:val="00C45245"/>
    <w:rsid w:val="00C459F9"/>
    <w:rsid w:val="00C45A33"/>
    <w:rsid w:val="00C45FA3"/>
    <w:rsid w:val="00C45FC2"/>
    <w:rsid w:val="00C4604F"/>
    <w:rsid w:val="00C4627E"/>
    <w:rsid w:val="00C463AE"/>
    <w:rsid w:val="00C46973"/>
    <w:rsid w:val="00C46A1A"/>
    <w:rsid w:val="00C46D9F"/>
    <w:rsid w:val="00C46E41"/>
    <w:rsid w:val="00C46F45"/>
    <w:rsid w:val="00C4700B"/>
    <w:rsid w:val="00C47092"/>
    <w:rsid w:val="00C47250"/>
    <w:rsid w:val="00C472D0"/>
    <w:rsid w:val="00C4735C"/>
    <w:rsid w:val="00C47618"/>
    <w:rsid w:val="00C4790B"/>
    <w:rsid w:val="00C479A3"/>
    <w:rsid w:val="00C47A0A"/>
    <w:rsid w:val="00C47BA1"/>
    <w:rsid w:val="00C47D55"/>
    <w:rsid w:val="00C5017F"/>
    <w:rsid w:val="00C5034C"/>
    <w:rsid w:val="00C5035E"/>
    <w:rsid w:val="00C5044B"/>
    <w:rsid w:val="00C50BD8"/>
    <w:rsid w:val="00C50E65"/>
    <w:rsid w:val="00C50F60"/>
    <w:rsid w:val="00C51320"/>
    <w:rsid w:val="00C513D2"/>
    <w:rsid w:val="00C513FF"/>
    <w:rsid w:val="00C51464"/>
    <w:rsid w:val="00C51576"/>
    <w:rsid w:val="00C5158D"/>
    <w:rsid w:val="00C51596"/>
    <w:rsid w:val="00C51906"/>
    <w:rsid w:val="00C51A00"/>
    <w:rsid w:val="00C51C00"/>
    <w:rsid w:val="00C51CFB"/>
    <w:rsid w:val="00C51DDC"/>
    <w:rsid w:val="00C51ECF"/>
    <w:rsid w:val="00C51F8A"/>
    <w:rsid w:val="00C520BD"/>
    <w:rsid w:val="00C522B0"/>
    <w:rsid w:val="00C52617"/>
    <w:rsid w:val="00C5280E"/>
    <w:rsid w:val="00C528EA"/>
    <w:rsid w:val="00C52ABB"/>
    <w:rsid w:val="00C52AF8"/>
    <w:rsid w:val="00C52B0C"/>
    <w:rsid w:val="00C52B41"/>
    <w:rsid w:val="00C52D55"/>
    <w:rsid w:val="00C53102"/>
    <w:rsid w:val="00C53235"/>
    <w:rsid w:val="00C532C9"/>
    <w:rsid w:val="00C534A2"/>
    <w:rsid w:val="00C53588"/>
    <w:rsid w:val="00C53B4D"/>
    <w:rsid w:val="00C53DC5"/>
    <w:rsid w:val="00C54351"/>
    <w:rsid w:val="00C544B8"/>
    <w:rsid w:val="00C5453D"/>
    <w:rsid w:val="00C546BE"/>
    <w:rsid w:val="00C54A45"/>
    <w:rsid w:val="00C54CFB"/>
    <w:rsid w:val="00C54EE7"/>
    <w:rsid w:val="00C556EC"/>
    <w:rsid w:val="00C55869"/>
    <w:rsid w:val="00C563BA"/>
    <w:rsid w:val="00C567C0"/>
    <w:rsid w:val="00C5694F"/>
    <w:rsid w:val="00C56CC6"/>
    <w:rsid w:val="00C56DC1"/>
    <w:rsid w:val="00C56E6E"/>
    <w:rsid w:val="00C56ED8"/>
    <w:rsid w:val="00C56EED"/>
    <w:rsid w:val="00C56FE2"/>
    <w:rsid w:val="00C570B1"/>
    <w:rsid w:val="00C57B37"/>
    <w:rsid w:val="00C57B3E"/>
    <w:rsid w:val="00C57B63"/>
    <w:rsid w:val="00C57E8C"/>
    <w:rsid w:val="00C57EC3"/>
    <w:rsid w:val="00C600DA"/>
    <w:rsid w:val="00C6045C"/>
    <w:rsid w:val="00C6051E"/>
    <w:rsid w:val="00C6079B"/>
    <w:rsid w:val="00C609D7"/>
    <w:rsid w:val="00C60ACC"/>
    <w:rsid w:val="00C60E52"/>
    <w:rsid w:val="00C60F46"/>
    <w:rsid w:val="00C611B4"/>
    <w:rsid w:val="00C6152B"/>
    <w:rsid w:val="00C6174E"/>
    <w:rsid w:val="00C618C4"/>
    <w:rsid w:val="00C61C60"/>
    <w:rsid w:val="00C61CA9"/>
    <w:rsid w:val="00C61CCE"/>
    <w:rsid w:val="00C61F89"/>
    <w:rsid w:val="00C62206"/>
    <w:rsid w:val="00C622AD"/>
    <w:rsid w:val="00C62787"/>
    <w:rsid w:val="00C62794"/>
    <w:rsid w:val="00C62892"/>
    <w:rsid w:val="00C629FD"/>
    <w:rsid w:val="00C62C04"/>
    <w:rsid w:val="00C62CEE"/>
    <w:rsid w:val="00C62E22"/>
    <w:rsid w:val="00C6306D"/>
    <w:rsid w:val="00C63691"/>
    <w:rsid w:val="00C637AE"/>
    <w:rsid w:val="00C63CD2"/>
    <w:rsid w:val="00C63D58"/>
    <w:rsid w:val="00C63D6C"/>
    <w:rsid w:val="00C64011"/>
    <w:rsid w:val="00C64764"/>
    <w:rsid w:val="00C647D5"/>
    <w:rsid w:val="00C64AB9"/>
    <w:rsid w:val="00C64ADF"/>
    <w:rsid w:val="00C64EAC"/>
    <w:rsid w:val="00C64EFB"/>
    <w:rsid w:val="00C64F9B"/>
    <w:rsid w:val="00C650D9"/>
    <w:rsid w:val="00C6518F"/>
    <w:rsid w:val="00C6577E"/>
    <w:rsid w:val="00C65797"/>
    <w:rsid w:val="00C65840"/>
    <w:rsid w:val="00C65A98"/>
    <w:rsid w:val="00C65B9E"/>
    <w:rsid w:val="00C65BE6"/>
    <w:rsid w:val="00C65EC3"/>
    <w:rsid w:val="00C660A7"/>
    <w:rsid w:val="00C66391"/>
    <w:rsid w:val="00C66475"/>
    <w:rsid w:val="00C6648B"/>
    <w:rsid w:val="00C66698"/>
    <w:rsid w:val="00C66876"/>
    <w:rsid w:val="00C669AA"/>
    <w:rsid w:val="00C66A3C"/>
    <w:rsid w:val="00C66ABB"/>
    <w:rsid w:val="00C670E4"/>
    <w:rsid w:val="00C6740B"/>
    <w:rsid w:val="00C674D0"/>
    <w:rsid w:val="00C674EE"/>
    <w:rsid w:val="00C67E1C"/>
    <w:rsid w:val="00C67F4F"/>
    <w:rsid w:val="00C67F53"/>
    <w:rsid w:val="00C70B24"/>
    <w:rsid w:val="00C70C1D"/>
    <w:rsid w:val="00C70CFB"/>
    <w:rsid w:val="00C70D3B"/>
    <w:rsid w:val="00C70ECE"/>
    <w:rsid w:val="00C70F3F"/>
    <w:rsid w:val="00C71266"/>
    <w:rsid w:val="00C7129E"/>
    <w:rsid w:val="00C712B1"/>
    <w:rsid w:val="00C714ED"/>
    <w:rsid w:val="00C715D1"/>
    <w:rsid w:val="00C718A7"/>
    <w:rsid w:val="00C71A18"/>
    <w:rsid w:val="00C71C22"/>
    <w:rsid w:val="00C71DB5"/>
    <w:rsid w:val="00C72090"/>
    <w:rsid w:val="00C72214"/>
    <w:rsid w:val="00C72218"/>
    <w:rsid w:val="00C72253"/>
    <w:rsid w:val="00C7226E"/>
    <w:rsid w:val="00C72295"/>
    <w:rsid w:val="00C7237E"/>
    <w:rsid w:val="00C72505"/>
    <w:rsid w:val="00C72552"/>
    <w:rsid w:val="00C72602"/>
    <w:rsid w:val="00C729BB"/>
    <w:rsid w:val="00C72A1E"/>
    <w:rsid w:val="00C72BCE"/>
    <w:rsid w:val="00C72C7C"/>
    <w:rsid w:val="00C72C7F"/>
    <w:rsid w:val="00C72D2A"/>
    <w:rsid w:val="00C73441"/>
    <w:rsid w:val="00C73551"/>
    <w:rsid w:val="00C737C7"/>
    <w:rsid w:val="00C73CCD"/>
    <w:rsid w:val="00C7402E"/>
    <w:rsid w:val="00C74BF0"/>
    <w:rsid w:val="00C74BF7"/>
    <w:rsid w:val="00C74CB0"/>
    <w:rsid w:val="00C74CE2"/>
    <w:rsid w:val="00C750F1"/>
    <w:rsid w:val="00C75132"/>
    <w:rsid w:val="00C7518A"/>
    <w:rsid w:val="00C7539B"/>
    <w:rsid w:val="00C75719"/>
    <w:rsid w:val="00C75B98"/>
    <w:rsid w:val="00C75BF5"/>
    <w:rsid w:val="00C75E8C"/>
    <w:rsid w:val="00C75F2B"/>
    <w:rsid w:val="00C75F63"/>
    <w:rsid w:val="00C75F79"/>
    <w:rsid w:val="00C76581"/>
    <w:rsid w:val="00C769F0"/>
    <w:rsid w:val="00C76B3B"/>
    <w:rsid w:val="00C76CCA"/>
    <w:rsid w:val="00C76F5D"/>
    <w:rsid w:val="00C76F9F"/>
    <w:rsid w:val="00C77357"/>
    <w:rsid w:val="00C77370"/>
    <w:rsid w:val="00C7797C"/>
    <w:rsid w:val="00C77B58"/>
    <w:rsid w:val="00C77C90"/>
    <w:rsid w:val="00C77E4A"/>
    <w:rsid w:val="00C80160"/>
    <w:rsid w:val="00C801A8"/>
    <w:rsid w:val="00C80474"/>
    <w:rsid w:val="00C80503"/>
    <w:rsid w:val="00C8071C"/>
    <w:rsid w:val="00C80AA0"/>
    <w:rsid w:val="00C80AFD"/>
    <w:rsid w:val="00C80B18"/>
    <w:rsid w:val="00C80CAA"/>
    <w:rsid w:val="00C80D4C"/>
    <w:rsid w:val="00C8100F"/>
    <w:rsid w:val="00C8129B"/>
    <w:rsid w:val="00C81684"/>
    <w:rsid w:val="00C81BEC"/>
    <w:rsid w:val="00C82005"/>
    <w:rsid w:val="00C820B2"/>
    <w:rsid w:val="00C82405"/>
    <w:rsid w:val="00C828D1"/>
    <w:rsid w:val="00C82EE7"/>
    <w:rsid w:val="00C83281"/>
    <w:rsid w:val="00C83404"/>
    <w:rsid w:val="00C83A92"/>
    <w:rsid w:val="00C83D61"/>
    <w:rsid w:val="00C83EC6"/>
    <w:rsid w:val="00C8444D"/>
    <w:rsid w:val="00C84527"/>
    <w:rsid w:val="00C84633"/>
    <w:rsid w:val="00C84857"/>
    <w:rsid w:val="00C84885"/>
    <w:rsid w:val="00C849C4"/>
    <w:rsid w:val="00C84B50"/>
    <w:rsid w:val="00C84CB8"/>
    <w:rsid w:val="00C84D4A"/>
    <w:rsid w:val="00C85080"/>
    <w:rsid w:val="00C855E4"/>
    <w:rsid w:val="00C85816"/>
    <w:rsid w:val="00C858D6"/>
    <w:rsid w:val="00C8595F"/>
    <w:rsid w:val="00C85D19"/>
    <w:rsid w:val="00C85D1B"/>
    <w:rsid w:val="00C85D4D"/>
    <w:rsid w:val="00C86405"/>
    <w:rsid w:val="00C8643B"/>
    <w:rsid w:val="00C8664D"/>
    <w:rsid w:val="00C86B7C"/>
    <w:rsid w:val="00C87184"/>
    <w:rsid w:val="00C874D2"/>
    <w:rsid w:val="00C87964"/>
    <w:rsid w:val="00C87A82"/>
    <w:rsid w:val="00C87BF7"/>
    <w:rsid w:val="00C90041"/>
    <w:rsid w:val="00C900C7"/>
    <w:rsid w:val="00C903D3"/>
    <w:rsid w:val="00C907D1"/>
    <w:rsid w:val="00C909AE"/>
    <w:rsid w:val="00C909C6"/>
    <w:rsid w:val="00C90D55"/>
    <w:rsid w:val="00C90EDE"/>
    <w:rsid w:val="00C91067"/>
    <w:rsid w:val="00C91068"/>
    <w:rsid w:val="00C91BDF"/>
    <w:rsid w:val="00C92043"/>
    <w:rsid w:val="00C921DA"/>
    <w:rsid w:val="00C922C9"/>
    <w:rsid w:val="00C923B3"/>
    <w:rsid w:val="00C92415"/>
    <w:rsid w:val="00C92687"/>
    <w:rsid w:val="00C927B6"/>
    <w:rsid w:val="00C927F6"/>
    <w:rsid w:val="00C928D9"/>
    <w:rsid w:val="00C92A95"/>
    <w:rsid w:val="00C92EE3"/>
    <w:rsid w:val="00C930AD"/>
    <w:rsid w:val="00C934A3"/>
    <w:rsid w:val="00C93617"/>
    <w:rsid w:val="00C93645"/>
    <w:rsid w:val="00C936E7"/>
    <w:rsid w:val="00C93974"/>
    <w:rsid w:val="00C93AD9"/>
    <w:rsid w:val="00C93F35"/>
    <w:rsid w:val="00C94167"/>
    <w:rsid w:val="00C94449"/>
    <w:rsid w:val="00C94567"/>
    <w:rsid w:val="00C948E5"/>
    <w:rsid w:val="00C94BA0"/>
    <w:rsid w:val="00C94D21"/>
    <w:rsid w:val="00C95227"/>
    <w:rsid w:val="00C9543B"/>
    <w:rsid w:val="00C95619"/>
    <w:rsid w:val="00C95689"/>
    <w:rsid w:val="00C95918"/>
    <w:rsid w:val="00C95ABB"/>
    <w:rsid w:val="00C95B71"/>
    <w:rsid w:val="00C95C1D"/>
    <w:rsid w:val="00C95C70"/>
    <w:rsid w:val="00C95CF6"/>
    <w:rsid w:val="00C95E61"/>
    <w:rsid w:val="00C9612D"/>
    <w:rsid w:val="00C9619D"/>
    <w:rsid w:val="00C9633A"/>
    <w:rsid w:val="00C96AE2"/>
    <w:rsid w:val="00C96B44"/>
    <w:rsid w:val="00C96CA7"/>
    <w:rsid w:val="00C96F77"/>
    <w:rsid w:val="00C9707F"/>
    <w:rsid w:val="00C970CD"/>
    <w:rsid w:val="00C97118"/>
    <w:rsid w:val="00C9754B"/>
    <w:rsid w:val="00C975D1"/>
    <w:rsid w:val="00C97708"/>
    <w:rsid w:val="00C97866"/>
    <w:rsid w:val="00C97874"/>
    <w:rsid w:val="00C978FF"/>
    <w:rsid w:val="00C97ABF"/>
    <w:rsid w:val="00C97B40"/>
    <w:rsid w:val="00CA00AE"/>
    <w:rsid w:val="00CA0294"/>
    <w:rsid w:val="00CA057C"/>
    <w:rsid w:val="00CA0BEC"/>
    <w:rsid w:val="00CA1701"/>
    <w:rsid w:val="00CA19E0"/>
    <w:rsid w:val="00CA1A47"/>
    <w:rsid w:val="00CA1D5D"/>
    <w:rsid w:val="00CA1FD5"/>
    <w:rsid w:val="00CA2229"/>
    <w:rsid w:val="00CA26C6"/>
    <w:rsid w:val="00CA2707"/>
    <w:rsid w:val="00CA2738"/>
    <w:rsid w:val="00CA27ED"/>
    <w:rsid w:val="00CA286C"/>
    <w:rsid w:val="00CA2A0E"/>
    <w:rsid w:val="00CA2EAA"/>
    <w:rsid w:val="00CA2ECE"/>
    <w:rsid w:val="00CA2EEF"/>
    <w:rsid w:val="00CA343C"/>
    <w:rsid w:val="00CA346A"/>
    <w:rsid w:val="00CA3872"/>
    <w:rsid w:val="00CA3D2A"/>
    <w:rsid w:val="00CA449B"/>
    <w:rsid w:val="00CA4573"/>
    <w:rsid w:val="00CA46C3"/>
    <w:rsid w:val="00CA4A3C"/>
    <w:rsid w:val="00CA4B5A"/>
    <w:rsid w:val="00CA4BB9"/>
    <w:rsid w:val="00CA4F59"/>
    <w:rsid w:val="00CA4F9F"/>
    <w:rsid w:val="00CA4FA2"/>
    <w:rsid w:val="00CA539A"/>
    <w:rsid w:val="00CA56B7"/>
    <w:rsid w:val="00CA5776"/>
    <w:rsid w:val="00CA589B"/>
    <w:rsid w:val="00CA595F"/>
    <w:rsid w:val="00CA5A74"/>
    <w:rsid w:val="00CA5A7A"/>
    <w:rsid w:val="00CA6025"/>
    <w:rsid w:val="00CA604D"/>
    <w:rsid w:val="00CA65C4"/>
    <w:rsid w:val="00CA69E8"/>
    <w:rsid w:val="00CA6B23"/>
    <w:rsid w:val="00CA71E2"/>
    <w:rsid w:val="00CA76A2"/>
    <w:rsid w:val="00CA777C"/>
    <w:rsid w:val="00CA77E1"/>
    <w:rsid w:val="00CA77E4"/>
    <w:rsid w:val="00CA7879"/>
    <w:rsid w:val="00CA7908"/>
    <w:rsid w:val="00CA79C3"/>
    <w:rsid w:val="00CA7B89"/>
    <w:rsid w:val="00CA7BBE"/>
    <w:rsid w:val="00CA7BD7"/>
    <w:rsid w:val="00CA7C4A"/>
    <w:rsid w:val="00CB0235"/>
    <w:rsid w:val="00CB032A"/>
    <w:rsid w:val="00CB06AF"/>
    <w:rsid w:val="00CB0707"/>
    <w:rsid w:val="00CB0743"/>
    <w:rsid w:val="00CB0800"/>
    <w:rsid w:val="00CB0871"/>
    <w:rsid w:val="00CB0C2A"/>
    <w:rsid w:val="00CB116F"/>
    <w:rsid w:val="00CB1682"/>
    <w:rsid w:val="00CB1A29"/>
    <w:rsid w:val="00CB1DDC"/>
    <w:rsid w:val="00CB1E1A"/>
    <w:rsid w:val="00CB20C3"/>
    <w:rsid w:val="00CB2210"/>
    <w:rsid w:val="00CB24BC"/>
    <w:rsid w:val="00CB28DC"/>
    <w:rsid w:val="00CB2959"/>
    <w:rsid w:val="00CB2CF7"/>
    <w:rsid w:val="00CB30C0"/>
    <w:rsid w:val="00CB33E9"/>
    <w:rsid w:val="00CB3764"/>
    <w:rsid w:val="00CB3B11"/>
    <w:rsid w:val="00CB3DAE"/>
    <w:rsid w:val="00CB3E18"/>
    <w:rsid w:val="00CB3E5D"/>
    <w:rsid w:val="00CB4233"/>
    <w:rsid w:val="00CB439B"/>
    <w:rsid w:val="00CB4467"/>
    <w:rsid w:val="00CB446D"/>
    <w:rsid w:val="00CB4768"/>
    <w:rsid w:val="00CB4B56"/>
    <w:rsid w:val="00CB4B90"/>
    <w:rsid w:val="00CB4C40"/>
    <w:rsid w:val="00CB4DF3"/>
    <w:rsid w:val="00CB4EBF"/>
    <w:rsid w:val="00CB4EE1"/>
    <w:rsid w:val="00CB52C3"/>
    <w:rsid w:val="00CB53FD"/>
    <w:rsid w:val="00CB5416"/>
    <w:rsid w:val="00CB5477"/>
    <w:rsid w:val="00CB54F4"/>
    <w:rsid w:val="00CB5558"/>
    <w:rsid w:val="00CB56D1"/>
    <w:rsid w:val="00CB577E"/>
    <w:rsid w:val="00CB57FB"/>
    <w:rsid w:val="00CB590C"/>
    <w:rsid w:val="00CB5FD3"/>
    <w:rsid w:val="00CB6509"/>
    <w:rsid w:val="00CB6714"/>
    <w:rsid w:val="00CB6770"/>
    <w:rsid w:val="00CB677F"/>
    <w:rsid w:val="00CB6884"/>
    <w:rsid w:val="00CB68BE"/>
    <w:rsid w:val="00CB6AF4"/>
    <w:rsid w:val="00CB6BCA"/>
    <w:rsid w:val="00CB6C9D"/>
    <w:rsid w:val="00CB70C3"/>
    <w:rsid w:val="00CB70EE"/>
    <w:rsid w:val="00CB7412"/>
    <w:rsid w:val="00CB764A"/>
    <w:rsid w:val="00CB79DB"/>
    <w:rsid w:val="00CB7B67"/>
    <w:rsid w:val="00CB7CC0"/>
    <w:rsid w:val="00CB7CD2"/>
    <w:rsid w:val="00CB7F5D"/>
    <w:rsid w:val="00CC0256"/>
    <w:rsid w:val="00CC05FE"/>
    <w:rsid w:val="00CC0D4E"/>
    <w:rsid w:val="00CC0F48"/>
    <w:rsid w:val="00CC0FD2"/>
    <w:rsid w:val="00CC10FE"/>
    <w:rsid w:val="00CC124C"/>
    <w:rsid w:val="00CC1661"/>
    <w:rsid w:val="00CC1886"/>
    <w:rsid w:val="00CC18BA"/>
    <w:rsid w:val="00CC1D6B"/>
    <w:rsid w:val="00CC1FB8"/>
    <w:rsid w:val="00CC1FCE"/>
    <w:rsid w:val="00CC2102"/>
    <w:rsid w:val="00CC23C9"/>
    <w:rsid w:val="00CC24F5"/>
    <w:rsid w:val="00CC2543"/>
    <w:rsid w:val="00CC26F8"/>
    <w:rsid w:val="00CC2FCC"/>
    <w:rsid w:val="00CC3463"/>
    <w:rsid w:val="00CC362B"/>
    <w:rsid w:val="00CC3F6C"/>
    <w:rsid w:val="00CC43EA"/>
    <w:rsid w:val="00CC4468"/>
    <w:rsid w:val="00CC45F4"/>
    <w:rsid w:val="00CC4CF3"/>
    <w:rsid w:val="00CC4E61"/>
    <w:rsid w:val="00CC5000"/>
    <w:rsid w:val="00CC54B1"/>
    <w:rsid w:val="00CC559C"/>
    <w:rsid w:val="00CC58A4"/>
    <w:rsid w:val="00CC59D9"/>
    <w:rsid w:val="00CC5C94"/>
    <w:rsid w:val="00CC5CDA"/>
    <w:rsid w:val="00CC5CFE"/>
    <w:rsid w:val="00CC6102"/>
    <w:rsid w:val="00CC61F4"/>
    <w:rsid w:val="00CC63CD"/>
    <w:rsid w:val="00CC670E"/>
    <w:rsid w:val="00CC6786"/>
    <w:rsid w:val="00CC67C6"/>
    <w:rsid w:val="00CC684B"/>
    <w:rsid w:val="00CC6900"/>
    <w:rsid w:val="00CC6B6A"/>
    <w:rsid w:val="00CC6CBC"/>
    <w:rsid w:val="00CC6F6C"/>
    <w:rsid w:val="00CC703C"/>
    <w:rsid w:val="00CC7614"/>
    <w:rsid w:val="00CC799E"/>
    <w:rsid w:val="00CC7C10"/>
    <w:rsid w:val="00CC7C13"/>
    <w:rsid w:val="00CC7C66"/>
    <w:rsid w:val="00CC7E88"/>
    <w:rsid w:val="00CC7F67"/>
    <w:rsid w:val="00CD0059"/>
    <w:rsid w:val="00CD010F"/>
    <w:rsid w:val="00CD0353"/>
    <w:rsid w:val="00CD0535"/>
    <w:rsid w:val="00CD070C"/>
    <w:rsid w:val="00CD09C0"/>
    <w:rsid w:val="00CD0AF1"/>
    <w:rsid w:val="00CD0B4A"/>
    <w:rsid w:val="00CD0C1E"/>
    <w:rsid w:val="00CD0E95"/>
    <w:rsid w:val="00CD0FEF"/>
    <w:rsid w:val="00CD10CF"/>
    <w:rsid w:val="00CD13F5"/>
    <w:rsid w:val="00CD1597"/>
    <w:rsid w:val="00CD15BF"/>
    <w:rsid w:val="00CD17B9"/>
    <w:rsid w:val="00CD1A3A"/>
    <w:rsid w:val="00CD1AAD"/>
    <w:rsid w:val="00CD1C71"/>
    <w:rsid w:val="00CD1DEF"/>
    <w:rsid w:val="00CD2166"/>
    <w:rsid w:val="00CD231C"/>
    <w:rsid w:val="00CD2351"/>
    <w:rsid w:val="00CD23EA"/>
    <w:rsid w:val="00CD2462"/>
    <w:rsid w:val="00CD2658"/>
    <w:rsid w:val="00CD2706"/>
    <w:rsid w:val="00CD2793"/>
    <w:rsid w:val="00CD27A0"/>
    <w:rsid w:val="00CD2B20"/>
    <w:rsid w:val="00CD2FCC"/>
    <w:rsid w:val="00CD3134"/>
    <w:rsid w:val="00CD314E"/>
    <w:rsid w:val="00CD3261"/>
    <w:rsid w:val="00CD32AC"/>
    <w:rsid w:val="00CD33A2"/>
    <w:rsid w:val="00CD383A"/>
    <w:rsid w:val="00CD3A5F"/>
    <w:rsid w:val="00CD3B90"/>
    <w:rsid w:val="00CD3D9C"/>
    <w:rsid w:val="00CD423B"/>
    <w:rsid w:val="00CD4824"/>
    <w:rsid w:val="00CD4905"/>
    <w:rsid w:val="00CD4AF4"/>
    <w:rsid w:val="00CD4BE2"/>
    <w:rsid w:val="00CD5060"/>
    <w:rsid w:val="00CD51D2"/>
    <w:rsid w:val="00CD52B0"/>
    <w:rsid w:val="00CD53CA"/>
    <w:rsid w:val="00CD5664"/>
    <w:rsid w:val="00CD56E8"/>
    <w:rsid w:val="00CD5C07"/>
    <w:rsid w:val="00CD5C57"/>
    <w:rsid w:val="00CD5F62"/>
    <w:rsid w:val="00CD5F79"/>
    <w:rsid w:val="00CD62E6"/>
    <w:rsid w:val="00CD6700"/>
    <w:rsid w:val="00CD6ADF"/>
    <w:rsid w:val="00CD6EE3"/>
    <w:rsid w:val="00CD72E5"/>
    <w:rsid w:val="00CD7461"/>
    <w:rsid w:val="00CD7556"/>
    <w:rsid w:val="00CD7BB6"/>
    <w:rsid w:val="00CD7C58"/>
    <w:rsid w:val="00CD7E9C"/>
    <w:rsid w:val="00CE001C"/>
    <w:rsid w:val="00CE0044"/>
    <w:rsid w:val="00CE051A"/>
    <w:rsid w:val="00CE0B02"/>
    <w:rsid w:val="00CE0B23"/>
    <w:rsid w:val="00CE0B47"/>
    <w:rsid w:val="00CE0D36"/>
    <w:rsid w:val="00CE1279"/>
    <w:rsid w:val="00CE1633"/>
    <w:rsid w:val="00CE1856"/>
    <w:rsid w:val="00CE1E03"/>
    <w:rsid w:val="00CE1E84"/>
    <w:rsid w:val="00CE30F2"/>
    <w:rsid w:val="00CE31D2"/>
    <w:rsid w:val="00CE31D7"/>
    <w:rsid w:val="00CE34BF"/>
    <w:rsid w:val="00CE35C0"/>
    <w:rsid w:val="00CE3612"/>
    <w:rsid w:val="00CE3796"/>
    <w:rsid w:val="00CE3D03"/>
    <w:rsid w:val="00CE3EBA"/>
    <w:rsid w:val="00CE3F94"/>
    <w:rsid w:val="00CE4188"/>
    <w:rsid w:val="00CE4381"/>
    <w:rsid w:val="00CE4480"/>
    <w:rsid w:val="00CE464C"/>
    <w:rsid w:val="00CE47C9"/>
    <w:rsid w:val="00CE49B6"/>
    <w:rsid w:val="00CE52D1"/>
    <w:rsid w:val="00CE5442"/>
    <w:rsid w:val="00CE5D65"/>
    <w:rsid w:val="00CE63FE"/>
    <w:rsid w:val="00CE642C"/>
    <w:rsid w:val="00CE64C6"/>
    <w:rsid w:val="00CE6542"/>
    <w:rsid w:val="00CE65A7"/>
    <w:rsid w:val="00CE674F"/>
    <w:rsid w:val="00CE68E7"/>
    <w:rsid w:val="00CE68FE"/>
    <w:rsid w:val="00CE6958"/>
    <w:rsid w:val="00CE6C86"/>
    <w:rsid w:val="00CE6CDB"/>
    <w:rsid w:val="00CE6F88"/>
    <w:rsid w:val="00CE6FE5"/>
    <w:rsid w:val="00CE71B3"/>
    <w:rsid w:val="00CE72D6"/>
    <w:rsid w:val="00CE735B"/>
    <w:rsid w:val="00CE738C"/>
    <w:rsid w:val="00CE7860"/>
    <w:rsid w:val="00CE792D"/>
    <w:rsid w:val="00CE79B4"/>
    <w:rsid w:val="00CE7A44"/>
    <w:rsid w:val="00CE7AD7"/>
    <w:rsid w:val="00CE7C3E"/>
    <w:rsid w:val="00CE7C78"/>
    <w:rsid w:val="00CE7D18"/>
    <w:rsid w:val="00CE7D95"/>
    <w:rsid w:val="00CE7FAF"/>
    <w:rsid w:val="00CF032D"/>
    <w:rsid w:val="00CF07AC"/>
    <w:rsid w:val="00CF0BD6"/>
    <w:rsid w:val="00CF0E45"/>
    <w:rsid w:val="00CF0E9F"/>
    <w:rsid w:val="00CF0EEB"/>
    <w:rsid w:val="00CF1239"/>
    <w:rsid w:val="00CF12A8"/>
    <w:rsid w:val="00CF1328"/>
    <w:rsid w:val="00CF15AF"/>
    <w:rsid w:val="00CF1874"/>
    <w:rsid w:val="00CF1A90"/>
    <w:rsid w:val="00CF1C23"/>
    <w:rsid w:val="00CF1E7E"/>
    <w:rsid w:val="00CF2117"/>
    <w:rsid w:val="00CF22EA"/>
    <w:rsid w:val="00CF2359"/>
    <w:rsid w:val="00CF2438"/>
    <w:rsid w:val="00CF24C7"/>
    <w:rsid w:val="00CF27EB"/>
    <w:rsid w:val="00CF2938"/>
    <w:rsid w:val="00CF3013"/>
    <w:rsid w:val="00CF3050"/>
    <w:rsid w:val="00CF33DB"/>
    <w:rsid w:val="00CF35C6"/>
    <w:rsid w:val="00CF37AD"/>
    <w:rsid w:val="00CF3A87"/>
    <w:rsid w:val="00CF3B73"/>
    <w:rsid w:val="00CF3FF7"/>
    <w:rsid w:val="00CF42AE"/>
    <w:rsid w:val="00CF442D"/>
    <w:rsid w:val="00CF4F96"/>
    <w:rsid w:val="00CF503B"/>
    <w:rsid w:val="00CF52AD"/>
    <w:rsid w:val="00CF5418"/>
    <w:rsid w:val="00CF5520"/>
    <w:rsid w:val="00CF55E4"/>
    <w:rsid w:val="00CF5778"/>
    <w:rsid w:val="00CF57B0"/>
    <w:rsid w:val="00CF5C62"/>
    <w:rsid w:val="00CF6202"/>
    <w:rsid w:val="00CF6495"/>
    <w:rsid w:val="00CF6762"/>
    <w:rsid w:val="00CF6974"/>
    <w:rsid w:val="00CF6D6E"/>
    <w:rsid w:val="00CF75A4"/>
    <w:rsid w:val="00CF7AFE"/>
    <w:rsid w:val="00CF7AFF"/>
    <w:rsid w:val="00CF7C6F"/>
    <w:rsid w:val="00CF7D29"/>
    <w:rsid w:val="00CF7E1E"/>
    <w:rsid w:val="00CF7E88"/>
    <w:rsid w:val="00CF7F83"/>
    <w:rsid w:val="00CF7FA6"/>
    <w:rsid w:val="00D0002C"/>
    <w:rsid w:val="00D0033C"/>
    <w:rsid w:val="00D0051A"/>
    <w:rsid w:val="00D00594"/>
    <w:rsid w:val="00D00DB0"/>
    <w:rsid w:val="00D00F77"/>
    <w:rsid w:val="00D00F93"/>
    <w:rsid w:val="00D0103F"/>
    <w:rsid w:val="00D01628"/>
    <w:rsid w:val="00D01631"/>
    <w:rsid w:val="00D016CF"/>
    <w:rsid w:val="00D01821"/>
    <w:rsid w:val="00D01893"/>
    <w:rsid w:val="00D019A2"/>
    <w:rsid w:val="00D01A2C"/>
    <w:rsid w:val="00D01C68"/>
    <w:rsid w:val="00D01FC0"/>
    <w:rsid w:val="00D023BB"/>
    <w:rsid w:val="00D024C9"/>
    <w:rsid w:val="00D02798"/>
    <w:rsid w:val="00D027F2"/>
    <w:rsid w:val="00D02B3A"/>
    <w:rsid w:val="00D02B88"/>
    <w:rsid w:val="00D02DDA"/>
    <w:rsid w:val="00D03349"/>
    <w:rsid w:val="00D03367"/>
    <w:rsid w:val="00D039A8"/>
    <w:rsid w:val="00D041BF"/>
    <w:rsid w:val="00D04446"/>
    <w:rsid w:val="00D04661"/>
    <w:rsid w:val="00D047F2"/>
    <w:rsid w:val="00D0496E"/>
    <w:rsid w:val="00D049FD"/>
    <w:rsid w:val="00D04B63"/>
    <w:rsid w:val="00D04E5B"/>
    <w:rsid w:val="00D04F60"/>
    <w:rsid w:val="00D05125"/>
    <w:rsid w:val="00D0513F"/>
    <w:rsid w:val="00D05337"/>
    <w:rsid w:val="00D05768"/>
    <w:rsid w:val="00D05A63"/>
    <w:rsid w:val="00D05AF4"/>
    <w:rsid w:val="00D05C93"/>
    <w:rsid w:val="00D05CE0"/>
    <w:rsid w:val="00D05FE0"/>
    <w:rsid w:val="00D05FE8"/>
    <w:rsid w:val="00D06054"/>
    <w:rsid w:val="00D0610F"/>
    <w:rsid w:val="00D061BF"/>
    <w:rsid w:val="00D06398"/>
    <w:rsid w:val="00D064E2"/>
    <w:rsid w:val="00D0652E"/>
    <w:rsid w:val="00D0654A"/>
    <w:rsid w:val="00D06D17"/>
    <w:rsid w:val="00D06E9A"/>
    <w:rsid w:val="00D0708C"/>
    <w:rsid w:val="00D0749D"/>
    <w:rsid w:val="00D079E7"/>
    <w:rsid w:val="00D079F6"/>
    <w:rsid w:val="00D07A3B"/>
    <w:rsid w:val="00D07A5E"/>
    <w:rsid w:val="00D07B35"/>
    <w:rsid w:val="00D07D2C"/>
    <w:rsid w:val="00D07F29"/>
    <w:rsid w:val="00D07F2E"/>
    <w:rsid w:val="00D106E6"/>
    <w:rsid w:val="00D107B0"/>
    <w:rsid w:val="00D10859"/>
    <w:rsid w:val="00D10E31"/>
    <w:rsid w:val="00D10E66"/>
    <w:rsid w:val="00D11165"/>
    <w:rsid w:val="00D112F4"/>
    <w:rsid w:val="00D1154C"/>
    <w:rsid w:val="00D1156D"/>
    <w:rsid w:val="00D117C9"/>
    <w:rsid w:val="00D11A22"/>
    <w:rsid w:val="00D11D1C"/>
    <w:rsid w:val="00D1210A"/>
    <w:rsid w:val="00D12134"/>
    <w:rsid w:val="00D12267"/>
    <w:rsid w:val="00D12716"/>
    <w:rsid w:val="00D127D3"/>
    <w:rsid w:val="00D12BB5"/>
    <w:rsid w:val="00D12C30"/>
    <w:rsid w:val="00D12C7F"/>
    <w:rsid w:val="00D12CC0"/>
    <w:rsid w:val="00D12E08"/>
    <w:rsid w:val="00D1311D"/>
    <w:rsid w:val="00D13196"/>
    <w:rsid w:val="00D13232"/>
    <w:rsid w:val="00D13314"/>
    <w:rsid w:val="00D133BD"/>
    <w:rsid w:val="00D135E8"/>
    <w:rsid w:val="00D13627"/>
    <w:rsid w:val="00D1375A"/>
    <w:rsid w:val="00D13BBE"/>
    <w:rsid w:val="00D14783"/>
    <w:rsid w:val="00D14BE5"/>
    <w:rsid w:val="00D154EF"/>
    <w:rsid w:val="00D15607"/>
    <w:rsid w:val="00D1584E"/>
    <w:rsid w:val="00D15B56"/>
    <w:rsid w:val="00D15ECF"/>
    <w:rsid w:val="00D160DE"/>
    <w:rsid w:val="00D16B01"/>
    <w:rsid w:val="00D17148"/>
    <w:rsid w:val="00D1716B"/>
    <w:rsid w:val="00D17174"/>
    <w:rsid w:val="00D202B9"/>
    <w:rsid w:val="00D2077C"/>
    <w:rsid w:val="00D20786"/>
    <w:rsid w:val="00D207F1"/>
    <w:rsid w:val="00D20809"/>
    <w:rsid w:val="00D208D8"/>
    <w:rsid w:val="00D21010"/>
    <w:rsid w:val="00D2140E"/>
    <w:rsid w:val="00D21598"/>
    <w:rsid w:val="00D21C30"/>
    <w:rsid w:val="00D21DF4"/>
    <w:rsid w:val="00D220D1"/>
    <w:rsid w:val="00D2246D"/>
    <w:rsid w:val="00D2287C"/>
    <w:rsid w:val="00D22A1B"/>
    <w:rsid w:val="00D22A45"/>
    <w:rsid w:val="00D22BB7"/>
    <w:rsid w:val="00D22BF6"/>
    <w:rsid w:val="00D22D4F"/>
    <w:rsid w:val="00D22D9F"/>
    <w:rsid w:val="00D22E35"/>
    <w:rsid w:val="00D230E9"/>
    <w:rsid w:val="00D2326B"/>
    <w:rsid w:val="00D232E1"/>
    <w:rsid w:val="00D233B5"/>
    <w:rsid w:val="00D234A1"/>
    <w:rsid w:val="00D2364C"/>
    <w:rsid w:val="00D237AC"/>
    <w:rsid w:val="00D23962"/>
    <w:rsid w:val="00D23BA2"/>
    <w:rsid w:val="00D23C32"/>
    <w:rsid w:val="00D243B4"/>
    <w:rsid w:val="00D2449D"/>
    <w:rsid w:val="00D24552"/>
    <w:rsid w:val="00D24604"/>
    <w:rsid w:val="00D24B6B"/>
    <w:rsid w:val="00D24BB9"/>
    <w:rsid w:val="00D24DBB"/>
    <w:rsid w:val="00D25259"/>
    <w:rsid w:val="00D2562C"/>
    <w:rsid w:val="00D25830"/>
    <w:rsid w:val="00D259CD"/>
    <w:rsid w:val="00D25B9A"/>
    <w:rsid w:val="00D25CC3"/>
    <w:rsid w:val="00D25DC2"/>
    <w:rsid w:val="00D26226"/>
    <w:rsid w:val="00D26378"/>
    <w:rsid w:val="00D26926"/>
    <w:rsid w:val="00D26A0B"/>
    <w:rsid w:val="00D26B27"/>
    <w:rsid w:val="00D27079"/>
    <w:rsid w:val="00D270D7"/>
    <w:rsid w:val="00D270FE"/>
    <w:rsid w:val="00D27196"/>
    <w:rsid w:val="00D275A7"/>
    <w:rsid w:val="00D276B6"/>
    <w:rsid w:val="00D2798B"/>
    <w:rsid w:val="00D279D4"/>
    <w:rsid w:val="00D27F3A"/>
    <w:rsid w:val="00D30108"/>
    <w:rsid w:val="00D3045E"/>
    <w:rsid w:val="00D30475"/>
    <w:rsid w:val="00D30491"/>
    <w:rsid w:val="00D30774"/>
    <w:rsid w:val="00D30923"/>
    <w:rsid w:val="00D310E8"/>
    <w:rsid w:val="00D310FB"/>
    <w:rsid w:val="00D313B4"/>
    <w:rsid w:val="00D3142D"/>
    <w:rsid w:val="00D31565"/>
    <w:rsid w:val="00D31684"/>
    <w:rsid w:val="00D3183E"/>
    <w:rsid w:val="00D31C6B"/>
    <w:rsid w:val="00D31E19"/>
    <w:rsid w:val="00D31E23"/>
    <w:rsid w:val="00D31F0E"/>
    <w:rsid w:val="00D32055"/>
    <w:rsid w:val="00D325B0"/>
    <w:rsid w:val="00D32722"/>
    <w:rsid w:val="00D32885"/>
    <w:rsid w:val="00D32B25"/>
    <w:rsid w:val="00D32E25"/>
    <w:rsid w:val="00D32F3C"/>
    <w:rsid w:val="00D33463"/>
    <w:rsid w:val="00D33595"/>
    <w:rsid w:val="00D33640"/>
    <w:rsid w:val="00D338C4"/>
    <w:rsid w:val="00D339A7"/>
    <w:rsid w:val="00D33AC6"/>
    <w:rsid w:val="00D33BDF"/>
    <w:rsid w:val="00D33C91"/>
    <w:rsid w:val="00D33D42"/>
    <w:rsid w:val="00D33E32"/>
    <w:rsid w:val="00D33E4E"/>
    <w:rsid w:val="00D3403E"/>
    <w:rsid w:val="00D3422A"/>
    <w:rsid w:val="00D3447C"/>
    <w:rsid w:val="00D34544"/>
    <w:rsid w:val="00D3455C"/>
    <w:rsid w:val="00D346D3"/>
    <w:rsid w:val="00D34883"/>
    <w:rsid w:val="00D349C1"/>
    <w:rsid w:val="00D34D12"/>
    <w:rsid w:val="00D34DC0"/>
    <w:rsid w:val="00D34ECE"/>
    <w:rsid w:val="00D34F9F"/>
    <w:rsid w:val="00D34FD8"/>
    <w:rsid w:val="00D3524D"/>
    <w:rsid w:val="00D3532B"/>
    <w:rsid w:val="00D3555B"/>
    <w:rsid w:val="00D35641"/>
    <w:rsid w:val="00D3572B"/>
    <w:rsid w:val="00D362DD"/>
    <w:rsid w:val="00D363BD"/>
    <w:rsid w:val="00D36543"/>
    <w:rsid w:val="00D36770"/>
    <w:rsid w:val="00D36A6F"/>
    <w:rsid w:val="00D36C25"/>
    <w:rsid w:val="00D370B0"/>
    <w:rsid w:val="00D3727E"/>
    <w:rsid w:val="00D377B0"/>
    <w:rsid w:val="00D37869"/>
    <w:rsid w:val="00D37C8B"/>
    <w:rsid w:val="00D40096"/>
    <w:rsid w:val="00D400B6"/>
    <w:rsid w:val="00D404A9"/>
    <w:rsid w:val="00D404ED"/>
    <w:rsid w:val="00D4055A"/>
    <w:rsid w:val="00D40714"/>
    <w:rsid w:val="00D4087E"/>
    <w:rsid w:val="00D40B6F"/>
    <w:rsid w:val="00D40E67"/>
    <w:rsid w:val="00D40E77"/>
    <w:rsid w:val="00D40E8E"/>
    <w:rsid w:val="00D40FE6"/>
    <w:rsid w:val="00D41141"/>
    <w:rsid w:val="00D41252"/>
    <w:rsid w:val="00D412C7"/>
    <w:rsid w:val="00D41639"/>
    <w:rsid w:val="00D4179A"/>
    <w:rsid w:val="00D418BF"/>
    <w:rsid w:val="00D41ED5"/>
    <w:rsid w:val="00D4276A"/>
    <w:rsid w:val="00D4281F"/>
    <w:rsid w:val="00D43012"/>
    <w:rsid w:val="00D43160"/>
    <w:rsid w:val="00D4346A"/>
    <w:rsid w:val="00D43501"/>
    <w:rsid w:val="00D437C1"/>
    <w:rsid w:val="00D43940"/>
    <w:rsid w:val="00D43C42"/>
    <w:rsid w:val="00D43FEB"/>
    <w:rsid w:val="00D44033"/>
    <w:rsid w:val="00D443BA"/>
    <w:rsid w:val="00D449E6"/>
    <w:rsid w:val="00D44BD4"/>
    <w:rsid w:val="00D45560"/>
    <w:rsid w:val="00D45687"/>
    <w:rsid w:val="00D456C9"/>
    <w:rsid w:val="00D458CD"/>
    <w:rsid w:val="00D459A7"/>
    <w:rsid w:val="00D45A84"/>
    <w:rsid w:val="00D45B40"/>
    <w:rsid w:val="00D45C8A"/>
    <w:rsid w:val="00D45E2F"/>
    <w:rsid w:val="00D46134"/>
    <w:rsid w:val="00D4614C"/>
    <w:rsid w:val="00D46170"/>
    <w:rsid w:val="00D462A2"/>
    <w:rsid w:val="00D46475"/>
    <w:rsid w:val="00D46558"/>
    <w:rsid w:val="00D46A2A"/>
    <w:rsid w:val="00D46A9B"/>
    <w:rsid w:val="00D46AB8"/>
    <w:rsid w:val="00D46E16"/>
    <w:rsid w:val="00D46F4F"/>
    <w:rsid w:val="00D46FA2"/>
    <w:rsid w:val="00D47154"/>
    <w:rsid w:val="00D47197"/>
    <w:rsid w:val="00D471BF"/>
    <w:rsid w:val="00D47205"/>
    <w:rsid w:val="00D47752"/>
    <w:rsid w:val="00D47842"/>
    <w:rsid w:val="00D47900"/>
    <w:rsid w:val="00D47963"/>
    <w:rsid w:val="00D47B67"/>
    <w:rsid w:val="00D47DBB"/>
    <w:rsid w:val="00D50136"/>
    <w:rsid w:val="00D50145"/>
    <w:rsid w:val="00D50313"/>
    <w:rsid w:val="00D503D3"/>
    <w:rsid w:val="00D504B0"/>
    <w:rsid w:val="00D505C7"/>
    <w:rsid w:val="00D50777"/>
    <w:rsid w:val="00D50967"/>
    <w:rsid w:val="00D50A5B"/>
    <w:rsid w:val="00D50AAA"/>
    <w:rsid w:val="00D50E4F"/>
    <w:rsid w:val="00D51070"/>
    <w:rsid w:val="00D51082"/>
    <w:rsid w:val="00D510A8"/>
    <w:rsid w:val="00D51206"/>
    <w:rsid w:val="00D5135C"/>
    <w:rsid w:val="00D51452"/>
    <w:rsid w:val="00D51656"/>
    <w:rsid w:val="00D5175A"/>
    <w:rsid w:val="00D51A78"/>
    <w:rsid w:val="00D51EF2"/>
    <w:rsid w:val="00D52254"/>
    <w:rsid w:val="00D52329"/>
    <w:rsid w:val="00D52383"/>
    <w:rsid w:val="00D523CD"/>
    <w:rsid w:val="00D52512"/>
    <w:rsid w:val="00D5270F"/>
    <w:rsid w:val="00D5274A"/>
    <w:rsid w:val="00D5281C"/>
    <w:rsid w:val="00D5296E"/>
    <w:rsid w:val="00D52BBD"/>
    <w:rsid w:val="00D53260"/>
    <w:rsid w:val="00D533D6"/>
    <w:rsid w:val="00D534C4"/>
    <w:rsid w:val="00D53CBB"/>
    <w:rsid w:val="00D53E73"/>
    <w:rsid w:val="00D53F45"/>
    <w:rsid w:val="00D5468E"/>
    <w:rsid w:val="00D5484F"/>
    <w:rsid w:val="00D5488A"/>
    <w:rsid w:val="00D5496F"/>
    <w:rsid w:val="00D54B92"/>
    <w:rsid w:val="00D54C68"/>
    <w:rsid w:val="00D54C8A"/>
    <w:rsid w:val="00D54DC0"/>
    <w:rsid w:val="00D54DE3"/>
    <w:rsid w:val="00D553EF"/>
    <w:rsid w:val="00D558B7"/>
    <w:rsid w:val="00D558E6"/>
    <w:rsid w:val="00D558ED"/>
    <w:rsid w:val="00D55A16"/>
    <w:rsid w:val="00D55AF8"/>
    <w:rsid w:val="00D565C6"/>
    <w:rsid w:val="00D56670"/>
    <w:rsid w:val="00D56B0A"/>
    <w:rsid w:val="00D56C8C"/>
    <w:rsid w:val="00D56D5E"/>
    <w:rsid w:val="00D5733C"/>
    <w:rsid w:val="00D57655"/>
    <w:rsid w:val="00D576DD"/>
    <w:rsid w:val="00D57AC1"/>
    <w:rsid w:val="00D57B7D"/>
    <w:rsid w:val="00D57FD1"/>
    <w:rsid w:val="00D60030"/>
    <w:rsid w:val="00D600AC"/>
    <w:rsid w:val="00D601C9"/>
    <w:rsid w:val="00D602A4"/>
    <w:rsid w:val="00D606FF"/>
    <w:rsid w:val="00D60831"/>
    <w:rsid w:val="00D60961"/>
    <w:rsid w:val="00D60A1B"/>
    <w:rsid w:val="00D60AAC"/>
    <w:rsid w:val="00D60B3C"/>
    <w:rsid w:val="00D60B9A"/>
    <w:rsid w:val="00D60CCE"/>
    <w:rsid w:val="00D61042"/>
    <w:rsid w:val="00D61150"/>
    <w:rsid w:val="00D617BE"/>
    <w:rsid w:val="00D61849"/>
    <w:rsid w:val="00D61B4A"/>
    <w:rsid w:val="00D621B3"/>
    <w:rsid w:val="00D623D8"/>
    <w:rsid w:val="00D627AC"/>
    <w:rsid w:val="00D62838"/>
    <w:rsid w:val="00D628E7"/>
    <w:rsid w:val="00D6292D"/>
    <w:rsid w:val="00D62B35"/>
    <w:rsid w:val="00D62EED"/>
    <w:rsid w:val="00D62F5C"/>
    <w:rsid w:val="00D63004"/>
    <w:rsid w:val="00D631C1"/>
    <w:rsid w:val="00D6343F"/>
    <w:rsid w:val="00D634B9"/>
    <w:rsid w:val="00D637AA"/>
    <w:rsid w:val="00D63816"/>
    <w:rsid w:val="00D638A8"/>
    <w:rsid w:val="00D63A6E"/>
    <w:rsid w:val="00D63AFE"/>
    <w:rsid w:val="00D63BF7"/>
    <w:rsid w:val="00D63CFA"/>
    <w:rsid w:val="00D6415C"/>
    <w:rsid w:val="00D644F8"/>
    <w:rsid w:val="00D64576"/>
    <w:rsid w:val="00D6462A"/>
    <w:rsid w:val="00D64661"/>
    <w:rsid w:val="00D6483A"/>
    <w:rsid w:val="00D64C5A"/>
    <w:rsid w:val="00D64D05"/>
    <w:rsid w:val="00D64FEB"/>
    <w:rsid w:val="00D652A2"/>
    <w:rsid w:val="00D6548F"/>
    <w:rsid w:val="00D6549C"/>
    <w:rsid w:val="00D658B4"/>
    <w:rsid w:val="00D65AD8"/>
    <w:rsid w:val="00D65C27"/>
    <w:rsid w:val="00D65D5E"/>
    <w:rsid w:val="00D66041"/>
    <w:rsid w:val="00D66195"/>
    <w:rsid w:val="00D66275"/>
    <w:rsid w:val="00D6628F"/>
    <w:rsid w:val="00D669CB"/>
    <w:rsid w:val="00D66C57"/>
    <w:rsid w:val="00D66FBB"/>
    <w:rsid w:val="00D67181"/>
    <w:rsid w:val="00D67511"/>
    <w:rsid w:val="00D67581"/>
    <w:rsid w:val="00D675F1"/>
    <w:rsid w:val="00D676F5"/>
    <w:rsid w:val="00D702E4"/>
    <w:rsid w:val="00D70785"/>
    <w:rsid w:val="00D70C9C"/>
    <w:rsid w:val="00D70DC0"/>
    <w:rsid w:val="00D711DC"/>
    <w:rsid w:val="00D712A0"/>
    <w:rsid w:val="00D712BC"/>
    <w:rsid w:val="00D713A5"/>
    <w:rsid w:val="00D71887"/>
    <w:rsid w:val="00D71948"/>
    <w:rsid w:val="00D71BBD"/>
    <w:rsid w:val="00D71C69"/>
    <w:rsid w:val="00D72272"/>
    <w:rsid w:val="00D723FB"/>
    <w:rsid w:val="00D726F6"/>
    <w:rsid w:val="00D7284A"/>
    <w:rsid w:val="00D72BD4"/>
    <w:rsid w:val="00D72C5F"/>
    <w:rsid w:val="00D72C6A"/>
    <w:rsid w:val="00D72D1B"/>
    <w:rsid w:val="00D730E2"/>
    <w:rsid w:val="00D73B14"/>
    <w:rsid w:val="00D73B75"/>
    <w:rsid w:val="00D74282"/>
    <w:rsid w:val="00D74A91"/>
    <w:rsid w:val="00D74F3C"/>
    <w:rsid w:val="00D74FF6"/>
    <w:rsid w:val="00D7527E"/>
    <w:rsid w:val="00D755A2"/>
    <w:rsid w:val="00D7579F"/>
    <w:rsid w:val="00D75C5E"/>
    <w:rsid w:val="00D760E3"/>
    <w:rsid w:val="00D76199"/>
    <w:rsid w:val="00D76812"/>
    <w:rsid w:val="00D769E8"/>
    <w:rsid w:val="00D76E72"/>
    <w:rsid w:val="00D76EC0"/>
    <w:rsid w:val="00D77195"/>
    <w:rsid w:val="00D771B9"/>
    <w:rsid w:val="00D773C1"/>
    <w:rsid w:val="00D77629"/>
    <w:rsid w:val="00D77BB6"/>
    <w:rsid w:val="00D77CC4"/>
    <w:rsid w:val="00D80104"/>
    <w:rsid w:val="00D80324"/>
    <w:rsid w:val="00D803EC"/>
    <w:rsid w:val="00D80426"/>
    <w:rsid w:val="00D8051F"/>
    <w:rsid w:val="00D809CA"/>
    <w:rsid w:val="00D80A30"/>
    <w:rsid w:val="00D80DEE"/>
    <w:rsid w:val="00D8128E"/>
    <w:rsid w:val="00D81589"/>
    <w:rsid w:val="00D81637"/>
    <w:rsid w:val="00D816FC"/>
    <w:rsid w:val="00D818B9"/>
    <w:rsid w:val="00D818D4"/>
    <w:rsid w:val="00D819BE"/>
    <w:rsid w:val="00D81A5D"/>
    <w:rsid w:val="00D81A73"/>
    <w:rsid w:val="00D81BA6"/>
    <w:rsid w:val="00D81BDE"/>
    <w:rsid w:val="00D81DF7"/>
    <w:rsid w:val="00D81E08"/>
    <w:rsid w:val="00D821DA"/>
    <w:rsid w:val="00D821F7"/>
    <w:rsid w:val="00D82270"/>
    <w:rsid w:val="00D8229B"/>
    <w:rsid w:val="00D823D7"/>
    <w:rsid w:val="00D824C4"/>
    <w:rsid w:val="00D82725"/>
    <w:rsid w:val="00D827B3"/>
    <w:rsid w:val="00D82C7E"/>
    <w:rsid w:val="00D83132"/>
    <w:rsid w:val="00D83218"/>
    <w:rsid w:val="00D833A7"/>
    <w:rsid w:val="00D83586"/>
    <w:rsid w:val="00D8388E"/>
    <w:rsid w:val="00D83B45"/>
    <w:rsid w:val="00D83E4A"/>
    <w:rsid w:val="00D83E51"/>
    <w:rsid w:val="00D83E61"/>
    <w:rsid w:val="00D8417B"/>
    <w:rsid w:val="00D84274"/>
    <w:rsid w:val="00D84521"/>
    <w:rsid w:val="00D847F6"/>
    <w:rsid w:val="00D84C6A"/>
    <w:rsid w:val="00D84DA3"/>
    <w:rsid w:val="00D84F48"/>
    <w:rsid w:val="00D852C5"/>
    <w:rsid w:val="00D85494"/>
    <w:rsid w:val="00D85520"/>
    <w:rsid w:val="00D857D5"/>
    <w:rsid w:val="00D858E6"/>
    <w:rsid w:val="00D85ADA"/>
    <w:rsid w:val="00D85DA5"/>
    <w:rsid w:val="00D85FDE"/>
    <w:rsid w:val="00D8652E"/>
    <w:rsid w:val="00D86602"/>
    <w:rsid w:val="00D867A4"/>
    <w:rsid w:val="00D86F13"/>
    <w:rsid w:val="00D86FB3"/>
    <w:rsid w:val="00D87279"/>
    <w:rsid w:val="00D87873"/>
    <w:rsid w:val="00D87CEB"/>
    <w:rsid w:val="00D87E1A"/>
    <w:rsid w:val="00D901E1"/>
    <w:rsid w:val="00D90308"/>
    <w:rsid w:val="00D9037A"/>
    <w:rsid w:val="00D90431"/>
    <w:rsid w:val="00D90515"/>
    <w:rsid w:val="00D905E0"/>
    <w:rsid w:val="00D90B61"/>
    <w:rsid w:val="00D90BFF"/>
    <w:rsid w:val="00D90D3D"/>
    <w:rsid w:val="00D90E2D"/>
    <w:rsid w:val="00D90E3E"/>
    <w:rsid w:val="00D9104C"/>
    <w:rsid w:val="00D91229"/>
    <w:rsid w:val="00D92016"/>
    <w:rsid w:val="00D9211D"/>
    <w:rsid w:val="00D9213B"/>
    <w:rsid w:val="00D92686"/>
    <w:rsid w:val="00D927E3"/>
    <w:rsid w:val="00D927E6"/>
    <w:rsid w:val="00D92DF1"/>
    <w:rsid w:val="00D934B0"/>
    <w:rsid w:val="00D934D8"/>
    <w:rsid w:val="00D9369F"/>
    <w:rsid w:val="00D937C5"/>
    <w:rsid w:val="00D93810"/>
    <w:rsid w:val="00D939C0"/>
    <w:rsid w:val="00D93CAE"/>
    <w:rsid w:val="00D93D36"/>
    <w:rsid w:val="00D94293"/>
    <w:rsid w:val="00D94488"/>
    <w:rsid w:val="00D944DA"/>
    <w:rsid w:val="00D9477C"/>
    <w:rsid w:val="00D947E6"/>
    <w:rsid w:val="00D947F8"/>
    <w:rsid w:val="00D94C9C"/>
    <w:rsid w:val="00D94ED7"/>
    <w:rsid w:val="00D94F79"/>
    <w:rsid w:val="00D95160"/>
    <w:rsid w:val="00D952C5"/>
    <w:rsid w:val="00D9534B"/>
    <w:rsid w:val="00D9569E"/>
    <w:rsid w:val="00D95CF8"/>
    <w:rsid w:val="00D95D34"/>
    <w:rsid w:val="00D95DC4"/>
    <w:rsid w:val="00D95F80"/>
    <w:rsid w:val="00D95FDB"/>
    <w:rsid w:val="00D963AC"/>
    <w:rsid w:val="00D96663"/>
    <w:rsid w:val="00D967D0"/>
    <w:rsid w:val="00D9697F"/>
    <w:rsid w:val="00D96CD1"/>
    <w:rsid w:val="00D96DAF"/>
    <w:rsid w:val="00D96E5D"/>
    <w:rsid w:val="00D96FAE"/>
    <w:rsid w:val="00D97236"/>
    <w:rsid w:val="00D972A9"/>
    <w:rsid w:val="00D972CD"/>
    <w:rsid w:val="00D9751A"/>
    <w:rsid w:val="00D9751D"/>
    <w:rsid w:val="00D97718"/>
    <w:rsid w:val="00D9787C"/>
    <w:rsid w:val="00D97928"/>
    <w:rsid w:val="00D97B24"/>
    <w:rsid w:val="00D97CE9"/>
    <w:rsid w:val="00D97EFE"/>
    <w:rsid w:val="00DA0228"/>
    <w:rsid w:val="00DA0754"/>
    <w:rsid w:val="00DA09F1"/>
    <w:rsid w:val="00DA0B01"/>
    <w:rsid w:val="00DA0D5C"/>
    <w:rsid w:val="00DA10C2"/>
    <w:rsid w:val="00DA120C"/>
    <w:rsid w:val="00DA12A0"/>
    <w:rsid w:val="00DA1446"/>
    <w:rsid w:val="00DA164B"/>
    <w:rsid w:val="00DA1823"/>
    <w:rsid w:val="00DA1896"/>
    <w:rsid w:val="00DA1D64"/>
    <w:rsid w:val="00DA1F06"/>
    <w:rsid w:val="00DA2040"/>
    <w:rsid w:val="00DA2160"/>
    <w:rsid w:val="00DA2565"/>
    <w:rsid w:val="00DA2636"/>
    <w:rsid w:val="00DA2B52"/>
    <w:rsid w:val="00DA3259"/>
    <w:rsid w:val="00DA32F5"/>
    <w:rsid w:val="00DA35A9"/>
    <w:rsid w:val="00DA38B7"/>
    <w:rsid w:val="00DA38EC"/>
    <w:rsid w:val="00DA3E6A"/>
    <w:rsid w:val="00DA41AA"/>
    <w:rsid w:val="00DA43AF"/>
    <w:rsid w:val="00DA4439"/>
    <w:rsid w:val="00DA498E"/>
    <w:rsid w:val="00DA4D66"/>
    <w:rsid w:val="00DA4F7E"/>
    <w:rsid w:val="00DA4FEF"/>
    <w:rsid w:val="00DA51B9"/>
    <w:rsid w:val="00DA51DF"/>
    <w:rsid w:val="00DA59DA"/>
    <w:rsid w:val="00DA5AE3"/>
    <w:rsid w:val="00DA5B46"/>
    <w:rsid w:val="00DA619B"/>
    <w:rsid w:val="00DA69B6"/>
    <w:rsid w:val="00DA69DA"/>
    <w:rsid w:val="00DA6A70"/>
    <w:rsid w:val="00DA6C9C"/>
    <w:rsid w:val="00DA6E33"/>
    <w:rsid w:val="00DA70DD"/>
    <w:rsid w:val="00DA72BC"/>
    <w:rsid w:val="00DA73C9"/>
    <w:rsid w:val="00DA747E"/>
    <w:rsid w:val="00DA74C9"/>
    <w:rsid w:val="00DA74EA"/>
    <w:rsid w:val="00DA7652"/>
    <w:rsid w:val="00DA7E5E"/>
    <w:rsid w:val="00DA7E96"/>
    <w:rsid w:val="00DA7F6C"/>
    <w:rsid w:val="00DB037B"/>
    <w:rsid w:val="00DB05BF"/>
    <w:rsid w:val="00DB0968"/>
    <w:rsid w:val="00DB098A"/>
    <w:rsid w:val="00DB0A0A"/>
    <w:rsid w:val="00DB0F3F"/>
    <w:rsid w:val="00DB1079"/>
    <w:rsid w:val="00DB134C"/>
    <w:rsid w:val="00DB1460"/>
    <w:rsid w:val="00DB1801"/>
    <w:rsid w:val="00DB1AD2"/>
    <w:rsid w:val="00DB1D7C"/>
    <w:rsid w:val="00DB1E85"/>
    <w:rsid w:val="00DB21B4"/>
    <w:rsid w:val="00DB2618"/>
    <w:rsid w:val="00DB262D"/>
    <w:rsid w:val="00DB269D"/>
    <w:rsid w:val="00DB2719"/>
    <w:rsid w:val="00DB28BF"/>
    <w:rsid w:val="00DB28CB"/>
    <w:rsid w:val="00DB2A3C"/>
    <w:rsid w:val="00DB2AD2"/>
    <w:rsid w:val="00DB2B90"/>
    <w:rsid w:val="00DB2EF9"/>
    <w:rsid w:val="00DB2F40"/>
    <w:rsid w:val="00DB3597"/>
    <w:rsid w:val="00DB3740"/>
    <w:rsid w:val="00DB3821"/>
    <w:rsid w:val="00DB38DC"/>
    <w:rsid w:val="00DB3967"/>
    <w:rsid w:val="00DB397B"/>
    <w:rsid w:val="00DB3A89"/>
    <w:rsid w:val="00DB3E84"/>
    <w:rsid w:val="00DB4081"/>
    <w:rsid w:val="00DB44B8"/>
    <w:rsid w:val="00DB48D2"/>
    <w:rsid w:val="00DB4CC9"/>
    <w:rsid w:val="00DB4D23"/>
    <w:rsid w:val="00DB4F66"/>
    <w:rsid w:val="00DB54FB"/>
    <w:rsid w:val="00DB55B4"/>
    <w:rsid w:val="00DB55E7"/>
    <w:rsid w:val="00DB587F"/>
    <w:rsid w:val="00DB5C01"/>
    <w:rsid w:val="00DB5E3D"/>
    <w:rsid w:val="00DB5EA7"/>
    <w:rsid w:val="00DB628D"/>
    <w:rsid w:val="00DB672B"/>
    <w:rsid w:val="00DB67BA"/>
    <w:rsid w:val="00DB6939"/>
    <w:rsid w:val="00DB6BEB"/>
    <w:rsid w:val="00DB6C89"/>
    <w:rsid w:val="00DB6CBE"/>
    <w:rsid w:val="00DB70D6"/>
    <w:rsid w:val="00DB74F2"/>
    <w:rsid w:val="00DB7534"/>
    <w:rsid w:val="00DB75CD"/>
    <w:rsid w:val="00DC0519"/>
    <w:rsid w:val="00DC09A7"/>
    <w:rsid w:val="00DC0A13"/>
    <w:rsid w:val="00DC0A1F"/>
    <w:rsid w:val="00DC0A7D"/>
    <w:rsid w:val="00DC0B59"/>
    <w:rsid w:val="00DC0D9F"/>
    <w:rsid w:val="00DC1196"/>
    <w:rsid w:val="00DC11C0"/>
    <w:rsid w:val="00DC1370"/>
    <w:rsid w:val="00DC13FB"/>
    <w:rsid w:val="00DC19B5"/>
    <w:rsid w:val="00DC1B54"/>
    <w:rsid w:val="00DC1EAD"/>
    <w:rsid w:val="00DC1F09"/>
    <w:rsid w:val="00DC22E9"/>
    <w:rsid w:val="00DC237E"/>
    <w:rsid w:val="00DC2524"/>
    <w:rsid w:val="00DC26D6"/>
    <w:rsid w:val="00DC2A55"/>
    <w:rsid w:val="00DC2E6A"/>
    <w:rsid w:val="00DC30CD"/>
    <w:rsid w:val="00DC3143"/>
    <w:rsid w:val="00DC32AC"/>
    <w:rsid w:val="00DC3328"/>
    <w:rsid w:val="00DC35C6"/>
    <w:rsid w:val="00DC36EA"/>
    <w:rsid w:val="00DC37DA"/>
    <w:rsid w:val="00DC3A9C"/>
    <w:rsid w:val="00DC3B74"/>
    <w:rsid w:val="00DC3C2D"/>
    <w:rsid w:val="00DC3E42"/>
    <w:rsid w:val="00DC3FB4"/>
    <w:rsid w:val="00DC402F"/>
    <w:rsid w:val="00DC40C3"/>
    <w:rsid w:val="00DC44D2"/>
    <w:rsid w:val="00DC4523"/>
    <w:rsid w:val="00DC4815"/>
    <w:rsid w:val="00DC4F7B"/>
    <w:rsid w:val="00DC5285"/>
    <w:rsid w:val="00DC5466"/>
    <w:rsid w:val="00DC554A"/>
    <w:rsid w:val="00DC5786"/>
    <w:rsid w:val="00DC5A25"/>
    <w:rsid w:val="00DC5D25"/>
    <w:rsid w:val="00DC5D87"/>
    <w:rsid w:val="00DC6278"/>
    <w:rsid w:val="00DC6371"/>
    <w:rsid w:val="00DC6424"/>
    <w:rsid w:val="00DC6588"/>
    <w:rsid w:val="00DC6657"/>
    <w:rsid w:val="00DC67B4"/>
    <w:rsid w:val="00DC67ED"/>
    <w:rsid w:val="00DC6831"/>
    <w:rsid w:val="00DC684F"/>
    <w:rsid w:val="00DC68CD"/>
    <w:rsid w:val="00DC6D89"/>
    <w:rsid w:val="00DC6E6C"/>
    <w:rsid w:val="00DC715D"/>
    <w:rsid w:val="00DC723C"/>
    <w:rsid w:val="00DC72F2"/>
    <w:rsid w:val="00DC749D"/>
    <w:rsid w:val="00DC752F"/>
    <w:rsid w:val="00DC7852"/>
    <w:rsid w:val="00DC7A72"/>
    <w:rsid w:val="00DC7AAB"/>
    <w:rsid w:val="00DC7AFC"/>
    <w:rsid w:val="00DC7BAC"/>
    <w:rsid w:val="00DC7D49"/>
    <w:rsid w:val="00DC7F2F"/>
    <w:rsid w:val="00DD00EA"/>
    <w:rsid w:val="00DD0117"/>
    <w:rsid w:val="00DD0378"/>
    <w:rsid w:val="00DD0451"/>
    <w:rsid w:val="00DD0492"/>
    <w:rsid w:val="00DD0A15"/>
    <w:rsid w:val="00DD0DB9"/>
    <w:rsid w:val="00DD0DD6"/>
    <w:rsid w:val="00DD12EC"/>
    <w:rsid w:val="00DD1630"/>
    <w:rsid w:val="00DD167D"/>
    <w:rsid w:val="00DD16A9"/>
    <w:rsid w:val="00DD16EA"/>
    <w:rsid w:val="00DD177E"/>
    <w:rsid w:val="00DD19EB"/>
    <w:rsid w:val="00DD1F95"/>
    <w:rsid w:val="00DD23A5"/>
    <w:rsid w:val="00DD28E1"/>
    <w:rsid w:val="00DD2C73"/>
    <w:rsid w:val="00DD2CC4"/>
    <w:rsid w:val="00DD3094"/>
    <w:rsid w:val="00DD34CE"/>
    <w:rsid w:val="00DD35A4"/>
    <w:rsid w:val="00DD35E1"/>
    <w:rsid w:val="00DD35EC"/>
    <w:rsid w:val="00DD3622"/>
    <w:rsid w:val="00DD3912"/>
    <w:rsid w:val="00DD39F7"/>
    <w:rsid w:val="00DD3EFB"/>
    <w:rsid w:val="00DD4160"/>
    <w:rsid w:val="00DD4389"/>
    <w:rsid w:val="00DD44DE"/>
    <w:rsid w:val="00DD46C9"/>
    <w:rsid w:val="00DD488B"/>
    <w:rsid w:val="00DD49EC"/>
    <w:rsid w:val="00DD4B16"/>
    <w:rsid w:val="00DD4C52"/>
    <w:rsid w:val="00DD4CB4"/>
    <w:rsid w:val="00DD4E46"/>
    <w:rsid w:val="00DD50B5"/>
    <w:rsid w:val="00DD50E6"/>
    <w:rsid w:val="00DD518D"/>
    <w:rsid w:val="00DD5553"/>
    <w:rsid w:val="00DD561D"/>
    <w:rsid w:val="00DD5894"/>
    <w:rsid w:val="00DD5D17"/>
    <w:rsid w:val="00DD5DC0"/>
    <w:rsid w:val="00DD615E"/>
    <w:rsid w:val="00DD617D"/>
    <w:rsid w:val="00DD6348"/>
    <w:rsid w:val="00DD6353"/>
    <w:rsid w:val="00DD63B0"/>
    <w:rsid w:val="00DD65D1"/>
    <w:rsid w:val="00DD6604"/>
    <w:rsid w:val="00DD66F6"/>
    <w:rsid w:val="00DD6871"/>
    <w:rsid w:val="00DD6A01"/>
    <w:rsid w:val="00DD6D5B"/>
    <w:rsid w:val="00DD7102"/>
    <w:rsid w:val="00DD7308"/>
    <w:rsid w:val="00DD7893"/>
    <w:rsid w:val="00DD795D"/>
    <w:rsid w:val="00DD7A2C"/>
    <w:rsid w:val="00DD7B6F"/>
    <w:rsid w:val="00DD7E3A"/>
    <w:rsid w:val="00DE019C"/>
    <w:rsid w:val="00DE01A2"/>
    <w:rsid w:val="00DE01B2"/>
    <w:rsid w:val="00DE047B"/>
    <w:rsid w:val="00DE060B"/>
    <w:rsid w:val="00DE09F5"/>
    <w:rsid w:val="00DE0A69"/>
    <w:rsid w:val="00DE0AD7"/>
    <w:rsid w:val="00DE0D3B"/>
    <w:rsid w:val="00DE1610"/>
    <w:rsid w:val="00DE16D0"/>
    <w:rsid w:val="00DE1B61"/>
    <w:rsid w:val="00DE1C35"/>
    <w:rsid w:val="00DE1D47"/>
    <w:rsid w:val="00DE1DF9"/>
    <w:rsid w:val="00DE1EB2"/>
    <w:rsid w:val="00DE2081"/>
    <w:rsid w:val="00DE23B2"/>
    <w:rsid w:val="00DE241A"/>
    <w:rsid w:val="00DE25BB"/>
    <w:rsid w:val="00DE261F"/>
    <w:rsid w:val="00DE294D"/>
    <w:rsid w:val="00DE29AF"/>
    <w:rsid w:val="00DE2A97"/>
    <w:rsid w:val="00DE2BF1"/>
    <w:rsid w:val="00DE2F64"/>
    <w:rsid w:val="00DE3643"/>
    <w:rsid w:val="00DE3F1A"/>
    <w:rsid w:val="00DE41B9"/>
    <w:rsid w:val="00DE4494"/>
    <w:rsid w:val="00DE46A3"/>
    <w:rsid w:val="00DE489E"/>
    <w:rsid w:val="00DE4A45"/>
    <w:rsid w:val="00DE4B44"/>
    <w:rsid w:val="00DE4D88"/>
    <w:rsid w:val="00DE51BB"/>
    <w:rsid w:val="00DE5254"/>
    <w:rsid w:val="00DE527B"/>
    <w:rsid w:val="00DE52D6"/>
    <w:rsid w:val="00DE53F5"/>
    <w:rsid w:val="00DE554B"/>
    <w:rsid w:val="00DE55A9"/>
    <w:rsid w:val="00DE5882"/>
    <w:rsid w:val="00DE5AC2"/>
    <w:rsid w:val="00DE5D27"/>
    <w:rsid w:val="00DE5F50"/>
    <w:rsid w:val="00DE6348"/>
    <w:rsid w:val="00DE67AE"/>
    <w:rsid w:val="00DE6B71"/>
    <w:rsid w:val="00DE6DFA"/>
    <w:rsid w:val="00DE6E8E"/>
    <w:rsid w:val="00DE6F1C"/>
    <w:rsid w:val="00DE7062"/>
    <w:rsid w:val="00DE7198"/>
    <w:rsid w:val="00DE71BF"/>
    <w:rsid w:val="00DE72E5"/>
    <w:rsid w:val="00DE72FA"/>
    <w:rsid w:val="00DE7303"/>
    <w:rsid w:val="00DE745B"/>
    <w:rsid w:val="00DE767D"/>
    <w:rsid w:val="00DE77D9"/>
    <w:rsid w:val="00DF0620"/>
    <w:rsid w:val="00DF071B"/>
    <w:rsid w:val="00DF07E2"/>
    <w:rsid w:val="00DF097B"/>
    <w:rsid w:val="00DF0C58"/>
    <w:rsid w:val="00DF0C90"/>
    <w:rsid w:val="00DF0D56"/>
    <w:rsid w:val="00DF0E0B"/>
    <w:rsid w:val="00DF0FED"/>
    <w:rsid w:val="00DF12A2"/>
    <w:rsid w:val="00DF13FA"/>
    <w:rsid w:val="00DF164E"/>
    <w:rsid w:val="00DF18FB"/>
    <w:rsid w:val="00DF1959"/>
    <w:rsid w:val="00DF196D"/>
    <w:rsid w:val="00DF1A23"/>
    <w:rsid w:val="00DF1A2B"/>
    <w:rsid w:val="00DF1A57"/>
    <w:rsid w:val="00DF1B7B"/>
    <w:rsid w:val="00DF1D80"/>
    <w:rsid w:val="00DF1E9D"/>
    <w:rsid w:val="00DF2004"/>
    <w:rsid w:val="00DF22E1"/>
    <w:rsid w:val="00DF25F5"/>
    <w:rsid w:val="00DF26D5"/>
    <w:rsid w:val="00DF284B"/>
    <w:rsid w:val="00DF2A55"/>
    <w:rsid w:val="00DF2CDD"/>
    <w:rsid w:val="00DF2D04"/>
    <w:rsid w:val="00DF2E8F"/>
    <w:rsid w:val="00DF3171"/>
    <w:rsid w:val="00DF31F0"/>
    <w:rsid w:val="00DF3B47"/>
    <w:rsid w:val="00DF465E"/>
    <w:rsid w:val="00DF48FE"/>
    <w:rsid w:val="00DF496C"/>
    <w:rsid w:val="00DF4C67"/>
    <w:rsid w:val="00DF4E03"/>
    <w:rsid w:val="00DF4ED1"/>
    <w:rsid w:val="00DF4F0B"/>
    <w:rsid w:val="00DF5439"/>
    <w:rsid w:val="00DF57A0"/>
    <w:rsid w:val="00DF5857"/>
    <w:rsid w:val="00DF5DC1"/>
    <w:rsid w:val="00DF5F00"/>
    <w:rsid w:val="00DF6041"/>
    <w:rsid w:val="00DF60D7"/>
    <w:rsid w:val="00DF60ED"/>
    <w:rsid w:val="00DF63B4"/>
    <w:rsid w:val="00DF64CB"/>
    <w:rsid w:val="00DF6511"/>
    <w:rsid w:val="00DF6751"/>
    <w:rsid w:val="00DF6930"/>
    <w:rsid w:val="00DF6B4E"/>
    <w:rsid w:val="00DF6E06"/>
    <w:rsid w:val="00DF7363"/>
    <w:rsid w:val="00DF75F3"/>
    <w:rsid w:val="00DF77E0"/>
    <w:rsid w:val="00DF7878"/>
    <w:rsid w:val="00DF7F95"/>
    <w:rsid w:val="00E0014B"/>
    <w:rsid w:val="00E003D7"/>
    <w:rsid w:val="00E004CE"/>
    <w:rsid w:val="00E004FA"/>
    <w:rsid w:val="00E00947"/>
    <w:rsid w:val="00E0096F"/>
    <w:rsid w:val="00E00CFE"/>
    <w:rsid w:val="00E00FAF"/>
    <w:rsid w:val="00E0104C"/>
    <w:rsid w:val="00E0156F"/>
    <w:rsid w:val="00E01C22"/>
    <w:rsid w:val="00E01C6F"/>
    <w:rsid w:val="00E01E36"/>
    <w:rsid w:val="00E02077"/>
    <w:rsid w:val="00E02081"/>
    <w:rsid w:val="00E0214A"/>
    <w:rsid w:val="00E0219B"/>
    <w:rsid w:val="00E0219E"/>
    <w:rsid w:val="00E02A35"/>
    <w:rsid w:val="00E02D00"/>
    <w:rsid w:val="00E02DF0"/>
    <w:rsid w:val="00E032A1"/>
    <w:rsid w:val="00E03310"/>
    <w:rsid w:val="00E034E2"/>
    <w:rsid w:val="00E036A8"/>
    <w:rsid w:val="00E03774"/>
    <w:rsid w:val="00E039E6"/>
    <w:rsid w:val="00E03A56"/>
    <w:rsid w:val="00E03B0F"/>
    <w:rsid w:val="00E03BA3"/>
    <w:rsid w:val="00E03C11"/>
    <w:rsid w:val="00E03D94"/>
    <w:rsid w:val="00E03EBE"/>
    <w:rsid w:val="00E03EE8"/>
    <w:rsid w:val="00E03F72"/>
    <w:rsid w:val="00E045AB"/>
    <w:rsid w:val="00E04605"/>
    <w:rsid w:val="00E04E58"/>
    <w:rsid w:val="00E04F8F"/>
    <w:rsid w:val="00E05021"/>
    <w:rsid w:val="00E05112"/>
    <w:rsid w:val="00E05B1B"/>
    <w:rsid w:val="00E05C40"/>
    <w:rsid w:val="00E05F10"/>
    <w:rsid w:val="00E06302"/>
    <w:rsid w:val="00E06373"/>
    <w:rsid w:val="00E064FE"/>
    <w:rsid w:val="00E06C2F"/>
    <w:rsid w:val="00E06E56"/>
    <w:rsid w:val="00E06F5C"/>
    <w:rsid w:val="00E06FB8"/>
    <w:rsid w:val="00E07183"/>
    <w:rsid w:val="00E07551"/>
    <w:rsid w:val="00E07B21"/>
    <w:rsid w:val="00E07E56"/>
    <w:rsid w:val="00E07FF1"/>
    <w:rsid w:val="00E1020D"/>
    <w:rsid w:val="00E10290"/>
    <w:rsid w:val="00E10350"/>
    <w:rsid w:val="00E1044A"/>
    <w:rsid w:val="00E104C7"/>
    <w:rsid w:val="00E104F9"/>
    <w:rsid w:val="00E10854"/>
    <w:rsid w:val="00E10A6E"/>
    <w:rsid w:val="00E1119B"/>
    <w:rsid w:val="00E112B4"/>
    <w:rsid w:val="00E11438"/>
    <w:rsid w:val="00E115D5"/>
    <w:rsid w:val="00E11781"/>
    <w:rsid w:val="00E118AB"/>
    <w:rsid w:val="00E11D72"/>
    <w:rsid w:val="00E11EB0"/>
    <w:rsid w:val="00E120CF"/>
    <w:rsid w:val="00E12724"/>
    <w:rsid w:val="00E127BB"/>
    <w:rsid w:val="00E12845"/>
    <w:rsid w:val="00E128DD"/>
    <w:rsid w:val="00E1293D"/>
    <w:rsid w:val="00E12AF5"/>
    <w:rsid w:val="00E12C47"/>
    <w:rsid w:val="00E1343E"/>
    <w:rsid w:val="00E13538"/>
    <w:rsid w:val="00E13610"/>
    <w:rsid w:val="00E13745"/>
    <w:rsid w:val="00E13B59"/>
    <w:rsid w:val="00E13C3A"/>
    <w:rsid w:val="00E13C50"/>
    <w:rsid w:val="00E13EB3"/>
    <w:rsid w:val="00E13EFC"/>
    <w:rsid w:val="00E13F71"/>
    <w:rsid w:val="00E1428C"/>
    <w:rsid w:val="00E142E5"/>
    <w:rsid w:val="00E14386"/>
    <w:rsid w:val="00E14511"/>
    <w:rsid w:val="00E14524"/>
    <w:rsid w:val="00E14C3A"/>
    <w:rsid w:val="00E152BA"/>
    <w:rsid w:val="00E154FC"/>
    <w:rsid w:val="00E1552F"/>
    <w:rsid w:val="00E156FE"/>
    <w:rsid w:val="00E15B04"/>
    <w:rsid w:val="00E15C80"/>
    <w:rsid w:val="00E15CC7"/>
    <w:rsid w:val="00E1601A"/>
    <w:rsid w:val="00E16400"/>
    <w:rsid w:val="00E16882"/>
    <w:rsid w:val="00E16C87"/>
    <w:rsid w:val="00E16DF4"/>
    <w:rsid w:val="00E16E9A"/>
    <w:rsid w:val="00E16F03"/>
    <w:rsid w:val="00E16FB3"/>
    <w:rsid w:val="00E16FCE"/>
    <w:rsid w:val="00E1728E"/>
    <w:rsid w:val="00E172E2"/>
    <w:rsid w:val="00E17328"/>
    <w:rsid w:val="00E17483"/>
    <w:rsid w:val="00E176BE"/>
    <w:rsid w:val="00E17BD5"/>
    <w:rsid w:val="00E17F14"/>
    <w:rsid w:val="00E17FD1"/>
    <w:rsid w:val="00E20334"/>
    <w:rsid w:val="00E209A1"/>
    <w:rsid w:val="00E20B25"/>
    <w:rsid w:val="00E20CD9"/>
    <w:rsid w:val="00E20D06"/>
    <w:rsid w:val="00E21196"/>
    <w:rsid w:val="00E215EA"/>
    <w:rsid w:val="00E219EB"/>
    <w:rsid w:val="00E21A88"/>
    <w:rsid w:val="00E21DE1"/>
    <w:rsid w:val="00E2214C"/>
    <w:rsid w:val="00E2227A"/>
    <w:rsid w:val="00E2243E"/>
    <w:rsid w:val="00E22505"/>
    <w:rsid w:val="00E22C5E"/>
    <w:rsid w:val="00E22D63"/>
    <w:rsid w:val="00E22FCA"/>
    <w:rsid w:val="00E23389"/>
    <w:rsid w:val="00E23414"/>
    <w:rsid w:val="00E23533"/>
    <w:rsid w:val="00E23589"/>
    <w:rsid w:val="00E235C1"/>
    <w:rsid w:val="00E236E9"/>
    <w:rsid w:val="00E236EE"/>
    <w:rsid w:val="00E23B44"/>
    <w:rsid w:val="00E23B98"/>
    <w:rsid w:val="00E23C2C"/>
    <w:rsid w:val="00E23EBE"/>
    <w:rsid w:val="00E23F4D"/>
    <w:rsid w:val="00E2400F"/>
    <w:rsid w:val="00E240A8"/>
    <w:rsid w:val="00E242A6"/>
    <w:rsid w:val="00E243F2"/>
    <w:rsid w:val="00E244CA"/>
    <w:rsid w:val="00E2452B"/>
    <w:rsid w:val="00E2460B"/>
    <w:rsid w:val="00E24EA4"/>
    <w:rsid w:val="00E2509A"/>
    <w:rsid w:val="00E252E9"/>
    <w:rsid w:val="00E253EB"/>
    <w:rsid w:val="00E254DF"/>
    <w:rsid w:val="00E257BF"/>
    <w:rsid w:val="00E259D8"/>
    <w:rsid w:val="00E25B5D"/>
    <w:rsid w:val="00E25B82"/>
    <w:rsid w:val="00E25DBD"/>
    <w:rsid w:val="00E25F2D"/>
    <w:rsid w:val="00E2606C"/>
    <w:rsid w:val="00E26250"/>
    <w:rsid w:val="00E262C3"/>
    <w:rsid w:val="00E263C4"/>
    <w:rsid w:val="00E26406"/>
    <w:rsid w:val="00E26907"/>
    <w:rsid w:val="00E26955"/>
    <w:rsid w:val="00E26BDC"/>
    <w:rsid w:val="00E26BFE"/>
    <w:rsid w:val="00E26F02"/>
    <w:rsid w:val="00E27191"/>
    <w:rsid w:val="00E27239"/>
    <w:rsid w:val="00E274EE"/>
    <w:rsid w:val="00E2769E"/>
    <w:rsid w:val="00E2781D"/>
    <w:rsid w:val="00E2791C"/>
    <w:rsid w:val="00E27B4A"/>
    <w:rsid w:val="00E27D14"/>
    <w:rsid w:val="00E3007B"/>
    <w:rsid w:val="00E301E9"/>
    <w:rsid w:val="00E3034B"/>
    <w:rsid w:val="00E30690"/>
    <w:rsid w:val="00E30BEF"/>
    <w:rsid w:val="00E30C99"/>
    <w:rsid w:val="00E30D4F"/>
    <w:rsid w:val="00E3203E"/>
    <w:rsid w:val="00E321A3"/>
    <w:rsid w:val="00E32562"/>
    <w:rsid w:val="00E3278C"/>
    <w:rsid w:val="00E32A38"/>
    <w:rsid w:val="00E32A97"/>
    <w:rsid w:val="00E32AE4"/>
    <w:rsid w:val="00E32F6C"/>
    <w:rsid w:val="00E33198"/>
    <w:rsid w:val="00E33266"/>
    <w:rsid w:val="00E33272"/>
    <w:rsid w:val="00E33278"/>
    <w:rsid w:val="00E334EA"/>
    <w:rsid w:val="00E335CA"/>
    <w:rsid w:val="00E3374B"/>
    <w:rsid w:val="00E33930"/>
    <w:rsid w:val="00E33941"/>
    <w:rsid w:val="00E3397F"/>
    <w:rsid w:val="00E33B32"/>
    <w:rsid w:val="00E33CF9"/>
    <w:rsid w:val="00E33E57"/>
    <w:rsid w:val="00E33EAF"/>
    <w:rsid w:val="00E33F1C"/>
    <w:rsid w:val="00E34030"/>
    <w:rsid w:val="00E34148"/>
    <w:rsid w:val="00E34620"/>
    <w:rsid w:val="00E34796"/>
    <w:rsid w:val="00E34C62"/>
    <w:rsid w:val="00E34D28"/>
    <w:rsid w:val="00E34EE7"/>
    <w:rsid w:val="00E34F8B"/>
    <w:rsid w:val="00E357CE"/>
    <w:rsid w:val="00E35CA7"/>
    <w:rsid w:val="00E35F42"/>
    <w:rsid w:val="00E35F7A"/>
    <w:rsid w:val="00E3632E"/>
    <w:rsid w:val="00E36736"/>
    <w:rsid w:val="00E369A3"/>
    <w:rsid w:val="00E36ACD"/>
    <w:rsid w:val="00E36CFC"/>
    <w:rsid w:val="00E36F85"/>
    <w:rsid w:val="00E376C2"/>
    <w:rsid w:val="00E37A80"/>
    <w:rsid w:val="00E37C4C"/>
    <w:rsid w:val="00E37CA8"/>
    <w:rsid w:val="00E4015F"/>
    <w:rsid w:val="00E402A2"/>
    <w:rsid w:val="00E40691"/>
    <w:rsid w:val="00E40726"/>
    <w:rsid w:val="00E4085F"/>
    <w:rsid w:val="00E408E5"/>
    <w:rsid w:val="00E4095E"/>
    <w:rsid w:val="00E409F1"/>
    <w:rsid w:val="00E40B78"/>
    <w:rsid w:val="00E40C38"/>
    <w:rsid w:val="00E40CE8"/>
    <w:rsid w:val="00E40D78"/>
    <w:rsid w:val="00E40E3D"/>
    <w:rsid w:val="00E412E0"/>
    <w:rsid w:val="00E415BF"/>
    <w:rsid w:val="00E416E1"/>
    <w:rsid w:val="00E41BC9"/>
    <w:rsid w:val="00E41C62"/>
    <w:rsid w:val="00E41D52"/>
    <w:rsid w:val="00E41D9B"/>
    <w:rsid w:val="00E41E09"/>
    <w:rsid w:val="00E41EFA"/>
    <w:rsid w:val="00E41F86"/>
    <w:rsid w:val="00E41FFC"/>
    <w:rsid w:val="00E4203E"/>
    <w:rsid w:val="00E42118"/>
    <w:rsid w:val="00E421B3"/>
    <w:rsid w:val="00E42601"/>
    <w:rsid w:val="00E4282B"/>
    <w:rsid w:val="00E42A09"/>
    <w:rsid w:val="00E42D4D"/>
    <w:rsid w:val="00E43508"/>
    <w:rsid w:val="00E43894"/>
    <w:rsid w:val="00E438D5"/>
    <w:rsid w:val="00E438EC"/>
    <w:rsid w:val="00E43F8C"/>
    <w:rsid w:val="00E443F7"/>
    <w:rsid w:val="00E445E6"/>
    <w:rsid w:val="00E44A1A"/>
    <w:rsid w:val="00E44B69"/>
    <w:rsid w:val="00E44BAF"/>
    <w:rsid w:val="00E44E89"/>
    <w:rsid w:val="00E450B1"/>
    <w:rsid w:val="00E45145"/>
    <w:rsid w:val="00E45514"/>
    <w:rsid w:val="00E45A2A"/>
    <w:rsid w:val="00E45DEB"/>
    <w:rsid w:val="00E45F11"/>
    <w:rsid w:val="00E45F98"/>
    <w:rsid w:val="00E462E2"/>
    <w:rsid w:val="00E465F8"/>
    <w:rsid w:val="00E469D0"/>
    <w:rsid w:val="00E46A90"/>
    <w:rsid w:val="00E46E0C"/>
    <w:rsid w:val="00E46F45"/>
    <w:rsid w:val="00E475A3"/>
    <w:rsid w:val="00E475E0"/>
    <w:rsid w:val="00E4761D"/>
    <w:rsid w:val="00E476A3"/>
    <w:rsid w:val="00E4770D"/>
    <w:rsid w:val="00E478BE"/>
    <w:rsid w:val="00E47C4E"/>
    <w:rsid w:val="00E47D19"/>
    <w:rsid w:val="00E47E43"/>
    <w:rsid w:val="00E50366"/>
    <w:rsid w:val="00E5037D"/>
    <w:rsid w:val="00E50427"/>
    <w:rsid w:val="00E5072D"/>
    <w:rsid w:val="00E5079C"/>
    <w:rsid w:val="00E507CC"/>
    <w:rsid w:val="00E508DF"/>
    <w:rsid w:val="00E510B8"/>
    <w:rsid w:val="00E5128E"/>
    <w:rsid w:val="00E516C8"/>
    <w:rsid w:val="00E519D7"/>
    <w:rsid w:val="00E51AC8"/>
    <w:rsid w:val="00E51B2B"/>
    <w:rsid w:val="00E51D0C"/>
    <w:rsid w:val="00E51D6D"/>
    <w:rsid w:val="00E51D9D"/>
    <w:rsid w:val="00E520DB"/>
    <w:rsid w:val="00E5215D"/>
    <w:rsid w:val="00E525FB"/>
    <w:rsid w:val="00E5284F"/>
    <w:rsid w:val="00E528C3"/>
    <w:rsid w:val="00E528C4"/>
    <w:rsid w:val="00E528D3"/>
    <w:rsid w:val="00E5300A"/>
    <w:rsid w:val="00E5309D"/>
    <w:rsid w:val="00E53554"/>
    <w:rsid w:val="00E53642"/>
    <w:rsid w:val="00E53895"/>
    <w:rsid w:val="00E539C0"/>
    <w:rsid w:val="00E53BDF"/>
    <w:rsid w:val="00E53D79"/>
    <w:rsid w:val="00E53EC2"/>
    <w:rsid w:val="00E53EFF"/>
    <w:rsid w:val="00E544EE"/>
    <w:rsid w:val="00E54604"/>
    <w:rsid w:val="00E5462C"/>
    <w:rsid w:val="00E546FF"/>
    <w:rsid w:val="00E5494A"/>
    <w:rsid w:val="00E549F8"/>
    <w:rsid w:val="00E54ADA"/>
    <w:rsid w:val="00E54FD5"/>
    <w:rsid w:val="00E54FDC"/>
    <w:rsid w:val="00E55040"/>
    <w:rsid w:val="00E5525A"/>
    <w:rsid w:val="00E553C3"/>
    <w:rsid w:val="00E553C6"/>
    <w:rsid w:val="00E55642"/>
    <w:rsid w:val="00E55905"/>
    <w:rsid w:val="00E55E40"/>
    <w:rsid w:val="00E55EA9"/>
    <w:rsid w:val="00E56159"/>
    <w:rsid w:val="00E562A4"/>
    <w:rsid w:val="00E56857"/>
    <w:rsid w:val="00E56982"/>
    <w:rsid w:val="00E56C42"/>
    <w:rsid w:val="00E56DD7"/>
    <w:rsid w:val="00E570DC"/>
    <w:rsid w:val="00E57101"/>
    <w:rsid w:val="00E57142"/>
    <w:rsid w:val="00E57148"/>
    <w:rsid w:val="00E57176"/>
    <w:rsid w:val="00E57245"/>
    <w:rsid w:val="00E572BB"/>
    <w:rsid w:val="00E572E0"/>
    <w:rsid w:val="00E57604"/>
    <w:rsid w:val="00E5767A"/>
    <w:rsid w:val="00E577D2"/>
    <w:rsid w:val="00E57FE6"/>
    <w:rsid w:val="00E602BC"/>
    <w:rsid w:val="00E60567"/>
    <w:rsid w:val="00E60769"/>
    <w:rsid w:val="00E60832"/>
    <w:rsid w:val="00E60857"/>
    <w:rsid w:val="00E608A5"/>
    <w:rsid w:val="00E6090C"/>
    <w:rsid w:val="00E60B6B"/>
    <w:rsid w:val="00E60C28"/>
    <w:rsid w:val="00E60C98"/>
    <w:rsid w:val="00E60C9B"/>
    <w:rsid w:val="00E60F80"/>
    <w:rsid w:val="00E6122D"/>
    <w:rsid w:val="00E6128D"/>
    <w:rsid w:val="00E61640"/>
    <w:rsid w:val="00E61676"/>
    <w:rsid w:val="00E61685"/>
    <w:rsid w:val="00E618A1"/>
    <w:rsid w:val="00E61963"/>
    <w:rsid w:val="00E619A5"/>
    <w:rsid w:val="00E61A5F"/>
    <w:rsid w:val="00E61CE4"/>
    <w:rsid w:val="00E61E05"/>
    <w:rsid w:val="00E61F4D"/>
    <w:rsid w:val="00E624F6"/>
    <w:rsid w:val="00E62592"/>
    <w:rsid w:val="00E625ED"/>
    <w:rsid w:val="00E62816"/>
    <w:rsid w:val="00E6292E"/>
    <w:rsid w:val="00E62984"/>
    <w:rsid w:val="00E62DEF"/>
    <w:rsid w:val="00E62EF4"/>
    <w:rsid w:val="00E62FEF"/>
    <w:rsid w:val="00E63254"/>
    <w:rsid w:val="00E632BF"/>
    <w:rsid w:val="00E6369E"/>
    <w:rsid w:val="00E6394C"/>
    <w:rsid w:val="00E639CD"/>
    <w:rsid w:val="00E63BBE"/>
    <w:rsid w:val="00E6405E"/>
    <w:rsid w:val="00E640DE"/>
    <w:rsid w:val="00E64119"/>
    <w:rsid w:val="00E643CD"/>
    <w:rsid w:val="00E64591"/>
    <w:rsid w:val="00E648EC"/>
    <w:rsid w:val="00E64C96"/>
    <w:rsid w:val="00E64CF8"/>
    <w:rsid w:val="00E64F5C"/>
    <w:rsid w:val="00E65424"/>
    <w:rsid w:val="00E65606"/>
    <w:rsid w:val="00E65607"/>
    <w:rsid w:val="00E6578D"/>
    <w:rsid w:val="00E65A13"/>
    <w:rsid w:val="00E65BED"/>
    <w:rsid w:val="00E65C6D"/>
    <w:rsid w:val="00E65D23"/>
    <w:rsid w:val="00E65EE2"/>
    <w:rsid w:val="00E660B3"/>
    <w:rsid w:val="00E660B4"/>
    <w:rsid w:val="00E662C8"/>
    <w:rsid w:val="00E66352"/>
    <w:rsid w:val="00E66373"/>
    <w:rsid w:val="00E66416"/>
    <w:rsid w:val="00E664F3"/>
    <w:rsid w:val="00E66551"/>
    <w:rsid w:val="00E6667C"/>
    <w:rsid w:val="00E66742"/>
    <w:rsid w:val="00E667A8"/>
    <w:rsid w:val="00E66973"/>
    <w:rsid w:val="00E66A57"/>
    <w:rsid w:val="00E66D03"/>
    <w:rsid w:val="00E66EA2"/>
    <w:rsid w:val="00E66ED5"/>
    <w:rsid w:val="00E6710D"/>
    <w:rsid w:val="00E67120"/>
    <w:rsid w:val="00E67150"/>
    <w:rsid w:val="00E67347"/>
    <w:rsid w:val="00E674E6"/>
    <w:rsid w:val="00E67502"/>
    <w:rsid w:val="00E675A4"/>
    <w:rsid w:val="00E676CB"/>
    <w:rsid w:val="00E67714"/>
    <w:rsid w:val="00E6786F"/>
    <w:rsid w:val="00E67CE2"/>
    <w:rsid w:val="00E67E1A"/>
    <w:rsid w:val="00E70489"/>
    <w:rsid w:val="00E706F7"/>
    <w:rsid w:val="00E70D29"/>
    <w:rsid w:val="00E70F96"/>
    <w:rsid w:val="00E7102D"/>
    <w:rsid w:val="00E711DB"/>
    <w:rsid w:val="00E71233"/>
    <w:rsid w:val="00E7135B"/>
    <w:rsid w:val="00E7159F"/>
    <w:rsid w:val="00E715CF"/>
    <w:rsid w:val="00E7185F"/>
    <w:rsid w:val="00E71B2E"/>
    <w:rsid w:val="00E71C1D"/>
    <w:rsid w:val="00E7223B"/>
    <w:rsid w:val="00E7225A"/>
    <w:rsid w:val="00E722FD"/>
    <w:rsid w:val="00E7232C"/>
    <w:rsid w:val="00E72794"/>
    <w:rsid w:val="00E7290B"/>
    <w:rsid w:val="00E7293E"/>
    <w:rsid w:val="00E72E6C"/>
    <w:rsid w:val="00E73579"/>
    <w:rsid w:val="00E73924"/>
    <w:rsid w:val="00E73EBB"/>
    <w:rsid w:val="00E741ED"/>
    <w:rsid w:val="00E748FB"/>
    <w:rsid w:val="00E74956"/>
    <w:rsid w:val="00E749D7"/>
    <w:rsid w:val="00E74D29"/>
    <w:rsid w:val="00E74E8E"/>
    <w:rsid w:val="00E74FA3"/>
    <w:rsid w:val="00E750F1"/>
    <w:rsid w:val="00E7525B"/>
    <w:rsid w:val="00E7538C"/>
    <w:rsid w:val="00E753E3"/>
    <w:rsid w:val="00E754ED"/>
    <w:rsid w:val="00E75615"/>
    <w:rsid w:val="00E75B13"/>
    <w:rsid w:val="00E75B56"/>
    <w:rsid w:val="00E75BE5"/>
    <w:rsid w:val="00E75C5A"/>
    <w:rsid w:val="00E761B2"/>
    <w:rsid w:val="00E76A48"/>
    <w:rsid w:val="00E770C1"/>
    <w:rsid w:val="00E77332"/>
    <w:rsid w:val="00E773D1"/>
    <w:rsid w:val="00E77680"/>
    <w:rsid w:val="00E7775A"/>
    <w:rsid w:val="00E77988"/>
    <w:rsid w:val="00E779B1"/>
    <w:rsid w:val="00E77B3F"/>
    <w:rsid w:val="00E77B5D"/>
    <w:rsid w:val="00E77CCB"/>
    <w:rsid w:val="00E77F86"/>
    <w:rsid w:val="00E800D7"/>
    <w:rsid w:val="00E80397"/>
    <w:rsid w:val="00E803E4"/>
    <w:rsid w:val="00E804A4"/>
    <w:rsid w:val="00E8059C"/>
    <w:rsid w:val="00E80B75"/>
    <w:rsid w:val="00E80DBA"/>
    <w:rsid w:val="00E80F3F"/>
    <w:rsid w:val="00E81039"/>
    <w:rsid w:val="00E8117D"/>
    <w:rsid w:val="00E81467"/>
    <w:rsid w:val="00E8176A"/>
    <w:rsid w:val="00E8180C"/>
    <w:rsid w:val="00E81DC5"/>
    <w:rsid w:val="00E81F25"/>
    <w:rsid w:val="00E820B2"/>
    <w:rsid w:val="00E82142"/>
    <w:rsid w:val="00E822A3"/>
    <w:rsid w:val="00E824E3"/>
    <w:rsid w:val="00E82A28"/>
    <w:rsid w:val="00E82A83"/>
    <w:rsid w:val="00E82DBE"/>
    <w:rsid w:val="00E82E15"/>
    <w:rsid w:val="00E83052"/>
    <w:rsid w:val="00E83196"/>
    <w:rsid w:val="00E834AE"/>
    <w:rsid w:val="00E83731"/>
    <w:rsid w:val="00E83AE2"/>
    <w:rsid w:val="00E83DD9"/>
    <w:rsid w:val="00E83E34"/>
    <w:rsid w:val="00E83F91"/>
    <w:rsid w:val="00E84370"/>
    <w:rsid w:val="00E84463"/>
    <w:rsid w:val="00E844A5"/>
    <w:rsid w:val="00E847A0"/>
    <w:rsid w:val="00E84898"/>
    <w:rsid w:val="00E8490C"/>
    <w:rsid w:val="00E84B88"/>
    <w:rsid w:val="00E84D20"/>
    <w:rsid w:val="00E84D9B"/>
    <w:rsid w:val="00E85261"/>
    <w:rsid w:val="00E85B5C"/>
    <w:rsid w:val="00E85CF8"/>
    <w:rsid w:val="00E85F8D"/>
    <w:rsid w:val="00E85FBD"/>
    <w:rsid w:val="00E85FC3"/>
    <w:rsid w:val="00E86009"/>
    <w:rsid w:val="00E86023"/>
    <w:rsid w:val="00E86242"/>
    <w:rsid w:val="00E866DA"/>
    <w:rsid w:val="00E86722"/>
    <w:rsid w:val="00E86AA7"/>
    <w:rsid w:val="00E86BFA"/>
    <w:rsid w:val="00E86C84"/>
    <w:rsid w:val="00E86E10"/>
    <w:rsid w:val="00E8702E"/>
    <w:rsid w:val="00E8738E"/>
    <w:rsid w:val="00E8757E"/>
    <w:rsid w:val="00E876E9"/>
    <w:rsid w:val="00E8779C"/>
    <w:rsid w:val="00E8785B"/>
    <w:rsid w:val="00E8794F"/>
    <w:rsid w:val="00E8799B"/>
    <w:rsid w:val="00E87F3E"/>
    <w:rsid w:val="00E90120"/>
    <w:rsid w:val="00E908A4"/>
    <w:rsid w:val="00E908E0"/>
    <w:rsid w:val="00E90973"/>
    <w:rsid w:val="00E90EA2"/>
    <w:rsid w:val="00E90ED7"/>
    <w:rsid w:val="00E90FCE"/>
    <w:rsid w:val="00E913F1"/>
    <w:rsid w:val="00E91711"/>
    <w:rsid w:val="00E91B52"/>
    <w:rsid w:val="00E91C00"/>
    <w:rsid w:val="00E91CD3"/>
    <w:rsid w:val="00E9208B"/>
    <w:rsid w:val="00E920DB"/>
    <w:rsid w:val="00E921DF"/>
    <w:rsid w:val="00E9236F"/>
    <w:rsid w:val="00E92509"/>
    <w:rsid w:val="00E92663"/>
    <w:rsid w:val="00E927E8"/>
    <w:rsid w:val="00E928A9"/>
    <w:rsid w:val="00E92BA4"/>
    <w:rsid w:val="00E92C13"/>
    <w:rsid w:val="00E92D6C"/>
    <w:rsid w:val="00E931BF"/>
    <w:rsid w:val="00E934AA"/>
    <w:rsid w:val="00E9363A"/>
    <w:rsid w:val="00E93699"/>
    <w:rsid w:val="00E936B1"/>
    <w:rsid w:val="00E937E8"/>
    <w:rsid w:val="00E938D2"/>
    <w:rsid w:val="00E93915"/>
    <w:rsid w:val="00E93BA6"/>
    <w:rsid w:val="00E93CA5"/>
    <w:rsid w:val="00E93DBA"/>
    <w:rsid w:val="00E93F0D"/>
    <w:rsid w:val="00E93F76"/>
    <w:rsid w:val="00E941E3"/>
    <w:rsid w:val="00E942AF"/>
    <w:rsid w:val="00E9431B"/>
    <w:rsid w:val="00E944A1"/>
    <w:rsid w:val="00E94692"/>
    <w:rsid w:val="00E94880"/>
    <w:rsid w:val="00E948C0"/>
    <w:rsid w:val="00E94A5D"/>
    <w:rsid w:val="00E94B88"/>
    <w:rsid w:val="00E94E58"/>
    <w:rsid w:val="00E94F36"/>
    <w:rsid w:val="00E9504D"/>
    <w:rsid w:val="00E9506A"/>
    <w:rsid w:val="00E950A3"/>
    <w:rsid w:val="00E951F5"/>
    <w:rsid w:val="00E95291"/>
    <w:rsid w:val="00E95367"/>
    <w:rsid w:val="00E953EC"/>
    <w:rsid w:val="00E95420"/>
    <w:rsid w:val="00E958DB"/>
    <w:rsid w:val="00E95DA6"/>
    <w:rsid w:val="00E95EBB"/>
    <w:rsid w:val="00E960F5"/>
    <w:rsid w:val="00E96161"/>
    <w:rsid w:val="00E96401"/>
    <w:rsid w:val="00E9659A"/>
    <w:rsid w:val="00E966B4"/>
    <w:rsid w:val="00E96731"/>
    <w:rsid w:val="00E96AD9"/>
    <w:rsid w:val="00E96AF4"/>
    <w:rsid w:val="00E96F89"/>
    <w:rsid w:val="00E973CF"/>
    <w:rsid w:val="00E9743A"/>
    <w:rsid w:val="00E974F0"/>
    <w:rsid w:val="00E975E1"/>
    <w:rsid w:val="00E9760A"/>
    <w:rsid w:val="00E97744"/>
    <w:rsid w:val="00E97795"/>
    <w:rsid w:val="00E97844"/>
    <w:rsid w:val="00E97A90"/>
    <w:rsid w:val="00E97B0F"/>
    <w:rsid w:val="00E97BB2"/>
    <w:rsid w:val="00EA00C5"/>
    <w:rsid w:val="00EA025E"/>
    <w:rsid w:val="00EA0321"/>
    <w:rsid w:val="00EA058C"/>
    <w:rsid w:val="00EA069A"/>
    <w:rsid w:val="00EA0723"/>
    <w:rsid w:val="00EA0FFC"/>
    <w:rsid w:val="00EA103D"/>
    <w:rsid w:val="00EA13E5"/>
    <w:rsid w:val="00EA13EE"/>
    <w:rsid w:val="00EA14FD"/>
    <w:rsid w:val="00EA173B"/>
    <w:rsid w:val="00EA1923"/>
    <w:rsid w:val="00EA1AD6"/>
    <w:rsid w:val="00EA1B61"/>
    <w:rsid w:val="00EA1C8C"/>
    <w:rsid w:val="00EA1CDF"/>
    <w:rsid w:val="00EA1E91"/>
    <w:rsid w:val="00EA20E0"/>
    <w:rsid w:val="00EA2938"/>
    <w:rsid w:val="00EA2ACD"/>
    <w:rsid w:val="00EA2B43"/>
    <w:rsid w:val="00EA2EC2"/>
    <w:rsid w:val="00EA3126"/>
    <w:rsid w:val="00EA314A"/>
    <w:rsid w:val="00EA3244"/>
    <w:rsid w:val="00EA335E"/>
    <w:rsid w:val="00EA343F"/>
    <w:rsid w:val="00EA3855"/>
    <w:rsid w:val="00EA3A96"/>
    <w:rsid w:val="00EA3B6D"/>
    <w:rsid w:val="00EA3B9A"/>
    <w:rsid w:val="00EA3CBB"/>
    <w:rsid w:val="00EA3DE2"/>
    <w:rsid w:val="00EA3EEC"/>
    <w:rsid w:val="00EA4039"/>
    <w:rsid w:val="00EA4417"/>
    <w:rsid w:val="00EA46B2"/>
    <w:rsid w:val="00EA497B"/>
    <w:rsid w:val="00EA49B7"/>
    <w:rsid w:val="00EA4D09"/>
    <w:rsid w:val="00EA4E15"/>
    <w:rsid w:val="00EA4ECB"/>
    <w:rsid w:val="00EA4F7F"/>
    <w:rsid w:val="00EA5050"/>
    <w:rsid w:val="00EA536C"/>
    <w:rsid w:val="00EA543D"/>
    <w:rsid w:val="00EA5466"/>
    <w:rsid w:val="00EA54B2"/>
    <w:rsid w:val="00EA54D5"/>
    <w:rsid w:val="00EA55AF"/>
    <w:rsid w:val="00EA5609"/>
    <w:rsid w:val="00EA58B3"/>
    <w:rsid w:val="00EA6037"/>
    <w:rsid w:val="00EA6219"/>
    <w:rsid w:val="00EA6333"/>
    <w:rsid w:val="00EA63F9"/>
    <w:rsid w:val="00EA673D"/>
    <w:rsid w:val="00EA67B7"/>
    <w:rsid w:val="00EA685F"/>
    <w:rsid w:val="00EA6D45"/>
    <w:rsid w:val="00EA6EA2"/>
    <w:rsid w:val="00EA6EBE"/>
    <w:rsid w:val="00EA70AA"/>
    <w:rsid w:val="00EA7324"/>
    <w:rsid w:val="00EA75FF"/>
    <w:rsid w:val="00EA763D"/>
    <w:rsid w:val="00EA7745"/>
    <w:rsid w:val="00EB03AE"/>
    <w:rsid w:val="00EB0598"/>
    <w:rsid w:val="00EB084F"/>
    <w:rsid w:val="00EB0CC7"/>
    <w:rsid w:val="00EB0E81"/>
    <w:rsid w:val="00EB10EB"/>
    <w:rsid w:val="00EB1545"/>
    <w:rsid w:val="00EB19BE"/>
    <w:rsid w:val="00EB1CC7"/>
    <w:rsid w:val="00EB1E06"/>
    <w:rsid w:val="00EB1F4A"/>
    <w:rsid w:val="00EB218C"/>
    <w:rsid w:val="00EB2350"/>
    <w:rsid w:val="00EB2373"/>
    <w:rsid w:val="00EB247D"/>
    <w:rsid w:val="00EB260D"/>
    <w:rsid w:val="00EB2660"/>
    <w:rsid w:val="00EB27F6"/>
    <w:rsid w:val="00EB2AF3"/>
    <w:rsid w:val="00EB39C5"/>
    <w:rsid w:val="00EB39C7"/>
    <w:rsid w:val="00EB3B39"/>
    <w:rsid w:val="00EB3B55"/>
    <w:rsid w:val="00EB3D90"/>
    <w:rsid w:val="00EB3DAC"/>
    <w:rsid w:val="00EB3F93"/>
    <w:rsid w:val="00EB4084"/>
    <w:rsid w:val="00EB4147"/>
    <w:rsid w:val="00EB4265"/>
    <w:rsid w:val="00EB4409"/>
    <w:rsid w:val="00EB44C3"/>
    <w:rsid w:val="00EB49DB"/>
    <w:rsid w:val="00EB4A64"/>
    <w:rsid w:val="00EB4B50"/>
    <w:rsid w:val="00EB4C5E"/>
    <w:rsid w:val="00EB4F7D"/>
    <w:rsid w:val="00EB5710"/>
    <w:rsid w:val="00EB577E"/>
    <w:rsid w:val="00EB5924"/>
    <w:rsid w:val="00EB5B7D"/>
    <w:rsid w:val="00EB61BA"/>
    <w:rsid w:val="00EB6232"/>
    <w:rsid w:val="00EB6249"/>
    <w:rsid w:val="00EB6358"/>
    <w:rsid w:val="00EB65B6"/>
    <w:rsid w:val="00EB6720"/>
    <w:rsid w:val="00EB6731"/>
    <w:rsid w:val="00EB6C69"/>
    <w:rsid w:val="00EB6C6F"/>
    <w:rsid w:val="00EB6DAB"/>
    <w:rsid w:val="00EB6F63"/>
    <w:rsid w:val="00EB6F68"/>
    <w:rsid w:val="00EB72BA"/>
    <w:rsid w:val="00EB76F2"/>
    <w:rsid w:val="00EB77A2"/>
    <w:rsid w:val="00EB77C1"/>
    <w:rsid w:val="00EB79AB"/>
    <w:rsid w:val="00EB7CBA"/>
    <w:rsid w:val="00EB7FCB"/>
    <w:rsid w:val="00EC0018"/>
    <w:rsid w:val="00EC0048"/>
    <w:rsid w:val="00EC0169"/>
    <w:rsid w:val="00EC037B"/>
    <w:rsid w:val="00EC04C1"/>
    <w:rsid w:val="00EC0503"/>
    <w:rsid w:val="00EC05E6"/>
    <w:rsid w:val="00EC0604"/>
    <w:rsid w:val="00EC072D"/>
    <w:rsid w:val="00EC09F8"/>
    <w:rsid w:val="00EC0D63"/>
    <w:rsid w:val="00EC10DC"/>
    <w:rsid w:val="00EC1118"/>
    <w:rsid w:val="00EC14CB"/>
    <w:rsid w:val="00EC1593"/>
    <w:rsid w:val="00EC1DD1"/>
    <w:rsid w:val="00EC1E38"/>
    <w:rsid w:val="00EC20E0"/>
    <w:rsid w:val="00EC2312"/>
    <w:rsid w:val="00EC2426"/>
    <w:rsid w:val="00EC25AC"/>
    <w:rsid w:val="00EC26BA"/>
    <w:rsid w:val="00EC26FF"/>
    <w:rsid w:val="00EC2A1C"/>
    <w:rsid w:val="00EC2B7E"/>
    <w:rsid w:val="00EC2BB5"/>
    <w:rsid w:val="00EC2C24"/>
    <w:rsid w:val="00EC2C2B"/>
    <w:rsid w:val="00EC2CE2"/>
    <w:rsid w:val="00EC3064"/>
    <w:rsid w:val="00EC30F0"/>
    <w:rsid w:val="00EC35FC"/>
    <w:rsid w:val="00EC36AB"/>
    <w:rsid w:val="00EC37DD"/>
    <w:rsid w:val="00EC3AF5"/>
    <w:rsid w:val="00EC3BF8"/>
    <w:rsid w:val="00EC3CA0"/>
    <w:rsid w:val="00EC3CE7"/>
    <w:rsid w:val="00EC3E44"/>
    <w:rsid w:val="00EC3F07"/>
    <w:rsid w:val="00EC4262"/>
    <w:rsid w:val="00EC447C"/>
    <w:rsid w:val="00EC4725"/>
    <w:rsid w:val="00EC4B76"/>
    <w:rsid w:val="00EC4D12"/>
    <w:rsid w:val="00EC5055"/>
    <w:rsid w:val="00EC512C"/>
    <w:rsid w:val="00EC54DB"/>
    <w:rsid w:val="00EC5624"/>
    <w:rsid w:val="00EC5943"/>
    <w:rsid w:val="00EC5DC7"/>
    <w:rsid w:val="00EC5FE4"/>
    <w:rsid w:val="00EC6297"/>
    <w:rsid w:val="00EC6840"/>
    <w:rsid w:val="00EC6CB9"/>
    <w:rsid w:val="00EC7012"/>
    <w:rsid w:val="00EC7059"/>
    <w:rsid w:val="00EC71EC"/>
    <w:rsid w:val="00EC72BA"/>
    <w:rsid w:val="00EC7709"/>
    <w:rsid w:val="00EC785F"/>
    <w:rsid w:val="00EC7C19"/>
    <w:rsid w:val="00ED018A"/>
    <w:rsid w:val="00ED070A"/>
    <w:rsid w:val="00ED0841"/>
    <w:rsid w:val="00ED0A2F"/>
    <w:rsid w:val="00ED0AC7"/>
    <w:rsid w:val="00ED0B37"/>
    <w:rsid w:val="00ED0D5F"/>
    <w:rsid w:val="00ED0E28"/>
    <w:rsid w:val="00ED0E4D"/>
    <w:rsid w:val="00ED0F19"/>
    <w:rsid w:val="00ED1198"/>
    <w:rsid w:val="00ED12DE"/>
    <w:rsid w:val="00ED1334"/>
    <w:rsid w:val="00ED1658"/>
    <w:rsid w:val="00ED16D7"/>
    <w:rsid w:val="00ED1949"/>
    <w:rsid w:val="00ED1CA2"/>
    <w:rsid w:val="00ED1CF7"/>
    <w:rsid w:val="00ED2320"/>
    <w:rsid w:val="00ED2501"/>
    <w:rsid w:val="00ED2869"/>
    <w:rsid w:val="00ED29FB"/>
    <w:rsid w:val="00ED2A60"/>
    <w:rsid w:val="00ED2A7F"/>
    <w:rsid w:val="00ED2A9D"/>
    <w:rsid w:val="00ED2C01"/>
    <w:rsid w:val="00ED2D10"/>
    <w:rsid w:val="00ED2E52"/>
    <w:rsid w:val="00ED2F61"/>
    <w:rsid w:val="00ED30D8"/>
    <w:rsid w:val="00ED31D7"/>
    <w:rsid w:val="00ED3558"/>
    <w:rsid w:val="00ED39CB"/>
    <w:rsid w:val="00ED39EF"/>
    <w:rsid w:val="00ED3B17"/>
    <w:rsid w:val="00ED3D11"/>
    <w:rsid w:val="00ED3D2A"/>
    <w:rsid w:val="00ED3E5A"/>
    <w:rsid w:val="00ED417A"/>
    <w:rsid w:val="00ED41BB"/>
    <w:rsid w:val="00ED474E"/>
    <w:rsid w:val="00ED47EE"/>
    <w:rsid w:val="00ED4808"/>
    <w:rsid w:val="00ED501B"/>
    <w:rsid w:val="00ED5AAA"/>
    <w:rsid w:val="00ED5D19"/>
    <w:rsid w:val="00ED6175"/>
    <w:rsid w:val="00ED636E"/>
    <w:rsid w:val="00ED6508"/>
    <w:rsid w:val="00ED658B"/>
    <w:rsid w:val="00ED6865"/>
    <w:rsid w:val="00ED6AA9"/>
    <w:rsid w:val="00ED6D5A"/>
    <w:rsid w:val="00ED6F0D"/>
    <w:rsid w:val="00ED6F61"/>
    <w:rsid w:val="00ED7277"/>
    <w:rsid w:val="00ED730A"/>
    <w:rsid w:val="00ED73C7"/>
    <w:rsid w:val="00ED7581"/>
    <w:rsid w:val="00ED75E3"/>
    <w:rsid w:val="00ED7620"/>
    <w:rsid w:val="00ED7BA1"/>
    <w:rsid w:val="00EE01EF"/>
    <w:rsid w:val="00EE025C"/>
    <w:rsid w:val="00EE0363"/>
    <w:rsid w:val="00EE04AD"/>
    <w:rsid w:val="00EE0E5D"/>
    <w:rsid w:val="00EE1496"/>
    <w:rsid w:val="00EE195D"/>
    <w:rsid w:val="00EE1F30"/>
    <w:rsid w:val="00EE20A8"/>
    <w:rsid w:val="00EE20AA"/>
    <w:rsid w:val="00EE2188"/>
    <w:rsid w:val="00EE2558"/>
    <w:rsid w:val="00EE27EC"/>
    <w:rsid w:val="00EE281E"/>
    <w:rsid w:val="00EE2B21"/>
    <w:rsid w:val="00EE2C5C"/>
    <w:rsid w:val="00EE2C61"/>
    <w:rsid w:val="00EE2D0F"/>
    <w:rsid w:val="00EE2DC5"/>
    <w:rsid w:val="00EE2FC1"/>
    <w:rsid w:val="00EE329F"/>
    <w:rsid w:val="00EE32C6"/>
    <w:rsid w:val="00EE3430"/>
    <w:rsid w:val="00EE37EA"/>
    <w:rsid w:val="00EE3807"/>
    <w:rsid w:val="00EE3A4A"/>
    <w:rsid w:val="00EE3A4B"/>
    <w:rsid w:val="00EE3B64"/>
    <w:rsid w:val="00EE401D"/>
    <w:rsid w:val="00EE40DB"/>
    <w:rsid w:val="00EE41BE"/>
    <w:rsid w:val="00EE4275"/>
    <w:rsid w:val="00EE4521"/>
    <w:rsid w:val="00EE5000"/>
    <w:rsid w:val="00EE504B"/>
    <w:rsid w:val="00EE5176"/>
    <w:rsid w:val="00EE5502"/>
    <w:rsid w:val="00EE563B"/>
    <w:rsid w:val="00EE5689"/>
    <w:rsid w:val="00EE583B"/>
    <w:rsid w:val="00EE59B8"/>
    <w:rsid w:val="00EE5AC6"/>
    <w:rsid w:val="00EE5C6E"/>
    <w:rsid w:val="00EE5C9B"/>
    <w:rsid w:val="00EE5E4E"/>
    <w:rsid w:val="00EE5FA5"/>
    <w:rsid w:val="00EE6169"/>
    <w:rsid w:val="00EE64FA"/>
    <w:rsid w:val="00EE65F2"/>
    <w:rsid w:val="00EE6838"/>
    <w:rsid w:val="00EE696F"/>
    <w:rsid w:val="00EE6B79"/>
    <w:rsid w:val="00EE6DF3"/>
    <w:rsid w:val="00EE6ECD"/>
    <w:rsid w:val="00EE6F07"/>
    <w:rsid w:val="00EE71D1"/>
    <w:rsid w:val="00EE77D4"/>
    <w:rsid w:val="00EE79DF"/>
    <w:rsid w:val="00EE79F0"/>
    <w:rsid w:val="00EE7CA9"/>
    <w:rsid w:val="00EE7E68"/>
    <w:rsid w:val="00EE7F36"/>
    <w:rsid w:val="00EF028C"/>
    <w:rsid w:val="00EF06C1"/>
    <w:rsid w:val="00EF097F"/>
    <w:rsid w:val="00EF0BB6"/>
    <w:rsid w:val="00EF0DD9"/>
    <w:rsid w:val="00EF0E2F"/>
    <w:rsid w:val="00EF0E5F"/>
    <w:rsid w:val="00EF15A4"/>
    <w:rsid w:val="00EF1679"/>
    <w:rsid w:val="00EF1690"/>
    <w:rsid w:val="00EF1A9D"/>
    <w:rsid w:val="00EF244A"/>
    <w:rsid w:val="00EF2879"/>
    <w:rsid w:val="00EF2B6F"/>
    <w:rsid w:val="00EF2BED"/>
    <w:rsid w:val="00EF33CE"/>
    <w:rsid w:val="00EF37BA"/>
    <w:rsid w:val="00EF3B0B"/>
    <w:rsid w:val="00EF4143"/>
    <w:rsid w:val="00EF4461"/>
    <w:rsid w:val="00EF4A4E"/>
    <w:rsid w:val="00EF4C28"/>
    <w:rsid w:val="00EF4D22"/>
    <w:rsid w:val="00EF4EA2"/>
    <w:rsid w:val="00EF51C7"/>
    <w:rsid w:val="00EF540A"/>
    <w:rsid w:val="00EF541E"/>
    <w:rsid w:val="00EF5810"/>
    <w:rsid w:val="00EF586F"/>
    <w:rsid w:val="00EF58AE"/>
    <w:rsid w:val="00EF5A4A"/>
    <w:rsid w:val="00EF5B32"/>
    <w:rsid w:val="00EF5D7F"/>
    <w:rsid w:val="00EF6061"/>
    <w:rsid w:val="00EF607D"/>
    <w:rsid w:val="00EF63AD"/>
    <w:rsid w:val="00EF6423"/>
    <w:rsid w:val="00EF6569"/>
    <w:rsid w:val="00EF6783"/>
    <w:rsid w:val="00EF687E"/>
    <w:rsid w:val="00EF6A33"/>
    <w:rsid w:val="00EF6D4C"/>
    <w:rsid w:val="00EF6FFA"/>
    <w:rsid w:val="00EF7080"/>
    <w:rsid w:val="00EF70EB"/>
    <w:rsid w:val="00EF72BA"/>
    <w:rsid w:val="00EF74C1"/>
    <w:rsid w:val="00EF74C9"/>
    <w:rsid w:val="00EF7593"/>
    <w:rsid w:val="00EF7AC2"/>
    <w:rsid w:val="00EF7B18"/>
    <w:rsid w:val="00EF7C9A"/>
    <w:rsid w:val="00EF7CBC"/>
    <w:rsid w:val="00F0001F"/>
    <w:rsid w:val="00F00024"/>
    <w:rsid w:val="00F004D1"/>
    <w:rsid w:val="00F0057B"/>
    <w:rsid w:val="00F00D71"/>
    <w:rsid w:val="00F00F4E"/>
    <w:rsid w:val="00F01039"/>
    <w:rsid w:val="00F0141D"/>
    <w:rsid w:val="00F01512"/>
    <w:rsid w:val="00F0157F"/>
    <w:rsid w:val="00F0164A"/>
    <w:rsid w:val="00F01B13"/>
    <w:rsid w:val="00F01B17"/>
    <w:rsid w:val="00F01C80"/>
    <w:rsid w:val="00F0266A"/>
    <w:rsid w:val="00F02783"/>
    <w:rsid w:val="00F02907"/>
    <w:rsid w:val="00F02E74"/>
    <w:rsid w:val="00F030B2"/>
    <w:rsid w:val="00F031AC"/>
    <w:rsid w:val="00F032BF"/>
    <w:rsid w:val="00F03449"/>
    <w:rsid w:val="00F035D0"/>
    <w:rsid w:val="00F03739"/>
    <w:rsid w:val="00F03F31"/>
    <w:rsid w:val="00F04818"/>
    <w:rsid w:val="00F04934"/>
    <w:rsid w:val="00F04AFA"/>
    <w:rsid w:val="00F04B8B"/>
    <w:rsid w:val="00F04DCC"/>
    <w:rsid w:val="00F057EC"/>
    <w:rsid w:val="00F05D04"/>
    <w:rsid w:val="00F05EBC"/>
    <w:rsid w:val="00F05FDB"/>
    <w:rsid w:val="00F05FDD"/>
    <w:rsid w:val="00F06479"/>
    <w:rsid w:val="00F064CF"/>
    <w:rsid w:val="00F065EE"/>
    <w:rsid w:val="00F067C2"/>
    <w:rsid w:val="00F067EC"/>
    <w:rsid w:val="00F068EB"/>
    <w:rsid w:val="00F06AAA"/>
    <w:rsid w:val="00F06CA4"/>
    <w:rsid w:val="00F06D14"/>
    <w:rsid w:val="00F073F8"/>
    <w:rsid w:val="00F078D1"/>
    <w:rsid w:val="00F0792F"/>
    <w:rsid w:val="00F079CC"/>
    <w:rsid w:val="00F07AF8"/>
    <w:rsid w:val="00F07D26"/>
    <w:rsid w:val="00F10322"/>
    <w:rsid w:val="00F10340"/>
    <w:rsid w:val="00F1035F"/>
    <w:rsid w:val="00F10586"/>
    <w:rsid w:val="00F1072C"/>
    <w:rsid w:val="00F10874"/>
    <w:rsid w:val="00F10FAA"/>
    <w:rsid w:val="00F110C8"/>
    <w:rsid w:val="00F115FF"/>
    <w:rsid w:val="00F116E7"/>
    <w:rsid w:val="00F116F2"/>
    <w:rsid w:val="00F117E4"/>
    <w:rsid w:val="00F11909"/>
    <w:rsid w:val="00F11970"/>
    <w:rsid w:val="00F11A56"/>
    <w:rsid w:val="00F1222B"/>
    <w:rsid w:val="00F12266"/>
    <w:rsid w:val="00F12277"/>
    <w:rsid w:val="00F1262F"/>
    <w:rsid w:val="00F12649"/>
    <w:rsid w:val="00F1286B"/>
    <w:rsid w:val="00F1289C"/>
    <w:rsid w:val="00F12CCC"/>
    <w:rsid w:val="00F12D02"/>
    <w:rsid w:val="00F12E4C"/>
    <w:rsid w:val="00F12FB2"/>
    <w:rsid w:val="00F13518"/>
    <w:rsid w:val="00F13598"/>
    <w:rsid w:val="00F13664"/>
    <w:rsid w:val="00F13744"/>
    <w:rsid w:val="00F1374A"/>
    <w:rsid w:val="00F13C0E"/>
    <w:rsid w:val="00F1420F"/>
    <w:rsid w:val="00F146AF"/>
    <w:rsid w:val="00F1474A"/>
    <w:rsid w:val="00F147B7"/>
    <w:rsid w:val="00F147BF"/>
    <w:rsid w:val="00F147D2"/>
    <w:rsid w:val="00F14AAE"/>
    <w:rsid w:val="00F14C04"/>
    <w:rsid w:val="00F14DF7"/>
    <w:rsid w:val="00F1500C"/>
    <w:rsid w:val="00F15326"/>
    <w:rsid w:val="00F1553C"/>
    <w:rsid w:val="00F1555A"/>
    <w:rsid w:val="00F15726"/>
    <w:rsid w:val="00F1581F"/>
    <w:rsid w:val="00F15AD1"/>
    <w:rsid w:val="00F16005"/>
    <w:rsid w:val="00F160B9"/>
    <w:rsid w:val="00F16257"/>
    <w:rsid w:val="00F16577"/>
    <w:rsid w:val="00F16A86"/>
    <w:rsid w:val="00F16BFA"/>
    <w:rsid w:val="00F16D61"/>
    <w:rsid w:val="00F16E8E"/>
    <w:rsid w:val="00F17BD3"/>
    <w:rsid w:val="00F17C4A"/>
    <w:rsid w:val="00F17D39"/>
    <w:rsid w:val="00F17ED1"/>
    <w:rsid w:val="00F200B2"/>
    <w:rsid w:val="00F2015A"/>
    <w:rsid w:val="00F20307"/>
    <w:rsid w:val="00F203A9"/>
    <w:rsid w:val="00F204B1"/>
    <w:rsid w:val="00F207A2"/>
    <w:rsid w:val="00F2089E"/>
    <w:rsid w:val="00F21012"/>
    <w:rsid w:val="00F21180"/>
    <w:rsid w:val="00F2135E"/>
    <w:rsid w:val="00F21672"/>
    <w:rsid w:val="00F21773"/>
    <w:rsid w:val="00F21A0C"/>
    <w:rsid w:val="00F21B39"/>
    <w:rsid w:val="00F21DAC"/>
    <w:rsid w:val="00F21EFD"/>
    <w:rsid w:val="00F223EF"/>
    <w:rsid w:val="00F2243F"/>
    <w:rsid w:val="00F227FF"/>
    <w:rsid w:val="00F228F5"/>
    <w:rsid w:val="00F22987"/>
    <w:rsid w:val="00F22AF9"/>
    <w:rsid w:val="00F22DEF"/>
    <w:rsid w:val="00F231DD"/>
    <w:rsid w:val="00F2332B"/>
    <w:rsid w:val="00F2337C"/>
    <w:rsid w:val="00F23ADF"/>
    <w:rsid w:val="00F23E37"/>
    <w:rsid w:val="00F23ECD"/>
    <w:rsid w:val="00F23F66"/>
    <w:rsid w:val="00F240C8"/>
    <w:rsid w:val="00F241A9"/>
    <w:rsid w:val="00F241C1"/>
    <w:rsid w:val="00F2435C"/>
    <w:rsid w:val="00F2445F"/>
    <w:rsid w:val="00F24631"/>
    <w:rsid w:val="00F249B2"/>
    <w:rsid w:val="00F24BC7"/>
    <w:rsid w:val="00F24C30"/>
    <w:rsid w:val="00F24DC7"/>
    <w:rsid w:val="00F24E4F"/>
    <w:rsid w:val="00F24E97"/>
    <w:rsid w:val="00F24EB3"/>
    <w:rsid w:val="00F25159"/>
    <w:rsid w:val="00F252E7"/>
    <w:rsid w:val="00F25A25"/>
    <w:rsid w:val="00F25AE5"/>
    <w:rsid w:val="00F26119"/>
    <w:rsid w:val="00F26584"/>
    <w:rsid w:val="00F2689D"/>
    <w:rsid w:val="00F26A62"/>
    <w:rsid w:val="00F26B1E"/>
    <w:rsid w:val="00F2748E"/>
    <w:rsid w:val="00F274D9"/>
    <w:rsid w:val="00F27526"/>
    <w:rsid w:val="00F2770D"/>
    <w:rsid w:val="00F27795"/>
    <w:rsid w:val="00F27B54"/>
    <w:rsid w:val="00F30326"/>
    <w:rsid w:val="00F303EB"/>
    <w:rsid w:val="00F30527"/>
    <w:rsid w:val="00F30C14"/>
    <w:rsid w:val="00F30C91"/>
    <w:rsid w:val="00F30FB9"/>
    <w:rsid w:val="00F31098"/>
    <w:rsid w:val="00F31471"/>
    <w:rsid w:val="00F3193F"/>
    <w:rsid w:val="00F31BAE"/>
    <w:rsid w:val="00F31D56"/>
    <w:rsid w:val="00F320D2"/>
    <w:rsid w:val="00F32810"/>
    <w:rsid w:val="00F329FA"/>
    <w:rsid w:val="00F32AC3"/>
    <w:rsid w:val="00F32AF3"/>
    <w:rsid w:val="00F32C51"/>
    <w:rsid w:val="00F32CDA"/>
    <w:rsid w:val="00F3312D"/>
    <w:rsid w:val="00F3345A"/>
    <w:rsid w:val="00F33568"/>
    <w:rsid w:val="00F335FA"/>
    <w:rsid w:val="00F33752"/>
    <w:rsid w:val="00F33769"/>
    <w:rsid w:val="00F337FA"/>
    <w:rsid w:val="00F338AA"/>
    <w:rsid w:val="00F33966"/>
    <w:rsid w:val="00F339E5"/>
    <w:rsid w:val="00F33E97"/>
    <w:rsid w:val="00F3422D"/>
    <w:rsid w:val="00F343EB"/>
    <w:rsid w:val="00F34670"/>
    <w:rsid w:val="00F3486E"/>
    <w:rsid w:val="00F34D12"/>
    <w:rsid w:val="00F34E47"/>
    <w:rsid w:val="00F34F09"/>
    <w:rsid w:val="00F34F20"/>
    <w:rsid w:val="00F3516B"/>
    <w:rsid w:val="00F35250"/>
    <w:rsid w:val="00F358FF"/>
    <w:rsid w:val="00F35987"/>
    <w:rsid w:val="00F35A15"/>
    <w:rsid w:val="00F35AE2"/>
    <w:rsid w:val="00F35B5D"/>
    <w:rsid w:val="00F35C01"/>
    <w:rsid w:val="00F35DB5"/>
    <w:rsid w:val="00F35E75"/>
    <w:rsid w:val="00F363C8"/>
    <w:rsid w:val="00F3649C"/>
    <w:rsid w:val="00F36685"/>
    <w:rsid w:val="00F36704"/>
    <w:rsid w:val="00F36AB7"/>
    <w:rsid w:val="00F36C6F"/>
    <w:rsid w:val="00F3711D"/>
    <w:rsid w:val="00F37181"/>
    <w:rsid w:val="00F373B3"/>
    <w:rsid w:val="00F376AD"/>
    <w:rsid w:val="00F376F4"/>
    <w:rsid w:val="00F37910"/>
    <w:rsid w:val="00F37EBE"/>
    <w:rsid w:val="00F40145"/>
    <w:rsid w:val="00F40172"/>
    <w:rsid w:val="00F40472"/>
    <w:rsid w:val="00F40711"/>
    <w:rsid w:val="00F40968"/>
    <w:rsid w:val="00F40AB3"/>
    <w:rsid w:val="00F40C8F"/>
    <w:rsid w:val="00F4115B"/>
    <w:rsid w:val="00F4121F"/>
    <w:rsid w:val="00F414C4"/>
    <w:rsid w:val="00F415E0"/>
    <w:rsid w:val="00F41706"/>
    <w:rsid w:val="00F4188D"/>
    <w:rsid w:val="00F41975"/>
    <w:rsid w:val="00F41D9D"/>
    <w:rsid w:val="00F41E3D"/>
    <w:rsid w:val="00F41F91"/>
    <w:rsid w:val="00F42392"/>
    <w:rsid w:val="00F42612"/>
    <w:rsid w:val="00F4292C"/>
    <w:rsid w:val="00F42A01"/>
    <w:rsid w:val="00F42B3A"/>
    <w:rsid w:val="00F42BCA"/>
    <w:rsid w:val="00F42C4D"/>
    <w:rsid w:val="00F42E28"/>
    <w:rsid w:val="00F42FBC"/>
    <w:rsid w:val="00F43042"/>
    <w:rsid w:val="00F43059"/>
    <w:rsid w:val="00F435CF"/>
    <w:rsid w:val="00F435E7"/>
    <w:rsid w:val="00F43953"/>
    <w:rsid w:val="00F43AE2"/>
    <w:rsid w:val="00F43DA5"/>
    <w:rsid w:val="00F43DDC"/>
    <w:rsid w:val="00F43E48"/>
    <w:rsid w:val="00F4402E"/>
    <w:rsid w:val="00F44156"/>
    <w:rsid w:val="00F44188"/>
    <w:rsid w:val="00F445BB"/>
    <w:rsid w:val="00F446A8"/>
    <w:rsid w:val="00F45540"/>
    <w:rsid w:val="00F4575D"/>
    <w:rsid w:val="00F457CD"/>
    <w:rsid w:val="00F45961"/>
    <w:rsid w:val="00F4604C"/>
    <w:rsid w:val="00F4616E"/>
    <w:rsid w:val="00F46391"/>
    <w:rsid w:val="00F46487"/>
    <w:rsid w:val="00F465F1"/>
    <w:rsid w:val="00F4680C"/>
    <w:rsid w:val="00F46D2B"/>
    <w:rsid w:val="00F47081"/>
    <w:rsid w:val="00F471D8"/>
    <w:rsid w:val="00F4758B"/>
    <w:rsid w:val="00F47864"/>
    <w:rsid w:val="00F478A0"/>
    <w:rsid w:val="00F4796A"/>
    <w:rsid w:val="00F479C1"/>
    <w:rsid w:val="00F47C2C"/>
    <w:rsid w:val="00F47C58"/>
    <w:rsid w:val="00F47C9E"/>
    <w:rsid w:val="00F50279"/>
    <w:rsid w:val="00F507AC"/>
    <w:rsid w:val="00F50896"/>
    <w:rsid w:val="00F508A1"/>
    <w:rsid w:val="00F5111E"/>
    <w:rsid w:val="00F5129F"/>
    <w:rsid w:val="00F512BE"/>
    <w:rsid w:val="00F513B3"/>
    <w:rsid w:val="00F51436"/>
    <w:rsid w:val="00F514B6"/>
    <w:rsid w:val="00F51552"/>
    <w:rsid w:val="00F51845"/>
    <w:rsid w:val="00F51AD2"/>
    <w:rsid w:val="00F51E5B"/>
    <w:rsid w:val="00F520DF"/>
    <w:rsid w:val="00F522BA"/>
    <w:rsid w:val="00F52464"/>
    <w:rsid w:val="00F524C1"/>
    <w:rsid w:val="00F526D6"/>
    <w:rsid w:val="00F52D64"/>
    <w:rsid w:val="00F53107"/>
    <w:rsid w:val="00F531C7"/>
    <w:rsid w:val="00F5328F"/>
    <w:rsid w:val="00F5333A"/>
    <w:rsid w:val="00F53403"/>
    <w:rsid w:val="00F5358F"/>
    <w:rsid w:val="00F5361D"/>
    <w:rsid w:val="00F53710"/>
    <w:rsid w:val="00F538CD"/>
    <w:rsid w:val="00F53941"/>
    <w:rsid w:val="00F53BE6"/>
    <w:rsid w:val="00F546C3"/>
    <w:rsid w:val="00F5482D"/>
    <w:rsid w:val="00F54ACB"/>
    <w:rsid w:val="00F54F09"/>
    <w:rsid w:val="00F554C9"/>
    <w:rsid w:val="00F55AB5"/>
    <w:rsid w:val="00F55C57"/>
    <w:rsid w:val="00F55EA1"/>
    <w:rsid w:val="00F55FE2"/>
    <w:rsid w:val="00F56525"/>
    <w:rsid w:val="00F5681F"/>
    <w:rsid w:val="00F56A76"/>
    <w:rsid w:val="00F56DF9"/>
    <w:rsid w:val="00F56ED9"/>
    <w:rsid w:val="00F572A6"/>
    <w:rsid w:val="00F5756B"/>
    <w:rsid w:val="00F57671"/>
    <w:rsid w:val="00F5796F"/>
    <w:rsid w:val="00F579F4"/>
    <w:rsid w:val="00F57A3D"/>
    <w:rsid w:val="00F57CA7"/>
    <w:rsid w:val="00F57F55"/>
    <w:rsid w:val="00F57FD4"/>
    <w:rsid w:val="00F603F4"/>
    <w:rsid w:val="00F60512"/>
    <w:rsid w:val="00F605EF"/>
    <w:rsid w:val="00F607F5"/>
    <w:rsid w:val="00F60CCC"/>
    <w:rsid w:val="00F60DE5"/>
    <w:rsid w:val="00F60F08"/>
    <w:rsid w:val="00F6116A"/>
    <w:rsid w:val="00F61343"/>
    <w:rsid w:val="00F61634"/>
    <w:rsid w:val="00F616C3"/>
    <w:rsid w:val="00F617C6"/>
    <w:rsid w:val="00F61D25"/>
    <w:rsid w:val="00F61FE2"/>
    <w:rsid w:val="00F62411"/>
    <w:rsid w:val="00F625CB"/>
    <w:rsid w:val="00F62832"/>
    <w:rsid w:val="00F629B0"/>
    <w:rsid w:val="00F62CE9"/>
    <w:rsid w:val="00F6339D"/>
    <w:rsid w:val="00F63412"/>
    <w:rsid w:val="00F63682"/>
    <w:rsid w:val="00F638FE"/>
    <w:rsid w:val="00F63BDE"/>
    <w:rsid w:val="00F640B9"/>
    <w:rsid w:val="00F64B62"/>
    <w:rsid w:val="00F64B95"/>
    <w:rsid w:val="00F64BAF"/>
    <w:rsid w:val="00F64CEB"/>
    <w:rsid w:val="00F64E92"/>
    <w:rsid w:val="00F64EB4"/>
    <w:rsid w:val="00F651CF"/>
    <w:rsid w:val="00F65243"/>
    <w:rsid w:val="00F653BD"/>
    <w:rsid w:val="00F65725"/>
    <w:rsid w:val="00F65824"/>
    <w:rsid w:val="00F658B7"/>
    <w:rsid w:val="00F65C11"/>
    <w:rsid w:val="00F65CAC"/>
    <w:rsid w:val="00F65DF2"/>
    <w:rsid w:val="00F65EC1"/>
    <w:rsid w:val="00F662FF"/>
    <w:rsid w:val="00F66357"/>
    <w:rsid w:val="00F66522"/>
    <w:rsid w:val="00F665B9"/>
    <w:rsid w:val="00F66700"/>
    <w:rsid w:val="00F66BD5"/>
    <w:rsid w:val="00F66C00"/>
    <w:rsid w:val="00F66D55"/>
    <w:rsid w:val="00F66E6A"/>
    <w:rsid w:val="00F67108"/>
    <w:rsid w:val="00F67298"/>
    <w:rsid w:val="00F6736E"/>
    <w:rsid w:val="00F678AC"/>
    <w:rsid w:val="00F678B4"/>
    <w:rsid w:val="00F67922"/>
    <w:rsid w:val="00F67B3C"/>
    <w:rsid w:val="00F7017E"/>
    <w:rsid w:val="00F702FA"/>
    <w:rsid w:val="00F703D8"/>
    <w:rsid w:val="00F70B06"/>
    <w:rsid w:val="00F70B48"/>
    <w:rsid w:val="00F70BD5"/>
    <w:rsid w:val="00F70DC9"/>
    <w:rsid w:val="00F70F62"/>
    <w:rsid w:val="00F70FD2"/>
    <w:rsid w:val="00F7106E"/>
    <w:rsid w:val="00F7115F"/>
    <w:rsid w:val="00F71773"/>
    <w:rsid w:val="00F71F59"/>
    <w:rsid w:val="00F72248"/>
    <w:rsid w:val="00F724E1"/>
    <w:rsid w:val="00F72755"/>
    <w:rsid w:val="00F72786"/>
    <w:rsid w:val="00F72797"/>
    <w:rsid w:val="00F727F1"/>
    <w:rsid w:val="00F7280E"/>
    <w:rsid w:val="00F72834"/>
    <w:rsid w:val="00F72999"/>
    <w:rsid w:val="00F72BFA"/>
    <w:rsid w:val="00F72D5A"/>
    <w:rsid w:val="00F72E56"/>
    <w:rsid w:val="00F72EE9"/>
    <w:rsid w:val="00F72F7D"/>
    <w:rsid w:val="00F731C6"/>
    <w:rsid w:val="00F732E5"/>
    <w:rsid w:val="00F73350"/>
    <w:rsid w:val="00F73A6C"/>
    <w:rsid w:val="00F73C6B"/>
    <w:rsid w:val="00F73E48"/>
    <w:rsid w:val="00F73E7A"/>
    <w:rsid w:val="00F74189"/>
    <w:rsid w:val="00F743DB"/>
    <w:rsid w:val="00F74B84"/>
    <w:rsid w:val="00F74E49"/>
    <w:rsid w:val="00F74FBC"/>
    <w:rsid w:val="00F750A7"/>
    <w:rsid w:val="00F750DF"/>
    <w:rsid w:val="00F751FA"/>
    <w:rsid w:val="00F75592"/>
    <w:rsid w:val="00F7570F"/>
    <w:rsid w:val="00F75895"/>
    <w:rsid w:val="00F75925"/>
    <w:rsid w:val="00F75A6C"/>
    <w:rsid w:val="00F75D2B"/>
    <w:rsid w:val="00F75F73"/>
    <w:rsid w:val="00F7621C"/>
    <w:rsid w:val="00F769CA"/>
    <w:rsid w:val="00F76A72"/>
    <w:rsid w:val="00F76CC9"/>
    <w:rsid w:val="00F76F4D"/>
    <w:rsid w:val="00F77041"/>
    <w:rsid w:val="00F772D8"/>
    <w:rsid w:val="00F773E1"/>
    <w:rsid w:val="00F77435"/>
    <w:rsid w:val="00F77623"/>
    <w:rsid w:val="00F77C74"/>
    <w:rsid w:val="00F77DED"/>
    <w:rsid w:val="00F77EFF"/>
    <w:rsid w:val="00F800DA"/>
    <w:rsid w:val="00F80146"/>
    <w:rsid w:val="00F804F4"/>
    <w:rsid w:val="00F80B1F"/>
    <w:rsid w:val="00F80C37"/>
    <w:rsid w:val="00F80DA0"/>
    <w:rsid w:val="00F81196"/>
    <w:rsid w:val="00F81395"/>
    <w:rsid w:val="00F813AA"/>
    <w:rsid w:val="00F813B9"/>
    <w:rsid w:val="00F8157B"/>
    <w:rsid w:val="00F8187B"/>
    <w:rsid w:val="00F81A74"/>
    <w:rsid w:val="00F81B4B"/>
    <w:rsid w:val="00F81C4F"/>
    <w:rsid w:val="00F81CA5"/>
    <w:rsid w:val="00F81E1A"/>
    <w:rsid w:val="00F8213C"/>
    <w:rsid w:val="00F82515"/>
    <w:rsid w:val="00F82713"/>
    <w:rsid w:val="00F827E5"/>
    <w:rsid w:val="00F829D7"/>
    <w:rsid w:val="00F82E31"/>
    <w:rsid w:val="00F82E7D"/>
    <w:rsid w:val="00F82EE6"/>
    <w:rsid w:val="00F83065"/>
    <w:rsid w:val="00F83165"/>
    <w:rsid w:val="00F83297"/>
    <w:rsid w:val="00F832D5"/>
    <w:rsid w:val="00F83A05"/>
    <w:rsid w:val="00F83B72"/>
    <w:rsid w:val="00F840BB"/>
    <w:rsid w:val="00F84136"/>
    <w:rsid w:val="00F8418A"/>
    <w:rsid w:val="00F8459A"/>
    <w:rsid w:val="00F8491D"/>
    <w:rsid w:val="00F84936"/>
    <w:rsid w:val="00F84ADA"/>
    <w:rsid w:val="00F84C9B"/>
    <w:rsid w:val="00F84CD0"/>
    <w:rsid w:val="00F84E38"/>
    <w:rsid w:val="00F85006"/>
    <w:rsid w:val="00F850AD"/>
    <w:rsid w:val="00F8546E"/>
    <w:rsid w:val="00F85498"/>
    <w:rsid w:val="00F854AB"/>
    <w:rsid w:val="00F857F2"/>
    <w:rsid w:val="00F85A84"/>
    <w:rsid w:val="00F85BF2"/>
    <w:rsid w:val="00F861C6"/>
    <w:rsid w:val="00F8651A"/>
    <w:rsid w:val="00F866AD"/>
    <w:rsid w:val="00F869E3"/>
    <w:rsid w:val="00F86A38"/>
    <w:rsid w:val="00F86B9F"/>
    <w:rsid w:val="00F87238"/>
    <w:rsid w:val="00F87546"/>
    <w:rsid w:val="00F8764B"/>
    <w:rsid w:val="00F8787E"/>
    <w:rsid w:val="00F87B1E"/>
    <w:rsid w:val="00F87B3A"/>
    <w:rsid w:val="00F87B7F"/>
    <w:rsid w:val="00F90AA2"/>
    <w:rsid w:val="00F90AAB"/>
    <w:rsid w:val="00F90FCD"/>
    <w:rsid w:val="00F91497"/>
    <w:rsid w:val="00F918A0"/>
    <w:rsid w:val="00F918AB"/>
    <w:rsid w:val="00F92157"/>
    <w:rsid w:val="00F9235F"/>
    <w:rsid w:val="00F92377"/>
    <w:rsid w:val="00F924A0"/>
    <w:rsid w:val="00F92602"/>
    <w:rsid w:val="00F92956"/>
    <w:rsid w:val="00F929CD"/>
    <w:rsid w:val="00F931DA"/>
    <w:rsid w:val="00F93306"/>
    <w:rsid w:val="00F933B7"/>
    <w:rsid w:val="00F933BB"/>
    <w:rsid w:val="00F936C3"/>
    <w:rsid w:val="00F93A79"/>
    <w:rsid w:val="00F93D47"/>
    <w:rsid w:val="00F93F85"/>
    <w:rsid w:val="00F93FB1"/>
    <w:rsid w:val="00F9401C"/>
    <w:rsid w:val="00F94045"/>
    <w:rsid w:val="00F94069"/>
    <w:rsid w:val="00F941A1"/>
    <w:rsid w:val="00F9430D"/>
    <w:rsid w:val="00F943BD"/>
    <w:rsid w:val="00F94602"/>
    <w:rsid w:val="00F946CF"/>
    <w:rsid w:val="00F9484C"/>
    <w:rsid w:val="00F94C3C"/>
    <w:rsid w:val="00F94C6B"/>
    <w:rsid w:val="00F94D60"/>
    <w:rsid w:val="00F95110"/>
    <w:rsid w:val="00F95317"/>
    <w:rsid w:val="00F953D4"/>
    <w:rsid w:val="00F95473"/>
    <w:rsid w:val="00F954F4"/>
    <w:rsid w:val="00F95647"/>
    <w:rsid w:val="00F95685"/>
    <w:rsid w:val="00F95CBB"/>
    <w:rsid w:val="00F95D4C"/>
    <w:rsid w:val="00F95EF3"/>
    <w:rsid w:val="00F95F53"/>
    <w:rsid w:val="00F96646"/>
    <w:rsid w:val="00F96B3C"/>
    <w:rsid w:val="00F9708C"/>
    <w:rsid w:val="00F97218"/>
    <w:rsid w:val="00F9727B"/>
    <w:rsid w:val="00F974FA"/>
    <w:rsid w:val="00F97697"/>
    <w:rsid w:val="00F97A3E"/>
    <w:rsid w:val="00F97A4F"/>
    <w:rsid w:val="00F97AC1"/>
    <w:rsid w:val="00F97D1F"/>
    <w:rsid w:val="00F97E03"/>
    <w:rsid w:val="00FA005C"/>
    <w:rsid w:val="00FA0284"/>
    <w:rsid w:val="00FA0426"/>
    <w:rsid w:val="00FA05E0"/>
    <w:rsid w:val="00FA085A"/>
    <w:rsid w:val="00FA09AF"/>
    <w:rsid w:val="00FA0D1A"/>
    <w:rsid w:val="00FA0E67"/>
    <w:rsid w:val="00FA1024"/>
    <w:rsid w:val="00FA12E4"/>
    <w:rsid w:val="00FA1460"/>
    <w:rsid w:val="00FA149A"/>
    <w:rsid w:val="00FA14A8"/>
    <w:rsid w:val="00FA14E2"/>
    <w:rsid w:val="00FA1AEB"/>
    <w:rsid w:val="00FA1DEB"/>
    <w:rsid w:val="00FA1F12"/>
    <w:rsid w:val="00FA2019"/>
    <w:rsid w:val="00FA242A"/>
    <w:rsid w:val="00FA25C2"/>
    <w:rsid w:val="00FA2ADB"/>
    <w:rsid w:val="00FA2B55"/>
    <w:rsid w:val="00FA2B79"/>
    <w:rsid w:val="00FA2DA6"/>
    <w:rsid w:val="00FA2E15"/>
    <w:rsid w:val="00FA2EFF"/>
    <w:rsid w:val="00FA2F83"/>
    <w:rsid w:val="00FA39CE"/>
    <w:rsid w:val="00FA3B7F"/>
    <w:rsid w:val="00FA3CF7"/>
    <w:rsid w:val="00FA41DE"/>
    <w:rsid w:val="00FA43A9"/>
    <w:rsid w:val="00FA43AF"/>
    <w:rsid w:val="00FA43C3"/>
    <w:rsid w:val="00FA46B3"/>
    <w:rsid w:val="00FA487C"/>
    <w:rsid w:val="00FA4952"/>
    <w:rsid w:val="00FA4A09"/>
    <w:rsid w:val="00FA4D52"/>
    <w:rsid w:val="00FA4D58"/>
    <w:rsid w:val="00FA4E43"/>
    <w:rsid w:val="00FA4FD1"/>
    <w:rsid w:val="00FA50B1"/>
    <w:rsid w:val="00FA52E5"/>
    <w:rsid w:val="00FA54AC"/>
    <w:rsid w:val="00FA557C"/>
    <w:rsid w:val="00FA56A1"/>
    <w:rsid w:val="00FA5A82"/>
    <w:rsid w:val="00FA60B9"/>
    <w:rsid w:val="00FA62EA"/>
    <w:rsid w:val="00FA6336"/>
    <w:rsid w:val="00FA6342"/>
    <w:rsid w:val="00FA6487"/>
    <w:rsid w:val="00FA64A4"/>
    <w:rsid w:val="00FA66A4"/>
    <w:rsid w:val="00FA678A"/>
    <w:rsid w:val="00FA6936"/>
    <w:rsid w:val="00FA70C0"/>
    <w:rsid w:val="00FA711A"/>
    <w:rsid w:val="00FA7308"/>
    <w:rsid w:val="00FA7316"/>
    <w:rsid w:val="00FA770C"/>
    <w:rsid w:val="00FA793C"/>
    <w:rsid w:val="00FA7D50"/>
    <w:rsid w:val="00FB015F"/>
    <w:rsid w:val="00FB088A"/>
    <w:rsid w:val="00FB08B9"/>
    <w:rsid w:val="00FB0AC2"/>
    <w:rsid w:val="00FB0ADA"/>
    <w:rsid w:val="00FB0BDA"/>
    <w:rsid w:val="00FB0C4B"/>
    <w:rsid w:val="00FB11CE"/>
    <w:rsid w:val="00FB185A"/>
    <w:rsid w:val="00FB19BC"/>
    <w:rsid w:val="00FB1C07"/>
    <w:rsid w:val="00FB1C9C"/>
    <w:rsid w:val="00FB1D2B"/>
    <w:rsid w:val="00FB1F54"/>
    <w:rsid w:val="00FB1FCA"/>
    <w:rsid w:val="00FB24CF"/>
    <w:rsid w:val="00FB24FB"/>
    <w:rsid w:val="00FB253D"/>
    <w:rsid w:val="00FB25D0"/>
    <w:rsid w:val="00FB2AA8"/>
    <w:rsid w:val="00FB2AB5"/>
    <w:rsid w:val="00FB2F04"/>
    <w:rsid w:val="00FB3018"/>
    <w:rsid w:val="00FB30F4"/>
    <w:rsid w:val="00FB321D"/>
    <w:rsid w:val="00FB3680"/>
    <w:rsid w:val="00FB3767"/>
    <w:rsid w:val="00FB3924"/>
    <w:rsid w:val="00FB3A5B"/>
    <w:rsid w:val="00FB3DBC"/>
    <w:rsid w:val="00FB3F2D"/>
    <w:rsid w:val="00FB4190"/>
    <w:rsid w:val="00FB4417"/>
    <w:rsid w:val="00FB4AE6"/>
    <w:rsid w:val="00FB4CF7"/>
    <w:rsid w:val="00FB4E9E"/>
    <w:rsid w:val="00FB4FC9"/>
    <w:rsid w:val="00FB523B"/>
    <w:rsid w:val="00FB526C"/>
    <w:rsid w:val="00FB52CB"/>
    <w:rsid w:val="00FB5759"/>
    <w:rsid w:val="00FB5CC4"/>
    <w:rsid w:val="00FB6136"/>
    <w:rsid w:val="00FB61D9"/>
    <w:rsid w:val="00FB62E8"/>
    <w:rsid w:val="00FB6452"/>
    <w:rsid w:val="00FB659E"/>
    <w:rsid w:val="00FB6AAC"/>
    <w:rsid w:val="00FB6B17"/>
    <w:rsid w:val="00FB6CC2"/>
    <w:rsid w:val="00FB7057"/>
    <w:rsid w:val="00FB72A6"/>
    <w:rsid w:val="00FB7935"/>
    <w:rsid w:val="00FB7A07"/>
    <w:rsid w:val="00FB7AF3"/>
    <w:rsid w:val="00FB7B33"/>
    <w:rsid w:val="00FB7B43"/>
    <w:rsid w:val="00FB7B8D"/>
    <w:rsid w:val="00FB7CE2"/>
    <w:rsid w:val="00FB7DDA"/>
    <w:rsid w:val="00FB7EC4"/>
    <w:rsid w:val="00FB7F3D"/>
    <w:rsid w:val="00FB7F50"/>
    <w:rsid w:val="00FC0470"/>
    <w:rsid w:val="00FC04F6"/>
    <w:rsid w:val="00FC050E"/>
    <w:rsid w:val="00FC06D7"/>
    <w:rsid w:val="00FC0B74"/>
    <w:rsid w:val="00FC0BEF"/>
    <w:rsid w:val="00FC0EFE"/>
    <w:rsid w:val="00FC0FE8"/>
    <w:rsid w:val="00FC117B"/>
    <w:rsid w:val="00FC1272"/>
    <w:rsid w:val="00FC146C"/>
    <w:rsid w:val="00FC158C"/>
    <w:rsid w:val="00FC16CB"/>
    <w:rsid w:val="00FC1731"/>
    <w:rsid w:val="00FC1941"/>
    <w:rsid w:val="00FC1A64"/>
    <w:rsid w:val="00FC1AD8"/>
    <w:rsid w:val="00FC1C41"/>
    <w:rsid w:val="00FC204A"/>
    <w:rsid w:val="00FC221E"/>
    <w:rsid w:val="00FC2227"/>
    <w:rsid w:val="00FC234B"/>
    <w:rsid w:val="00FC2497"/>
    <w:rsid w:val="00FC2498"/>
    <w:rsid w:val="00FC2898"/>
    <w:rsid w:val="00FC2915"/>
    <w:rsid w:val="00FC2BA4"/>
    <w:rsid w:val="00FC2E8B"/>
    <w:rsid w:val="00FC3303"/>
    <w:rsid w:val="00FC36FD"/>
    <w:rsid w:val="00FC3AA7"/>
    <w:rsid w:val="00FC3DFD"/>
    <w:rsid w:val="00FC3F4E"/>
    <w:rsid w:val="00FC3FC0"/>
    <w:rsid w:val="00FC3FC4"/>
    <w:rsid w:val="00FC41E2"/>
    <w:rsid w:val="00FC4611"/>
    <w:rsid w:val="00FC47AF"/>
    <w:rsid w:val="00FC4A55"/>
    <w:rsid w:val="00FC4C1F"/>
    <w:rsid w:val="00FC4E57"/>
    <w:rsid w:val="00FC51D3"/>
    <w:rsid w:val="00FC53CA"/>
    <w:rsid w:val="00FC556D"/>
    <w:rsid w:val="00FC58EA"/>
    <w:rsid w:val="00FC5977"/>
    <w:rsid w:val="00FC59BD"/>
    <w:rsid w:val="00FC5B52"/>
    <w:rsid w:val="00FC5DF8"/>
    <w:rsid w:val="00FC5E11"/>
    <w:rsid w:val="00FC633A"/>
    <w:rsid w:val="00FC66A8"/>
    <w:rsid w:val="00FC67F7"/>
    <w:rsid w:val="00FC682A"/>
    <w:rsid w:val="00FC6911"/>
    <w:rsid w:val="00FC6AEC"/>
    <w:rsid w:val="00FC6C03"/>
    <w:rsid w:val="00FC7208"/>
    <w:rsid w:val="00FC728C"/>
    <w:rsid w:val="00FC7312"/>
    <w:rsid w:val="00FC731C"/>
    <w:rsid w:val="00FC7360"/>
    <w:rsid w:val="00FC7753"/>
    <w:rsid w:val="00FC77E5"/>
    <w:rsid w:val="00FC7827"/>
    <w:rsid w:val="00FC7C7D"/>
    <w:rsid w:val="00FC7D02"/>
    <w:rsid w:val="00FC7E11"/>
    <w:rsid w:val="00FC7F7C"/>
    <w:rsid w:val="00FD01D8"/>
    <w:rsid w:val="00FD0241"/>
    <w:rsid w:val="00FD0559"/>
    <w:rsid w:val="00FD064B"/>
    <w:rsid w:val="00FD09CE"/>
    <w:rsid w:val="00FD0BE6"/>
    <w:rsid w:val="00FD0E2F"/>
    <w:rsid w:val="00FD1028"/>
    <w:rsid w:val="00FD10CD"/>
    <w:rsid w:val="00FD11F5"/>
    <w:rsid w:val="00FD16CA"/>
    <w:rsid w:val="00FD1772"/>
    <w:rsid w:val="00FD17B6"/>
    <w:rsid w:val="00FD18A6"/>
    <w:rsid w:val="00FD1A88"/>
    <w:rsid w:val="00FD1E2E"/>
    <w:rsid w:val="00FD1E71"/>
    <w:rsid w:val="00FD1EAA"/>
    <w:rsid w:val="00FD1F2B"/>
    <w:rsid w:val="00FD2069"/>
    <w:rsid w:val="00FD20A1"/>
    <w:rsid w:val="00FD213E"/>
    <w:rsid w:val="00FD214E"/>
    <w:rsid w:val="00FD21A8"/>
    <w:rsid w:val="00FD2207"/>
    <w:rsid w:val="00FD2376"/>
    <w:rsid w:val="00FD246C"/>
    <w:rsid w:val="00FD24C0"/>
    <w:rsid w:val="00FD27A6"/>
    <w:rsid w:val="00FD296B"/>
    <w:rsid w:val="00FD29A9"/>
    <w:rsid w:val="00FD2CBF"/>
    <w:rsid w:val="00FD2D05"/>
    <w:rsid w:val="00FD2F02"/>
    <w:rsid w:val="00FD2F95"/>
    <w:rsid w:val="00FD2FF9"/>
    <w:rsid w:val="00FD325D"/>
    <w:rsid w:val="00FD327C"/>
    <w:rsid w:val="00FD37E8"/>
    <w:rsid w:val="00FD3881"/>
    <w:rsid w:val="00FD38FF"/>
    <w:rsid w:val="00FD3CAD"/>
    <w:rsid w:val="00FD3EE1"/>
    <w:rsid w:val="00FD4098"/>
    <w:rsid w:val="00FD413D"/>
    <w:rsid w:val="00FD421C"/>
    <w:rsid w:val="00FD4375"/>
    <w:rsid w:val="00FD43FF"/>
    <w:rsid w:val="00FD461D"/>
    <w:rsid w:val="00FD49EB"/>
    <w:rsid w:val="00FD4D71"/>
    <w:rsid w:val="00FD53BB"/>
    <w:rsid w:val="00FD5686"/>
    <w:rsid w:val="00FD5935"/>
    <w:rsid w:val="00FD5942"/>
    <w:rsid w:val="00FD5CDF"/>
    <w:rsid w:val="00FD5DA6"/>
    <w:rsid w:val="00FD5E32"/>
    <w:rsid w:val="00FD5EDF"/>
    <w:rsid w:val="00FD5FF0"/>
    <w:rsid w:val="00FD61B1"/>
    <w:rsid w:val="00FD6269"/>
    <w:rsid w:val="00FD67C8"/>
    <w:rsid w:val="00FD6818"/>
    <w:rsid w:val="00FD69C8"/>
    <w:rsid w:val="00FD72ED"/>
    <w:rsid w:val="00FD742F"/>
    <w:rsid w:val="00FD7512"/>
    <w:rsid w:val="00FD757A"/>
    <w:rsid w:val="00FD76AF"/>
    <w:rsid w:val="00FD76E1"/>
    <w:rsid w:val="00FD77EC"/>
    <w:rsid w:val="00FD7853"/>
    <w:rsid w:val="00FD7C6C"/>
    <w:rsid w:val="00FD7D43"/>
    <w:rsid w:val="00FE0001"/>
    <w:rsid w:val="00FE0132"/>
    <w:rsid w:val="00FE024E"/>
    <w:rsid w:val="00FE02D6"/>
    <w:rsid w:val="00FE03A1"/>
    <w:rsid w:val="00FE0589"/>
    <w:rsid w:val="00FE0603"/>
    <w:rsid w:val="00FE0706"/>
    <w:rsid w:val="00FE0730"/>
    <w:rsid w:val="00FE0A50"/>
    <w:rsid w:val="00FE0D18"/>
    <w:rsid w:val="00FE0D7C"/>
    <w:rsid w:val="00FE1020"/>
    <w:rsid w:val="00FE11A4"/>
    <w:rsid w:val="00FE12BF"/>
    <w:rsid w:val="00FE1524"/>
    <w:rsid w:val="00FE161C"/>
    <w:rsid w:val="00FE1AA5"/>
    <w:rsid w:val="00FE1C3F"/>
    <w:rsid w:val="00FE1FC7"/>
    <w:rsid w:val="00FE200D"/>
    <w:rsid w:val="00FE2010"/>
    <w:rsid w:val="00FE204B"/>
    <w:rsid w:val="00FE2844"/>
    <w:rsid w:val="00FE29D6"/>
    <w:rsid w:val="00FE2BB0"/>
    <w:rsid w:val="00FE2C1E"/>
    <w:rsid w:val="00FE30C6"/>
    <w:rsid w:val="00FE3243"/>
    <w:rsid w:val="00FE3333"/>
    <w:rsid w:val="00FE358C"/>
    <w:rsid w:val="00FE3609"/>
    <w:rsid w:val="00FE3674"/>
    <w:rsid w:val="00FE3984"/>
    <w:rsid w:val="00FE39F5"/>
    <w:rsid w:val="00FE400C"/>
    <w:rsid w:val="00FE40F7"/>
    <w:rsid w:val="00FE4367"/>
    <w:rsid w:val="00FE4509"/>
    <w:rsid w:val="00FE47C2"/>
    <w:rsid w:val="00FE4AC9"/>
    <w:rsid w:val="00FE4B0A"/>
    <w:rsid w:val="00FE4BED"/>
    <w:rsid w:val="00FE4C47"/>
    <w:rsid w:val="00FE502A"/>
    <w:rsid w:val="00FE51BC"/>
    <w:rsid w:val="00FE5BDA"/>
    <w:rsid w:val="00FE5D1C"/>
    <w:rsid w:val="00FE5F42"/>
    <w:rsid w:val="00FE60C5"/>
    <w:rsid w:val="00FE6188"/>
    <w:rsid w:val="00FE62BF"/>
    <w:rsid w:val="00FE6677"/>
    <w:rsid w:val="00FE66AB"/>
    <w:rsid w:val="00FE6AFA"/>
    <w:rsid w:val="00FE6D27"/>
    <w:rsid w:val="00FE6D8C"/>
    <w:rsid w:val="00FE6EE8"/>
    <w:rsid w:val="00FE6FCD"/>
    <w:rsid w:val="00FE73C4"/>
    <w:rsid w:val="00FE74E5"/>
    <w:rsid w:val="00FE76DC"/>
    <w:rsid w:val="00FE77C2"/>
    <w:rsid w:val="00FE7B9F"/>
    <w:rsid w:val="00FE7EA6"/>
    <w:rsid w:val="00FF0101"/>
    <w:rsid w:val="00FF015A"/>
    <w:rsid w:val="00FF0469"/>
    <w:rsid w:val="00FF046D"/>
    <w:rsid w:val="00FF07E7"/>
    <w:rsid w:val="00FF093B"/>
    <w:rsid w:val="00FF09F8"/>
    <w:rsid w:val="00FF0AA8"/>
    <w:rsid w:val="00FF0C02"/>
    <w:rsid w:val="00FF0D4A"/>
    <w:rsid w:val="00FF0DFA"/>
    <w:rsid w:val="00FF1053"/>
    <w:rsid w:val="00FF11D3"/>
    <w:rsid w:val="00FF12F2"/>
    <w:rsid w:val="00FF1383"/>
    <w:rsid w:val="00FF15F5"/>
    <w:rsid w:val="00FF18CD"/>
    <w:rsid w:val="00FF19C2"/>
    <w:rsid w:val="00FF2146"/>
    <w:rsid w:val="00FF22F7"/>
    <w:rsid w:val="00FF2C00"/>
    <w:rsid w:val="00FF328C"/>
    <w:rsid w:val="00FF3395"/>
    <w:rsid w:val="00FF3518"/>
    <w:rsid w:val="00FF3819"/>
    <w:rsid w:val="00FF386F"/>
    <w:rsid w:val="00FF3A09"/>
    <w:rsid w:val="00FF3B4E"/>
    <w:rsid w:val="00FF3C8F"/>
    <w:rsid w:val="00FF3D96"/>
    <w:rsid w:val="00FF3DDC"/>
    <w:rsid w:val="00FF3EA6"/>
    <w:rsid w:val="00FF3F97"/>
    <w:rsid w:val="00FF4067"/>
    <w:rsid w:val="00FF44AD"/>
    <w:rsid w:val="00FF492B"/>
    <w:rsid w:val="00FF4AFF"/>
    <w:rsid w:val="00FF4DDA"/>
    <w:rsid w:val="00FF4DEC"/>
    <w:rsid w:val="00FF4F65"/>
    <w:rsid w:val="00FF4F9C"/>
    <w:rsid w:val="00FF51D0"/>
    <w:rsid w:val="00FF538E"/>
    <w:rsid w:val="00FF559C"/>
    <w:rsid w:val="00FF589A"/>
    <w:rsid w:val="00FF5F84"/>
    <w:rsid w:val="00FF6919"/>
    <w:rsid w:val="00FF6C09"/>
    <w:rsid w:val="00FF6C40"/>
    <w:rsid w:val="00FF6E1D"/>
    <w:rsid w:val="00FF6EAD"/>
    <w:rsid w:val="00FF6FF6"/>
    <w:rsid w:val="00FF7204"/>
    <w:rsid w:val="00FF723C"/>
    <w:rsid w:val="00FF7D42"/>
    <w:rsid w:val="00FF7D61"/>
    <w:rsid w:val="00FF7D7F"/>
    <w:rsid w:val="00FF7F0E"/>
    <w:rsid w:val="2BDB3273"/>
    <w:rsid w:val="2C8C3C7A"/>
    <w:rsid w:val="4AE9061B"/>
    <w:rsid w:val="696D6DF8"/>
    <w:rsid w:val="6C0653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5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4" w:unhideWhenUsed="1"/>
    <w:lsdException w:name="footer" w:locked="0" w:uiPriority="24" w:unhideWhenUsed="1"/>
    <w:lsdException w:name="index heading" w:locked="0" w:semiHidden="1"/>
    <w:lsdException w:name="caption" w:locked="0" w:uiPriority="16" w:unhideWhenUsed="1" w:qFormat="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uiPriority="98" w:qFormat="1"/>
    <w:lsdException w:name="List Bullet" w:locked="0" w:semiHidden="1" w:uiPriority="4" w:unhideWhenUsed="1" w:qFormat="1"/>
    <w:lsdException w:name="List Number" w:locked="0" w:semiHidden="1" w:uiPriority="5" w:unhideWhenUsed="1" w:qFormat="1"/>
    <w:lsdException w:name="List 2" w:locked="0" w:semiHidden="1" w:uiPriority="98" w:qFormat="1"/>
    <w:lsdException w:name="List 3" w:locked="0" w:semiHidden="1" w:uiPriority="98" w:qFormat="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semiHidden/>
    <w:qFormat/>
    <w:rsid w:val="000B1A4D"/>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DB587F"/>
    <w:pPr>
      <w:keepNext/>
      <w:pageBreakBefore/>
      <w:numPr>
        <w:numId w:val="13"/>
      </w:numPr>
      <w:pBdr>
        <w:top w:val="single" w:sz="6" w:space="31" w:color="FFFFFF" w:themeColor="background1"/>
      </w:pBdr>
      <w:spacing w:before="240" w:after="30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2D3250"/>
    <w:pPr>
      <w:pageBreakBefore w:val="0"/>
      <w:numPr>
        <w:ilvl w:val="1"/>
      </w:numPr>
      <w:pBdr>
        <w:top w:val="none" w:sz="0" w:space="0" w:color="auto"/>
      </w:pBdr>
      <w:tabs>
        <w:tab w:val="clear" w:pos="357"/>
        <w:tab w:val="clear" w:pos="714"/>
        <w:tab w:val="clear" w:pos="1429"/>
      </w:tabs>
      <w:spacing w:after="0"/>
      <w:outlineLvl w:val="1"/>
    </w:pPr>
    <w:rPr>
      <w:bCs w:val="0"/>
      <w:iCs/>
      <w:color w:val="2F005F"/>
      <w:sz w:val="32"/>
      <w:szCs w:val="28"/>
    </w:rPr>
  </w:style>
  <w:style w:type="paragraph" w:styleId="Heading3">
    <w:name w:val="heading 3"/>
    <w:basedOn w:val="Heading1"/>
    <w:next w:val="BodyText"/>
    <w:link w:val="Heading3Char"/>
    <w:uiPriority w:val="9"/>
    <w:qFormat/>
    <w:rsid w:val="00E26406"/>
    <w:pPr>
      <w:pageBreakBefore w:val="0"/>
      <w:numPr>
        <w:ilvl w:val="2"/>
      </w:numPr>
      <w:pBdr>
        <w:top w:val="none" w:sz="0" w:space="0" w:color="auto"/>
      </w:pBdr>
      <w:tabs>
        <w:tab w:val="clear" w:pos="357"/>
        <w:tab w:val="clear" w:pos="714"/>
        <w:tab w:val="clear" w:pos="1429"/>
      </w:tabs>
      <w:spacing w:after="0"/>
      <w:outlineLvl w:val="2"/>
    </w:pPr>
    <w:rPr>
      <w:bCs w:val="0"/>
      <w:sz w:val="26"/>
      <w:szCs w:val="26"/>
    </w:rPr>
  </w:style>
  <w:style w:type="paragraph" w:styleId="Heading4">
    <w:name w:val="heading 4"/>
    <w:basedOn w:val="Heading1"/>
    <w:next w:val="BodyText"/>
    <w:link w:val="Heading4Char"/>
    <w:uiPriority w:val="9"/>
    <w:qFormat/>
    <w:rsid w:val="00E26406"/>
    <w:pPr>
      <w:pageBreakBefore w:val="0"/>
      <w:numPr>
        <w:ilvl w:val="3"/>
      </w:numPr>
      <w:pBdr>
        <w:top w:val="none" w:sz="0" w:space="0" w:color="auto"/>
      </w:pBdr>
      <w:tabs>
        <w:tab w:val="clear" w:pos="357"/>
        <w:tab w:val="clear" w:pos="714"/>
        <w:tab w:val="clear" w:pos="1429"/>
      </w:tabs>
      <w:spacing w:after="0"/>
      <w:outlineLvl w:val="3"/>
    </w:pPr>
    <w:rPr>
      <w:bCs w:val="0"/>
      <w:color w:val="012749"/>
      <w:sz w:val="22"/>
      <w:szCs w:val="21"/>
    </w:rPr>
  </w:style>
  <w:style w:type="paragraph" w:styleId="Heading5">
    <w:name w:val="heading 5"/>
    <w:basedOn w:val="Normal"/>
    <w:next w:val="Normal"/>
    <w:link w:val="Heading5Char"/>
    <w:uiPriority w:val="9"/>
    <w:qFormat/>
    <w:rsid w:val="0082152E"/>
    <w:pPr>
      <w:tabs>
        <w:tab w:val="left" w:pos="1072"/>
      </w:tabs>
      <w:spacing w:before="240" w:after="0" w:line="276" w:lineRule="auto"/>
      <w:outlineLvl w:val="4"/>
    </w:pPr>
    <w:rPr>
      <w:rFonts w:eastAsia="Times New Roman" w:cs="Times New Roman"/>
      <w:b/>
      <w:bCs/>
      <w:iCs/>
      <w:color w:val="4B0885"/>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tabs>
        <w:tab w:val="num" w:pos="2912"/>
      </w:tabs>
      <w:spacing w:before="120" w:after="120" w:line="276" w:lineRule="auto"/>
      <w:ind w:left="717" w:hanging="360"/>
    </w:pPr>
    <w:rPr>
      <w:rFonts w:eastAsia="Times New Roman" w:cs="Times New Roman"/>
      <w:szCs w:val="24"/>
      <w:lang w:eastAsia="en-GB"/>
    </w:rPr>
  </w:style>
  <w:style w:type="numbering" w:customStyle="1" w:styleId="ListBulletmaster">
    <w:name w:val="List Bullet (master)"/>
    <w:rsid w:val="006E4F12"/>
    <w:pPr>
      <w:numPr>
        <w:numId w:val="2"/>
      </w:numPr>
    </w:pPr>
  </w:style>
  <w:style w:type="paragraph" w:styleId="ListBullet2">
    <w:name w:val="List Bullet 2"/>
    <w:basedOn w:val="Normal"/>
    <w:uiPriority w:val="4"/>
    <w:qFormat/>
    <w:rsid w:val="005002B4"/>
    <w:pPr>
      <w:numPr>
        <w:ilvl w:val="1"/>
        <w:numId w:val="14"/>
      </w:numPr>
      <w:spacing w:before="120" w:after="120" w:line="276" w:lineRule="auto"/>
    </w:pPr>
    <w:rPr>
      <w:rFonts w:eastAsia="Times New Roman" w:cs="Times New Roman"/>
      <w:szCs w:val="24"/>
      <w:lang w:eastAsia="en-GB"/>
    </w:rPr>
  </w:style>
  <w:style w:type="paragraph" w:styleId="ListBullet3">
    <w:name w:val="List Bullet 3"/>
    <w:basedOn w:val="Normal"/>
    <w:uiPriority w:val="4"/>
    <w:qFormat/>
    <w:rsid w:val="005002B4"/>
    <w:pPr>
      <w:numPr>
        <w:ilvl w:val="2"/>
        <w:numId w:val="14"/>
      </w:numPr>
      <w:spacing w:before="120" w:after="120" w:line="276" w:lineRule="auto"/>
    </w:pPr>
    <w:rPr>
      <w:rFonts w:eastAsia="Times New Roman" w:cs="Times New Roman"/>
      <w:szCs w:val="24"/>
      <w:lang w:eastAsia="en-GB"/>
    </w:rPr>
  </w:style>
  <w:style w:type="numbering" w:customStyle="1" w:styleId="ListNumbermaster">
    <w:name w:val="List Number (master)"/>
    <w:rsid w:val="000419F4"/>
    <w:pPr>
      <w:numPr>
        <w:numId w:val="3"/>
      </w:numPr>
    </w:pPr>
  </w:style>
  <w:style w:type="paragraph" w:styleId="ListNumber2">
    <w:name w:val="List Number 2"/>
    <w:basedOn w:val="Normal"/>
    <w:uiPriority w:val="5"/>
    <w:qFormat/>
    <w:rsid w:val="005002B4"/>
    <w:pPr>
      <w:numPr>
        <w:ilvl w:val="1"/>
        <w:numId w:val="7"/>
      </w:numPr>
      <w:spacing w:before="120" w:after="120" w:line="276" w:lineRule="auto"/>
      <w:ind w:left="714" w:hanging="357"/>
    </w:pPr>
    <w:rPr>
      <w:rFonts w:eastAsia="Times New Roman" w:cs="Times New Roman"/>
      <w:szCs w:val="24"/>
      <w:lang w:eastAsia="en-GB"/>
    </w:rPr>
  </w:style>
  <w:style w:type="paragraph" w:styleId="ListNumber3">
    <w:name w:val="List Number 3"/>
    <w:basedOn w:val="Normal"/>
    <w:uiPriority w:val="5"/>
    <w:qFormat/>
    <w:rsid w:val="005002B4"/>
    <w:pPr>
      <w:numPr>
        <w:ilvl w:val="2"/>
        <w:numId w:val="7"/>
      </w:numPr>
      <w:spacing w:before="120" w:after="120" w:line="276" w:lineRule="auto"/>
      <w:ind w:left="1077" w:hanging="357"/>
    </w:pPr>
    <w:rPr>
      <w:rFonts w:eastAsia="Times New Roman" w:cs="Times New Roman"/>
      <w:szCs w:val="24"/>
      <w:lang w:eastAsia="en-GB"/>
    </w:rPr>
  </w:style>
  <w:style w:type="paragraph" w:styleId="ListNumber">
    <w:name w:val="List Number"/>
    <w:basedOn w:val="Normal"/>
    <w:uiPriority w:val="5"/>
    <w:qFormat/>
    <w:rsid w:val="005002B4"/>
    <w:pPr>
      <w:numPr>
        <w:numId w:val="7"/>
      </w:numPr>
      <w:spacing w:before="120" w:after="120" w:line="276" w:lineRule="auto"/>
      <w:ind w:left="357" w:hanging="357"/>
    </w:pPr>
    <w:rPr>
      <w:rFonts w:eastAsia="Times New Roman" w:cs="Times New Roman"/>
      <w:szCs w:val="24"/>
      <w:lang w:eastAsia="en-GB"/>
    </w:rPr>
  </w:style>
  <w:style w:type="paragraph" w:styleId="NoSpacing">
    <w:name w:val="No Spacing"/>
    <w:link w:val="NoSpacingChar"/>
    <w:uiPriority w:val="1"/>
    <w:semiHidden/>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0"/>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4"/>
      </w:numPr>
    </w:pPr>
  </w:style>
  <w:style w:type="paragraph" w:customStyle="1" w:styleId="TableListBullet2">
    <w:name w:val="Table List Bullet 2"/>
    <w:basedOn w:val="TableListBullet"/>
    <w:uiPriority w:val="15"/>
    <w:qFormat/>
    <w:rsid w:val="00544654"/>
    <w:pPr>
      <w:numPr>
        <w:ilvl w:val="1"/>
      </w:numPr>
    </w:pPr>
  </w:style>
  <w:style w:type="paragraph" w:customStyle="1" w:styleId="TableListNumber">
    <w:name w:val="Table List Number"/>
    <w:basedOn w:val="Normal"/>
    <w:uiPriority w:val="15"/>
    <w:qFormat/>
    <w:rsid w:val="0082152E"/>
    <w:pPr>
      <w:numPr>
        <w:numId w:val="11"/>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5"/>
      </w:numPr>
    </w:pPr>
  </w:style>
  <w:style w:type="paragraph" w:customStyle="1" w:styleId="TableListNumber2">
    <w:name w:val="Table List Number 2"/>
    <w:basedOn w:val="TableListNumber"/>
    <w:uiPriority w:val="15"/>
    <w:qFormat/>
    <w:rsid w:val="0082152E"/>
    <w:pPr>
      <w:numPr>
        <w:ilvl w:val="1"/>
      </w:numPr>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aliases w:val="Bullet Point,Bullet point,Recommendation,L,List Paragraph1,List Paragraph11,List Paragraph2,bullet point list,F5 List Paragraph,Dot pt,CV text,Table text,List Paragraph111,Medium Grid 1 - Accent 21,Numbered Paragraph,Bulleted Para,b,Bulle"/>
    <w:basedOn w:val="Normal"/>
    <w:uiPriority w:val="34"/>
    <w:qFormat/>
    <w:rsid w:val="0023754A"/>
    <w:pPr>
      <w:ind w:left="720"/>
      <w:contextualSpacing/>
    </w:pPr>
  </w:style>
  <w:style w:type="character" w:customStyle="1" w:styleId="Heading1Char">
    <w:name w:val="Heading 1 Char"/>
    <w:basedOn w:val="DefaultParagraphFont"/>
    <w:link w:val="Heading1"/>
    <w:uiPriority w:val="9"/>
    <w:rsid w:val="00DB587F"/>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2D3250"/>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09644B"/>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09644B"/>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82152E"/>
    <w:rPr>
      <w:rFonts w:ascii="Arial" w:eastAsia="Times New Roman" w:hAnsi="Arial" w:cs="Times New Roman"/>
      <w:b/>
      <w:bCs/>
      <w:iCs/>
      <w:color w:val="4B0885"/>
      <w:sz w:val="22"/>
      <w:lang w:val="en-GB" w:eastAsia="en-AU"/>
    </w:rPr>
  </w:style>
  <w:style w:type="paragraph" w:customStyle="1" w:styleId="AppendixHeading1">
    <w:name w:val="Appendix Heading 1"/>
    <w:basedOn w:val="Heading1"/>
    <w:next w:val="BodyText"/>
    <w:uiPriority w:val="11"/>
    <w:qFormat/>
    <w:rsid w:val="009279DF"/>
    <w:pPr>
      <w:keepNext w:val="0"/>
      <w:numPr>
        <w:numId w:val="12"/>
      </w:numPr>
      <w:pBdr>
        <w:top w:val="none" w:sz="0" w:space="0" w:color="auto"/>
      </w:pBdr>
      <w:tabs>
        <w:tab w:val="left" w:pos="2268"/>
      </w:tabs>
      <w:suppressAutoHyphens/>
      <w:spacing w:after="800"/>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pageBreakBefore w:val="0"/>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rsid w:val="00127F9F"/>
    <w:pPr>
      <w:numPr>
        <w:numId w:val="0"/>
      </w:numPr>
      <w:pBdr>
        <w:top w:val="none" w:sz="0" w:space="0" w:color="auto"/>
      </w:pBdr>
      <w:spacing w:after="0"/>
    </w:pPr>
  </w:style>
  <w:style w:type="numbering" w:customStyle="1" w:styleId="Headingsmaster">
    <w:name w:val="Headings (master)"/>
    <w:uiPriority w:val="99"/>
    <w:rsid w:val="00E26406"/>
    <w:pPr>
      <w:numPr>
        <w:numId w:val="16"/>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39"/>
    <w:locked/>
    <w:rsid w:val="00D32F3C"/>
    <w:pPr>
      <w:spacing w:after="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rPr>
        <w:tblHeader/>
      </w:trPr>
      <w:tcPr>
        <w:shd w:val="clear" w:color="auto" w:fill="F2F2F2" w:themeFill="background1" w:themeFillShade="F2"/>
      </w:tcPr>
    </w:tblStylePr>
  </w:style>
  <w:style w:type="paragraph" w:styleId="Quote">
    <w:name w:val="Quote"/>
    <w:basedOn w:val="Normal"/>
    <w:link w:val="QuoteChar"/>
    <w:uiPriority w:val="29"/>
    <w:qFormat/>
    <w:rsid w:val="000B1A4D"/>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0B1A4D"/>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semiHidden/>
    <w:rsid w:val="003F3496"/>
    <w:rPr>
      <w:rFonts w:ascii="Arial" w:hAnsi="Arial"/>
      <w:sz w:val="16"/>
      <w:lang w:val="en-AU"/>
    </w:rPr>
  </w:style>
  <w:style w:type="paragraph" w:styleId="Footer">
    <w:name w:val="footer"/>
    <w:basedOn w:val="Normal"/>
    <w:link w:val="FooterChar"/>
    <w:uiPriority w:val="24"/>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076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6"/>
      </w:numPr>
    </w:pPr>
  </w:style>
  <w:style w:type="paragraph" w:styleId="TOCHeading">
    <w:name w:val="TOC Heading"/>
    <w:basedOn w:val="Heading1"/>
    <w:next w:val="Normal"/>
    <w:uiPriority w:val="39"/>
    <w:qFormat/>
    <w:rsid w:val="00F55EA1"/>
    <w:pPr>
      <w:keepLines/>
      <w:pageBreakBefore w:val="0"/>
      <w:numPr>
        <w:numId w:val="0"/>
      </w:numPr>
      <w:pBdr>
        <w:top w:val="none" w:sz="0" w:space="0" w:color="auto"/>
      </w:pBdr>
      <w:spacing w:after="0"/>
      <w:outlineLvl w:val="9"/>
    </w:pPr>
    <w:rPr>
      <w:rFonts w:eastAsiaTheme="majorEastAsia" w:cstheme="majorBidi"/>
      <w:szCs w:val="28"/>
      <w:lang w:eastAsia="en-US"/>
    </w:rPr>
  </w:style>
  <w:style w:type="paragraph" w:styleId="TOC1">
    <w:name w:val="toc 1"/>
    <w:basedOn w:val="Normal"/>
    <w:next w:val="Normal"/>
    <w:autoRedefine/>
    <w:uiPriority w:val="39"/>
    <w:rsid w:val="0075216C"/>
    <w:pPr>
      <w:tabs>
        <w:tab w:val="left" w:pos="440"/>
        <w:tab w:val="left" w:pos="1191"/>
        <w:tab w:val="right" w:leader="dot" w:pos="9017"/>
      </w:tabs>
      <w:spacing w:after="100" w:line="276" w:lineRule="auto"/>
      <w:ind w:left="1191" w:right="851" w:hanging="1191"/>
    </w:pPr>
    <w:rPr>
      <w:b/>
      <w:color w:val="4B0985"/>
    </w:rPr>
  </w:style>
  <w:style w:type="paragraph" w:styleId="TOC2">
    <w:name w:val="toc 2"/>
    <w:basedOn w:val="Normal"/>
    <w:next w:val="Normal"/>
    <w:autoRedefine/>
    <w:uiPriority w:val="39"/>
    <w:rsid w:val="00FF559C"/>
    <w:pPr>
      <w:tabs>
        <w:tab w:val="left" w:pos="1134"/>
        <w:tab w:val="right" w:leader="dot" w:pos="9017"/>
      </w:tabs>
      <w:spacing w:after="100" w:line="276" w:lineRule="auto"/>
      <w:ind w:left="714" w:right="851" w:hanging="714"/>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3F3496"/>
    <w:pPr>
      <w:tabs>
        <w:tab w:val="left" w:pos="1928"/>
        <w:tab w:val="right" w:leader="dot" w:pos="9017"/>
      </w:tabs>
      <w:spacing w:after="100" w:line="276" w:lineRule="auto"/>
      <w:ind w:left="714" w:right="851" w:hanging="714"/>
    </w:pPr>
  </w:style>
  <w:style w:type="paragraph" w:styleId="Caption">
    <w:name w:val="caption"/>
    <w:basedOn w:val="Normal"/>
    <w:next w:val="BodyText"/>
    <w:uiPriority w:val="16"/>
    <w:qFormat/>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0"/>
      </w:numPr>
      <w:ind w:left="357" w:hanging="357"/>
    </w:pPr>
  </w:style>
  <w:style w:type="numbering" w:customStyle="1" w:styleId="ListLegalmaster">
    <w:name w:val="List Legal (master)"/>
    <w:uiPriority w:val="99"/>
    <w:rsid w:val="00291313"/>
    <w:pPr>
      <w:numPr>
        <w:numId w:val="8"/>
      </w:numPr>
    </w:pPr>
  </w:style>
  <w:style w:type="paragraph" w:customStyle="1" w:styleId="ListLegal2">
    <w:name w:val="List Legal 2"/>
    <w:basedOn w:val="ListNumber2"/>
    <w:uiPriority w:val="8"/>
    <w:semiHidden/>
    <w:qFormat/>
    <w:rsid w:val="00291313"/>
    <w:pPr>
      <w:numPr>
        <w:ilvl w:val="0"/>
        <w:numId w:val="0"/>
      </w:numPr>
      <w:tabs>
        <w:tab w:val="num" w:pos="720"/>
        <w:tab w:val="left" w:pos="1077"/>
      </w:tabs>
      <w:ind w:left="714" w:hanging="357"/>
    </w:pPr>
  </w:style>
  <w:style w:type="paragraph" w:customStyle="1" w:styleId="ListLegal3">
    <w:name w:val="List Legal 3"/>
    <w:basedOn w:val="ListLegal2"/>
    <w:uiPriority w:val="8"/>
    <w:semiHidden/>
    <w:qFormat/>
    <w:rsid w:val="00291313"/>
    <w:pPr>
      <w:tabs>
        <w:tab w:val="clear" w:pos="720"/>
        <w:tab w:val="clear" w:pos="1077"/>
        <w:tab w:val="left" w:pos="1435"/>
      </w:tabs>
      <w:ind w:left="1435" w:hanging="721"/>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99"/>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pageBreakBefore w:val="0"/>
      <w:numPr>
        <w:numId w:val="0"/>
      </w:num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RowBandSize w:val="1"/>
      <w:tblStyleColBandSize w:val="1"/>
      <w:tblBorders>
        <w:bottom w:val="single" w:sz="4" w:space="0" w:color="2F005F"/>
      </w:tblBorders>
    </w:tblPr>
    <w:trPr>
      <w:cantSplit/>
    </w:trPr>
    <w:tblStylePr w:type="firstRow">
      <w:rPr>
        <w:b w:val="0"/>
        <w:color w:val="FFFFFF" w:themeColor="background1"/>
      </w:rPr>
      <w:tblPr/>
      <w:tcPr>
        <w:shd w:val="clear" w:color="auto" w:fill="2F005F"/>
      </w:tcPr>
    </w:tblStylePr>
    <w:tblStylePr w:type="lastRow">
      <w:rPr>
        <w:b/>
      </w:rPr>
      <w:tblPr/>
      <w:tcPr>
        <w:shd w:val="clear" w:color="auto" w:fill="4B0985"/>
      </w:tcPr>
    </w:tblStylePr>
    <w:tblStylePr w:type="firstCol">
      <w:rPr>
        <w:b w:val="0"/>
        <w:color w:val="FFFFFF" w:themeColor="background1"/>
      </w:rPr>
      <w:tblPr/>
      <w:tcPr>
        <w:shd w:val="clear" w:color="auto" w:fill="2F005F"/>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RowBandSize w:val="1"/>
      <w:tblStyleColBandSize w:val="1"/>
      <w:tblBorders>
        <w:bottom w:val="single" w:sz="4" w:space="0" w:color="012749"/>
      </w:tblBorders>
    </w:tblPr>
    <w:trPr>
      <w:cantSplit/>
    </w:trPr>
    <w:tblStylePr w:type="firstRow">
      <w:rPr>
        <w:b w:val="0"/>
        <w:color w:val="FFFFFF" w:themeColor="background1"/>
      </w:rPr>
      <w:tblPr/>
      <w:tcPr>
        <w:shd w:val="clear" w:color="auto" w:fill="012749"/>
      </w:tcPr>
    </w:tblStylePr>
    <w:tblStylePr w:type="lastRow">
      <w:rPr>
        <w:b/>
      </w:rPr>
      <w:tblPr/>
      <w:tcPr>
        <w:shd w:val="clear" w:color="auto" w:fill="4B0985"/>
      </w:tcPr>
    </w:tblStylePr>
    <w:tblStylePr w:type="firstCol">
      <w:rPr>
        <w:b w:val="0"/>
        <w:color w:val="auto"/>
      </w:rPr>
      <w:tblPr/>
      <w:tcPr>
        <w:shd w:val="clear" w:color="auto" w:fill="012749"/>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548DD4"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548DD4" w:themeColor="text2" w:themeTint="99"/>
      <w:sz w:val="24"/>
      <w:lang w:val="en-AU"/>
    </w:rPr>
  </w:style>
  <w:style w:type="character" w:customStyle="1" w:styleId="NoSpacingChar">
    <w:name w:val="No Spacing Char"/>
    <w:basedOn w:val="DefaultParagraphFont"/>
    <w:link w:val="NoSpacing"/>
    <w:uiPriority w:val="1"/>
    <w:semiHidden/>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rPr>
      <w:cantSplit/>
    </w:trPr>
    <w:tblStylePr w:type="firstRow">
      <w:rPr>
        <w:rFonts w:ascii="Arial" w:hAnsi="Arial"/>
        <w:b w:val="0"/>
        <w:color w:val="FFFFFF" w:themeColor="background1"/>
      </w:rPr>
      <w:tblPr/>
      <w:tcPr>
        <w:shd w:val="clear" w:color="auto" w:fill="404040" w:themeFill="text1" w:themeFillTint="BF"/>
      </w:tc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tblStyleRowBandSize w:val="1"/>
      <w:tblBorders>
        <w:bottom w:val="single" w:sz="4" w:space="0" w:color="2F005F"/>
      </w:tblBorders>
    </w:tblPr>
    <w:tblStylePr w:type="firstRow">
      <w:tblPr/>
      <w:tcPr>
        <w:tcBorders>
          <w:bottom w:val="nil"/>
        </w:tcBorders>
        <w:shd w:val="clear" w:color="auto" w:fill="2F005F"/>
      </w:tcPr>
    </w:tblStylePr>
    <w:tblStylePr w:type="band2Horz">
      <w:tblPr/>
      <w:tcPr>
        <w:shd w:val="clear" w:color="auto" w:fill="F2F2F2" w:themeFill="background1" w:themeFillShade="F2"/>
      </w:tcPr>
    </w:tblStylePr>
  </w:style>
  <w:style w:type="table" w:customStyle="1" w:styleId="CustomTablepulloutbox">
    <w:name w:val="Custom Table (pullout box)"/>
    <w:basedOn w:val="TableNormal"/>
    <w:uiPriority w:val="99"/>
    <w:rsid w:val="00AC33C3"/>
    <w:pPr>
      <w:spacing w:after="0" w:line="240" w:lineRule="auto"/>
    </w:pPr>
    <w:tblPr>
      <w:tblBorders>
        <w:left w:val="single" w:sz="24" w:space="0" w:color="4B0885"/>
      </w:tblBorders>
    </w:tblPr>
    <w:tcPr>
      <w:shd w:val="clear" w:color="auto" w:fill="F2F2F2" w:themeFill="background1" w:themeFillShade="F2"/>
      <w:tcMar>
        <w:top w:w="227" w:type="dxa"/>
        <w:left w:w="227" w:type="dxa"/>
        <w:bottom w:w="227" w:type="dxa"/>
        <w:right w:w="227" w:type="dxa"/>
      </w:tcMar>
    </w:tcPr>
  </w:style>
  <w:style w:type="table" w:customStyle="1" w:styleId="CustomTablekeythemes">
    <w:name w:val="Custom Table (key themes)"/>
    <w:basedOn w:val="TableNormal"/>
    <w:uiPriority w:val="99"/>
    <w:rsid w:val="006819D3"/>
    <w:pPr>
      <w:spacing w:after="0" w:line="240" w:lineRule="auto"/>
    </w:pPr>
    <w:tblPr>
      <w:tblBorders>
        <w:top w:val="double" w:sz="12" w:space="0" w:color="D9D9D9" w:themeColor="background1" w:themeShade="D9"/>
        <w:bottom w:val="double" w:sz="12" w:space="0" w:color="D9D9D9" w:themeColor="background1" w:themeShade="D9"/>
      </w:tblBorders>
    </w:tblPr>
    <w:tcPr>
      <w:shd w:val="clear" w:color="auto" w:fill="D9D9D9" w:themeFill="background1" w:themeFillShade="D9"/>
      <w:tcMar>
        <w:top w:w="227" w:type="dxa"/>
        <w:left w:w="227" w:type="dxa"/>
        <w:bottom w:w="227" w:type="dxa"/>
        <w:right w:w="227" w:type="dxa"/>
      </w:tcMar>
    </w:tc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2D3250"/>
    <w:pPr>
      <w:keepNext/>
    </w:pPr>
    <w:rPr>
      <w:b/>
      <w:color w:val="2F005F"/>
      <w:sz w:val="23"/>
      <w:lang w:eastAsia="en-GB"/>
    </w:rPr>
  </w:style>
  <w:style w:type="table" w:customStyle="1" w:styleId="CustomTablepulloutbox2">
    <w:name w:val="Custom Table (pullout box 2)"/>
    <w:basedOn w:val="CustomTablepulloutbox"/>
    <w:uiPriority w:val="99"/>
    <w:rsid w:val="00F4121F"/>
    <w:tblPr/>
    <w:tcPr>
      <w:shd w:val="clear" w:color="auto" w:fill="E0D1F5"/>
    </w:tcPr>
  </w:style>
  <w:style w:type="character" w:styleId="CommentReference">
    <w:name w:val="annotation reference"/>
    <w:basedOn w:val="DefaultParagraphFont"/>
    <w:uiPriority w:val="99"/>
    <w:semiHidden/>
    <w:unhideWhenUsed/>
    <w:rsid w:val="009F00B2"/>
    <w:rPr>
      <w:sz w:val="16"/>
      <w:szCs w:val="16"/>
    </w:rPr>
  </w:style>
  <w:style w:type="paragraph" w:styleId="CommentText">
    <w:name w:val="annotation text"/>
    <w:basedOn w:val="Normal"/>
    <w:link w:val="CommentTextChar"/>
    <w:uiPriority w:val="99"/>
    <w:unhideWhenUsed/>
    <w:rsid w:val="009F00B2"/>
    <w:pPr>
      <w:spacing w:before="0" w:after="100"/>
    </w:pPr>
    <w:rPr>
      <w:sz w:val="20"/>
    </w:rPr>
  </w:style>
  <w:style w:type="character" w:customStyle="1" w:styleId="CommentTextChar">
    <w:name w:val="Comment Text Char"/>
    <w:basedOn w:val="DefaultParagraphFont"/>
    <w:link w:val="CommentText"/>
    <w:uiPriority w:val="99"/>
    <w:rsid w:val="009F00B2"/>
    <w:rPr>
      <w:rFonts w:ascii="Arial" w:hAnsi="Arial"/>
      <w:lang w:val="en-AU"/>
    </w:rPr>
  </w:style>
  <w:style w:type="character" w:styleId="Mention">
    <w:name w:val="Mention"/>
    <w:basedOn w:val="DefaultParagraphFont"/>
    <w:uiPriority w:val="99"/>
    <w:unhideWhenUsed/>
    <w:rsid w:val="009F00B2"/>
    <w:rPr>
      <w:color w:val="2B579A"/>
      <w:shd w:val="clear" w:color="auto" w:fill="E1DFDD"/>
    </w:rPr>
  </w:style>
  <w:style w:type="paragraph" w:styleId="List">
    <w:name w:val="List"/>
    <w:basedOn w:val="Normal"/>
    <w:uiPriority w:val="98"/>
    <w:qFormat/>
    <w:rsid w:val="00A06B0F"/>
    <w:pPr>
      <w:numPr>
        <w:numId w:val="15"/>
      </w:numPr>
      <w:spacing w:before="0" w:after="200" w:line="259" w:lineRule="auto"/>
      <w:contextualSpacing/>
    </w:pPr>
    <w:rPr>
      <w:rFonts w:asciiTheme="minorHAnsi" w:hAnsiTheme="minorHAnsi"/>
      <w:szCs w:val="22"/>
    </w:rPr>
  </w:style>
  <w:style w:type="paragraph" w:styleId="List2">
    <w:name w:val="List 2"/>
    <w:basedOn w:val="List"/>
    <w:uiPriority w:val="98"/>
    <w:qFormat/>
    <w:rsid w:val="00A06B0F"/>
    <w:pPr>
      <w:numPr>
        <w:ilvl w:val="1"/>
      </w:numPr>
      <w:tabs>
        <w:tab w:val="num" w:pos="360"/>
      </w:tabs>
      <w:spacing w:before="100" w:beforeAutospacing="1" w:afterAutospacing="1" w:line="240" w:lineRule="auto"/>
    </w:pPr>
  </w:style>
  <w:style w:type="paragraph" w:styleId="List3">
    <w:name w:val="List 3"/>
    <w:basedOn w:val="Normal"/>
    <w:uiPriority w:val="98"/>
    <w:qFormat/>
    <w:rsid w:val="00A06B0F"/>
    <w:pPr>
      <w:numPr>
        <w:ilvl w:val="2"/>
        <w:numId w:val="15"/>
      </w:numPr>
      <w:tabs>
        <w:tab w:val="num" w:pos="360"/>
      </w:tabs>
      <w:spacing w:before="0" w:after="200" w:line="259" w:lineRule="auto"/>
      <w:contextualSpacing/>
    </w:pPr>
    <w:rPr>
      <w:rFonts w:asciiTheme="minorHAnsi" w:hAnsiTheme="minorHAnsi"/>
      <w:szCs w:val="22"/>
    </w:rPr>
  </w:style>
  <w:style w:type="paragraph" w:styleId="CommentSubject">
    <w:name w:val="annotation subject"/>
    <w:basedOn w:val="CommentText"/>
    <w:next w:val="CommentText"/>
    <w:link w:val="CommentSubjectChar"/>
    <w:uiPriority w:val="99"/>
    <w:semiHidden/>
    <w:rsid w:val="00324C08"/>
    <w:pPr>
      <w:spacing w:before="40" w:after="40"/>
    </w:pPr>
    <w:rPr>
      <w:b/>
      <w:bCs/>
    </w:rPr>
  </w:style>
  <w:style w:type="character" w:customStyle="1" w:styleId="CommentSubjectChar">
    <w:name w:val="Comment Subject Char"/>
    <w:basedOn w:val="CommentTextChar"/>
    <w:link w:val="CommentSubject"/>
    <w:uiPriority w:val="99"/>
    <w:semiHidden/>
    <w:rsid w:val="00324C08"/>
    <w:rPr>
      <w:rFonts w:ascii="Arial" w:hAnsi="Arial"/>
      <w:b/>
      <w:bCs/>
      <w:lang w:val="en-AU"/>
    </w:rPr>
  </w:style>
  <w:style w:type="paragraph" w:styleId="Revision">
    <w:name w:val="Revision"/>
    <w:hidden/>
    <w:uiPriority w:val="99"/>
    <w:semiHidden/>
    <w:rsid w:val="00851A25"/>
    <w:pPr>
      <w:spacing w:after="0" w:line="240" w:lineRule="auto"/>
    </w:pPr>
    <w:rPr>
      <w:rFonts w:ascii="Arial" w:hAnsi="Arial"/>
      <w:sz w:val="22"/>
      <w:lang w:val="en-AU"/>
    </w:rPr>
  </w:style>
  <w:style w:type="paragraph" w:styleId="Bibliography">
    <w:name w:val="Bibliography"/>
    <w:basedOn w:val="Normal"/>
    <w:next w:val="Normal"/>
    <w:uiPriority w:val="99"/>
    <w:semiHidden/>
    <w:rsid w:val="0089098C"/>
  </w:style>
  <w:style w:type="paragraph" w:styleId="TOC5">
    <w:name w:val="toc 5"/>
    <w:basedOn w:val="Normal"/>
    <w:next w:val="Normal"/>
    <w:autoRedefine/>
    <w:uiPriority w:val="39"/>
    <w:unhideWhenUsed/>
    <w:rsid w:val="00184993"/>
    <w:pPr>
      <w:spacing w:before="0" w:after="100" w:line="278" w:lineRule="auto"/>
      <w:ind w:left="960"/>
    </w:pPr>
    <w:rPr>
      <w:rFonts w:asciiTheme="minorHAnsi" w:eastAsiaTheme="minorEastAsia" w:hAnsiTheme="minorHAnsi"/>
      <w:kern w:val="2"/>
      <w:sz w:val="24"/>
      <w:szCs w:val="24"/>
      <w:lang w:eastAsia="en-AU"/>
      <w14:ligatures w14:val="standardContextual"/>
    </w:rPr>
  </w:style>
  <w:style w:type="paragraph" w:styleId="TOC6">
    <w:name w:val="toc 6"/>
    <w:basedOn w:val="Normal"/>
    <w:next w:val="Normal"/>
    <w:autoRedefine/>
    <w:uiPriority w:val="39"/>
    <w:unhideWhenUsed/>
    <w:rsid w:val="00184993"/>
    <w:pPr>
      <w:spacing w:before="0"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unhideWhenUsed/>
    <w:rsid w:val="00184993"/>
    <w:pPr>
      <w:spacing w:before="0"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unhideWhenUsed/>
    <w:rsid w:val="00184993"/>
    <w:pPr>
      <w:spacing w:before="0"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unhideWhenUsed/>
    <w:rsid w:val="00184993"/>
    <w:pPr>
      <w:spacing w:before="0" w:after="100" w:line="278" w:lineRule="auto"/>
      <w:ind w:left="1920"/>
    </w:pPr>
    <w:rPr>
      <w:rFonts w:asciiTheme="minorHAnsi" w:eastAsiaTheme="minorEastAsia" w:hAnsiTheme="minorHAnsi"/>
      <w:kern w:val="2"/>
      <w:sz w:val="24"/>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282">
      <w:bodyDiv w:val="1"/>
      <w:marLeft w:val="0"/>
      <w:marRight w:val="0"/>
      <w:marTop w:val="0"/>
      <w:marBottom w:val="0"/>
      <w:divBdr>
        <w:top w:val="none" w:sz="0" w:space="0" w:color="auto"/>
        <w:left w:val="none" w:sz="0" w:space="0" w:color="auto"/>
        <w:bottom w:val="none" w:sz="0" w:space="0" w:color="auto"/>
        <w:right w:val="none" w:sz="0" w:space="0" w:color="auto"/>
      </w:divBdr>
    </w:div>
    <w:div w:id="1469467">
      <w:bodyDiv w:val="1"/>
      <w:marLeft w:val="0"/>
      <w:marRight w:val="0"/>
      <w:marTop w:val="0"/>
      <w:marBottom w:val="0"/>
      <w:divBdr>
        <w:top w:val="none" w:sz="0" w:space="0" w:color="auto"/>
        <w:left w:val="none" w:sz="0" w:space="0" w:color="auto"/>
        <w:bottom w:val="none" w:sz="0" w:space="0" w:color="auto"/>
        <w:right w:val="none" w:sz="0" w:space="0" w:color="auto"/>
      </w:divBdr>
    </w:div>
    <w:div w:id="2826865">
      <w:bodyDiv w:val="1"/>
      <w:marLeft w:val="0"/>
      <w:marRight w:val="0"/>
      <w:marTop w:val="0"/>
      <w:marBottom w:val="0"/>
      <w:divBdr>
        <w:top w:val="none" w:sz="0" w:space="0" w:color="auto"/>
        <w:left w:val="none" w:sz="0" w:space="0" w:color="auto"/>
        <w:bottom w:val="none" w:sz="0" w:space="0" w:color="auto"/>
        <w:right w:val="none" w:sz="0" w:space="0" w:color="auto"/>
      </w:divBdr>
    </w:div>
    <w:div w:id="5328235">
      <w:bodyDiv w:val="1"/>
      <w:marLeft w:val="0"/>
      <w:marRight w:val="0"/>
      <w:marTop w:val="0"/>
      <w:marBottom w:val="0"/>
      <w:divBdr>
        <w:top w:val="none" w:sz="0" w:space="0" w:color="auto"/>
        <w:left w:val="none" w:sz="0" w:space="0" w:color="auto"/>
        <w:bottom w:val="none" w:sz="0" w:space="0" w:color="auto"/>
        <w:right w:val="none" w:sz="0" w:space="0" w:color="auto"/>
      </w:divBdr>
    </w:div>
    <w:div w:id="7144780">
      <w:bodyDiv w:val="1"/>
      <w:marLeft w:val="0"/>
      <w:marRight w:val="0"/>
      <w:marTop w:val="0"/>
      <w:marBottom w:val="0"/>
      <w:divBdr>
        <w:top w:val="none" w:sz="0" w:space="0" w:color="auto"/>
        <w:left w:val="none" w:sz="0" w:space="0" w:color="auto"/>
        <w:bottom w:val="none" w:sz="0" w:space="0" w:color="auto"/>
        <w:right w:val="none" w:sz="0" w:space="0" w:color="auto"/>
      </w:divBdr>
    </w:div>
    <w:div w:id="8142708">
      <w:bodyDiv w:val="1"/>
      <w:marLeft w:val="0"/>
      <w:marRight w:val="0"/>
      <w:marTop w:val="0"/>
      <w:marBottom w:val="0"/>
      <w:divBdr>
        <w:top w:val="none" w:sz="0" w:space="0" w:color="auto"/>
        <w:left w:val="none" w:sz="0" w:space="0" w:color="auto"/>
        <w:bottom w:val="none" w:sz="0" w:space="0" w:color="auto"/>
        <w:right w:val="none" w:sz="0" w:space="0" w:color="auto"/>
      </w:divBdr>
    </w:div>
    <w:div w:id="8145331">
      <w:bodyDiv w:val="1"/>
      <w:marLeft w:val="0"/>
      <w:marRight w:val="0"/>
      <w:marTop w:val="0"/>
      <w:marBottom w:val="0"/>
      <w:divBdr>
        <w:top w:val="none" w:sz="0" w:space="0" w:color="auto"/>
        <w:left w:val="none" w:sz="0" w:space="0" w:color="auto"/>
        <w:bottom w:val="none" w:sz="0" w:space="0" w:color="auto"/>
        <w:right w:val="none" w:sz="0" w:space="0" w:color="auto"/>
      </w:divBdr>
    </w:div>
    <w:div w:id="9189935">
      <w:bodyDiv w:val="1"/>
      <w:marLeft w:val="0"/>
      <w:marRight w:val="0"/>
      <w:marTop w:val="0"/>
      <w:marBottom w:val="0"/>
      <w:divBdr>
        <w:top w:val="none" w:sz="0" w:space="0" w:color="auto"/>
        <w:left w:val="none" w:sz="0" w:space="0" w:color="auto"/>
        <w:bottom w:val="none" w:sz="0" w:space="0" w:color="auto"/>
        <w:right w:val="none" w:sz="0" w:space="0" w:color="auto"/>
      </w:divBdr>
    </w:div>
    <w:div w:id="10422472">
      <w:bodyDiv w:val="1"/>
      <w:marLeft w:val="0"/>
      <w:marRight w:val="0"/>
      <w:marTop w:val="0"/>
      <w:marBottom w:val="0"/>
      <w:divBdr>
        <w:top w:val="none" w:sz="0" w:space="0" w:color="auto"/>
        <w:left w:val="none" w:sz="0" w:space="0" w:color="auto"/>
        <w:bottom w:val="none" w:sz="0" w:space="0" w:color="auto"/>
        <w:right w:val="none" w:sz="0" w:space="0" w:color="auto"/>
      </w:divBdr>
    </w:div>
    <w:div w:id="10645690">
      <w:bodyDiv w:val="1"/>
      <w:marLeft w:val="0"/>
      <w:marRight w:val="0"/>
      <w:marTop w:val="0"/>
      <w:marBottom w:val="0"/>
      <w:divBdr>
        <w:top w:val="none" w:sz="0" w:space="0" w:color="auto"/>
        <w:left w:val="none" w:sz="0" w:space="0" w:color="auto"/>
        <w:bottom w:val="none" w:sz="0" w:space="0" w:color="auto"/>
        <w:right w:val="none" w:sz="0" w:space="0" w:color="auto"/>
      </w:divBdr>
    </w:div>
    <w:div w:id="12347624">
      <w:bodyDiv w:val="1"/>
      <w:marLeft w:val="0"/>
      <w:marRight w:val="0"/>
      <w:marTop w:val="0"/>
      <w:marBottom w:val="0"/>
      <w:divBdr>
        <w:top w:val="none" w:sz="0" w:space="0" w:color="auto"/>
        <w:left w:val="none" w:sz="0" w:space="0" w:color="auto"/>
        <w:bottom w:val="none" w:sz="0" w:space="0" w:color="auto"/>
        <w:right w:val="none" w:sz="0" w:space="0" w:color="auto"/>
      </w:divBdr>
    </w:div>
    <w:div w:id="13115826">
      <w:bodyDiv w:val="1"/>
      <w:marLeft w:val="0"/>
      <w:marRight w:val="0"/>
      <w:marTop w:val="0"/>
      <w:marBottom w:val="0"/>
      <w:divBdr>
        <w:top w:val="none" w:sz="0" w:space="0" w:color="auto"/>
        <w:left w:val="none" w:sz="0" w:space="0" w:color="auto"/>
        <w:bottom w:val="none" w:sz="0" w:space="0" w:color="auto"/>
        <w:right w:val="none" w:sz="0" w:space="0" w:color="auto"/>
      </w:divBdr>
    </w:div>
    <w:div w:id="13384644">
      <w:bodyDiv w:val="1"/>
      <w:marLeft w:val="0"/>
      <w:marRight w:val="0"/>
      <w:marTop w:val="0"/>
      <w:marBottom w:val="0"/>
      <w:divBdr>
        <w:top w:val="none" w:sz="0" w:space="0" w:color="auto"/>
        <w:left w:val="none" w:sz="0" w:space="0" w:color="auto"/>
        <w:bottom w:val="none" w:sz="0" w:space="0" w:color="auto"/>
        <w:right w:val="none" w:sz="0" w:space="0" w:color="auto"/>
      </w:divBdr>
    </w:div>
    <w:div w:id="13921382">
      <w:bodyDiv w:val="1"/>
      <w:marLeft w:val="0"/>
      <w:marRight w:val="0"/>
      <w:marTop w:val="0"/>
      <w:marBottom w:val="0"/>
      <w:divBdr>
        <w:top w:val="none" w:sz="0" w:space="0" w:color="auto"/>
        <w:left w:val="none" w:sz="0" w:space="0" w:color="auto"/>
        <w:bottom w:val="none" w:sz="0" w:space="0" w:color="auto"/>
        <w:right w:val="none" w:sz="0" w:space="0" w:color="auto"/>
      </w:divBdr>
    </w:div>
    <w:div w:id="19012023">
      <w:bodyDiv w:val="1"/>
      <w:marLeft w:val="0"/>
      <w:marRight w:val="0"/>
      <w:marTop w:val="0"/>
      <w:marBottom w:val="0"/>
      <w:divBdr>
        <w:top w:val="none" w:sz="0" w:space="0" w:color="auto"/>
        <w:left w:val="none" w:sz="0" w:space="0" w:color="auto"/>
        <w:bottom w:val="none" w:sz="0" w:space="0" w:color="auto"/>
        <w:right w:val="none" w:sz="0" w:space="0" w:color="auto"/>
      </w:divBdr>
    </w:div>
    <w:div w:id="20595680">
      <w:bodyDiv w:val="1"/>
      <w:marLeft w:val="0"/>
      <w:marRight w:val="0"/>
      <w:marTop w:val="0"/>
      <w:marBottom w:val="0"/>
      <w:divBdr>
        <w:top w:val="none" w:sz="0" w:space="0" w:color="auto"/>
        <w:left w:val="none" w:sz="0" w:space="0" w:color="auto"/>
        <w:bottom w:val="none" w:sz="0" w:space="0" w:color="auto"/>
        <w:right w:val="none" w:sz="0" w:space="0" w:color="auto"/>
      </w:divBdr>
    </w:div>
    <w:div w:id="21171427">
      <w:bodyDiv w:val="1"/>
      <w:marLeft w:val="0"/>
      <w:marRight w:val="0"/>
      <w:marTop w:val="0"/>
      <w:marBottom w:val="0"/>
      <w:divBdr>
        <w:top w:val="none" w:sz="0" w:space="0" w:color="auto"/>
        <w:left w:val="none" w:sz="0" w:space="0" w:color="auto"/>
        <w:bottom w:val="none" w:sz="0" w:space="0" w:color="auto"/>
        <w:right w:val="none" w:sz="0" w:space="0" w:color="auto"/>
      </w:divBdr>
    </w:div>
    <w:div w:id="21369416">
      <w:bodyDiv w:val="1"/>
      <w:marLeft w:val="0"/>
      <w:marRight w:val="0"/>
      <w:marTop w:val="0"/>
      <w:marBottom w:val="0"/>
      <w:divBdr>
        <w:top w:val="none" w:sz="0" w:space="0" w:color="auto"/>
        <w:left w:val="none" w:sz="0" w:space="0" w:color="auto"/>
        <w:bottom w:val="none" w:sz="0" w:space="0" w:color="auto"/>
        <w:right w:val="none" w:sz="0" w:space="0" w:color="auto"/>
      </w:divBdr>
    </w:div>
    <w:div w:id="22482164">
      <w:bodyDiv w:val="1"/>
      <w:marLeft w:val="0"/>
      <w:marRight w:val="0"/>
      <w:marTop w:val="0"/>
      <w:marBottom w:val="0"/>
      <w:divBdr>
        <w:top w:val="none" w:sz="0" w:space="0" w:color="auto"/>
        <w:left w:val="none" w:sz="0" w:space="0" w:color="auto"/>
        <w:bottom w:val="none" w:sz="0" w:space="0" w:color="auto"/>
        <w:right w:val="none" w:sz="0" w:space="0" w:color="auto"/>
      </w:divBdr>
    </w:div>
    <w:div w:id="26375646">
      <w:bodyDiv w:val="1"/>
      <w:marLeft w:val="0"/>
      <w:marRight w:val="0"/>
      <w:marTop w:val="0"/>
      <w:marBottom w:val="0"/>
      <w:divBdr>
        <w:top w:val="none" w:sz="0" w:space="0" w:color="auto"/>
        <w:left w:val="none" w:sz="0" w:space="0" w:color="auto"/>
        <w:bottom w:val="none" w:sz="0" w:space="0" w:color="auto"/>
        <w:right w:val="none" w:sz="0" w:space="0" w:color="auto"/>
      </w:divBdr>
    </w:div>
    <w:div w:id="26956782">
      <w:bodyDiv w:val="1"/>
      <w:marLeft w:val="0"/>
      <w:marRight w:val="0"/>
      <w:marTop w:val="0"/>
      <w:marBottom w:val="0"/>
      <w:divBdr>
        <w:top w:val="none" w:sz="0" w:space="0" w:color="auto"/>
        <w:left w:val="none" w:sz="0" w:space="0" w:color="auto"/>
        <w:bottom w:val="none" w:sz="0" w:space="0" w:color="auto"/>
        <w:right w:val="none" w:sz="0" w:space="0" w:color="auto"/>
      </w:divBdr>
    </w:div>
    <w:div w:id="27612648">
      <w:bodyDiv w:val="1"/>
      <w:marLeft w:val="0"/>
      <w:marRight w:val="0"/>
      <w:marTop w:val="0"/>
      <w:marBottom w:val="0"/>
      <w:divBdr>
        <w:top w:val="none" w:sz="0" w:space="0" w:color="auto"/>
        <w:left w:val="none" w:sz="0" w:space="0" w:color="auto"/>
        <w:bottom w:val="none" w:sz="0" w:space="0" w:color="auto"/>
        <w:right w:val="none" w:sz="0" w:space="0" w:color="auto"/>
      </w:divBdr>
    </w:div>
    <w:div w:id="30149621">
      <w:bodyDiv w:val="1"/>
      <w:marLeft w:val="0"/>
      <w:marRight w:val="0"/>
      <w:marTop w:val="0"/>
      <w:marBottom w:val="0"/>
      <w:divBdr>
        <w:top w:val="none" w:sz="0" w:space="0" w:color="auto"/>
        <w:left w:val="none" w:sz="0" w:space="0" w:color="auto"/>
        <w:bottom w:val="none" w:sz="0" w:space="0" w:color="auto"/>
        <w:right w:val="none" w:sz="0" w:space="0" w:color="auto"/>
      </w:divBdr>
    </w:div>
    <w:div w:id="31272632">
      <w:bodyDiv w:val="1"/>
      <w:marLeft w:val="0"/>
      <w:marRight w:val="0"/>
      <w:marTop w:val="0"/>
      <w:marBottom w:val="0"/>
      <w:divBdr>
        <w:top w:val="none" w:sz="0" w:space="0" w:color="auto"/>
        <w:left w:val="none" w:sz="0" w:space="0" w:color="auto"/>
        <w:bottom w:val="none" w:sz="0" w:space="0" w:color="auto"/>
        <w:right w:val="none" w:sz="0" w:space="0" w:color="auto"/>
      </w:divBdr>
    </w:div>
    <w:div w:id="31812117">
      <w:bodyDiv w:val="1"/>
      <w:marLeft w:val="0"/>
      <w:marRight w:val="0"/>
      <w:marTop w:val="0"/>
      <w:marBottom w:val="0"/>
      <w:divBdr>
        <w:top w:val="none" w:sz="0" w:space="0" w:color="auto"/>
        <w:left w:val="none" w:sz="0" w:space="0" w:color="auto"/>
        <w:bottom w:val="none" w:sz="0" w:space="0" w:color="auto"/>
        <w:right w:val="none" w:sz="0" w:space="0" w:color="auto"/>
      </w:divBdr>
    </w:div>
    <w:div w:id="32463009">
      <w:bodyDiv w:val="1"/>
      <w:marLeft w:val="0"/>
      <w:marRight w:val="0"/>
      <w:marTop w:val="0"/>
      <w:marBottom w:val="0"/>
      <w:divBdr>
        <w:top w:val="none" w:sz="0" w:space="0" w:color="auto"/>
        <w:left w:val="none" w:sz="0" w:space="0" w:color="auto"/>
        <w:bottom w:val="none" w:sz="0" w:space="0" w:color="auto"/>
        <w:right w:val="none" w:sz="0" w:space="0" w:color="auto"/>
      </w:divBdr>
    </w:div>
    <w:div w:id="32728217">
      <w:bodyDiv w:val="1"/>
      <w:marLeft w:val="0"/>
      <w:marRight w:val="0"/>
      <w:marTop w:val="0"/>
      <w:marBottom w:val="0"/>
      <w:divBdr>
        <w:top w:val="none" w:sz="0" w:space="0" w:color="auto"/>
        <w:left w:val="none" w:sz="0" w:space="0" w:color="auto"/>
        <w:bottom w:val="none" w:sz="0" w:space="0" w:color="auto"/>
        <w:right w:val="none" w:sz="0" w:space="0" w:color="auto"/>
      </w:divBdr>
    </w:div>
    <w:div w:id="33316925">
      <w:bodyDiv w:val="1"/>
      <w:marLeft w:val="0"/>
      <w:marRight w:val="0"/>
      <w:marTop w:val="0"/>
      <w:marBottom w:val="0"/>
      <w:divBdr>
        <w:top w:val="none" w:sz="0" w:space="0" w:color="auto"/>
        <w:left w:val="none" w:sz="0" w:space="0" w:color="auto"/>
        <w:bottom w:val="none" w:sz="0" w:space="0" w:color="auto"/>
        <w:right w:val="none" w:sz="0" w:space="0" w:color="auto"/>
      </w:divBdr>
    </w:div>
    <w:div w:id="36320495">
      <w:bodyDiv w:val="1"/>
      <w:marLeft w:val="0"/>
      <w:marRight w:val="0"/>
      <w:marTop w:val="0"/>
      <w:marBottom w:val="0"/>
      <w:divBdr>
        <w:top w:val="none" w:sz="0" w:space="0" w:color="auto"/>
        <w:left w:val="none" w:sz="0" w:space="0" w:color="auto"/>
        <w:bottom w:val="none" w:sz="0" w:space="0" w:color="auto"/>
        <w:right w:val="none" w:sz="0" w:space="0" w:color="auto"/>
      </w:divBdr>
    </w:div>
    <w:div w:id="36666134">
      <w:bodyDiv w:val="1"/>
      <w:marLeft w:val="0"/>
      <w:marRight w:val="0"/>
      <w:marTop w:val="0"/>
      <w:marBottom w:val="0"/>
      <w:divBdr>
        <w:top w:val="none" w:sz="0" w:space="0" w:color="auto"/>
        <w:left w:val="none" w:sz="0" w:space="0" w:color="auto"/>
        <w:bottom w:val="none" w:sz="0" w:space="0" w:color="auto"/>
        <w:right w:val="none" w:sz="0" w:space="0" w:color="auto"/>
      </w:divBdr>
    </w:div>
    <w:div w:id="37168601">
      <w:bodyDiv w:val="1"/>
      <w:marLeft w:val="0"/>
      <w:marRight w:val="0"/>
      <w:marTop w:val="0"/>
      <w:marBottom w:val="0"/>
      <w:divBdr>
        <w:top w:val="none" w:sz="0" w:space="0" w:color="auto"/>
        <w:left w:val="none" w:sz="0" w:space="0" w:color="auto"/>
        <w:bottom w:val="none" w:sz="0" w:space="0" w:color="auto"/>
        <w:right w:val="none" w:sz="0" w:space="0" w:color="auto"/>
      </w:divBdr>
    </w:div>
    <w:div w:id="37172997">
      <w:bodyDiv w:val="1"/>
      <w:marLeft w:val="0"/>
      <w:marRight w:val="0"/>
      <w:marTop w:val="0"/>
      <w:marBottom w:val="0"/>
      <w:divBdr>
        <w:top w:val="none" w:sz="0" w:space="0" w:color="auto"/>
        <w:left w:val="none" w:sz="0" w:space="0" w:color="auto"/>
        <w:bottom w:val="none" w:sz="0" w:space="0" w:color="auto"/>
        <w:right w:val="none" w:sz="0" w:space="0" w:color="auto"/>
      </w:divBdr>
    </w:div>
    <w:div w:id="38019743">
      <w:bodyDiv w:val="1"/>
      <w:marLeft w:val="0"/>
      <w:marRight w:val="0"/>
      <w:marTop w:val="0"/>
      <w:marBottom w:val="0"/>
      <w:divBdr>
        <w:top w:val="none" w:sz="0" w:space="0" w:color="auto"/>
        <w:left w:val="none" w:sz="0" w:space="0" w:color="auto"/>
        <w:bottom w:val="none" w:sz="0" w:space="0" w:color="auto"/>
        <w:right w:val="none" w:sz="0" w:space="0" w:color="auto"/>
      </w:divBdr>
    </w:div>
    <w:div w:id="44529173">
      <w:bodyDiv w:val="1"/>
      <w:marLeft w:val="0"/>
      <w:marRight w:val="0"/>
      <w:marTop w:val="0"/>
      <w:marBottom w:val="0"/>
      <w:divBdr>
        <w:top w:val="none" w:sz="0" w:space="0" w:color="auto"/>
        <w:left w:val="none" w:sz="0" w:space="0" w:color="auto"/>
        <w:bottom w:val="none" w:sz="0" w:space="0" w:color="auto"/>
        <w:right w:val="none" w:sz="0" w:space="0" w:color="auto"/>
      </w:divBdr>
    </w:div>
    <w:div w:id="48189264">
      <w:bodyDiv w:val="1"/>
      <w:marLeft w:val="0"/>
      <w:marRight w:val="0"/>
      <w:marTop w:val="0"/>
      <w:marBottom w:val="0"/>
      <w:divBdr>
        <w:top w:val="none" w:sz="0" w:space="0" w:color="auto"/>
        <w:left w:val="none" w:sz="0" w:space="0" w:color="auto"/>
        <w:bottom w:val="none" w:sz="0" w:space="0" w:color="auto"/>
        <w:right w:val="none" w:sz="0" w:space="0" w:color="auto"/>
      </w:divBdr>
    </w:div>
    <w:div w:id="48648231">
      <w:bodyDiv w:val="1"/>
      <w:marLeft w:val="0"/>
      <w:marRight w:val="0"/>
      <w:marTop w:val="0"/>
      <w:marBottom w:val="0"/>
      <w:divBdr>
        <w:top w:val="none" w:sz="0" w:space="0" w:color="auto"/>
        <w:left w:val="none" w:sz="0" w:space="0" w:color="auto"/>
        <w:bottom w:val="none" w:sz="0" w:space="0" w:color="auto"/>
        <w:right w:val="none" w:sz="0" w:space="0" w:color="auto"/>
      </w:divBdr>
    </w:div>
    <w:div w:id="50740017">
      <w:bodyDiv w:val="1"/>
      <w:marLeft w:val="0"/>
      <w:marRight w:val="0"/>
      <w:marTop w:val="0"/>
      <w:marBottom w:val="0"/>
      <w:divBdr>
        <w:top w:val="none" w:sz="0" w:space="0" w:color="auto"/>
        <w:left w:val="none" w:sz="0" w:space="0" w:color="auto"/>
        <w:bottom w:val="none" w:sz="0" w:space="0" w:color="auto"/>
        <w:right w:val="none" w:sz="0" w:space="0" w:color="auto"/>
      </w:divBdr>
    </w:div>
    <w:div w:id="52195982">
      <w:bodyDiv w:val="1"/>
      <w:marLeft w:val="0"/>
      <w:marRight w:val="0"/>
      <w:marTop w:val="0"/>
      <w:marBottom w:val="0"/>
      <w:divBdr>
        <w:top w:val="none" w:sz="0" w:space="0" w:color="auto"/>
        <w:left w:val="none" w:sz="0" w:space="0" w:color="auto"/>
        <w:bottom w:val="none" w:sz="0" w:space="0" w:color="auto"/>
        <w:right w:val="none" w:sz="0" w:space="0" w:color="auto"/>
      </w:divBdr>
    </w:div>
    <w:div w:id="52823736">
      <w:bodyDiv w:val="1"/>
      <w:marLeft w:val="0"/>
      <w:marRight w:val="0"/>
      <w:marTop w:val="0"/>
      <w:marBottom w:val="0"/>
      <w:divBdr>
        <w:top w:val="none" w:sz="0" w:space="0" w:color="auto"/>
        <w:left w:val="none" w:sz="0" w:space="0" w:color="auto"/>
        <w:bottom w:val="none" w:sz="0" w:space="0" w:color="auto"/>
        <w:right w:val="none" w:sz="0" w:space="0" w:color="auto"/>
      </w:divBdr>
    </w:div>
    <w:div w:id="52968195">
      <w:bodyDiv w:val="1"/>
      <w:marLeft w:val="0"/>
      <w:marRight w:val="0"/>
      <w:marTop w:val="0"/>
      <w:marBottom w:val="0"/>
      <w:divBdr>
        <w:top w:val="none" w:sz="0" w:space="0" w:color="auto"/>
        <w:left w:val="none" w:sz="0" w:space="0" w:color="auto"/>
        <w:bottom w:val="none" w:sz="0" w:space="0" w:color="auto"/>
        <w:right w:val="none" w:sz="0" w:space="0" w:color="auto"/>
      </w:divBdr>
    </w:div>
    <w:div w:id="54469632">
      <w:bodyDiv w:val="1"/>
      <w:marLeft w:val="0"/>
      <w:marRight w:val="0"/>
      <w:marTop w:val="0"/>
      <w:marBottom w:val="0"/>
      <w:divBdr>
        <w:top w:val="none" w:sz="0" w:space="0" w:color="auto"/>
        <w:left w:val="none" w:sz="0" w:space="0" w:color="auto"/>
        <w:bottom w:val="none" w:sz="0" w:space="0" w:color="auto"/>
        <w:right w:val="none" w:sz="0" w:space="0" w:color="auto"/>
      </w:divBdr>
    </w:div>
    <w:div w:id="55133656">
      <w:bodyDiv w:val="1"/>
      <w:marLeft w:val="0"/>
      <w:marRight w:val="0"/>
      <w:marTop w:val="0"/>
      <w:marBottom w:val="0"/>
      <w:divBdr>
        <w:top w:val="none" w:sz="0" w:space="0" w:color="auto"/>
        <w:left w:val="none" w:sz="0" w:space="0" w:color="auto"/>
        <w:bottom w:val="none" w:sz="0" w:space="0" w:color="auto"/>
        <w:right w:val="none" w:sz="0" w:space="0" w:color="auto"/>
      </w:divBdr>
    </w:div>
    <w:div w:id="55471221">
      <w:bodyDiv w:val="1"/>
      <w:marLeft w:val="0"/>
      <w:marRight w:val="0"/>
      <w:marTop w:val="0"/>
      <w:marBottom w:val="0"/>
      <w:divBdr>
        <w:top w:val="none" w:sz="0" w:space="0" w:color="auto"/>
        <w:left w:val="none" w:sz="0" w:space="0" w:color="auto"/>
        <w:bottom w:val="none" w:sz="0" w:space="0" w:color="auto"/>
        <w:right w:val="none" w:sz="0" w:space="0" w:color="auto"/>
      </w:divBdr>
    </w:div>
    <w:div w:id="56245526">
      <w:bodyDiv w:val="1"/>
      <w:marLeft w:val="0"/>
      <w:marRight w:val="0"/>
      <w:marTop w:val="0"/>
      <w:marBottom w:val="0"/>
      <w:divBdr>
        <w:top w:val="none" w:sz="0" w:space="0" w:color="auto"/>
        <w:left w:val="none" w:sz="0" w:space="0" w:color="auto"/>
        <w:bottom w:val="none" w:sz="0" w:space="0" w:color="auto"/>
        <w:right w:val="none" w:sz="0" w:space="0" w:color="auto"/>
      </w:divBdr>
    </w:div>
    <w:div w:id="57634071">
      <w:bodyDiv w:val="1"/>
      <w:marLeft w:val="0"/>
      <w:marRight w:val="0"/>
      <w:marTop w:val="0"/>
      <w:marBottom w:val="0"/>
      <w:divBdr>
        <w:top w:val="none" w:sz="0" w:space="0" w:color="auto"/>
        <w:left w:val="none" w:sz="0" w:space="0" w:color="auto"/>
        <w:bottom w:val="none" w:sz="0" w:space="0" w:color="auto"/>
        <w:right w:val="none" w:sz="0" w:space="0" w:color="auto"/>
      </w:divBdr>
    </w:div>
    <w:div w:id="58986591">
      <w:bodyDiv w:val="1"/>
      <w:marLeft w:val="0"/>
      <w:marRight w:val="0"/>
      <w:marTop w:val="0"/>
      <w:marBottom w:val="0"/>
      <w:divBdr>
        <w:top w:val="none" w:sz="0" w:space="0" w:color="auto"/>
        <w:left w:val="none" w:sz="0" w:space="0" w:color="auto"/>
        <w:bottom w:val="none" w:sz="0" w:space="0" w:color="auto"/>
        <w:right w:val="none" w:sz="0" w:space="0" w:color="auto"/>
      </w:divBdr>
    </w:div>
    <w:div w:id="60520737">
      <w:bodyDiv w:val="1"/>
      <w:marLeft w:val="0"/>
      <w:marRight w:val="0"/>
      <w:marTop w:val="0"/>
      <w:marBottom w:val="0"/>
      <w:divBdr>
        <w:top w:val="none" w:sz="0" w:space="0" w:color="auto"/>
        <w:left w:val="none" w:sz="0" w:space="0" w:color="auto"/>
        <w:bottom w:val="none" w:sz="0" w:space="0" w:color="auto"/>
        <w:right w:val="none" w:sz="0" w:space="0" w:color="auto"/>
      </w:divBdr>
    </w:div>
    <w:div w:id="63070199">
      <w:bodyDiv w:val="1"/>
      <w:marLeft w:val="0"/>
      <w:marRight w:val="0"/>
      <w:marTop w:val="0"/>
      <w:marBottom w:val="0"/>
      <w:divBdr>
        <w:top w:val="none" w:sz="0" w:space="0" w:color="auto"/>
        <w:left w:val="none" w:sz="0" w:space="0" w:color="auto"/>
        <w:bottom w:val="none" w:sz="0" w:space="0" w:color="auto"/>
        <w:right w:val="none" w:sz="0" w:space="0" w:color="auto"/>
      </w:divBdr>
    </w:div>
    <w:div w:id="63532921">
      <w:bodyDiv w:val="1"/>
      <w:marLeft w:val="0"/>
      <w:marRight w:val="0"/>
      <w:marTop w:val="0"/>
      <w:marBottom w:val="0"/>
      <w:divBdr>
        <w:top w:val="none" w:sz="0" w:space="0" w:color="auto"/>
        <w:left w:val="none" w:sz="0" w:space="0" w:color="auto"/>
        <w:bottom w:val="none" w:sz="0" w:space="0" w:color="auto"/>
        <w:right w:val="none" w:sz="0" w:space="0" w:color="auto"/>
      </w:divBdr>
    </w:div>
    <w:div w:id="64643498">
      <w:bodyDiv w:val="1"/>
      <w:marLeft w:val="0"/>
      <w:marRight w:val="0"/>
      <w:marTop w:val="0"/>
      <w:marBottom w:val="0"/>
      <w:divBdr>
        <w:top w:val="none" w:sz="0" w:space="0" w:color="auto"/>
        <w:left w:val="none" w:sz="0" w:space="0" w:color="auto"/>
        <w:bottom w:val="none" w:sz="0" w:space="0" w:color="auto"/>
        <w:right w:val="none" w:sz="0" w:space="0" w:color="auto"/>
      </w:divBdr>
    </w:div>
    <w:div w:id="66002438">
      <w:bodyDiv w:val="1"/>
      <w:marLeft w:val="0"/>
      <w:marRight w:val="0"/>
      <w:marTop w:val="0"/>
      <w:marBottom w:val="0"/>
      <w:divBdr>
        <w:top w:val="none" w:sz="0" w:space="0" w:color="auto"/>
        <w:left w:val="none" w:sz="0" w:space="0" w:color="auto"/>
        <w:bottom w:val="none" w:sz="0" w:space="0" w:color="auto"/>
        <w:right w:val="none" w:sz="0" w:space="0" w:color="auto"/>
      </w:divBdr>
    </w:div>
    <w:div w:id="67306399">
      <w:bodyDiv w:val="1"/>
      <w:marLeft w:val="0"/>
      <w:marRight w:val="0"/>
      <w:marTop w:val="0"/>
      <w:marBottom w:val="0"/>
      <w:divBdr>
        <w:top w:val="none" w:sz="0" w:space="0" w:color="auto"/>
        <w:left w:val="none" w:sz="0" w:space="0" w:color="auto"/>
        <w:bottom w:val="none" w:sz="0" w:space="0" w:color="auto"/>
        <w:right w:val="none" w:sz="0" w:space="0" w:color="auto"/>
      </w:divBdr>
    </w:div>
    <w:div w:id="67728924">
      <w:bodyDiv w:val="1"/>
      <w:marLeft w:val="0"/>
      <w:marRight w:val="0"/>
      <w:marTop w:val="0"/>
      <w:marBottom w:val="0"/>
      <w:divBdr>
        <w:top w:val="none" w:sz="0" w:space="0" w:color="auto"/>
        <w:left w:val="none" w:sz="0" w:space="0" w:color="auto"/>
        <w:bottom w:val="none" w:sz="0" w:space="0" w:color="auto"/>
        <w:right w:val="none" w:sz="0" w:space="0" w:color="auto"/>
      </w:divBdr>
    </w:div>
    <w:div w:id="67770968">
      <w:bodyDiv w:val="1"/>
      <w:marLeft w:val="0"/>
      <w:marRight w:val="0"/>
      <w:marTop w:val="0"/>
      <w:marBottom w:val="0"/>
      <w:divBdr>
        <w:top w:val="none" w:sz="0" w:space="0" w:color="auto"/>
        <w:left w:val="none" w:sz="0" w:space="0" w:color="auto"/>
        <w:bottom w:val="none" w:sz="0" w:space="0" w:color="auto"/>
        <w:right w:val="none" w:sz="0" w:space="0" w:color="auto"/>
      </w:divBdr>
    </w:div>
    <w:div w:id="68818039">
      <w:bodyDiv w:val="1"/>
      <w:marLeft w:val="0"/>
      <w:marRight w:val="0"/>
      <w:marTop w:val="0"/>
      <w:marBottom w:val="0"/>
      <w:divBdr>
        <w:top w:val="none" w:sz="0" w:space="0" w:color="auto"/>
        <w:left w:val="none" w:sz="0" w:space="0" w:color="auto"/>
        <w:bottom w:val="none" w:sz="0" w:space="0" w:color="auto"/>
        <w:right w:val="none" w:sz="0" w:space="0" w:color="auto"/>
      </w:divBdr>
    </w:div>
    <w:div w:id="68890180">
      <w:bodyDiv w:val="1"/>
      <w:marLeft w:val="0"/>
      <w:marRight w:val="0"/>
      <w:marTop w:val="0"/>
      <w:marBottom w:val="0"/>
      <w:divBdr>
        <w:top w:val="none" w:sz="0" w:space="0" w:color="auto"/>
        <w:left w:val="none" w:sz="0" w:space="0" w:color="auto"/>
        <w:bottom w:val="none" w:sz="0" w:space="0" w:color="auto"/>
        <w:right w:val="none" w:sz="0" w:space="0" w:color="auto"/>
      </w:divBdr>
    </w:div>
    <w:div w:id="69010061">
      <w:bodyDiv w:val="1"/>
      <w:marLeft w:val="0"/>
      <w:marRight w:val="0"/>
      <w:marTop w:val="0"/>
      <w:marBottom w:val="0"/>
      <w:divBdr>
        <w:top w:val="none" w:sz="0" w:space="0" w:color="auto"/>
        <w:left w:val="none" w:sz="0" w:space="0" w:color="auto"/>
        <w:bottom w:val="none" w:sz="0" w:space="0" w:color="auto"/>
        <w:right w:val="none" w:sz="0" w:space="0" w:color="auto"/>
      </w:divBdr>
    </w:div>
    <w:div w:id="73094048">
      <w:bodyDiv w:val="1"/>
      <w:marLeft w:val="0"/>
      <w:marRight w:val="0"/>
      <w:marTop w:val="0"/>
      <w:marBottom w:val="0"/>
      <w:divBdr>
        <w:top w:val="none" w:sz="0" w:space="0" w:color="auto"/>
        <w:left w:val="none" w:sz="0" w:space="0" w:color="auto"/>
        <w:bottom w:val="none" w:sz="0" w:space="0" w:color="auto"/>
        <w:right w:val="none" w:sz="0" w:space="0" w:color="auto"/>
      </w:divBdr>
    </w:div>
    <w:div w:id="74593356">
      <w:bodyDiv w:val="1"/>
      <w:marLeft w:val="0"/>
      <w:marRight w:val="0"/>
      <w:marTop w:val="0"/>
      <w:marBottom w:val="0"/>
      <w:divBdr>
        <w:top w:val="none" w:sz="0" w:space="0" w:color="auto"/>
        <w:left w:val="none" w:sz="0" w:space="0" w:color="auto"/>
        <w:bottom w:val="none" w:sz="0" w:space="0" w:color="auto"/>
        <w:right w:val="none" w:sz="0" w:space="0" w:color="auto"/>
      </w:divBdr>
    </w:div>
    <w:div w:id="77023236">
      <w:bodyDiv w:val="1"/>
      <w:marLeft w:val="0"/>
      <w:marRight w:val="0"/>
      <w:marTop w:val="0"/>
      <w:marBottom w:val="0"/>
      <w:divBdr>
        <w:top w:val="none" w:sz="0" w:space="0" w:color="auto"/>
        <w:left w:val="none" w:sz="0" w:space="0" w:color="auto"/>
        <w:bottom w:val="none" w:sz="0" w:space="0" w:color="auto"/>
        <w:right w:val="none" w:sz="0" w:space="0" w:color="auto"/>
      </w:divBdr>
    </w:div>
    <w:div w:id="77145050">
      <w:bodyDiv w:val="1"/>
      <w:marLeft w:val="0"/>
      <w:marRight w:val="0"/>
      <w:marTop w:val="0"/>
      <w:marBottom w:val="0"/>
      <w:divBdr>
        <w:top w:val="none" w:sz="0" w:space="0" w:color="auto"/>
        <w:left w:val="none" w:sz="0" w:space="0" w:color="auto"/>
        <w:bottom w:val="none" w:sz="0" w:space="0" w:color="auto"/>
        <w:right w:val="none" w:sz="0" w:space="0" w:color="auto"/>
      </w:divBdr>
    </w:div>
    <w:div w:id="77215780">
      <w:bodyDiv w:val="1"/>
      <w:marLeft w:val="0"/>
      <w:marRight w:val="0"/>
      <w:marTop w:val="0"/>
      <w:marBottom w:val="0"/>
      <w:divBdr>
        <w:top w:val="none" w:sz="0" w:space="0" w:color="auto"/>
        <w:left w:val="none" w:sz="0" w:space="0" w:color="auto"/>
        <w:bottom w:val="none" w:sz="0" w:space="0" w:color="auto"/>
        <w:right w:val="none" w:sz="0" w:space="0" w:color="auto"/>
      </w:divBdr>
    </w:div>
    <w:div w:id="78908596">
      <w:bodyDiv w:val="1"/>
      <w:marLeft w:val="0"/>
      <w:marRight w:val="0"/>
      <w:marTop w:val="0"/>
      <w:marBottom w:val="0"/>
      <w:divBdr>
        <w:top w:val="none" w:sz="0" w:space="0" w:color="auto"/>
        <w:left w:val="none" w:sz="0" w:space="0" w:color="auto"/>
        <w:bottom w:val="none" w:sz="0" w:space="0" w:color="auto"/>
        <w:right w:val="none" w:sz="0" w:space="0" w:color="auto"/>
      </w:divBdr>
    </w:div>
    <w:div w:id="80028949">
      <w:bodyDiv w:val="1"/>
      <w:marLeft w:val="0"/>
      <w:marRight w:val="0"/>
      <w:marTop w:val="0"/>
      <w:marBottom w:val="0"/>
      <w:divBdr>
        <w:top w:val="none" w:sz="0" w:space="0" w:color="auto"/>
        <w:left w:val="none" w:sz="0" w:space="0" w:color="auto"/>
        <w:bottom w:val="none" w:sz="0" w:space="0" w:color="auto"/>
        <w:right w:val="none" w:sz="0" w:space="0" w:color="auto"/>
      </w:divBdr>
    </w:div>
    <w:div w:id="80806625">
      <w:bodyDiv w:val="1"/>
      <w:marLeft w:val="0"/>
      <w:marRight w:val="0"/>
      <w:marTop w:val="0"/>
      <w:marBottom w:val="0"/>
      <w:divBdr>
        <w:top w:val="none" w:sz="0" w:space="0" w:color="auto"/>
        <w:left w:val="none" w:sz="0" w:space="0" w:color="auto"/>
        <w:bottom w:val="none" w:sz="0" w:space="0" w:color="auto"/>
        <w:right w:val="none" w:sz="0" w:space="0" w:color="auto"/>
      </w:divBdr>
    </w:div>
    <w:div w:id="80875899">
      <w:bodyDiv w:val="1"/>
      <w:marLeft w:val="0"/>
      <w:marRight w:val="0"/>
      <w:marTop w:val="0"/>
      <w:marBottom w:val="0"/>
      <w:divBdr>
        <w:top w:val="none" w:sz="0" w:space="0" w:color="auto"/>
        <w:left w:val="none" w:sz="0" w:space="0" w:color="auto"/>
        <w:bottom w:val="none" w:sz="0" w:space="0" w:color="auto"/>
        <w:right w:val="none" w:sz="0" w:space="0" w:color="auto"/>
      </w:divBdr>
    </w:div>
    <w:div w:id="81536447">
      <w:bodyDiv w:val="1"/>
      <w:marLeft w:val="0"/>
      <w:marRight w:val="0"/>
      <w:marTop w:val="0"/>
      <w:marBottom w:val="0"/>
      <w:divBdr>
        <w:top w:val="none" w:sz="0" w:space="0" w:color="auto"/>
        <w:left w:val="none" w:sz="0" w:space="0" w:color="auto"/>
        <w:bottom w:val="none" w:sz="0" w:space="0" w:color="auto"/>
        <w:right w:val="none" w:sz="0" w:space="0" w:color="auto"/>
      </w:divBdr>
    </w:div>
    <w:div w:id="81683276">
      <w:bodyDiv w:val="1"/>
      <w:marLeft w:val="0"/>
      <w:marRight w:val="0"/>
      <w:marTop w:val="0"/>
      <w:marBottom w:val="0"/>
      <w:divBdr>
        <w:top w:val="none" w:sz="0" w:space="0" w:color="auto"/>
        <w:left w:val="none" w:sz="0" w:space="0" w:color="auto"/>
        <w:bottom w:val="none" w:sz="0" w:space="0" w:color="auto"/>
        <w:right w:val="none" w:sz="0" w:space="0" w:color="auto"/>
      </w:divBdr>
    </w:div>
    <w:div w:id="82383787">
      <w:bodyDiv w:val="1"/>
      <w:marLeft w:val="0"/>
      <w:marRight w:val="0"/>
      <w:marTop w:val="0"/>
      <w:marBottom w:val="0"/>
      <w:divBdr>
        <w:top w:val="none" w:sz="0" w:space="0" w:color="auto"/>
        <w:left w:val="none" w:sz="0" w:space="0" w:color="auto"/>
        <w:bottom w:val="none" w:sz="0" w:space="0" w:color="auto"/>
        <w:right w:val="none" w:sz="0" w:space="0" w:color="auto"/>
      </w:divBdr>
    </w:div>
    <w:div w:id="82604650">
      <w:bodyDiv w:val="1"/>
      <w:marLeft w:val="0"/>
      <w:marRight w:val="0"/>
      <w:marTop w:val="0"/>
      <w:marBottom w:val="0"/>
      <w:divBdr>
        <w:top w:val="none" w:sz="0" w:space="0" w:color="auto"/>
        <w:left w:val="none" w:sz="0" w:space="0" w:color="auto"/>
        <w:bottom w:val="none" w:sz="0" w:space="0" w:color="auto"/>
        <w:right w:val="none" w:sz="0" w:space="0" w:color="auto"/>
      </w:divBdr>
    </w:div>
    <w:div w:id="83693505">
      <w:bodyDiv w:val="1"/>
      <w:marLeft w:val="0"/>
      <w:marRight w:val="0"/>
      <w:marTop w:val="0"/>
      <w:marBottom w:val="0"/>
      <w:divBdr>
        <w:top w:val="none" w:sz="0" w:space="0" w:color="auto"/>
        <w:left w:val="none" w:sz="0" w:space="0" w:color="auto"/>
        <w:bottom w:val="none" w:sz="0" w:space="0" w:color="auto"/>
        <w:right w:val="none" w:sz="0" w:space="0" w:color="auto"/>
      </w:divBdr>
    </w:div>
    <w:div w:id="85227070">
      <w:bodyDiv w:val="1"/>
      <w:marLeft w:val="0"/>
      <w:marRight w:val="0"/>
      <w:marTop w:val="0"/>
      <w:marBottom w:val="0"/>
      <w:divBdr>
        <w:top w:val="none" w:sz="0" w:space="0" w:color="auto"/>
        <w:left w:val="none" w:sz="0" w:space="0" w:color="auto"/>
        <w:bottom w:val="none" w:sz="0" w:space="0" w:color="auto"/>
        <w:right w:val="none" w:sz="0" w:space="0" w:color="auto"/>
      </w:divBdr>
    </w:div>
    <w:div w:id="85927771">
      <w:bodyDiv w:val="1"/>
      <w:marLeft w:val="0"/>
      <w:marRight w:val="0"/>
      <w:marTop w:val="0"/>
      <w:marBottom w:val="0"/>
      <w:divBdr>
        <w:top w:val="none" w:sz="0" w:space="0" w:color="auto"/>
        <w:left w:val="none" w:sz="0" w:space="0" w:color="auto"/>
        <w:bottom w:val="none" w:sz="0" w:space="0" w:color="auto"/>
        <w:right w:val="none" w:sz="0" w:space="0" w:color="auto"/>
      </w:divBdr>
    </w:div>
    <w:div w:id="88087088">
      <w:bodyDiv w:val="1"/>
      <w:marLeft w:val="0"/>
      <w:marRight w:val="0"/>
      <w:marTop w:val="0"/>
      <w:marBottom w:val="0"/>
      <w:divBdr>
        <w:top w:val="none" w:sz="0" w:space="0" w:color="auto"/>
        <w:left w:val="none" w:sz="0" w:space="0" w:color="auto"/>
        <w:bottom w:val="none" w:sz="0" w:space="0" w:color="auto"/>
        <w:right w:val="none" w:sz="0" w:space="0" w:color="auto"/>
      </w:divBdr>
    </w:div>
    <w:div w:id="89588811">
      <w:bodyDiv w:val="1"/>
      <w:marLeft w:val="0"/>
      <w:marRight w:val="0"/>
      <w:marTop w:val="0"/>
      <w:marBottom w:val="0"/>
      <w:divBdr>
        <w:top w:val="none" w:sz="0" w:space="0" w:color="auto"/>
        <w:left w:val="none" w:sz="0" w:space="0" w:color="auto"/>
        <w:bottom w:val="none" w:sz="0" w:space="0" w:color="auto"/>
        <w:right w:val="none" w:sz="0" w:space="0" w:color="auto"/>
      </w:divBdr>
    </w:div>
    <w:div w:id="91047604">
      <w:bodyDiv w:val="1"/>
      <w:marLeft w:val="0"/>
      <w:marRight w:val="0"/>
      <w:marTop w:val="0"/>
      <w:marBottom w:val="0"/>
      <w:divBdr>
        <w:top w:val="none" w:sz="0" w:space="0" w:color="auto"/>
        <w:left w:val="none" w:sz="0" w:space="0" w:color="auto"/>
        <w:bottom w:val="none" w:sz="0" w:space="0" w:color="auto"/>
        <w:right w:val="none" w:sz="0" w:space="0" w:color="auto"/>
      </w:divBdr>
    </w:div>
    <w:div w:id="92362037">
      <w:bodyDiv w:val="1"/>
      <w:marLeft w:val="0"/>
      <w:marRight w:val="0"/>
      <w:marTop w:val="0"/>
      <w:marBottom w:val="0"/>
      <w:divBdr>
        <w:top w:val="none" w:sz="0" w:space="0" w:color="auto"/>
        <w:left w:val="none" w:sz="0" w:space="0" w:color="auto"/>
        <w:bottom w:val="none" w:sz="0" w:space="0" w:color="auto"/>
        <w:right w:val="none" w:sz="0" w:space="0" w:color="auto"/>
      </w:divBdr>
    </w:div>
    <w:div w:id="93594200">
      <w:bodyDiv w:val="1"/>
      <w:marLeft w:val="0"/>
      <w:marRight w:val="0"/>
      <w:marTop w:val="0"/>
      <w:marBottom w:val="0"/>
      <w:divBdr>
        <w:top w:val="none" w:sz="0" w:space="0" w:color="auto"/>
        <w:left w:val="none" w:sz="0" w:space="0" w:color="auto"/>
        <w:bottom w:val="none" w:sz="0" w:space="0" w:color="auto"/>
        <w:right w:val="none" w:sz="0" w:space="0" w:color="auto"/>
      </w:divBdr>
    </w:div>
    <w:div w:id="95250269">
      <w:bodyDiv w:val="1"/>
      <w:marLeft w:val="0"/>
      <w:marRight w:val="0"/>
      <w:marTop w:val="0"/>
      <w:marBottom w:val="0"/>
      <w:divBdr>
        <w:top w:val="none" w:sz="0" w:space="0" w:color="auto"/>
        <w:left w:val="none" w:sz="0" w:space="0" w:color="auto"/>
        <w:bottom w:val="none" w:sz="0" w:space="0" w:color="auto"/>
        <w:right w:val="none" w:sz="0" w:space="0" w:color="auto"/>
      </w:divBdr>
    </w:div>
    <w:div w:id="95366207">
      <w:bodyDiv w:val="1"/>
      <w:marLeft w:val="0"/>
      <w:marRight w:val="0"/>
      <w:marTop w:val="0"/>
      <w:marBottom w:val="0"/>
      <w:divBdr>
        <w:top w:val="none" w:sz="0" w:space="0" w:color="auto"/>
        <w:left w:val="none" w:sz="0" w:space="0" w:color="auto"/>
        <w:bottom w:val="none" w:sz="0" w:space="0" w:color="auto"/>
        <w:right w:val="none" w:sz="0" w:space="0" w:color="auto"/>
      </w:divBdr>
    </w:div>
    <w:div w:id="98184820">
      <w:bodyDiv w:val="1"/>
      <w:marLeft w:val="0"/>
      <w:marRight w:val="0"/>
      <w:marTop w:val="0"/>
      <w:marBottom w:val="0"/>
      <w:divBdr>
        <w:top w:val="none" w:sz="0" w:space="0" w:color="auto"/>
        <w:left w:val="none" w:sz="0" w:space="0" w:color="auto"/>
        <w:bottom w:val="none" w:sz="0" w:space="0" w:color="auto"/>
        <w:right w:val="none" w:sz="0" w:space="0" w:color="auto"/>
      </w:divBdr>
    </w:div>
    <w:div w:id="98912588">
      <w:bodyDiv w:val="1"/>
      <w:marLeft w:val="0"/>
      <w:marRight w:val="0"/>
      <w:marTop w:val="0"/>
      <w:marBottom w:val="0"/>
      <w:divBdr>
        <w:top w:val="none" w:sz="0" w:space="0" w:color="auto"/>
        <w:left w:val="none" w:sz="0" w:space="0" w:color="auto"/>
        <w:bottom w:val="none" w:sz="0" w:space="0" w:color="auto"/>
        <w:right w:val="none" w:sz="0" w:space="0" w:color="auto"/>
      </w:divBdr>
    </w:div>
    <w:div w:id="99186409">
      <w:bodyDiv w:val="1"/>
      <w:marLeft w:val="0"/>
      <w:marRight w:val="0"/>
      <w:marTop w:val="0"/>
      <w:marBottom w:val="0"/>
      <w:divBdr>
        <w:top w:val="none" w:sz="0" w:space="0" w:color="auto"/>
        <w:left w:val="none" w:sz="0" w:space="0" w:color="auto"/>
        <w:bottom w:val="none" w:sz="0" w:space="0" w:color="auto"/>
        <w:right w:val="none" w:sz="0" w:space="0" w:color="auto"/>
      </w:divBdr>
    </w:div>
    <w:div w:id="101607094">
      <w:bodyDiv w:val="1"/>
      <w:marLeft w:val="0"/>
      <w:marRight w:val="0"/>
      <w:marTop w:val="0"/>
      <w:marBottom w:val="0"/>
      <w:divBdr>
        <w:top w:val="none" w:sz="0" w:space="0" w:color="auto"/>
        <w:left w:val="none" w:sz="0" w:space="0" w:color="auto"/>
        <w:bottom w:val="none" w:sz="0" w:space="0" w:color="auto"/>
        <w:right w:val="none" w:sz="0" w:space="0" w:color="auto"/>
      </w:divBdr>
    </w:div>
    <w:div w:id="101994237">
      <w:bodyDiv w:val="1"/>
      <w:marLeft w:val="0"/>
      <w:marRight w:val="0"/>
      <w:marTop w:val="0"/>
      <w:marBottom w:val="0"/>
      <w:divBdr>
        <w:top w:val="none" w:sz="0" w:space="0" w:color="auto"/>
        <w:left w:val="none" w:sz="0" w:space="0" w:color="auto"/>
        <w:bottom w:val="none" w:sz="0" w:space="0" w:color="auto"/>
        <w:right w:val="none" w:sz="0" w:space="0" w:color="auto"/>
      </w:divBdr>
    </w:div>
    <w:div w:id="104161701">
      <w:bodyDiv w:val="1"/>
      <w:marLeft w:val="0"/>
      <w:marRight w:val="0"/>
      <w:marTop w:val="0"/>
      <w:marBottom w:val="0"/>
      <w:divBdr>
        <w:top w:val="none" w:sz="0" w:space="0" w:color="auto"/>
        <w:left w:val="none" w:sz="0" w:space="0" w:color="auto"/>
        <w:bottom w:val="none" w:sz="0" w:space="0" w:color="auto"/>
        <w:right w:val="none" w:sz="0" w:space="0" w:color="auto"/>
      </w:divBdr>
    </w:div>
    <w:div w:id="104429339">
      <w:bodyDiv w:val="1"/>
      <w:marLeft w:val="0"/>
      <w:marRight w:val="0"/>
      <w:marTop w:val="0"/>
      <w:marBottom w:val="0"/>
      <w:divBdr>
        <w:top w:val="none" w:sz="0" w:space="0" w:color="auto"/>
        <w:left w:val="none" w:sz="0" w:space="0" w:color="auto"/>
        <w:bottom w:val="none" w:sz="0" w:space="0" w:color="auto"/>
        <w:right w:val="none" w:sz="0" w:space="0" w:color="auto"/>
      </w:divBdr>
    </w:div>
    <w:div w:id="104618969">
      <w:bodyDiv w:val="1"/>
      <w:marLeft w:val="0"/>
      <w:marRight w:val="0"/>
      <w:marTop w:val="0"/>
      <w:marBottom w:val="0"/>
      <w:divBdr>
        <w:top w:val="none" w:sz="0" w:space="0" w:color="auto"/>
        <w:left w:val="none" w:sz="0" w:space="0" w:color="auto"/>
        <w:bottom w:val="none" w:sz="0" w:space="0" w:color="auto"/>
        <w:right w:val="none" w:sz="0" w:space="0" w:color="auto"/>
      </w:divBdr>
    </w:div>
    <w:div w:id="105278422">
      <w:bodyDiv w:val="1"/>
      <w:marLeft w:val="0"/>
      <w:marRight w:val="0"/>
      <w:marTop w:val="0"/>
      <w:marBottom w:val="0"/>
      <w:divBdr>
        <w:top w:val="none" w:sz="0" w:space="0" w:color="auto"/>
        <w:left w:val="none" w:sz="0" w:space="0" w:color="auto"/>
        <w:bottom w:val="none" w:sz="0" w:space="0" w:color="auto"/>
        <w:right w:val="none" w:sz="0" w:space="0" w:color="auto"/>
      </w:divBdr>
    </w:div>
    <w:div w:id="105581842">
      <w:bodyDiv w:val="1"/>
      <w:marLeft w:val="0"/>
      <w:marRight w:val="0"/>
      <w:marTop w:val="0"/>
      <w:marBottom w:val="0"/>
      <w:divBdr>
        <w:top w:val="none" w:sz="0" w:space="0" w:color="auto"/>
        <w:left w:val="none" w:sz="0" w:space="0" w:color="auto"/>
        <w:bottom w:val="none" w:sz="0" w:space="0" w:color="auto"/>
        <w:right w:val="none" w:sz="0" w:space="0" w:color="auto"/>
      </w:divBdr>
    </w:div>
    <w:div w:id="105783387">
      <w:bodyDiv w:val="1"/>
      <w:marLeft w:val="0"/>
      <w:marRight w:val="0"/>
      <w:marTop w:val="0"/>
      <w:marBottom w:val="0"/>
      <w:divBdr>
        <w:top w:val="none" w:sz="0" w:space="0" w:color="auto"/>
        <w:left w:val="none" w:sz="0" w:space="0" w:color="auto"/>
        <w:bottom w:val="none" w:sz="0" w:space="0" w:color="auto"/>
        <w:right w:val="none" w:sz="0" w:space="0" w:color="auto"/>
      </w:divBdr>
    </w:div>
    <w:div w:id="105925991">
      <w:bodyDiv w:val="1"/>
      <w:marLeft w:val="0"/>
      <w:marRight w:val="0"/>
      <w:marTop w:val="0"/>
      <w:marBottom w:val="0"/>
      <w:divBdr>
        <w:top w:val="none" w:sz="0" w:space="0" w:color="auto"/>
        <w:left w:val="none" w:sz="0" w:space="0" w:color="auto"/>
        <w:bottom w:val="none" w:sz="0" w:space="0" w:color="auto"/>
        <w:right w:val="none" w:sz="0" w:space="0" w:color="auto"/>
      </w:divBdr>
    </w:div>
    <w:div w:id="106312174">
      <w:bodyDiv w:val="1"/>
      <w:marLeft w:val="0"/>
      <w:marRight w:val="0"/>
      <w:marTop w:val="0"/>
      <w:marBottom w:val="0"/>
      <w:divBdr>
        <w:top w:val="none" w:sz="0" w:space="0" w:color="auto"/>
        <w:left w:val="none" w:sz="0" w:space="0" w:color="auto"/>
        <w:bottom w:val="none" w:sz="0" w:space="0" w:color="auto"/>
        <w:right w:val="none" w:sz="0" w:space="0" w:color="auto"/>
      </w:divBdr>
    </w:div>
    <w:div w:id="108358833">
      <w:bodyDiv w:val="1"/>
      <w:marLeft w:val="0"/>
      <w:marRight w:val="0"/>
      <w:marTop w:val="0"/>
      <w:marBottom w:val="0"/>
      <w:divBdr>
        <w:top w:val="none" w:sz="0" w:space="0" w:color="auto"/>
        <w:left w:val="none" w:sz="0" w:space="0" w:color="auto"/>
        <w:bottom w:val="none" w:sz="0" w:space="0" w:color="auto"/>
        <w:right w:val="none" w:sz="0" w:space="0" w:color="auto"/>
      </w:divBdr>
    </w:div>
    <w:div w:id="109010336">
      <w:bodyDiv w:val="1"/>
      <w:marLeft w:val="0"/>
      <w:marRight w:val="0"/>
      <w:marTop w:val="0"/>
      <w:marBottom w:val="0"/>
      <w:divBdr>
        <w:top w:val="none" w:sz="0" w:space="0" w:color="auto"/>
        <w:left w:val="none" w:sz="0" w:space="0" w:color="auto"/>
        <w:bottom w:val="none" w:sz="0" w:space="0" w:color="auto"/>
        <w:right w:val="none" w:sz="0" w:space="0" w:color="auto"/>
      </w:divBdr>
    </w:div>
    <w:div w:id="110175340">
      <w:bodyDiv w:val="1"/>
      <w:marLeft w:val="0"/>
      <w:marRight w:val="0"/>
      <w:marTop w:val="0"/>
      <w:marBottom w:val="0"/>
      <w:divBdr>
        <w:top w:val="none" w:sz="0" w:space="0" w:color="auto"/>
        <w:left w:val="none" w:sz="0" w:space="0" w:color="auto"/>
        <w:bottom w:val="none" w:sz="0" w:space="0" w:color="auto"/>
        <w:right w:val="none" w:sz="0" w:space="0" w:color="auto"/>
      </w:divBdr>
    </w:div>
    <w:div w:id="111946452">
      <w:bodyDiv w:val="1"/>
      <w:marLeft w:val="0"/>
      <w:marRight w:val="0"/>
      <w:marTop w:val="0"/>
      <w:marBottom w:val="0"/>
      <w:divBdr>
        <w:top w:val="none" w:sz="0" w:space="0" w:color="auto"/>
        <w:left w:val="none" w:sz="0" w:space="0" w:color="auto"/>
        <w:bottom w:val="none" w:sz="0" w:space="0" w:color="auto"/>
        <w:right w:val="none" w:sz="0" w:space="0" w:color="auto"/>
      </w:divBdr>
    </w:div>
    <w:div w:id="112528810">
      <w:bodyDiv w:val="1"/>
      <w:marLeft w:val="0"/>
      <w:marRight w:val="0"/>
      <w:marTop w:val="0"/>
      <w:marBottom w:val="0"/>
      <w:divBdr>
        <w:top w:val="none" w:sz="0" w:space="0" w:color="auto"/>
        <w:left w:val="none" w:sz="0" w:space="0" w:color="auto"/>
        <w:bottom w:val="none" w:sz="0" w:space="0" w:color="auto"/>
        <w:right w:val="none" w:sz="0" w:space="0" w:color="auto"/>
      </w:divBdr>
    </w:div>
    <w:div w:id="116222904">
      <w:bodyDiv w:val="1"/>
      <w:marLeft w:val="0"/>
      <w:marRight w:val="0"/>
      <w:marTop w:val="0"/>
      <w:marBottom w:val="0"/>
      <w:divBdr>
        <w:top w:val="none" w:sz="0" w:space="0" w:color="auto"/>
        <w:left w:val="none" w:sz="0" w:space="0" w:color="auto"/>
        <w:bottom w:val="none" w:sz="0" w:space="0" w:color="auto"/>
        <w:right w:val="none" w:sz="0" w:space="0" w:color="auto"/>
      </w:divBdr>
    </w:div>
    <w:div w:id="116722347">
      <w:bodyDiv w:val="1"/>
      <w:marLeft w:val="0"/>
      <w:marRight w:val="0"/>
      <w:marTop w:val="0"/>
      <w:marBottom w:val="0"/>
      <w:divBdr>
        <w:top w:val="none" w:sz="0" w:space="0" w:color="auto"/>
        <w:left w:val="none" w:sz="0" w:space="0" w:color="auto"/>
        <w:bottom w:val="none" w:sz="0" w:space="0" w:color="auto"/>
        <w:right w:val="none" w:sz="0" w:space="0" w:color="auto"/>
      </w:divBdr>
    </w:div>
    <w:div w:id="117142709">
      <w:bodyDiv w:val="1"/>
      <w:marLeft w:val="0"/>
      <w:marRight w:val="0"/>
      <w:marTop w:val="0"/>
      <w:marBottom w:val="0"/>
      <w:divBdr>
        <w:top w:val="none" w:sz="0" w:space="0" w:color="auto"/>
        <w:left w:val="none" w:sz="0" w:space="0" w:color="auto"/>
        <w:bottom w:val="none" w:sz="0" w:space="0" w:color="auto"/>
        <w:right w:val="none" w:sz="0" w:space="0" w:color="auto"/>
      </w:divBdr>
    </w:div>
    <w:div w:id="117143791">
      <w:bodyDiv w:val="1"/>
      <w:marLeft w:val="0"/>
      <w:marRight w:val="0"/>
      <w:marTop w:val="0"/>
      <w:marBottom w:val="0"/>
      <w:divBdr>
        <w:top w:val="none" w:sz="0" w:space="0" w:color="auto"/>
        <w:left w:val="none" w:sz="0" w:space="0" w:color="auto"/>
        <w:bottom w:val="none" w:sz="0" w:space="0" w:color="auto"/>
        <w:right w:val="none" w:sz="0" w:space="0" w:color="auto"/>
      </w:divBdr>
    </w:div>
    <w:div w:id="117534071">
      <w:bodyDiv w:val="1"/>
      <w:marLeft w:val="0"/>
      <w:marRight w:val="0"/>
      <w:marTop w:val="0"/>
      <w:marBottom w:val="0"/>
      <w:divBdr>
        <w:top w:val="none" w:sz="0" w:space="0" w:color="auto"/>
        <w:left w:val="none" w:sz="0" w:space="0" w:color="auto"/>
        <w:bottom w:val="none" w:sz="0" w:space="0" w:color="auto"/>
        <w:right w:val="none" w:sz="0" w:space="0" w:color="auto"/>
      </w:divBdr>
    </w:div>
    <w:div w:id="118845937">
      <w:bodyDiv w:val="1"/>
      <w:marLeft w:val="0"/>
      <w:marRight w:val="0"/>
      <w:marTop w:val="0"/>
      <w:marBottom w:val="0"/>
      <w:divBdr>
        <w:top w:val="none" w:sz="0" w:space="0" w:color="auto"/>
        <w:left w:val="none" w:sz="0" w:space="0" w:color="auto"/>
        <w:bottom w:val="none" w:sz="0" w:space="0" w:color="auto"/>
        <w:right w:val="none" w:sz="0" w:space="0" w:color="auto"/>
      </w:divBdr>
    </w:div>
    <w:div w:id="119613681">
      <w:bodyDiv w:val="1"/>
      <w:marLeft w:val="0"/>
      <w:marRight w:val="0"/>
      <w:marTop w:val="0"/>
      <w:marBottom w:val="0"/>
      <w:divBdr>
        <w:top w:val="none" w:sz="0" w:space="0" w:color="auto"/>
        <w:left w:val="none" w:sz="0" w:space="0" w:color="auto"/>
        <w:bottom w:val="none" w:sz="0" w:space="0" w:color="auto"/>
        <w:right w:val="none" w:sz="0" w:space="0" w:color="auto"/>
      </w:divBdr>
    </w:div>
    <w:div w:id="119880236">
      <w:bodyDiv w:val="1"/>
      <w:marLeft w:val="0"/>
      <w:marRight w:val="0"/>
      <w:marTop w:val="0"/>
      <w:marBottom w:val="0"/>
      <w:divBdr>
        <w:top w:val="none" w:sz="0" w:space="0" w:color="auto"/>
        <w:left w:val="none" w:sz="0" w:space="0" w:color="auto"/>
        <w:bottom w:val="none" w:sz="0" w:space="0" w:color="auto"/>
        <w:right w:val="none" w:sz="0" w:space="0" w:color="auto"/>
      </w:divBdr>
    </w:div>
    <w:div w:id="120346658">
      <w:bodyDiv w:val="1"/>
      <w:marLeft w:val="0"/>
      <w:marRight w:val="0"/>
      <w:marTop w:val="0"/>
      <w:marBottom w:val="0"/>
      <w:divBdr>
        <w:top w:val="none" w:sz="0" w:space="0" w:color="auto"/>
        <w:left w:val="none" w:sz="0" w:space="0" w:color="auto"/>
        <w:bottom w:val="none" w:sz="0" w:space="0" w:color="auto"/>
        <w:right w:val="none" w:sz="0" w:space="0" w:color="auto"/>
      </w:divBdr>
    </w:div>
    <w:div w:id="120808587">
      <w:bodyDiv w:val="1"/>
      <w:marLeft w:val="0"/>
      <w:marRight w:val="0"/>
      <w:marTop w:val="0"/>
      <w:marBottom w:val="0"/>
      <w:divBdr>
        <w:top w:val="none" w:sz="0" w:space="0" w:color="auto"/>
        <w:left w:val="none" w:sz="0" w:space="0" w:color="auto"/>
        <w:bottom w:val="none" w:sz="0" w:space="0" w:color="auto"/>
        <w:right w:val="none" w:sz="0" w:space="0" w:color="auto"/>
      </w:divBdr>
    </w:div>
    <w:div w:id="121466320">
      <w:bodyDiv w:val="1"/>
      <w:marLeft w:val="0"/>
      <w:marRight w:val="0"/>
      <w:marTop w:val="0"/>
      <w:marBottom w:val="0"/>
      <w:divBdr>
        <w:top w:val="none" w:sz="0" w:space="0" w:color="auto"/>
        <w:left w:val="none" w:sz="0" w:space="0" w:color="auto"/>
        <w:bottom w:val="none" w:sz="0" w:space="0" w:color="auto"/>
        <w:right w:val="none" w:sz="0" w:space="0" w:color="auto"/>
      </w:divBdr>
    </w:div>
    <w:div w:id="121727480">
      <w:bodyDiv w:val="1"/>
      <w:marLeft w:val="0"/>
      <w:marRight w:val="0"/>
      <w:marTop w:val="0"/>
      <w:marBottom w:val="0"/>
      <w:divBdr>
        <w:top w:val="none" w:sz="0" w:space="0" w:color="auto"/>
        <w:left w:val="none" w:sz="0" w:space="0" w:color="auto"/>
        <w:bottom w:val="none" w:sz="0" w:space="0" w:color="auto"/>
        <w:right w:val="none" w:sz="0" w:space="0" w:color="auto"/>
      </w:divBdr>
    </w:div>
    <w:div w:id="121728055">
      <w:bodyDiv w:val="1"/>
      <w:marLeft w:val="0"/>
      <w:marRight w:val="0"/>
      <w:marTop w:val="0"/>
      <w:marBottom w:val="0"/>
      <w:divBdr>
        <w:top w:val="none" w:sz="0" w:space="0" w:color="auto"/>
        <w:left w:val="none" w:sz="0" w:space="0" w:color="auto"/>
        <w:bottom w:val="none" w:sz="0" w:space="0" w:color="auto"/>
        <w:right w:val="none" w:sz="0" w:space="0" w:color="auto"/>
      </w:divBdr>
    </w:div>
    <w:div w:id="123742460">
      <w:bodyDiv w:val="1"/>
      <w:marLeft w:val="0"/>
      <w:marRight w:val="0"/>
      <w:marTop w:val="0"/>
      <w:marBottom w:val="0"/>
      <w:divBdr>
        <w:top w:val="none" w:sz="0" w:space="0" w:color="auto"/>
        <w:left w:val="none" w:sz="0" w:space="0" w:color="auto"/>
        <w:bottom w:val="none" w:sz="0" w:space="0" w:color="auto"/>
        <w:right w:val="none" w:sz="0" w:space="0" w:color="auto"/>
      </w:divBdr>
    </w:div>
    <w:div w:id="125205285">
      <w:bodyDiv w:val="1"/>
      <w:marLeft w:val="0"/>
      <w:marRight w:val="0"/>
      <w:marTop w:val="0"/>
      <w:marBottom w:val="0"/>
      <w:divBdr>
        <w:top w:val="none" w:sz="0" w:space="0" w:color="auto"/>
        <w:left w:val="none" w:sz="0" w:space="0" w:color="auto"/>
        <w:bottom w:val="none" w:sz="0" w:space="0" w:color="auto"/>
        <w:right w:val="none" w:sz="0" w:space="0" w:color="auto"/>
      </w:divBdr>
    </w:div>
    <w:div w:id="125978469">
      <w:bodyDiv w:val="1"/>
      <w:marLeft w:val="0"/>
      <w:marRight w:val="0"/>
      <w:marTop w:val="0"/>
      <w:marBottom w:val="0"/>
      <w:divBdr>
        <w:top w:val="none" w:sz="0" w:space="0" w:color="auto"/>
        <w:left w:val="none" w:sz="0" w:space="0" w:color="auto"/>
        <w:bottom w:val="none" w:sz="0" w:space="0" w:color="auto"/>
        <w:right w:val="none" w:sz="0" w:space="0" w:color="auto"/>
      </w:divBdr>
    </w:div>
    <w:div w:id="126435528">
      <w:bodyDiv w:val="1"/>
      <w:marLeft w:val="0"/>
      <w:marRight w:val="0"/>
      <w:marTop w:val="0"/>
      <w:marBottom w:val="0"/>
      <w:divBdr>
        <w:top w:val="none" w:sz="0" w:space="0" w:color="auto"/>
        <w:left w:val="none" w:sz="0" w:space="0" w:color="auto"/>
        <w:bottom w:val="none" w:sz="0" w:space="0" w:color="auto"/>
        <w:right w:val="none" w:sz="0" w:space="0" w:color="auto"/>
      </w:divBdr>
    </w:div>
    <w:div w:id="127090298">
      <w:bodyDiv w:val="1"/>
      <w:marLeft w:val="0"/>
      <w:marRight w:val="0"/>
      <w:marTop w:val="0"/>
      <w:marBottom w:val="0"/>
      <w:divBdr>
        <w:top w:val="none" w:sz="0" w:space="0" w:color="auto"/>
        <w:left w:val="none" w:sz="0" w:space="0" w:color="auto"/>
        <w:bottom w:val="none" w:sz="0" w:space="0" w:color="auto"/>
        <w:right w:val="none" w:sz="0" w:space="0" w:color="auto"/>
      </w:divBdr>
    </w:div>
    <w:div w:id="127749374">
      <w:bodyDiv w:val="1"/>
      <w:marLeft w:val="0"/>
      <w:marRight w:val="0"/>
      <w:marTop w:val="0"/>
      <w:marBottom w:val="0"/>
      <w:divBdr>
        <w:top w:val="none" w:sz="0" w:space="0" w:color="auto"/>
        <w:left w:val="none" w:sz="0" w:space="0" w:color="auto"/>
        <w:bottom w:val="none" w:sz="0" w:space="0" w:color="auto"/>
        <w:right w:val="none" w:sz="0" w:space="0" w:color="auto"/>
      </w:divBdr>
    </w:div>
    <w:div w:id="130290819">
      <w:bodyDiv w:val="1"/>
      <w:marLeft w:val="0"/>
      <w:marRight w:val="0"/>
      <w:marTop w:val="0"/>
      <w:marBottom w:val="0"/>
      <w:divBdr>
        <w:top w:val="none" w:sz="0" w:space="0" w:color="auto"/>
        <w:left w:val="none" w:sz="0" w:space="0" w:color="auto"/>
        <w:bottom w:val="none" w:sz="0" w:space="0" w:color="auto"/>
        <w:right w:val="none" w:sz="0" w:space="0" w:color="auto"/>
      </w:divBdr>
    </w:div>
    <w:div w:id="131758194">
      <w:bodyDiv w:val="1"/>
      <w:marLeft w:val="0"/>
      <w:marRight w:val="0"/>
      <w:marTop w:val="0"/>
      <w:marBottom w:val="0"/>
      <w:divBdr>
        <w:top w:val="none" w:sz="0" w:space="0" w:color="auto"/>
        <w:left w:val="none" w:sz="0" w:space="0" w:color="auto"/>
        <w:bottom w:val="none" w:sz="0" w:space="0" w:color="auto"/>
        <w:right w:val="none" w:sz="0" w:space="0" w:color="auto"/>
      </w:divBdr>
    </w:div>
    <w:div w:id="131868674">
      <w:bodyDiv w:val="1"/>
      <w:marLeft w:val="0"/>
      <w:marRight w:val="0"/>
      <w:marTop w:val="0"/>
      <w:marBottom w:val="0"/>
      <w:divBdr>
        <w:top w:val="none" w:sz="0" w:space="0" w:color="auto"/>
        <w:left w:val="none" w:sz="0" w:space="0" w:color="auto"/>
        <w:bottom w:val="none" w:sz="0" w:space="0" w:color="auto"/>
        <w:right w:val="none" w:sz="0" w:space="0" w:color="auto"/>
      </w:divBdr>
    </w:div>
    <w:div w:id="133527891">
      <w:bodyDiv w:val="1"/>
      <w:marLeft w:val="0"/>
      <w:marRight w:val="0"/>
      <w:marTop w:val="0"/>
      <w:marBottom w:val="0"/>
      <w:divBdr>
        <w:top w:val="none" w:sz="0" w:space="0" w:color="auto"/>
        <w:left w:val="none" w:sz="0" w:space="0" w:color="auto"/>
        <w:bottom w:val="none" w:sz="0" w:space="0" w:color="auto"/>
        <w:right w:val="none" w:sz="0" w:space="0" w:color="auto"/>
      </w:divBdr>
    </w:div>
    <w:div w:id="135881896">
      <w:bodyDiv w:val="1"/>
      <w:marLeft w:val="0"/>
      <w:marRight w:val="0"/>
      <w:marTop w:val="0"/>
      <w:marBottom w:val="0"/>
      <w:divBdr>
        <w:top w:val="none" w:sz="0" w:space="0" w:color="auto"/>
        <w:left w:val="none" w:sz="0" w:space="0" w:color="auto"/>
        <w:bottom w:val="none" w:sz="0" w:space="0" w:color="auto"/>
        <w:right w:val="none" w:sz="0" w:space="0" w:color="auto"/>
      </w:divBdr>
    </w:div>
    <w:div w:id="136537236">
      <w:bodyDiv w:val="1"/>
      <w:marLeft w:val="0"/>
      <w:marRight w:val="0"/>
      <w:marTop w:val="0"/>
      <w:marBottom w:val="0"/>
      <w:divBdr>
        <w:top w:val="none" w:sz="0" w:space="0" w:color="auto"/>
        <w:left w:val="none" w:sz="0" w:space="0" w:color="auto"/>
        <w:bottom w:val="none" w:sz="0" w:space="0" w:color="auto"/>
        <w:right w:val="none" w:sz="0" w:space="0" w:color="auto"/>
      </w:divBdr>
    </w:div>
    <w:div w:id="137187310">
      <w:bodyDiv w:val="1"/>
      <w:marLeft w:val="0"/>
      <w:marRight w:val="0"/>
      <w:marTop w:val="0"/>
      <w:marBottom w:val="0"/>
      <w:divBdr>
        <w:top w:val="none" w:sz="0" w:space="0" w:color="auto"/>
        <w:left w:val="none" w:sz="0" w:space="0" w:color="auto"/>
        <w:bottom w:val="none" w:sz="0" w:space="0" w:color="auto"/>
        <w:right w:val="none" w:sz="0" w:space="0" w:color="auto"/>
      </w:divBdr>
    </w:div>
    <w:div w:id="137264659">
      <w:bodyDiv w:val="1"/>
      <w:marLeft w:val="0"/>
      <w:marRight w:val="0"/>
      <w:marTop w:val="0"/>
      <w:marBottom w:val="0"/>
      <w:divBdr>
        <w:top w:val="none" w:sz="0" w:space="0" w:color="auto"/>
        <w:left w:val="none" w:sz="0" w:space="0" w:color="auto"/>
        <w:bottom w:val="none" w:sz="0" w:space="0" w:color="auto"/>
        <w:right w:val="none" w:sz="0" w:space="0" w:color="auto"/>
      </w:divBdr>
    </w:div>
    <w:div w:id="137384408">
      <w:bodyDiv w:val="1"/>
      <w:marLeft w:val="0"/>
      <w:marRight w:val="0"/>
      <w:marTop w:val="0"/>
      <w:marBottom w:val="0"/>
      <w:divBdr>
        <w:top w:val="none" w:sz="0" w:space="0" w:color="auto"/>
        <w:left w:val="none" w:sz="0" w:space="0" w:color="auto"/>
        <w:bottom w:val="none" w:sz="0" w:space="0" w:color="auto"/>
        <w:right w:val="none" w:sz="0" w:space="0" w:color="auto"/>
      </w:divBdr>
    </w:div>
    <w:div w:id="137460836">
      <w:bodyDiv w:val="1"/>
      <w:marLeft w:val="0"/>
      <w:marRight w:val="0"/>
      <w:marTop w:val="0"/>
      <w:marBottom w:val="0"/>
      <w:divBdr>
        <w:top w:val="none" w:sz="0" w:space="0" w:color="auto"/>
        <w:left w:val="none" w:sz="0" w:space="0" w:color="auto"/>
        <w:bottom w:val="none" w:sz="0" w:space="0" w:color="auto"/>
        <w:right w:val="none" w:sz="0" w:space="0" w:color="auto"/>
      </w:divBdr>
    </w:div>
    <w:div w:id="138160495">
      <w:bodyDiv w:val="1"/>
      <w:marLeft w:val="0"/>
      <w:marRight w:val="0"/>
      <w:marTop w:val="0"/>
      <w:marBottom w:val="0"/>
      <w:divBdr>
        <w:top w:val="none" w:sz="0" w:space="0" w:color="auto"/>
        <w:left w:val="none" w:sz="0" w:space="0" w:color="auto"/>
        <w:bottom w:val="none" w:sz="0" w:space="0" w:color="auto"/>
        <w:right w:val="none" w:sz="0" w:space="0" w:color="auto"/>
      </w:divBdr>
    </w:div>
    <w:div w:id="138616135">
      <w:bodyDiv w:val="1"/>
      <w:marLeft w:val="0"/>
      <w:marRight w:val="0"/>
      <w:marTop w:val="0"/>
      <w:marBottom w:val="0"/>
      <w:divBdr>
        <w:top w:val="none" w:sz="0" w:space="0" w:color="auto"/>
        <w:left w:val="none" w:sz="0" w:space="0" w:color="auto"/>
        <w:bottom w:val="none" w:sz="0" w:space="0" w:color="auto"/>
        <w:right w:val="none" w:sz="0" w:space="0" w:color="auto"/>
      </w:divBdr>
    </w:div>
    <w:div w:id="138965337">
      <w:bodyDiv w:val="1"/>
      <w:marLeft w:val="0"/>
      <w:marRight w:val="0"/>
      <w:marTop w:val="0"/>
      <w:marBottom w:val="0"/>
      <w:divBdr>
        <w:top w:val="none" w:sz="0" w:space="0" w:color="auto"/>
        <w:left w:val="none" w:sz="0" w:space="0" w:color="auto"/>
        <w:bottom w:val="none" w:sz="0" w:space="0" w:color="auto"/>
        <w:right w:val="none" w:sz="0" w:space="0" w:color="auto"/>
      </w:divBdr>
    </w:div>
    <w:div w:id="140587236">
      <w:bodyDiv w:val="1"/>
      <w:marLeft w:val="0"/>
      <w:marRight w:val="0"/>
      <w:marTop w:val="0"/>
      <w:marBottom w:val="0"/>
      <w:divBdr>
        <w:top w:val="none" w:sz="0" w:space="0" w:color="auto"/>
        <w:left w:val="none" w:sz="0" w:space="0" w:color="auto"/>
        <w:bottom w:val="none" w:sz="0" w:space="0" w:color="auto"/>
        <w:right w:val="none" w:sz="0" w:space="0" w:color="auto"/>
      </w:divBdr>
    </w:div>
    <w:div w:id="141580425">
      <w:bodyDiv w:val="1"/>
      <w:marLeft w:val="0"/>
      <w:marRight w:val="0"/>
      <w:marTop w:val="0"/>
      <w:marBottom w:val="0"/>
      <w:divBdr>
        <w:top w:val="none" w:sz="0" w:space="0" w:color="auto"/>
        <w:left w:val="none" w:sz="0" w:space="0" w:color="auto"/>
        <w:bottom w:val="none" w:sz="0" w:space="0" w:color="auto"/>
        <w:right w:val="none" w:sz="0" w:space="0" w:color="auto"/>
      </w:divBdr>
    </w:div>
    <w:div w:id="142358737">
      <w:bodyDiv w:val="1"/>
      <w:marLeft w:val="0"/>
      <w:marRight w:val="0"/>
      <w:marTop w:val="0"/>
      <w:marBottom w:val="0"/>
      <w:divBdr>
        <w:top w:val="none" w:sz="0" w:space="0" w:color="auto"/>
        <w:left w:val="none" w:sz="0" w:space="0" w:color="auto"/>
        <w:bottom w:val="none" w:sz="0" w:space="0" w:color="auto"/>
        <w:right w:val="none" w:sz="0" w:space="0" w:color="auto"/>
      </w:divBdr>
    </w:div>
    <w:div w:id="144325771">
      <w:bodyDiv w:val="1"/>
      <w:marLeft w:val="0"/>
      <w:marRight w:val="0"/>
      <w:marTop w:val="0"/>
      <w:marBottom w:val="0"/>
      <w:divBdr>
        <w:top w:val="none" w:sz="0" w:space="0" w:color="auto"/>
        <w:left w:val="none" w:sz="0" w:space="0" w:color="auto"/>
        <w:bottom w:val="none" w:sz="0" w:space="0" w:color="auto"/>
        <w:right w:val="none" w:sz="0" w:space="0" w:color="auto"/>
      </w:divBdr>
    </w:div>
    <w:div w:id="148445373">
      <w:bodyDiv w:val="1"/>
      <w:marLeft w:val="0"/>
      <w:marRight w:val="0"/>
      <w:marTop w:val="0"/>
      <w:marBottom w:val="0"/>
      <w:divBdr>
        <w:top w:val="none" w:sz="0" w:space="0" w:color="auto"/>
        <w:left w:val="none" w:sz="0" w:space="0" w:color="auto"/>
        <w:bottom w:val="none" w:sz="0" w:space="0" w:color="auto"/>
        <w:right w:val="none" w:sz="0" w:space="0" w:color="auto"/>
      </w:divBdr>
    </w:div>
    <w:div w:id="151411767">
      <w:bodyDiv w:val="1"/>
      <w:marLeft w:val="0"/>
      <w:marRight w:val="0"/>
      <w:marTop w:val="0"/>
      <w:marBottom w:val="0"/>
      <w:divBdr>
        <w:top w:val="none" w:sz="0" w:space="0" w:color="auto"/>
        <w:left w:val="none" w:sz="0" w:space="0" w:color="auto"/>
        <w:bottom w:val="none" w:sz="0" w:space="0" w:color="auto"/>
        <w:right w:val="none" w:sz="0" w:space="0" w:color="auto"/>
      </w:divBdr>
    </w:div>
    <w:div w:id="151988660">
      <w:bodyDiv w:val="1"/>
      <w:marLeft w:val="0"/>
      <w:marRight w:val="0"/>
      <w:marTop w:val="0"/>
      <w:marBottom w:val="0"/>
      <w:divBdr>
        <w:top w:val="none" w:sz="0" w:space="0" w:color="auto"/>
        <w:left w:val="none" w:sz="0" w:space="0" w:color="auto"/>
        <w:bottom w:val="none" w:sz="0" w:space="0" w:color="auto"/>
        <w:right w:val="none" w:sz="0" w:space="0" w:color="auto"/>
      </w:divBdr>
    </w:div>
    <w:div w:id="151991976">
      <w:bodyDiv w:val="1"/>
      <w:marLeft w:val="0"/>
      <w:marRight w:val="0"/>
      <w:marTop w:val="0"/>
      <w:marBottom w:val="0"/>
      <w:divBdr>
        <w:top w:val="none" w:sz="0" w:space="0" w:color="auto"/>
        <w:left w:val="none" w:sz="0" w:space="0" w:color="auto"/>
        <w:bottom w:val="none" w:sz="0" w:space="0" w:color="auto"/>
        <w:right w:val="none" w:sz="0" w:space="0" w:color="auto"/>
      </w:divBdr>
    </w:div>
    <w:div w:id="152839321">
      <w:bodyDiv w:val="1"/>
      <w:marLeft w:val="0"/>
      <w:marRight w:val="0"/>
      <w:marTop w:val="0"/>
      <w:marBottom w:val="0"/>
      <w:divBdr>
        <w:top w:val="none" w:sz="0" w:space="0" w:color="auto"/>
        <w:left w:val="none" w:sz="0" w:space="0" w:color="auto"/>
        <w:bottom w:val="none" w:sz="0" w:space="0" w:color="auto"/>
        <w:right w:val="none" w:sz="0" w:space="0" w:color="auto"/>
      </w:divBdr>
    </w:div>
    <w:div w:id="155340324">
      <w:bodyDiv w:val="1"/>
      <w:marLeft w:val="0"/>
      <w:marRight w:val="0"/>
      <w:marTop w:val="0"/>
      <w:marBottom w:val="0"/>
      <w:divBdr>
        <w:top w:val="none" w:sz="0" w:space="0" w:color="auto"/>
        <w:left w:val="none" w:sz="0" w:space="0" w:color="auto"/>
        <w:bottom w:val="none" w:sz="0" w:space="0" w:color="auto"/>
        <w:right w:val="none" w:sz="0" w:space="0" w:color="auto"/>
      </w:divBdr>
    </w:div>
    <w:div w:id="161161854">
      <w:bodyDiv w:val="1"/>
      <w:marLeft w:val="0"/>
      <w:marRight w:val="0"/>
      <w:marTop w:val="0"/>
      <w:marBottom w:val="0"/>
      <w:divBdr>
        <w:top w:val="none" w:sz="0" w:space="0" w:color="auto"/>
        <w:left w:val="none" w:sz="0" w:space="0" w:color="auto"/>
        <w:bottom w:val="none" w:sz="0" w:space="0" w:color="auto"/>
        <w:right w:val="none" w:sz="0" w:space="0" w:color="auto"/>
      </w:divBdr>
    </w:div>
    <w:div w:id="161970700">
      <w:bodyDiv w:val="1"/>
      <w:marLeft w:val="0"/>
      <w:marRight w:val="0"/>
      <w:marTop w:val="0"/>
      <w:marBottom w:val="0"/>
      <w:divBdr>
        <w:top w:val="none" w:sz="0" w:space="0" w:color="auto"/>
        <w:left w:val="none" w:sz="0" w:space="0" w:color="auto"/>
        <w:bottom w:val="none" w:sz="0" w:space="0" w:color="auto"/>
        <w:right w:val="none" w:sz="0" w:space="0" w:color="auto"/>
      </w:divBdr>
    </w:div>
    <w:div w:id="163329369">
      <w:bodyDiv w:val="1"/>
      <w:marLeft w:val="0"/>
      <w:marRight w:val="0"/>
      <w:marTop w:val="0"/>
      <w:marBottom w:val="0"/>
      <w:divBdr>
        <w:top w:val="none" w:sz="0" w:space="0" w:color="auto"/>
        <w:left w:val="none" w:sz="0" w:space="0" w:color="auto"/>
        <w:bottom w:val="none" w:sz="0" w:space="0" w:color="auto"/>
        <w:right w:val="none" w:sz="0" w:space="0" w:color="auto"/>
      </w:divBdr>
    </w:div>
    <w:div w:id="164128048">
      <w:bodyDiv w:val="1"/>
      <w:marLeft w:val="0"/>
      <w:marRight w:val="0"/>
      <w:marTop w:val="0"/>
      <w:marBottom w:val="0"/>
      <w:divBdr>
        <w:top w:val="none" w:sz="0" w:space="0" w:color="auto"/>
        <w:left w:val="none" w:sz="0" w:space="0" w:color="auto"/>
        <w:bottom w:val="none" w:sz="0" w:space="0" w:color="auto"/>
        <w:right w:val="none" w:sz="0" w:space="0" w:color="auto"/>
      </w:divBdr>
    </w:div>
    <w:div w:id="165365077">
      <w:bodyDiv w:val="1"/>
      <w:marLeft w:val="0"/>
      <w:marRight w:val="0"/>
      <w:marTop w:val="0"/>
      <w:marBottom w:val="0"/>
      <w:divBdr>
        <w:top w:val="none" w:sz="0" w:space="0" w:color="auto"/>
        <w:left w:val="none" w:sz="0" w:space="0" w:color="auto"/>
        <w:bottom w:val="none" w:sz="0" w:space="0" w:color="auto"/>
        <w:right w:val="none" w:sz="0" w:space="0" w:color="auto"/>
      </w:divBdr>
    </w:div>
    <w:div w:id="166335347">
      <w:bodyDiv w:val="1"/>
      <w:marLeft w:val="0"/>
      <w:marRight w:val="0"/>
      <w:marTop w:val="0"/>
      <w:marBottom w:val="0"/>
      <w:divBdr>
        <w:top w:val="none" w:sz="0" w:space="0" w:color="auto"/>
        <w:left w:val="none" w:sz="0" w:space="0" w:color="auto"/>
        <w:bottom w:val="none" w:sz="0" w:space="0" w:color="auto"/>
        <w:right w:val="none" w:sz="0" w:space="0" w:color="auto"/>
      </w:divBdr>
    </w:div>
    <w:div w:id="166751709">
      <w:bodyDiv w:val="1"/>
      <w:marLeft w:val="0"/>
      <w:marRight w:val="0"/>
      <w:marTop w:val="0"/>
      <w:marBottom w:val="0"/>
      <w:divBdr>
        <w:top w:val="none" w:sz="0" w:space="0" w:color="auto"/>
        <w:left w:val="none" w:sz="0" w:space="0" w:color="auto"/>
        <w:bottom w:val="none" w:sz="0" w:space="0" w:color="auto"/>
        <w:right w:val="none" w:sz="0" w:space="0" w:color="auto"/>
      </w:divBdr>
    </w:div>
    <w:div w:id="167061014">
      <w:bodyDiv w:val="1"/>
      <w:marLeft w:val="0"/>
      <w:marRight w:val="0"/>
      <w:marTop w:val="0"/>
      <w:marBottom w:val="0"/>
      <w:divBdr>
        <w:top w:val="none" w:sz="0" w:space="0" w:color="auto"/>
        <w:left w:val="none" w:sz="0" w:space="0" w:color="auto"/>
        <w:bottom w:val="none" w:sz="0" w:space="0" w:color="auto"/>
        <w:right w:val="none" w:sz="0" w:space="0" w:color="auto"/>
      </w:divBdr>
    </w:div>
    <w:div w:id="167141897">
      <w:bodyDiv w:val="1"/>
      <w:marLeft w:val="0"/>
      <w:marRight w:val="0"/>
      <w:marTop w:val="0"/>
      <w:marBottom w:val="0"/>
      <w:divBdr>
        <w:top w:val="none" w:sz="0" w:space="0" w:color="auto"/>
        <w:left w:val="none" w:sz="0" w:space="0" w:color="auto"/>
        <w:bottom w:val="none" w:sz="0" w:space="0" w:color="auto"/>
        <w:right w:val="none" w:sz="0" w:space="0" w:color="auto"/>
      </w:divBdr>
    </w:div>
    <w:div w:id="167602390">
      <w:bodyDiv w:val="1"/>
      <w:marLeft w:val="0"/>
      <w:marRight w:val="0"/>
      <w:marTop w:val="0"/>
      <w:marBottom w:val="0"/>
      <w:divBdr>
        <w:top w:val="none" w:sz="0" w:space="0" w:color="auto"/>
        <w:left w:val="none" w:sz="0" w:space="0" w:color="auto"/>
        <w:bottom w:val="none" w:sz="0" w:space="0" w:color="auto"/>
        <w:right w:val="none" w:sz="0" w:space="0" w:color="auto"/>
      </w:divBdr>
    </w:div>
    <w:div w:id="168297748">
      <w:bodyDiv w:val="1"/>
      <w:marLeft w:val="0"/>
      <w:marRight w:val="0"/>
      <w:marTop w:val="0"/>
      <w:marBottom w:val="0"/>
      <w:divBdr>
        <w:top w:val="none" w:sz="0" w:space="0" w:color="auto"/>
        <w:left w:val="none" w:sz="0" w:space="0" w:color="auto"/>
        <w:bottom w:val="none" w:sz="0" w:space="0" w:color="auto"/>
        <w:right w:val="none" w:sz="0" w:space="0" w:color="auto"/>
      </w:divBdr>
    </w:div>
    <w:div w:id="168522913">
      <w:bodyDiv w:val="1"/>
      <w:marLeft w:val="0"/>
      <w:marRight w:val="0"/>
      <w:marTop w:val="0"/>
      <w:marBottom w:val="0"/>
      <w:divBdr>
        <w:top w:val="none" w:sz="0" w:space="0" w:color="auto"/>
        <w:left w:val="none" w:sz="0" w:space="0" w:color="auto"/>
        <w:bottom w:val="none" w:sz="0" w:space="0" w:color="auto"/>
        <w:right w:val="none" w:sz="0" w:space="0" w:color="auto"/>
      </w:divBdr>
    </w:div>
    <w:div w:id="168830725">
      <w:bodyDiv w:val="1"/>
      <w:marLeft w:val="0"/>
      <w:marRight w:val="0"/>
      <w:marTop w:val="0"/>
      <w:marBottom w:val="0"/>
      <w:divBdr>
        <w:top w:val="none" w:sz="0" w:space="0" w:color="auto"/>
        <w:left w:val="none" w:sz="0" w:space="0" w:color="auto"/>
        <w:bottom w:val="none" w:sz="0" w:space="0" w:color="auto"/>
        <w:right w:val="none" w:sz="0" w:space="0" w:color="auto"/>
      </w:divBdr>
    </w:div>
    <w:div w:id="169102653">
      <w:bodyDiv w:val="1"/>
      <w:marLeft w:val="0"/>
      <w:marRight w:val="0"/>
      <w:marTop w:val="0"/>
      <w:marBottom w:val="0"/>
      <w:divBdr>
        <w:top w:val="none" w:sz="0" w:space="0" w:color="auto"/>
        <w:left w:val="none" w:sz="0" w:space="0" w:color="auto"/>
        <w:bottom w:val="none" w:sz="0" w:space="0" w:color="auto"/>
        <w:right w:val="none" w:sz="0" w:space="0" w:color="auto"/>
      </w:divBdr>
    </w:div>
    <w:div w:id="169952798">
      <w:bodyDiv w:val="1"/>
      <w:marLeft w:val="0"/>
      <w:marRight w:val="0"/>
      <w:marTop w:val="0"/>
      <w:marBottom w:val="0"/>
      <w:divBdr>
        <w:top w:val="none" w:sz="0" w:space="0" w:color="auto"/>
        <w:left w:val="none" w:sz="0" w:space="0" w:color="auto"/>
        <w:bottom w:val="none" w:sz="0" w:space="0" w:color="auto"/>
        <w:right w:val="none" w:sz="0" w:space="0" w:color="auto"/>
      </w:divBdr>
    </w:div>
    <w:div w:id="170683288">
      <w:bodyDiv w:val="1"/>
      <w:marLeft w:val="0"/>
      <w:marRight w:val="0"/>
      <w:marTop w:val="0"/>
      <w:marBottom w:val="0"/>
      <w:divBdr>
        <w:top w:val="none" w:sz="0" w:space="0" w:color="auto"/>
        <w:left w:val="none" w:sz="0" w:space="0" w:color="auto"/>
        <w:bottom w:val="none" w:sz="0" w:space="0" w:color="auto"/>
        <w:right w:val="none" w:sz="0" w:space="0" w:color="auto"/>
      </w:divBdr>
    </w:div>
    <w:div w:id="172572692">
      <w:bodyDiv w:val="1"/>
      <w:marLeft w:val="0"/>
      <w:marRight w:val="0"/>
      <w:marTop w:val="0"/>
      <w:marBottom w:val="0"/>
      <w:divBdr>
        <w:top w:val="none" w:sz="0" w:space="0" w:color="auto"/>
        <w:left w:val="none" w:sz="0" w:space="0" w:color="auto"/>
        <w:bottom w:val="none" w:sz="0" w:space="0" w:color="auto"/>
        <w:right w:val="none" w:sz="0" w:space="0" w:color="auto"/>
      </w:divBdr>
    </w:div>
    <w:div w:id="174341797">
      <w:bodyDiv w:val="1"/>
      <w:marLeft w:val="0"/>
      <w:marRight w:val="0"/>
      <w:marTop w:val="0"/>
      <w:marBottom w:val="0"/>
      <w:divBdr>
        <w:top w:val="none" w:sz="0" w:space="0" w:color="auto"/>
        <w:left w:val="none" w:sz="0" w:space="0" w:color="auto"/>
        <w:bottom w:val="none" w:sz="0" w:space="0" w:color="auto"/>
        <w:right w:val="none" w:sz="0" w:space="0" w:color="auto"/>
      </w:divBdr>
    </w:div>
    <w:div w:id="176238640">
      <w:bodyDiv w:val="1"/>
      <w:marLeft w:val="0"/>
      <w:marRight w:val="0"/>
      <w:marTop w:val="0"/>
      <w:marBottom w:val="0"/>
      <w:divBdr>
        <w:top w:val="none" w:sz="0" w:space="0" w:color="auto"/>
        <w:left w:val="none" w:sz="0" w:space="0" w:color="auto"/>
        <w:bottom w:val="none" w:sz="0" w:space="0" w:color="auto"/>
        <w:right w:val="none" w:sz="0" w:space="0" w:color="auto"/>
      </w:divBdr>
    </w:div>
    <w:div w:id="177161438">
      <w:bodyDiv w:val="1"/>
      <w:marLeft w:val="0"/>
      <w:marRight w:val="0"/>
      <w:marTop w:val="0"/>
      <w:marBottom w:val="0"/>
      <w:divBdr>
        <w:top w:val="none" w:sz="0" w:space="0" w:color="auto"/>
        <w:left w:val="none" w:sz="0" w:space="0" w:color="auto"/>
        <w:bottom w:val="none" w:sz="0" w:space="0" w:color="auto"/>
        <w:right w:val="none" w:sz="0" w:space="0" w:color="auto"/>
      </w:divBdr>
    </w:div>
    <w:div w:id="177550404">
      <w:bodyDiv w:val="1"/>
      <w:marLeft w:val="0"/>
      <w:marRight w:val="0"/>
      <w:marTop w:val="0"/>
      <w:marBottom w:val="0"/>
      <w:divBdr>
        <w:top w:val="none" w:sz="0" w:space="0" w:color="auto"/>
        <w:left w:val="none" w:sz="0" w:space="0" w:color="auto"/>
        <w:bottom w:val="none" w:sz="0" w:space="0" w:color="auto"/>
        <w:right w:val="none" w:sz="0" w:space="0" w:color="auto"/>
      </w:divBdr>
    </w:div>
    <w:div w:id="181019067">
      <w:bodyDiv w:val="1"/>
      <w:marLeft w:val="0"/>
      <w:marRight w:val="0"/>
      <w:marTop w:val="0"/>
      <w:marBottom w:val="0"/>
      <w:divBdr>
        <w:top w:val="none" w:sz="0" w:space="0" w:color="auto"/>
        <w:left w:val="none" w:sz="0" w:space="0" w:color="auto"/>
        <w:bottom w:val="none" w:sz="0" w:space="0" w:color="auto"/>
        <w:right w:val="none" w:sz="0" w:space="0" w:color="auto"/>
      </w:divBdr>
    </w:div>
    <w:div w:id="182718684">
      <w:bodyDiv w:val="1"/>
      <w:marLeft w:val="0"/>
      <w:marRight w:val="0"/>
      <w:marTop w:val="0"/>
      <w:marBottom w:val="0"/>
      <w:divBdr>
        <w:top w:val="none" w:sz="0" w:space="0" w:color="auto"/>
        <w:left w:val="none" w:sz="0" w:space="0" w:color="auto"/>
        <w:bottom w:val="none" w:sz="0" w:space="0" w:color="auto"/>
        <w:right w:val="none" w:sz="0" w:space="0" w:color="auto"/>
      </w:divBdr>
    </w:div>
    <w:div w:id="183055438">
      <w:bodyDiv w:val="1"/>
      <w:marLeft w:val="0"/>
      <w:marRight w:val="0"/>
      <w:marTop w:val="0"/>
      <w:marBottom w:val="0"/>
      <w:divBdr>
        <w:top w:val="none" w:sz="0" w:space="0" w:color="auto"/>
        <w:left w:val="none" w:sz="0" w:space="0" w:color="auto"/>
        <w:bottom w:val="none" w:sz="0" w:space="0" w:color="auto"/>
        <w:right w:val="none" w:sz="0" w:space="0" w:color="auto"/>
      </w:divBdr>
    </w:div>
    <w:div w:id="183593800">
      <w:bodyDiv w:val="1"/>
      <w:marLeft w:val="0"/>
      <w:marRight w:val="0"/>
      <w:marTop w:val="0"/>
      <w:marBottom w:val="0"/>
      <w:divBdr>
        <w:top w:val="none" w:sz="0" w:space="0" w:color="auto"/>
        <w:left w:val="none" w:sz="0" w:space="0" w:color="auto"/>
        <w:bottom w:val="none" w:sz="0" w:space="0" w:color="auto"/>
        <w:right w:val="none" w:sz="0" w:space="0" w:color="auto"/>
      </w:divBdr>
    </w:div>
    <w:div w:id="187378430">
      <w:bodyDiv w:val="1"/>
      <w:marLeft w:val="0"/>
      <w:marRight w:val="0"/>
      <w:marTop w:val="0"/>
      <w:marBottom w:val="0"/>
      <w:divBdr>
        <w:top w:val="none" w:sz="0" w:space="0" w:color="auto"/>
        <w:left w:val="none" w:sz="0" w:space="0" w:color="auto"/>
        <w:bottom w:val="none" w:sz="0" w:space="0" w:color="auto"/>
        <w:right w:val="none" w:sz="0" w:space="0" w:color="auto"/>
      </w:divBdr>
    </w:div>
    <w:div w:id="188183611">
      <w:bodyDiv w:val="1"/>
      <w:marLeft w:val="0"/>
      <w:marRight w:val="0"/>
      <w:marTop w:val="0"/>
      <w:marBottom w:val="0"/>
      <w:divBdr>
        <w:top w:val="none" w:sz="0" w:space="0" w:color="auto"/>
        <w:left w:val="none" w:sz="0" w:space="0" w:color="auto"/>
        <w:bottom w:val="none" w:sz="0" w:space="0" w:color="auto"/>
        <w:right w:val="none" w:sz="0" w:space="0" w:color="auto"/>
      </w:divBdr>
    </w:div>
    <w:div w:id="190386389">
      <w:bodyDiv w:val="1"/>
      <w:marLeft w:val="0"/>
      <w:marRight w:val="0"/>
      <w:marTop w:val="0"/>
      <w:marBottom w:val="0"/>
      <w:divBdr>
        <w:top w:val="none" w:sz="0" w:space="0" w:color="auto"/>
        <w:left w:val="none" w:sz="0" w:space="0" w:color="auto"/>
        <w:bottom w:val="none" w:sz="0" w:space="0" w:color="auto"/>
        <w:right w:val="none" w:sz="0" w:space="0" w:color="auto"/>
      </w:divBdr>
    </w:div>
    <w:div w:id="191382958">
      <w:bodyDiv w:val="1"/>
      <w:marLeft w:val="0"/>
      <w:marRight w:val="0"/>
      <w:marTop w:val="0"/>
      <w:marBottom w:val="0"/>
      <w:divBdr>
        <w:top w:val="none" w:sz="0" w:space="0" w:color="auto"/>
        <w:left w:val="none" w:sz="0" w:space="0" w:color="auto"/>
        <w:bottom w:val="none" w:sz="0" w:space="0" w:color="auto"/>
        <w:right w:val="none" w:sz="0" w:space="0" w:color="auto"/>
      </w:divBdr>
    </w:div>
    <w:div w:id="193462432">
      <w:bodyDiv w:val="1"/>
      <w:marLeft w:val="0"/>
      <w:marRight w:val="0"/>
      <w:marTop w:val="0"/>
      <w:marBottom w:val="0"/>
      <w:divBdr>
        <w:top w:val="none" w:sz="0" w:space="0" w:color="auto"/>
        <w:left w:val="none" w:sz="0" w:space="0" w:color="auto"/>
        <w:bottom w:val="none" w:sz="0" w:space="0" w:color="auto"/>
        <w:right w:val="none" w:sz="0" w:space="0" w:color="auto"/>
      </w:divBdr>
    </w:div>
    <w:div w:id="195435169">
      <w:bodyDiv w:val="1"/>
      <w:marLeft w:val="0"/>
      <w:marRight w:val="0"/>
      <w:marTop w:val="0"/>
      <w:marBottom w:val="0"/>
      <w:divBdr>
        <w:top w:val="none" w:sz="0" w:space="0" w:color="auto"/>
        <w:left w:val="none" w:sz="0" w:space="0" w:color="auto"/>
        <w:bottom w:val="none" w:sz="0" w:space="0" w:color="auto"/>
        <w:right w:val="none" w:sz="0" w:space="0" w:color="auto"/>
      </w:divBdr>
    </w:div>
    <w:div w:id="195625141">
      <w:bodyDiv w:val="1"/>
      <w:marLeft w:val="0"/>
      <w:marRight w:val="0"/>
      <w:marTop w:val="0"/>
      <w:marBottom w:val="0"/>
      <w:divBdr>
        <w:top w:val="none" w:sz="0" w:space="0" w:color="auto"/>
        <w:left w:val="none" w:sz="0" w:space="0" w:color="auto"/>
        <w:bottom w:val="none" w:sz="0" w:space="0" w:color="auto"/>
        <w:right w:val="none" w:sz="0" w:space="0" w:color="auto"/>
      </w:divBdr>
    </w:div>
    <w:div w:id="197592147">
      <w:bodyDiv w:val="1"/>
      <w:marLeft w:val="0"/>
      <w:marRight w:val="0"/>
      <w:marTop w:val="0"/>
      <w:marBottom w:val="0"/>
      <w:divBdr>
        <w:top w:val="none" w:sz="0" w:space="0" w:color="auto"/>
        <w:left w:val="none" w:sz="0" w:space="0" w:color="auto"/>
        <w:bottom w:val="none" w:sz="0" w:space="0" w:color="auto"/>
        <w:right w:val="none" w:sz="0" w:space="0" w:color="auto"/>
      </w:divBdr>
    </w:div>
    <w:div w:id="198855830">
      <w:bodyDiv w:val="1"/>
      <w:marLeft w:val="0"/>
      <w:marRight w:val="0"/>
      <w:marTop w:val="0"/>
      <w:marBottom w:val="0"/>
      <w:divBdr>
        <w:top w:val="none" w:sz="0" w:space="0" w:color="auto"/>
        <w:left w:val="none" w:sz="0" w:space="0" w:color="auto"/>
        <w:bottom w:val="none" w:sz="0" w:space="0" w:color="auto"/>
        <w:right w:val="none" w:sz="0" w:space="0" w:color="auto"/>
      </w:divBdr>
    </w:div>
    <w:div w:id="199437686">
      <w:bodyDiv w:val="1"/>
      <w:marLeft w:val="0"/>
      <w:marRight w:val="0"/>
      <w:marTop w:val="0"/>
      <w:marBottom w:val="0"/>
      <w:divBdr>
        <w:top w:val="none" w:sz="0" w:space="0" w:color="auto"/>
        <w:left w:val="none" w:sz="0" w:space="0" w:color="auto"/>
        <w:bottom w:val="none" w:sz="0" w:space="0" w:color="auto"/>
        <w:right w:val="none" w:sz="0" w:space="0" w:color="auto"/>
      </w:divBdr>
    </w:div>
    <w:div w:id="200285452">
      <w:bodyDiv w:val="1"/>
      <w:marLeft w:val="0"/>
      <w:marRight w:val="0"/>
      <w:marTop w:val="0"/>
      <w:marBottom w:val="0"/>
      <w:divBdr>
        <w:top w:val="none" w:sz="0" w:space="0" w:color="auto"/>
        <w:left w:val="none" w:sz="0" w:space="0" w:color="auto"/>
        <w:bottom w:val="none" w:sz="0" w:space="0" w:color="auto"/>
        <w:right w:val="none" w:sz="0" w:space="0" w:color="auto"/>
      </w:divBdr>
    </w:div>
    <w:div w:id="201593987">
      <w:bodyDiv w:val="1"/>
      <w:marLeft w:val="0"/>
      <w:marRight w:val="0"/>
      <w:marTop w:val="0"/>
      <w:marBottom w:val="0"/>
      <w:divBdr>
        <w:top w:val="none" w:sz="0" w:space="0" w:color="auto"/>
        <w:left w:val="none" w:sz="0" w:space="0" w:color="auto"/>
        <w:bottom w:val="none" w:sz="0" w:space="0" w:color="auto"/>
        <w:right w:val="none" w:sz="0" w:space="0" w:color="auto"/>
      </w:divBdr>
    </w:div>
    <w:div w:id="201745708">
      <w:bodyDiv w:val="1"/>
      <w:marLeft w:val="0"/>
      <w:marRight w:val="0"/>
      <w:marTop w:val="0"/>
      <w:marBottom w:val="0"/>
      <w:divBdr>
        <w:top w:val="none" w:sz="0" w:space="0" w:color="auto"/>
        <w:left w:val="none" w:sz="0" w:space="0" w:color="auto"/>
        <w:bottom w:val="none" w:sz="0" w:space="0" w:color="auto"/>
        <w:right w:val="none" w:sz="0" w:space="0" w:color="auto"/>
      </w:divBdr>
    </w:div>
    <w:div w:id="203444854">
      <w:bodyDiv w:val="1"/>
      <w:marLeft w:val="0"/>
      <w:marRight w:val="0"/>
      <w:marTop w:val="0"/>
      <w:marBottom w:val="0"/>
      <w:divBdr>
        <w:top w:val="none" w:sz="0" w:space="0" w:color="auto"/>
        <w:left w:val="none" w:sz="0" w:space="0" w:color="auto"/>
        <w:bottom w:val="none" w:sz="0" w:space="0" w:color="auto"/>
        <w:right w:val="none" w:sz="0" w:space="0" w:color="auto"/>
      </w:divBdr>
    </w:div>
    <w:div w:id="206339351">
      <w:bodyDiv w:val="1"/>
      <w:marLeft w:val="0"/>
      <w:marRight w:val="0"/>
      <w:marTop w:val="0"/>
      <w:marBottom w:val="0"/>
      <w:divBdr>
        <w:top w:val="none" w:sz="0" w:space="0" w:color="auto"/>
        <w:left w:val="none" w:sz="0" w:space="0" w:color="auto"/>
        <w:bottom w:val="none" w:sz="0" w:space="0" w:color="auto"/>
        <w:right w:val="none" w:sz="0" w:space="0" w:color="auto"/>
      </w:divBdr>
    </w:div>
    <w:div w:id="206533476">
      <w:bodyDiv w:val="1"/>
      <w:marLeft w:val="0"/>
      <w:marRight w:val="0"/>
      <w:marTop w:val="0"/>
      <w:marBottom w:val="0"/>
      <w:divBdr>
        <w:top w:val="none" w:sz="0" w:space="0" w:color="auto"/>
        <w:left w:val="none" w:sz="0" w:space="0" w:color="auto"/>
        <w:bottom w:val="none" w:sz="0" w:space="0" w:color="auto"/>
        <w:right w:val="none" w:sz="0" w:space="0" w:color="auto"/>
      </w:divBdr>
    </w:div>
    <w:div w:id="208733656">
      <w:bodyDiv w:val="1"/>
      <w:marLeft w:val="0"/>
      <w:marRight w:val="0"/>
      <w:marTop w:val="0"/>
      <w:marBottom w:val="0"/>
      <w:divBdr>
        <w:top w:val="none" w:sz="0" w:space="0" w:color="auto"/>
        <w:left w:val="none" w:sz="0" w:space="0" w:color="auto"/>
        <w:bottom w:val="none" w:sz="0" w:space="0" w:color="auto"/>
        <w:right w:val="none" w:sz="0" w:space="0" w:color="auto"/>
      </w:divBdr>
    </w:div>
    <w:div w:id="209347613">
      <w:bodyDiv w:val="1"/>
      <w:marLeft w:val="0"/>
      <w:marRight w:val="0"/>
      <w:marTop w:val="0"/>
      <w:marBottom w:val="0"/>
      <w:divBdr>
        <w:top w:val="none" w:sz="0" w:space="0" w:color="auto"/>
        <w:left w:val="none" w:sz="0" w:space="0" w:color="auto"/>
        <w:bottom w:val="none" w:sz="0" w:space="0" w:color="auto"/>
        <w:right w:val="none" w:sz="0" w:space="0" w:color="auto"/>
      </w:divBdr>
    </w:div>
    <w:div w:id="209416285">
      <w:bodyDiv w:val="1"/>
      <w:marLeft w:val="0"/>
      <w:marRight w:val="0"/>
      <w:marTop w:val="0"/>
      <w:marBottom w:val="0"/>
      <w:divBdr>
        <w:top w:val="none" w:sz="0" w:space="0" w:color="auto"/>
        <w:left w:val="none" w:sz="0" w:space="0" w:color="auto"/>
        <w:bottom w:val="none" w:sz="0" w:space="0" w:color="auto"/>
        <w:right w:val="none" w:sz="0" w:space="0" w:color="auto"/>
      </w:divBdr>
    </w:div>
    <w:div w:id="209654527">
      <w:bodyDiv w:val="1"/>
      <w:marLeft w:val="0"/>
      <w:marRight w:val="0"/>
      <w:marTop w:val="0"/>
      <w:marBottom w:val="0"/>
      <w:divBdr>
        <w:top w:val="none" w:sz="0" w:space="0" w:color="auto"/>
        <w:left w:val="none" w:sz="0" w:space="0" w:color="auto"/>
        <w:bottom w:val="none" w:sz="0" w:space="0" w:color="auto"/>
        <w:right w:val="none" w:sz="0" w:space="0" w:color="auto"/>
      </w:divBdr>
    </w:div>
    <w:div w:id="211693710">
      <w:bodyDiv w:val="1"/>
      <w:marLeft w:val="0"/>
      <w:marRight w:val="0"/>
      <w:marTop w:val="0"/>
      <w:marBottom w:val="0"/>
      <w:divBdr>
        <w:top w:val="none" w:sz="0" w:space="0" w:color="auto"/>
        <w:left w:val="none" w:sz="0" w:space="0" w:color="auto"/>
        <w:bottom w:val="none" w:sz="0" w:space="0" w:color="auto"/>
        <w:right w:val="none" w:sz="0" w:space="0" w:color="auto"/>
      </w:divBdr>
    </w:div>
    <w:div w:id="211773521">
      <w:bodyDiv w:val="1"/>
      <w:marLeft w:val="0"/>
      <w:marRight w:val="0"/>
      <w:marTop w:val="0"/>
      <w:marBottom w:val="0"/>
      <w:divBdr>
        <w:top w:val="none" w:sz="0" w:space="0" w:color="auto"/>
        <w:left w:val="none" w:sz="0" w:space="0" w:color="auto"/>
        <w:bottom w:val="none" w:sz="0" w:space="0" w:color="auto"/>
        <w:right w:val="none" w:sz="0" w:space="0" w:color="auto"/>
      </w:divBdr>
    </w:div>
    <w:div w:id="211843596">
      <w:bodyDiv w:val="1"/>
      <w:marLeft w:val="0"/>
      <w:marRight w:val="0"/>
      <w:marTop w:val="0"/>
      <w:marBottom w:val="0"/>
      <w:divBdr>
        <w:top w:val="none" w:sz="0" w:space="0" w:color="auto"/>
        <w:left w:val="none" w:sz="0" w:space="0" w:color="auto"/>
        <w:bottom w:val="none" w:sz="0" w:space="0" w:color="auto"/>
        <w:right w:val="none" w:sz="0" w:space="0" w:color="auto"/>
      </w:divBdr>
    </w:div>
    <w:div w:id="213198055">
      <w:bodyDiv w:val="1"/>
      <w:marLeft w:val="0"/>
      <w:marRight w:val="0"/>
      <w:marTop w:val="0"/>
      <w:marBottom w:val="0"/>
      <w:divBdr>
        <w:top w:val="none" w:sz="0" w:space="0" w:color="auto"/>
        <w:left w:val="none" w:sz="0" w:space="0" w:color="auto"/>
        <w:bottom w:val="none" w:sz="0" w:space="0" w:color="auto"/>
        <w:right w:val="none" w:sz="0" w:space="0" w:color="auto"/>
      </w:divBdr>
    </w:div>
    <w:div w:id="215089954">
      <w:bodyDiv w:val="1"/>
      <w:marLeft w:val="0"/>
      <w:marRight w:val="0"/>
      <w:marTop w:val="0"/>
      <w:marBottom w:val="0"/>
      <w:divBdr>
        <w:top w:val="none" w:sz="0" w:space="0" w:color="auto"/>
        <w:left w:val="none" w:sz="0" w:space="0" w:color="auto"/>
        <w:bottom w:val="none" w:sz="0" w:space="0" w:color="auto"/>
        <w:right w:val="none" w:sz="0" w:space="0" w:color="auto"/>
      </w:divBdr>
    </w:div>
    <w:div w:id="218327400">
      <w:bodyDiv w:val="1"/>
      <w:marLeft w:val="0"/>
      <w:marRight w:val="0"/>
      <w:marTop w:val="0"/>
      <w:marBottom w:val="0"/>
      <w:divBdr>
        <w:top w:val="none" w:sz="0" w:space="0" w:color="auto"/>
        <w:left w:val="none" w:sz="0" w:space="0" w:color="auto"/>
        <w:bottom w:val="none" w:sz="0" w:space="0" w:color="auto"/>
        <w:right w:val="none" w:sz="0" w:space="0" w:color="auto"/>
      </w:divBdr>
    </w:div>
    <w:div w:id="218518335">
      <w:bodyDiv w:val="1"/>
      <w:marLeft w:val="0"/>
      <w:marRight w:val="0"/>
      <w:marTop w:val="0"/>
      <w:marBottom w:val="0"/>
      <w:divBdr>
        <w:top w:val="none" w:sz="0" w:space="0" w:color="auto"/>
        <w:left w:val="none" w:sz="0" w:space="0" w:color="auto"/>
        <w:bottom w:val="none" w:sz="0" w:space="0" w:color="auto"/>
        <w:right w:val="none" w:sz="0" w:space="0" w:color="auto"/>
      </w:divBdr>
    </w:div>
    <w:div w:id="219370137">
      <w:bodyDiv w:val="1"/>
      <w:marLeft w:val="0"/>
      <w:marRight w:val="0"/>
      <w:marTop w:val="0"/>
      <w:marBottom w:val="0"/>
      <w:divBdr>
        <w:top w:val="none" w:sz="0" w:space="0" w:color="auto"/>
        <w:left w:val="none" w:sz="0" w:space="0" w:color="auto"/>
        <w:bottom w:val="none" w:sz="0" w:space="0" w:color="auto"/>
        <w:right w:val="none" w:sz="0" w:space="0" w:color="auto"/>
      </w:divBdr>
    </w:div>
    <w:div w:id="219901071">
      <w:bodyDiv w:val="1"/>
      <w:marLeft w:val="0"/>
      <w:marRight w:val="0"/>
      <w:marTop w:val="0"/>
      <w:marBottom w:val="0"/>
      <w:divBdr>
        <w:top w:val="none" w:sz="0" w:space="0" w:color="auto"/>
        <w:left w:val="none" w:sz="0" w:space="0" w:color="auto"/>
        <w:bottom w:val="none" w:sz="0" w:space="0" w:color="auto"/>
        <w:right w:val="none" w:sz="0" w:space="0" w:color="auto"/>
      </w:divBdr>
    </w:div>
    <w:div w:id="222370844">
      <w:bodyDiv w:val="1"/>
      <w:marLeft w:val="0"/>
      <w:marRight w:val="0"/>
      <w:marTop w:val="0"/>
      <w:marBottom w:val="0"/>
      <w:divBdr>
        <w:top w:val="none" w:sz="0" w:space="0" w:color="auto"/>
        <w:left w:val="none" w:sz="0" w:space="0" w:color="auto"/>
        <w:bottom w:val="none" w:sz="0" w:space="0" w:color="auto"/>
        <w:right w:val="none" w:sz="0" w:space="0" w:color="auto"/>
      </w:divBdr>
    </w:div>
    <w:div w:id="224074858">
      <w:bodyDiv w:val="1"/>
      <w:marLeft w:val="0"/>
      <w:marRight w:val="0"/>
      <w:marTop w:val="0"/>
      <w:marBottom w:val="0"/>
      <w:divBdr>
        <w:top w:val="none" w:sz="0" w:space="0" w:color="auto"/>
        <w:left w:val="none" w:sz="0" w:space="0" w:color="auto"/>
        <w:bottom w:val="none" w:sz="0" w:space="0" w:color="auto"/>
        <w:right w:val="none" w:sz="0" w:space="0" w:color="auto"/>
      </w:divBdr>
    </w:div>
    <w:div w:id="225649469">
      <w:bodyDiv w:val="1"/>
      <w:marLeft w:val="0"/>
      <w:marRight w:val="0"/>
      <w:marTop w:val="0"/>
      <w:marBottom w:val="0"/>
      <w:divBdr>
        <w:top w:val="none" w:sz="0" w:space="0" w:color="auto"/>
        <w:left w:val="none" w:sz="0" w:space="0" w:color="auto"/>
        <w:bottom w:val="none" w:sz="0" w:space="0" w:color="auto"/>
        <w:right w:val="none" w:sz="0" w:space="0" w:color="auto"/>
      </w:divBdr>
    </w:div>
    <w:div w:id="226571507">
      <w:bodyDiv w:val="1"/>
      <w:marLeft w:val="0"/>
      <w:marRight w:val="0"/>
      <w:marTop w:val="0"/>
      <w:marBottom w:val="0"/>
      <w:divBdr>
        <w:top w:val="none" w:sz="0" w:space="0" w:color="auto"/>
        <w:left w:val="none" w:sz="0" w:space="0" w:color="auto"/>
        <w:bottom w:val="none" w:sz="0" w:space="0" w:color="auto"/>
        <w:right w:val="none" w:sz="0" w:space="0" w:color="auto"/>
      </w:divBdr>
    </w:div>
    <w:div w:id="226578417">
      <w:bodyDiv w:val="1"/>
      <w:marLeft w:val="0"/>
      <w:marRight w:val="0"/>
      <w:marTop w:val="0"/>
      <w:marBottom w:val="0"/>
      <w:divBdr>
        <w:top w:val="none" w:sz="0" w:space="0" w:color="auto"/>
        <w:left w:val="none" w:sz="0" w:space="0" w:color="auto"/>
        <w:bottom w:val="none" w:sz="0" w:space="0" w:color="auto"/>
        <w:right w:val="none" w:sz="0" w:space="0" w:color="auto"/>
      </w:divBdr>
    </w:div>
    <w:div w:id="230164082">
      <w:bodyDiv w:val="1"/>
      <w:marLeft w:val="0"/>
      <w:marRight w:val="0"/>
      <w:marTop w:val="0"/>
      <w:marBottom w:val="0"/>
      <w:divBdr>
        <w:top w:val="none" w:sz="0" w:space="0" w:color="auto"/>
        <w:left w:val="none" w:sz="0" w:space="0" w:color="auto"/>
        <w:bottom w:val="none" w:sz="0" w:space="0" w:color="auto"/>
        <w:right w:val="none" w:sz="0" w:space="0" w:color="auto"/>
      </w:divBdr>
      <w:divsChild>
        <w:div w:id="1143153652">
          <w:marLeft w:val="0"/>
          <w:marRight w:val="0"/>
          <w:marTop w:val="0"/>
          <w:marBottom w:val="0"/>
          <w:divBdr>
            <w:top w:val="none" w:sz="0" w:space="0" w:color="auto"/>
            <w:left w:val="none" w:sz="0" w:space="0" w:color="auto"/>
            <w:bottom w:val="none" w:sz="0" w:space="0" w:color="auto"/>
            <w:right w:val="none" w:sz="0" w:space="0" w:color="auto"/>
          </w:divBdr>
        </w:div>
        <w:div w:id="1236432522">
          <w:marLeft w:val="0"/>
          <w:marRight w:val="0"/>
          <w:marTop w:val="0"/>
          <w:marBottom w:val="0"/>
          <w:divBdr>
            <w:top w:val="none" w:sz="0" w:space="0" w:color="auto"/>
            <w:left w:val="none" w:sz="0" w:space="0" w:color="auto"/>
            <w:bottom w:val="none" w:sz="0" w:space="0" w:color="auto"/>
            <w:right w:val="none" w:sz="0" w:space="0" w:color="auto"/>
          </w:divBdr>
        </w:div>
        <w:div w:id="1438796198">
          <w:marLeft w:val="0"/>
          <w:marRight w:val="0"/>
          <w:marTop w:val="0"/>
          <w:marBottom w:val="0"/>
          <w:divBdr>
            <w:top w:val="none" w:sz="0" w:space="0" w:color="auto"/>
            <w:left w:val="none" w:sz="0" w:space="0" w:color="auto"/>
            <w:bottom w:val="none" w:sz="0" w:space="0" w:color="auto"/>
            <w:right w:val="none" w:sz="0" w:space="0" w:color="auto"/>
          </w:divBdr>
        </w:div>
      </w:divsChild>
    </w:div>
    <w:div w:id="230426735">
      <w:bodyDiv w:val="1"/>
      <w:marLeft w:val="0"/>
      <w:marRight w:val="0"/>
      <w:marTop w:val="0"/>
      <w:marBottom w:val="0"/>
      <w:divBdr>
        <w:top w:val="none" w:sz="0" w:space="0" w:color="auto"/>
        <w:left w:val="none" w:sz="0" w:space="0" w:color="auto"/>
        <w:bottom w:val="none" w:sz="0" w:space="0" w:color="auto"/>
        <w:right w:val="none" w:sz="0" w:space="0" w:color="auto"/>
      </w:divBdr>
    </w:div>
    <w:div w:id="231039014">
      <w:bodyDiv w:val="1"/>
      <w:marLeft w:val="0"/>
      <w:marRight w:val="0"/>
      <w:marTop w:val="0"/>
      <w:marBottom w:val="0"/>
      <w:divBdr>
        <w:top w:val="none" w:sz="0" w:space="0" w:color="auto"/>
        <w:left w:val="none" w:sz="0" w:space="0" w:color="auto"/>
        <w:bottom w:val="none" w:sz="0" w:space="0" w:color="auto"/>
        <w:right w:val="none" w:sz="0" w:space="0" w:color="auto"/>
      </w:divBdr>
    </w:div>
    <w:div w:id="231046785">
      <w:bodyDiv w:val="1"/>
      <w:marLeft w:val="0"/>
      <w:marRight w:val="0"/>
      <w:marTop w:val="0"/>
      <w:marBottom w:val="0"/>
      <w:divBdr>
        <w:top w:val="none" w:sz="0" w:space="0" w:color="auto"/>
        <w:left w:val="none" w:sz="0" w:space="0" w:color="auto"/>
        <w:bottom w:val="none" w:sz="0" w:space="0" w:color="auto"/>
        <w:right w:val="none" w:sz="0" w:space="0" w:color="auto"/>
      </w:divBdr>
    </w:div>
    <w:div w:id="231281230">
      <w:bodyDiv w:val="1"/>
      <w:marLeft w:val="0"/>
      <w:marRight w:val="0"/>
      <w:marTop w:val="0"/>
      <w:marBottom w:val="0"/>
      <w:divBdr>
        <w:top w:val="none" w:sz="0" w:space="0" w:color="auto"/>
        <w:left w:val="none" w:sz="0" w:space="0" w:color="auto"/>
        <w:bottom w:val="none" w:sz="0" w:space="0" w:color="auto"/>
        <w:right w:val="none" w:sz="0" w:space="0" w:color="auto"/>
      </w:divBdr>
    </w:div>
    <w:div w:id="232548836">
      <w:bodyDiv w:val="1"/>
      <w:marLeft w:val="0"/>
      <w:marRight w:val="0"/>
      <w:marTop w:val="0"/>
      <w:marBottom w:val="0"/>
      <w:divBdr>
        <w:top w:val="none" w:sz="0" w:space="0" w:color="auto"/>
        <w:left w:val="none" w:sz="0" w:space="0" w:color="auto"/>
        <w:bottom w:val="none" w:sz="0" w:space="0" w:color="auto"/>
        <w:right w:val="none" w:sz="0" w:space="0" w:color="auto"/>
      </w:divBdr>
    </w:div>
    <w:div w:id="232934536">
      <w:bodyDiv w:val="1"/>
      <w:marLeft w:val="0"/>
      <w:marRight w:val="0"/>
      <w:marTop w:val="0"/>
      <w:marBottom w:val="0"/>
      <w:divBdr>
        <w:top w:val="none" w:sz="0" w:space="0" w:color="auto"/>
        <w:left w:val="none" w:sz="0" w:space="0" w:color="auto"/>
        <w:bottom w:val="none" w:sz="0" w:space="0" w:color="auto"/>
        <w:right w:val="none" w:sz="0" w:space="0" w:color="auto"/>
      </w:divBdr>
    </w:div>
    <w:div w:id="233323074">
      <w:bodyDiv w:val="1"/>
      <w:marLeft w:val="0"/>
      <w:marRight w:val="0"/>
      <w:marTop w:val="0"/>
      <w:marBottom w:val="0"/>
      <w:divBdr>
        <w:top w:val="none" w:sz="0" w:space="0" w:color="auto"/>
        <w:left w:val="none" w:sz="0" w:space="0" w:color="auto"/>
        <w:bottom w:val="none" w:sz="0" w:space="0" w:color="auto"/>
        <w:right w:val="none" w:sz="0" w:space="0" w:color="auto"/>
      </w:divBdr>
    </w:div>
    <w:div w:id="233707174">
      <w:bodyDiv w:val="1"/>
      <w:marLeft w:val="0"/>
      <w:marRight w:val="0"/>
      <w:marTop w:val="0"/>
      <w:marBottom w:val="0"/>
      <w:divBdr>
        <w:top w:val="none" w:sz="0" w:space="0" w:color="auto"/>
        <w:left w:val="none" w:sz="0" w:space="0" w:color="auto"/>
        <w:bottom w:val="none" w:sz="0" w:space="0" w:color="auto"/>
        <w:right w:val="none" w:sz="0" w:space="0" w:color="auto"/>
      </w:divBdr>
    </w:div>
    <w:div w:id="235824595">
      <w:bodyDiv w:val="1"/>
      <w:marLeft w:val="0"/>
      <w:marRight w:val="0"/>
      <w:marTop w:val="0"/>
      <w:marBottom w:val="0"/>
      <w:divBdr>
        <w:top w:val="none" w:sz="0" w:space="0" w:color="auto"/>
        <w:left w:val="none" w:sz="0" w:space="0" w:color="auto"/>
        <w:bottom w:val="none" w:sz="0" w:space="0" w:color="auto"/>
        <w:right w:val="none" w:sz="0" w:space="0" w:color="auto"/>
      </w:divBdr>
    </w:div>
    <w:div w:id="236211777">
      <w:bodyDiv w:val="1"/>
      <w:marLeft w:val="0"/>
      <w:marRight w:val="0"/>
      <w:marTop w:val="0"/>
      <w:marBottom w:val="0"/>
      <w:divBdr>
        <w:top w:val="none" w:sz="0" w:space="0" w:color="auto"/>
        <w:left w:val="none" w:sz="0" w:space="0" w:color="auto"/>
        <w:bottom w:val="none" w:sz="0" w:space="0" w:color="auto"/>
        <w:right w:val="none" w:sz="0" w:space="0" w:color="auto"/>
      </w:divBdr>
    </w:div>
    <w:div w:id="236287407">
      <w:bodyDiv w:val="1"/>
      <w:marLeft w:val="0"/>
      <w:marRight w:val="0"/>
      <w:marTop w:val="0"/>
      <w:marBottom w:val="0"/>
      <w:divBdr>
        <w:top w:val="none" w:sz="0" w:space="0" w:color="auto"/>
        <w:left w:val="none" w:sz="0" w:space="0" w:color="auto"/>
        <w:bottom w:val="none" w:sz="0" w:space="0" w:color="auto"/>
        <w:right w:val="none" w:sz="0" w:space="0" w:color="auto"/>
      </w:divBdr>
    </w:div>
    <w:div w:id="238173118">
      <w:bodyDiv w:val="1"/>
      <w:marLeft w:val="0"/>
      <w:marRight w:val="0"/>
      <w:marTop w:val="0"/>
      <w:marBottom w:val="0"/>
      <w:divBdr>
        <w:top w:val="none" w:sz="0" w:space="0" w:color="auto"/>
        <w:left w:val="none" w:sz="0" w:space="0" w:color="auto"/>
        <w:bottom w:val="none" w:sz="0" w:space="0" w:color="auto"/>
        <w:right w:val="none" w:sz="0" w:space="0" w:color="auto"/>
      </w:divBdr>
    </w:div>
    <w:div w:id="238946302">
      <w:bodyDiv w:val="1"/>
      <w:marLeft w:val="0"/>
      <w:marRight w:val="0"/>
      <w:marTop w:val="0"/>
      <w:marBottom w:val="0"/>
      <w:divBdr>
        <w:top w:val="none" w:sz="0" w:space="0" w:color="auto"/>
        <w:left w:val="none" w:sz="0" w:space="0" w:color="auto"/>
        <w:bottom w:val="none" w:sz="0" w:space="0" w:color="auto"/>
        <w:right w:val="none" w:sz="0" w:space="0" w:color="auto"/>
      </w:divBdr>
    </w:div>
    <w:div w:id="239601198">
      <w:bodyDiv w:val="1"/>
      <w:marLeft w:val="0"/>
      <w:marRight w:val="0"/>
      <w:marTop w:val="0"/>
      <w:marBottom w:val="0"/>
      <w:divBdr>
        <w:top w:val="none" w:sz="0" w:space="0" w:color="auto"/>
        <w:left w:val="none" w:sz="0" w:space="0" w:color="auto"/>
        <w:bottom w:val="none" w:sz="0" w:space="0" w:color="auto"/>
        <w:right w:val="none" w:sz="0" w:space="0" w:color="auto"/>
      </w:divBdr>
    </w:div>
    <w:div w:id="239757455">
      <w:bodyDiv w:val="1"/>
      <w:marLeft w:val="0"/>
      <w:marRight w:val="0"/>
      <w:marTop w:val="0"/>
      <w:marBottom w:val="0"/>
      <w:divBdr>
        <w:top w:val="none" w:sz="0" w:space="0" w:color="auto"/>
        <w:left w:val="none" w:sz="0" w:space="0" w:color="auto"/>
        <w:bottom w:val="none" w:sz="0" w:space="0" w:color="auto"/>
        <w:right w:val="none" w:sz="0" w:space="0" w:color="auto"/>
      </w:divBdr>
    </w:div>
    <w:div w:id="240215456">
      <w:bodyDiv w:val="1"/>
      <w:marLeft w:val="0"/>
      <w:marRight w:val="0"/>
      <w:marTop w:val="0"/>
      <w:marBottom w:val="0"/>
      <w:divBdr>
        <w:top w:val="none" w:sz="0" w:space="0" w:color="auto"/>
        <w:left w:val="none" w:sz="0" w:space="0" w:color="auto"/>
        <w:bottom w:val="none" w:sz="0" w:space="0" w:color="auto"/>
        <w:right w:val="none" w:sz="0" w:space="0" w:color="auto"/>
      </w:divBdr>
    </w:div>
    <w:div w:id="240527498">
      <w:bodyDiv w:val="1"/>
      <w:marLeft w:val="0"/>
      <w:marRight w:val="0"/>
      <w:marTop w:val="0"/>
      <w:marBottom w:val="0"/>
      <w:divBdr>
        <w:top w:val="none" w:sz="0" w:space="0" w:color="auto"/>
        <w:left w:val="none" w:sz="0" w:space="0" w:color="auto"/>
        <w:bottom w:val="none" w:sz="0" w:space="0" w:color="auto"/>
        <w:right w:val="none" w:sz="0" w:space="0" w:color="auto"/>
      </w:divBdr>
    </w:div>
    <w:div w:id="242221638">
      <w:bodyDiv w:val="1"/>
      <w:marLeft w:val="0"/>
      <w:marRight w:val="0"/>
      <w:marTop w:val="0"/>
      <w:marBottom w:val="0"/>
      <w:divBdr>
        <w:top w:val="none" w:sz="0" w:space="0" w:color="auto"/>
        <w:left w:val="none" w:sz="0" w:space="0" w:color="auto"/>
        <w:bottom w:val="none" w:sz="0" w:space="0" w:color="auto"/>
        <w:right w:val="none" w:sz="0" w:space="0" w:color="auto"/>
      </w:divBdr>
    </w:div>
    <w:div w:id="243299851">
      <w:bodyDiv w:val="1"/>
      <w:marLeft w:val="0"/>
      <w:marRight w:val="0"/>
      <w:marTop w:val="0"/>
      <w:marBottom w:val="0"/>
      <w:divBdr>
        <w:top w:val="none" w:sz="0" w:space="0" w:color="auto"/>
        <w:left w:val="none" w:sz="0" w:space="0" w:color="auto"/>
        <w:bottom w:val="none" w:sz="0" w:space="0" w:color="auto"/>
        <w:right w:val="none" w:sz="0" w:space="0" w:color="auto"/>
      </w:divBdr>
    </w:div>
    <w:div w:id="244195035">
      <w:bodyDiv w:val="1"/>
      <w:marLeft w:val="0"/>
      <w:marRight w:val="0"/>
      <w:marTop w:val="0"/>
      <w:marBottom w:val="0"/>
      <w:divBdr>
        <w:top w:val="none" w:sz="0" w:space="0" w:color="auto"/>
        <w:left w:val="none" w:sz="0" w:space="0" w:color="auto"/>
        <w:bottom w:val="none" w:sz="0" w:space="0" w:color="auto"/>
        <w:right w:val="none" w:sz="0" w:space="0" w:color="auto"/>
      </w:divBdr>
    </w:div>
    <w:div w:id="245500602">
      <w:bodyDiv w:val="1"/>
      <w:marLeft w:val="0"/>
      <w:marRight w:val="0"/>
      <w:marTop w:val="0"/>
      <w:marBottom w:val="0"/>
      <w:divBdr>
        <w:top w:val="none" w:sz="0" w:space="0" w:color="auto"/>
        <w:left w:val="none" w:sz="0" w:space="0" w:color="auto"/>
        <w:bottom w:val="none" w:sz="0" w:space="0" w:color="auto"/>
        <w:right w:val="none" w:sz="0" w:space="0" w:color="auto"/>
      </w:divBdr>
    </w:div>
    <w:div w:id="246889932">
      <w:bodyDiv w:val="1"/>
      <w:marLeft w:val="0"/>
      <w:marRight w:val="0"/>
      <w:marTop w:val="0"/>
      <w:marBottom w:val="0"/>
      <w:divBdr>
        <w:top w:val="none" w:sz="0" w:space="0" w:color="auto"/>
        <w:left w:val="none" w:sz="0" w:space="0" w:color="auto"/>
        <w:bottom w:val="none" w:sz="0" w:space="0" w:color="auto"/>
        <w:right w:val="none" w:sz="0" w:space="0" w:color="auto"/>
      </w:divBdr>
    </w:div>
    <w:div w:id="248655557">
      <w:bodyDiv w:val="1"/>
      <w:marLeft w:val="0"/>
      <w:marRight w:val="0"/>
      <w:marTop w:val="0"/>
      <w:marBottom w:val="0"/>
      <w:divBdr>
        <w:top w:val="none" w:sz="0" w:space="0" w:color="auto"/>
        <w:left w:val="none" w:sz="0" w:space="0" w:color="auto"/>
        <w:bottom w:val="none" w:sz="0" w:space="0" w:color="auto"/>
        <w:right w:val="none" w:sz="0" w:space="0" w:color="auto"/>
      </w:divBdr>
    </w:div>
    <w:div w:id="255601241">
      <w:bodyDiv w:val="1"/>
      <w:marLeft w:val="0"/>
      <w:marRight w:val="0"/>
      <w:marTop w:val="0"/>
      <w:marBottom w:val="0"/>
      <w:divBdr>
        <w:top w:val="none" w:sz="0" w:space="0" w:color="auto"/>
        <w:left w:val="none" w:sz="0" w:space="0" w:color="auto"/>
        <w:bottom w:val="none" w:sz="0" w:space="0" w:color="auto"/>
        <w:right w:val="none" w:sz="0" w:space="0" w:color="auto"/>
      </w:divBdr>
    </w:div>
    <w:div w:id="256989187">
      <w:bodyDiv w:val="1"/>
      <w:marLeft w:val="0"/>
      <w:marRight w:val="0"/>
      <w:marTop w:val="0"/>
      <w:marBottom w:val="0"/>
      <w:divBdr>
        <w:top w:val="none" w:sz="0" w:space="0" w:color="auto"/>
        <w:left w:val="none" w:sz="0" w:space="0" w:color="auto"/>
        <w:bottom w:val="none" w:sz="0" w:space="0" w:color="auto"/>
        <w:right w:val="none" w:sz="0" w:space="0" w:color="auto"/>
      </w:divBdr>
    </w:div>
    <w:div w:id="257452174">
      <w:bodyDiv w:val="1"/>
      <w:marLeft w:val="0"/>
      <w:marRight w:val="0"/>
      <w:marTop w:val="0"/>
      <w:marBottom w:val="0"/>
      <w:divBdr>
        <w:top w:val="none" w:sz="0" w:space="0" w:color="auto"/>
        <w:left w:val="none" w:sz="0" w:space="0" w:color="auto"/>
        <w:bottom w:val="none" w:sz="0" w:space="0" w:color="auto"/>
        <w:right w:val="none" w:sz="0" w:space="0" w:color="auto"/>
      </w:divBdr>
    </w:div>
    <w:div w:id="257758905">
      <w:bodyDiv w:val="1"/>
      <w:marLeft w:val="0"/>
      <w:marRight w:val="0"/>
      <w:marTop w:val="0"/>
      <w:marBottom w:val="0"/>
      <w:divBdr>
        <w:top w:val="none" w:sz="0" w:space="0" w:color="auto"/>
        <w:left w:val="none" w:sz="0" w:space="0" w:color="auto"/>
        <w:bottom w:val="none" w:sz="0" w:space="0" w:color="auto"/>
        <w:right w:val="none" w:sz="0" w:space="0" w:color="auto"/>
      </w:divBdr>
    </w:div>
    <w:div w:id="259460517">
      <w:bodyDiv w:val="1"/>
      <w:marLeft w:val="0"/>
      <w:marRight w:val="0"/>
      <w:marTop w:val="0"/>
      <w:marBottom w:val="0"/>
      <w:divBdr>
        <w:top w:val="none" w:sz="0" w:space="0" w:color="auto"/>
        <w:left w:val="none" w:sz="0" w:space="0" w:color="auto"/>
        <w:bottom w:val="none" w:sz="0" w:space="0" w:color="auto"/>
        <w:right w:val="none" w:sz="0" w:space="0" w:color="auto"/>
      </w:divBdr>
    </w:div>
    <w:div w:id="259680603">
      <w:bodyDiv w:val="1"/>
      <w:marLeft w:val="0"/>
      <w:marRight w:val="0"/>
      <w:marTop w:val="0"/>
      <w:marBottom w:val="0"/>
      <w:divBdr>
        <w:top w:val="none" w:sz="0" w:space="0" w:color="auto"/>
        <w:left w:val="none" w:sz="0" w:space="0" w:color="auto"/>
        <w:bottom w:val="none" w:sz="0" w:space="0" w:color="auto"/>
        <w:right w:val="none" w:sz="0" w:space="0" w:color="auto"/>
      </w:divBdr>
    </w:div>
    <w:div w:id="260376601">
      <w:bodyDiv w:val="1"/>
      <w:marLeft w:val="0"/>
      <w:marRight w:val="0"/>
      <w:marTop w:val="0"/>
      <w:marBottom w:val="0"/>
      <w:divBdr>
        <w:top w:val="none" w:sz="0" w:space="0" w:color="auto"/>
        <w:left w:val="none" w:sz="0" w:space="0" w:color="auto"/>
        <w:bottom w:val="none" w:sz="0" w:space="0" w:color="auto"/>
        <w:right w:val="none" w:sz="0" w:space="0" w:color="auto"/>
      </w:divBdr>
    </w:div>
    <w:div w:id="262689538">
      <w:bodyDiv w:val="1"/>
      <w:marLeft w:val="0"/>
      <w:marRight w:val="0"/>
      <w:marTop w:val="0"/>
      <w:marBottom w:val="0"/>
      <w:divBdr>
        <w:top w:val="none" w:sz="0" w:space="0" w:color="auto"/>
        <w:left w:val="none" w:sz="0" w:space="0" w:color="auto"/>
        <w:bottom w:val="none" w:sz="0" w:space="0" w:color="auto"/>
        <w:right w:val="none" w:sz="0" w:space="0" w:color="auto"/>
      </w:divBdr>
    </w:div>
    <w:div w:id="263734952">
      <w:bodyDiv w:val="1"/>
      <w:marLeft w:val="0"/>
      <w:marRight w:val="0"/>
      <w:marTop w:val="0"/>
      <w:marBottom w:val="0"/>
      <w:divBdr>
        <w:top w:val="none" w:sz="0" w:space="0" w:color="auto"/>
        <w:left w:val="none" w:sz="0" w:space="0" w:color="auto"/>
        <w:bottom w:val="none" w:sz="0" w:space="0" w:color="auto"/>
        <w:right w:val="none" w:sz="0" w:space="0" w:color="auto"/>
      </w:divBdr>
    </w:div>
    <w:div w:id="264120865">
      <w:bodyDiv w:val="1"/>
      <w:marLeft w:val="0"/>
      <w:marRight w:val="0"/>
      <w:marTop w:val="0"/>
      <w:marBottom w:val="0"/>
      <w:divBdr>
        <w:top w:val="none" w:sz="0" w:space="0" w:color="auto"/>
        <w:left w:val="none" w:sz="0" w:space="0" w:color="auto"/>
        <w:bottom w:val="none" w:sz="0" w:space="0" w:color="auto"/>
        <w:right w:val="none" w:sz="0" w:space="0" w:color="auto"/>
      </w:divBdr>
    </w:div>
    <w:div w:id="265431500">
      <w:bodyDiv w:val="1"/>
      <w:marLeft w:val="0"/>
      <w:marRight w:val="0"/>
      <w:marTop w:val="0"/>
      <w:marBottom w:val="0"/>
      <w:divBdr>
        <w:top w:val="none" w:sz="0" w:space="0" w:color="auto"/>
        <w:left w:val="none" w:sz="0" w:space="0" w:color="auto"/>
        <w:bottom w:val="none" w:sz="0" w:space="0" w:color="auto"/>
        <w:right w:val="none" w:sz="0" w:space="0" w:color="auto"/>
      </w:divBdr>
    </w:div>
    <w:div w:id="266427354">
      <w:bodyDiv w:val="1"/>
      <w:marLeft w:val="0"/>
      <w:marRight w:val="0"/>
      <w:marTop w:val="0"/>
      <w:marBottom w:val="0"/>
      <w:divBdr>
        <w:top w:val="none" w:sz="0" w:space="0" w:color="auto"/>
        <w:left w:val="none" w:sz="0" w:space="0" w:color="auto"/>
        <w:bottom w:val="none" w:sz="0" w:space="0" w:color="auto"/>
        <w:right w:val="none" w:sz="0" w:space="0" w:color="auto"/>
      </w:divBdr>
    </w:div>
    <w:div w:id="267002983">
      <w:bodyDiv w:val="1"/>
      <w:marLeft w:val="0"/>
      <w:marRight w:val="0"/>
      <w:marTop w:val="0"/>
      <w:marBottom w:val="0"/>
      <w:divBdr>
        <w:top w:val="none" w:sz="0" w:space="0" w:color="auto"/>
        <w:left w:val="none" w:sz="0" w:space="0" w:color="auto"/>
        <w:bottom w:val="none" w:sz="0" w:space="0" w:color="auto"/>
        <w:right w:val="none" w:sz="0" w:space="0" w:color="auto"/>
      </w:divBdr>
    </w:div>
    <w:div w:id="268389053">
      <w:bodyDiv w:val="1"/>
      <w:marLeft w:val="0"/>
      <w:marRight w:val="0"/>
      <w:marTop w:val="0"/>
      <w:marBottom w:val="0"/>
      <w:divBdr>
        <w:top w:val="none" w:sz="0" w:space="0" w:color="auto"/>
        <w:left w:val="none" w:sz="0" w:space="0" w:color="auto"/>
        <w:bottom w:val="none" w:sz="0" w:space="0" w:color="auto"/>
        <w:right w:val="none" w:sz="0" w:space="0" w:color="auto"/>
      </w:divBdr>
    </w:div>
    <w:div w:id="270674119">
      <w:bodyDiv w:val="1"/>
      <w:marLeft w:val="0"/>
      <w:marRight w:val="0"/>
      <w:marTop w:val="0"/>
      <w:marBottom w:val="0"/>
      <w:divBdr>
        <w:top w:val="none" w:sz="0" w:space="0" w:color="auto"/>
        <w:left w:val="none" w:sz="0" w:space="0" w:color="auto"/>
        <w:bottom w:val="none" w:sz="0" w:space="0" w:color="auto"/>
        <w:right w:val="none" w:sz="0" w:space="0" w:color="auto"/>
      </w:divBdr>
    </w:div>
    <w:div w:id="271788969">
      <w:bodyDiv w:val="1"/>
      <w:marLeft w:val="0"/>
      <w:marRight w:val="0"/>
      <w:marTop w:val="0"/>
      <w:marBottom w:val="0"/>
      <w:divBdr>
        <w:top w:val="none" w:sz="0" w:space="0" w:color="auto"/>
        <w:left w:val="none" w:sz="0" w:space="0" w:color="auto"/>
        <w:bottom w:val="none" w:sz="0" w:space="0" w:color="auto"/>
        <w:right w:val="none" w:sz="0" w:space="0" w:color="auto"/>
      </w:divBdr>
    </w:div>
    <w:div w:id="272249151">
      <w:bodyDiv w:val="1"/>
      <w:marLeft w:val="0"/>
      <w:marRight w:val="0"/>
      <w:marTop w:val="0"/>
      <w:marBottom w:val="0"/>
      <w:divBdr>
        <w:top w:val="none" w:sz="0" w:space="0" w:color="auto"/>
        <w:left w:val="none" w:sz="0" w:space="0" w:color="auto"/>
        <w:bottom w:val="none" w:sz="0" w:space="0" w:color="auto"/>
        <w:right w:val="none" w:sz="0" w:space="0" w:color="auto"/>
      </w:divBdr>
    </w:div>
    <w:div w:id="276064421">
      <w:bodyDiv w:val="1"/>
      <w:marLeft w:val="0"/>
      <w:marRight w:val="0"/>
      <w:marTop w:val="0"/>
      <w:marBottom w:val="0"/>
      <w:divBdr>
        <w:top w:val="none" w:sz="0" w:space="0" w:color="auto"/>
        <w:left w:val="none" w:sz="0" w:space="0" w:color="auto"/>
        <w:bottom w:val="none" w:sz="0" w:space="0" w:color="auto"/>
        <w:right w:val="none" w:sz="0" w:space="0" w:color="auto"/>
      </w:divBdr>
    </w:div>
    <w:div w:id="276445903">
      <w:bodyDiv w:val="1"/>
      <w:marLeft w:val="0"/>
      <w:marRight w:val="0"/>
      <w:marTop w:val="0"/>
      <w:marBottom w:val="0"/>
      <w:divBdr>
        <w:top w:val="none" w:sz="0" w:space="0" w:color="auto"/>
        <w:left w:val="none" w:sz="0" w:space="0" w:color="auto"/>
        <w:bottom w:val="none" w:sz="0" w:space="0" w:color="auto"/>
        <w:right w:val="none" w:sz="0" w:space="0" w:color="auto"/>
      </w:divBdr>
    </w:div>
    <w:div w:id="277030956">
      <w:bodyDiv w:val="1"/>
      <w:marLeft w:val="0"/>
      <w:marRight w:val="0"/>
      <w:marTop w:val="0"/>
      <w:marBottom w:val="0"/>
      <w:divBdr>
        <w:top w:val="none" w:sz="0" w:space="0" w:color="auto"/>
        <w:left w:val="none" w:sz="0" w:space="0" w:color="auto"/>
        <w:bottom w:val="none" w:sz="0" w:space="0" w:color="auto"/>
        <w:right w:val="none" w:sz="0" w:space="0" w:color="auto"/>
      </w:divBdr>
    </w:div>
    <w:div w:id="277294341">
      <w:bodyDiv w:val="1"/>
      <w:marLeft w:val="0"/>
      <w:marRight w:val="0"/>
      <w:marTop w:val="0"/>
      <w:marBottom w:val="0"/>
      <w:divBdr>
        <w:top w:val="none" w:sz="0" w:space="0" w:color="auto"/>
        <w:left w:val="none" w:sz="0" w:space="0" w:color="auto"/>
        <w:bottom w:val="none" w:sz="0" w:space="0" w:color="auto"/>
        <w:right w:val="none" w:sz="0" w:space="0" w:color="auto"/>
      </w:divBdr>
    </w:div>
    <w:div w:id="279457296">
      <w:bodyDiv w:val="1"/>
      <w:marLeft w:val="0"/>
      <w:marRight w:val="0"/>
      <w:marTop w:val="0"/>
      <w:marBottom w:val="0"/>
      <w:divBdr>
        <w:top w:val="none" w:sz="0" w:space="0" w:color="auto"/>
        <w:left w:val="none" w:sz="0" w:space="0" w:color="auto"/>
        <w:bottom w:val="none" w:sz="0" w:space="0" w:color="auto"/>
        <w:right w:val="none" w:sz="0" w:space="0" w:color="auto"/>
      </w:divBdr>
    </w:div>
    <w:div w:id="281226088">
      <w:bodyDiv w:val="1"/>
      <w:marLeft w:val="0"/>
      <w:marRight w:val="0"/>
      <w:marTop w:val="0"/>
      <w:marBottom w:val="0"/>
      <w:divBdr>
        <w:top w:val="none" w:sz="0" w:space="0" w:color="auto"/>
        <w:left w:val="none" w:sz="0" w:space="0" w:color="auto"/>
        <w:bottom w:val="none" w:sz="0" w:space="0" w:color="auto"/>
        <w:right w:val="none" w:sz="0" w:space="0" w:color="auto"/>
      </w:divBdr>
    </w:div>
    <w:div w:id="281959079">
      <w:bodyDiv w:val="1"/>
      <w:marLeft w:val="0"/>
      <w:marRight w:val="0"/>
      <w:marTop w:val="0"/>
      <w:marBottom w:val="0"/>
      <w:divBdr>
        <w:top w:val="none" w:sz="0" w:space="0" w:color="auto"/>
        <w:left w:val="none" w:sz="0" w:space="0" w:color="auto"/>
        <w:bottom w:val="none" w:sz="0" w:space="0" w:color="auto"/>
        <w:right w:val="none" w:sz="0" w:space="0" w:color="auto"/>
      </w:divBdr>
    </w:div>
    <w:div w:id="282277101">
      <w:bodyDiv w:val="1"/>
      <w:marLeft w:val="0"/>
      <w:marRight w:val="0"/>
      <w:marTop w:val="0"/>
      <w:marBottom w:val="0"/>
      <w:divBdr>
        <w:top w:val="none" w:sz="0" w:space="0" w:color="auto"/>
        <w:left w:val="none" w:sz="0" w:space="0" w:color="auto"/>
        <w:bottom w:val="none" w:sz="0" w:space="0" w:color="auto"/>
        <w:right w:val="none" w:sz="0" w:space="0" w:color="auto"/>
      </w:divBdr>
    </w:div>
    <w:div w:id="282880720">
      <w:bodyDiv w:val="1"/>
      <w:marLeft w:val="0"/>
      <w:marRight w:val="0"/>
      <w:marTop w:val="0"/>
      <w:marBottom w:val="0"/>
      <w:divBdr>
        <w:top w:val="none" w:sz="0" w:space="0" w:color="auto"/>
        <w:left w:val="none" w:sz="0" w:space="0" w:color="auto"/>
        <w:bottom w:val="none" w:sz="0" w:space="0" w:color="auto"/>
        <w:right w:val="none" w:sz="0" w:space="0" w:color="auto"/>
      </w:divBdr>
    </w:div>
    <w:div w:id="285742448">
      <w:bodyDiv w:val="1"/>
      <w:marLeft w:val="0"/>
      <w:marRight w:val="0"/>
      <w:marTop w:val="0"/>
      <w:marBottom w:val="0"/>
      <w:divBdr>
        <w:top w:val="none" w:sz="0" w:space="0" w:color="auto"/>
        <w:left w:val="none" w:sz="0" w:space="0" w:color="auto"/>
        <w:bottom w:val="none" w:sz="0" w:space="0" w:color="auto"/>
        <w:right w:val="none" w:sz="0" w:space="0" w:color="auto"/>
      </w:divBdr>
    </w:div>
    <w:div w:id="287442532">
      <w:bodyDiv w:val="1"/>
      <w:marLeft w:val="0"/>
      <w:marRight w:val="0"/>
      <w:marTop w:val="0"/>
      <w:marBottom w:val="0"/>
      <w:divBdr>
        <w:top w:val="none" w:sz="0" w:space="0" w:color="auto"/>
        <w:left w:val="none" w:sz="0" w:space="0" w:color="auto"/>
        <w:bottom w:val="none" w:sz="0" w:space="0" w:color="auto"/>
        <w:right w:val="none" w:sz="0" w:space="0" w:color="auto"/>
      </w:divBdr>
    </w:div>
    <w:div w:id="287585761">
      <w:bodyDiv w:val="1"/>
      <w:marLeft w:val="0"/>
      <w:marRight w:val="0"/>
      <w:marTop w:val="0"/>
      <w:marBottom w:val="0"/>
      <w:divBdr>
        <w:top w:val="none" w:sz="0" w:space="0" w:color="auto"/>
        <w:left w:val="none" w:sz="0" w:space="0" w:color="auto"/>
        <w:bottom w:val="none" w:sz="0" w:space="0" w:color="auto"/>
        <w:right w:val="none" w:sz="0" w:space="0" w:color="auto"/>
      </w:divBdr>
    </w:div>
    <w:div w:id="290522016">
      <w:bodyDiv w:val="1"/>
      <w:marLeft w:val="0"/>
      <w:marRight w:val="0"/>
      <w:marTop w:val="0"/>
      <w:marBottom w:val="0"/>
      <w:divBdr>
        <w:top w:val="none" w:sz="0" w:space="0" w:color="auto"/>
        <w:left w:val="none" w:sz="0" w:space="0" w:color="auto"/>
        <w:bottom w:val="none" w:sz="0" w:space="0" w:color="auto"/>
        <w:right w:val="none" w:sz="0" w:space="0" w:color="auto"/>
      </w:divBdr>
    </w:div>
    <w:div w:id="294064633">
      <w:bodyDiv w:val="1"/>
      <w:marLeft w:val="0"/>
      <w:marRight w:val="0"/>
      <w:marTop w:val="0"/>
      <w:marBottom w:val="0"/>
      <w:divBdr>
        <w:top w:val="none" w:sz="0" w:space="0" w:color="auto"/>
        <w:left w:val="none" w:sz="0" w:space="0" w:color="auto"/>
        <w:bottom w:val="none" w:sz="0" w:space="0" w:color="auto"/>
        <w:right w:val="none" w:sz="0" w:space="0" w:color="auto"/>
      </w:divBdr>
    </w:div>
    <w:div w:id="295913271">
      <w:bodyDiv w:val="1"/>
      <w:marLeft w:val="0"/>
      <w:marRight w:val="0"/>
      <w:marTop w:val="0"/>
      <w:marBottom w:val="0"/>
      <w:divBdr>
        <w:top w:val="none" w:sz="0" w:space="0" w:color="auto"/>
        <w:left w:val="none" w:sz="0" w:space="0" w:color="auto"/>
        <w:bottom w:val="none" w:sz="0" w:space="0" w:color="auto"/>
        <w:right w:val="none" w:sz="0" w:space="0" w:color="auto"/>
      </w:divBdr>
    </w:div>
    <w:div w:id="299925264">
      <w:bodyDiv w:val="1"/>
      <w:marLeft w:val="0"/>
      <w:marRight w:val="0"/>
      <w:marTop w:val="0"/>
      <w:marBottom w:val="0"/>
      <w:divBdr>
        <w:top w:val="none" w:sz="0" w:space="0" w:color="auto"/>
        <w:left w:val="none" w:sz="0" w:space="0" w:color="auto"/>
        <w:bottom w:val="none" w:sz="0" w:space="0" w:color="auto"/>
        <w:right w:val="none" w:sz="0" w:space="0" w:color="auto"/>
      </w:divBdr>
    </w:div>
    <w:div w:id="300499169">
      <w:bodyDiv w:val="1"/>
      <w:marLeft w:val="0"/>
      <w:marRight w:val="0"/>
      <w:marTop w:val="0"/>
      <w:marBottom w:val="0"/>
      <w:divBdr>
        <w:top w:val="none" w:sz="0" w:space="0" w:color="auto"/>
        <w:left w:val="none" w:sz="0" w:space="0" w:color="auto"/>
        <w:bottom w:val="none" w:sz="0" w:space="0" w:color="auto"/>
        <w:right w:val="none" w:sz="0" w:space="0" w:color="auto"/>
      </w:divBdr>
    </w:div>
    <w:div w:id="300813543">
      <w:bodyDiv w:val="1"/>
      <w:marLeft w:val="0"/>
      <w:marRight w:val="0"/>
      <w:marTop w:val="0"/>
      <w:marBottom w:val="0"/>
      <w:divBdr>
        <w:top w:val="none" w:sz="0" w:space="0" w:color="auto"/>
        <w:left w:val="none" w:sz="0" w:space="0" w:color="auto"/>
        <w:bottom w:val="none" w:sz="0" w:space="0" w:color="auto"/>
        <w:right w:val="none" w:sz="0" w:space="0" w:color="auto"/>
      </w:divBdr>
    </w:div>
    <w:div w:id="306279974">
      <w:bodyDiv w:val="1"/>
      <w:marLeft w:val="0"/>
      <w:marRight w:val="0"/>
      <w:marTop w:val="0"/>
      <w:marBottom w:val="0"/>
      <w:divBdr>
        <w:top w:val="none" w:sz="0" w:space="0" w:color="auto"/>
        <w:left w:val="none" w:sz="0" w:space="0" w:color="auto"/>
        <w:bottom w:val="none" w:sz="0" w:space="0" w:color="auto"/>
        <w:right w:val="none" w:sz="0" w:space="0" w:color="auto"/>
      </w:divBdr>
    </w:div>
    <w:div w:id="309751222">
      <w:bodyDiv w:val="1"/>
      <w:marLeft w:val="0"/>
      <w:marRight w:val="0"/>
      <w:marTop w:val="0"/>
      <w:marBottom w:val="0"/>
      <w:divBdr>
        <w:top w:val="none" w:sz="0" w:space="0" w:color="auto"/>
        <w:left w:val="none" w:sz="0" w:space="0" w:color="auto"/>
        <w:bottom w:val="none" w:sz="0" w:space="0" w:color="auto"/>
        <w:right w:val="none" w:sz="0" w:space="0" w:color="auto"/>
      </w:divBdr>
    </w:div>
    <w:div w:id="310407714">
      <w:bodyDiv w:val="1"/>
      <w:marLeft w:val="0"/>
      <w:marRight w:val="0"/>
      <w:marTop w:val="0"/>
      <w:marBottom w:val="0"/>
      <w:divBdr>
        <w:top w:val="none" w:sz="0" w:space="0" w:color="auto"/>
        <w:left w:val="none" w:sz="0" w:space="0" w:color="auto"/>
        <w:bottom w:val="none" w:sz="0" w:space="0" w:color="auto"/>
        <w:right w:val="none" w:sz="0" w:space="0" w:color="auto"/>
      </w:divBdr>
    </w:div>
    <w:div w:id="310985649">
      <w:bodyDiv w:val="1"/>
      <w:marLeft w:val="0"/>
      <w:marRight w:val="0"/>
      <w:marTop w:val="0"/>
      <w:marBottom w:val="0"/>
      <w:divBdr>
        <w:top w:val="none" w:sz="0" w:space="0" w:color="auto"/>
        <w:left w:val="none" w:sz="0" w:space="0" w:color="auto"/>
        <w:bottom w:val="none" w:sz="0" w:space="0" w:color="auto"/>
        <w:right w:val="none" w:sz="0" w:space="0" w:color="auto"/>
      </w:divBdr>
    </w:div>
    <w:div w:id="312569620">
      <w:bodyDiv w:val="1"/>
      <w:marLeft w:val="0"/>
      <w:marRight w:val="0"/>
      <w:marTop w:val="0"/>
      <w:marBottom w:val="0"/>
      <w:divBdr>
        <w:top w:val="none" w:sz="0" w:space="0" w:color="auto"/>
        <w:left w:val="none" w:sz="0" w:space="0" w:color="auto"/>
        <w:bottom w:val="none" w:sz="0" w:space="0" w:color="auto"/>
        <w:right w:val="none" w:sz="0" w:space="0" w:color="auto"/>
      </w:divBdr>
    </w:div>
    <w:div w:id="313220157">
      <w:bodyDiv w:val="1"/>
      <w:marLeft w:val="0"/>
      <w:marRight w:val="0"/>
      <w:marTop w:val="0"/>
      <w:marBottom w:val="0"/>
      <w:divBdr>
        <w:top w:val="none" w:sz="0" w:space="0" w:color="auto"/>
        <w:left w:val="none" w:sz="0" w:space="0" w:color="auto"/>
        <w:bottom w:val="none" w:sz="0" w:space="0" w:color="auto"/>
        <w:right w:val="none" w:sz="0" w:space="0" w:color="auto"/>
      </w:divBdr>
    </w:div>
    <w:div w:id="313685861">
      <w:bodyDiv w:val="1"/>
      <w:marLeft w:val="0"/>
      <w:marRight w:val="0"/>
      <w:marTop w:val="0"/>
      <w:marBottom w:val="0"/>
      <w:divBdr>
        <w:top w:val="none" w:sz="0" w:space="0" w:color="auto"/>
        <w:left w:val="none" w:sz="0" w:space="0" w:color="auto"/>
        <w:bottom w:val="none" w:sz="0" w:space="0" w:color="auto"/>
        <w:right w:val="none" w:sz="0" w:space="0" w:color="auto"/>
      </w:divBdr>
    </w:div>
    <w:div w:id="315380385">
      <w:bodyDiv w:val="1"/>
      <w:marLeft w:val="0"/>
      <w:marRight w:val="0"/>
      <w:marTop w:val="0"/>
      <w:marBottom w:val="0"/>
      <w:divBdr>
        <w:top w:val="none" w:sz="0" w:space="0" w:color="auto"/>
        <w:left w:val="none" w:sz="0" w:space="0" w:color="auto"/>
        <w:bottom w:val="none" w:sz="0" w:space="0" w:color="auto"/>
        <w:right w:val="none" w:sz="0" w:space="0" w:color="auto"/>
      </w:divBdr>
    </w:div>
    <w:div w:id="315962187">
      <w:bodyDiv w:val="1"/>
      <w:marLeft w:val="0"/>
      <w:marRight w:val="0"/>
      <w:marTop w:val="0"/>
      <w:marBottom w:val="0"/>
      <w:divBdr>
        <w:top w:val="none" w:sz="0" w:space="0" w:color="auto"/>
        <w:left w:val="none" w:sz="0" w:space="0" w:color="auto"/>
        <w:bottom w:val="none" w:sz="0" w:space="0" w:color="auto"/>
        <w:right w:val="none" w:sz="0" w:space="0" w:color="auto"/>
      </w:divBdr>
    </w:div>
    <w:div w:id="316030546">
      <w:bodyDiv w:val="1"/>
      <w:marLeft w:val="0"/>
      <w:marRight w:val="0"/>
      <w:marTop w:val="0"/>
      <w:marBottom w:val="0"/>
      <w:divBdr>
        <w:top w:val="none" w:sz="0" w:space="0" w:color="auto"/>
        <w:left w:val="none" w:sz="0" w:space="0" w:color="auto"/>
        <w:bottom w:val="none" w:sz="0" w:space="0" w:color="auto"/>
        <w:right w:val="none" w:sz="0" w:space="0" w:color="auto"/>
      </w:divBdr>
    </w:div>
    <w:div w:id="318850393">
      <w:bodyDiv w:val="1"/>
      <w:marLeft w:val="0"/>
      <w:marRight w:val="0"/>
      <w:marTop w:val="0"/>
      <w:marBottom w:val="0"/>
      <w:divBdr>
        <w:top w:val="none" w:sz="0" w:space="0" w:color="auto"/>
        <w:left w:val="none" w:sz="0" w:space="0" w:color="auto"/>
        <w:bottom w:val="none" w:sz="0" w:space="0" w:color="auto"/>
        <w:right w:val="none" w:sz="0" w:space="0" w:color="auto"/>
      </w:divBdr>
    </w:div>
    <w:div w:id="324355531">
      <w:bodyDiv w:val="1"/>
      <w:marLeft w:val="0"/>
      <w:marRight w:val="0"/>
      <w:marTop w:val="0"/>
      <w:marBottom w:val="0"/>
      <w:divBdr>
        <w:top w:val="none" w:sz="0" w:space="0" w:color="auto"/>
        <w:left w:val="none" w:sz="0" w:space="0" w:color="auto"/>
        <w:bottom w:val="none" w:sz="0" w:space="0" w:color="auto"/>
        <w:right w:val="none" w:sz="0" w:space="0" w:color="auto"/>
      </w:divBdr>
    </w:div>
    <w:div w:id="326641371">
      <w:bodyDiv w:val="1"/>
      <w:marLeft w:val="0"/>
      <w:marRight w:val="0"/>
      <w:marTop w:val="0"/>
      <w:marBottom w:val="0"/>
      <w:divBdr>
        <w:top w:val="none" w:sz="0" w:space="0" w:color="auto"/>
        <w:left w:val="none" w:sz="0" w:space="0" w:color="auto"/>
        <w:bottom w:val="none" w:sz="0" w:space="0" w:color="auto"/>
        <w:right w:val="none" w:sz="0" w:space="0" w:color="auto"/>
      </w:divBdr>
    </w:div>
    <w:div w:id="329409869">
      <w:bodyDiv w:val="1"/>
      <w:marLeft w:val="0"/>
      <w:marRight w:val="0"/>
      <w:marTop w:val="0"/>
      <w:marBottom w:val="0"/>
      <w:divBdr>
        <w:top w:val="none" w:sz="0" w:space="0" w:color="auto"/>
        <w:left w:val="none" w:sz="0" w:space="0" w:color="auto"/>
        <w:bottom w:val="none" w:sz="0" w:space="0" w:color="auto"/>
        <w:right w:val="none" w:sz="0" w:space="0" w:color="auto"/>
      </w:divBdr>
    </w:div>
    <w:div w:id="330379578">
      <w:bodyDiv w:val="1"/>
      <w:marLeft w:val="0"/>
      <w:marRight w:val="0"/>
      <w:marTop w:val="0"/>
      <w:marBottom w:val="0"/>
      <w:divBdr>
        <w:top w:val="none" w:sz="0" w:space="0" w:color="auto"/>
        <w:left w:val="none" w:sz="0" w:space="0" w:color="auto"/>
        <w:bottom w:val="none" w:sz="0" w:space="0" w:color="auto"/>
        <w:right w:val="none" w:sz="0" w:space="0" w:color="auto"/>
      </w:divBdr>
    </w:div>
    <w:div w:id="331642406">
      <w:bodyDiv w:val="1"/>
      <w:marLeft w:val="0"/>
      <w:marRight w:val="0"/>
      <w:marTop w:val="0"/>
      <w:marBottom w:val="0"/>
      <w:divBdr>
        <w:top w:val="none" w:sz="0" w:space="0" w:color="auto"/>
        <w:left w:val="none" w:sz="0" w:space="0" w:color="auto"/>
        <w:bottom w:val="none" w:sz="0" w:space="0" w:color="auto"/>
        <w:right w:val="none" w:sz="0" w:space="0" w:color="auto"/>
      </w:divBdr>
    </w:div>
    <w:div w:id="332955156">
      <w:bodyDiv w:val="1"/>
      <w:marLeft w:val="0"/>
      <w:marRight w:val="0"/>
      <w:marTop w:val="0"/>
      <w:marBottom w:val="0"/>
      <w:divBdr>
        <w:top w:val="none" w:sz="0" w:space="0" w:color="auto"/>
        <w:left w:val="none" w:sz="0" w:space="0" w:color="auto"/>
        <w:bottom w:val="none" w:sz="0" w:space="0" w:color="auto"/>
        <w:right w:val="none" w:sz="0" w:space="0" w:color="auto"/>
      </w:divBdr>
    </w:div>
    <w:div w:id="337851988">
      <w:bodyDiv w:val="1"/>
      <w:marLeft w:val="0"/>
      <w:marRight w:val="0"/>
      <w:marTop w:val="0"/>
      <w:marBottom w:val="0"/>
      <w:divBdr>
        <w:top w:val="none" w:sz="0" w:space="0" w:color="auto"/>
        <w:left w:val="none" w:sz="0" w:space="0" w:color="auto"/>
        <w:bottom w:val="none" w:sz="0" w:space="0" w:color="auto"/>
        <w:right w:val="none" w:sz="0" w:space="0" w:color="auto"/>
      </w:divBdr>
    </w:div>
    <w:div w:id="338431343">
      <w:bodyDiv w:val="1"/>
      <w:marLeft w:val="0"/>
      <w:marRight w:val="0"/>
      <w:marTop w:val="0"/>
      <w:marBottom w:val="0"/>
      <w:divBdr>
        <w:top w:val="none" w:sz="0" w:space="0" w:color="auto"/>
        <w:left w:val="none" w:sz="0" w:space="0" w:color="auto"/>
        <w:bottom w:val="none" w:sz="0" w:space="0" w:color="auto"/>
        <w:right w:val="none" w:sz="0" w:space="0" w:color="auto"/>
      </w:divBdr>
    </w:div>
    <w:div w:id="338508893">
      <w:bodyDiv w:val="1"/>
      <w:marLeft w:val="0"/>
      <w:marRight w:val="0"/>
      <w:marTop w:val="0"/>
      <w:marBottom w:val="0"/>
      <w:divBdr>
        <w:top w:val="none" w:sz="0" w:space="0" w:color="auto"/>
        <w:left w:val="none" w:sz="0" w:space="0" w:color="auto"/>
        <w:bottom w:val="none" w:sz="0" w:space="0" w:color="auto"/>
        <w:right w:val="none" w:sz="0" w:space="0" w:color="auto"/>
      </w:divBdr>
    </w:div>
    <w:div w:id="340397534">
      <w:bodyDiv w:val="1"/>
      <w:marLeft w:val="0"/>
      <w:marRight w:val="0"/>
      <w:marTop w:val="0"/>
      <w:marBottom w:val="0"/>
      <w:divBdr>
        <w:top w:val="none" w:sz="0" w:space="0" w:color="auto"/>
        <w:left w:val="none" w:sz="0" w:space="0" w:color="auto"/>
        <w:bottom w:val="none" w:sz="0" w:space="0" w:color="auto"/>
        <w:right w:val="none" w:sz="0" w:space="0" w:color="auto"/>
      </w:divBdr>
    </w:div>
    <w:div w:id="341709183">
      <w:bodyDiv w:val="1"/>
      <w:marLeft w:val="0"/>
      <w:marRight w:val="0"/>
      <w:marTop w:val="0"/>
      <w:marBottom w:val="0"/>
      <w:divBdr>
        <w:top w:val="none" w:sz="0" w:space="0" w:color="auto"/>
        <w:left w:val="none" w:sz="0" w:space="0" w:color="auto"/>
        <w:bottom w:val="none" w:sz="0" w:space="0" w:color="auto"/>
        <w:right w:val="none" w:sz="0" w:space="0" w:color="auto"/>
      </w:divBdr>
    </w:div>
    <w:div w:id="343558402">
      <w:bodyDiv w:val="1"/>
      <w:marLeft w:val="0"/>
      <w:marRight w:val="0"/>
      <w:marTop w:val="0"/>
      <w:marBottom w:val="0"/>
      <w:divBdr>
        <w:top w:val="none" w:sz="0" w:space="0" w:color="auto"/>
        <w:left w:val="none" w:sz="0" w:space="0" w:color="auto"/>
        <w:bottom w:val="none" w:sz="0" w:space="0" w:color="auto"/>
        <w:right w:val="none" w:sz="0" w:space="0" w:color="auto"/>
      </w:divBdr>
    </w:div>
    <w:div w:id="343671540">
      <w:bodyDiv w:val="1"/>
      <w:marLeft w:val="0"/>
      <w:marRight w:val="0"/>
      <w:marTop w:val="0"/>
      <w:marBottom w:val="0"/>
      <w:divBdr>
        <w:top w:val="none" w:sz="0" w:space="0" w:color="auto"/>
        <w:left w:val="none" w:sz="0" w:space="0" w:color="auto"/>
        <w:bottom w:val="none" w:sz="0" w:space="0" w:color="auto"/>
        <w:right w:val="none" w:sz="0" w:space="0" w:color="auto"/>
      </w:divBdr>
    </w:div>
    <w:div w:id="344554778">
      <w:bodyDiv w:val="1"/>
      <w:marLeft w:val="0"/>
      <w:marRight w:val="0"/>
      <w:marTop w:val="0"/>
      <w:marBottom w:val="0"/>
      <w:divBdr>
        <w:top w:val="none" w:sz="0" w:space="0" w:color="auto"/>
        <w:left w:val="none" w:sz="0" w:space="0" w:color="auto"/>
        <w:bottom w:val="none" w:sz="0" w:space="0" w:color="auto"/>
        <w:right w:val="none" w:sz="0" w:space="0" w:color="auto"/>
      </w:divBdr>
    </w:div>
    <w:div w:id="346299489">
      <w:bodyDiv w:val="1"/>
      <w:marLeft w:val="0"/>
      <w:marRight w:val="0"/>
      <w:marTop w:val="0"/>
      <w:marBottom w:val="0"/>
      <w:divBdr>
        <w:top w:val="none" w:sz="0" w:space="0" w:color="auto"/>
        <w:left w:val="none" w:sz="0" w:space="0" w:color="auto"/>
        <w:bottom w:val="none" w:sz="0" w:space="0" w:color="auto"/>
        <w:right w:val="none" w:sz="0" w:space="0" w:color="auto"/>
      </w:divBdr>
    </w:div>
    <w:div w:id="348142697">
      <w:bodyDiv w:val="1"/>
      <w:marLeft w:val="0"/>
      <w:marRight w:val="0"/>
      <w:marTop w:val="0"/>
      <w:marBottom w:val="0"/>
      <w:divBdr>
        <w:top w:val="none" w:sz="0" w:space="0" w:color="auto"/>
        <w:left w:val="none" w:sz="0" w:space="0" w:color="auto"/>
        <w:bottom w:val="none" w:sz="0" w:space="0" w:color="auto"/>
        <w:right w:val="none" w:sz="0" w:space="0" w:color="auto"/>
      </w:divBdr>
    </w:div>
    <w:div w:id="348334883">
      <w:bodyDiv w:val="1"/>
      <w:marLeft w:val="0"/>
      <w:marRight w:val="0"/>
      <w:marTop w:val="0"/>
      <w:marBottom w:val="0"/>
      <w:divBdr>
        <w:top w:val="none" w:sz="0" w:space="0" w:color="auto"/>
        <w:left w:val="none" w:sz="0" w:space="0" w:color="auto"/>
        <w:bottom w:val="none" w:sz="0" w:space="0" w:color="auto"/>
        <w:right w:val="none" w:sz="0" w:space="0" w:color="auto"/>
      </w:divBdr>
    </w:div>
    <w:div w:id="348601778">
      <w:bodyDiv w:val="1"/>
      <w:marLeft w:val="0"/>
      <w:marRight w:val="0"/>
      <w:marTop w:val="0"/>
      <w:marBottom w:val="0"/>
      <w:divBdr>
        <w:top w:val="none" w:sz="0" w:space="0" w:color="auto"/>
        <w:left w:val="none" w:sz="0" w:space="0" w:color="auto"/>
        <w:bottom w:val="none" w:sz="0" w:space="0" w:color="auto"/>
        <w:right w:val="none" w:sz="0" w:space="0" w:color="auto"/>
      </w:divBdr>
    </w:div>
    <w:div w:id="349140258">
      <w:bodyDiv w:val="1"/>
      <w:marLeft w:val="0"/>
      <w:marRight w:val="0"/>
      <w:marTop w:val="0"/>
      <w:marBottom w:val="0"/>
      <w:divBdr>
        <w:top w:val="none" w:sz="0" w:space="0" w:color="auto"/>
        <w:left w:val="none" w:sz="0" w:space="0" w:color="auto"/>
        <w:bottom w:val="none" w:sz="0" w:space="0" w:color="auto"/>
        <w:right w:val="none" w:sz="0" w:space="0" w:color="auto"/>
      </w:divBdr>
    </w:div>
    <w:div w:id="353847571">
      <w:bodyDiv w:val="1"/>
      <w:marLeft w:val="0"/>
      <w:marRight w:val="0"/>
      <w:marTop w:val="0"/>
      <w:marBottom w:val="0"/>
      <w:divBdr>
        <w:top w:val="none" w:sz="0" w:space="0" w:color="auto"/>
        <w:left w:val="none" w:sz="0" w:space="0" w:color="auto"/>
        <w:bottom w:val="none" w:sz="0" w:space="0" w:color="auto"/>
        <w:right w:val="none" w:sz="0" w:space="0" w:color="auto"/>
      </w:divBdr>
    </w:div>
    <w:div w:id="354231756">
      <w:bodyDiv w:val="1"/>
      <w:marLeft w:val="0"/>
      <w:marRight w:val="0"/>
      <w:marTop w:val="0"/>
      <w:marBottom w:val="0"/>
      <w:divBdr>
        <w:top w:val="none" w:sz="0" w:space="0" w:color="auto"/>
        <w:left w:val="none" w:sz="0" w:space="0" w:color="auto"/>
        <w:bottom w:val="none" w:sz="0" w:space="0" w:color="auto"/>
        <w:right w:val="none" w:sz="0" w:space="0" w:color="auto"/>
      </w:divBdr>
    </w:div>
    <w:div w:id="354582159">
      <w:bodyDiv w:val="1"/>
      <w:marLeft w:val="0"/>
      <w:marRight w:val="0"/>
      <w:marTop w:val="0"/>
      <w:marBottom w:val="0"/>
      <w:divBdr>
        <w:top w:val="none" w:sz="0" w:space="0" w:color="auto"/>
        <w:left w:val="none" w:sz="0" w:space="0" w:color="auto"/>
        <w:bottom w:val="none" w:sz="0" w:space="0" w:color="auto"/>
        <w:right w:val="none" w:sz="0" w:space="0" w:color="auto"/>
      </w:divBdr>
    </w:div>
    <w:div w:id="357119333">
      <w:bodyDiv w:val="1"/>
      <w:marLeft w:val="0"/>
      <w:marRight w:val="0"/>
      <w:marTop w:val="0"/>
      <w:marBottom w:val="0"/>
      <w:divBdr>
        <w:top w:val="none" w:sz="0" w:space="0" w:color="auto"/>
        <w:left w:val="none" w:sz="0" w:space="0" w:color="auto"/>
        <w:bottom w:val="none" w:sz="0" w:space="0" w:color="auto"/>
        <w:right w:val="none" w:sz="0" w:space="0" w:color="auto"/>
      </w:divBdr>
    </w:div>
    <w:div w:id="360203625">
      <w:bodyDiv w:val="1"/>
      <w:marLeft w:val="0"/>
      <w:marRight w:val="0"/>
      <w:marTop w:val="0"/>
      <w:marBottom w:val="0"/>
      <w:divBdr>
        <w:top w:val="none" w:sz="0" w:space="0" w:color="auto"/>
        <w:left w:val="none" w:sz="0" w:space="0" w:color="auto"/>
        <w:bottom w:val="none" w:sz="0" w:space="0" w:color="auto"/>
        <w:right w:val="none" w:sz="0" w:space="0" w:color="auto"/>
      </w:divBdr>
    </w:div>
    <w:div w:id="360864952">
      <w:bodyDiv w:val="1"/>
      <w:marLeft w:val="0"/>
      <w:marRight w:val="0"/>
      <w:marTop w:val="0"/>
      <w:marBottom w:val="0"/>
      <w:divBdr>
        <w:top w:val="none" w:sz="0" w:space="0" w:color="auto"/>
        <w:left w:val="none" w:sz="0" w:space="0" w:color="auto"/>
        <w:bottom w:val="none" w:sz="0" w:space="0" w:color="auto"/>
        <w:right w:val="none" w:sz="0" w:space="0" w:color="auto"/>
      </w:divBdr>
    </w:div>
    <w:div w:id="361638983">
      <w:bodyDiv w:val="1"/>
      <w:marLeft w:val="0"/>
      <w:marRight w:val="0"/>
      <w:marTop w:val="0"/>
      <w:marBottom w:val="0"/>
      <w:divBdr>
        <w:top w:val="none" w:sz="0" w:space="0" w:color="auto"/>
        <w:left w:val="none" w:sz="0" w:space="0" w:color="auto"/>
        <w:bottom w:val="none" w:sz="0" w:space="0" w:color="auto"/>
        <w:right w:val="none" w:sz="0" w:space="0" w:color="auto"/>
      </w:divBdr>
    </w:div>
    <w:div w:id="365109565">
      <w:bodyDiv w:val="1"/>
      <w:marLeft w:val="0"/>
      <w:marRight w:val="0"/>
      <w:marTop w:val="0"/>
      <w:marBottom w:val="0"/>
      <w:divBdr>
        <w:top w:val="none" w:sz="0" w:space="0" w:color="auto"/>
        <w:left w:val="none" w:sz="0" w:space="0" w:color="auto"/>
        <w:bottom w:val="none" w:sz="0" w:space="0" w:color="auto"/>
        <w:right w:val="none" w:sz="0" w:space="0" w:color="auto"/>
      </w:divBdr>
    </w:div>
    <w:div w:id="365179385">
      <w:bodyDiv w:val="1"/>
      <w:marLeft w:val="0"/>
      <w:marRight w:val="0"/>
      <w:marTop w:val="0"/>
      <w:marBottom w:val="0"/>
      <w:divBdr>
        <w:top w:val="none" w:sz="0" w:space="0" w:color="auto"/>
        <w:left w:val="none" w:sz="0" w:space="0" w:color="auto"/>
        <w:bottom w:val="none" w:sz="0" w:space="0" w:color="auto"/>
        <w:right w:val="none" w:sz="0" w:space="0" w:color="auto"/>
      </w:divBdr>
    </w:div>
    <w:div w:id="365495411">
      <w:bodyDiv w:val="1"/>
      <w:marLeft w:val="0"/>
      <w:marRight w:val="0"/>
      <w:marTop w:val="0"/>
      <w:marBottom w:val="0"/>
      <w:divBdr>
        <w:top w:val="none" w:sz="0" w:space="0" w:color="auto"/>
        <w:left w:val="none" w:sz="0" w:space="0" w:color="auto"/>
        <w:bottom w:val="none" w:sz="0" w:space="0" w:color="auto"/>
        <w:right w:val="none" w:sz="0" w:space="0" w:color="auto"/>
      </w:divBdr>
    </w:div>
    <w:div w:id="368183117">
      <w:bodyDiv w:val="1"/>
      <w:marLeft w:val="0"/>
      <w:marRight w:val="0"/>
      <w:marTop w:val="0"/>
      <w:marBottom w:val="0"/>
      <w:divBdr>
        <w:top w:val="none" w:sz="0" w:space="0" w:color="auto"/>
        <w:left w:val="none" w:sz="0" w:space="0" w:color="auto"/>
        <w:bottom w:val="none" w:sz="0" w:space="0" w:color="auto"/>
        <w:right w:val="none" w:sz="0" w:space="0" w:color="auto"/>
      </w:divBdr>
    </w:div>
    <w:div w:id="369457040">
      <w:bodyDiv w:val="1"/>
      <w:marLeft w:val="0"/>
      <w:marRight w:val="0"/>
      <w:marTop w:val="0"/>
      <w:marBottom w:val="0"/>
      <w:divBdr>
        <w:top w:val="none" w:sz="0" w:space="0" w:color="auto"/>
        <w:left w:val="none" w:sz="0" w:space="0" w:color="auto"/>
        <w:bottom w:val="none" w:sz="0" w:space="0" w:color="auto"/>
        <w:right w:val="none" w:sz="0" w:space="0" w:color="auto"/>
      </w:divBdr>
    </w:div>
    <w:div w:id="370569218">
      <w:bodyDiv w:val="1"/>
      <w:marLeft w:val="0"/>
      <w:marRight w:val="0"/>
      <w:marTop w:val="0"/>
      <w:marBottom w:val="0"/>
      <w:divBdr>
        <w:top w:val="none" w:sz="0" w:space="0" w:color="auto"/>
        <w:left w:val="none" w:sz="0" w:space="0" w:color="auto"/>
        <w:bottom w:val="none" w:sz="0" w:space="0" w:color="auto"/>
        <w:right w:val="none" w:sz="0" w:space="0" w:color="auto"/>
      </w:divBdr>
    </w:div>
    <w:div w:id="372316131">
      <w:bodyDiv w:val="1"/>
      <w:marLeft w:val="0"/>
      <w:marRight w:val="0"/>
      <w:marTop w:val="0"/>
      <w:marBottom w:val="0"/>
      <w:divBdr>
        <w:top w:val="none" w:sz="0" w:space="0" w:color="auto"/>
        <w:left w:val="none" w:sz="0" w:space="0" w:color="auto"/>
        <w:bottom w:val="none" w:sz="0" w:space="0" w:color="auto"/>
        <w:right w:val="none" w:sz="0" w:space="0" w:color="auto"/>
      </w:divBdr>
    </w:div>
    <w:div w:id="373114860">
      <w:bodyDiv w:val="1"/>
      <w:marLeft w:val="0"/>
      <w:marRight w:val="0"/>
      <w:marTop w:val="0"/>
      <w:marBottom w:val="0"/>
      <w:divBdr>
        <w:top w:val="none" w:sz="0" w:space="0" w:color="auto"/>
        <w:left w:val="none" w:sz="0" w:space="0" w:color="auto"/>
        <w:bottom w:val="none" w:sz="0" w:space="0" w:color="auto"/>
        <w:right w:val="none" w:sz="0" w:space="0" w:color="auto"/>
      </w:divBdr>
    </w:div>
    <w:div w:id="373622048">
      <w:bodyDiv w:val="1"/>
      <w:marLeft w:val="0"/>
      <w:marRight w:val="0"/>
      <w:marTop w:val="0"/>
      <w:marBottom w:val="0"/>
      <w:divBdr>
        <w:top w:val="none" w:sz="0" w:space="0" w:color="auto"/>
        <w:left w:val="none" w:sz="0" w:space="0" w:color="auto"/>
        <w:bottom w:val="none" w:sz="0" w:space="0" w:color="auto"/>
        <w:right w:val="none" w:sz="0" w:space="0" w:color="auto"/>
      </w:divBdr>
    </w:div>
    <w:div w:id="373652318">
      <w:bodyDiv w:val="1"/>
      <w:marLeft w:val="0"/>
      <w:marRight w:val="0"/>
      <w:marTop w:val="0"/>
      <w:marBottom w:val="0"/>
      <w:divBdr>
        <w:top w:val="none" w:sz="0" w:space="0" w:color="auto"/>
        <w:left w:val="none" w:sz="0" w:space="0" w:color="auto"/>
        <w:bottom w:val="none" w:sz="0" w:space="0" w:color="auto"/>
        <w:right w:val="none" w:sz="0" w:space="0" w:color="auto"/>
      </w:divBdr>
    </w:div>
    <w:div w:id="374044856">
      <w:bodyDiv w:val="1"/>
      <w:marLeft w:val="0"/>
      <w:marRight w:val="0"/>
      <w:marTop w:val="0"/>
      <w:marBottom w:val="0"/>
      <w:divBdr>
        <w:top w:val="none" w:sz="0" w:space="0" w:color="auto"/>
        <w:left w:val="none" w:sz="0" w:space="0" w:color="auto"/>
        <w:bottom w:val="none" w:sz="0" w:space="0" w:color="auto"/>
        <w:right w:val="none" w:sz="0" w:space="0" w:color="auto"/>
      </w:divBdr>
    </w:div>
    <w:div w:id="374156237">
      <w:bodyDiv w:val="1"/>
      <w:marLeft w:val="0"/>
      <w:marRight w:val="0"/>
      <w:marTop w:val="0"/>
      <w:marBottom w:val="0"/>
      <w:divBdr>
        <w:top w:val="none" w:sz="0" w:space="0" w:color="auto"/>
        <w:left w:val="none" w:sz="0" w:space="0" w:color="auto"/>
        <w:bottom w:val="none" w:sz="0" w:space="0" w:color="auto"/>
        <w:right w:val="none" w:sz="0" w:space="0" w:color="auto"/>
      </w:divBdr>
    </w:div>
    <w:div w:id="377321455">
      <w:bodyDiv w:val="1"/>
      <w:marLeft w:val="0"/>
      <w:marRight w:val="0"/>
      <w:marTop w:val="0"/>
      <w:marBottom w:val="0"/>
      <w:divBdr>
        <w:top w:val="none" w:sz="0" w:space="0" w:color="auto"/>
        <w:left w:val="none" w:sz="0" w:space="0" w:color="auto"/>
        <w:bottom w:val="none" w:sz="0" w:space="0" w:color="auto"/>
        <w:right w:val="none" w:sz="0" w:space="0" w:color="auto"/>
      </w:divBdr>
    </w:div>
    <w:div w:id="377556878">
      <w:bodyDiv w:val="1"/>
      <w:marLeft w:val="0"/>
      <w:marRight w:val="0"/>
      <w:marTop w:val="0"/>
      <w:marBottom w:val="0"/>
      <w:divBdr>
        <w:top w:val="none" w:sz="0" w:space="0" w:color="auto"/>
        <w:left w:val="none" w:sz="0" w:space="0" w:color="auto"/>
        <w:bottom w:val="none" w:sz="0" w:space="0" w:color="auto"/>
        <w:right w:val="none" w:sz="0" w:space="0" w:color="auto"/>
      </w:divBdr>
    </w:div>
    <w:div w:id="377779085">
      <w:bodyDiv w:val="1"/>
      <w:marLeft w:val="0"/>
      <w:marRight w:val="0"/>
      <w:marTop w:val="0"/>
      <w:marBottom w:val="0"/>
      <w:divBdr>
        <w:top w:val="none" w:sz="0" w:space="0" w:color="auto"/>
        <w:left w:val="none" w:sz="0" w:space="0" w:color="auto"/>
        <w:bottom w:val="none" w:sz="0" w:space="0" w:color="auto"/>
        <w:right w:val="none" w:sz="0" w:space="0" w:color="auto"/>
      </w:divBdr>
    </w:div>
    <w:div w:id="379793778">
      <w:bodyDiv w:val="1"/>
      <w:marLeft w:val="0"/>
      <w:marRight w:val="0"/>
      <w:marTop w:val="0"/>
      <w:marBottom w:val="0"/>
      <w:divBdr>
        <w:top w:val="none" w:sz="0" w:space="0" w:color="auto"/>
        <w:left w:val="none" w:sz="0" w:space="0" w:color="auto"/>
        <w:bottom w:val="none" w:sz="0" w:space="0" w:color="auto"/>
        <w:right w:val="none" w:sz="0" w:space="0" w:color="auto"/>
      </w:divBdr>
    </w:div>
    <w:div w:id="384334645">
      <w:bodyDiv w:val="1"/>
      <w:marLeft w:val="0"/>
      <w:marRight w:val="0"/>
      <w:marTop w:val="0"/>
      <w:marBottom w:val="0"/>
      <w:divBdr>
        <w:top w:val="none" w:sz="0" w:space="0" w:color="auto"/>
        <w:left w:val="none" w:sz="0" w:space="0" w:color="auto"/>
        <w:bottom w:val="none" w:sz="0" w:space="0" w:color="auto"/>
        <w:right w:val="none" w:sz="0" w:space="0" w:color="auto"/>
      </w:divBdr>
    </w:div>
    <w:div w:id="385103498">
      <w:bodyDiv w:val="1"/>
      <w:marLeft w:val="0"/>
      <w:marRight w:val="0"/>
      <w:marTop w:val="0"/>
      <w:marBottom w:val="0"/>
      <w:divBdr>
        <w:top w:val="none" w:sz="0" w:space="0" w:color="auto"/>
        <w:left w:val="none" w:sz="0" w:space="0" w:color="auto"/>
        <w:bottom w:val="none" w:sz="0" w:space="0" w:color="auto"/>
        <w:right w:val="none" w:sz="0" w:space="0" w:color="auto"/>
      </w:divBdr>
    </w:div>
    <w:div w:id="385497468">
      <w:bodyDiv w:val="1"/>
      <w:marLeft w:val="0"/>
      <w:marRight w:val="0"/>
      <w:marTop w:val="0"/>
      <w:marBottom w:val="0"/>
      <w:divBdr>
        <w:top w:val="none" w:sz="0" w:space="0" w:color="auto"/>
        <w:left w:val="none" w:sz="0" w:space="0" w:color="auto"/>
        <w:bottom w:val="none" w:sz="0" w:space="0" w:color="auto"/>
        <w:right w:val="none" w:sz="0" w:space="0" w:color="auto"/>
      </w:divBdr>
    </w:div>
    <w:div w:id="385498095">
      <w:bodyDiv w:val="1"/>
      <w:marLeft w:val="0"/>
      <w:marRight w:val="0"/>
      <w:marTop w:val="0"/>
      <w:marBottom w:val="0"/>
      <w:divBdr>
        <w:top w:val="none" w:sz="0" w:space="0" w:color="auto"/>
        <w:left w:val="none" w:sz="0" w:space="0" w:color="auto"/>
        <w:bottom w:val="none" w:sz="0" w:space="0" w:color="auto"/>
        <w:right w:val="none" w:sz="0" w:space="0" w:color="auto"/>
      </w:divBdr>
    </w:div>
    <w:div w:id="386341764">
      <w:bodyDiv w:val="1"/>
      <w:marLeft w:val="0"/>
      <w:marRight w:val="0"/>
      <w:marTop w:val="0"/>
      <w:marBottom w:val="0"/>
      <w:divBdr>
        <w:top w:val="none" w:sz="0" w:space="0" w:color="auto"/>
        <w:left w:val="none" w:sz="0" w:space="0" w:color="auto"/>
        <w:bottom w:val="none" w:sz="0" w:space="0" w:color="auto"/>
        <w:right w:val="none" w:sz="0" w:space="0" w:color="auto"/>
      </w:divBdr>
    </w:div>
    <w:div w:id="386953793">
      <w:bodyDiv w:val="1"/>
      <w:marLeft w:val="0"/>
      <w:marRight w:val="0"/>
      <w:marTop w:val="0"/>
      <w:marBottom w:val="0"/>
      <w:divBdr>
        <w:top w:val="none" w:sz="0" w:space="0" w:color="auto"/>
        <w:left w:val="none" w:sz="0" w:space="0" w:color="auto"/>
        <w:bottom w:val="none" w:sz="0" w:space="0" w:color="auto"/>
        <w:right w:val="none" w:sz="0" w:space="0" w:color="auto"/>
      </w:divBdr>
    </w:div>
    <w:div w:id="389503609">
      <w:bodyDiv w:val="1"/>
      <w:marLeft w:val="0"/>
      <w:marRight w:val="0"/>
      <w:marTop w:val="0"/>
      <w:marBottom w:val="0"/>
      <w:divBdr>
        <w:top w:val="none" w:sz="0" w:space="0" w:color="auto"/>
        <w:left w:val="none" w:sz="0" w:space="0" w:color="auto"/>
        <w:bottom w:val="none" w:sz="0" w:space="0" w:color="auto"/>
        <w:right w:val="none" w:sz="0" w:space="0" w:color="auto"/>
      </w:divBdr>
    </w:div>
    <w:div w:id="389621152">
      <w:bodyDiv w:val="1"/>
      <w:marLeft w:val="0"/>
      <w:marRight w:val="0"/>
      <w:marTop w:val="0"/>
      <w:marBottom w:val="0"/>
      <w:divBdr>
        <w:top w:val="none" w:sz="0" w:space="0" w:color="auto"/>
        <w:left w:val="none" w:sz="0" w:space="0" w:color="auto"/>
        <w:bottom w:val="none" w:sz="0" w:space="0" w:color="auto"/>
        <w:right w:val="none" w:sz="0" w:space="0" w:color="auto"/>
      </w:divBdr>
    </w:div>
    <w:div w:id="391194225">
      <w:bodyDiv w:val="1"/>
      <w:marLeft w:val="0"/>
      <w:marRight w:val="0"/>
      <w:marTop w:val="0"/>
      <w:marBottom w:val="0"/>
      <w:divBdr>
        <w:top w:val="none" w:sz="0" w:space="0" w:color="auto"/>
        <w:left w:val="none" w:sz="0" w:space="0" w:color="auto"/>
        <w:bottom w:val="none" w:sz="0" w:space="0" w:color="auto"/>
        <w:right w:val="none" w:sz="0" w:space="0" w:color="auto"/>
      </w:divBdr>
    </w:div>
    <w:div w:id="393966865">
      <w:bodyDiv w:val="1"/>
      <w:marLeft w:val="0"/>
      <w:marRight w:val="0"/>
      <w:marTop w:val="0"/>
      <w:marBottom w:val="0"/>
      <w:divBdr>
        <w:top w:val="none" w:sz="0" w:space="0" w:color="auto"/>
        <w:left w:val="none" w:sz="0" w:space="0" w:color="auto"/>
        <w:bottom w:val="none" w:sz="0" w:space="0" w:color="auto"/>
        <w:right w:val="none" w:sz="0" w:space="0" w:color="auto"/>
      </w:divBdr>
    </w:div>
    <w:div w:id="398291383">
      <w:bodyDiv w:val="1"/>
      <w:marLeft w:val="0"/>
      <w:marRight w:val="0"/>
      <w:marTop w:val="0"/>
      <w:marBottom w:val="0"/>
      <w:divBdr>
        <w:top w:val="none" w:sz="0" w:space="0" w:color="auto"/>
        <w:left w:val="none" w:sz="0" w:space="0" w:color="auto"/>
        <w:bottom w:val="none" w:sz="0" w:space="0" w:color="auto"/>
        <w:right w:val="none" w:sz="0" w:space="0" w:color="auto"/>
      </w:divBdr>
    </w:div>
    <w:div w:id="398331549">
      <w:bodyDiv w:val="1"/>
      <w:marLeft w:val="0"/>
      <w:marRight w:val="0"/>
      <w:marTop w:val="0"/>
      <w:marBottom w:val="0"/>
      <w:divBdr>
        <w:top w:val="none" w:sz="0" w:space="0" w:color="auto"/>
        <w:left w:val="none" w:sz="0" w:space="0" w:color="auto"/>
        <w:bottom w:val="none" w:sz="0" w:space="0" w:color="auto"/>
        <w:right w:val="none" w:sz="0" w:space="0" w:color="auto"/>
      </w:divBdr>
    </w:div>
    <w:div w:id="403453401">
      <w:bodyDiv w:val="1"/>
      <w:marLeft w:val="0"/>
      <w:marRight w:val="0"/>
      <w:marTop w:val="0"/>
      <w:marBottom w:val="0"/>
      <w:divBdr>
        <w:top w:val="none" w:sz="0" w:space="0" w:color="auto"/>
        <w:left w:val="none" w:sz="0" w:space="0" w:color="auto"/>
        <w:bottom w:val="none" w:sz="0" w:space="0" w:color="auto"/>
        <w:right w:val="none" w:sz="0" w:space="0" w:color="auto"/>
      </w:divBdr>
    </w:div>
    <w:div w:id="405617777">
      <w:bodyDiv w:val="1"/>
      <w:marLeft w:val="0"/>
      <w:marRight w:val="0"/>
      <w:marTop w:val="0"/>
      <w:marBottom w:val="0"/>
      <w:divBdr>
        <w:top w:val="none" w:sz="0" w:space="0" w:color="auto"/>
        <w:left w:val="none" w:sz="0" w:space="0" w:color="auto"/>
        <w:bottom w:val="none" w:sz="0" w:space="0" w:color="auto"/>
        <w:right w:val="none" w:sz="0" w:space="0" w:color="auto"/>
      </w:divBdr>
    </w:div>
    <w:div w:id="406224623">
      <w:bodyDiv w:val="1"/>
      <w:marLeft w:val="0"/>
      <w:marRight w:val="0"/>
      <w:marTop w:val="0"/>
      <w:marBottom w:val="0"/>
      <w:divBdr>
        <w:top w:val="none" w:sz="0" w:space="0" w:color="auto"/>
        <w:left w:val="none" w:sz="0" w:space="0" w:color="auto"/>
        <w:bottom w:val="none" w:sz="0" w:space="0" w:color="auto"/>
        <w:right w:val="none" w:sz="0" w:space="0" w:color="auto"/>
      </w:divBdr>
    </w:div>
    <w:div w:id="406339652">
      <w:bodyDiv w:val="1"/>
      <w:marLeft w:val="0"/>
      <w:marRight w:val="0"/>
      <w:marTop w:val="0"/>
      <w:marBottom w:val="0"/>
      <w:divBdr>
        <w:top w:val="none" w:sz="0" w:space="0" w:color="auto"/>
        <w:left w:val="none" w:sz="0" w:space="0" w:color="auto"/>
        <w:bottom w:val="none" w:sz="0" w:space="0" w:color="auto"/>
        <w:right w:val="none" w:sz="0" w:space="0" w:color="auto"/>
      </w:divBdr>
    </w:div>
    <w:div w:id="408382587">
      <w:bodyDiv w:val="1"/>
      <w:marLeft w:val="0"/>
      <w:marRight w:val="0"/>
      <w:marTop w:val="0"/>
      <w:marBottom w:val="0"/>
      <w:divBdr>
        <w:top w:val="none" w:sz="0" w:space="0" w:color="auto"/>
        <w:left w:val="none" w:sz="0" w:space="0" w:color="auto"/>
        <w:bottom w:val="none" w:sz="0" w:space="0" w:color="auto"/>
        <w:right w:val="none" w:sz="0" w:space="0" w:color="auto"/>
      </w:divBdr>
    </w:div>
    <w:div w:id="411124127">
      <w:bodyDiv w:val="1"/>
      <w:marLeft w:val="0"/>
      <w:marRight w:val="0"/>
      <w:marTop w:val="0"/>
      <w:marBottom w:val="0"/>
      <w:divBdr>
        <w:top w:val="none" w:sz="0" w:space="0" w:color="auto"/>
        <w:left w:val="none" w:sz="0" w:space="0" w:color="auto"/>
        <w:bottom w:val="none" w:sz="0" w:space="0" w:color="auto"/>
        <w:right w:val="none" w:sz="0" w:space="0" w:color="auto"/>
      </w:divBdr>
    </w:div>
    <w:div w:id="412510086">
      <w:bodyDiv w:val="1"/>
      <w:marLeft w:val="0"/>
      <w:marRight w:val="0"/>
      <w:marTop w:val="0"/>
      <w:marBottom w:val="0"/>
      <w:divBdr>
        <w:top w:val="none" w:sz="0" w:space="0" w:color="auto"/>
        <w:left w:val="none" w:sz="0" w:space="0" w:color="auto"/>
        <w:bottom w:val="none" w:sz="0" w:space="0" w:color="auto"/>
        <w:right w:val="none" w:sz="0" w:space="0" w:color="auto"/>
      </w:divBdr>
    </w:div>
    <w:div w:id="413672079">
      <w:bodyDiv w:val="1"/>
      <w:marLeft w:val="0"/>
      <w:marRight w:val="0"/>
      <w:marTop w:val="0"/>
      <w:marBottom w:val="0"/>
      <w:divBdr>
        <w:top w:val="none" w:sz="0" w:space="0" w:color="auto"/>
        <w:left w:val="none" w:sz="0" w:space="0" w:color="auto"/>
        <w:bottom w:val="none" w:sz="0" w:space="0" w:color="auto"/>
        <w:right w:val="none" w:sz="0" w:space="0" w:color="auto"/>
      </w:divBdr>
    </w:div>
    <w:div w:id="416097774">
      <w:bodyDiv w:val="1"/>
      <w:marLeft w:val="0"/>
      <w:marRight w:val="0"/>
      <w:marTop w:val="0"/>
      <w:marBottom w:val="0"/>
      <w:divBdr>
        <w:top w:val="none" w:sz="0" w:space="0" w:color="auto"/>
        <w:left w:val="none" w:sz="0" w:space="0" w:color="auto"/>
        <w:bottom w:val="none" w:sz="0" w:space="0" w:color="auto"/>
        <w:right w:val="none" w:sz="0" w:space="0" w:color="auto"/>
      </w:divBdr>
    </w:div>
    <w:div w:id="417093876">
      <w:bodyDiv w:val="1"/>
      <w:marLeft w:val="0"/>
      <w:marRight w:val="0"/>
      <w:marTop w:val="0"/>
      <w:marBottom w:val="0"/>
      <w:divBdr>
        <w:top w:val="none" w:sz="0" w:space="0" w:color="auto"/>
        <w:left w:val="none" w:sz="0" w:space="0" w:color="auto"/>
        <w:bottom w:val="none" w:sz="0" w:space="0" w:color="auto"/>
        <w:right w:val="none" w:sz="0" w:space="0" w:color="auto"/>
      </w:divBdr>
    </w:div>
    <w:div w:id="418019252">
      <w:bodyDiv w:val="1"/>
      <w:marLeft w:val="0"/>
      <w:marRight w:val="0"/>
      <w:marTop w:val="0"/>
      <w:marBottom w:val="0"/>
      <w:divBdr>
        <w:top w:val="none" w:sz="0" w:space="0" w:color="auto"/>
        <w:left w:val="none" w:sz="0" w:space="0" w:color="auto"/>
        <w:bottom w:val="none" w:sz="0" w:space="0" w:color="auto"/>
        <w:right w:val="none" w:sz="0" w:space="0" w:color="auto"/>
      </w:divBdr>
    </w:div>
    <w:div w:id="418336844">
      <w:bodyDiv w:val="1"/>
      <w:marLeft w:val="0"/>
      <w:marRight w:val="0"/>
      <w:marTop w:val="0"/>
      <w:marBottom w:val="0"/>
      <w:divBdr>
        <w:top w:val="none" w:sz="0" w:space="0" w:color="auto"/>
        <w:left w:val="none" w:sz="0" w:space="0" w:color="auto"/>
        <w:bottom w:val="none" w:sz="0" w:space="0" w:color="auto"/>
        <w:right w:val="none" w:sz="0" w:space="0" w:color="auto"/>
      </w:divBdr>
    </w:div>
    <w:div w:id="418872362">
      <w:bodyDiv w:val="1"/>
      <w:marLeft w:val="0"/>
      <w:marRight w:val="0"/>
      <w:marTop w:val="0"/>
      <w:marBottom w:val="0"/>
      <w:divBdr>
        <w:top w:val="none" w:sz="0" w:space="0" w:color="auto"/>
        <w:left w:val="none" w:sz="0" w:space="0" w:color="auto"/>
        <w:bottom w:val="none" w:sz="0" w:space="0" w:color="auto"/>
        <w:right w:val="none" w:sz="0" w:space="0" w:color="auto"/>
      </w:divBdr>
    </w:div>
    <w:div w:id="422847031">
      <w:bodyDiv w:val="1"/>
      <w:marLeft w:val="0"/>
      <w:marRight w:val="0"/>
      <w:marTop w:val="0"/>
      <w:marBottom w:val="0"/>
      <w:divBdr>
        <w:top w:val="none" w:sz="0" w:space="0" w:color="auto"/>
        <w:left w:val="none" w:sz="0" w:space="0" w:color="auto"/>
        <w:bottom w:val="none" w:sz="0" w:space="0" w:color="auto"/>
        <w:right w:val="none" w:sz="0" w:space="0" w:color="auto"/>
      </w:divBdr>
    </w:div>
    <w:div w:id="424764368">
      <w:bodyDiv w:val="1"/>
      <w:marLeft w:val="0"/>
      <w:marRight w:val="0"/>
      <w:marTop w:val="0"/>
      <w:marBottom w:val="0"/>
      <w:divBdr>
        <w:top w:val="none" w:sz="0" w:space="0" w:color="auto"/>
        <w:left w:val="none" w:sz="0" w:space="0" w:color="auto"/>
        <w:bottom w:val="none" w:sz="0" w:space="0" w:color="auto"/>
        <w:right w:val="none" w:sz="0" w:space="0" w:color="auto"/>
      </w:divBdr>
    </w:div>
    <w:div w:id="427583839">
      <w:bodyDiv w:val="1"/>
      <w:marLeft w:val="0"/>
      <w:marRight w:val="0"/>
      <w:marTop w:val="0"/>
      <w:marBottom w:val="0"/>
      <w:divBdr>
        <w:top w:val="none" w:sz="0" w:space="0" w:color="auto"/>
        <w:left w:val="none" w:sz="0" w:space="0" w:color="auto"/>
        <w:bottom w:val="none" w:sz="0" w:space="0" w:color="auto"/>
        <w:right w:val="none" w:sz="0" w:space="0" w:color="auto"/>
      </w:divBdr>
    </w:div>
    <w:div w:id="427653714">
      <w:bodyDiv w:val="1"/>
      <w:marLeft w:val="0"/>
      <w:marRight w:val="0"/>
      <w:marTop w:val="0"/>
      <w:marBottom w:val="0"/>
      <w:divBdr>
        <w:top w:val="none" w:sz="0" w:space="0" w:color="auto"/>
        <w:left w:val="none" w:sz="0" w:space="0" w:color="auto"/>
        <w:bottom w:val="none" w:sz="0" w:space="0" w:color="auto"/>
        <w:right w:val="none" w:sz="0" w:space="0" w:color="auto"/>
      </w:divBdr>
    </w:div>
    <w:div w:id="428700233">
      <w:bodyDiv w:val="1"/>
      <w:marLeft w:val="0"/>
      <w:marRight w:val="0"/>
      <w:marTop w:val="0"/>
      <w:marBottom w:val="0"/>
      <w:divBdr>
        <w:top w:val="none" w:sz="0" w:space="0" w:color="auto"/>
        <w:left w:val="none" w:sz="0" w:space="0" w:color="auto"/>
        <w:bottom w:val="none" w:sz="0" w:space="0" w:color="auto"/>
        <w:right w:val="none" w:sz="0" w:space="0" w:color="auto"/>
      </w:divBdr>
    </w:div>
    <w:div w:id="429354984">
      <w:bodyDiv w:val="1"/>
      <w:marLeft w:val="0"/>
      <w:marRight w:val="0"/>
      <w:marTop w:val="0"/>
      <w:marBottom w:val="0"/>
      <w:divBdr>
        <w:top w:val="none" w:sz="0" w:space="0" w:color="auto"/>
        <w:left w:val="none" w:sz="0" w:space="0" w:color="auto"/>
        <w:bottom w:val="none" w:sz="0" w:space="0" w:color="auto"/>
        <w:right w:val="none" w:sz="0" w:space="0" w:color="auto"/>
      </w:divBdr>
    </w:div>
    <w:div w:id="436368214">
      <w:bodyDiv w:val="1"/>
      <w:marLeft w:val="0"/>
      <w:marRight w:val="0"/>
      <w:marTop w:val="0"/>
      <w:marBottom w:val="0"/>
      <w:divBdr>
        <w:top w:val="none" w:sz="0" w:space="0" w:color="auto"/>
        <w:left w:val="none" w:sz="0" w:space="0" w:color="auto"/>
        <w:bottom w:val="none" w:sz="0" w:space="0" w:color="auto"/>
        <w:right w:val="none" w:sz="0" w:space="0" w:color="auto"/>
      </w:divBdr>
    </w:div>
    <w:div w:id="436608371">
      <w:bodyDiv w:val="1"/>
      <w:marLeft w:val="0"/>
      <w:marRight w:val="0"/>
      <w:marTop w:val="0"/>
      <w:marBottom w:val="0"/>
      <w:divBdr>
        <w:top w:val="none" w:sz="0" w:space="0" w:color="auto"/>
        <w:left w:val="none" w:sz="0" w:space="0" w:color="auto"/>
        <w:bottom w:val="none" w:sz="0" w:space="0" w:color="auto"/>
        <w:right w:val="none" w:sz="0" w:space="0" w:color="auto"/>
      </w:divBdr>
    </w:div>
    <w:div w:id="437218866">
      <w:bodyDiv w:val="1"/>
      <w:marLeft w:val="0"/>
      <w:marRight w:val="0"/>
      <w:marTop w:val="0"/>
      <w:marBottom w:val="0"/>
      <w:divBdr>
        <w:top w:val="none" w:sz="0" w:space="0" w:color="auto"/>
        <w:left w:val="none" w:sz="0" w:space="0" w:color="auto"/>
        <w:bottom w:val="none" w:sz="0" w:space="0" w:color="auto"/>
        <w:right w:val="none" w:sz="0" w:space="0" w:color="auto"/>
      </w:divBdr>
    </w:div>
    <w:div w:id="437801793">
      <w:bodyDiv w:val="1"/>
      <w:marLeft w:val="0"/>
      <w:marRight w:val="0"/>
      <w:marTop w:val="0"/>
      <w:marBottom w:val="0"/>
      <w:divBdr>
        <w:top w:val="none" w:sz="0" w:space="0" w:color="auto"/>
        <w:left w:val="none" w:sz="0" w:space="0" w:color="auto"/>
        <w:bottom w:val="none" w:sz="0" w:space="0" w:color="auto"/>
        <w:right w:val="none" w:sz="0" w:space="0" w:color="auto"/>
      </w:divBdr>
    </w:div>
    <w:div w:id="438069847">
      <w:bodyDiv w:val="1"/>
      <w:marLeft w:val="0"/>
      <w:marRight w:val="0"/>
      <w:marTop w:val="0"/>
      <w:marBottom w:val="0"/>
      <w:divBdr>
        <w:top w:val="none" w:sz="0" w:space="0" w:color="auto"/>
        <w:left w:val="none" w:sz="0" w:space="0" w:color="auto"/>
        <w:bottom w:val="none" w:sz="0" w:space="0" w:color="auto"/>
        <w:right w:val="none" w:sz="0" w:space="0" w:color="auto"/>
      </w:divBdr>
    </w:div>
    <w:div w:id="438333140">
      <w:bodyDiv w:val="1"/>
      <w:marLeft w:val="0"/>
      <w:marRight w:val="0"/>
      <w:marTop w:val="0"/>
      <w:marBottom w:val="0"/>
      <w:divBdr>
        <w:top w:val="none" w:sz="0" w:space="0" w:color="auto"/>
        <w:left w:val="none" w:sz="0" w:space="0" w:color="auto"/>
        <w:bottom w:val="none" w:sz="0" w:space="0" w:color="auto"/>
        <w:right w:val="none" w:sz="0" w:space="0" w:color="auto"/>
      </w:divBdr>
    </w:div>
    <w:div w:id="439111061">
      <w:bodyDiv w:val="1"/>
      <w:marLeft w:val="0"/>
      <w:marRight w:val="0"/>
      <w:marTop w:val="0"/>
      <w:marBottom w:val="0"/>
      <w:divBdr>
        <w:top w:val="none" w:sz="0" w:space="0" w:color="auto"/>
        <w:left w:val="none" w:sz="0" w:space="0" w:color="auto"/>
        <w:bottom w:val="none" w:sz="0" w:space="0" w:color="auto"/>
        <w:right w:val="none" w:sz="0" w:space="0" w:color="auto"/>
      </w:divBdr>
    </w:div>
    <w:div w:id="439909987">
      <w:bodyDiv w:val="1"/>
      <w:marLeft w:val="0"/>
      <w:marRight w:val="0"/>
      <w:marTop w:val="0"/>
      <w:marBottom w:val="0"/>
      <w:divBdr>
        <w:top w:val="none" w:sz="0" w:space="0" w:color="auto"/>
        <w:left w:val="none" w:sz="0" w:space="0" w:color="auto"/>
        <w:bottom w:val="none" w:sz="0" w:space="0" w:color="auto"/>
        <w:right w:val="none" w:sz="0" w:space="0" w:color="auto"/>
      </w:divBdr>
    </w:div>
    <w:div w:id="440300684">
      <w:bodyDiv w:val="1"/>
      <w:marLeft w:val="0"/>
      <w:marRight w:val="0"/>
      <w:marTop w:val="0"/>
      <w:marBottom w:val="0"/>
      <w:divBdr>
        <w:top w:val="none" w:sz="0" w:space="0" w:color="auto"/>
        <w:left w:val="none" w:sz="0" w:space="0" w:color="auto"/>
        <w:bottom w:val="none" w:sz="0" w:space="0" w:color="auto"/>
        <w:right w:val="none" w:sz="0" w:space="0" w:color="auto"/>
      </w:divBdr>
    </w:div>
    <w:div w:id="444619609">
      <w:bodyDiv w:val="1"/>
      <w:marLeft w:val="0"/>
      <w:marRight w:val="0"/>
      <w:marTop w:val="0"/>
      <w:marBottom w:val="0"/>
      <w:divBdr>
        <w:top w:val="none" w:sz="0" w:space="0" w:color="auto"/>
        <w:left w:val="none" w:sz="0" w:space="0" w:color="auto"/>
        <w:bottom w:val="none" w:sz="0" w:space="0" w:color="auto"/>
        <w:right w:val="none" w:sz="0" w:space="0" w:color="auto"/>
      </w:divBdr>
    </w:div>
    <w:div w:id="447511281">
      <w:bodyDiv w:val="1"/>
      <w:marLeft w:val="0"/>
      <w:marRight w:val="0"/>
      <w:marTop w:val="0"/>
      <w:marBottom w:val="0"/>
      <w:divBdr>
        <w:top w:val="none" w:sz="0" w:space="0" w:color="auto"/>
        <w:left w:val="none" w:sz="0" w:space="0" w:color="auto"/>
        <w:bottom w:val="none" w:sz="0" w:space="0" w:color="auto"/>
        <w:right w:val="none" w:sz="0" w:space="0" w:color="auto"/>
      </w:divBdr>
    </w:div>
    <w:div w:id="447550451">
      <w:bodyDiv w:val="1"/>
      <w:marLeft w:val="0"/>
      <w:marRight w:val="0"/>
      <w:marTop w:val="0"/>
      <w:marBottom w:val="0"/>
      <w:divBdr>
        <w:top w:val="none" w:sz="0" w:space="0" w:color="auto"/>
        <w:left w:val="none" w:sz="0" w:space="0" w:color="auto"/>
        <w:bottom w:val="none" w:sz="0" w:space="0" w:color="auto"/>
        <w:right w:val="none" w:sz="0" w:space="0" w:color="auto"/>
      </w:divBdr>
    </w:div>
    <w:div w:id="447745373">
      <w:bodyDiv w:val="1"/>
      <w:marLeft w:val="0"/>
      <w:marRight w:val="0"/>
      <w:marTop w:val="0"/>
      <w:marBottom w:val="0"/>
      <w:divBdr>
        <w:top w:val="none" w:sz="0" w:space="0" w:color="auto"/>
        <w:left w:val="none" w:sz="0" w:space="0" w:color="auto"/>
        <w:bottom w:val="none" w:sz="0" w:space="0" w:color="auto"/>
        <w:right w:val="none" w:sz="0" w:space="0" w:color="auto"/>
      </w:divBdr>
    </w:div>
    <w:div w:id="447894092">
      <w:bodyDiv w:val="1"/>
      <w:marLeft w:val="0"/>
      <w:marRight w:val="0"/>
      <w:marTop w:val="0"/>
      <w:marBottom w:val="0"/>
      <w:divBdr>
        <w:top w:val="none" w:sz="0" w:space="0" w:color="auto"/>
        <w:left w:val="none" w:sz="0" w:space="0" w:color="auto"/>
        <w:bottom w:val="none" w:sz="0" w:space="0" w:color="auto"/>
        <w:right w:val="none" w:sz="0" w:space="0" w:color="auto"/>
      </w:divBdr>
    </w:div>
    <w:div w:id="450711360">
      <w:bodyDiv w:val="1"/>
      <w:marLeft w:val="0"/>
      <w:marRight w:val="0"/>
      <w:marTop w:val="0"/>
      <w:marBottom w:val="0"/>
      <w:divBdr>
        <w:top w:val="none" w:sz="0" w:space="0" w:color="auto"/>
        <w:left w:val="none" w:sz="0" w:space="0" w:color="auto"/>
        <w:bottom w:val="none" w:sz="0" w:space="0" w:color="auto"/>
        <w:right w:val="none" w:sz="0" w:space="0" w:color="auto"/>
      </w:divBdr>
    </w:div>
    <w:div w:id="453406951">
      <w:bodyDiv w:val="1"/>
      <w:marLeft w:val="0"/>
      <w:marRight w:val="0"/>
      <w:marTop w:val="0"/>
      <w:marBottom w:val="0"/>
      <w:divBdr>
        <w:top w:val="none" w:sz="0" w:space="0" w:color="auto"/>
        <w:left w:val="none" w:sz="0" w:space="0" w:color="auto"/>
        <w:bottom w:val="none" w:sz="0" w:space="0" w:color="auto"/>
        <w:right w:val="none" w:sz="0" w:space="0" w:color="auto"/>
      </w:divBdr>
    </w:div>
    <w:div w:id="456531104">
      <w:bodyDiv w:val="1"/>
      <w:marLeft w:val="0"/>
      <w:marRight w:val="0"/>
      <w:marTop w:val="0"/>
      <w:marBottom w:val="0"/>
      <w:divBdr>
        <w:top w:val="none" w:sz="0" w:space="0" w:color="auto"/>
        <w:left w:val="none" w:sz="0" w:space="0" w:color="auto"/>
        <w:bottom w:val="none" w:sz="0" w:space="0" w:color="auto"/>
        <w:right w:val="none" w:sz="0" w:space="0" w:color="auto"/>
      </w:divBdr>
    </w:div>
    <w:div w:id="456678825">
      <w:bodyDiv w:val="1"/>
      <w:marLeft w:val="0"/>
      <w:marRight w:val="0"/>
      <w:marTop w:val="0"/>
      <w:marBottom w:val="0"/>
      <w:divBdr>
        <w:top w:val="none" w:sz="0" w:space="0" w:color="auto"/>
        <w:left w:val="none" w:sz="0" w:space="0" w:color="auto"/>
        <w:bottom w:val="none" w:sz="0" w:space="0" w:color="auto"/>
        <w:right w:val="none" w:sz="0" w:space="0" w:color="auto"/>
      </w:divBdr>
    </w:div>
    <w:div w:id="456992271">
      <w:bodyDiv w:val="1"/>
      <w:marLeft w:val="0"/>
      <w:marRight w:val="0"/>
      <w:marTop w:val="0"/>
      <w:marBottom w:val="0"/>
      <w:divBdr>
        <w:top w:val="none" w:sz="0" w:space="0" w:color="auto"/>
        <w:left w:val="none" w:sz="0" w:space="0" w:color="auto"/>
        <w:bottom w:val="none" w:sz="0" w:space="0" w:color="auto"/>
        <w:right w:val="none" w:sz="0" w:space="0" w:color="auto"/>
      </w:divBdr>
    </w:div>
    <w:div w:id="463743907">
      <w:bodyDiv w:val="1"/>
      <w:marLeft w:val="0"/>
      <w:marRight w:val="0"/>
      <w:marTop w:val="0"/>
      <w:marBottom w:val="0"/>
      <w:divBdr>
        <w:top w:val="none" w:sz="0" w:space="0" w:color="auto"/>
        <w:left w:val="none" w:sz="0" w:space="0" w:color="auto"/>
        <w:bottom w:val="none" w:sz="0" w:space="0" w:color="auto"/>
        <w:right w:val="none" w:sz="0" w:space="0" w:color="auto"/>
      </w:divBdr>
    </w:div>
    <w:div w:id="463932997">
      <w:bodyDiv w:val="1"/>
      <w:marLeft w:val="0"/>
      <w:marRight w:val="0"/>
      <w:marTop w:val="0"/>
      <w:marBottom w:val="0"/>
      <w:divBdr>
        <w:top w:val="none" w:sz="0" w:space="0" w:color="auto"/>
        <w:left w:val="none" w:sz="0" w:space="0" w:color="auto"/>
        <w:bottom w:val="none" w:sz="0" w:space="0" w:color="auto"/>
        <w:right w:val="none" w:sz="0" w:space="0" w:color="auto"/>
      </w:divBdr>
    </w:div>
    <w:div w:id="465127834">
      <w:bodyDiv w:val="1"/>
      <w:marLeft w:val="0"/>
      <w:marRight w:val="0"/>
      <w:marTop w:val="0"/>
      <w:marBottom w:val="0"/>
      <w:divBdr>
        <w:top w:val="none" w:sz="0" w:space="0" w:color="auto"/>
        <w:left w:val="none" w:sz="0" w:space="0" w:color="auto"/>
        <w:bottom w:val="none" w:sz="0" w:space="0" w:color="auto"/>
        <w:right w:val="none" w:sz="0" w:space="0" w:color="auto"/>
      </w:divBdr>
    </w:div>
    <w:div w:id="466702894">
      <w:bodyDiv w:val="1"/>
      <w:marLeft w:val="0"/>
      <w:marRight w:val="0"/>
      <w:marTop w:val="0"/>
      <w:marBottom w:val="0"/>
      <w:divBdr>
        <w:top w:val="none" w:sz="0" w:space="0" w:color="auto"/>
        <w:left w:val="none" w:sz="0" w:space="0" w:color="auto"/>
        <w:bottom w:val="none" w:sz="0" w:space="0" w:color="auto"/>
        <w:right w:val="none" w:sz="0" w:space="0" w:color="auto"/>
      </w:divBdr>
    </w:div>
    <w:div w:id="467281464">
      <w:bodyDiv w:val="1"/>
      <w:marLeft w:val="0"/>
      <w:marRight w:val="0"/>
      <w:marTop w:val="0"/>
      <w:marBottom w:val="0"/>
      <w:divBdr>
        <w:top w:val="none" w:sz="0" w:space="0" w:color="auto"/>
        <w:left w:val="none" w:sz="0" w:space="0" w:color="auto"/>
        <w:bottom w:val="none" w:sz="0" w:space="0" w:color="auto"/>
        <w:right w:val="none" w:sz="0" w:space="0" w:color="auto"/>
      </w:divBdr>
    </w:div>
    <w:div w:id="468322576">
      <w:bodyDiv w:val="1"/>
      <w:marLeft w:val="0"/>
      <w:marRight w:val="0"/>
      <w:marTop w:val="0"/>
      <w:marBottom w:val="0"/>
      <w:divBdr>
        <w:top w:val="none" w:sz="0" w:space="0" w:color="auto"/>
        <w:left w:val="none" w:sz="0" w:space="0" w:color="auto"/>
        <w:bottom w:val="none" w:sz="0" w:space="0" w:color="auto"/>
        <w:right w:val="none" w:sz="0" w:space="0" w:color="auto"/>
      </w:divBdr>
    </w:div>
    <w:div w:id="470292268">
      <w:bodyDiv w:val="1"/>
      <w:marLeft w:val="0"/>
      <w:marRight w:val="0"/>
      <w:marTop w:val="0"/>
      <w:marBottom w:val="0"/>
      <w:divBdr>
        <w:top w:val="none" w:sz="0" w:space="0" w:color="auto"/>
        <w:left w:val="none" w:sz="0" w:space="0" w:color="auto"/>
        <w:bottom w:val="none" w:sz="0" w:space="0" w:color="auto"/>
        <w:right w:val="none" w:sz="0" w:space="0" w:color="auto"/>
      </w:divBdr>
    </w:div>
    <w:div w:id="472211405">
      <w:bodyDiv w:val="1"/>
      <w:marLeft w:val="0"/>
      <w:marRight w:val="0"/>
      <w:marTop w:val="0"/>
      <w:marBottom w:val="0"/>
      <w:divBdr>
        <w:top w:val="none" w:sz="0" w:space="0" w:color="auto"/>
        <w:left w:val="none" w:sz="0" w:space="0" w:color="auto"/>
        <w:bottom w:val="none" w:sz="0" w:space="0" w:color="auto"/>
        <w:right w:val="none" w:sz="0" w:space="0" w:color="auto"/>
      </w:divBdr>
    </w:div>
    <w:div w:id="472452026">
      <w:bodyDiv w:val="1"/>
      <w:marLeft w:val="0"/>
      <w:marRight w:val="0"/>
      <w:marTop w:val="0"/>
      <w:marBottom w:val="0"/>
      <w:divBdr>
        <w:top w:val="none" w:sz="0" w:space="0" w:color="auto"/>
        <w:left w:val="none" w:sz="0" w:space="0" w:color="auto"/>
        <w:bottom w:val="none" w:sz="0" w:space="0" w:color="auto"/>
        <w:right w:val="none" w:sz="0" w:space="0" w:color="auto"/>
      </w:divBdr>
    </w:div>
    <w:div w:id="474376274">
      <w:bodyDiv w:val="1"/>
      <w:marLeft w:val="0"/>
      <w:marRight w:val="0"/>
      <w:marTop w:val="0"/>
      <w:marBottom w:val="0"/>
      <w:divBdr>
        <w:top w:val="none" w:sz="0" w:space="0" w:color="auto"/>
        <w:left w:val="none" w:sz="0" w:space="0" w:color="auto"/>
        <w:bottom w:val="none" w:sz="0" w:space="0" w:color="auto"/>
        <w:right w:val="none" w:sz="0" w:space="0" w:color="auto"/>
      </w:divBdr>
    </w:div>
    <w:div w:id="475296126">
      <w:bodyDiv w:val="1"/>
      <w:marLeft w:val="0"/>
      <w:marRight w:val="0"/>
      <w:marTop w:val="0"/>
      <w:marBottom w:val="0"/>
      <w:divBdr>
        <w:top w:val="none" w:sz="0" w:space="0" w:color="auto"/>
        <w:left w:val="none" w:sz="0" w:space="0" w:color="auto"/>
        <w:bottom w:val="none" w:sz="0" w:space="0" w:color="auto"/>
        <w:right w:val="none" w:sz="0" w:space="0" w:color="auto"/>
      </w:divBdr>
    </w:div>
    <w:div w:id="475799994">
      <w:bodyDiv w:val="1"/>
      <w:marLeft w:val="0"/>
      <w:marRight w:val="0"/>
      <w:marTop w:val="0"/>
      <w:marBottom w:val="0"/>
      <w:divBdr>
        <w:top w:val="none" w:sz="0" w:space="0" w:color="auto"/>
        <w:left w:val="none" w:sz="0" w:space="0" w:color="auto"/>
        <w:bottom w:val="none" w:sz="0" w:space="0" w:color="auto"/>
        <w:right w:val="none" w:sz="0" w:space="0" w:color="auto"/>
      </w:divBdr>
    </w:div>
    <w:div w:id="477110272">
      <w:bodyDiv w:val="1"/>
      <w:marLeft w:val="0"/>
      <w:marRight w:val="0"/>
      <w:marTop w:val="0"/>
      <w:marBottom w:val="0"/>
      <w:divBdr>
        <w:top w:val="none" w:sz="0" w:space="0" w:color="auto"/>
        <w:left w:val="none" w:sz="0" w:space="0" w:color="auto"/>
        <w:bottom w:val="none" w:sz="0" w:space="0" w:color="auto"/>
        <w:right w:val="none" w:sz="0" w:space="0" w:color="auto"/>
      </w:divBdr>
    </w:div>
    <w:div w:id="477721855">
      <w:bodyDiv w:val="1"/>
      <w:marLeft w:val="0"/>
      <w:marRight w:val="0"/>
      <w:marTop w:val="0"/>
      <w:marBottom w:val="0"/>
      <w:divBdr>
        <w:top w:val="none" w:sz="0" w:space="0" w:color="auto"/>
        <w:left w:val="none" w:sz="0" w:space="0" w:color="auto"/>
        <w:bottom w:val="none" w:sz="0" w:space="0" w:color="auto"/>
        <w:right w:val="none" w:sz="0" w:space="0" w:color="auto"/>
      </w:divBdr>
    </w:div>
    <w:div w:id="477917249">
      <w:bodyDiv w:val="1"/>
      <w:marLeft w:val="0"/>
      <w:marRight w:val="0"/>
      <w:marTop w:val="0"/>
      <w:marBottom w:val="0"/>
      <w:divBdr>
        <w:top w:val="none" w:sz="0" w:space="0" w:color="auto"/>
        <w:left w:val="none" w:sz="0" w:space="0" w:color="auto"/>
        <w:bottom w:val="none" w:sz="0" w:space="0" w:color="auto"/>
        <w:right w:val="none" w:sz="0" w:space="0" w:color="auto"/>
      </w:divBdr>
    </w:div>
    <w:div w:id="478811675">
      <w:bodyDiv w:val="1"/>
      <w:marLeft w:val="0"/>
      <w:marRight w:val="0"/>
      <w:marTop w:val="0"/>
      <w:marBottom w:val="0"/>
      <w:divBdr>
        <w:top w:val="none" w:sz="0" w:space="0" w:color="auto"/>
        <w:left w:val="none" w:sz="0" w:space="0" w:color="auto"/>
        <w:bottom w:val="none" w:sz="0" w:space="0" w:color="auto"/>
        <w:right w:val="none" w:sz="0" w:space="0" w:color="auto"/>
      </w:divBdr>
    </w:div>
    <w:div w:id="481504362">
      <w:bodyDiv w:val="1"/>
      <w:marLeft w:val="0"/>
      <w:marRight w:val="0"/>
      <w:marTop w:val="0"/>
      <w:marBottom w:val="0"/>
      <w:divBdr>
        <w:top w:val="none" w:sz="0" w:space="0" w:color="auto"/>
        <w:left w:val="none" w:sz="0" w:space="0" w:color="auto"/>
        <w:bottom w:val="none" w:sz="0" w:space="0" w:color="auto"/>
        <w:right w:val="none" w:sz="0" w:space="0" w:color="auto"/>
      </w:divBdr>
    </w:div>
    <w:div w:id="483738633">
      <w:bodyDiv w:val="1"/>
      <w:marLeft w:val="0"/>
      <w:marRight w:val="0"/>
      <w:marTop w:val="0"/>
      <w:marBottom w:val="0"/>
      <w:divBdr>
        <w:top w:val="none" w:sz="0" w:space="0" w:color="auto"/>
        <w:left w:val="none" w:sz="0" w:space="0" w:color="auto"/>
        <w:bottom w:val="none" w:sz="0" w:space="0" w:color="auto"/>
        <w:right w:val="none" w:sz="0" w:space="0" w:color="auto"/>
      </w:divBdr>
    </w:div>
    <w:div w:id="484704687">
      <w:bodyDiv w:val="1"/>
      <w:marLeft w:val="0"/>
      <w:marRight w:val="0"/>
      <w:marTop w:val="0"/>
      <w:marBottom w:val="0"/>
      <w:divBdr>
        <w:top w:val="none" w:sz="0" w:space="0" w:color="auto"/>
        <w:left w:val="none" w:sz="0" w:space="0" w:color="auto"/>
        <w:bottom w:val="none" w:sz="0" w:space="0" w:color="auto"/>
        <w:right w:val="none" w:sz="0" w:space="0" w:color="auto"/>
      </w:divBdr>
    </w:div>
    <w:div w:id="486239639">
      <w:bodyDiv w:val="1"/>
      <w:marLeft w:val="0"/>
      <w:marRight w:val="0"/>
      <w:marTop w:val="0"/>
      <w:marBottom w:val="0"/>
      <w:divBdr>
        <w:top w:val="none" w:sz="0" w:space="0" w:color="auto"/>
        <w:left w:val="none" w:sz="0" w:space="0" w:color="auto"/>
        <w:bottom w:val="none" w:sz="0" w:space="0" w:color="auto"/>
        <w:right w:val="none" w:sz="0" w:space="0" w:color="auto"/>
      </w:divBdr>
    </w:div>
    <w:div w:id="486439182">
      <w:bodyDiv w:val="1"/>
      <w:marLeft w:val="0"/>
      <w:marRight w:val="0"/>
      <w:marTop w:val="0"/>
      <w:marBottom w:val="0"/>
      <w:divBdr>
        <w:top w:val="none" w:sz="0" w:space="0" w:color="auto"/>
        <w:left w:val="none" w:sz="0" w:space="0" w:color="auto"/>
        <w:bottom w:val="none" w:sz="0" w:space="0" w:color="auto"/>
        <w:right w:val="none" w:sz="0" w:space="0" w:color="auto"/>
      </w:divBdr>
    </w:div>
    <w:div w:id="486745320">
      <w:bodyDiv w:val="1"/>
      <w:marLeft w:val="0"/>
      <w:marRight w:val="0"/>
      <w:marTop w:val="0"/>
      <w:marBottom w:val="0"/>
      <w:divBdr>
        <w:top w:val="none" w:sz="0" w:space="0" w:color="auto"/>
        <w:left w:val="none" w:sz="0" w:space="0" w:color="auto"/>
        <w:bottom w:val="none" w:sz="0" w:space="0" w:color="auto"/>
        <w:right w:val="none" w:sz="0" w:space="0" w:color="auto"/>
      </w:divBdr>
    </w:div>
    <w:div w:id="486820980">
      <w:bodyDiv w:val="1"/>
      <w:marLeft w:val="0"/>
      <w:marRight w:val="0"/>
      <w:marTop w:val="0"/>
      <w:marBottom w:val="0"/>
      <w:divBdr>
        <w:top w:val="none" w:sz="0" w:space="0" w:color="auto"/>
        <w:left w:val="none" w:sz="0" w:space="0" w:color="auto"/>
        <w:bottom w:val="none" w:sz="0" w:space="0" w:color="auto"/>
        <w:right w:val="none" w:sz="0" w:space="0" w:color="auto"/>
      </w:divBdr>
    </w:div>
    <w:div w:id="488132681">
      <w:bodyDiv w:val="1"/>
      <w:marLeft w:val="0"/>
      <w:marRight w:val="0"/>
      <w:marTop w:val="0"/>
      <w:marBottom w:val="0"/>
      <w:divBdr>
        <w:top w:val="none" w:sz="0" w:space="0" w:color="auto"/>
        <w:left w:val="none" w:sz="0" w:space="0" w:color="auto"/>
        <w:bottom w:val="none" w:sz="0" w:space="0" w:color="auto"/>
        <w:right w:val="none" w:sz="0" w:space="0" w:color="auto"/>
      </w:divBdr>
    </w:div>
    <w:div w:id="489711535">
      <w:bodyDiv w:val="1"/>
      <w:marLeft w:val="0"/>
      <w:marRight w:val="0"/>
      <w:marTop w:val="0"/>
      <w:marBottom w:val="0"/>
      <w:divBdr>
        <w:top w:val="none" w:sz="0" w:space="0" w:color="auto"/>
        <w:left w:val="none" w:sz="0" w:space="0" w:color="auto"/>
        <w:bottom w:val="none" w:sz="0" w:space="0" w:color="auto"/>
        <w:right w:val="none" w:sz="0" w:space="0" w:color="auto"/>
      </w:divBdr>
    </w:div>
    <w:div w:id="490369041">
      <w:bodyDiv w:val="1"/>
      <w:marLeft w:val="0"/>
      <w:marRight w:val="0"/>
      <w:marTop w:val="0"/>
      <w:marBottom w:val="0"/>
      <w:divBdr>
        <w:top w:val="none" w:sz="0" w:space="0" w:color="auto"/>
        <w:left w:val="none" w:sz="0" w:space="0" w:color="auto"/>
        <w:bottom w:val="none" w:sz="0" w:space="0" w:color="auto"/>
        <w:right w:val="none" w:sz="0" w:space="0" w:color="auto"/>
      </w:divBdr>
    </w:div>
    <w:div w:id="491677973">
      <w:bodyDiv w:val="1"/>
      <w:marLeft w:val="0"/>
      <w:marRight w:val="0"/>
      <w:marTop w:val="0"/>
      <w:marBottom w:val="0"/>
      <w:divBdr>
        <w:top w:val="none" w:sz="0" w:space="0" w:color="auto"/>
        <w:left w:val="none" w:sz="0" w:space="0" w:color="auto"/>
        <w:bottom w:val="none" w:sz="0" w:space="0" w:color="auto"/>
        <w:right w:val="none" w:sz="0" w:space="0" w:color="auto"/>
      </w:divBdr>
    </w:div>
    <w:div w:id="492062134">
      <w:bodyDiv w:val="1"/>
      <w:marLeft w:val="0"/>
      <w:marRight w:val="0"/>
      <w:marTop w:val="0"/>
      <w:marBottom w:val="0"/>
      <w:divBdr>
        <w:top w:val="none" w:sz="0" w:space="0" w:color="auto"/>
        <w:left w:val="none" w:sz="0" w:space="0" w:color="auto"/>
        <w:bottom w:val="none" w:sz="0" w:space="0" w:color="auto"/>
        <w:right w:val="none" w:sz="0" w:space="0" w:color="auto"/>
      </w:divBdr>
    </w:div>
    <w:div w:id="492836846">
      <w:bodyDiv w:val="1"/>
      <w:marLeft w:val="0"/>
      <w:marRight w:val="0"/>
      <w:marTop w:val="0"/>
      <w:marBottom w:val="0"/>
      <w:divBdr>
        <w:top w:val="none" w:sz="0" w:space="0" w:color="auto"/>
        <w:left w:val="none" w:sz="0" w:space="0" w:color="auto"/>
        <w:bottom w:val="none" w:sz="0" w:space="0" w:color="auto"/>
        <w:right w:val="none" w:sz="0" w:space="0" w:color="auto"/>
      </w:divBdr>
    </w:div>
    <w:div w:id="493297436">
      <w:bodyDiv w:val="1"/>
      <w:marLeft w:val="0"/>
      <w:marRight w:val="0"/>
      <w:marTop w:val="0"/>
      <w:marBottom w:val="0"/>
      <w:divBdr>
        <w:top w:val="none" w:sz="0" w:space="0" w:color="auto"/>
        <w:left w:val="none" w:sz="0" w:space="0" w:color="auto"/>
        <w:bottom w:val="none" w:sz="0" w:space="0" w:color="auto"/>
        <w:right w:val="none" w:sz="0" w:space="0" w:color="auto"/>
      </w:divBdr>
    </w:div>
    <w:div w:id="495728868">
      <w:bodyDiv w:val="1"/>
      <w:marLeft w:val="0"/>
      <w:marRight w:val="0"/>
      <w:marTop w:val="0"/>
      <w:marBottom w:val="0"/>
      <w:divBdr>
        <w:top w:val="none" w:sz="0" w:space="0" w:color="auto"/>
        <w:left w:val="none" w:sz="0" w:space="0" w:color="auto"/>
        <w:bottom w:val="none" w:sz="0" w:space="0" w:color="auto"/>
        <w:right w:val="none" w:sz="0" w:space="0" w:color="auto"/>
      </w:divBdr>
    </w:div>
    <w:div w:id="495845808">
      <w:bodyDiv w:val="1"/>
      <w:marLeft w:val="0"/>
      <w:marRight w:val="0"/>
      <w:marTop w:val="0"/>
      <w:marBottom w:val="0"/>
      <w:divBdr>
        <w:top w:val="none" w:sz="0" w:space="0" w:color="auto"/>
        <w:left w:val="none" w:sz="0" w:space="0" w:color="auto"/>
        <w:bottom w:val="none" w:sz="0" w:space="0" w:color="auto"/>
        <w:right w:val="none" w:sz="0" w:space="0" w:color="auto"/>
      </w:divBdr>
    </w:div>
    <w:div w:id="496310584">
      <w:bodyDiv w:val="1"/>
      <w:marLeft w:val="0"/>
      <w:marRight w:val="0"/>
      <w:marTop w:val="0"/>
      <w:marBottom w:val="0"/>
      <w:divBdr>
        <w:top w:val="none" w:sz="0" w:space="0" w:color="auto"/>
        <w:left w:val="none" w:sz="0" w:space="0" w:color="auto"/>
        <w:bottom w:val="none" w:sz="0" w:space="0" w:color="auto"/>
        <w:right w:val="none" w:sz="0" w:space="0" w:color="auto"/>
      </w:divBdr>
    </w:div>
    <w:div w:id="497768711">
      <w:bodyDiv w:val="1"/>
      <w:marLeft w:val="0"/>
      <w:marRight w:val="0"/>
      <w:marTop w:val="0"/>
      <w:marBottom w:val="0"/>
      <w:divBdr>
        <w:top w:val="none" w:sz="0" w:space="0" w:color="auto"/>
        <w:left w:val="none" w:sz="0" w:space="0" w:color="auto"/>
        <w:bottom w:val="none" w:sz="0" w:space="0" w:color="auto"/>
        <w:right w:val="none" w:sz="0" w:space="0" w:color="auto"/>
      </w:divBdr>
    </w:div>
    <w:div w:id="498153768">
      <w:bodyDiv w:val="1"/>
      <w:marLeft w:val="0"/>
      <w:marRight w:val="0"/>
      <w:marTop w:val="0"/>
      <w:marBottom w:val="0"/>
      <w:divBdr>
        <w:top w:val="none" w:sz="0" w:space="0" w:color="auto"/>
        <w:left w:val="none" w:sz="0" w:space="0" w:color="auto"/>
        <w:bottom w:val="none" w:sz="0" w:space="0" w:color="auto"/>
        <w:right w:val="none" w:sz="0" w:space="0" w:color="auto"/>
      </w:divBdr>
    </w:div>
    <w:div w:id="500851009">
      <w:bodyDiv w:val="1"/>
      <w:marLeft w:val="0"/>
      <w:marRight w:val="0"/>
      <w:marTop w:val="0"/>
      <w:marBottom w:val="0"/>
      <w:divBdr>
        <w:top w:val="none" w:sz="0" w:space="0" w:color="auto"/>
        <w:left w:val="none" w:sz="0" w:space="0" w:color="auto"/>
        <w:bottom w:val="none" w:sz="0" w:space="0" w:color="auto"/>
        <w:right w:val="none" w:sz="0" w:space="0" w:color="auto"/>
      </w:divBdr>
    </w:div>
    <w:div w:id="501361011">
      <w:bodyDiv w:val="1"/>
      <w:marLeft w:val="0"/>
      <w:marRight w:val="0"/>
      <w:marTop w:val="0"/>
      <w:marBottom w:val="0"/>
      <w:divBdr>
        <w:top w:val="none" w:sz="0" w:space="0" w:color="auto"/>
        <w:left w:val="none" w:sz="0" w:space="0" w:color="auto"/>
        <w:bottom w:val="none" w:sz="0" w:space="0" w:color="auto"/>
        <w:right w:val="none" w:sz="0" w:space="0" w:color="auto"/>
      </w:divBdr>
    </w:div>
    <w:div w:id="501819990">
      <w:bodyDiv w:val="1"/>
      <w:marLeft w:val="0"/>
      <w:marRight w:val="0"/>
      <w:marTop w:val="0"/>
      <w:marBottom w:val="0"/>
      <w:divBdr>
        <w:top w:val="none" w:sz="0" w:space="0" w:color="auto"/>
        <w:left w:val="none" w:sz="0" w:space="0" w:color="auto"/>
        <w:bottom w:val="none" w:sz="0" w:space="0" w:color="auto"/>
        <w:right w:val="none" w:sz="0" w:space="0" w:color="auto"/>
      </w:divBdr>
    </w:div>
    <w:div w:id="502473783">
      <w:bodyDiv w:val="1"/>
      <w:marLeft w:val="0"/>
      <w:marRight w:val="0"/>
      <w:marTop w:val="0"/>
      <w:marBottom w:val="0"/>
      <w:divBdr>
        <w:top w:val="none" w:sz="0" w:space="0" w:color="auto"/>
        <w:left w:val="none" w:sz="0" w:space="0" w:color="auto"/>
        <w:bottom w:val="none" w:sz="0" w:space="0" w:color="auto"/>
        <w:right w:val="none" w:sz="0" w:space="0" w:color="auto"/>
      </w:divBdr>
    </w:div>
    <w:div w:id="503862372">
      <w:bodyDiv w:val="1"/>
      <w:marLeft w:val="0"/>
      <w:marRight w:val="0"/>
      <w:marTop w:val="0"/>
      <w:marBottom w:val="0"/>
      <w:divBdr>
        <w:top w:val="none" w:sz="0" w:space="0" w:color="auto"/>
        <w:left w:val="none" w:sz="0" w:space="0" w:color="auto"/>
        <w:bottom w:val="none" w:sz="0" w:space="0" w:color="auto"/>
        <w:right w:val="none" w:sz="0" w:space="0" w:color="auto"/>
      </w:divBdr>
    </w:div>
    <w:div w:id="503976040">
      <w:bodyDiv w:val="1"/>
      <w:marLeft w:val="0"/>
      <w:marRight w:val="0"/>
      <w:marTop w:val="0"/>
      <w:marBottom w:val="0"/>
      <w:divBdr>
        <w:top w:val="none" w:sz="0" w:space="0" w:color="auto"/>
        <w:left w:val="none" w:sz="0" w:space="0" w:color="auto"/>
        <w:bottom w:val="none" w:sz="0" w:space="0" w:color="auto"/>
        <w:right w:val="none" w:sz="0" w:space="0" w:color="auto"/>
      </w:divBdr>
    </w:div>
    <w:div w:id="508713189">
      <w:bodyDiv w:val="1"/>
      <w:marLeft w:val="0"/>
      <w:marRight w:val="0"/>
      <w:marTop w:val="0"/>
      <w:marBottom w:val="0"/>
      <w:divBdr>
        <w:top w:val="none" w:sz="0" w:space="0" w:color="auto"/>
        <w:left w:val="none" w:sz="0" w:space="0" w:color="auto"/>
        <w:bottom w:val="none" w:sz="0" w:space="0" w:color="auto"/>
        <w:right w:val="none" w:sz="0" w:space="0" w:color="auto"/>
      </w:divBdr>
    </w:div>
    <w:div w:id="512841819">
      <w:bodyDiv w:val="1"/>
      <w:marLeft w:val="0"/>
      <w:marRight w:val="0"/>
      <w:marTop w:val="0"/>
      <w:marBottom w:val="0"/>
      <w:divBdr>
        <w:top w:val="none" w:sz="0" w:space="0" w:color="auto"/>
        <w:left w:val="none" w:sz="0" w:space="0" w:color="auto"/>
        <w:bottom w:val="none" w:sz="0" w:space="0" w:color="auto"/>
        <w:right w:val="none" w:sz="0" w:space="0" w:color="auto"/>
      </w:divBdr>
    </w:div>
    <w:div w:id="516117970">
      <w:bodyDiv w:val="1"/>
      <w:marLeft w:val="0"/>
      <w:marRight w:val="0"/>
      <w:marTop w:val="0"/>
      <w:marBottom w:val="0"/>
      <w:divBdr>
        <w:top w:val="none" w:sz="0" w:space="0" w:color="auto"/>
        <w:left w:val="none" w:sz="0" w:space="0" w:color="auto"/>
        <w:bottom w:val="none" w:sz="0" w:space="0" w:color="auto"/>
        <w:right w:val="none" w:sz="0" w:space="0" w:color="auto"/>
      </w:divBdr>
    </w:div>
    <w:div w:id="517620059">
      <w:bodyDiv w:val="1"/>
      <w:marLeft w:val="0"/>
      <w:marRight w:val="0"/>
      <w:marTop w:val="0"/>
      <w:marBottom w:val="0"/>
      <w:divBdr>
        <w:top w:val="none" w:sz="0" w:space="0" w:color="auto"/>
        <w:left w:val="none" w:sz="0" w:space="0" w:color="auto"/>
        <w:bottom w:val="none" w:sz="0" w:space="0" w:color="auto"/>
        <w:right w:val="none" w:sz="0" w:space="0" w:color="auto"/>
      </w:divBdr>
    </w:div>
    <w:div w:id="518734497">
      <w:bodyDiv w:val="1"/>
      <w:marLeft w:val="0"/>
      <w:marRight w:val="0"/>
      <w:marTop w:val="0"/>
      <w:marBottom w:val="0"/>
      <w:divBdr>
        <w:top w:val="none" w:sz="0" w:space="0" w:color="auto"/>
        <w:left w:val="none" w:sz="0" w:space="0" w:color="auto"/>
        <w:bottom w:val="none" w:sz="0" w:space="0" w:color="auto"/>
        <w:right w:val="none" w:sz="0" w:space="0" w:color="auto"/>
      </w:divBdr>
    </w:div>
    <w:div w:id="519783293">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24829796">
      <w:bodyDiv w:val="1"/>
      <w:marLeft w:val="0"/>
      <w:marRight w:val="0"/>
      <w:marTop w:val="0"/>
      <w:marBottom w:val="0"/>
      <w:divBdr>
        <w:top w:val="none" w:sz="0" w:space="0" w:color="auto"/>
        <w:left w:val="none" w:sz="0" w:space="0" w:color="auto"/>
        <w:bottom w:val="none" w:sz="0" w:space="0" w:color="auto"/>
        <w:right w:val="none" w:sz="0" w:space="0" w:color="auto"/>
      </w:divBdr>
    </w:div>
    <w:div w:id="526407921">
      <w:bodyDiv w:val="1"/>
      <w:marLeft w:val="0"/>
      <w:marRight w:val="0"/>
      <w:marTop w:val="0"/>
      <w:marBottom w:val="0"/>
      <w:divBdr>
        <w:top w:val="none" w:sz="0" w:space="0" w:color="auto"/>
        <w:left w:val="none" w:sz="0" w:space="0" w:color="auto"/>
        <w:bottom w:val="none" w:sz="0" w:space="0" w:color="auto"/>
        <w:right w:val="none" w:sz="0" w:space="0" w:color="auto"/>
      </w:divBdr>
    </w:div>
    <w:div w:id="526910472">
      <w:bodyDiv w:val="1"/>
      <w:marLeft w:val="0"/>
      <w:marRight w:val="0"/>
      <w:marTop w:val="0"/>
      <w:marBottom w:val="0"/>
      <w:divBdr>
        <w:top w:val="none" w:sz="0" w:space="0" w:color="auto"/>
        <w:left w:val="none" w:sz="0" w:space="0" w:color="auto"/>
        <w:bottom w:val="none" w:sz="0" w:space="0" w:color="auto"/>
        <w:right w:val="none" w:sz="0" w:space="0" w:color="auto"/>
      </w:divBdr>
    </w:div>
    <w:div w:id="528638666">
      <w:bodyDiv w:val="1"/>
      <w:marLeft w:val="0"/>
      <w:marRight w:val="0"/>
      <w:marTop w:val="0"/>
      <w:marBottom w:val="0"/>
      <w:divBdr>
        <w:top w:val="none" w:sz="0" w:space="0" w:color="auto"/>
        <w:left w:val="none" w:sz="0" w:space="0" w:color="auto"/>
        <w:bottom w:val="none" w:sz="0" w:space="0" w:color="auto"/>
        <w:right w:val="none" w:sz="0" w:space="0" w:color="auto"/>
      </w:divBdr>
    </w:div>
    <w:div w:id="528950599">
      <w:bodyDiv w:val="1"/>
      <w:marLeft w:val="0"/>
      <w:marRight w:val="0"/>
      <w:marTop w:val="0"/>
      <w:marBottom w:val="0"/>
      <w:divBdr>
        <w:top w:val="none" w:sz="0" w:space="0" w:color="auto"/>
        <w:left w:val="none" w:sz="0" w:space="0" w:color="auto"/>
        <w:bottom w:val="none" w:sz="0" w:space="0" w:color="auto"/>
        <w:right w:val="none" w:sz="0" w:space="0" w:color="auto"/>
      </w:divBdr>
    </w:div>
    <w:div w:id="529226119">
      <w:bodyDiv w:val="1"/>
      <w:marLeft w:val="0"/>
      <w:marRight w:val="0"/>
      <w:marTop w:val="0"/>
      <w:marBottom w:val="0"/>
      <w:divBdr>
        <w:top w:val="none" w:sz="0" w:space="0" w:color="auto"/>
        <w:left w:val="none" w:sz="0" w:space="0" w:color="auto"/>
        <w:bottom w:val="none" w:sz="0" w:space="0" w:color="auto"/>
        <w:right w:val="none" w:sz="0" w:space="0" w:color="auto"/>
      </w:divBdr>
    </w:div>
    <w:div w:id="529338423">
      <w:bodyDiv w:val="1"/>
      <w:marLeft w:val="0"/>
      <w:marRight w:val="0"/>
      <w:marTop w:val="0"/>
      <w:marBottom w:val="0"/>
      <w:divBdr>
        <w:top w:val="none" w:sz="0" w:space="0" w:color="auto"/>
        <w:left w:val="none" w:sz="0" w:space="0" w:color="auto"/>
        <w:bottom w:val="none" w:sz="0" w:space="0" w:color="auto"/>
        <w:right w:val="none" w:sz="0" w:space="0" w:color="auto"/>
      </w:divBdr>
    </w:div>
    <w:div w:id="532229770">
      <w:bodyDiv w:val="1"/>
      <w:marLeft w:val="0"/>
      <w:marRight w:val="0"/>
      <w:marTop w:val="0"/>
      <w:marBottom w:val="0"/>
      <w:divBdr>
        <w:top w:val="none" w:sz="0" w:space="0" w:color="auto"/>
        <w:left w:val="none" w:sz="0" w:space="0" w:color="auto"/>
        <w:bottom w:val="none" w:sz="0" w:space="0" w:color="auto"/>
        <w:right w:val="none" w:sz="0" w:space="0" w:color="auto"/>
      </w:divBdr>
    </w:div>
    <w:div w:id="539513125">
      <w:bodyDiv w:val="1"/>
      <w:marLeft w:val="0"/>
      <w:marRight w:val="0"/>
      <w:marTop w:val="0"/>
      <w:marBottom w:val="0"/>
      <w:divBdr>
        <w:top w:val="none" w:sz="0" w:space="0" w:color="auto"/>
        <w:left w:val="none" w:sz="0" w:space="0" w:color="auto"/>
        <w:bottom w:val="none" w:sz="0" w:space="0" w:color="auto"/>
        <w:right w:val="none" w:sz="0" w:space="0" w:color="auto"/>
      </w:divBdr>
    </w:div>
    <w:div w:id="539825072">
      <w:bodyDiv w:val="1"/>
      <w:marLeft w:val="0"/>
      <w:marRight w:val="0"/>
      <w:marTop w:val="0"/>
      <w:marBottom w:val="0"/>
      <w:divBdr>
        <w:top w:val="none" w:sz="0" w:space="0" w:color="auto"/>
        <w:left w:val="none" w:sz="0" w:space="0" w:color="auto"/>
        <w:bottom w:val="none" w:sz="0" w:space="0" w:color="auto"/>
        <w:right w:val="none" w:sz="0" w:space="0" w:color="auto"/>
      </w:divBdr>
    </w:div>
    <w:div w:id="540365770">
      <w:bodyDiv w:val="1"/>
      <w:marLeft w:val="0"/>
      <w:marRight w:val="0"/>
      <w:marTop w:val="0"/>
      <w:marBottom w:val="0"/>
      <w:divBdr>
        <w:top w:val="none" w:sz="0" w:space="0" w:color="auto"/>
        <w:left w:val="none" w:sz="0" w:space="0" w:color="auto"/>
        <w:bottom w:val="none" w:sz="0" w:space="0" w:color="auto"/>
        <w:right w:val="none" w:sz="0" w:space="0" w:color="auto"/>
      </w:divBdr>
    </w:div>
    <w:div w:id="543757338">
      <w:bodyDiv w:val="1"/>
      <w:marLeft w:val="0"/>
      <w:marRight w:val="0"/>
      <w:marTop w:val="0"/>
      <w:marBottom w:val="0"/>
      <w:divBdr>
        <w:top w:val="none" w:sz="0" w:space="0" w:color="auto"/>
        <w:left w:val="none" w:sz="0" w:space="0" w:color="auto"/>
        <w:bottom w:val="none" w:sz="0" w:space="0" w:color="auto"/>
        <w:right w:val="none" w:sz="0" w:space="0" w:color="auto"/>
      </w:divBdr>
    </w:div>
    <w:div w:id="545874610">
      <w:bodyDiv w:val="1"/>
      <w:marLeft w:val="0"/>
      <w:marRight w:val="0"/>
      <w:marTop w:val="0"/>
      <w:marBottom w:val="0"/>
      <w:divBdr>
        <w:top w:val="none" w:sz="0" w:space="0" w:color="auto"/>
        <w:left w:val="none" w:sz="0" w:space="0" w:color="auto"/>
        <w:bottom w:val="none" w:sz="0" w:space="0" w:color="auto"/>
        <w:right w:val="none" w:sz="0" w:space="0" w:color="auto"/>
      </w:divBdr>
    </w:div>
    <w:div w:id="546331799">
      <w:bodyDiv w:val="1"/>
      <w:marLeft w:val="0"/>
      <w:marRight w:val="0"/>
      <w:marTop w:val="0"/>
      <w:marBottom w:val="0"/>
      <w:divBdr>
        <w:top w:val="none" w:sz="0" w:space="0" w:color="auto"/>
        <w:left w:val="none" w:sz="0" w:space="0" w:color="auto"/>
        <w:bottom w:val="none" w:sz="0" w:space="0" w:color="auto"/>
        <w:right w:val="none" w:sz="0" w:space="0" w:color="auto"/>
      </w:divBdr>
    </w:div>
    <w:div w:id="548998325">
      <w:bodyDiv w:val="1"/>
      <w:marLeft w:val="0"/>
      <w:marRight w:val="0"/>
      <w:marTop w:val="0"/>
      <w:marBottom w:val="0"/>
      <w:divBdr>
        <w:top w:val="none" w:sz="0" w:space="0" w:color="auto"/>
        <w:left w:val="none" w:sz="0" w:space="0" w:color="auto"/>
        <w:bottom w:val="none" w:sz="0" w:space="0" w:color="auto"/>
        <w:right w:val="none" w:sz="0" w:space="0" w:color="auto"/>
      </w:divBdr>
    </w:div>
    <w:div w:id="551890048">
      <w:bodyDiv w:val="1"/>
      <w:marLeft w:val="0"/>
      <w:marRight w:val="0"/>
      <w:marTop w:val="0"/>
      <w:marBottom w:val="0"/>
      <w:divBdr>
        <w:top w:val="none" w:sz="0" w:space="0" w:color="auto"/>
        <w:left w:val="none" w:sz="0" w:space="0" w:color="auto"/>
        <w:bottom w:val="none" w:sz="0" w:space="0" w:color="auto"/>
        <w:right w:val="none" w:sz="0" w:space="0" w:color="auto"/>
      </w:divBdr>
    </w:div>
    <w:div w:id="553811385">
      <w:bodyDiv w:val="1"/>
      <w:marLeft w:val="0"/>
      <w:marRight w:val="0"/>
      <w:marTop w:val="0"/>
      <w:marBottom w:val="0"/>
      <w:divBdr>
        <w:top w:val="none" w:sz="0" w:space="0" w:color="auto"/>
        <w:left w:val="none" w:sz="0" w:space="0" w:color="auto"/>
        <w:bottom w:val="none" w:sz="0" w:space="0" w:color="auto"/>
        <w:right w:val="none" w:sz="0" w:space="0" w:color="auto"/>
      </w:divBdr>
    </w:div>
    <w:div w:id="554972770">
      <w:bodyDiv w:val="1"/>
      <w:marLeft w:val="0"/>
      <w:marRight w:val="0"/>
      <w:marTop w:val="0"/>
      <w:marBottom w:val="0"/>
      <w:divBdr>
        <w:top w:val="none" w:sz="0" w:space="0" w:color="auto"/>
        <w:left w:val="none" w:sz="0" w:space="0" w:color="auto"/>
        <w:bottom w:val="none" w:sz="0" w:space="0" w:color="auto"/>
        <w:right w:val="none" w:sz="0" w:space="0" w:color="auto"/>
      </w:divBdr>
    </w:div>
    <w:div w:id="556597893">
      <w:bodyDiv w:val="1"/>
      <w:marLeft w:val="0"/>
      <w:marRight w:val="0"/>
      <w:marTop w:val="0"/>
      <w:marBottom w:val="0"/>
      <w:divBdr>
        <w:top w:val="none" w:sz="0" w:space="0" w:color="auto"/>
        <w:left w:val="none" w:sz="0" w:space="0" w:color="auto"/>
        <w:bottom w:val="none" w:sz="0" w:space="0" w:color="auto"/>
        <w:right w:val="none" w:sz="0" w:space="0" w:color="auto"/>
      </w:divBdr>
    </w:div>
    <w:div w:id="556627229">
      <w:bodyDiv w:val="1"/>
      <w:marLeft w:val="0"/>
      <w:marRight w:val="0"/>
      <w:marTop w:val="0"/>
      <w:marBottom w:val="0"/>
      <w:divBdr>
        <w:top w:val="none" w:sz="0" w:space="0" w:color="auto"/>
        <w:left w:val="none" w:sz="0" w:space="0" w:color="auto"/>
        <w:bottom w:val="none" w:sz="0" w:space="0" w:color="auto"/>
        <w:right w:val="none" w:sz="0" w:space="0" w:color="auto"/>
      </w:divBdr>
    </w:div>
    <w:div w:id="557670965">
      <w:bodyDiv w:val="1"/>
      <w:marLeft w:val="0"/>
      <w:marRight w:val="0"/>
      <w:marTop w:val="0"/>
      <w:marBottom w:val="0"/>
      <w:divBdr>
        <w:top w:val="none" w:sz="0" w:space="0" w:color="auto"/>
        <w:left w:val="none" w:sz="0" w:space="0" w:color="auto"/>
        <w:bottom w:val="none" w:sz="0" w:space="0" w:color="auto"/>
        <w:right w:val="none" w:sz="0" w:space="0" w:color="auto"/>
      </w:divBdr>
    </w:div>
    <w:div w:id="558202769">
      <w:bodyDiv w:val="1"/>
      <w:marLeft w:val="0"/>
      <w:marRight w:val="0"/>
      <w:marTop w:val="0"/>
      <w:marBottom w:val="0"/>
      <w:divBdr>
        <w:top w:val="none" w:sz="0" w:space="0" w:color="auto"/>
        <w:left w:val="none" w:sz="0" w:space="0" w:color="auto"/>
        <w:bottom w:val="none" w:sz="0" w:space="0" w:color="auto"/>
        <w:right w:val="none" w:sz="0" w:space="0" w:color="auto"/>
      </w:divBdr>
    </w:div>
    <w:div w:id="558588510">
      <w:bodyDiv w:val="1"/>
      <w:marLeft w:val="0"/>
      <w:marRight w:val="0"/>
      <w:marTop w:val="0"/>
      <w:marBottom w:val="0"/>
      <w:divBdr>
        <w:top w:val="none" w:sz="0" w:space="0" w:color="auto"/>
        <w:left w:val="none" w:sz="0" w:space="0" w:color="auto"/>
        <w:bottom w:val="none" w:sz="0" w:space="0" w:color="auto"/>
        <w:right w:val="none" w:sz="0" w:space="0" w:color="auto"/>
      </w:divBdr>
    </w:div>
    <w:div w:id="559022217">
      <w:bodyDiv w:val="1"/>
      <w:marLeft w:val="0"/>
      <w:marRight w:val="0"/>
      <w:marTop w:val="0"/>
      <w:marBottom w:val="0"/>
      <w:divBdr>
        <w:top w:val="none" w:sz="0" w:space="0" w:color="auto"/>
        <w:left w:val="none" w:sz="0" w:space="0" w:color="auto"/>
        <w:bottom w:val="none" w:sz="0" w:space="0" w:color="auto"/>
        <w:right w:val="none" w:sz="0" w:space="0" w:color="auto"/>
      </w:divBdr>
    </w:div>
    <w:div w:id="561720296">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562955195">
      <w:bodyDiv w:val="1"/>
      <w:marLeft w:val="0"/>
      <w:marRight w:val="0"/>
      <w:marTop w:val="0"/>
      <w:marBottom w:val="0"/>
      <w:divBdr>
        <w:top w:val="none" w:sz="0" w:space="0" w:color="auto"/>
        <w:left w:val="none" w:sz="0" w:space="0" w:color="auto"/>
        <w:bottom w:val="none" w:sz="0" w:space="0" w:color="auto"/>
        <w:right w:val="none" w:sz="0" w:space="0" w:color="auto"/>
      </w:divBdr>
    </w:div>
    <w:div w:id="565147207">
      <w:bodyDiv w:val="1"/>
      <w:marLeft w:val="0"/>
      <w:marRight w:val="0"/>
      <w:marTop w:val="0"/>
      <w:marBottom w:val="0"/>
      <w:divBdr>
        <w:top w:val="none" w:sz="0" w:space="0" w:color="auto"/>
        <w:left w:val="none" w:sz="0" w:space="0" w:color="auto"/>
        <w:bottom w:val="none" w:sz="0" w:space="0" w:color="auto"/>
        <w:right w:val="none" w:sz="0" w:space="0" w:color="auto"/>
      </w:divBdr>
    </w:div>
    <w:div w:id="566456358">
      <w:bodyDiv w:val="1"/>
      <w:marLeft w:val="0"/>
      <w:marRight w:val="0"/>
      <w:marTop w:val="0"/>
      <w:marBottom w:val="0"/>
      <w:divBdr>
        <w:top w:val="none" w:sz="0" w:space="0" w:color="auto"/>
        <w:left w:val="none" w:sz="0" w:space="0" w:color="auto"/>
        <w:bottom w:val="none" w:sz="0" w:space="0" w:color="auto"/>
        <w:right w:val="none" w:sz="0" w:space="0" w:color="auto"/>
      </w:divBdr>
    </w:div>
    <w:div w:id="570778902">
      <w:bodyDiv w:val="1"/>
      <w:marLeft w:val="0"/>
      <w:marRight w:val="0"/>
      <w:marTop w:val="0"/>
      <w:marBottom w:val="0"/>
      <w:divBdr>
        <w:top w:val="none" w:sz="0" w:space="0" w:color="auto"/>
        <w:left w:val="none" w:sz="0" w:space="0" w:color="auto"/>
        <w:bottom w:val="none" w:sz="0" w:space="0" w:color="auto"/>
        <w:right w:val="none" w:sz="0" w:space="0" w:color="auto"/>
      </w:divBdr>
    </w:div>
    <w:div w:id="572201521">
      <w:bodyDiv w:val="1"/>
      <w:marLeft w:val="0"/>
      <w:marRight w:val="0"/>
      <w:marTop w:val="0"/>
      <w:marBottom w:val="0"/>
      <w:divBdr>
        <w:top w:val="none" w:sz="0" w:space="0" w:color="auto"/>
        <w:left w:val="none" w:sz="0" w:space="0" w:color="auto"/>
        <w:bottom w:val="none" w:sz="0" w:space="0" w:color="auto"/>
        <w:right w:val="none" w:sz="0" w:space="0" w:color="auto"/>
      </w:divBdr>
    </w:div>
    <w:div w:id="572936759">
      <w:bodyDiv w:val="1"/>
      <w:marLeft w:val="0"/>
      <w:marRight w:val="0"/>
      <w:marTop w:val="0"/>
      <w:marBottom w:val="0"/>
      <w:divBdr>
        <w:top w:val="none" w:sz="0" w:space="0" w:color="auto"/>
        <w:left w:val="none" w:sz="0" w:space="0" w:color="auto"/>
        <w:bottom w:val="none" w:sz="0" w:space="0" w:color="auto"/>
        <w:right w:val="none" w:sz="0" w:space="0" w:color="auto"/>
      </w:divBdr>
    </w:div>
    <w:div w:id="573663624">
      <w:bodyDiv w:val="1"/>
      <w:marLeft w:val="0"/>
      <w:marRight w:val="0"/>
      <w:marTop w:val="0"/>
      <w:marBottom w:val="0"/>
      <w:divBdr>
        <w:top w:val="none" w:sz="0" w:space="0" w:color="auto"/>
        <w:left w:val="none" w:sz="0" w:space="0" w:color="auto"/>
        <w:bottom w:val="none" w:sz="0" w:space="0" w:color="auto"/>
        <w:right w:val="none" w:sz="0" w:space="0" w:color="auto"/>
      </w:divBdr>
    </w:div>
    <w:div w:id="574052652">
      <w:bodyDiv w:val="1"/>
      <w:marLeft w:val="0"/>
      <w:marRight w:val="0"/>
      <w:marTop w:val="0"/>
      <w:marBottom w:val="0"/>
      <w:divBdr>
        <w:top w:val="none" w:sz="0" w:space="0" w:color="auto"/>
        <w:left w:val="none" w:sz="0" w:space="0" w:color="auto"/>
        <w:bottom w:val="none" w:sz="0" w:space="0" w:color="auto"/>
        <w:right w:val="none" w:sz="0" w:space="0" w:color="auto"/>
      </w:divBdr>
    </w:div>
    <w:div w:id="575172553">
      <w:bodyDiv w:val="1"/>
      <w:marLeft w:val="0"/>
      <w:marRight w:val="0"/>
      <w:marTop w:val="0"/>
      <w:marBottom w:val="0"/>
      <w:divBdr>
        <w:top w:val="none" w:sz="0" w:space="0" w:color="auto"/>
        <w:left w:val="none" w:sz="0" w:space="0" w:color="auto"/>
        <w:bottom w:val="none" w:sz="0" w:space="0" w:color="auto"/>
        <w:right w:val="none" w:sz="0" w:space="0" w:color="auto"/>
      </w:divBdr>
    </w:div>
    <w:div w:id="575209526">
      <w:bodyDiv w:val="1"/>
      <w:marLeft w:val="0"/>
      <w:marRight w:val="0"/>
      <w:marTop w:val="0"/>
      <w:marBottom w:val="0"/>
      <w:divBdr>
        <w:top w:val="none" w:sz="0" w:space="0" w:color="auto"/>
        <w:left w:val="none" w:sz="0" w:space="0" w:color="auto"/>
        <w:bottom w:val="none" w:sz="0" w:space="0" w:color="auto"/>
        <w:right w:val="none" w:sz="0" w:space="0" w:color="auto"/>
      </w:divBdr>
    </w:div>
    <w:div w:id="575479571">
      <w:bodyDiv w:val="1"/>
      <w:marLeft w:val="0"/>
      <w:marRight w:val="0"/>
      <w:marTop w:val="0"/>
      <w:marBottom w:val="0"/>
      <w:divBdr>
        <w:top w:val="none" w:sz="0" w:space="0" w:color="auto"/>
        <w:left w:val="none" w:sz="0" w:space="0" w:color="auto"/>
        <w:bottom w:val="none" w:sz="0" w:space="0" w:color="auto"/>
        <w:right w:val="none" w:sz="0" w:space="0" w:color="auto"/>
      </w:divBdr>
    </w:div>
    <w:div w:id="586035887">
      <w:bodyDiv w:val="1"/>
      <w:marLeft w:val="0"/>
      <w:marRight w:val="0"/>
      <w:marTop w:val="0"/>
      <w:marBottom w:val="0"/>
      <w:divBdr>
        <w:top w:val="none" w:sz="0" w:space="0" w:color="auto"/>
        <w:left w:val="none" w:sz="0" w:space="0" w:color="auto"/>
        <w:bottom w:val="none" w:sz="0" w:space="0" w:color="auto"/>
        <w:right w:val="none" w:sz="0" w:space="0" w:color="auto"/>
      </w:divBdr>
    </w:div>
    <w:div w:id="586814045">
      <w:bodyDiv w:val="1"/>
      <w:marLeft w:val="0"/>
      <w:marRight w:val="0"/>
      <w:marTop w:val="0"/>
      <w:marBottom w:val="0"/>
      <w:divBdr>
        <w:top w:val="none" w:sz="0" w:space="0" w:color="auto"/>
        <w:left w:val="none" w:sz="0" w:space="0" w:color="auto"/>
        <w:bottom w:val="none" w:sz="0" w:space="0" w:color="auto"/>
        <w:right w:val="none" w:sz="0" w:space="0" w:color="auto"/>
      </w:divBdr>
    </w:div>
    <w:div w:id="586962419">
      <w:bodyDiv w:val="1"/>
      <w:marLeft w:val="0"/>
      <w:marRight w:val="0"/>
      <w:marTop w:val="0"/>
      <w:marBottom w:val="0"/>
      <w:divBdr>
        <w:top w:val="none" w:sz="0" w:space="0" w:color="auto"/>
        <w:left w:val="none" w:sz="0" w:space="0" w:color="auto"/>
        <w:bottom w:val="none" w:sz="0" w:space="0" w:color="auto"/>
        <w:right w:val="none" w:sz="0" w:space="0" w:color="auto"/>
      </w:divBdr>
    </w:div>
    <w:div w:id="587471448">
      <w:bodyDiv w:val="1"/>
      <w:marLeft w:val="0"/>
      <w:marRight w:val="0"/>
      <w:marTop w:val="0"/>
      <w:marBottom w:val="0"/>
      <w:divBdr>
        <w:top w:val="none" w:sz="0" w:space="0" w:color="auto"/>
        <w:left w:val="none" w:sz="0" w:space="0" w:color="auto"/>
        <w:bottom w:val="none" w:sz="0" w:space="0" w:color="auto"/>
        <w:right w:val="none" w:sz="0" w:space="0" w:color="auto"/>
      </w:divBdr>
    </w:div>
    <w:div w:id="588462261">
      <w:bodyDiv w:val="1"/>
      <w:marLeft w:val="0"/>
      <w:marRight w:val="0"/>
      <w:marTop w:val="0"/>
      <w:marBottom w:val="0"/>
      <w:divBdr>
        <w:top w:val="none" w:sz="0" w:space="0" w:color="auto"/>
        <w:left w:val="none" w:sz="0" w:space="0" w:color="auto"/>
        <w:bottom w:val="none" w:sz="0" w:space="0" w:color="auto"/>
        <w:right w:val="none" w:sz="0" w:space="0" w:color="auto"/>
      </w:divBdr>
    </w:div>
    <w:div w:id="589235561">
      <w:bodyDiv w:val="1"/>
      <w:marLeft w:val="0"/>
      <w:marRight w:val="0"/>
      <w:marTop w:val="0"/>
      <w:marBottom w:val="0"/>
      <w:divBdr>
        <w:top w:val="none" w:sz="0" w:space="0" w:color="auto"/>
        <w:left w:val="none" w:sz="0" w:space="0" w:color="auto"/>
        <w:bottom w:val="none" w:sz="0" w:space="0" w:color="auto"/>
        <w:right w:val="none" w:sz="0" w:space="0" w:color="auto"/>
      </w:divBdr>
    </w:div>
    <w:div w:id="593130447">
      <w:bodyDiv w:val="1"/>
      <w:marLeft w:val="0"/>
      <w:marRight w:val="0"/>
      <w:marTop w:val="0"/>
      <w:marBottom w:val="0"/>
      <w:divBdr>
        <w:top w:val="none" w:sz="0" w:space="0" w:color="auto"/>
        <w:left w:val="none" w:sz="0" w:space="0" w:color="auto"/>
        <w:bottom w:val="none" w:sz="0" w:space="0" w:color="auto"/>
        <w:right w:val="none" w:sz="0" w:space="0" w:color="auto"/>
      </w:divBdr>
    </w:div>
    <w:div w:id="594673988">
      <w:bodyDiv w:val="1"/>
      <w:marLeft w:val="0"/>
      <w:marRight w:val="0"/>
      <w:marTop w:val="0"/>
      <w:marBottom w:val="0"/>
      <w:divBdr>
        <w:top w:val="none" w:sz="0" w:space="0" w:color="auto"/>
        <w:left w:val="none" w:sz="0" w:space="0" w:color="auto"/>
        <w:bottom w:val="none" w:sz="0" w:space="0" w:color="auto"/>
        <w:right w:val="none" w:sz="0" w:space="0" w:color="auto"/>
      </w:divBdr>
    </w:div>
    <w:div w:id="594754260">
      <w:bodyDiv w:val="1"/>
      <w:marLeft w:val="0"/>
      <w:marRight w:val="0"/>
      <w:marTop w:val="0"/>
      <w:marBottom w:val="0"/>
      <w:divBdr>
        <w:top w:val="none" w:sz="0" w:space="0" w:color="auto"/>
        <w:left w:val="none" w:sz="0" w:space="0" w:color="auto"/>
        <w:bottom w:val="none" w:sz="0" w:space="0" w:color="auto"/>
        <w:right w:val="none" w:sz="0" w:space="0" w:color="auto"/>
      </w:divBdr>
    </w:div>
    <w:div w:id="597176482">
      <w:bodyDiv w:val="1"/>
      <w:marLeft w:val="0"/>
      <w:marRight w:val="0"/>
      <w:marTop w:val="0"/>
      <w:marBottom w:val="0"/>
      <w:divBdr>
        <w:top w:val="none" w:sz="0" w:space="0" w:color="auto"/>
        <w:left w:val="none" w:sz="0" w:space="0" w:color="auto"/>
        <w:bottom w:val="none" w:sz="0" w:space="0" w:color="auto"/>
        <w:right w:val="none" w:sz="0" w:space="0" w:color="auto"/>
      </w:divBdr>
    </w:div>
    <w:div w:id="599801636">
      <w:bodyDiv w:val="1"/>
      <w:marLeft w:val="0"/>
      <w:marRight w:val="0"/>
      <w:marTop w:val="0"/>
      <w:marBottom w:val="0"/>
      <w:divBdr>
        <w:top w:val="none" w:sz="0" w:space="0" w:color="auto"/>
        <w:left w:val="none" w:sz="0" w:space="0" w:color="auto"/>
        <w:bottom w:val="none" w:sz="0" w:space="0" w:color="auto"/>
        <w:right w:val="none" w:sz="0" w:space="0" w:color="auto"/>
      </w:divBdr>
    </w:div>
    <w:div w:id="599996584">
      <w:bodyDiv w:val="1"/>
      <w:marLeft w:val="0"/>
      <w:marRight w:val="0"/>
      <w:marTop w:val="0"/>
      <w:marBottom w:val="0"/>
      <w:divBdr>
        <w:top w:val="none" w:sz="0" w:space="0" w:color="auto"/>
        <w:left w:val="none" w:sz="0" w:space="0" w:color="auto"/>
        <w:bottom w:val="none" w:sz="0" w:space="0" w:color="auto"/>
        <w:right w:val="none" w:sz="0" w:space="0" w:color="auto"/>
      </w:divBdr>
    </w:div>
    <w:div w:id="603418806">
      <w:bodyDiv w:val="1"/>
      <w:marLeft w:val="0"/>
      <w:marRight w:val="0"/>
      <w:marTop w:val="0"/>
      <w:marBottom w:val="0"/>
      <w:divBdr>
        <w:top w:val="none" w:sz="0" w:space="0" w:color="auto"/>
        <w:left w:val="none" w:sz="0" w:space="0" w:color="auto"/>
        <w:bottom w:val="none" w:sz="0" w:space="0" w:color="auto"/>
        <w:right w:val="none" w:sz="0" w:space="0" w:color="auto"/>
      </w:divBdr>
    </w:div>
    <w:div w:id="606742527">
      <w:bodyDiv w:val="1"/>
      <w:marLeft w:val="0"/>
      <w:marRight w:val="0"/>
      <w:marTop w:val="0"/>
      <w:marBottom w:val="0"/>
      <w:divBdr>
        <w:top w:val="none" w:sz="0" w:space="0" w:color="auto"/>
        <w:left w:val="none" w:sz="0" w:space="0" w:color="auto"/>
        <w:bottom w:val="none" w:sz="0" w:space="0" w:color="auto"/>
        <w:right w:val="none" w:sz="0" w:space="0" w:color="auto"/>
      </w:divBdr>
    </w:div>
    <w:div w:id="607733969">
      <w:bodyDiv w:val="1"/>
      <w:marLeft w:val="0"/>
      <w:marRight w:val="0"/>
      <w:marTop w:val="0"/>
      <w:marBottom w:val="0"/>
      <w:divBdr>
        <w:top w:val="none" w:sz="0" w:space="0" w:color="auto"/>
        <w:left w:val="none" w:sz="0" w:space="0" w:color="auto"/>
        <w:bottom w:val="none" w:sz="0" w:space="0" w:color="auto"/>
        <w:right w:val="none" w:sz="0" w:space="0" w:color="auto"/>
      </w:divBdr>
    </w:div>
    <w:div w:id="608977718">
      <w:bodyDiv w:val="1"/>
      <w:marLeft w:val="0"/>
      <w:marRight w:val="0"/>
      <w:marTop w:val="0"/>
      <w:marBottom w:val="0"/>
      <w:divBdr>
        <w:top w:val="none" w:sz="0" w:space="0" w:color="auto"/>
        <w:left w:val="none" w:sz="0" w:space="0" w:color="auto"/>
        <w:bottom w:val="none" w:sz="0" w:space="0" w:color="auto"/>
        <w:right w:val="none" w:sz="0" w:space="0" w:color="auto"/>
      </w:divBdr>
    </w:div>
    <w:div w:id="609163694">
      <w:bodyDiv w:val="1"/>
      <w:marLeft w:val="0"/>
      <w:marRight w:val="0"/>
      <w:marTop w:val="0"/>
      <w:marBottom w:val="0"/>
      <w:divBdr>
        <w:top w:val="none" w:sz="0" w:space="0" w:color="auto"/>
        <w:left w:val="none" w:sz="0" w:space="0" w:color="auto"/>
        <w:bottom w:val="none" w:sz="0" w:space="0" w:color="auto"/>
        <w:right w:val="none" w:sz="0" w:space="0" w:color="auto"/>
      </w:divBdr>
    </w:div>
    <w:div w:id="611323037">
      <w:bodyDiv w:val="1"/>
      <w:marLeft w:val="0"/>
      <w:marRight w:val="0"/>
      <w:marTop w:val="0"/>
      <w:marBottom w:val="0"/>
      <w:divBdr>
        <w:top w:val="none" w:sz="0" w:space="0" w:color="auto"/>
        <w:left w:val="none" w:sz="0" w:space="0" w:color="auto"/>
        <w:bottom w:val="none" w:sz="0" w:space="0" w:color="auto"/>
        <w:right w:val="none" w:sz="0" w:space="0" w:color="auto"/>
      </w:divBdr>
    </w:div>
    <w:div w:id="612324040">
      <w:bodyDiv w:val="1"/>
      <w:marLeft w:val="0"/>
      <w:marRight w:val="0"/>
      <w:marTop w:val="0"/>
      <w:marBottom w:val="0"/>
      <w:divBdr>
        <w:top w:val="none" w:sz="0" w:space="0" w:color="auto"/>
        <w:left w:val="none" w:sz="0" w:space="0" w:color="auto"/>
        <w:bottom w:val="none" w:sz="0" w:space="0" w:color="auto"/>
        <w:right w:val="none" w:sz="0" w:space="0" w:color="auto"/>
      </w:divBdr>
    </w:div>
    <w:div w:id="612597680">
      <w:bodyDiv w:val="1"/>
      <w:marLeft w:val="0"/>
      <w:marRight w:val="0"/>
      <w:marTop w:val="0"/>
      <w:marBottom w:val="0"/>
      <w:divBdr>
        <w:top w:val="none" w:sz="0" w:space="0" w:color="auto"/>
        <w:left w:val="none" w:sz="0" w:space="0" w:color="auto"/>
        <w:bottom w:val="none" w:sz="0" w:space="0" w:color="auto"/>
        <w:right w:val="none" w:sz="0" w:space="0" w:color="auto"/>
      </w:divBdr>
    </w:div>
    <w:div w:id="613369892">
      <w:bodyDiv w:val="1"/>
      <w:marLeft w:val="0"/>
      <w:marRight w:val="0"/>
      <w:marTop w:val="0"/>
      <w:marBottom w:val="0"/>
      <w:divBdr>
        <w:top w:val="none" w:sz="0" w:space="0" w:color="auto"/>
        <w:left w:val="none" w:sz="0" w:space="0" w:color="auto"/>
        <w:bottom w:val="none" w:sz="0" w:space="0" w:color="auto"/>
        <w:right w:val="none" w:sz="0" w:space="0" w:color="auto"/>
      </w:divBdr>
    </w:div>
    <w:div w:id="614096356">
      <w:bodyDiv w:val="1"/>
      <w:marLeft w:val="0"/>
      <w:marRight w:val="0"/>
      <w:marTop w:val="0"/>
      <w:marBottom w:val="0"/>
      <w:divBdr>
        <w:top w:val="none" w:sz="0" w:space="0" w:color="auto"/>
        <w:left w:val="none" w:sz="0" w:space="0" w:color="auto"/>
        <w:bottom w:val="none" w:sz="0" w:space="0" w:color="auto"/>
        <w:right w:val="none" w:sz="0" w:space="0" w:color="auto"/>
      </w:divBdr>
    </w:div>
    <w:div w:id="614217997">
      <w:bodyDiv w:val="1"/>
      <w:marLeft w:val="0"/>
      <w:marRight w:val="0"/>
      <w:marTop w:val="0"/>
      <w:marBottom w:val="0"/>
      <w:divBdr>
        <w:top w:val="none" w:sz="0" w:space="0" w:color="auto"/>
        <w:left w:val="none" w:sz="0" w:space="0" w:color="auto"/>
        <w:bottom w:val="none" w:sz="0" w:space="0" w:color="auto"/>
        <w:right w:val="none" w:sz="0" w:space="0" w:color="auto"/>
      </w:divBdr>
    </w:div>
    <w:div w:id="616252465">
      <w:bodyDiv w:val="1"/>
      <w:marLeft w:val="0"/>
      <w:marRight w:val="0"/>
      <w:marTop w:val="0"/>
      <w:marBottom w:val="0"/>
      <w:divBdr>
        <w:top w:val="none" w:sz="0" w:space="0" w:color="auto"/>
        <w:left w:val="none" w:sz="0" w:space="0" w:color="auto"/>
        <w:bottom w:val="none" w:sz="0" w:space="0" w:color="auto"/>
        <w:right w:val="none" w:sz="0" w:space="0" w:color="auto"/>
      </w:divBdr>
    </w:div>
    <w:div w:id="619652778">
      <w:bodyDiv w:val="1"/>
      <w:marLeft w:val="0"/>
      <w:marRight w:val="0"/>
      <w:marTop w:val="0"/>
      <w:marBottom w:val="0"/>
      <w:divBdr>
        <w:top w:val="none" w:sz="0" w:space="0" w:color="auto"/>
        <w:left w:val="none" w:sz="0" w:space="0" w:color="auto"/>
        <w:bottom w:val="none" w:sz="0" w:space="0" w:color="auto"/>
        <w:right w:val="none" w:sz="0" w:space="0" w:color="auto"/>
      </w:divBdr>
    </w:div>
    <w:div w:id="619729002">
      <w:bodyDiv w:val="1"/>
      <w:marLeft w:val="0"/>
      <w:marRight w:val="0"/>
      <w:marTop w:val="0"/>
      <w:marBottom w:val="0"/>
      <w:divBdr>
        <w:top w:val="none" w:sz="0" w:space="0" w:color="auto"/>
        <w:left w:val="none" w:sz="0" w:space="0" w:color="auto"/>
        <w:bottom w:val="none" w:sz="0" w:space="0" w:color="auto"/>
        <w:right w:val="none" w:sz="0" w:space="0" w:color="auto"/>
      </w:divBdr>
    </w:div>
    <w:div w:id="620963986">
      <w:bodyDiv w:val="1"/>
      <w:marLeft w:val="0"/>
      <w:marRight w:val="0"/>
      <w:marTop w:val="0"/>
      <w:marBottom w:val="0"/>
      <w:divBdr>
        <w:top w:val="none" w:sz="0" w:space="0" w:color="auto"/>
        <w:left w:val="none" w:sz="0" w:space="0" w:color="auto"/>
        <w:bottom w:val="none" w:sz="0" w:space="0" w:color="auto"/>
        <w:right w:val="none" w:sz="0" w:space="0" w:color="auto"/>
      </w:divBdr>
    </w:div>
    <w:div w:id="622226080">
      <w:bodyDiv w:val="1"/>
      <w:marLeft w:val="0"/>
      <w:marRight w:val="0"/>
      <w:marTop w:val="0"/>
      <w:marBottom w:val="0"/>
      <w:divBdr>
        <w:top w:val="none" w:sz="0" w:space="0" w:color="auto"/>
        <w:left w:val="none" w:sz="0" w:space="0" w:color="auto"/>
        <w:bottom w:val="none" w:sz="0" w:space="0" w:color="auto"/>
        <w:right w:val="none" w:sz="0" w:space="0" w:color="auto"/>
      </w:divBdr>
    </w:div>
    <w:div w:id="625432227">
      <w:bodyDiv w:val="1"/>
      <w:marLeft w:val="0"/>
      <w:marRight w:val="0"/>
      <w:marTop w:val="0"/>
      <w:marBottom w:val="0"/>
      <w:divBdr>
        <w:top w:val="none" w:sz="0" w:space="0" w:color="auto"/>
        <w:left w:val="none" w:sz="0" w:space="0" w:color="auto"/>
        <w:bottom w:val="none" w:sz="0" w:space="0" w:color="auto"/>
        <w:right w:val="none" w:sz="0" w:space="0" w:color="auto"/>
      </w:divBdr>
    </w:div>
    <w:div w:id="626206485">
      <w:bodyDiv w:val="1"/>
      <w:marLeft w:val="0"/>
      <w:marRight w:val="0"/>
      <w:marTop w:val="0"/>
      <w:marBottom w:val="0"/>
      <w:divBdr>
        <w:top w:val="none" w:sz="0" w:space="0" w:color="auto"/>
        <w:left w:val="none" w:sz="0" w:space="0" w:color="auto"/>
        <w:bottom w:val="none" w:sz="0" w:space="0" w:color="auto"/>
        <w:right w:val="none" w:sz="0" w:space="0" w:color="auto"/>
      </w:divBdr>
    </w:div>
    <w:div w:id="626274207">
      <w:bodyDiv w:val="1"/>
      <w:marLeft w:val="0"/>
      <w:marRight w:val="0"/>
      <w:marTop w:val="0"/>
      <w:marBottom w:val="0"/>
      <w:divBdr>
        <w:top w:val="none" w:sz="0" w:space="0" w:color="auto"/>
        <w:left w:val="none" w:sz="0" w:space="0" w:color="auto"/>
        <w:bottom w:val="none" w:sz="0" w:space="0" w:color="auto"/>
        <w:right w:val="none" w:sz="0" w:space="0" w:color="auto"/>
      </w:divBdr>
    </w:div>
    <w:div w:id="626857873">
      <w:bodyDiv w:val="1"/>
      <w:marLeft w:val="0"/>
      <w:marRight w:val="0"/>
      <w:marTop w:val="0"/>
      <w:marBottom w:val="0"/>
      <w:divBdr>
        <w:top w:val="none" w:sz="0" w:space="0" w:color="auto"/>
        <w:left w:val="none" w:sz="0" w:space="0" w:color="auto"/>
        <w:bottom w:val="none" w:sz="0" w:space="0" w:color="auto"/>
        <w:right w:val="none" w:sz="0" w:space="0" w:color="auto"/>
      </w:divBdr>
    </w:div>
    <w:div w:id="627397935">
      <w:bodyDiv w:val="1"/>
      <w:marLeft w:val="0"/>
      <w:marRight w:val="0"/>
      <w:marTop w:val="0"/>
      <w:marBottom w:val="0"/>
      <w:divBdr>
        <w:top w:val="none" w:sz="0" w:space="0" w:color="auto"/>
        <w:left w:val="none" w:sz="0" w:space="0" w:color="auto"/>
        <w:bottom w:val="none" w:sz="0" w:space="0" w:color="auto"/>
        <w:right w:val="none" w:sz="0" w:space="0" w:color="auto"/>
      </w:divBdr>
    </w:div>
    <w:div w:id="627978308">
      <w:bodyDiv w:val="1"/>
      <w:marLeft w:val="0"/>
      <w:marRight w:val="0"/>
      <w:marTop w:val="0"/>
      <w:marBottom w:val="0"/>
      <w:divBdr>
        <w:top w:val="none" w:sz="0" w:space="0" w:color="auto"/>
        <w:left w:val="none" w:sz="0" w:space="0" w:color="auto"/>
        <w:bottom w:val="none" w:sz="0" w:space="0" w:color="auto"/>
        <w:right w:val="none" w:sz="0" w:space="0" w:color="auto"/>
      </w:divBdr>
    </w:div>
    <w:div w:id="628701648">
      <w:bodyDiv w:val="1"/>
      <w:marLeft w:val="0"/>
      <w:marRight w:val="0"/>
      <w:marTop w:val="0"/>
      <w:marBottom w:val="0"/>
      <w:divBdr>
        <w:top w:val="none" w:sz="0" w:space="0" w:color="auto"/>
        <w:left w:val="none" w:sz="0" w:space="0" w:color="auto"/>
        <w:bottom w:val="none" w:sz="0" w:space="0" w:color="auto"/>
        <w:right w:val="none" w:sz="0" w:space="0" w:color="auto"/>
      </w:divBdr>
    </w:div>
    <w:div w:id="628823734">
      <w:bodyDiv w:val="1"/>
      <w:marLeft w:val="0"/>
      <w:marRight w:val="0"/>
      <w:marTop w:val="0"/>
      <w:marBottom w:val="0"/>
      <w:divBdr>
        <w:top w:val="none" w:sz="0" w:space="0" w:color="auto"/>
        <w:left w:val="none" w:sz="0" w:space="0" w:color="auto"/>
        <w:bottom w:val="none" w:sz="0" w:space="0" w:color="auto"/>
        <w:right w:val="none" w:sz="0" w:space="0" w:color="auto"/>
      </w:divBdr>
    </w:div>
    <w:div w:id="630331339">
      <w:bodyDiv w:val="1"/>
      <w:marLeft w:val="0"/>
      <w:marRight w:val="0"/>
      <w:marTop w:val="0"/>
      <w:marBottom w:val="0"/>
      <w:divBdr>
        <w:top w:val="none" w:sz="0" w:space="0" w:color="auto"/>
        <w:left w:val="none" w:sz="0" w:space="0" w:color="auto"/>
        <w:bottom w:val="none" w:sz="0" w:space="0" w:color="auto"/>
        <w:right w:val="none" w:sz="0" w:space="0" w:color="auto"/>
      </w:divBdr>
    </w:div>
    <w:div w:id="631054449">
      <w:bodyDiv w:val="1"/>
      <w:marLeft w:val="0"/>
      <w:marRight w:val="0"/>
      <w:marTop w:val="0"/>
      <w:marBottom w:val="0"/>
      <w:divBdr>
        <w:top w:val="none" w:sz="0" w:space="0" w:color="auto"/>
        <w:left w:val="none" w:sz="0" w:space="0" w:color="auto"/>
        <w:bottom w:val="none" w:sz="0" w:space="0" w:color="auto"/>
        <w:right w:val="none" w:sz="0" w:space="0" w:color="auto"/>
      </w:divBdr>
    </w:div>
    <w:div w:id="631059609">
      <w:bodyDiv w:val="1"/>
      <w:marLeft w:val="0"/>
      <w:marRight w:val="0"/>
      <w:marTop w:val="0"/>
      <w:marBottom w:val="0"/>
      <w:divBdr>
        <w:top w:val="none" w:sz="0" w:space="0" w:color="auto"/>
        <w:left w:val="none" w:sz="0" w:space="0" w:color="auto"/>
        <w:bottom w:val="none" w:sz="0" w:space="0" w:color="auto"/>
        <w:right w:val="none" w:sz="0" w:space="0" w:color="auto"/>
      </w:divBdr>
    </w:div>
    <w:div w:id="632951683">
      <w:bodyDiv w:val="1"/>
      <w:marLeft w:val="0"/>
      <w:marRight w:val="0"/>
      <w:marTop w:val="0"/>
      <w:marBottom w:val="0"/>
      <w:divBdr>
        <w:top w:val="none" w:sz="0" w:space="0" w:color="auto"/>
        <w:left w:val="none" w:sz="0" w:space="0" w:color="auto"/>
        <w:bottom w:val="none" w:sz="0" w:space="0" w:color="auto"/>
        <w:right w:val="none" w:sz="0" w:space="0" w:color="auto"/>
      </w:divBdr>
    </w:div>
    <w:div w:id="633292582">
      <w:bodyDiv w:val="1"/>
      <w:marLeft w:val="0"/>
      <w:marRight w:val="0"/>
      <w:marTop w:val="0"/>
      <w:marBottom w:val="0"/>
      <w:divBdr>
        <w:top w:val="none" w:sz="0" w:space="0" w:color="auto"/>
        <w:left w:val="none" w:sz="0" w:space="0" w:color="auto"/>
        <w:bottom w:val="none" w:sz="0" w:space="0" w:color="auto"/>
        <w:right w:val="none" w:sz="0" w:space="0" w:color="auto"/>
      </w:divBdr>
    </w:div>
    <w:div w:id="635064164">
      <w:bodyDiv w:val="1"/>
      <w:marLeft w:val="0"/>
      <w:marRight w:val="0"/>
      <w:marTop w:val="0"/>
      <w:marBottom w:val="0"/>
      <w:divBdr>
        <w:top w:val="none" w:sz="0" w:space="0" w:color="auto"/>
        <w:left w:val="none" w:sz="0" w:space="0" w:color="auto"/>
        <w:bottom w:val="none" w:sz="0" w:space="0" w:color="auto"/>
        <w:right w:val="none" w:sz="0" w:space="0" w:color="auto"/>
      </w:divBdr>
    </w:div>
    <w:div w:id="635140458">
      <w:bodyDiv w:val="1"/>
      <w:marLeft w:val="0"/>
      <w:marRight w:val="0"/>
      <w:marTop w:val="0"/>
      <w:marBottom w:val="0"/>
      <w:divBdr>
        <w:top w:val="none" w:sz="0" w:space="0" w:color="auto"/>
        <w:left w:val="none" w:sz="0" w:space="0" w:color="auto"/>
        <w:bottom w:val="none" w:sz="0" w:space="0" w:color="auto"/>
        <w:right w:val="none" w:sz="0" w:space="0" w:color="auto"/>
      </w:divBdr>
    </w:div>
    <w:div w:id="636840954">
      <w:bodyDiv w:val="1"/>
      <w:marLeft w:val="0"/>
      <w:marRight w:val="0"/>
      <w:marTop w:val="0"/>
      <w:marBottom w:val="0"/>
      <w:divBdr>
        <w:top w:val="none" w:sz="0" w:space="0" w:color="auto"/>
        <w:left w:val="none" w:sz="0" w:space="0" w:color="auto"/>
        <w:bottom w:val="none" w:sz="0" w:space="0" w:color="auto"/>
        <w:right w:val="none" w:sz="0" w:space="0" w:color="auto"/>
      </w:divBdr>
    </w:div>
    <w:div w:id="637106397">
      <w:bodyDiv w:val="1"/>
      <w:marLeft w:val="0"/>
      <w:marRight w:val="0"/>
      <w:marTop w:val="0"/>
      <w:marBottom w:val="0"/>
      <w:divBdr>
        <w:top w:val="none" w:sz="0" w:space="0" w:color="auto"/>
        <w:left w:val="none" w:sz="0" w:space="0" w:color="auto"/>
        <w:bottom w:val="none" w:sz="0" w:space="0" w:color="auto"/>
        <w:right w:val="none" w:sz="0" w:space="0" w:color="auto"/>
      </w:divBdr>
    </w:div>
    <w:div w:id="637489023">
      <w:bodyDiv w:val="1"/>
      <w:marLeft w:val="0"/>
      <w:marRight w:val="0"/>
      <w:marTop w:val="0"/>
      <w:marBottom w:val="0"/>
      <w:divBdr>
        <w:top w:val="none" w:sz="0" w:space="0" w:color="auto"/>
        <w:left w:val="none" w:sz="0" w:space="0" w:color="auto"/>
        <w:bottom w:val="none" w:sz="0" w:space="0" w:color="auto"/>
        <w:right w:val="none" w:sz="0" w:space="0" w:color="auto"/>
      </w:divBdr>
    </w:div>
    <w:div w:id="638535313">
      <w:bodyDiv w:val="1"/>
      <w:marLeft w:val="0"/>
      <w:marRight w:val="0"/>
      <w:marTop w:val="0"/>
      <w:marBottom w:val="0"/>
      <w:divBdr>
        <w:top w:val="none" w:sz="0" w:space="0" w:color="auto"/>
        <w:left w:val="none" w:sz="0" w:space="0" w:color="auto"/>
        <w:bottom w:val="none" w:sz="0" w:space="0" w:color="auto"/>
        <w:right w:val="none" w:sz="0" w:space="0" w:color="auto"/>
      </w:divBdr>
    </w:div>
    <w:div w:id="642392879">
      <w:bodyDiv w:val="1"/>
      <w:marLeft w:val="0"/>
      <w:marRight w:val="0"/>
      <w:marTop w:val="0"/>
      <w:marBottom w:val="0"/>
      <w:divBdr>
        <w:top w:val="none" w:sz="0" w:space="0" w:color="auto"/>
        <w:left w:val="none" w:sz="0" w:space="0" w:color="auto"/>
        <w:bottom w:val="none" w:sz="0" w:space="0" w:color="auto"/>
        <w:right w:val="none" w:sz="0" w:space="0" w:color="auto"/>
      </w:divBdr>
    </w:div>
    <w:div w:id="644510572">
      <w:bodyDiv w:val="1"/>
      <w:marLeft w:val="0"/>
      <w:marRight w:val="0"/>
      <w:marTop w:val="0"/>
      <w:marBottom w:val="0"/>
      <w:divBdr>
        <w:top w:val="none" w:sz="0" w:space="0" w:color="auto"/>
        <w:left w:val="none" w:sz="0" w:space="0" w:color="auto"/>
        <w:bottom w:val="none" w:sz="0" w:space="0" w:color="auto"/>
        <w:right w:val="none" w:sz="0" w:space="0" w:color="auto"/>
      </w:divBdr>
    </w:div>
    <w:div w:id="644552392">
      <w:bodyDiv w:val="1"/>
      <w:marLeft w:val="0"/>
      <w:marRight w:val="0"/>
      <w:marTop w:val="0"/>
      <w:marBottom w:val="0"/>
      <w:divBdr>
        <w:top w:val="none" w:sz="0" w:space="0" w:color="auto"/>
        <w:left w:val="none" w:sz="0" w:space="0" w:color="auto"/>
        <w:bottom w:val="none" w:sz="0" w:space="0" w:color="auto"/>
        <w:right w:val="none" w:sz="0" w:space="0" w:color="auto"/>
      </w:divBdr>
    </w:div>
    <w:div w:id="644890090">
      <w:bodyDiv w:val="1"/>
      <w:marLeft w:val="0"/>
      <w:marRight w:val="0"/>
      <w:marTop w:val="0"/>
      <w:marBottom w:val="0"/>
      <w:divBdr>
        <w:top w:val="none" w:sz="0" w:space="0" w:color="auto"/>
        <w:left w:val="none" w:sz="0" w:space="0" w:color="auto"/>
        <w:bottom w:val="none" w:sz="0" w:space="0" w:color="auto"/>
        <w:right w:val="none" w:sz="0" w:space="0" w:color="auto"/>
      </w:divBdr>
    </w:div>
    <w:div w:id="644965744">
      <w:bodyDiv w:val="1"/>
      <w:marLeft w:val="0"/>
      <w:marRight w:val="0"/>
      <w:marTop w:val="0"/>
      <w:marBottom w:val="0"/>
      <w:divBdr>
        <w:top w:val="none" w:sz="0" w:space="0" w:color="auto"/>
        <w:left w:val="none" w:sz="0" w:space="0" w:color="auto"/>
        <w:bottom w:val="none" w:sz="0" w:space="0" w:color="auto"/>
        <w:right w:val="none" w:sz="0" w:space="0" w:color="auto"/>
      </w:divBdr>
    </w:div>
    <w:div w:id="645159519">
      <w:bodyDiv w:val="1"/>
      <w:marLeft w:val="0"/>
      <w:marRight w:val="0"/>
      <w:marTop w:val="0"/>
      <w:marBottom w:val="0"/>
      <w:divBdr>
        <w:top w:val="none" w:sz="0" w:space="0" w:color="auto"/>
        <w:left w:val="none" w:sz="0" w:space="0" w:color="auto"/>
        <w:bottom w:val="none" w:sz="0" w:space="0" w:color="auto"/>
        <w:right w:val="none" w:sz="0" w:space="0" w:color="auto"/>
      </w:divBdr>
    </w:div>
    <w:div w:id="645472435">
      <w:bodyDiv w:val="1"/>
      <w:marLeft w:val="0"/>
      <w:marRight w:val="0"/>
      <w:marTop w:val="0"/>
      <w:marBottom w:val="0"/>
      <w:divBdr>
        <w:top w:val="none" w:sz="0" w:space="0" w:color="auto"/>
        <w:left w:val="none" w:sz="0" w:space="0" w:color="auto"/>
        <w:bottom w:val="none" w:sz="0" w:space="0" w:color="auto"/>
        <w:right w:val="none" w:sz="0" w:space="0" w:color="auto"/>
      </w:divBdr>
    </w:div>
    <w:div w:id="647586779">
      <w:bodyDiv w:val="1"/>
      <w:marLeft w:val="0"/>
      <w:marRight w:val="0"/>
      <w:marTop w:val="0"/>
      <w:marBottom w:val="0"/>
      <w:divBdr>
        <w:top w:val="none" w:sz="0" w:space="0" w:color="auto"/>
        <w:left w:val="none" w:sz="0" w:space="0" w:color="auto"/>
        <w:bottom w:val="none" w:sz="0" w:space="0" w:color="auto"/>
        <w:right w:val="none" w:sz="0" w:space="0" w:color="auto"/>
      </w:divBdr>
    </w:div>
    <w:div w:id="649408809">
      <w:bodyDiv w:val="1"/>
      <w:marLeft w:val="0"/>
      <w:marRight w:val="0"/>
      <w:marTop w:val="0"/>
      <w:marBottom w:val="0"/>
      <w:divBdr>
        <w:top w:val="none" w:sz="0" w:space="0" w:color="auto"/>
        <w:left w:val="none" w:sz="0" w:space="0" w:color="auto"/>
        <w:bottom w:val="none" w:sz="0" w:space="0" w:color="auto"/>
        <w:right w:val="none" w:sz="0" w:space="0" w:color="auto"/>
      </w:divBdr>
    </w:div>
    <w:div w:id="649794053">
      <w:bodyDiv w:val="1"/>
      <w:marLeft w:val="0"/>
      <w:marRight w:val="0"/>
      <w:marTop w:val="0"/>
      <w:marBottom w:val="0"/>
      <w:divBdr>
        <w:top w:val="none" w:sz="0" w:space="0" w:color="auto"/>
        <w:left w:val="none" w:sz="0" w:space="0" w:color="auto"/>
        <w:bottom w:val="none" w:sz="0" w:space="0" w:color="auto"/>
        <w:right w:val="none" w:sz="0" w:space="0" w:color="auto"/>
      </w:divBdr>
    </w:div>
    <w:div w:id="650868657">
      <w:bodyDiv w:val="1"/>
      <w:marLeft w:val="0"/>
      <w:marRight w:val="0"/>
      <w:marTop w:val="0"/>
      <w:marBottom w:val="0"/>
      <w:divBdr>
        <w:top w:val="none" w:sz="0" w:space="0" w:color="auto"/>
        <w:left w:val="none" w:sz="0" w:space="0" w:color="auto"/>
        <w:bottom w:val="none" w:sz="0" w:space="0" w:color="auto"/>
        <w:right w:val="none" w:sz="0" w:space="0" w:color="auto"/>
      </w:divBdr>
    </w:div>
    <w:div w:id="651905005">
      <w:bodyDiv w:val="1"/>
      <w:marLeft w:val="0"/>
      <w:marRight w:val="0"/>
      <w:marTop w:val="0"/>
      <w:marBottom w:val="0"/>
      <w:divBdr>
        <w:top w:val="none" w:sz="0" w:space="0" w:color="auto"/>
        <w:left w:val="none" w:sz="0" w:space="0" w:color="auto"/>
        <w:bottom w:val="none" w:sz="0" w:space="0" w:color="auto"/>
        <w:right w:val="none" w:sz="0" w:space="0" w:color="auto"/>
      </w:divBdr>
    </w:div>
    <w:div w:id="652220531">
      <w:bodyDiv w:val="1"/>
      <w:marLeft w:val="0"/>
      <w:marRight w:val="0"/>
      <w:marTop w:val="0"/>
      <w:marBottom w:val="0"/>
      <w:divBdr>
        <w:top w:val="none" w:sz="0" w:space="0" w:color="auto"/>
        <w:left w:val="none" w:sz="0" w:space="0" w:color="auto"/>
        <w:bottom w:val="none" w:sz="0" w:space="0" w:color="auto"/>
        <w:right w:val="none" w:sz="0" w:space="0" w:color="auto"/>
      </w:divBdr>
    </w:div>
    <w:div w:id="652565310">
      <w:bodyDiv w:val="1"/>
      <w:marLeft w:val="0"/>
      <w:marRight w:val="0"/>
      <w:marTop w:val="0"/>
      <w:marBottom w:val="0"/>
      <w:divBdr>
        <w:top w:val="none" w:sz="0" w:space="0" w:color="auto"/>
        <w:left w:val="none" w:sz="0" w:space="0" w:color="auto"/>
        <w:bottom w:val="none" w:sz="0" w:space="0" w:color="auto"/>
        <w:right w:val="none" w:sz="0" w:space="0" w:color="auto"/>
      </w:divBdr>
    </w:div>
    <w:div w:id="652756396">
      <w:bodyDiv w:val="1"/>
      <w:marLeft w:val="0"/>
      <w:marRight w:val="0"/>
      <w:marTop w:val="0"/>
      <w:marBottom w:val="0"/>
      <w:divBdr>
        <w:top w:val="none" w:sz="0" w:space="0" w:color="auto"/>
        <w:left w:val="none" w:sz="0" w:space="0" w:color="auto"/>
        <w:bottom w:val="none" w:sz="0" w:space="0" w:color="auto"/>
        <w:right w:val="none" w:sz="0" w:space="0" w:color="auto"/>
      </w:divBdr>
    </w:div>
    <w:div w:id="653604574">
      <w:bodyDiv w:val="1"/>
      <w:marLeft w:val="0"/>
      <w:marRight w:val="0"/>
      <w:marTop w:val="0"/>
      <w:marBottom w:val="0"/>
      <w:divBdr>
        <w:top w:val="none" w:sz="0" w:space="0" w:color="auto"/>
        <w:left w:val="none" w:sz="0" w:space="0" w:color="auto"/>
        <w:bottom w:val="none" w:sz="0" w:space="0" w:color="auto"/>
        <w:right w:val="none" w:sz="0" w:space="0" w:color="auto"/>
      </w:divBdr>
    </w:div>
    <w:div w:id="653680779">
      <w:bodyDiv w:val="1"/>
      <w:marLeft w:val="0"/>
      <w:marRight w:val="0"/>
      <w:marTop w:val="0"/>
      <w:marBottom w:val="0"/>
      <w:divBdr>
        <w:top w:val="none" w:sz="0" w:space="0" w:color="auto"/>
        <w:left w:val="none" w:sz="0" w:space="0" w:color="auto"/>
        <w:bottom w:val="none" w:sz="0" w:space="0" w:color="auto"/>
        <w:right w:val="none" w:sz="0" w:space="0" w:color="auto"/>
      </w:divBdr>
    </w:div>
    <w:div w:id="653922316">
      <w:bodyDiv w:val="1"/>
      <w:marLeft w:val="0"/>
      <w:marRight w:val="0"/>
      <w:marTop w:val="0"/>
      <w:marBottom w:val="0"/>
      <w:divBdr>
        <w:top w:val="none" w:sz="0" w:space="0" w:color="auto"/>
        <w:left w:val="none" w:sz="0" w:space="0" w:color="auto"/>
        <w:bottom w:val="none" w:sz="0" w:space="0" w:color="auto"/>
        <w:right w:val="none" w:sz="0" w:space="0" w:color="auto"/>
      </w:divBdr>
    </w:div>
    <w:div w:id="656687005">
      <w:bodyDiv w:val="1"/>
      <w:marLeft w:val="0"/>
      <w:marRight w:val="0"/>
      <w:marTop w:val="0"/>
      <w:marBottom w:val="0"/>
      <w:divBdr>
        <w:top w:val="none" w:sz="0" w:space="0" w:color="auto"/>
        <w:left w:val="none" w:sz="0" w:space="0" w:color="auto"/>
        <w:bottom w:val="none" w:sz="0" w:space="0" w:color="auto"/>
        <w:right w:val="none" w:sz="0" w:space="0" w:color="auto"/>
      </w:divBdr>
    </w:div>
    <w:div w:id="657728637">
      <w:bodyDiv w:val="1"/>
      <w:marLeft w:val="0"/>
      <w:marRight w:val="0"/>
      <w:marTop w:val="0"/>
      <w:marBottom w:val="0"/>
      <w:divBdr>
        <w:top w:val="none" w:sz="0" w:space="0" w:color="auto"/>
        <w:left w:val="none" w:sz="0" w:space="0" w:color="auto"/>
        <w:bottom w:val="none" w:sz="0" w:space="0" w:color="auto"/>
        <w:right w:val="none" w:sz="0" w:space="0" w:color="auto"/>
      </w:divBdr>
    </w:div>
    <w:div w:id="658189442">
      <w:bodyDiv w:val="1"/>
      <w:marLeft w:val="0"/>
      <w:marRight w:val="0"/>
      <w:marTop w:val="0"/>
      <w:marBottom w:val="0"/>
      <w:divBdr>
        <w:top w:val="none" w:sz="0" w:space="0" w:color="auto"/>
        <w:left w:val="none" w:sz="0" w:space="0" w:color="auto"/>
        <w:bottom w:val="none" w:sz="0" w:space="0" w:color="auto"/>
        <w:right w:val="none" w:sz="0" w:space="0" w:color="auto"/>
      </w:divBdr>
    </w:div>
    <w:div w:id="658996394">
      <w:bodyDiv w:val="1"/>
      <w:marLeft w:val="0"/>
      <w:marRight w:val="0"/>
      <w:marTop w:val="0"/>
      <w:marBottom w:val="0"/>
      <w:divBdr>
        <w:top w:val="none" w:sz="0" w:space="0" w:color="auto"/>
        <w:left w:val="none" w:sz="0" w:space="0" w:color="auto"/>
        <w:bottom w:val="none" w:sz="0" w:space="0" w:color="auto"/>
        <w:right w:val="none" w:sz="0" w:space="0" w:color="auto"/>
      </w:divBdr>
    </w:div>
    <w:div w:id="660232935">
      <w:bodyDiv w:val="1"/>
      <w:marLeft w:val="0"/>
      <w:marRight w:val="0"/>
      <w:marTop w:val="0"/>
      <w:marBottom w:val="0"/>
      <w:divBdr>
        <w:top w:val="none" w:sz="0" w:space="0" w:color="auto"/>
        <w:left w:val="none" w:sz="0" w:space="0" w:color="auto"/>
        <w:bottom w:val="none" w:sz="0" w:space="0" w:color="auto"/>
        <w:right w:val="none" w:sz="0" w:space="0" w:color="auto"/>
      </w:divBdr>
    </w:div>
    <w:div w:id="661078454">
      <w:bodyDiv w:val="1"/>
      <w:marLeft w:val="0"/>
      <w:marRight w:val="0"/>
      <w:marTop w:val="0"/>
      <w:marBottom w:val="0"/>
      <w:divBdr>
        <w:top w:val="none" w:sz="0" w:space="0" w:color="auto"/>
        <w:left w:val="none" w:sz="0" w:space="0" w:color="auto"/>
        <w:bottom w:val="none" w:sz="0" w:space="0" w:color="auto"/>
        <w:right w:val="none" w:sz="0" w:space="0" w:color="auto"/>
      </w:divBdr>
    </w:div>
    <w:div w:id="661128634">
      <w:bodyDiv w:val="1"/>
      <w:marLeft w:val="0"/>
      <w:marRight w:val="0"/>
      <w:marTop w:val="0"/>
      <w:marBottom w:val="0"/>
      <w:divBdr>
        <w:top w:val="none" w:sz="0" w:space="0" w:color="auto"/>
        <w:left w:val="none" w:sz="0" w:space="0" w:color="auto"/>
        <w:bottom w:val="none" w:sz="0" w:space="0" w:color="auto"/>
        <w:right w:val="none" w:sz="0" w:space="0" w:color="auto"/>
      </w:divBdr>
    </w:div>
    <w:div w:id="661200191">
      <w:bodyDiv w:val="1"/>
      <w:marLeft w:val="0"/>
      <w:marRight w:val="0"/>
      <w:marTop w:val="0"/>
      <w:marBottom w:val="0"/>
      <w:divBdr>
        <w:top w:val="none" w:sz="0" w:space="0" w:color="auto"/>
        <w:left w:val="none" w:sz="0" w:space="0" w:color="auto"/>
        <w:bottom w:val="none" w:sz="0" w:space="0" w:color="auto"/>
        <w:right w:val="none" w:sz="0" w:space="0" w:color="auto"/>
      </w:divBdr>
    </w:div>
    <w:div w:id="662321089">
      <w:bodyDiv w:val="1"/>
      <w:marLeft w:val="0"/>
      <w:marRight w:val="0"/>
      <w:marTop w:val="0"/>
      <w:marBottom w:val="0"/>
      <w:divBdr>
        <w:top w:val="none" w:sz="0" w:space="0" w:color="auto"/>
        <w:left w:val="none" w:sz="0" w:space="0" w:color="auto"/>
        <w:bottom w:val="none" w:sz="0" w:space="0" w:color="auto"/>
        <w:right w:val="none" w:sz="0" w:space="0" w:color="auto"/>
      </w:divBdr>
    </w:div>
    <w:div w:id="663316122">
      <w:bodyDiv w:val="1"/>
      <w:marLeft w:val="0"/>
      <w:marRight w:val="0"/>
      <w:marTop w:val="0"/>
      <w:marBottom w:val="0"/>
      <w:divBdr>
        <w:top w:val="none" w:sz="0" w:space="0" w:color="auto"/>
        <w:left w:val="none" w:sz="0" w:space="0" w:color="auto"/>
        <w:bottom w:val="none" w:sz="0" w:space="0" w:color="auto"/>
        <w:right w:val="none" w:sz="0" w:space="0" w:color="auto"/>
      </w:divBdr>
    </w:div>
    <w:div w:id="663510870">
      <w:bodyDiv w:val="1"/>
      <w:marLeft w:val="0"/>
      <w:marRight w:val="0"/>
      <w:marTop w:val="0"/>
      <w:marBottom w:val="0"/>
      <w:divBdr>
        <w:top w:val="none" w:sz="0" w:space="0" w:color="auto"/>
        <w:left w:val="none" w:sz="0" w:space="0" w:color="auto"/>
        <w:bottom w:val="none" w:sz="0" w:space="0" w:color="auto"/>
        <w:right w:val="none" w:sz="0" w:space="0" w:color="auto"/>
      </w:divBdr>
    </w:div>
    <w:div w:id="664666916">
      <w:bodyDiv w:val="1"/>
      <w:marLeft w:val="0"/>
      <w:marRight w:val="0"/>
      <w:marTop w:val="0"/>
      <w:marBottom w:val="0"/>
      <w:divBdr>
        <w:top w:val="none" w:sz="0" w:space="0" w:color="auto"/>
        <w:left w:val="none" w:sz="0" w:space="0" w:color="auto"/>
        <w:bottom w:val="none" w:sz="0" w:space="0" w:color="auto"/>
        <w:right w:val="none" w:sz="0" w:space="0" w:color="auto"/>
      </w:divBdr>
    </w:div>
    <w:div w:id="664667226">
      <w:bodyDiv w:val="1"/>
      <w:marLeft w:val="0"/>
      <w:marRight w:val="0"/>
      <w:marTop w:val="0"/>
      <w:marBottom w:val="0"/>
      <w:divBdr>
        <w:top w:val="none" w:sz="0" w:space="0" w:color="auto"/>
        <w:left w:val="none" w:sz="0" w:space="0" w:color="auto"/>
        <w:bottom w:val="none" w:sz="0" w:space="0" w:color="auto"/>
        <w:right w:val="none" w:sz="0" w:space="0" w:color="auto"/>
      </w:divBdr>
    </w:div>
    <w:div w:id="665941350">
      <w:bodyDiv w:val="1"/>
      <w:marLeft w:val="0"/>
      <w:marRight w:val="0"/>
      <w:marTop w:val="0"/>
      <w:marBottom w:val="0"/>
      <w:divBdr>
        <w:top w:val="none" w:sz="0" w:space="0" w:color="auto"/>
        <w:left w:val="none" w:sz="0" w:space="0" w:color="auto"/>
        <w:bottom w:val="none" w:sz="0" w:space="0" w:color="auto"/>
        <w:right w:val="none" w:sz="0" w:space="0" w:color="auto"/>
      </w:divBdr>
    </w:div>
    <w:div w:id="666713122">
      <w:bodyDiv w:val="1"/>
      <w:marLeft w:val="0"/>
      <w:marRight w:val="0"/>
      <w:marTop w:val="0"/>
      <w:marBottom w:val="0"/>
      <w:divBdr>
        <w:top w:val="none" w:sz="0" w:space="0" w:color="auto"/>
        <w:left w:val="none" w:sz="0" w:space="0" w:color="auto"/>
        <w:bottom w:val="none" w:sz="0" w:space="0" w:color="auto"/>
        <w:right w:val="none" w:sz="0" w:space="0" w:color="auto"/>
      </w:divBdr>
    </w:div>
    <w:div w:id="667057891">
      <w:bodyDiv w:val="1"/>
      <w:marLeft w:val="0"/>
      <w:marRight w:val="0"/>
      <w:marTop w:val="0"/>
      <w:marBottom w:val="0"/>
      <w:divBdr>
        <w:top w:val="none" w:sz="0" w:space="0" w:color="auto"/>
        <w:left w:val="none" w:sz="0" w:space="0" w:color="auto"/>
        <w:bottom w:val="none" w:sz="0" w:space="0" w:color="auto"/>
        <w:right w:val="none" w:sz="0" w:space="0" w:color="auto"/>
      </w:divBdr>
    </w:div>
    <w:div w:id="668675277">
      <w:bodyDiv w:val="1"/>
      <w:marLeft w:val="0"/>
      <w:marRight w:val="0"/>
      <w:marTop w:val="0"/>
      <w:marBottom w:val="0"/>
      <w:divBdr>
        <w:top w:val="none" w:sz="0" w:space="0" w:color="auto"/>
        <w:left w:val="none" w:sz="0" w:space="0" w:color="auto"/>
        <w:bottom w:val="none" w:sz="0" w:space="0" w:color="auto"/>
        <w:right w:val="none" w:sz="0" w:space="0" w:color="auto"/>
      </w:divBdr>
    </w:div>
    <w:div w:id="672486982">
      <w:bodyDiv w:val="1"/>
      <w:marLeft w:val="0"/>
      <w:marRight w:val="0"/>
      <w:marTop w:val="0"/>
      <w:marBottom w:val="0"/>
      <w:divBdr>
        <w:top w:val="none" w:sz="0" w:space="0" w:color="auto"/>
        <w:left w:val="none" w:sz="0" w:space="0" w:color="auto"/>
        <w:bottom w:val="none" w:sz="0" w:space="0" w:color="auto"/>
        <w:right w:val="none" w:sz="0" w:space="0" w:color="auto"/>
      </w:divBdr>
    </w:div>
    <w:div w:id="672488701">
      <w:bodyDiv w:val="1"/>
      <w:marLeft w:val="0"/>
      <w:marRight w:val="0"/>
      <w:marTop w:val="0"/>
      <w:marBottom w:val="0"/>
      <w:divBdr>
        <w:top w:val="none" w:sz="0" w:space="0" w:color="auto"/>
        <w:left w:val="none" w:sz="0" w:space="0" w:color="auto"/>
        <w:bottom w:val="none" w:sz="0" w:space="0" w:color="auto"/>
        <w:right w:val="none" w:sz="0" w:space="0" w:color="auto"/>
      </w:divBdr>
    </w:div>
    <w:div w:id="673462089">
      <w:bodyDiv w:val="1"/>
      <w:marLeft w:val="0"/>
      <w:marRight w:val="0"/>
      <w:marTop w:val="0"/>
      <w:marBottom w:val="0"/>
      <w:divBdr>
        <w:top w:val="none" w:sz="0" w:space="0" w:color="auto"/>
        <w:left w:val="none" w:sz="0" w:space="0" w:color="auto"/>
        <w:bottom w:val="none" w:sz="0" w:space="0" w:color="auto"/>
        <w:right w:val="none" w:sz="0" w:space="0" w:color="auto"/>
      </w:divBdr>
    </w:div>
    <w:div w:id="675378287">
      <w:bodyDiv w:val="1"/>
      <w:marLeft w:val="0"/>
      <w:marRight w:val="0"/>
      <w:marTop w:val="0"/>
      <w:marBottom w:val="0"/>
      <w:divBdr>
        <w:top w:val="none" w:sz="0" w:space="0" w:color="auto"/>
        <w:left w:val="none" w:sz="0" w:space="0" w:color="auto"/>
        <w:bottom w:val="none" w:sz="0" w:space="0" w:color="auto"/>
        <w:right w:val="none" w:sz="0" w:space="0" w:color="auto"/>
      </w:divBdr>
    </w:div>
    <w:div w:id="676348544">
      <w:bodyDiv w:val="1"/>
      <w:marLeft w:val="0"/>
      <w:marRight w:val="0"/>
      <w:marTop w:val="0"/>
      <w:marBottom w:val="0"/>
      <w:divBdr>
        <w:top w:val="none" w:sz="0" w:space="0" w:color="auto"/>
        <w:left w:val="none" w:sz="0" w:space="0" w:color="auto"/>
        <w:bottom w:val="none" w:sz="0" w:space="0" w:color="auto"/>
        <w:right w:val="none" w:sz="0" w:space="0" w:color="auto"/>
      </w:divBdr>
    </w:div>
    <w:div w:id="676886314">
      <w:bodyDiv w:val="1"/>
      <w:marLeft w:val="0"/>
      <w:marRight w:val="0"/>
      <w:marTop w:val="0"/>
      <w:marBottom w:val="0"/>
      <w:divBdr>
        <w:top w:val="none" w:sz="0" w:space="0" w:color="auto"/>
        <w:left w:val="none" w:sz="0" w:space="0" w:color="auto"/>
        <w:bottom w:val="none" w:sz="0" w:space="0" w:color="auto"/>
        <w:right w:val="none" w:sz="0" w:space="0" w:color="auto"/>
      </w:divBdr>
    </w:div>
    <w:div w:id="677662961">
      <w:bodyDiv w:val="1"/>
      <w:marLeft w:val="0"/>
      <w:marRight w:val="0"/>
      <w:marTop w:val="0"/>
      <w:marBottom w:val="0"/>
      <w:divBdr>
        <w:top w:val="none" w:sz="0" w:space="0" w:color="auto"/>
        <w:left w:val="none" w:sz="0" w:space="0" w:color="auto"/>
        <w:bottom w:val="none" w:sz="0" w:space="0" w:color="auto"/>
        <w:right w:val="none" w:sz="0" w:space="0" w:color="auto"/>
      </w:divBdr>
    </w:div>
    <w:div w:id="678192141">
      <w:bodyDiv w:val="1"/>
      <w:marLeft w:val="0"/>
      <w:marRight w:val="0"/>
      <w:marTop w:val="0"/>
      <w:marBottom w:val="0"/>
      <w:divBdr>
        <w:top w:val="none" w:sz="0" w:space="0" w:color="auto"/>
        <w:left w:val="none" w:sz="0" w:space="0" w:color="auto"/>
        <w:bottom w:val="none" w:sz="0" w:space="0" w:color="auto"/>
        <w:right w:val="none" w:sz="0" w:space="0" w:color="auto"/>
      </w:divBdr>
    </w:div>
    <w:div w:id="678655233">
      <w:bodyDiv w:val="1"/>
      <w:marLeft w:val="0"/>
      <w:marRight w:val="0"/>
      <w:marTop w:val="0"/>
      <w:marBottom w:val="0"/>
      <w:divBdr>
        <w:top w:val="none" w:sz="0" w:space="0" w:color="auto"/>
        <w:left w:val="none" w:sz="0" w:space="0" w:color="auto"/>
        <w:bottom w:val="none" w:sz="0" w:space="0" w:color="auto"/>
        <w:right w:val="none" w:sz="0" w:space="0" w:color="auto"/>
      </w:divBdr>
    </w:div>
    <w:div w:id="679508331">
      <w:bodyDiv w:val="1"/>
      <w:marLeft w:val="0"/>
      <w:marRight w:val="0"/>
      <w:marTop w:val="0"/>
      <w:marBottom w:val="0"/>
      <w:divBdr>
        <w:top w:val="none" w:sz="0" w:space="0" w:color="auto"/>
        <w:left w:val="none" w:sz="0" w:space="0" w:color="auto"/>
        <w:bottom w:val="none" w:sz="0" w:space="0" w:color="auto"/>
        <w:right w:val="none" w:sz="0" w:space="0" w:color="auto"/>
      </w:divBdr>
    </w:div>
    <w:div w:id="679701372">
      <w:bodyDiv w:val="1"/>
      <w:marLeft w:val="0"/>
      <w:marRight w:val="0"/>
      <w:marTop w:val="0"/>
      <w:marBottom w:val="0"/>
      <w:divBdr>
        <w:top w:val="none" w:sz="0" w:space="0" w:color="auto"/>
        <w:left w:val="none" w:sz="0" w:space="0" w:color="auto"/>
        <w:bottom w:val="none" w:sz="0" w:space="0" w:color="auto"/>
        <w:right w:val="none" w:sz="0" w:space="0" w:color="auto"/>
      </w:divBdr>
    </w:div>
    <w:div w:id="680015207">
      <w:bodyDiv w:val="1"/>
      <w:marLeft w:val="0"/>
      <w:marRight w:val="0"/>
      <w:marTop w:val="0"/>
      <w:marBottom w:val="0"/>
      <w:divBdr>
        <w:top w:val="none" w:sz="0" w:space="0" w:color="auto"/>
        <w:left w:val="none" w:sz="0" w:space="0" w:color="auto"/>
        <w:bottom w:val="none" w:sz="0" w:space="0" w:color="auto"/>
        <w:right w:val="none" w:sz="0" w:space="0" w:color="auto"/>
      </w:divBdr>
    </w:div>
    <w:div w:id="680741664">
      <w:bodyDiv w:val="1"/>
      <w:marLeft w:val="0"/>
      <w:marRight w:val="0"/>
      <w:marTop w:val="0"/>
      <w:marBottom w:val="0"/>
      <w:divBdr>
        <w:top w:val="none" w:sz="0" w:space="0" w:color="auto"/>
        <w:left w:val="none" w:sz="0" w:space="0" w:color="auto"/>
        <w:bottom w:val="none" w:sz="0" w:space="0" w:color="auto"/>
        <w:right w:val="none" w:sz="0" w:space="0" w:color="auto"/>
      </w:divBdr>
    </w:div>
    <w:div w:id="684403741">
      <w:bodyDiv w:val="1"/>
      <w:marLeft w:val="0"/>
      <w:marRight w:val="0"/>
      <w:marTop w:val="0"/>
      <w:marBottom w:val="0"/>
      <w:divBdr>
        <w:top w:val="none" w:sz="0" w:space="0" w:color="auto"/>
        <w:left w:val="none" w:sz="0" w:space="0" w:color="auto"/>
        <w:bottom w:val="none" w:sz="0" w:space="0" w:color="auto"/>
        <w:right w:val="none" w:sz="0" w:space="0" w:color="auto"/>
      </w:divBdr>
    </w:div>
    <w:div w:id="686058120">
      <w:bodyDiv w:val="1"/>
      <w:marLeft w:val="0"/>
      <w:marRight w:val="0"/>
      <w:marTop w:val="0"/>
      <w:marBottom w:val="0"/>
      <w:divBdr>
        <w:top w:val="none" w:sz="0" w:space="0" w:color="auto"/>
        <w:left w:val="none" w:sz="0" w:space="0" w:color="auto"/>
        <w:bottom w:val="none" w:sz="0" w:space="0" w:color="auto"/>
        <w:right w:val="none" w:sz="0" w:space="0" w:color="auto"/>
      </w:divBdr>
    </w:div>
    <w:div w:id="690035090">
      <w:bodyDiv w:val="1"/>
      <w:marLeft w:val="0"/>
      <w:marRight w:val="0"/>
      <w:marTop w:val="0"/>
      <w:marBottom w:val="0"/>
      <w:divBdr>
        <w:top w:val="none" w:sz="0" w:space="0" w:color="auto"/>
        <w:left w:val="none" w:sz="0" w:space="0" w:color="auto"/>
        <w:bottom w:val="none" w:sz="0" w:space="0" w:color="auto"/>
        <w:right w:val="none" w:sz="0" w:space="0" w:color="auto"/>
      </w:divBdr>
    </w:div>
    <w:div w:id="690685329">
      <w:bodyDiv w:val="1"/>
      <w:marLeft w:val="0"/>
      <w:marRight w:val="0"/>
      <w:marTop w:val="0"/>
      <w:marBottom w:val="0"/>
      <w:divBdr>
        <w:top w:val="none" w:sz="0" w:space="0" w:color="auto"/>
        <w:left w:val="none" w:sz="0" w:space="0" w:color="auto"/>
        <w:bottom w:val="none" w:sz="0" w:space="0" w:color="auto"/>
        <w:right w:val="none" w:sz="0" w:space="0" w:color="auto"/>
      </w:divBdr>
    </w:div>
    <w:div w:id="691805841">
      <w:bodyDiv w:val="1"/>
      <w:marLeft w:val="0"/>
      <w:marRight w:val="0"/>
      <w:marTop w:val="0"/>
      <w:marBottom w:val="0"/>
      <w:divBdr>
        <w:top w:val="none" w:sz="0" w:space="0" w:color="auto"/>
        <w:left w:val="none" w:sz="0" w:space="0" w:color="auto"/>
        <w:bottom w:val="none" w:sz="0" w:space="0" w:color="auto"/>
        <w:right w:val="none" w:sz="0" w:space="0" w:color="auto"/>
      </w:divBdr>
    </w:div>
    <w:div w:id="692457377">
      <w:bodyDiv w:val="1"/>
      <w:marLeft w:val="0"/>
      <w:marRight w:val="0"/>
      <w:marTop w:val="0"/>
      <w:marBottom w:val="0"/>
      <w:divBdr>
        <w:top w:val="none" w:sz="0" w:space="0" w:color="auto"/>
        <w:left w:val="none" w:sz="0" w:space="0" w:color="auto"/>
        <w:bottom w:val="none" w:sz="0" w:space="0" w:color="auto"/>
        <w:right w:val="none" w:sz="0" w:space="0" w:color="auto"/>
      </w:divBdr>
    </w:div>
    <w:div w:id="694308652">
      <w:bodyDiv w:val="1"/>
      <w:marLeft w:val="0"/>
      <w:marRight w:val="0"/>
      <w:marTop w:val="0"/>
      <w:marBottom w:val="0"/>
      <w:divBdr>
        <w:top w:val="none" w:sz="0" w:space="0" w:color="auto"/>
        <w:left w:val="none" w:sz="0" w:space="0" w:color="auto"/>
        <w:bottom w:val="none" w:sz="0" w:space="0" w:color="auto"/>
        <w:right w:val="none" w:sz="0" w:space="0" w:color="auto"/>
      </w:divBdr>
    </w:div>
    <w:div w:id="695271486">
      <w:bodyDiv w:val="1"/>
      <w:marLeft w:val="0"/>
      <w:marRight w:val="0"/>
      <w:marTop w:val="0"/>
      <w:marBottom w:val="0"/>
      <w:divBdr>
        <w:top w:val="none" w:sz="0" w:space="0" w:color="auto"/>
        <w:left w:val="none" w:sz="0" w:space="0" w:color="auto"/>
        <w:bottom w:val="none" w:sz="0" w:space="0" w:color="auto"/>
        <w:right w:val="none" w:sz="0" w:space="0" w:color="auto"/>
      </w:divBdr>
    </w:div>
    <w:div w:id="695426152">
      <w:bodyDiv w:val="1"/>
      <w:marLeft w:val="0"/>
      <w:marRight w:val="0"/>
      <w:marTop w:val="0"/>
      <w:marBottom w:val="0"/>
      <w:divBdr>
        <w:top w:val="none" w:sz="0" w:space="0" w:color="auto"/>
        <w:left w:val="none" w:sz="0" w:space="0" w:color="auto"/>
        <w:bottom w:val="none" w:sz="0" w:space="0" w:color="auto"/>
        <w:right w:val="none" w:sz="0" w:space="0" w:color="auto"/>
      </w:divBdr>
    </w:div>
    <w:div w:id="697659327">
      <w:bodyDiv w:val="1"/>
      <w:marLeft w:val="0"/>
      <w:marRight w:val="0"/>
      <w:marTop w:val="0"/>
      <w:marBottom w:val="0"/>
      <w:divBdr>
        <w:top w:val="none" w:sz="0" w:space="0" w:color="auto"/>
        <w:left w:val="none" w:sz="0" w:space="0" w:color="auto"/>
        <w:bottom w:val="none" w:sz="0" w:space="0" w:color="auto"/>
        <w:right w:val="none" w:sz="0" w:space="0" w:color="auto"/>
      </w:divBdr>
    </w:div>
    <w:div w:id="698505027">
      <w:bodyDiv w:val="1"/>
      <w:marLeft w:val="0"/>
      <w:marRight w:val="0"/>
      <w:marTop w:val="0"/>
      <w:marBottom w:val="0"/>
      <w:divBdr>
        <w:top w:val="none" w:sz="0" w:space="0" w:color="auto"/>
        <w:left w:val="none" w:sz="0" w:space="0" w:color="auto"/>
        <w:bottom w:val="none" w:sz="0" w:space="0" w:color="auto"/>
        <w:right w:val="none" w:sz="0" w:space="0" w:color="auto"/>
      </w:divBdr>
    </w:div>
    <w:div w:id="699353684">
      <w:bodyDiv w:val="1"/>
      <w:marLeft w:val="0"/>
      <w:marRight w:val="0"/>
      <w:marTop w:val="0"/>
      <w:marBottom w:val="0"/>
      <w:divBdr>
        <w:top w:val="none" w:sz="0" w:space="0" w:color="auto"/>
        <w:left w:val="none" w:sz="0" w:space="0" w:color="auto"/>
        <w:bottom w:val="none" w:sz="0" w:space="0" w:color="auto"/>
        <w:right w:val="none" w:sz="0" w:space="0" w:color="auto"/>
      </w:divBdr>
    </w:div>
    <w:div w:id="701367275">
      <w:bodyDiv w:val="1"/>
      <w:marLeft w:val="0"/>
      <w:marRight w:val="0"/>
      <w:marTop w:val="0"/>
      <w:marBottom w:val="0"/>
      <w:divBdr>
        <w:top w:val="none" w:sz="0" w:space="0" w:color="auto"/>
        <w:left w:val="none" w:sz="0" w:space="0" w:color="auto"/>
        <w:bottom w:val="none" w:sz="0" w:space="0" w:color="auto"/>
        <w:right w:val="none" w:sz="0" w:space="0" w:color="auto"/>
      </w:divBdr>
    </w:div>
    <w:div w:id="702755094">
      <w:bodyDiv w:val="1"/>
      <w:marLeft w:val="0"/>
      <w:marRight w:val="0"/>
      <w:marTop w:val="0"/>
      <w:marBottom w:val="0"/>
      <w:divBdr>
        <w:top w:val="none" w:sz="0" w:space="0" w:color="auto"/>
        <w:left w:val="none" w:sz="0" w:space="0" w:color="auto"/>
        <w:bottom w:val="none" w:sz="0" w:space="0" w:color="auto"/>
        <w:right w:val="none" w:sz="0" w:space="0" w:color="auto"/>
      </w:divBdr>
    </w:div>
    <w:div w:id="705373826">
      <w:bodyDiv w:val="1"/>
      <w:marLeft w:val="0"/>
      <w:marRight w:val="0"/>
      <w:marTop w:val="0"/>
      <w:marBottom w:val="0"/>
      <w:divBdr>
        <w:top w:val="none" w:sz="0" w:space="0" w:color="auto"/>
        <w:left w:val="none" w:sz="0" w:space="0" w:color="auto"/>
        <w:bottom w:val="none" w:sz="0" w:space="0" w:color="auto"/>
        <w:right w:val="none" w:sz="0" w:space="0" w:color="auto"/>
      </w:divBdr>
    </w:div>
    <w:div w:id="708837908">
      <w:bodyDiv w:val="1"/>
      <w:marLeft w:val="0"/>
      <w:marRight w:val="0"/>
      <w:marTop w:val="0"/>
      <w:marBottom w:val="0"/>
      <w:divBdr>
        <w:top w:val="none" w:sz="0" w:space="0" w:color="auto"/>
        <w:left w:val="none" w:sz="0" w:space="0" w:color="auto"/>
        <w:bottom w:val="none" w:sz="0" w:space="0" w:color="auto"/>
        <w:right w:val="none" w:sz="0" w:space="0" w:color="auto"/>
      </w:divBdr>
    </w:div>
    <w:div w:id="709764599">
      <w:bodyDiv w:val="1"/>
      <w:marLeft w:val="0"/>
      <w:marRight w:val="0"/>
      <w:marTop w:val="0"/>
      <w:marBottom w:val="0"/>
      <w:divBdr>
        <w:top w:val="none" w:sz="0" w:space="0" w:color="auto"/>
        <w:left w:val="none" w:sz="0" w:space="0" w:color="auto"/>
        <w:bottom w:val="none" w:sz="0" w:space="0" w:color="auto"/>
        <w:right w:val="none" w:sz="0" w:space="0" w:color="auto"/>
      </w:divBdr>
    </w:div>
    <w:div w:id="711155079">
      <w:bodyDiv w:val="1"/>
      <w:marLeft w:val="0"/>
      <w:marRight w:val="0"/>
      <w:marTop w:val="0"/>
      <w:marBottom w:val="0"/>
      <w:divBdr>
        <w:top w:val="none" w:sz="0" w:space="0" w:color="auto"/>
        <w:left w:val="none" w:sz="0" w:space="0" w:color="auto"/>
        <w:bottom w:val="none" w:sz="0" w:space="0" w:color="auto"/>
        <w:right w:val="none" w:sz="0" w:space="0" w:color="auto"/>
      </w:divBdr>
    </w:div>
    <w:div w:id="712727511">
      <w:bodyDiv w:val="1"/>
      <w:marLeft w:val="0"/>
      <w:marRight w:val="0"/>
      <w:marTop w:val="0"/>
      <w:marBottom w:val="0"/>
      <w:divBdr>
        <w:top w:val="none" w:sz="0" w:space="0" w:color="auto"/>
        <w:left w:val="none" w:sz="0" w:space="0" w:color="auto"/>
        <w:bottom w:val="none" w:sz="0" w:space="0" w:color="auto"/>
        <w:right w:val="none" w:sz="0" w:space="0" w:color="auto"/>
      </w:divBdr>
    </w:div>
    <w:div w:id="712733329">
      <w:bodyDiv w:val="1"/>
      <w:marLeft w:val="0"/>
      <w:marRight w:val="0"/>
      <w:marTop w:val="0"/>
      <w:marBottom w:val="0"/>
      <w:divBdr>
        <w:top w:val="none" w:sz="0" w:space="0" w:color="auto"/>
        <w:left w:val="none" w:sz="0" w:space="0" w:color="auto"/>
        <w:bottom w:val="none" w:sz="0" w:space="0" w:color="auto"/>
        <w:right w:val="none" w:sz="0" w:space="0" w:color="auto"/>
      </w:divBdr>
    </w:div>
    <w:div w:id="714239453">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715353966">
      <w:bodyDiv w:val="1"/>
      <w:marLeft w:val="0"/>
      <w:marRight w:val="0"/>
      <w:marTop w:val="0"/>
      <w:marBottom w:val="0"/>
      <w:divBdr>
        <w:top w:val="none" w:sz="0" w:space="0" w:color="auto"/>
        <w:left w:val="none" w:sz="0" w:space="0" w:color="auto"/>
        <w:bottom w:val="none" w:sz="0" w:space="0" w:color="auto"/>
        <w:right w:val="none" w:sz="0" w:space="0" w:color="auto"/>
      </w:divBdr>
    </w:div>
    <w:div w:id="716203287">
      <w:bodyDiv w:val="1"/>
      <w:marLeft w:val="0"/>
      <w:marRight w:val="0"/>
      <w:marTop w:val="0"/>
      <w:marBottom w:val="0"/>
      <w:divBdr>
        <w:top w:val="none" w:sz="0" w:space="0" w:color="auto"/>
        <w:left w:val="none" w:sz="0" w:space="0" w:color="auto"/>
        <w:bottom w:val="none" w:sz="0" w:space="0" w:color="auto"/>
        <w:right w:val="none" w:sz="0" w:space="0" w:color="auto"/>
      </w:divBdr>
    </w:div>
    <w:div w:id="716975980">
      <w:bodyDiv w:val="1"/>
      <w:marLeft w:val="0"/>
      <w:marRight w:val="0"/>
      <w:marTop w:val="0"/>
      <w:marBottom w:val="0"/>
      <w:divBdr>
        <w:top w:val="none" w:sz="0" w:space="0" w:color="auto"/>
        <w:left w:val="none" w:sz="0" w:space="0" w:color="auto"/>
        <w:bottom w:val="none" w:sz="0" w:space="0" w:color="auto"/>
        <w:right w:val="none" w:sz="0" w:space="0" w:color="auto"/>
      </w:divBdr>
    </w:div>
    <w:div w:id="717047360">
      <w:bodyDiv w:val="1"/>
      <w:marLeft w:val="0"/>
      <w:marRight w:val="0"/>
      <w:marTop w:val="0"/>
      <w:marBottom w:val="0"/>
      <w:divBdr>
        <w:top w:val="none" w:sz="0" w:space="0" w:color="auto"/>
        <w:left w:val="none" w:sz="0" w:space="0" w:color="auto"/>
        <w:bottom w:val="none" w:sz="0" w:space="0" w:color="auto"/>
        <w:right w:val="none" w:sz="0" w:space="0" w:color="auto"/>
      </w:divBdr>
    </w:div>
    <w:div w:id="718751347">
      <w:bodyDiv w:val="1"/>
      <w:marLeft w:val="0"/>
      <w:marRight w:val="0"/>
      <w:marTop w:val="0"/>
      <w:marBottom w:val="0"/>
      <w:divBdr>
        <w:top w:val="none" w:sz="0" w:space="0" w:color="auto"/>
        <w:left w:val="none" w:sz="0" w:space="0" w:color="auto"/>
        <w:bottom w:val="none" w:sz="0" w:space="0" w:color="auto"/>
        <w:right w:val="none" w:sz="0" w:space="0" w:color="auto"/>
      </w:divBdr>
    </w:div>
    <w:div w:id="724597203">
      <w:bodyDiv w:val="1"/>
      <w:marLeft w:val="0"/>
      <w:marRight w:val="0"/>
      <w:marTop w:val="0"/>
      <w:marBottom w:val="0"/>
      <w:divBdr>
        <w:top w:val="none" w:sz="0" w:space="0" w:color="auto"/>
        <w:left w:val="none" w:sz="0" w:space="0" w:color="auto"/>
        <w:bottom w:val="none" w:sz="0" w:space="0" w:color="auto"/>
        <w:right w:val="none" w:sz="0" w:space="0" w:color="auto"/>
      </w:divBdr>
    </w:div>
    <w:div w:id="725646034">
      <w:bodyDiv w:val="1"/>
      <w:marLeft w:val="0"/>
      <w:marRight w:val="0"/>
      <w:marTop w:val="0"/>
      <w:marBottom w:val="0"/>
      <w:divBdr>
        <w:top w:val="none" w:sz="0" w:space="0" w:color="auto"/>
        <w:left w:val="none" w:sz="0" w:space="0" w:color="auto"/>
        <w:bottom w:val="none" w:sz="0" w:space="0" w:color="auto"/>
        <w:right w:val="none" w:sz="0" w:space="0" w:color="auto"/>
      </w:divBdr>
    </w:div>
    <w:div w:id="727608258">
      <w:bodyDiv w:val="1"/>
      <w:marLeft w:val="0"/>
      <w:marRight w:val="0"/>
      <w:marTop w:val="0"/>
      <w:marBottom w:val="0"/>
      <w:divBdr>
        <w:top w:val="none" w:sz="0" w:space="0" w:color="auto"/>
        <w:left w:val="none" w:sz="0" w:space="0" w:color="auto"/>
        <w:bottom w:val="none" w:sz="0" w:space="0" w:color="auto"/>
        <w:right w:val="none" w:sz="0" w:space="0" w:color="auto"/>
      </w:divBdr>
    </w:div>
    <w:div w:id="728307241">
      <w:bodyDiv w:val="1"/>
      <w:marLeft w:val="0"/>
      <w:marRight w:val="0"/>
      <w:marTop w:val="0"/>
      <w:marBottom w:val="0"/>
      <w:divBdr>
        <w:top w:val="none" w:sz="0" w:space="0" w:color="auto"/>
        <w:left w:val="none" w:sz="0" w:space="0" w:color="auto"/>
        <w:bottom w:val="none" w:sz="0" w:space="0" w:color="auto"/>
        <w:right w:val="none" w:sz="0" w:space="0" w:color="auto"/>
      </w:divBdr>
    </w:div>
    <w:div w:id="734812556">
      <w:bodyDiv w:val="1"/>
      <w:marLeft w:val="0"/>
      <w:marRight w:val="0"/>
      <w:marTop w:val="0"/>
      <w:marBottom w:val="0"/>
      <w:divBdr>
        <w:top w:val="none" w:sz="0" w:space="0" w:color="auto"/>
        <w:left w:val="none" w:sz="0" w:space="0" w:color="auto"/>
        <w:bottom w:val="none" w:sz="0" w:space="0" w:color="auto"/>
        <w:right w:val="none" w:sz="0" w:space="0" w:color="auto"/>
      </w:divBdr>
    </w:div>
    <w:div w:id="737442685">
      <w:bodyDiv w:val="1"/>
      <w:marLeft w:val="0"/>
      <w:marRight w:val="0"/>
      <w:marTop w:val="0"/>
      <w:marBottom w:val="0"/>
      <w:divBdr>
        <w:top w:val="none" w:sz="0" w:space="0" w:color="auto"/>
        <w:left w:val="none" w:sz="0" w:space="0" w:color="auto"/>
        <w:bottom w:val="none" w:sz="0" w:space="0" w:color="auto"/>
        <w:right w:val="none" w:sz="0" w:space="0" w:color="auto"/>
      </w:divBdr>
    </w:div>
    <w:div w:id="738139423">
      <w:bodyDiv w:val="1"/>
      <w:marLeft w:val="0"/>
      <w:marRight w:val="0"/>
      <w:marTop w:val="0"/>
      <w:marBottom w:val="0"/>
      <w:divBdr>
        <w:top w:val="none" w:sz="0" w:space="0" w:color="auto"/>
        <w:left w:val="none" w:sz="0" w:space="0" w:color="auto"/>
        <w:bottom w:val="none" w:sz="0" w:space="0" w:color="auto"/>
        <w:right w:val="none" w:sz="0" w:space="0" w:color="auto"/>
      </w:divBdr>
    </w:div>
    <w:div w:id="739450312">
      <w:bodyDiv w:val="1"/>
      <w:marLeft w:val="0"/>
      <w:marRight w:val="0"/>
      <w:marTop w:val="0"/>
      <w:marBottom w:val="0"/>
      <w:divBdr>
        <w:top w:val="none" w:sz="0" w:space="0" w:color="auto"/>
        <w:left w:val="none" w:sz="0" w:space="0" w:color="auto"/>
        <w:bottom w:val="none" w:sz="0" w:space="0" w:color="auto"/>
        <w:right w:val="none" w:sz="0" w:space="0" w:color="auto"/>
      </w:divBdr>
    </w:div>
    <w:div w:id="740447896">
      <w:bodyDiv w:val="1"/>
      <w:marLeft w:val="0"/>
      <w:marRight w:val="0"/>
      <w:marTop w:val="0"/>
      <w:marBottom w:val="0"/>
      <w:divBdr>
        <w:top w:val="none" w:sz="0" w:space="0" w:color="auto"/>
        <w:left w:val="none" w:sz="0" w:space="0" w:color="auto"/>
        <w:bottom w:val="none" w:sz="0" w:space="0" w:color="auto"/>
        <w:right w:val="none" w:sz="0" w:space="0" w:color="auto"/>
      </w:divBdr>
    </w:div>
    <w:div w:id="740519636">
      <w:bodyDiv w:val="1"/>
      <w:marLeft w:val="0"/>
      <w:marRight w:val="0"/>
      <w:marTop w:val="0"/>
      <w:marBottom w:val="0"/>
      <w:divBdr>
        <w:top w:val="none" w:sz="0" w:space="0" w:color="auto"/>
        <w:left w:val="none" w:sz="0" w:space="0" w:color="auto"/>
        <w:bottom w:val="none" w:sz="0" w:space="0" w:color="auto"/>
        <w:right w:val="none" w:sz="0" w:space="0" w:color="auto"/>
      </w:divBdr>
    </w:div>
    <w:div w:id="740912320">
      <w:bodyDiv w:val="1"/>
      <w:marLeft w:val="0"/>
      <w:marRight w:val="0"/>
      <w:marTop w:val="0"/>
      <w:marBottom w:val="0"/>
      <w:divBdr>
        <w:top w:val="none" w:sz="0" w:space="0" w:color="auto"/>
        <w:left w:val="none" w:sz="0" w:space="0" w:color="auto"/>
        <w:bottom w:val="none" w:sz="0" w:space="0" w:color="auto"/>
        <w:right w:val="none" w:sz="0" w:space="0" w:color="auto"/>
      </w:divBdr>
    </w:div>
    <w:div w:id="741803437">
      <w:bodyDiv w:val="1"/>
      <w:marLeft w:val="0"/>
      <w:marRight w:val="0"/>
      <w:marTop w:val="0"/>
      <w:marBottom w:val="0"/>
      <w:divBdr>
        <w:top w:val="none" w:sz="0" w:space="0" w:color="auto"/>
        <w:left w:val="none" w:sz="0" w:space="0" w:color="auto"/>
        <w:bottom w:val="none" w:sz="0" w:space="0" w:color="auto"/>
        <w:right w:val="none" w:sz="0" w:space="0" w:color="auto"/>
      </w:divBdr>
    </w:div>
    <w:div w:id="742987236">
      <w:bodyDiv w:val="1"/>
      <w:marLeft w:val="0"/>
      <w:marRight w:val="0"/>
      <w:marTop w:val="0"/>
      <w:marBottom w:val="0"/>
      <w:divBdr>
        <w:top w:val="none" w:sz="0" w:space="0" w:color="auto"/>
        <w:left w:val="none" w:sz="0" w:space="0" w:color="auto"/>
        <w:bottom w:val="none" w:sz="0" w:space="0" w:color="auto"/>
        <w:right w:val="none" w:sz="0" w:space="0" w:color="auto"/>
      </w:divBdr>
    </w:div>
    <w:div w:id="742993555">
      <w:bodyDiv w:val="1"/>
      <w:marLeft w:val="0"/>
      <w:marRight w:val="0"/>
      <w:marTop w:val="0"/>
      <w:marBottom w:val="0"/>
      <w:divBdr>
        <w:top w:val="none" w:sz="0" w:space="0" w:color="auto"/>
        <w:left w:val="none" w:sz="0" w:space="0" w:color="auto"/>
        <w:bottom w:val="none" w:sz="0" w:space="0" w:color="auto"/>
        <w:right w:val="none" w:sz="0" w:space="0" w:color="auto"/>
      </w:divBdr>
    </w:div>
    <w:div w:id="743062385">
      <w:bodyDiv w:val="1"/>
      <w:marLeft w:val="0"/>
      <w:marRight w:val="0"/>
      <w:marTop w:val="0"/>
      <w:marBottom w:val="0"/>
      <w:divBdr>
        <w:top w:val="none" w:sz="0" w:space="0" w:color="auto"/>
        <w:left w:val="none" w:sz="0" w:space="0" w:color="auto"/>
        <w:bottom w:val="none" w:sz="0" w:space="0" w:color="auto"/>
        <w:right w:val="none" w:sz="0" w:space="0" w:color="auto"/>
      </w:divBdr>
    </w:div>
    <w:div w:id="744183307">
      <w:bodyDiv w:val="1"/>
      <w:marLeft w:val="0"/>
      <w:marRight w:val="0"/>
      <w:marTop w:val="0"/>
      <w:marBottom w:val="0"/>
      <w:divBdr>
        <w:top w:val="none" w:sz="0" w:space="0" w:color="auto"/>
        <w:left w:val="none" w:sz="0" w:space="0" w:color="auto"/>
        <w:bottom w:val="none" w:sz="0" w:space="0" w:color="auto"/>
        <w:right w:val="none" w:sz="0" w:space="0" w:color="auto"/>
      </w:divBdr>
    </w:div>
    <w:div w:id="746077573">
      <w:bodyDiv w:val="1"/>
      <w:marLeft w:val="0"/>
      <w:marRight w:val="0"/>
      <w:marTop w:val="0"/>
      <w:marBottom w:val="0"/>
      <w:divBdr>
        <w:top w:val="none" w:sz="0" w:space="0" w:color="auto"/>
        <w:left w:val="none" w:sz="0" w:space="0" w:color="auto"/>
        <w:bottom w:val="none" w:sz="0" w:space="0" w:color="auto"/>
        <w:right w:val="none" w:sz="0" w:space="0" w:color="auto"/>
      </w:divBdr>
    </w:div>
    <w:div w:id="747120772">
      <w:bodyDiv w:val="1"/>
      <w:marLeft w:val="0"/>
      <w:marRight w:val="0"/>
      <w:marTop w:val="0"/>
      <w:marBottom w:val="0"/>
      <w:divBdr>
        <w:top w:val="none" w:sz="0" w:space="0" w:color="auto"/>
        <w:left w:val="none" w:sz="0" w:space="0" w:color="auto"/>
        <w:bottom w:val="none" w:sz="0" w:space="0" w:color="auto"/>
        <w:right w:val="none" w:sz="0" w:space="0" w:color="auto"/>
      </w:divBdr>
    </w:div>
    <w:div w:id="751511433">
      <w:bodyDiv w:val="1"/>
      <w:marLeft w:val="0"/>
      <w:marRight w:val="0"/>
      <w:marTop w:val="0"/>
      <w:marBottom w:val="0"/>
      <w:divBdr>
        <w:top w:val="none" w:sz="0" w:space="0" w:color="auto"/>
        <w:left w:val="none" w:sz="0" w:space="0" w:color="auto"/>
        <w:bottom w:val="none" w:sz="0" w:space="0" w:color="auto"/>
        <w:right w:val="none" w:sz="0" w:space="0" w:color="auto"/>
      </w:divBdr>
    </w:div>
    <w:div w:id="756634927">
      <w:bodyDiv w:val="1"/>
      <w:marLeft w:val="0"/>
      <w:marRight w:val="0"/>
      <w:marTop w:val="0"/>
      <w:marBottom w:val="0"/>
      <w:divBdr>
        <w:top w:val="none" w:sz="0" w:space="0" w:color="auto"/>
        <w:left w:val="none" w:sz="0" w:space="0" w:color="auto"/>
        <w:bottom w:val="none" w:sz="0" w:space="0" w:color="auto"/>
        <w:right w:val="none" w:sz="0" w:space="0" w:color="auto"/>
      </w:divBdr>
    </w:div>
    <w:div w:id="757945184">
      <w:bodyDiv w:val="1"/>
      <w:marLeft w:val="0"/>
      <w:marRight w:val="0"/>
      <w:marTop w:val="0"/>
      <w:marBottom w:val="0"/>
      <w:divBdr>
        <w:top w:val="none" w:sz="0" w:space="0" w:color="auto"/>
        <w:left w:val="none" w:sz="0" w:space="0" w:color="auto"/>
        <w:bottom w:val="none" w:sz="0" w:space="0" w:color="auto"/>
        <w:right w:val="none" w:sz="0" w:space="0" w:color="auto"/>
      </w:divBdr>
    </w:div>
    <w:div w:id="758138221">
      <w:bodyDiv w:val="1"/>
      <w:marLeft w:val="0"/>
      <w:marRight w:val="0"/>
      <w:marTop w:val="0"/>
      <w:marBottom w:val="0"/>
      <w:divBdr>
        <w:top w:val="none" w:sz="0" w:space="0" w:color="auto"/>
        <w:left w:val="none" w:sz="0" w:space="0" w:color="auto"/>
        <w:bottom w:val="none" w:sz="0" w:space="0" w:color="auto"/>
        <w:right w:val="none" w:sz="0" w:space="0" w:color="auto"/>
      </w:divBdr>
    </w:div>
    <w:div w:id="758403722">
      <w:bodyDiv w:val="1"/>
      <w:marLeft w:val="0"/>
      <w:marRight w:val="0"/>
      <w:marTop w:val="0"/>
      <w:marBottom w:val="0"/>
      <w:divBdr>
        <w:top w:val="none" w:sz="0" w:space="0" w:color="auto"/>
        <w:left w:val="none" w:sz="0" w:space="0" w:color="auto"/>
        <w:bottom w:val="none" w:sz="0" w:space="0" w:color="auto"/>
        <w:right w:val="none" w:sz="0" w:space="0" w:color="auto"/>
      </w:divBdr>
    </w:div>
    <w:div w:id="760373209">
      <w:bodyDiv w:val="1"/>
      <w:marLeft w:val="0"/>
      <w:marRight w:val="0"/>
      <w:marTop w:val="0"/>
      <w:marBottom w:val="0"/>
      <w:divBdr>
        <w:top w:val="none" w:sz="0" w:space="0" w:color="auto"/>
        <w:left w:val="none" w:sz="0" w:space="0" w:color="auto"/>
        <w:bottom w:val="none" w:sz="0" w:space="0" w:color="auto"/>
        <w:right w:val="none" w:sz="0" w:space="0" w:color="auto"/>
      </w:divBdr>
    </w:div>
    <w:div w:id="760881075">
      <w:bodyDiv w:val="1"/>
      <w:marLeft w:val="0"/>
      <w:marRight w:val="0"/>
      <w:marTop w:val="0"/>
      <w:marBottom w:val="0"/>
      <w:divBdr>
        <w:top w:val="none" w:sz="0" w:space="0" w:color="auto"/>
        <w:left w:val="none" w:sz="0" w:space="0" w:color="auto"/>
        <w:bottom w:val="none" w:sz="0" w:space="0" w:color="auto"/>
        <w:right w:val="none" w:sz="0" w:space="0" w:color="auto"/>
      </w:divBdr>
      <w:divsChild>
        <w:div w:id="866454847">
          <w:marLeft w:val="547"/>
          <w:marRight w:val="0"/>
          <w:marTop w:val="0"/>
          <w:marBottom w:val="0"/>
          <w:divBdr>
            <w:top w:val="none" w:sz="0" w:space="0" w:color="auto"/>
            <w:left w:val="none" w:sz="0" w:space="0" w:color="auto"/>
            <w:bottom w:val="none" w:sz="0" w:space="0" w:color="auto"/>
            <w:right w:val="none" w:sz="0" w:space="0" w:color="auto"/>
          </w:divBdr>
        </w:div>
      </w:divsChild>
    </w:div>
    <w:div w:id="761419142">
      <w:bodyDiv w:val="1"/>
      <w:marLeft w:val="0"/>
      <w:marRight w:val="0"/>
      <w:marTop w:val="0"/>
      <w:marBottom w:val="0"/>
      <w:divBdr>
        <w:top w:val="none" w:sz="0" w:space="0" w:color="auto"/>
        <w:left w:val="none" w:sz="0" w:space="0" w:color="auto"/>
        <w:bottom w:val="none" w:sz="0" w:space="0" w:color="auto"/>
        <w:right w:val="none" w:sz="0" w:space="0" w:color="auto"/>
      </w:divBdr>
    </w:div>
    <w:div w:id="765613328">
      <w:bodyDiv w:val="1"/>
      <w:marLeft w:val="0"/>
      <w:marRight w:val="0"/>
      <w:marTop w:val="0"/>
      <w:marBottom w:val="0"/>
      <w:divBdr>
        <w:top w:val="none" w:sz="0" w:space="0" w:color="auto"/>
        <w:left w:val="none" w:sz="0" w:space="0" w:color="auto"/>
        <w:bottom w:val="none" w:sz="0" w:space="0" w:color="auto"/>
        <w:right w:val="none" w:sz="0" w:space="0" w:color="auto"/>
      </w:divBdr>
    </w:div>
    <w:div w:id="767702984">
      <w:bodyDiv w:val="1"/>
      <w:marLeft w:val="0"/>
      <w:marRight w:val="0"/>
      <w:marTop w:val="0"/>
      <w:marBottom w:val="0"/>
      <w:divBdr>
        <w:top w:val="none" w:sz="0" w:space="0" w:color="auto"/>
        <w:left w:val="none" w:sz="0" w:space="0" w:color="auto"/>
        <w:bottom w:val="none" w:sz="0" w:space="0" w:color="auto"/>
        <w:right w:val="none" w:sz="0" w:space="0" w:color="auto"/>
      </w:divBdr>
    </w:div>
    <w:div w:id="767887396">
      <w:bodyDiv w:val="1"/>
      <w:marLeft w:val="0"/>
      <w:marRight w:val="0"/>
      <w:marTop w:val="0"/>
      <w:marBottom w:val="0"/>
      <w:divBdr>
        <w:top w:val="none" w:sz="0" w:space="0" w:color="auto"/>
        <w:left w:val="none" w:sz="0" w:space="0" w:color="auto"/>
        <w:bottom w:val="none" w:sz="0" w:space="0" w:color="auto"/>
        <w:right w:val="none" w:sz="0" w:space="0" w:color="auto"/>
      </w:divBdr>
    </w:div>
    <w:div w:id="769668416">
      <w:bodyDiv w:val="1"/>
      <w:marLeft w:val="0"/>
      <w:marRight w:val="0"/>
      <w:marTop w:val="0"/>
      <w:marBottom w:val="0"/>
      <w:divBdr>
        <w:top w:val="none" w:sz="0" w:space="0" w:color="auto"/>
        <w:left w:val="none" w:sz="0" w:space="0" w:color="auto"/>
        <w:bottom w:val="none" w:sz="0" w:space="0" w:color="auto"/>
        <w:right w:val="none" w:sz="0" w:space="0" w:color="auto"/>
      </w:divBdr>
    </w:div>
    <w:div w:id="770200490">
      <w:bodyDiv w:val="1"/>
      <w:marLeft w:val="0"/>
      <w:marRight w:val="0"/>
      <w:marTop w:val="0"/>
      <w:marBottom w:val="0"/>
      <w:divBdr>
        <w:top w:val="none" w:sz="0" w:space="0" w:color="auto"/>
        <w:left w:val="none" w:sz="0" w:space="0" w:color="auto"/>
        <w:bottom w:val="none" w:sz="0" w:space="0" w:color="auto"/>
        <w:right w:val="none" w:sz="0" w:space="0" w:color="auto"/>
      </w:divBdr>
    </w:div>
    <w:div w:id="770588412">
      <w:bodyDiv w:val="1"/>
      <w:marLeft w:val="0"/>
      <w:marRight w:val="0"/>
      <w:marTop w:val="0"/>
      <w:marBottom w:val="0"/>
      <w:divBdr>
        <w:top w:val="none" w:sz="0" w:space="0" w:color="auto"/>
        <w:left w:val="none" w:sz="0" w:space="0" w:color="auto"/>
        <w:bottom w:val="none" w:sz="0" w:space="0" w:color="auto"/>
        <w:right w:val="none" w:sz="0" w:space="0" w:color="auto"/>
      </w:divBdr>
    </w:div>
    <w:div w:id="770735533">
      <w:bodyDiv w:val="1"/>
      <w:marLeft w:val="0"/>
      <w:marRight w:val="0"/>
      <w:marTop w:val="0"/>
      <w:marBottom w:val="0"/>
      <w:divBdr>
        <w:top w:val="none" w:sz="0" w:space="0" w:color="auto"/>
        <w:left w:val="none" w:sz="0" w:space="0" w:color="auto"/>
        <w:bottom w:val="none" w:sz="0" w:space="0" w:color="auto"/>
        <w:right w:val="none" w:sz="0" w:space="0" w:color="auto"/>
      </w:divBdr>
    </w:div>
    <w:div w:id="773980736">
      <w:bodyDiv w:val="1"/>
      <w:marLeft w:val="0"/>
      <w:marRight w:val="0"/>
      <w:marTop w:val="0"/>
      <w:marBottom w:val="0"/>
      <w:divBdr>
        <w:top w:val="none" w:sz="0" w:space="0" w:color="auto"/>
        <w:left w:val="none" w:sz="0" w:space="0" w:color="auto"/>
        <w:bottom w:val="none" w:sz="0" w:space="0" w:color="auto"/>
        <w:right w:val="none" w:sz="0" w:space="0" w:color="auto"/>
      </w:divBdr>
    </w:div>
    <w:div w:id="775099914">
      <w:bodyDiv w:val="1"/>
      <w:marLeft w:val="0"/>
      <w:marRight w:val="0"/>
      <w:marTop w:val="0"/>
      <w:marBottom w:val="0"/>
      <w:divBdr>
        <w:top w:val="none" w:sz="0" w:space="0" w:color="auto"/>
        <w:left w:val="none" w:sz="0" w:space="0" w:color="auto"/>
        <w:bottom w:val="none" w:sz="0" w:space="0" w:color="auto"/>
        <w:right w:val="none" w:sz="0" w:space="0" w:color="auto"/>
      </w:divBdr>
    </w:div>
    <w:div w:id="777023952">
      <w:bodyDiv w:val="1"/>
      <w:marLeft w:val="0"/>
      <w:marRight w:val="0"/>
      <w:marTop w:val="0"/>
      <w:marBottom w:val="0"/>
      <w:divBdr>
        <w:top w:val="none" w:sz="0" w:space="0" w:color="auto"/>
        <w:left w:val="none" w:sz="0" w:space="0" w:color="auto"/>
        <w:bottom w:val="none" w:sz="0" w:space="0" w:color="auto"/>
        <w:right w:val="none" w:sz="0" w:space="0" w:color="auto"/>
      </w:divBdr>
    </w:div>
    <w:div w:id="781612349">
      <w:bodyDiv w:val="1"/>
      <w:marLeft w:val="0"/>
      <w:marRight w:val="0"/>
      <w:marTop w:val="0"/>
      <w:marBottom w:val="0"/>
      <w:divBdr>
        <w:top w:val="none" w:sz="0" w:space="0" w:color="auto"/>
        <w:left w:val="none" w:sz="0" w:space="0" w:color="auto"/>
        <w:bottom w:val="none" w:sz="0" w:space="0" w:color="auto"/>
        <w:right w:val="none" w:sz="0" w:space="0" w:color="auto"/>
      </w:divBdr>
    </w:div>
    <w:div w:id="782920694">
      <w:bodyDiv w:val="1"/>
      <w:marLeft w:val="0"/>
      <w:marRight w:val="0"/>
      <w:marTop w:val="0"/>
      <w:marBottom w:val="0"/>
      <w:divBdr>
        <w:top w:val="none" w:sz="0" w:space="0" w:color="auto"/>
        <w:left w:val="none" w:sz="0" w:space="0" w:color="auto"/>
        <w:bottom w:val="none" w:sz="0" w:space="0" w:color="auto"/>
        <w:right w:val="none" w:sz="0" w:space="0" w:color="auto"/>
      </w:divBdr>
    </w:div>
    <w:div w:id="783037309">
      <w:bodyDiv w:val="1"/>
      <w:marLeft w:val="0"/>
      <w:marRight w:val="0"/>
      <w:marTop w:val="0"/>
      <w:marBottom w:val="0"/>
      <w:divBdr>
        <w:top w:val="none" w:sz="0" w:space="0" w:color="auto"/>
        <w:left w:val="none" w:sz="0" w:space="0" w:color="auto"/>
        <w:bottom w:val="none" w:sz="0" w:space="0" w:color="auto"/>
        <w:right w:val="none" w:sz="0" w:space="0" w:color="auto"/>
      </w:divBdr>
    </w:div>
    <w:div w:id="784467208">
      <w:bodyDiv w:val="1"/>
      <w:marLeft w:val="0"/>
      <w:marRight w:val="0"/>
      <w:marTop w:val="0"/>
      <w:marBottom w:val="0"/>
      <w:divBdr>
        <w:top w:val="none" w:sz="0" w:space="0" w:color="auto"/>
        <w:left w:val="none" w:sz="0" w:space="0" w:color="auto"/>
        <w:bottom w:val="none" w:sz="0" w:space="0" w:color="auto"/>
        <w:right w:val="none" w:sz="0" w:space="0" w:color="auto"/>
      </w:divBdr>
    </w:div>
    <w:div w:id="788546194">
      <w:bodyDiv w:val="1"/>
      <w:marLeft w:val="0"/>
      <w:marRight w:val="0"/>
      <w:marTop w:val="0"/>
      <w:marBottom w:val="0"/>
      <w:divBdr>
        <w:top w:val="none" w:sz="0" w:space="0" w:color="auto"/>
        <w:left w:val="none" w:sz="0" w:space="0" w:color="auto"/>
        <w:bottom w:val="none" w:sz="0" w:space="0" w:color="auto"/>
        <w:right w:val="none" w:sz="0" w:space="0" w:color="auto"/>
      </w:divBdr>
    </w:div>
    <w:div w:id="788860253">
      <w:bodyDiv w:val="1"/>
      <w:marLeft w:val="0"/>
      <w:marRight w:val="0"/>
      <w:marTop w:val="0"/>
      <w:marBottom w:val="0"/>
      <w:divBdr>
        <w:top w:val="none" w:sz="0" w:space="0" w:color="auto"/>
        <w:left w:val="none" w:sz="0" w:space="0" w:color="auto"/>
        <w:bottom w:val="none" w:sz="0" w:space="0" w:color="auto"/>
        <w:right w:val="none" w:sz="0" w:space="0" w:color="auto"/>
      </w:divBdr>
    </w:div>
    <w:div w:id="790637403">
      <w:bodyDiv w:val="1"/>
      <w:marLeft w:val="0"/>
      <w:marRight w:val="0"/>
      <w:marTop w:val="0"/>
      <w:marBottom w:val="0"/>
      <w:divBdr>
        <w:top w:val="none" w:sz="0" w:space="0" w:color="auto"/>
        <w:left w:val="none" w:sz="0" w:space="0" w:color="auto"/>
        <w:bottom w:val="none" w:sz="0" w:space="0" w:color="auto"/>
        <w:right w:val="none" w:sz="0" w:space="0" w:color="auto"/>
      </w:divBdr>
    </w:div>
    <w:div w:id="795375203">
      <w:bodyDiv w:val="1"/>
      <w:marLeft w:val="0"/>
      <w:marRight w:val="0"/>
      <w:marTop w:val="0"/>
      <w:marBottom w:val="0"/>
      <w:divBdr>
        <w:top w:val="none" w:sz="0" w:space="0" w:color="auto"/>
        <w:left w:val="none" w:sz="0" w:space="0" w:color="auto"/>
        <w:bottom w:val="none" w:sz="0" w:space="0" w:color="auto"/>
        <w:right w:val="none" w:sz="0" w:space="0" w:color="auto"/>
      </w:divBdr>
    </w:div>
    <w:div w:id="797795197">
      <w:bodyDiv w:val="1"/>
      <w:marLeft w:val="0"/>
      <w:marRight w:val="0"/>
      <w:marTop w:val="0"/>
      <w:marBottom w:val="0"/>
      <w:divBdr>
        <w:top w:val="none" w:sz="0" w:space="0" w:color="auto"/>
        <w:left w:val="none" w:sz="0" w:space="0" w:color="auto"/>
        <w:bottom w:val="none" w:sz="0" w:space="0" w:color="auto"/>
        <w:right w:val="none" w:sz="0" w:space="0" w:color="auto"/>
      </w:divBdr>
    </w:div>
    <w:div w:id="798189890">
      <w:bodyDiv w:val="1"/>
      <w:marLeft w:val="0"/>
      <w:marRight w:val="0"/>
      <w:marTop w:val="0"/>
      <w:marBottom w:val="0"/>
      <w:divBdr>
        <w:top w:val="none" w:sz="0" w:space="0" w:color="auto"/>
        <w:left w:val="none" w:sz="0" w:space="0" w:color="auto"/>
        <w:bottom w:val="none" w:sz="0" w:space="0" w:color="auto"/>
        <w:right w:val="none" w:sz="0" w:space="0" w:color="auto"/>
      </w:divBdr>
    </w:div>
    <w:div w:id="798837311">
      <w:bodyDiv w:val="1"/>
      <w:marLeft w:val="0"/>
      <w:marRight w:val="0"/>
      <w:marTop w:val="0"/>
      <w:marBottom w:val="0"/>
      <w:divBdr>
        <w:top w:val="none" w:sz="0" w:space="0" w:color="auto"/>
        <w:left w:val="none" w:sz="0" w:space="0" w:color="auto"/>
        <w:bottom w:val="none" w:sz="0" w:space="0" w:color="auto"/>
        <w:right w:val="none" w:sz="0" w:space="0" w:color="auto"/>
      </w:divBdr>
    </w:div>
    <w:div w:id="799424104">
      <w:bodyDiv w:val="1"/>
      <w:marLeft w:val="0"/>
      <w:marRight w:val="0"/>
      <w:marTop w:val="0"/>
      <w:marBottom w:val="0"/>
      <w:divBdr>
        <w:top w:val="none" w:sz="0" w:space="0" w:color="auto"/>
        <w:left w:val="none" w:sz="0" w:space="0" w:color="auto"/>
        <w:bottom w:val="none" w:sz="0" w:space="0" w:color="auto"/>
        <w:right w:val="none" w:sz="0" w:space="0" w:color="auto"/>
      </w:divBdr>
    </w:div>
    <w:div w:id="799998377">
      <w:bodyDiv w:val="1"/>
      <w:marLeft w:val="0"/>
      <w:marRight w:val="0"/>
      <w:marTop w:val="0"/>
      <w:marBottom w:val="0"/>
      <w:divBdr>
        <w:top w:val="none" w:sz="0" w:space="0" w:color="auto"/>
        <w:left w:val="none" w:sz="0" w:space="0" w:color="auto"/>
        <w:bottom w:val="none" w:sz="0" w:space="0" w:color="auto"/>
        <w:right w:val="none" w:sz="0" w:space="0" w:color="auto"/>
      </w:divBdr>
    </w:div>
    <w:div w:id="800264199">
      <w:bodyDiv w:val="1"/>
      <w:marLeft w:val="0"/>
      <w:marRight w:val="0"/>
      <w:marTop w:val="0"/>
      <w:marBottom w:val="0"/>
      <w:divBdr>
        <w:top w:val="none" w:sz="0" w:space="0" w:color="auto"/>
        <w:left w:val="none" w:sz="0" w:space="0" w:color="auto"/>
        <w:bottom w:val="none" w:sz="0" w:space="0" w:color="auto"/>
        <w:right w:val="none" w:sz="0" w:space="0" w:color="auto"/>
      </w:divBdr>
    </w:div>
    <w:div w:id="804156961">
      <w:bodyDiv w:val="1"/>
      <w:marLeft w:val="0"/>
      <w:marRight w:val="0"/>
      <w:marTop w:val="0"/>
      <w:marBottom w:val="0"/>
      <w:divBdr>
        <w:top w:val="none" w:sz="0" w:space="0" w:color="auto"/>
        <w:left w:val="none" w:sz="0" w:space="0" w:color="auto"/>
        <w:bottom w:val="none" w:sz="0" w:space="0" w:color="auto"/>
        <w:right w:val="none" w:sz="0" w:space="0" w:color="auto"/>
      </w:divBdr>
    </w:div>
    <w:div w:id="805509711">
      <w:bodyDiv w:val="1"/>
      <w:marLeft w:val="0"/>
      <w:marRight w:val="0"/>
      <w:marTop w:val="0"/>
      <w:marBottom w:val="0"/>
      <w:divBdr>
        <w:top w:val="none" w:sz="0" w:space="0" w:color="auto"/>
        <w:left w:val="none" w:sz="0" w:space="0" w:color="auto"/>
        <w:bottom w:val="none" w:sz="0" w:space="0" w:color="auto"/>
        <w:right w:val="none" w:sz="0" w:space="0" w:color="auto"/>
      </w:divBdr>
    </w:div>
    <w:div w:id="805853256">
      <w:bodyDiv w:val="1"/>
      <w:marLeft w:val="0"/>
      <w:marRight w:val="0"/>
      <w:marTop w:val="0"/>
      <w:marBottom w:val="0"/>
      <w:divBdr>
        <w:top w:val="none" w:sz="0" w:space="0" w:color="auto"/>
        <w:left w:val="none" w:sz="0" w:space="0" w:color="auto"/>
        <w:bottom w:val="none" w:sz="0" w:space="0" w:color="auto"/>
        <w:right w:val="none" w:sz="0" w:space="0" w:color="auto"/>
      </w:divBdr>
    </w:div>
    <w:div w:id="806094868">
      <w:bodyDiv w:val="1"/>
      <w:marLeft w:val="0"/>
      <w:marRight w:val="0"/>
      <w:marTop w:val="0"/>
      <w:marBottom w:val="0"/>
      <w:divBdr>
        <w:top w:val="none" w:sz="0" w:space="0" w:color="auto"/>
        <w:left w:val="none" w:sz="0" w:space="0" w:color="auto"/>
        <w:bottom w:val="none" w:sz="0" w:space="0" w:color="auto"/>
        <w:right w:val="none" w:sz="0" w:space="0" w:color="auto"/>
      </w:divBdr>
    </w:div>
    <w:div w:id="806165848">
      <w:bodyDiv w:val="1"/>
      <w:marLeft w:val="0"/>
      <w:marRight w:val="0"/>
      <w:marTop w:val="0"/>
      <w:marBottom w:val="0"/>
      <w:divBdr>
        <w:top w:val="none" w:sz="0" w:space="0" w:color="auto"/>
        <w:left w:val="none" w:sz="0" w:space="0" w:color="auto"/>
        <w:bottom w:val="none" w:sz="0" w:space="0" w:color="auto"/>
        <w:right w:val="none" w:sz="0" w:space="0" w:color="auto"/>
      </w:divBdr>
    </w:div>
    <w:div w:id="807211369">
      <w:bodyDiv w:val="1"/>
      <w:marLeft w:val="0"/>
      <w:marRight w:val="0"/>
      <w:marTop w:val="0"/>
      <w:marBottom w:val="0"/>
      <w:divBdr>
        <w:top w:val="none" w:sz="0" w:space="0" w:color="auto"/>
        <w:left w:val="none" w:sz="0" w:space="0" w:color="auto"/>
        <w:bottom w:val="none" w:sz="0" w:space="0" w:color="auto"/>
        <w:right w:val="none" w:sz="0" w:space="0" w:color="auto"/>
      </w:divBdr>
    </w:div>
    <w:div w:id="809446989">
      <w:bodyDiv w:val="1"/>
      <w:marLeft w:val="0"/>
      <w:marRight w:val="0"/>
      <w:marTop w:val="0"/>
      <w:marBottom w:val="0"/>
      <w:divBdr>
        <w:top w:val="none" w:sz="0" w:space="0" w:color="auto"/>
        <w:left w:val="none" w:sz="0" w:space="0" w:color="auto"/>
        <w:bottom w:val="none" w:sz="0" w:space="0" w:color="auto"/>
        <w:right w:val="none" w:sz="0" w:space="0" w:color="auto"/>
      </w:divBdr>
    </w:div>
    <w:div w:id="810827525">
      <w:bodyDiv w:val="1"/>
      <w:marLeft w:val="0"/>
      <w:marRight w:val="0"/>
      <w:marTop w:val="0"/>
      <w:marBottom w:val="0"/>
      <w:divBdr>
        <w:top w:val="none" w:sz="0" w:space="0" w:color="auto"/>
        <w:left w:val="none" w:sz="0" w:space="0" w:color="auto"/>
        <w:bottom w:val="none" w:sz="0" w:space="0" w:color="auto"/>
        <w:right w:val="none" w:sz="0" w:space="0" w:color="auto"/>
      </w:divBdr>
    </w:div>
    <w:div w:id="810832470">
      <w:bodyDiv w:val="1"/>
      <w:marLeft w:val="0"/>
      <w:marRight w:val="0"/>
      <w:marTop w:val="0"/>
      <w:marBottom w:val="0"/>
      <w:divBdr>
        <w:top w:val="none" w:sz="0" w:space="0" w:color="auto"/>
        <w:left w:val="none" w:sz="0" w:space="0" w:color="auto"/>
        <w:bottom w:val="none" w:sz="0" w:space="0" w:color="auto"/>
        <w:right w:val="none" w:sz="0" w:space="0" w:color="auto"/>
      </w:divBdr>
    </w:div>
    <w:div w:id="811287024">
      <w:bodyDiv w:val="1"/>
      <w:marLeft w:val="0"/>
      <w:marRight w:val="0"/>
      <w:marTop w:val="0"/>
      <w:marBottom w:val="0"/>
      <w:divBdr>
        <w:top w:val="none" w:sz="0" w:space="0" w:color="auto"/>
        <w:left w:val="none" w:sz="0" w:space="0" w:color="auto"/>
        <w:bottom w:val="none" w:sz="0" w:space="0" w:color="auto"/>
        <w:right w:val="none" w:sz="0" w:space="0" w:color="auto"/>
      </w:divBdr>
    </w:div>
    <w:div w:id="811405287">
      <w:bodyDiv w:val="1"/>
      <w:marLeft w:val="0"/>
      <w:marRight w:val="0"/>
      <w:marTop w:val="0"/>
      <w:marBottom w:val="0"/>
      <w:divBdr>
        <w:top w:val="none" w:sz="0" w:space="0" w:color="auto"/>
        <w:left w:val="none" w:sz="0" w:space="0" w:color="auto"/>
        <w:bottom w:val="none" w:sz="0" w:space="0" w:color="auto"/>
        <w:right w:val="none" w:sz="0" w:space="0" w:color="auto"/>
      </w:divBdr>
    </w:div>
    <w:div w:id="814108733">
      <w:bodyDiv w:val="1"/>
      <w:marLeft w:val="0"/>
      <w:marRight w:val="0"/>
      <w:marTop w:val="0"/>
      <w:marBottom w:val="0"/>
      <w:divBdr>
        <w:top w:val="none" w:sz="0" w:space="0" w:color="auto"/>
        <w:left w:val="none" w:sz="0" w:space="0" w:color="auto"/>
        <w:bottom w:val="none" w:sz="0" w:space="0" w:color="auto"/>
        <w:right w:val="none" w:sz="0" w:space="0" w:color="auto"/>
      </w:divBdr>
    </w:div>
    <w:div w:id="816066770">
      <w:bodyDiv w:val="1"/>
      <w:marLeft w:val="0"/>
      <w:marRight w:val="0"/>
      <w:marTop w:val="0"/>
      <w:marBottom w:val="0"/>
      <w:divBdr>
        <w:top w:val="none" w:sz="0" w:space="0" w:color="auto"/>
        <w:left w:val="none" w:sz="0" w:space="0" w:color="auto"/>
        <w:bottom w:val="none" w:sz="0" w:space="0" w:color="auto"/>
        <w:right w:val="none" w:sz="0" w:space="0" w:color="auto"/>
      </w:divBdr>
    </w:div>
    <w:div w:id="819083308">
      <w:bodyDiv w:val="1"/>
      <w:marLeft w:val="0"/>
      <w:marRight w:val="0"/>
      <w:marTop w:val="0"/>
      <w:marBottom w:val="0"/>
      <w:divBdr>
        <w:top w:val="none" w:sz="0" w:space="0" w:color="auto"/>
        <w:left w:val="none" w:sz="0" w:space="0" w:color="auto"/>
        <w:bottom w:val="none" w:sz="0" w:space="0" w:color="auto"/>
        <w:right w:val="none" w:sz="0" w:space="0" w:color="auto"/>
      </w:divBdr>
    </w:div>
    <w:div w:id="819879619">
      <w:bodyDiv w:val="1"/>
      <w:marLeft w:val="0"/>
      <w:marRight w:val="0"/>
      <w:marTop w:val="0"/>
      <w:marBottom w:val="0"/>
      <w:divBdr>
        <w:top w:val="none" w:sz="0" w:space="0" w:color="auto"/>
        <w:left w:val="none" w:sz="0" w:space="0" w:color="auto"/>
        <w:bottom w:val="none" w:sz="0" w:space="0" w:color="auto"/>
        <w:right w:val="none" w:sz="0" w:space="0" w:color="auto"/>
      </w:divBdr>
    </w:div>
    <w:div w:id="820191215">
      <w:bodyDiv w:val="1"/>
      <w:marLeft w:val="0"/>
      <w:marRight w:val="0"/>
      <w:marTop w:val="0"/>
      <w:marBottom w:val="0"/>
      <w:divBdr>
        <w:top w:val="none" w:sz="0" w:space="0" w:color="auto"/>
        <w:left w:val="none" w:sz="0" w:space="0" w:color="auto"/>
        <w:bottom w:val="none" w:sz="0" w:space="0" w:color="auto"/>
        <w:right w:val="none" w:sz="0" w:space="0" w:color="auto"/>
      </w:divBdr>
    </w:div>
    <w:div w:id="823206329">
      <w:bodyDiv w:val="1"/>
      <w:marLeft w:val="0"/>
      <w:marRight w:val="0"/>
      <w:marTop w:val="0"/>
      <w:marBottom w:val="0"/>
      <w:divBdr>
        <w:top w:val="none" w:sz="0" w:space="0" w:color="auto"/>
        <w:left w:val="none" w:sz="0" w:space="0" w:color="auto"/>
        <w:bottom w:val="none" w:sz="0" w:space="0" w:color="auto"/>
        <w:right w:val="none" w:sz="0" w:space="0" w:color="auto"/>
      </w:divBdr>
    </w:div>
    <w:div w:id="825244419">
      <w:bodyDiv w:val="1"/>
      <w:marLeft w:val="0"/>
      <w:marRight w:val="0"/>
      <w:marTop w:val="0"/>
      <w:marBottom w:val="0"/>
      <w:divBdr>
        <w:top w:val="none" w:sz="0" w:space="0" w:color="auto"/>
        <w:left w:val="none" w:sz="0" w:space="0" w:color="auto"/>
        <w:bottom w:val="none" w:sz="0" w:space="0" w:color="auto"/>
        <w:right w:val="none" w:sz="0" w:space="0" w:color="auto"/>
      </w:divBdr>
    </w:div>
    <w:div w:id="825361134">
      <w:bodyDiv w:val="1"/>
      <w:marLeft w:val="0"/>
      <w:marRight w:val="0"/>
      <w:marTop w:val="0"/>
      <w:marBottom w:val="0"/>
      <w:divBdr>
        <w:top w:val="none" w:sz="0" w:space="0" w:color="auto"/>
        <w:left w:val="none" w:sz="0" w:space="0" w:color="auto"/>
        <w:bottom w:val="none" w:sz="0" w:space="0" w:color="auto"/>
        <w:right w:val="none" w:sz="0" w:space="0" w:color="auto"/>
      </w:divBdr>
      <w:divsChild>
        <w:div w:id="1069378333">
          <w:marLeft w:val="0"/>
          <w:marRight w:val="0"/>
          <w:marTop w:val="0"/>
          <w:marBottom w:val="0"/>
          <w:divBdr>
            <w:top w:val="none" w:sz="0" w:space="0" w:color="auto"/>
            <w:left w:val="none" w:sz="0" w:space="0" w:color="auto"/>
            <w:bottom w:val="none" w:sz="0" w:space="0" w:color="auto"/>
            <w:right w:val="none" w:sz="0" w:space="0" w:color="auto"/>
          </w:divBdr>
        </w:div>
        <w:div w:id="1104686448">
          <w:marLeft w:val="0"/>
          <w:marRight w:val="0"/>
          <w:marTop w:val="0"/>
          <w:marBottom w:val="0"/>
          <w:divBdr>
            <w:top w:val="none" w:sz="0" w:space="0" w:color="auto"/>
            <w:left w:val="none" w:sz="0" w:space="0" w:color="auto"/>
            <w:bottom w:val="none" w:sz="0" w:space="0" w:color="auto"/>
            <w:right w:val="none" w:sz="0" w:space="0" w:color="auto"/>
          </w:divBdr>
        </w:div>
        <w:div w:id="1778476841">
          <w:marLeft w:val="0"/>
          <w:marRight w:val="0"/>
          <w:marTop w:val="0"/>
          <w:marBottom w:val="0"/>
          <w:divBdr>
            <w:top w:val="none" w:sz="0" w:space="0" w:color="auto"/>
            <w:left w:val="none" w:sz="0" w:space="0" w:color="auto"/>
            <w:bottom w:val="none" w:sz="0" w:space="0" w:color="auto"/>
            <w:right w:val="none" w:sz="0" w:space="0" w:color="auto"/>
          </w:divBdr>
        </w:div>
        <w:div w:id="1908686560">
          <w:marLeft w:val="0"/>
          <w:marRight w:val="0"/>
          <w:marTop w:val="0"/>
          <w:marBottom w:val="0"/>
          <w:divBdr>
            <w:top w:val="none" w:sz="0" w:space="0" w:color="auto"/>
            <w:left w:val="none" w:sz="0" w:space="0" w:color="auto"/>
            <w:bottom w:val="none" w:sz="0" w:space="0" w:color="auto"/>
            <w:right w:val="none" w:sz="0" w:space="0" w:color="auto"/>
          </w:divBdr>
        </w:div>
      </w:divsChild>
    </w:div>
    <w:div w:id="827090076">
      <w:bodyDiv w:val="1"/>
      <w:marLeft w:val="0"/>
      <w:marRight w:val="0"/>
      <w:marTop w:val="0"/>
      <w:marBottom w:val="0"/>
      <w:divBdr>
        <w:top w:val="none" w:sz="0" w:space="0" w:color="auto"/>
        <w:left w:val="none" w:sz="0" w:space="0" w:color="auto"/>
        <w:bottom w:val="none" w:sz="0" w:space="0" w:color="auto"/>
        <w:right w:val="none" w:sz="0" w:space="0" w:color="auto"/>
      </w:divBdr>
    </w:div>
    <w:div w:id="831063250">
      <w:bodyDiv w:val="1"/>
      <w:marLeft w:val="0"/>
      <w:marRight w:val="0"/>
      <w:marTop w:val="0"/>
      <w:marBottom w:val="0"/>
      <w:divBdr>
        <w:top w:val="none" w:sz="0" w:space="0" w:color="auto"/>
        <w:left w:val="none" w:sz="0" w:space="0" w:color="auto"/>
        <w:bottom w:val="none" w:sz="0" w:space="0" w:color="auto"/>
        <w:right w:val="none" w:sz="0" w:space="0" w:color="auto"/>
      </w:divBdr>
    </w:div>
    <w:div w:id="831222040">
      <w:bodyDiv w:val="1"/>
      <w:marLeft w:val="0"/>
      <w:marRight w:val="0"/>
      <w:marTop w:val="0"/>
      <w:marBottom w:val="0"/>
      <w:divBdr>
        <w:top w:val="none" w:sz="0" w:space="0" w:color="auto"/>
        <w:left w:val="none" w:sz="0" w:space="0" w:color="auto"/>
        <w:bottom w:val="none" w:sz="0" w:space="0" w:color="auto"/>
        <w:right w:val="none" w:sz="0" w:space="0" w:color="auto"/>
      </w:divBdr>
    </w:div>
    <w:div w:id="832574979">
      <w:bodyDiv w:val="1"/>
      <w:marLeft w:val="0"/>
      <w:marRight w:val="0"/>
      <w:marTop w:val="0"/>
      <w:marBottom w:val="0"/>
      <w:divBdr>
        <w:top w:val="none" w:sz="0" w:space="0" w:color="auto"/>
        <w:left w:val="none" w:sz="0" w:space="0" w:color="auto"/>
        <w:bottom w:val="none" w:sz="0" w:space="0" w:color="auto"/>
        <w:right w:val="none" w:sz="0" w:space="0" w:color="auto"/>
      </w:divBdr>
    </w:div>
    <w:div w:id="832599950">
      <w:bodyDiv w:val="1"/>
      <w:marLeft w:val="0"/>
      <w:marRight w:val="0"/>
      <w:marTop w:val="0"/>
      <w:marBottom w:val="0"/>
      <w:divBdr>
        <w:top w:val="none" w:sz="0" w:space="0" w:color="auto"/>
        <w:left w:val="none" w:sz="0" w:space="0" w:color="auto"/>
        <w:bottom w:val="none" w:sz="0" w:space="0" w:color="auto"/>
        <w:right w:val="none" w:sz="0" w:space="0" w:color="auto"/>
      </w:divBdr>
    </w:div>
    <w:div w:id="832838221">
      <w:bodyDiv w:val="1"/>
      <w:marLeft w:val="0"/>
      <w:marRight w:val="0"/>
      <w:marTop w:val="0"/>
      <w:marBottom w:val="0"/>
      <w:divBdr>
        <w:top w:val="none" w:sz="0" w:space="0" w:color="auto"/>
        <w:left w:val="none" w:sz="0" w:space="0" w:color="auto"/>
        <w:bottom w:val="none" w:sz="0" w:space="0" w:color="auto"/>
        <w:right w:val="none" w:sz="0" w:space="0" w:color="auto"/>
      </w:divBdr>
    </w:div>
    <w:div w:id="834146309">
      <w:bodyDiv w:val="1"/>
      <w:marLeft w:val="0"/>
      <w:marRight w:val="0"/>
      <w:marTop w:val="0"/>
      <w:marBottom w:val="0"/>
      <w:divBdr>
        <w:top w:val="none" w:sz="0" w:space="0" w:color="auto"/>
        <w:left w:val="none" w:sz="0" w:space="0" w:color="auto"/>
        <w:bottom w:val="none" w:sz="0" w:space="0" w:color="auto"/>
        <w:right w:val="none" w:sz="0" w:space="0" w:color="auto"/>
      </w:divBdr>
    </w:div>
    <w:div w:id="836457301">
      <w:bodyDiv w:val="1"/>
      <w:marLeft w:val="0"/>
      <w:marRight w:val="0"/>
      <w:marTop w:val="0"/>
      <w:marBottom w:val="0"/>
      <w:divBdr>
        <w:top w:val="none" w:sz="0" w:space="0" w:color="auto"/>
        <w:left w:val="none" w:sz="0" w:space="0" w:color="auto"/>
        <w:bottom w:val="none" w:sz="0" w:space="0" w:color="auto"/>
        <w:right w:val="none" w:sz="0" w:space="0" w:color="auto"/>
      </w:divBdr>
    </w:div>
    <w:div w:id="836579029">
      <w:bodyDiv w:val="1"/>
      <w:marLeft w:val="0"/>
      <w:marRight w:val="0"/>
      <w:marTop w:val="0"/>
      <w:marBottom w:val="0"/>
      <w:divBdr>
        <w:top w:val="none" w:sz="0" w:space="0" w:color="auto"/>
        <w:left w:val="none" w:sz="0" w:space="0" w:color="auto"/>
        <w:bottom w:val="none" w:sz="0" w:space="0" w:color="auto"/>
        <w:right w:val="none" w:sz="0" w:space="0" w:color="auto"/>
      </w:divBdr>
    </w:div>
    <w:div w:id="836650425">
      <w:bodyDiv w:val="1"/>
      <w:marLeft w:val="0"/>
      <w:marRight w:val="0"/>
      <w:marTop w:val="0"/>
      <w:marBottom w:val="0"/>
      <w:divBdr>
        <w:top w:val="none" w:sz="0" w:space="0" w:color="auto"/>
        <w:left w:val="none" w:sz="0" w:space="0" w:color="auto"/>
        <w:bottom w:val="none" w:sz="0" w:space="0" w:color="auto"/>
        <w:right w:val="none" w:sz="0" w:space="0" w:color="auto"/>
      </w:divBdr>
    </w:div>
    <w:div w:id="837228622">
      <w:bodyDiv w:val="1"/>
      <w:marLeft w:val="0"/>
      <w:marRight w:val="0"/>
      <w:marTop w:val="0"/>
      <w:marBottom w:val="0"/>
      <w:divBdr>
        <w:top w:val="none" w:sz="0" w:space="0" w:color="auto"/>
        <w:left w:val="none" w:sz="0" w:space="0" w:color="auto"/>
        <w:bottom w:val="none" w:sz="0" w:space="0" w:color="auto"/>
        <w:right w:val="none" w:sz="0" w:space="0" w:color="auto"/>
      </w:divBdr>
    </w:div>
    <w:div w:id="838811605">
      <w:bodyDiv w:val="1"/>
      <w:marLeft w:val="0"/>
      <w:marRight w:val="0"/>
      <w:marTop w:val="0"/>
      <w:marBottom w:val="0"/>
      <w:divBdr>
        <w:top w:val="none" w:sz="0" w:space="0" w:color="auto"/>
        <w:left w:val="none" w:sz="0" w:space="0" w:color="auto"/>
        <w:bottom w:val="none" w:sz="0" w:space="0" w:color="auto"/>
        <w:right w:val="none" w:sz="0" w:space="0" w:color="auto"/>
      </w:divBdr>
    </w:div>
    <w:div w:id="838887375">
      <w:bodyDiv w:val="1"/>
      <w:marLeft w:val="0"/>
      <w:marRight w:val="0"/>
      <w:marTop w:val="0"/>
      <w:marBottom w:val="0"/>
      <w:divBdr>
        <w:top w:val="none" w:sz="0" w:space="0" w:color="auto"/>
        <w:left w:val="none" w:sz="0" w:space="0" w:color="auto"/>
        <w:bottom w:val="none" w:sz="0" w:space="0" w:color="auto"/>
        <w:right w:val="none" w:sz="0" w:space="0" w:color="auto"/>
      </w:divBdr>
    </w:div>
    <w:div w:id="839347332">
      <w:bodyDiv w:val="1"/>
      <w:marLeft w:val="0"/>
      <w:marRight w:val="0"/>
      <w:marTop w:val="0"/>
      <w:marBottom w:val="0"/>
      <w:divBdr>
        <w:top w:val="none" w:sz="0" w:space="0" w:color="auto"/>
        <w:left w:val="none" w:sz="0" w:space="0" w:color="auto"/>
        <w:bottom w:val="none" w:sz="0" w:space="0" w:color="auto"/>
        <w:right w:val="none" w:sz="0" w:space="0" w:color="auto"/>
      </w:divBdr>
    </w:div>
    <w:div w:id="845362585">
      <w:bodyDiv w:val="1"/>
      <w:marLeft w:val="0"/>
      <w:marRight w:val="0"/>
      <w:marTop w:val="0"/>
      <w:marBottom w:val="0"/>
      <w:divBdr>
        <w:top w:val="none" w:sz="0" w:space="0" w:color="auto"/>
        <w:left w:val="none" w:sz="0" w:space="0" w:color="auto"/>
        <w:bottom w:val="none" w:sz="0" w:space="0" w:color="auto"/>
        <w:right w:val="none" w:sz="0" w:space="0" w:color="auto"/>
      </w:divBdr>
    </w:div>
    <w:div w:id="847253015">
      <w:bodyDiv w:val="1"/>
      <w:marLeft w:val="0"/>
      <w:marRight w:val="0"/>
      <w:marTop w:val="0"/>
      <w:marBottom w:val="0"/>
      <w:divBdr>
        <w:top w:val="none" w:sz="0" w:space="0" w:color="auto"/>
        <w:left w:val="none" w:sz="0" w:space="0" w:color="auto"/>
        <w:bottom w:val="none" w:sz="0" w:space="0" w:color="auto"/>
        <w:right w:val="none" w:sz="0" w:space="0" w:color="auto"/>
      </w:divBdr>
    </w:div>
    <w:div w:id="848789276">
      <w:bodyDiv w:val="1"/>
      <w:marLeft w:val="0"/>
      <w:marRight w:val="0"/>
      <w:marTop w:val="0"/>
      <w:marBottom w:val="0"/>
      <w:divBdr>
        <w:top w:val="none" w:sz="0" w:space="0" w:color="auto"/>
        <w:left w:val="none" w:sz="0" w:space="0" w:color="auto"/>
        <w:bottom w:val="none" w:sz="0" w:space="0" w:color="auto"/>
        <w:right w:val="none" w:sz="0" w:space="0" w:color="auto"/>
      </w:divBdr>
    </w:div>
    <w:div w:id="849443555">
      <w:bodyDiv w:val="1"/>
      <w:marLeft w:val="0"/>
      <w:marRight w:val="0"/>
      <w:marTop w:val="0"/>
      <w:marBottom w:val="0"/>
      <w:divBdr>
        <w:top w:val="none" w:sz="0" w:space="0" w:color="auto"/>
        <w:left w:val="none" w:sz="0" w:space="0" w:color="auto"/>
        <w:bottom w:val="none" w:sz="0" w:space="0" w:color="auto"/>
        <w:right w:val="none" w:sz="0" w:space="0" w:color="auto"/>
      </w:divBdr>
    </w:div>
    <w:div w:id="849874764">
      <w:bodyDiv w:val="1"/>
      <w:marLeft w:val="0"/>
      <w:marRight w:val="0"/>
      <w:marTop w:val="0"/>
      <w:marBottom w:val="0"/>
      <w:divBdr>
        <w:top w:val="none" w:sz="0" w:space="0" w:color="auto"/>
        <w:left w:val="none" w:sz="0" w:space="0" w:color="auto"/>
        <w:bottom w:val="none" w:sz="0" w:space="0" w:color="auto"/>
        <w:right w:val="none" w:sz="0" w:space="0" w:color="auto"/>
      </w:divBdr>
    </w:div>
    <w:div w:id="849953629">
      <w:bodyDiv w:val="1"/>
      <w:marLeft w:val="0"/>
      <w:marRight w:val="0"/>
      <w:marTop w:val="0"/>
      <w:marBottom w:val="0"/>
      <w:divBdr>
        <w:top w:val="none" w:sz="0" w:space="0" w:color="auto"/>
        <w:left w:val="none" w:sz="0" w:space="0" w:color="auto"/>
        <w:bottom w:val="none" w:sz="0" w:space="0" w:color="auto"/>
        <w:right w:val="none" w:sz="0" w:space="0" w:color="auto"/>
      </w:divBdr>
    </w:div>
    <w:div w:id="851383014">
      <w:bodyDiv w:val="1"/>
      <w:marLeft w:val="0"/>
      <w:marRight w:val="0"/>
      <w:marTop w:val="0"/>
      <w:marBottom w:val="0"/>
      <w:divBdr>
        <w:top w:val="none" w:sz="0" w:space="0" w:color="auto"/>
        <w:left w:val="none" w:sz="0" w:space="0" w:color="auto"/>
        <w:bottom w:val="none" w:sz="0" w:space="0" w:color="auto"/>
        <w:right w:val="none" w:sz="0" w:space="0" w:color="auto"/>
      </w:divBdr>
    </w:div>
    <w:div w:id="851643809">
      <w:bodyDiv w:val="1"/>
      <w:marLeft w:val="0"/>
      <w:marRight w:val="0"/>
      <w:marTop w:val="0"/>
      <w:marBottom w:val="0"/>
      <w:divBdr>
        <w:top w:val="none" w:sz="0" w:space="0" w:color="auto"/>
        <w:left w:val="none" w:sz="0" w:space="0" w:color="auto"/>
        <w:bottom w:val="none" w:sz="0" w:space="0" w:color="auto"/>
        <w:right w:val="none" w:sz="0" w:space="0" w:color="auto"/>
      </w:divBdr>
    </w:div>
    <w:div w:id="853032875">
      <w:bodyDiv w:val="1"/>
      <w:marLeft w:val="0"/>
      <w:marRight w:val="0"/>
      <w:marTop w:val="0"/>
      <w:marBottom w:val="0"/>
      <w:divBdr>
        <w:top w:val="none" w:sz="0" w:space="0" w:color="auto"/>
        <w:left w:val="none" w:sz="0" w:space="0" w:color="auto"/>
        <w:bottom w:val="none" w:sz="0" w:space="0" w:color="auto"/>
        <w:right w:val="none" w:sz="0" w:space="0" w:color="auto"/>
      </w:divBdr>
    </w:div>
    <w:div w:id="854996034">
      <w:bodyDiv w:val="1"/>
      <w:marLeft w:val="0"/>
      <w:marRight w:val="0"/>
      <w:marTop w:val="0"/>
      <w:marBottom w:val="0"/>
      <w:divBdr>
        <w:top w:val="none" w:sz="0" w:space="0" w:color="auto"/>
        <w:left w:val="none" w:sz="0" w:space="0" w:color="auto"/>
        <w:bottom w:val="none" w:sz="0" w:space="0" w:color="auto"/>
        <w:right w:val="none" w:sz="0" w:space="0" w:color="auto"/>
      </w:divBdr>
    </w:div>
    <w:div w:id="856817895">
      <w:bodyDiv w:val="1"/>
      <w:marLeft w:val="0"/>
      <w:marRight w:val="0"/>
      <w:marTop w:val="0"/>
      <w:marBottom w:val="0"/>
      <w:divBdr>
        <w:top w:val="none" w:sz="0" w:space="0" w:color="auto"/>
        <w:left w:val="none" w:sz="0" w:space="0" w:color="auto"/>
        <w:bottom w:val="none" w:sz="0" w:space="0" w:color="auto"/>
        <w:right w:val="none" w:sz="0" w:space="0" w:color="auto"/>
      </w:divBdr>
    </w:div>
    <w:div w:id="858543836">
      <w:bodyDiv w:val="1"/>
      <w:marLeft w:val="0"/>
      <w:marRight w:val="0"/>
      <w:marTop w:val="0"/>
      <w:marBottom w:val="0"/>
      <w:divBdr>
        <w:top w:val="none" w:sz="0" w:space="0" w:color="auto"/>
        <w:left w:val="none" w:sz="0" w:space="0" w:color="auto"/>
        <w:bottom w:val="none" w:sz="0" w:space="0" w:color="auto"/>
        <w:right w:val="none" w:sz="0" w:space="0" w:color="auto"/>
      </w:divBdr>
    </w:div>
    <w:div w:id="858736811">
      <w:bodyDiv w:val="1"/>
      <w:marLeft w:val="0"/>
      <w:marRight w:val="0"/>
      <w:marTop w:val="0"/>
      <w:marBottom w:val="0"/>
      <w:divBdr>
        <w:top w:val="none" w:sz="0" w:space="0" w:color="auto"/>
        <w:left w:val="none" w:sz="0" w:space="0" w:color="auto"/>
        <w:bottom w:val="none" w:sz="0" w:space="0" w:color="auto"/>
        <w:right w:val="none" w:sz="0" w:space="0" w:color="auto"/>
      </w:divBdr>
    </w:div>
    <w:div w:id="859976216">
      <w:bodyDiv w:val="1"/>
      <w:marLeft w:val="0"/>
      <w:marRight w:val="0"/>
      <w:marTop w:val="0"/>
      <w:marBottom w:val="0"/>
      <w:divBdr>
        <w:top w:val="none" w:sz="0" w:space="0" w:color="auto"/>
        <w:left w:val="none" w:sz="0" w:space="0" w:color="auto"/>
        <w:bottom w:val="none" w:sz="0" w:space="0" w:color="auto"/>
        <w:right w:val="none" w:sz="0" w:space="0" w:color="auto"/>
      </w:divBdr>
    </w:div>
    <w:div w:id="860433035">
      <w:bodyDiv w:val="1"/>
      <w:marLeft w:val="0"/>
      <w:marRight w:val="0"/>
      <w:marTop w:val="0"/>
      <w:marBottom w:val="0"/>
      <w:divBdr>
        <w:top w:val="none" w:sz="0" w:space="0" w:color="auto"/>
        <w:left w:val="none" w:sz="0" w:space="0" w:color="auto"/>
        <w:bottom w:val="none" w:sz="0" w:space="0" w:color="auto"/>
        <w:right w:val="none" w:sz="0" w:space="0" w:color="auto"/>
      </w:divBdr>
    </w:div>
    <w:div w:id="862472432">
      <w:bodyDiv w:val="1"/>
      <w:marLeft w:val="0"/>
      <w:marRight w:val="0"/>
      <w:marTop w:val="0"/>
      <w:marBottom w:val="0"/>
      <w:divBdr>
        <w:top w:val="none" w:sz="0" w:space="0" w:color="auto"/>
        <w:left w:val="none" w:sz="0" w:space="0" w:color="auto"/>
        <w:bottom w:val="none" w:sz="0" w:space="0" w:color="auto"/>
        <w:right w:val="none" w:sz="0" w:space="0" w:color="auto"/>
      </w:divBdr>
    </w:div>
    <w:div w:id="864172886">
      <w:bodyDiv w:val="1"/>
      <w:marLeft w:val="0"/>
      <w:marRight w:val="0"/>
      <w:marTop w:val="0"/>
      <w:marBottom w:val="0"/>
      <w:divBdr>
        <w:top w:val="none" w:sz="0" w:space="0" w:color="auto"/>
        <w:left w:val="none" w:sz="0" w:space="0" w:color="auto"/>
        <w:bottom w:val="none" w:sz="0" w:space="0" w:color="auto"/>
        <w:right w:val="none" w:sz="0" w:space="0" w:color="auto"/>
      </w:divBdr>
    </w:div>
    <w:div w:id="866799851">
      <w:bodyDiv w:val="1"/>
      <w:marLeft w:val="0"/>
      <w:marRight w:val="0"/>
      <w:marTop w:val="0"/>
      <w:marBottom w:val="0"/>
      <w:divBdr>
        <w:top w:val="none" w:sz="0" w:space="0" w:color="auto"/>
        <w:left w:val="none" w:sz="0" w:space="0" w:color="auto"/>
        <w:bottom w:val="none" w:sz="0" w:space="0" w:color="auto"/>
        <w:right w:val="none" w:sz="0" w:space="0" w:color="auto"/>
      </w:divBdr>
    </w:div>
    <w:div w:id="867910567">
      <w:bodyDiv w:val="1"/>
      <w:marLeft w:val="0"/>
      <w:marRight w:val="0"/>
      <w:marTop w:val="0"/>
      <w:marBottom w:val="0"/>
      <w:divBdr>
        <w:top w:val="none" w:sz="0" w:space="0" w:color="auto"/>
        <w:left w:val="none" w:sz="0" w:space="0" w:color="auto"/>
        <w:bottom w:val="none" w:sz="0" w:space="0" w:color="auto"/>
        <w:right w:val="none" w:sz="0" w:space="0" w:color="auto"/>
      </w:divBdr>
    </w:div>
    <w:div w:id="868184882">
      <w:bodyDiv w:val="1"/>
      <w:marLeft w:val="0"/>
      <w:marRight w:val="0"/>
      <w:marTop w:val="0"/>
      <w:marBottom w:val="0"/>
      <w:divBdr>
        <w:top w:val="none" w:sz="0" w:space="0" w:color="auto"/>
        <w:left w:val="none" w:sz="0" w:space="0" w:color="auto"/>
        <w:bottom w:val="none" w:sz="0" w:space="0" w:color="auto"/>
        <w:right w:val="none" w:sz="0" w:space="0" w:color="auto"/>
      </w:divBdr>
    </w:div>
    <w:div w:id="868838593">
      <w:bodyDiv w:val="1"/>
      <w:marLeft w:val="0"/>
      <w:marRight w:val="0"/>
      <w:marTop w:val="0"/>
      <w:marBottom w:val="0"/>
      <w:divBdr>
        <w:top w:val="none" w:sz="0" w:space="0" w:color="auto"/>
        <w:left w:val="none" w:sz="0" w:space="0" w:color="auto"/>
        <w:bottom w:val="none" w:sz="0" w:space="0" w:color="auto"/>
        <w:right w:val="none" w:sz="0" w:space="0" w:color="auto"/>
      </w:divBdr>
    </w:div>
    <w:div w:id="869534833">
      <w:bodyDiv w:val="1"/>
      <w:marLeft w:val="0"/>
      <w:marRight w:val="0"/>
      <w:marTop w:val="0"/>
      <w:marBottom w:val="0"/>
      <w:divBdr>
        <w:top w:val="none" w:sz="0" w:space="0" w:color="auto"/>
        <w:left w:val="none" w:sz="0" w:space="0" w:color="auto"/>
        <w:bottom w:val="none" w:sz="0" w:space="0" w:color="auto"/>
        <w:right w:val="none" w:sz="0" w:space="0" w:color="auto"/>
      </w:divBdr>
    </w:div>
    <w:div w:id="869535814">
      <w:bodyDiv w:val="1"/>
      <w:marLeft w:val="0"/>
      <w:marRight w:val="0"/>
      <w:marTop w:val="0"/>
      <w:marBottom w:val="0"/>
      <w:divBdr>
        <w:top w:val="none" w:sz="0" w:space="0" w:color="auto"/>
        <w:left w:val="none" w:sz="0" w:space="0" w:color="auto"/>
        <w:bottom w:val="none" w:sz="0" w:space="0" w:color="auto"/>
        <w:right w:val="none" w:sz="0" w:space="0" w:color="auto"/>
      </w:divBdr>
    </w:div>
    <w:div w:id="870189808">
      <w:bodyDiv w:val="1"/>
      <w:marLeft w:val="0"/>
      <w:marRight w:val="0"/>
      <w:marTop w:val="0"/>
      <w:marBottom w:val="0"/>
      <w:divBdr>
        <w:top w:val="none" w:sz="0" w:space="0" w:color="auto"/>
        <w:left w:val="none" w:sz="0" w:space="0" w:color="auto"/>
        <w:bottom w:val="none" w:sz="0" w:space="0" w:color="auto"/>
        <w:right w:val="none" w:sz="0" w:space="0" w:color="auto"/>
      </w:divBdr>
    </w:div>
    <w:div w:id="870843607">
      <w:bodyDiv w:val="1"/>
      <w:marLeft w:val="0"/>
      <w:marRight w:val="0"/>
      <w:marTop w:val="0"/>
      <w:marBottom w:val="0"/>
      <w:divBdr>
        <w:top w:val="none" w:sz="0" w:space="0" w:color="auto"/>
        <w:left w:val="none" w:sz="0" w:space="0" w:color="auto"/>
        <w:bottom w:val="none" w:sz="0" w:space="0" w:color="auto"/>
        <w:right w:val="none" w:sz="0" w:space="0" w:color="auto"/>
      </w:divBdr>
    </w:div>
    <w:div w:id="871965555">
      <w:bodyDiv w:val="1"/>
      <w:marLeft w:val="0"/>
      <w:marRight w:val="0"/>
      <w:marTop w:val="0"/>
      <w:marBottom w:val="0"/>
      <w:divBdr>
        <w:top w:val="none" w:sz="0" w:space="0" w:color="auto"/>
        <w:left w:val="none" w:sz="0" w:space="0" w:color="auto"/>
        <w:bottom w:val="none" w:sz="0" w:space="0" w:color="auto"/>
        <w:right w:val="none" w:sz="0" w:space="0" w:color="auto"/>
      </w:divBdr>
    </w:div>
    <w:div w:id="872231626">
      <w:bodyDiv w:val="1"/>
      <w:marLeft w:val="0"/>
      <w:marRight w:val="0"/>
      <w:marTop w:val="0"/>
      <w:marBottom w:val="0"/>
      <w:divBdr>
        <w:top w:val="none" w:sz="0" w:space="0" w:color="auto"/>
        <w:left w:val="none" w:sz="0" w:space="0" w:color="auto"/>
        <w:bottom w:val="none" w:sz="0" w:space="0" w:color="auto"/>
        <w:right w:val="none" w:sz="0" w:space="0" w:color="auto"/>
      </w:divBdr>
    </w:div>
    <w:div w:id="872496156">
      <w:bodyDiv w:val="1"/>
      <w:marLeft w:val="0"/>
      <w:marRight w:val="0"/>
      <w:marTop w:val="0"/>
      <w:marBottom w:val="0"/>
      <w:divBdr>
        <w:top w:val="none" w:sz="0" w:space="0" w:color="auto"/>
        <w:left w:val="none" w:sz="0" w:space="0" w:color="auto"/>
        <w:bottom w:val="none" w:sz="0" w:space="0" w:color="auto"/>
        <w:right w:val="none" w:sz="0" w:space="0" w:color="auto"/>
      </w:divBdr>
    </w:div>
    <w:div w:id="874847357">
      <w:bodyDiv w:val="1"/>
      <w:marLeft w:val="0"/>
      <w:marRight w:val="0"/>
      <w:marTop w:val="0"/>
      <w:marBottom w:val="0"/>
      <w:divBdr>
        <w:top w:val="none" w:sz="0" w:space="0" w:color="auto"/>
        <w:left w:val="none" w:sz="0" w:space="0" w:color="auto"/>
        <w:bottom w:val="none" w:sz="0" w:space="0" w:color="auto"/>
        <w:right w:val="none" w:sz="0" w:space="0" w:color="auto"/>
      </w:divBdr>
    </w:div>
    <w:div w:id="875118187">
      <w:bodyDiv w:val="1"/>
      <w:marLeft w:val="0"/>
      <w:marRight w:val="0"/>
      <w:marTop w:val="0"/>
      <w:marBottom w:val="0"/>
      <w:divBdr>
        <w:top w:val="none" w:sz="0" w:space="0" w:color="auto"/>
        <w:left w:val="none" w:sz="0" w:space="0" w:color="auto"/>
        <w:bottom w:val="none" w:sz="0" w:space="0" w:color="auto"/>
        <w:right w:val="none" w:sz="0" w:space="0" w:color="auto"/>
      </w:divBdr>
    </w:div>
    <w:div w:id="875433210">
      <w:bodyDiv w:val="1"/>
      <w:marLeft w:val="0"/>
      <w:marRight w:val="0"/>
      <w:marTop w:val="0"/>
      <w:marBottom w:val="0"/>
      <w:divBdr>
        <w:top w:val="none" w:sz="0" w:space="0" w:color="auto"/>
        <w:left w:val="none" w:sz="0" w:space="0" w:color="auto"/>
        <w:bottom w:val="none" w:sz="0" w:space="0" w:color="auto"/>
        <w:right w:val="none" w:sz="0" w:space="0" w:color="auto"/>
      </w:divBdr>
    </w:div>
    <w:div w:id="876241136">
      <w:bodyDiv w:val="1"/>
      <w:marLeft w:val="0"/>
      <w:marRight w:val="0"/>
      <w:marTop w:val="0"/>
      <w:marBottom w:val="0"/>
      <w:divBdr>
        <w:top w:val="none" w:sz="0" w:space="0" w:color="auto"/>
        <w:left w:val="none" w:sz="0" w:space="0" w:color="auto"/>
        <w:bottom w:val="none" w:sz="0" w:space="0" w:color="auto"/>
        <w:right w:val="none" w:sz="0" w:space="0" w:color="auto"/>
      </w:divBdr>
    </w:div>
    <w:div w:id="876432461">
      <w:bodyDiv w:val="1"/>
      <w:marLeft w:val="0"/>
      <w:marRight w:val="0"/>
      <w:marTop w:val="0"/>
      <w:marBottom w:val="0"/>
      <w:divBdr>
        <w:top w:val="none" w:sz="0" w:space="0" w:color="auto"/>
        <w:left w:val="none" w:sz="0" w:space="0" w:color="auto"/>
        <w:bottom w:val="none" w:sz="0" w:space="0" w:color="auto"/>
        <w:right w:val="none" w:sz="0" w:space="0" w:color="auto"/>
      </w:divBdr>
    </w:div>
    <w:div w:id="877935969">
      <w:bodyDiv w:val="1"/>
      <w:marLeft w:val="0"/>
      <w:marRight w:val="0"/>
      <w:marTop w:val="0"/>
      <w:marBottom w:val="0"/>
      <w:divBdr>
        <w:top w:val="none" w:sz="0" w:space="0" w:color="auto"/>
        <w:left w:val="none" w:sz="0" w:space="0" w:color="auto"/>
        <w:bottom w:val="none" w:sz="0" w:space="0" w:color="auto"/>
        <w:right w:val="none" w:sz="0" w:space="0" w:color="auto"/>
      </w:divBdr>
    </w:div>
    <w:div w:id="877938115">
      <w:bodyDiv w:val="1"/>
      <w:marLeft w:val="0"/>
      <w:marRight w:val="0"/>
      <w:marTop w:val="0"/>
      <w:marBottom w:val="0"/>
      <w:divBdr>
        <w:top w:val="none" w:sz="0" w:space="0" w:color="auto"/>
        <w:left w:val="none" w:sz="0" w:space="0" w:color="auto"/>
        <w:bottom w:val="none" w:sz="0" w:space="0" w:color="auto"/>
        <w:right w:val="none" w:sz="0" w:space="0" w:color="auto"/>
      </w:divBdr>
    </w:div>
    <w:div w:id="879630967">
      <w:bodyDiv w:val="1"/>
      <w:marLeft w:val="0"/>
      <w:marRight w:val="0"/>
      <w:marTop w:val="0"/>
      <w:marBottom w:val="0"/>
      <w:divBdr>
        <w:top w:val="none" w:sz="0" w:space="0" w:color="auto"/>
        <w:left w:val="none" w:sz="0" w:space="0" w:color="auto"/>
        <w:bottom w:val="none" w:sz="0" w:space="0" w:color="auto"/>
        <w:right w:val="none" w:sz="0" w:space="0" w:color="auto"/>
      </w:divBdr>
    </w:div>
    <w:div w:id="882715524">
      <w:bodyDiv w:val="1"/>
      <w:marLeft w:val="0"/>
      <w:marRight w:val="0"/>
      <w:marTop w:val="0"/>
      <w:marBottom w:val="0"/>
      <w:divBdr>
        <w:top w:val="none" w:sz="0" w:space="0" w:color="auto"/>
        <w:left w:val="none" w:sz="0" w:space="0" w:color="auto"/>
        <w:bottom w:val="none" w:sz="0" w:space="0" w:color="auto"/>
        <w:right w:val="none" w:sz="0" w:space="0" w:color="auto"/>
      </w:divBdr>
    </w:div>
    <w:div w:id="884683343">
      <w:bodyDiv w:val="1"/>
      <w:marLeft w:val="0"/>
      <w:marRight w:val="0"/>
      <w:marTop w:val="0"/>
      <w:marBottom w:val="0"/>
      <w:divBdr>
        <w:top w:val="none" w:sz="0" w:space="0" w:color="auto"/>
        <w:left w:val="none" w:sz="0" w:space="0" w:color="auto"/>
        <w:bottom w:val="none" w:sz="0" w:space="0" w:color="auto"/>
        <w:right w:val="none" w:sz="0" w:space="0" w:color="auto"/>
      </w:divBdr>
    </w:div>
    <w:div w:id="885332452">
      <w:bodyDiv w:val="1"/>
      <w:marLeft w:val="0"/>
      <w:marRight w:val="0"/>
      <w:marTop w:val="0"/>
      <w:marBottom w:val="0"/>
      <w:divBdr>
        <w:top w:val="none" w:sz="0" w:space="0" w:color="auto"/>
        <w:left w:val="none" w:sz="0" w:space="0" w:color="auto"/>
        <w:bottom w:val="none" w:sz="0" w:space="0" w:color="auto"/>
        <w:right w:val="none" w:sz="0" w:space="0" w:color="auto"/>
      </w:divBdr>
    </w:div>
    <w:div w:id="886650244">
      <w:bodyDiv w:val="1"/>
      <w:marLeft w:val="0"/>
      <w:marRight w:val="0"/>
      <w:marTop w:val="0"/>
      <w:marBottom w:val="0"/>
      <w:divBdr>
        <w:top w:val="none" w:sz="0" w:space="0" w:color="auto"/>
        <w:left w:val="none" w:sz="0" w:space="0" w:color="auto"/>
        <w:bottom w:val="none" w:sz="0" w:space="0" w:color="auto"/>
        <w:right w:val="none" w:sz="0" w:space="0" w:color="auto"/>
      </w:divBdr>
    </w:div>
    <w:div w:id="888373005">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892497694">
      <w:bodyDiv w:val="1"/>
      <w:marLeft w:val="0"/>
      <w:marRight w:val="0"/>
      <w:marTop w:val="0"/>
      <w:marBottom w:val="0"/>
      <w:divBdr>
        <w:top w:val="none" w:sz="0" w:space="0" w:color="auto"/>
        <w:left w:val="none" w:sz="0" w:space="0" w:color="auto"/>
        <w:bottom w:val="none" w:sz="0" w:space="0" w:color="auto"/>
        <w:right w:val="none" w:sz="0" w:space="0" w:color="auto"/>
      </w:divBdr>
    </w:div>
    <w:div w:id="893077595">
      <w:bodyDiv w:val="1"/>
      <w:marLeft w:val="0"/>
      <w:marRight w:val="0"/>
      <w:marTop w:val="0"/>
      <w:marBottom w:val="0"/>
      <w:divBdr>
        <w:top w:val="none" w:sz="0" w:space="0" w:color="auto"/>
        <w:left w:val="none" w:sz="0" w:space="0" w:color="auto"/>
        <w:bottom w:val="none" w:sz="0" w:space="0" w:color="auto"/>
        <w:right w:val="none" w:sz="0" w:space="0" w:color="auto"/>
      </w:divBdr>
    </w:div>
    <w:div w:id="893584123">
      <w:bodyDiv w:val="1"/>
      <w:marLeft w:val="0"/>
      <w:marRight w:val="0"/>
      <w:marTop w:val="0"/>
      <w:marBottom w:val="0"/>
      <w:divBdr>
        <w:top w:val="none" w:sz="0" w:space="0" w:color="auto"/>
        <w:left w:val="none" w:sz="0" w:space="0" w:color="auto"/>
        <w:bottom w:val="none" w:sz="0" w:space="0" w:color="auto"/>
        <w:right w:val="none" w:sz="0" w:space="0" w:color="auto"/>
      </w:divBdr>
    </w:div>
    <w:div w:id="894506000">
      <w:bodyDiv w:val="1"/>
      <w:marLeft w:val="0"/>
      <w:marRight w:val="0"/>
      <w:marTop w:val="0"/>
      <w:marBottom w:val="0"/>
      <w:divBdr>
        <w:top w:val="none" w:sz="0" w:space="0" w:color="auto"/>
        <w:left w:val="none" w:sz="0" w:space="0" w:color="auto"/>
        <w:bottom w:val="none" w:sz="0" w:space="0" w:color="auto"/>
        <w:right w:val="none" w:sz="0" w:space="0" w:color="auto"/>
      </w:divBdr>
    </w:div>
    <w:div w:id="894586117">
      <w:bodyDiv w:val="1"/>
      <w:marLeft w:val="0"/>
      <w:marRight w:val="0"/>
      <w:marTop w:val="0"/>
      <w:marBottom w:val="0"/>
      <w:divBdr>
        <w:top w:val="none" w:sz="0" w:space="0" w:color="auto"/>
        <w:left w:val="none" w:sz="0" w:space="0" w:color="auto"/>
        <w:bottom w:val="none" w:sz="0" w:space="0" w:color="auto"/>
        <w:right w:val="none" w:sz="0" w:space="0" w:color="auto"/>
      </w:divBdr>
    </w:div>
    <w:div w:id="895816091">
      <w:bodyDiv w:val="1"/>
      <w:marLeft w:val="0"/>
      <w:marRight w:val="0"/>
      <w:marTop w:val="0"/>
      <w:marBottom w:val="0"/>
      <w:divBdr>
        <w:top w:val="none" w:sz="0" w:space="0" w:color="auto"/>
        <w:left w:val="none" w:sz="0" w:space="0" w:color="auto"/>
        <w:bottom w:val="none" w:sz="0" w:space="0" w:color="auto"/>
        <w:right w:val="none" w:sz="0" w:space="0" w:color="auto"/>
      </w:divBdr>
    </w:div>
    <w:div w:id="897715560">
      <w:bodyDiv w:val="1"/>
      <w:marLeft w:val="0"/>
      <w:marRight w:val="0"/>
      <w:marTop w:val="0"/>
      <w:marBottom w:val="0"/>
      <w:divBdr>
        <w:top w:val="none" w:sz="0" w:space="0" w:color="auto"/>
        <w:left w:val="none" w:sz="0" w:space="0" w:color="auto"/>
        <w:bottom w:val="none" w:sz="0" w:space="0" w:color="auto"/>
        <w:right w:val="none" w:sz="0" w:space="0" w:color="auto"/>
      </w:divBdr>
    </w:div>
    <w:div w:id="897859785">
      <w:bodyDiv w:val="1"/>
      <w:marLeft w:val="0"/>
      <w:marRight w:val="0"/>
      <w:marTop w:val="0"/>
      <w:marBottom w:val="0"/>
      <w:divBdr>
        <w:top w:val="none" w:sz="0" w:space="0" w:color="auto"/>
        <w:left w:val="none" w:sz="0" w:space="0" w:color="auto"/>
        <w:bottom w:val="none" w:sz="0" w:space="0" w:color="auto"/>
        <w:right w:val="none" w:sz="0" w:space="0" w:color="auto"/>
      </w:divBdr>
    </w:div>
    <w:div w:id="898855928">
      <w:bodyDiv w:val="1"/>
      <w:marLeft w:val="0"/>
      <w:marRight w:val="0"/>
      <w:marTop w:val="0"/>
      <w:marBottom w:val="0"/>
      <w:divBdr>
        <w:top w:val="none" w:sz="0" w:space="0" w:color="auto"/>
        <w:left w:val="none" w:sz="0" w:space="0" w:color="auto"/>
        <w:bottom w:val="none" w:sz="0" w:space="0" w:color="auto"/>
        <w:right w:val="none" w:sz="0" w:space="0" w:color="auto"/>
      </w:divBdr>
    </w:div>
    <w:div w:id="900099637">
      <w:bodyDiv w:val="1"/>
      <w:marLeft w:val="0"/>
      <w:marRight w:val="0"/>
      <w:marTop w:val="0"/>
      <w:marBottom w:val="0"/>
      <w:divBdr>
        <w:top w:val="none" w:sz="0" w:space="0" w:color="auto"/>
        <w:left w:val="none" w:sz="0" w:space="0" w:color="auto"/>
        <w:bottom w:val="none" w:sz="0" w:space="0" w:color="auto"/>
        <w:right w:val="none" w:sz="0" w:space="0" w:color="auto"/>
      </w:divBdr>
    </w:div>
    <w:div w:id="901021588">
      <w:bodyDiv w:val="1"/>
      <w:marLeft w:val="0"/>
      <w:marRight w:val="0"/>
      <w:marTop w:val="0"/>
      <w:marBottom w:val="0"/>
      <w:divBdr>
        <w:top w:val="none" w:sz="0" w:space="0" w:color="auto"/>
        <w:left w:val="none" w:sz="0" w:space="0" w:color="auto"/>
        <w:bottom w:val="none" w:sz="0" w:space="0" w:color="auto"/>
        <w:right w:val="none" w:sz="0" w:space="0" w:color="auto"/>
      </w:divBdr>
    </w:div>
    <w:div w:id="901253373">
      <w:bodyDiv w:val="1"/>
      <w:marLeft w:val="0"/>
      <w:marRight w:val="0"/>
      <w:marTop w:val="0"/>
      <w:marBottom w:val="0"/>
      <w:divBdr>
        <w:top w:val="none" w:sz="0" w:space="0" w:color="auto"/>
        <w:left w:val="none" w:sz="0" w:space="0" w:color="auto"/>
        <w:bottom w:val="none" w:sz="0" w:space="0" w:color="auto"/>
        <w:right w:val="none" w:sz="0" w:space="0" w:color="auto"/>
      </w:divBdr>
    </w:div>
    <w:div w:id="901720318">
      <w:bodyDiv w:val="1"/>
      <w:marLeft w:val="0"/>
      <w:marRight w:val="0"/>
      <w:marTop w:val="0"/>
      <w:marBottom w:val="0"/>
      <w:divBdr>
        <w:top w:val="none" w:sz="0" w:space="0" w:color="auto"/>
        <w:left w:val="none" w:sz="0" w:space="0" w:color="auto"/>
        <w:bottom w:val="none" w:sz="0" w:space="0" w:color="auto"/>
        <w:right w:val="none" w:sz="0" w:space="0" w:color="auto"/>
      </w:divBdr>
    </w:div>
    <w:div w:id="902567899">
      <w:bodyDiv w:val="1"/>
      <w:marLeft w:val="0"/>
      <w:marRight w:val="0"/>
      <w:marTop w:val="0"/>
      <w:marBottom w:val="0"/>
      <w:divBdr>
        <w:top w:val="none" w:sz="0" w:space="0" w:color="auto"/>
        <w:left w:val="none" w:sz="0" w:space="0" w:color="auto"/>
        <w:bottom w:val="none" w:sz="0" w:space="0" w:color="auto"/>
        <w:right w:val="none" w:sz="0" w:space="0" w:color="auto"/>
      </w:divBdr>
    </w:div>
    <w:div w:id="905803784">
      <w:bodyDiv w:val="1"/>
      <w:marLeft w:val="0"/>
      <w:marRight w:val="0"/>
      <w:marTop w:val="0"/>
      <w:marBottom w:val="0"/>
      <w:divBdr>
        <w:top w:val="none" w:sz="0" w:space="0" w:color="auto"/>
        <w:left w:val="none" w:sz="0" w:space="0" w:color="auto"/>
        <w:bottom w:val="none" w:sz="0" w:space="0" w:color="auto"/>
        <w:right w:val="none" w:sz="0" w:space="0" w:color="auto"/>
      </w:divBdr>
    </w:div>
    <w:div w:id="910890978">
      <w:bodyDiv w:val="1"/>
      <w:marLeft w:val="0"/>
      <w:marRight w:val="0"/>
      <w:marTop w:val="0"/>
      <w:marBottom w:val="0"/>
      <w:divBdr>
        <w:top w:val="none" w:sz="0" w:space="0" w:color="auto"/>
        <w:left w:val="none" w:sz="0" w:space="0" w:color="auto"/>
        <w:bottom w:val="none" w:sz="0" w:space="0" w:color="auto"/>
        <w:right w:val="none" w:sz="0" w:space="0" w:color="auto"/>
      </w:divBdr>
    </w:div>
    <w:div w:id="913389929">
      <w:bodyDiv w:val="1"/>
      <w:marLeft w:val="0"/>
      <w:marRight w:val="0"/>
      <w:marTop w:val="0"/>
      <w:marBottom w:val="0"/>
      <w:divBdr>
        <w:top w:val="none" w:sz="0" w:space="0" w:color="auto"/>
        <w:left w:val="none" w:sz="0" w:space="0" w:color="auto"/>
        <w:bottom w:val="none" w:sz="0" w:space="0" w:color="auto"/>
        <w:right w:val="none" w:sz="0" w:space="0" w:color="auto"/>
      </w:divBdr>
    </w:div>
    <w:div w:id="914165657">
      <w:bodyDiv w:val="1"/>
      <w:marLeft w:val="0"/>
      <w:marRight w:val="0"/>
      <w:marTop w:val="0"/>
      <w:marBottom w:val="0"/>
      <w:divBdr>
        <w:top w:val="none" w:sz="0" w:space="0" w:color="auto"/>
        <w:left w:val="none" w:sz="0" w:space="0" w:color="auto"/>
        <w:bottom w:val="none" w:sz="0" w:space="0" w:color="auto"/>
        <w:right w:val="none" w:sz="0" w:space="0" w:color="auto"/>
      </w:divBdr>
    </w:div>
    <w:div w:id="914970425">
      <w:bodyDiv w:val="1"/>
      <w:marLeft w:val="0"/>
      <w:marRight w:val="0"/>
      <w:marTop w:val="0"/>
      <w:marBottom w:val="0"/>
      <w:divBdr>
        <w:top w:val="none" w:sz="0" w:space="0" w:color="auto"/>
        <w:left w:val="none" w:sz="0" w:space="0" w:color="auto"/>
        <w:bottom w:val="none" w:sz="0" w:space="0" w:color="auto"/>
        <w:right w:val="none" w:sz="0" w:space="0" w:color="auto"/>
      </w:divBdr>
    </w:div>
    <w:div w:id="917130911">
      <w:bodyDiv w:val="1"/>
      <w:marLeft w:val="0"/>
      <w:marRight w:val="0"/>
      <w:marTop w:val="0"/>
      <w:marBottom w:val="0"/>
      <w:divBdr>
        <w:top w:val="none" w:sz="0" w:space="0" w:color="auto"/>
        <w:left w:val="none" w:sz="0" w:space="0" w:color="auto"/>
        <w:bottom w:val="none" w:sz="0" w:space="0" w:color="auto"/>
        <w:right w:val="none" w:sz="0" w:space="0" w:color="auto"/>
      </w:divBdr>
    </w:div>
    <w:div w:id="920018888">
      <w:bodyDiv w:val="1"/>
      <w:marLeft w:val="0"/>
      <w:marRight w:val="0"/>
      <w:marTop w:val="0"/>
      <w:marBottom w:val="0"/>
      <w:divBdr>
        <w:top w:val="none" w:sz="0" w:space="0" w:color="auto"/>
        <w:left w:val="none" w:sz="0" w:space="0" w:color="auto"/>
        <w:bottom w:val="none" w:sz="0" w:space="0" w:color="auto"/>
        <w:right w:val="none" w:sz="0" w:space="0" w:color="auto"/>
      </w:divBdr>
    </w:div>
    <w:div w:id="922371763">
      <w:bodyDiv w:val="1"/>
      <w:marLeft w:val="0"/>
      <w:marRight w:val="0"/>
      <w:marTop w:val="0"/>
      <w:marBottom w:val="0"/>
      <w:divBdr>
        <w:top w:val="none" w:sz="0" w:space="0" w:color="auto"/>
        <w:left w:val="none" w:sz="0" w:space="0" w:color="auto"/>
        <w:bottom w:val="none" w:sz="0" w:space="0" w:color="auto"/>
        <w:right w:val="none" w:sz="0" w:space="0" w:color="auto"/>
      </w:divBdr>
    </w:div>
    <w:div w:id="926771430">
      <w:bodyDiv w:val="1"/>
      <w:marLeft w:val="0"/>
      <w:marRight w:val="0"/>
      <w:marTop w:val="0"/>
      <w:marBottom w:val="0"/>
      <w:divBdr>
        <w:top w:val="none" w:sz="0" w:space="0" w:color="auto"/>
        <w:left w:val="none" w:sz="0" w:space="0" w:color="auto"/>
        <w:bottom w:val="none" w:sz="0" w:space="0" w:color="auto"/>
        <w:right w:val="none" w:sz="0" w:space="0" w:color="auto"/>
      </w:divBdr>
    </w:div>
    <w:div w:id="928852807">
      <w:bodyDiv w:val="1"/>
      <w:marLeft w:val="0"/>
      <w:marRight w:val="0"/>
      <w:marTop w:val="0"/>
      <w:marBottom w:val="0"/>
      <w:divBdr>
        <w:top w:val="none" w:sz="0" w:space="0" w:color="auto"/>
        <w:left w:val="none" w:sz="0" w:space="0" w:color="auto"/>
        <w:bottom w:val="none" w:sz="0" w:space="0" w:color="auto"/>
        <w:right w:val="none" w:sz="0" w:space="0" w:color="auto"/>
      </w:divBdr>
    </w:div>
    <w:div w:id="929199880">
      <w:bodyDiv w:val="1"/>
      <w:marLeft w:val="0"/>
      <w:marRight w:val="0"/>
      <w:marTop w:val="0"/>
      <w:marBottom w:val="0"/>
      <w:divBdr>
        <w:top w:val="none" w:sz="0" w:space="0" w:color="auto"/>
        <w:left w:val="none" w:sz="0" w:space="0" w:color="auto"/>
        <w:bottom w:val="none" w:sz="0" w:space="0" w:color="auto"/>
        <w:right w:val="none" w:sz="0" w:space="0" w:color="auto"/>
      </w:divBdr>
    </w:div>
    <w:div w:id="930158644">
      <w:bodyDiv w:val="1"/>
      <w:marLeft w:val="0"/>
      <w:marRight w:val="0"/>
      <w:marTop w:val="0"/>
      <w:marBottom w:val="0"/>
      <w:divBdr>
        <w:top w:val="none" w:sz="0" w:space="0" w:color="auto"/>
        <w:left w:val="none" w:sz="0" w:space="0" w:color="auto"/>
        <w:bottom w:val="none" w:sz="0" w:space="0" w:color="auto"/>
        <w:right w:val="none" w:sz="0" w:space="0" w:color="auto"/>
      </w:divBdr>
    </w:div>
    <w:div w:id="930971111">
      <w:bodyDiv w:val="1"/>
      <w:marLeft w:val="0"/>
      <w:marRight w:val="0"/>
      <w:marTop w:val="0"/>
      <w:marBottom w:val="0"/>
      <w:divBdr>
        <w:top w:val="none" w:sz="0" w:space="0" w:color="auto"/>
        <w:left w:val="none" w:sz="0" w:space="0" w:color="auto"/>
        <w:bottom w:val="none" w:sz="0" w:space="0" w:color="auto"/>
        <w:right w:val="none" w:sz="0" w:space="0" w:color="auto"/>
      </w:divBdr>
    </w:div>
    <w:div w:id="935284897">
      <w:bodyDiv w:val="1"/>
      <w:marLeft w:val="0"/>
      <w:marRight w:val="0"/>
      <w:marTop w:val="0"/>
      <w:marBottom w:val="0"/>
      <w:divBdr>
        <w:top w:val="none" w:sz="0" w:space="0" w:color="auto"/>
        <w:left w:val="none" w:sz="0" w:space="0" w:color="auto"/>
        <w:bottom w:val="none" w:sz="0" w:space="0" w:color="auto"/>
        <w:right w:val="none" w:sz="0" w:space="0" w:color="auto"/>
      </w:divBdr>
    </w:div>
    <w:div w:id="935401320">
      <w:bodyDiv w:val="1"/>
      <w:marLeft w:val="0"/>
      <w:marRight w:val="0"/>
      <w:marTop w:val="0"/>
      <w:marBottom w:val="0"/>
      <w:divBdr>
        <w:top w:val="none" w:sz="0" w:space="0" w:color="auto"/>
        <w:left w:val="none" w:sz="0" w:space="0" w:color="auto"/>
        <w:bottom w:val="none" w:sz="0" w:space="0" w:color="auto"/>
        <w:right w:val="none" w:sz="0" w:space="0" w:color="auto"/>
      </w:divBdr>
    </w:div>
    <w:div w:id="935745342">
      <w:bodyDiv w:val="1"/>
      <w:marLeft w:val="0"/>
      <w:marRight w:val="0"/>
      <w:marTop w:val="0"/>
      <w:marBottom w:val="0"/>
      <w:divBdr>
        <w:top w:val="none" w:sz="0" w:space="0" w:color="auto"/>
        <w:left w:val="none" w:sz="0" w:space="0" w:color="auto"/>
        <w:bottom w:val="none" w:sz="0" w:space="0" w:color="auto"/>
        <w:right w:val="none" w:sz="0" w:space="0" w:color="auto"/>
      </w:divBdr>
    </w:div>
    <w:div w:id="937910692">
      <w:bodyDiv w:val="1"/>
      <w:marLeft w:val="0"/>
      <w:marRight w:val="0"/>
      <w:marTop w:val="0"/>
      <w:marBottom w:val="0"/>
      <w:divBdr>
        <w:top w:val="none" w:sz="0" w:space="0" w:color="auto"/>
        <w:left w:val="none" w:sz="0" w:space="0" w:color="auto"/>
        <w:bottom w:val="none" w:sz="0" w:space="0" w:color="auto"/>
        <w:right w:val="none" w:sz="0" w:space="0" w:color="auto"/>
      </w:divBdr>
    </w:div>
    <w:div w:id="938946351">
      <w:bodyDiv w:val="1"/>
      <w:marLeft w:val="0"/>
      <w:marRight w:val="0"/>
      <w:marTop w:val="0"/>
      <w:marBottom w:val="0"/>
      <w:divBdr>
        <w:top w:val="none" w:sz="0" w:space="0" w:color="auto"/>
        <w:left w:val="none" w:sz="0" w:space="0" w:color="auto"/>
        <w:bottom w:val="none" w:sz="0" w:space="0" w:color="auto"/>
        <w:right w:val="none" w:sz="0" w:space="0" w:color="auto"/>
      </w:divBdr>
    </w:div>
    <w:div w:id="939096003">
      <w:bodyDiv w:val="1"/>
      <w:marLeft w:val="0"/>
      <w:marRight w:val="0"/>
      <w:marTop w:val="0"/>
      <w:marBottom w:val="0"/>
      <w:divBdr>
        <w:top w:val="none" w:sz="0" w:space="0" w:color="auto"/>
        <w:left w:val="none" w:sz="0" w:space="0" w:color="auto"/>
        <w:bottom w:val="none" w:sz="0" w:space="0" w:color="auto"/>
        <w:right w:val="none" w:sz="0" w:space="0" w:color="auto"/>
      </w:divBdr>
    </w:div>
    <w:div w:id="939752827">
      <w:bodyDiv w:val="1"/>
      <w:marLeft w:val="0"/>
      <w:marRight w:val="0"/>
      <w:marTop w:val="0"/>
      <w:marBottom w:val="0"/>
      <w:divBdr>
        <w:top w:val="none" w:sz="0" w:space="0" w:color="auto"/>
        <w:left w:val="none" w:sz="0" w:space="0" w:color="auto"/>
        <w:bottom w:val="none" w:sz="0" w:space="0" w:color="auto"/>
        <w:right w:val="none" w:sz="0" w:space="0" w:color="auto"/>
      </w:divBdr>
    </w:div>
    <w:div w:id="942153824">
      <w:bodyDiv w:val="1"/>
      <w:marLeft w:val="0"/>
      <w:marRight w:val="0"/>
      <w:marTop w:val="0"/>
      <w:marBottom w:val="0"/>
      <w:divBdr>
        <w:top w:val="none" w:sz="0" w:space="0" w:color="auto"/>
        <w:left w:val="none" w:sz="0" w:space="0" w:color="auto"/>
        <w:bottom w:val="none" w:sz="0" w:space="0" w:color="auto"/>
        <w:right w:val="none" w:sz="0" w:space="0" w:color="auto"/>
      </w:divBdr>
    </w:div>
    <w:div w:id="943417748">
      <w:bodyDiv w:val="1"/>
      <w:marLeft w:val="0"/>
      <w:marRight w:val="0"/>
      <w:marTop w:val="0"/>
      <w:marBottom w:val="0"/>
      <w:divBdr>
        <w:top w:val="none" w:sz="0" w:space="0" w:color="auto"/>
        <w:left w:val="none" w:sz="0" w:space="0" w:color="auto"/>
        <w:bottom w:val="none" w:sz="0" w:space="0" w:color="auto"/>
        <w:right w:val="none" w:sz="0" w:space="0" w:color="auto"/>
      </w:divBdr>
    </w:div>
    <w:div w:id="943612577">
      <w:bodyDiv w:val="1"/>
      <w:marLeft w:val="0"/>
      <w:marRight w:val="0"/>
      <w:marTop w:val="0"/>
      <w:marBottom w:val="0"/>
      <w:divBdr>
        <w:top w:val="none" w:sz="0" w:space="0" w:color="auto"/>
        <w:left w:val="none" w:sz="0" w:space="0" w:color="auto"/>
        <w:bottom w:val="none" w:sz="0" w:space="0" w:color="auto"/>
        <w:right w:val="none" w:sz="0" w:space="0" w:color="auto"/>
      </w:divBdr>
    </w:div>
    <w:div w:id="943920019">
      <w:bodyDiv w:val="1"/>
      <w:marLeft w:val="0"/>
      <w:marRight w:val="0"/>
      <w:marTop w:val="0"/>
      <w:marBottom w:val="0"/>
      <w:divBdr>
        <w:top w:val="none" w:sz="0" w:space="0" w:color="auto"/>
        <w:left w:val="none" w:sz="0" w:space="0" w:color="auto"/>
        <w:bottom w:val="none" w:sz="0" w:space="0" w:color="auto"/>
        <w:right w:val="none" w:sz="0" w:space="0" w:color="auto"/>
      </w:divBdr>
    </w:div>
    <w:div w:id="947352337">
      <w:bodyDiv w:val="1"/>
      <w:marLeft w:val="0"/>
      <w:marRight w:val="0"/>
      <w:marTop w:val="0"/>
      <w:marBottom w:val="0"/>
      <w:divBdr>
        <w:top w:val="none" w:sz="0" w:space="0" w:color="auto"/>
        <w:left w:val="none" w:sz="0" w:space="0" w:color="auto"/>
        <w:bottom w:val="none" w:sz="0" w:space="0" w:color="auto"/>
        <w:right w:val="none" w:sz="0" w:space="0" w:color="auto"/>
      </w:divBdr>
    </w:div>
    <w:div w:id="949050954">
      <w:bodyDiv w:val="1"/>
      <w:marLeft w:val="0"/>
      <w:marRight w:val="0"/>
      <w:marTop w:val="0"/>
      <w:marBottom w:val="0"/>
      <w:divBdr>
        <w:top w:val="none" w:sz="0" w:space="0" w:color="auto"/>
        <w:left w:val="none" w:sz="0" w:space="0" w:color="auto"/>
        <w:bottom w:val="none" w:sz="0" w:space="0" w:color="auto"/>
        <w:right w:val="none" w:sz="0" w:space="0" w:color="auto"/>
      </w:divBdr>
    </w:div>
    <w:div w:id="949315540">
      <w:bodyDiv w:val="1"/>
      <w:marLeft w:val="0"/>
      <w:marRight w:val="0"/>
      <w:marTop w:val="0"/>
      <w:marBottom w:val="0"/>
      <w:divBdr>
        <w:top w:val="none" w:sz="0" w:space="0" w:color="auto"/>
        <w:left w:val="none" w:sz="0" w:space="0" w:color="auto"/>
        <w:bottom w:val="none" w:sz="0" w:space="0" w:color="auto"/>
        <w:right w:val="none" w:sz="0" w:space="0" w:color="auto"/>
      </w:divBdr>
    </w:div>
    <w:div w:id="950354640">
      <w:bodyDiv w:val="1"/>
      <w:marLeft w:val="0"/>
      <w:marRight w:val="0"/>
      <w:marTop w:val="0"/>
      <w:marBottom w:val="0"/>
      <w:divBdr>
        <w:top w:val="none" w:sz="0" w:space="0" w:color="auto"/>
        <w:left w:val="none" w:sz="0" w:space="0" w:color="auto"/>
        <w:bottom w:val="none" w:sz="0" w:space="0" w:color="auto"/>
        <w:right w:val="none" w:sz="0" w:space="0" w:color="auto"/>
      </w:divBdr>
    </w:div>
    <w:div w:id="950867612">
      <w:bodyDiv w:val="1"/>
      <w:marLeft w:val="0"/>
      <w:marRight w:val="0"/>
      <w:marTop w:val="0"/>
      <w:marBottom w:val="0"/>
      <w:divBdr>
        <w:top w:val="none" w:sz="0" w:space="0" w:color="auto"/>
        <w:left w:val="none" w:sz="0" w:space="0" w:color="auto"/>
        <w:bottom w:val="none" w:sz="0" w:space="0" w:color="auto"/>
        <w:right w:val="none" w:sz="0" w:space="0" w:color="auto"/>
      </w:divBdr>
    </w:div>
    <w:div w:id="951403750">
      <w:bodyDiv w:val="1"/>
      <w:marLeft w:val="0"/>
      <w:marRight w:val="0"/>
      <w:marTop w:val="0"/>
      <w:marBottom w:val="0"/>
      <w:divBdr>
        <w:top w:val="none" w:sz="0" w:space="0" w:color="auto"/>
        <w:left w:val="none" w:sz="0" w:space="0" w:color="auto"/>
        <w:bottom w:val="none" w:sz="0" w:space="0" w:color="auto"/>
        <w:right w:val="none" w:sz="0" w:space="0" w:color="auto"/>
      </w:divBdr>
    </w:div>
    <w:div w:id="952596217">
      <w:bodyDiv w:val="1"/>
      <w:marLeft w:val="0"/>
      <w:marRight w:val="0"/>
      <w:marTop w:val="0"/>
      <w:marBottom w:val="0"/>
      <w:divBdr>
        <w:top w:val="none" w:sz="0" w:space="0" w:color="auto"/>
        <w:left w:val="none" w:sz="0" w:space="0" w:color="auto"/>
        <w:bottom w:val="none" w:sz="0" w:space="0" w:color="auto"/>
        <w:right w:val="none" w:sz="0" w:space="0" w:color="auto"/>
      </w:divBdr>
    </w:div>
    <w:div w:id="957100406">
      <w:bodyDiv w:val="1"/>
      <w:marLeft w:val="0"/>
      <w:marRight w:val="0"/>
      <w:marTop w:val="0"/>
      <w:marBottom w:val="0"/>
      <w:divBdr>
        <w:top w:val="none" w:sz="0" w:space="0" w:color="auto"/>
        <w:left w:val="none" w:sz="0" w:space="0" w:color="auto"/>
        <w:bottom w:val="none" w:sz="0" w:space="0" w:color="auto"/>
        <w:right w:val="none" w:sz="0" w:space="0" w:color="auto"/>
      </w:divBdr>
    </w:div>
    <w:div w:id="960112052">
      <w:bodyDiv w:val="1"/>
      <w:marLeft w:val="0"/>
      <w:marRight w:val="0"/>
      <w:marTop w:val="0"/>
      <w:marBottom w:val="0"/>
      <w:divBdr>
        <w:top w:val="none" w:sz="0" w:space="0" w:color="auto"/>
        <w:left w:val="none" w:sz="0" w:space="0" w:color="auto"/>
        <w:bottom w:val="none" w:sz="0" w:space="0" w:color="auto"/>
        <w:right w:val="none" w:sz="0" w:space="0" w:color="auto"/>
      </w:divBdr>
    </w:div>
    <w:div w:id="960772025">
      <w:bodyDiv w:val="1"/>
      <w:marLeft w:val="0"/>
      <w:marRight w:val="0"/>
      <w:marTop w:val="0"/>
      <w:marBottom w:val="0"/>
      <w:divBdr>
        <w:top w:val="none" w:sz="0" w:space="0" w:color="auto"/>
        <w:left w:val="none" w:sz="0" w:space="0" w:color="auto"/>
        <w:bottom w:val="none" w:sz="0" w:space="0" w:color="auto"/>
        <w:right w:val="none" w:sz="0" w:space="0" w:color="auto"/>
      </w:divBdr>
    </w:div>
    <w:div w:id="961035407">
      <w:bodyDiv w:val="1"/>
      <w:marLeft w:val="0"/>
      <w:marRight w:val="0"/>
      <w:marTop w:val="0"/>
      <w:marBottom w:val="0"/>
      <w:divBdr>
        <w:top w:val="none" w:sz="0" w:space="0" w:color="auto"/>
        <w:left w:val="none" w:sz="0" w:space="0" w:color="auto"/>
        <w:bottom w:val="none" w:sz="0" w:space="0" w:color="auto"/>
        <w:right w:val="none" w:sz="0" w:space="0" w:color="auto"/>
      </w:divBdr>
    </w:div>
    <w:div w:id="961419718">
      <w:bodyDiv w:val="1"/>
      <w:marLeft w:val="0"/>
      <w:marRight w:val="0"/>
      <w:marTop w:val="0"/>
      <w:marBottom w:val="0"/>
      <w:divBdr>
        <w:top w:val="none" w:sz="0" w:space="0" w:color="auto"/>
        <w:left w:val="none" w:sz="0" w:space="0" w:color="auto"/>
        <w:bottom w:val="none" w:sz="0" w:space="0" w:color="auto"/>
        <w:right w:val="none" w:sz="0" w:space="0" w:color="auto"/>
      </w:divBdr>
    </w:div>
    <w:div w:id="963078082">
      <w:bodyDiv w:val="1"/>
      <w:marLeft w:val="0"/>
      <w:marRight w:val="0"/>
      <w:marTop w:val="0"/>
      <w:marBottom w:val="0"/>
      <w:divBdr>
        <w:top w:val="none" w:sz="0" w:space="0" w:color="auto"/>
        <w:left w:val="none" w:sz="0" w:space="0" w:color="auto"/>
        <w:bottom w:val="none" w:sz="0" w:space="0" w:color="auto"/>
        <w:right w:val="none" w:sz="0" w:space="0" w:color="auto"/>
      </w:divBdr>
    </w:div>
    <w:div w:id="964655622">
      <w:bodyDiv w:val="1"/>
      <w:marLeft w:val="0"/>
      <w:marRight w:val="0"/>
      <w:marTop w:val="0"/>
      <w:marBottom w:val="0"/>
      <w:divBdr>
        <w:top w:val="none" w:sz="0" w:space="0" w:color="auto"/>
        <w:left w:val="none" w:sz="0" w:space="0" w:color="auto"/>
        <w:bottom w:val="none" w:sz="0" w:space="0" w:color="auto"/>
        <w:right w:val="none" w:sz="0" w:space="0" w:color="auto"/>
      </w:divBdr>
    </w:div>
    <w:div w:id="964656542">
      <w:bodyDiv w:val="1"/>
      <w:marLeft w:val="0"/>
      <w:marRight w:val="0"/>
      <w:marTop w:val="0"/>
      <w:marBottom w:val="0"/>
      <w:divBdr>
        <w:top w:val="none" w:sz="0" w:space="0" w:color="auto"/>
        <w:left w:val="none" w:sz="0" w:space="0" w:color="auto"/>
        <w:bottom w:val="none" w:sz="0" w:space="0" w:color="auto"/>
        <w:right w:val="none" w:sz="0" w:space="0" w:color="auto"/>
      </w:divBdr>
    </w:div>
    <w:div w:id="965820001">
      <w:bodyDiv w:val="1"/>
      <w:marLeft w:val="0"/>
      <w:marRight w:val="0"/>
      <w:marTop w:val="0"/>
      <w:marBottom w:val="0"/>
      <w:divBdr>
        <w:top w:val="none" w:sz="0" w:space="0" w:color="auto"/>
        <w:left w:val="none" w:sz="0" w:space="0" w:color="auto"/>
        <w:bottom w:val="none" w:sz="0" w:space="0" w:color="auto"/>
        <w:right w:val="none" w:sz="0" w:space="0" w:color="auto"/>
      </w:divBdr>
    </w:div>
    <w:div w:id="967247247">
      <w:bodyDiv w:val="1"/>
      <w:marLeft w:val="0"/>
      <w:marRight w:val="0"/>
      <w:marTop w:val="0"/>
      <w:marBottom w:val="0"/>
      <w:divBdr>
        <w:top w:val="none" w:sz="0" w:space="0" w:color="auto"/>
        <w:left w:val="none" w:sz="0" w:space="0" w:color="auto"/>
        <w:bottom w:val="none" w:sz="0" w:space="0" w:color="auto"/>
        <w:right w:val="none" w:sz="0" w:space="0" w:color="auto"/>
      </w:divBdr>
    </w:div>
    <w:div w:id="968126737">
      <w:bodyDiv w:val="1"/>
      <w:marLeft w:val="0"/>
      <w:marRight w:val="0"/>
      <w:marTop w:val="0"/>
      <w:marBottom w:val="0"/>
      <w:divBdr>
        <w:top w:val="none" w:sz="0" w:space="0" w:color="auto"/>
        <w:left w:val="none" w:sz="0" w:space="0" w:color="auto"/>
        <w:bottom w:val="none" w:sz="0" w:space="0" w:color="auto"/>
        <w:right w:val="none" w:sz="0" w:space="0" w:color="auto"/>
      </w:divBdr>
    </w:div>
    <w:div w:id="968243902">
      <w:bodyDiv w:val="1"/>
      <w:marLeft w:val="0"/>
      <w:marRight w:val="0"/>
      <w:marTop w:val="0"/>
      <w:marBottom w:val="0"/>
      <w:divBdr>
        <w:top w:val="none" w:sz="0" w:space="0" w:color="auto"/>
        <w:left w:val="none" w:sz="0" w:space="0" w:color="auto"/>
        <w:bottom w:val="none" w:sz="0" w:space="0" w:color="auto"/>
        <w:right w:val="none" w:sz="0" w:space="0" w:color="auto"/>
      </w:divBdr>
    </w:div>
    <w:div w:id="971638150">
      <w:bodyDiv w:val="1"/>
      <w:marLeft w:val="0"/>
      <w:marRight w:val="0"/>
      <w:marTop w:val="0"/>
      <w:marBottom w:val="0"/>
      <w:divBdr>
        <w:top w:val="none" w:sz="0" w:space="0" w:color="auto"/>
        <w:left w:val="none" w:sz="0" w:space="0" w:color="auto"/>
        <w:bottom w:val="none" w:sz="0" w:space="0" w:color="auto"/>
        <w:right w:val="none" w:sz="0" w:space="0" w:color="auto"/>
      </w:divBdr>
    </w:div>
    <w:div w:id="972448539">
      <w:bodyDiv w:val="1"/>
      <w:marLeft w:val="0"/>
      <w:marRight w:val="0"/>
      <w:marTop w:val="0"/>
      <w:marBottom w:val="0"/>
      <w:divBdr>
        <w:top w:val="none" w:sz="0" w:space="0" w:color="auto"/>
        <w:left w:val="none" w:sz="0" w:space="0" w:color="auto"/>
        <w:bottom w:val="none" w:sz="0" w:space="0" w:color="auto"/>
        <w:right w:val="none" w:sz="0" w:space="0" w:color="auto"/>
      </w:divBdr>
    </w:div>
    <w:div w:id="974411558">
      <w:bodyDiv w:val="1"/>
      <w:marLeft w:val="0"/>
      <w:marRight w:val="0"/>
      <w:marTop w:val="0"/>
      <w:marBottom w:val="0"/>
      <w:divBdr>
        <w:top w:val="none" w:sz="0" w:space="0" w:color="auto"/>
        <w:left w:val="none" w:sz="0" w:space="0" w:color="auto"/>
        <w:bottom w:val="none" w:sz="0" w:space="0" w:color="auto"/>
        <w:right w:val="none" w:sz="0" w:space="0" w:color="auto"/>
      </w:divBdr>
    </w:div>
    <w:div w:id="975451550">
      <w:bodyDiv w:val="1"/>
      <w:marLeft w:val="0"/>
      <w:marRight w:val="0"/>
      <w:marTop w:val="0"/>
      <w:marBottom w:val="0"/>
      <w:divBdr>
        <w:top w:val="none" w:sz="0" w:space="0" w:color="auto"/>
        <w:left w:val="none" w:sz="0" w:space="0" w:color="auto"/>
        <w:bottom w:val="none" w:sz="0" w:space="0" w:color="auto"/>
        <w:right w:val="none" w:sz="0" w:space="0" w:color="auto"/>
      </w:divBdr>
    </w:div>
    <w:div w:id="975842852">
      <w:bodyDiv w:val="1"/>
      <w:marLeft w:val="0"/>
      <w:marRight w:val="0"/>
      <w:marTop w:val="0"/>
      <w:marBottom w:val="0"/>
      <w:divBdr>
        <w:top w:val="none" w:sz="0" w:space="0" w:color="auto"/>
        <w:left w:val="none" w:sz="0" w:space="0" w:color="auto"/>
        <w:bottom w:val="none" w:sz="0" w:space="0" w:color="auto"/>
        <w:right w:val="none" w:sz="0" w:space="0" w:color="auto"/>
      </w:divBdr>
    </w:div>
    <w:div w:id="976034620">
      <w:bodyDiv w:val="1"/>
      <w:marLeft w:val="0"/>
      <w:marRight w:val="0"/>
      <w:marTop w:val="0"/>
      <w:marBottom w:val="0"/>
      <w:divBdr>
        <w:top w:val="none" w:sz="0" w:space="0" w:color="auto"/>
        <w:left w:val="none" w:sz="0" w:space="0" w:color="auto"/>
        <w:bottom w:val="none" w:sz="0" w:space="0" w:color="auto"/>
        <w:right w:val="none" w:sz="0" w:space="0" w:color="auto"/>
      </w:divBdr>
    </w:div>
    <w:div w:id="976108476">
      <w:bodyDiv w:val="1"/>
      <w:marLeft w:val="0"/>
      <w:marRight w:val="0"/>
      <w:marTop w:val="0"/>
      <w:marBottom w:val="0"/>
      <w:divBdr>
        <w:top w:val="none" w:sz="0" w:space="0" w:color="auto"/>
        <w:left w:val="none" w:sz="0" w:space="0" w:color="auto"/>
        <w:bottom w:val="none" w:sz="0" w:space="0" w:color="auto"/>
        <w:right w:val="none" w:sz="0" w:space="0" w:color="auto"/>
      </w:divBdr>
    </w:div>
    <w:div w:id="977537815">
      <w:bodyDiv w:val="1"/>
      <w:marLeft w:val="0"/>
      <w:marRight w:val="0"/>
      <w:marTop w:val="0"/>
      <w:marBottom w:val="0"/>
      <w:divBdr>
        <w:top w:val="none" w:sz="0" w:space="0" w:color="auto"/>
        <w:left w:val="none" w:sz="0" w:space="0" w:color="auto"/>
        <w:bottom w:val="none" w:sz="0" w:space="0" w:color="auto"/>
        <w:right w:val="none" w:sz="0" w:space="0" w:color="auto"/>
      </w:divBdr>
    </w:div>
    <w:div w:id="978732631">
      <w:bodyDiv w:val="1"/>
      <w:marLeft w:val="0"/>
      <w:marRight w:val="0"/>
      <w:marTop w:val="0"/>
      <w:marBottom w:val="0"/>
      <w:divBdr>
        <w:top w:val="none" w:sz="0" w:space="0" w:color="auto"/>
        <w:left w:val="none" w:sz="0" w:space="0" w:color="auto"/>
        <w:bottom w:val="none" w:sz="0" w:space="0" w:color="auto"/>
        <w:right w:val="none" w:sz="0" w:space="0" w:color="auto"/>
      </w:divBdr>
    </w:div>
    <w:div w:id="978923876">
      <w:bodyDiv w:val="1"/>
      <w:marLeft w:val="0"/>
      <w:marRight w:val="0"/>
      <w:marTop w:val="0"/>
      <w:marBottom w:val="0"/>
      <w:divBdr>
        <w:top w:val="none" w:sz="0" w:space="0" w:color="auto"/>
        <w:left w:val="none" w:sz="0" w:space="0" w:color="auto"/>
        <w:bottom w:val="none" w:sz="0" w:space="0" w:color="auto"/>
        <w:right w:val="none" w:sz="0" w:space="0" w:color="auto"/>
      </w:divBdr>
    </w:div>
    <w:div w:id="979925247">
      <w:bodyDiv w:val="1"/>
      <w:marLeft w:val="0"/>
      <w:marRight w:val="0"/>
      <w:marTop w:val="0"/>
      <w:marBottom w:val="0"/>
      <w:divBdr>
        <w:top w:val="none" w:sz="0" w:space="0" w:color="auto"/>
        <w:left w:val="none" w:sz="0" w:space="0" w:color="auto"/>
        <w:bottom w:val="none" w:sz="0" w:space="0" w:color="auto"/>
        <w:right w:val="none" w:sz="0" w:space="0" w:color="auto"/>
      </w:divBdr>
    </w:div>
    <w:div w:id="980307022">
      <w:bodyDiv w:val="1"/>
      <w:marLeft w:val="0"/>
      <w:marRight w:val="0"/>
      <w:marTop w:val="0"/>
      <w:marBottom w:val="0"/>
      <w:divBdr>
        <w:top w:val="none" w:sz="0" w:space="0" w:color="auto"/>
        <w:left w:val="none" w:sz="0" w:space="0" w:color="auto"/>
        <w:bottom w:val="none" w:sz="0" w:space="0" w:color="auto"/>
        <w:right w:val="none" w:sz="0" w:space="0" w:color="auto"/>
      </w:divBdr>
    </w:div>
    <w:div w:id="980765245">
      <w:bodyDiv w:val="1"/>
      <w:marLeft w:val="0"/>
      <w:marRight w:val="0"/>
      <w:marTop w:val="0"/>
      <w:marBottom w:val="0"/>
      <w:divBdr>
        <w:top w:val="none" w:sz="0" w:space="0" w:color="auto"/>
        <w:left w:val="none" w:sz="0" w:space="0" w:color="auto"/>
        <w:bottom w:val="none" w:sz="0" w:space="0" w:color="auto"/>
        <w:right w:val="none" w:sz="0" w:space="0" w:color="auto"/>
      </w:divBdr>
    </w:div>
    <w:div w:id="980966809">
      <w:bodyDiv w:val="1"/>
      <w:marLeft w:val="0"/>
      <w:marRight w:val="0"/>
      <w:marTop w:val="0"/>
      <w:marBottom w:val="0"/>
      <w:divBdr>
        <w:top w:val="none" w:sz="0" w:space="0" w:color="auto"/>
        <w:left w:val="none" w:sz="0" w:space="0" w:color="auto"/>
        <w:bottom w:val="none" w:sz="0" w:space="0" w:color="auto"/>
        <w:right w:val="none" w:sz="0" w:space="0" w:color="auto"/>
      </w:divBdr>
    </w:div>
    <w:div w:id="981420666">
      <w:bodyDiv w:val="1"/>
      <w:marLeft w:val="0"/>
      <w:marRight w:val="0"/>
      <w:marTop w:val="0"/>
      <w:marBottom w:val="0"/>
      <w:divBdr>
        <w:top w:val="none" w:sz="0" w:space="0" w:color="auto"/>
        <w:left w:val="none" w:sz="0" w:space="0" w:color="auto"/>
        <w:bottom w:val="none" w:sz="0" w:space="0" w:color="auto"/>
        <w:right w:val="none" w:sz="0" w:space="0" w:color="auto"/>
      </w:divBdr>
    </w:div>
    <w:div w:id="981738995">
      <w:bodyDiv w:val="1"/>
      <w:marLeft w:val="0"/>
      <w:marRight w:val="0"/>
      <w:marTop w:val="0"/>
      <w:marBottom w:val="0"/>
      <w:divBdr>
        <w:top w:val="none" w:sz="0" w:space="0" w:color="auto"/>
        <w:left w:val="none" w:sz="0" w:space="0" w:color="auto"/>
        <w:bottom w:val="none" w:sz="0" w:space="0" w:color="auto"/>
        <w:right w:val="none" w:sz="0" w:space="0" w:color="auto"/>
      </w:divBdr>
    </w:div>
    <w:div w:id="982933270">
      <w:bodyDiv w:val="1"/>
      <w:marLeft w:val="0"/>
      <w:marRight w:val="0"/>
      <w:marTop w:val="0"/>
      <w:marBottom w:val="0"/>
      <w:divBdr>
        <w:top w:val="none" w:sz="0" w:space="0" w:color="auto"/>
        <w:left w:val="none" w:sz="0" w:space="0" w:color="auto"/>
        <w:bottom w:val="none" w:sz="0" w:space="0" w:color="auto"/>
        <w:right w:val="none" w:sz="0" w:space="0" w:color="auto"/>
      </w:divBdr>
    </w:div>
    <w:div w:id="984898509">
      <w:bodyDiv w:val="1"/>
      <w:marLeft w:val="0"/>
      <w:marRight w:val="0"/>
      <w:marTop w:val="0"/>
      <w:marBottom w:val="0"/>
      <w:divBdr>
        <w:top w:val="none" w:sz="0" w:space="0" w:color="auto"/>
        <w:left w:val="none" w:sz="0" w:space="0" w:color="auto"/>
        <w:bottom w:val="none" w:sz="0" w:space="0" w:color="auto"/>
        <w:right w:val="none" w:sz="0" w:space="0" w:color="auto"/>
      </w:divBdr>
    </w:div>
    <w:div w:id="985744708">
      <w:bodyDiv w:val="1"/>
      <w:marLeft w:val="0"/>
      <w:marRight w:val="0"/>
      <w:marTop w:val="0"/>
      <w:marBottom w:val="0"/>
      <w:divBdr>
        <w:top w:val="none" w:sz="0" w:space="0" w:color="auto"/>
        <w:left w:val="none" w:sz="0" w:space="0" w:color="auto"/>
        <w:bottom w:val="none" w:sz="0" w:space="0" w:color="auto"/>
        <w:right w:val="none" w:sz="0" w:space="0" w:color="auto"/>
      </w:divBdr>
    </w:div>
    <w:div w:id="989870866">
      <w:bodyDiv w:val="1"/>
      <w:marLeft w:val="0"/>
      <w:marRight w:val="0"/>
      <w:marTop w:val="0"/>
      <w:marBottom w:val="0"/>
      <w:divBdr>
        <w:top w:val="none" w:sz="0" w:space="0" w:color="auto"/>
        <w:left w:val="none" w:sz="0" w:space="0" w:color="auto"/>
        <w:bottom w:val="none" w:sz="0" w:space="0" w:color="auto"/>
        <w:right w:val="none" w:sz="0" w:space="0" w:color="auto"/>
      </w:divBdr>
    </w:div>
    <w:div w:id="990790514">
      <w:bodyDiv w:val="1"/>
      <w:marLeft w:val="0"/>
      <w:marRight w:val="0"/>
      <w:marTop w:val="0"/>
      <w:marBottom w:val="0"/>
      <w:divBdr>
        <w:top w:val="none" w:sz="0" w:space="0" w:color="auto"/>
        <w:left w:val="none" w:sz="0" w:space="0" w:color="auto"/>
        <w:bottom w:val="none" w:sz="0" w:space="0" w:color="auto"/>
        <w:right w:val="none" w:sz="0" w:space="0" w:color="auto"/>
      </w:divBdr>
    </w:div>
    <w:div w:id="992486467">
      <w:bodyDiv w:val="1"/>
      <w:marLeft w:val="0"/>
      <w:marRight w:val="0"/>
      <w:marTop w:val="0"/>
      <w:marBottom w:val="0"/>
      <w:divBdr>
        <w:top w:val="none" w:sz="0" w:space="0" w:color="auto"/>
        <w:left w:val="none" w:sz="0" w:space="0" w:color="auto"/>
        <w:bottom w:val="none" w:sz="0" w:space="0" w:color="auto"/>
        <w:right w:val="none" w:sz="0" w:space="0" w:color="auto"/>
      </w:divBdr>
    </w:div>
    <w:div w:id="993723399">
      <w:bodyDiv w:val="1"/>
      <w:marLeft w:val="0"/>
      <w:marRight w:val="0"/>
      <w:marTop w:val="0"/>
      <w:marBottom w:val="0"/>
      <w:divBdr>
        <w:top w:val="none" w:sz="0" w:space="0" w:color="auto"/>
        <w:left w:val="none" w:sz="0" w:space="0" w:color="auto"/>
        <w:bottom w:val="none" w:sz="0" w:space="0" w:color="auto"/>
        <w:right w:val="none" w:sz="0" w:space="0" w:color="auto"/>
      </w:divBdr>
    </w:div>
    <w:div w:id="993723882">
      <w:bodyDiv w:val="1"/>
      <w:marLeft w:val="0"/>
      <w:marRight w:val="0"/>
      <w:marTop w:val="0"/>
      <w:marBottom w:val="0"/>
      <w:divBdr>
        <w:top w:val="none" w:sz="0" w:space="0" w:color="auto"/>
        <w:left w:val="none" w:sz="0" w:space="0" w:color="auto"/>
        <w:bottom w:val="none" w:sz="0" w:space="0" w:color="auto"/>
        <w:right w:val="none" w:sz="0" w:space="0" w:color="auto"/>
      </w:divBdr>
    </w:div>
    <w:div w:id="995036604">
      <w:bodyDiv w:val="1"/>
      <w:marLeft w:val="0"/>
      <w:marRight w:val="0"/>
      <w:marTop w:val="0"/>
      <w:marBottom w:val="0"/>
      <w:divBdr>
        <w:top w:val="none" w:sz="0" w:space="0" w:color="auto"/>
        <w:left w:val="none" w:sz="0" w:space="0" w:color="auto"/>
        <w:bottom w:val="none" w:sz="0" w:space="0" w:color="auto"/>
        <w:right w:val="none" w:sz="0" w:space="0" w:color="auto"/>
      </w:divBdr>
    </w:div>
    <w:div w:id="996029642">
      <w:bodyDiv w:val="1"/>
      <w:marLeft w:val="0"/>
      <w:marRight w:val="0"/>
      <w:marTop w:val="0"/>
      <w:marBottom w:val="0"/>
      <w:divBdr>
        <w:top w:val="none" w:sz="0" w:space="0" w:color="auto"/>
        <w:left w:val="none" w:sz="0" w:space="0" w:color="auto"/>
        <w:bottom w:val="none" w:sz="0" w:space="0" w:color="auto"/>
        <w:right w:val="none" w:sz="0" w:space="0" w:color="auto"/>
      </w:divBdr>
    </w:div>
    <w:div w:id="996809231">
      <w:bodyDiv w:val="1"/>
      <w:marLeft w:val="0"/>
      <w:marRight w:val="0"/>
      <w:marTop w:val="0"/>
      <w:marBottom w:val="0"/>
      <w:divBdr>
        <w:top w:val="none" w:sz="0" w:space="0" w:color="auto"/>
        <w:left w:val="none" w:sz="0" w:space="0" w:color="auto"/>
        <w:bottom w:val="none" w:sz="0" w:space="0" w:color="auto"/>
        <w:right w:val="none" w:sz="0" w:space="0" w:color="auto"/>
      </w:divBdr>
    </w:div>
    <w:div w:id="997420396">
      <w:bodyDiv w:val="1"/>
      <w:marLeft w:val="0"/>
      <w:marRight w:val="0"/>
      <w:marTop w:val="0"/>
      <w:marBottom w:val="0"/>
      <w:divBdr>
        <w:top w:val="none" w:sz="0" w:space="0" w:color="auto"/>
        <w:left w:val="none" w:sz="0" w:space="0" w:color="auto"/>
        <w:bottom w:val="none" w:sz="0" w:space="0" w:color="auto"/>
        <w:right w:val="none" w:sz="0" w:space="0" w:color="auto"/>
      </w:divBdr>
    </w:div>
    <w:div w:id="997535777">
      <w:bodyDiv w:val="1"/>
      <w:marLeft w:val="0"/>
      <w:marRight w:val="0"/>
      <w:marTop w:val="0"/>
      <w:marBottom w:val="0"/>
      <w:divBdr>
        <w:top w:val="none" w:sz="0" w:space="0" w:color="auto"/>
        <w:left w:val="none" w:sz="0" w:space="0" w:color="auto"/>
        <w:bottom w:val="none" w:sz="0" w:space="0" w:color="auto"/>
        <w:right w:val="none" w:sz="0" w:space="0" w:color="auto"/>
      </w:divBdr>
    </w:div>
    <w:div w:id="999381364">
      <w:bodyDiv w:val="1"/>
      <w:marLeft w:val="0"/>
      <w:marRight w:val="0"/>
      <w:marTop w:val="0"/>
      <w:marBottom w:val="0"/>
      <w:divBdr>
        <w:top w:val="none" w:sz="0" w:space="0" w:color="auto"/>
        <w:left w:val="none" w:sz="0" w:space="0" w:color="auto"/>
        <w:bottom w:val="none" w:sz="0" w:space="0" w:color="auto"/>
        <w:right w:val="none" w:sz="0" w:space="0" w:color="auto"/>
      </w:divBdr>
    </w:div>
    <w:div w:id="1003969837">
      <w:bodyDiv w:val="1"/>
      <w:marLeft w:val="0"/>
      <w:marRight w:val="0"/>
      <w:marTop w:val="0"/>
      <w:marBottom w:val="0"/>
      <w:divBdr>
        <w:top w:val="none" w:sz="0" w:space="0" w:color="auto"/>
        <w:left w:val="none" w:sz="0" w:space="0" w:color="auto"/>
        <w:bottom w:val="none" w:sz="0" w:space="0" w:color="auto"/>
        <w:right w:val="none" w:sz="0" w:space="0" w:color="auto"/>
      </w:divBdr>
    </w:div>
    <w:div w:id="1004166257">
      <w:bodyDiv w:val="1"/>
      <w:marLeft w:val="0"/>
      <w:marRight w:val="0"/>
      <w:marTop w:val="0"/>
      <w:marBottom w:val="0"/>
      <w:divBdr>
        <w:top w:val="none" w:sz="0" w:space="0" w:color="auto"/>
        <w:left w:val="none" w:sz="0" w:space="0" w:color="auto"/>
        <w:bottom w:val="none" w:sz="0" w:space="0" w:color="auto"/>
        <w:right w:val="none" w:sz="0" w:space="0" w:color="auto"/>
      </w:divBdr>
    </w:div>
    <w:div w:id="1004430356">
      <w:bodyDiv w:val="1"/>
      <w:marLeft w:val="0"/>
      <w:marRight w:val="0"/>
      <w:marTop w:val="0"/>
      <w:marBottom w:val="0"/>
      <w:divBdr>
        <w:top w:val="none" w:sz="0" w:space="0" w:color="auto"/>
        <w:left w:val="none" w:sz="0" w:space="0" w:color="auto"/>
        <w:bottom w:val="none" w:sz="0" w:space="0" w:color="auto"/>
        <w:right w:val="none" w:sz="0" w:space="0" w:color="auto"/>
      </w:divBdr>
    </w:div>
    <w:div w:id="1006251726">
      <w:bodyDiv w:val="1"/>
      <w:marLeft w:val="0"/>
      <w:marRight w:val="0"/>
      <w:marTop w:val="0"/>
      <w:marBottom w:val="0"/>
      <w:divBdr>
        <w:top w:val="none" w:sz="0" w:space="0" w:color="auto"/>
        <w:left w:val="none" w:sz="0" w:space="0" w:color="auto"/>
        <w:bottom w:val="none" w:sz="0" w:space="0" w:color="auto"/>
        <w:right w:val="none" w:sz="0" w:space="0" w:color="auto"/>
      </w:divBdr>
    </w:div>
    <w:div w:id="1008219932">
      <w:bodyDiv w:val="1"/>
      <w:marLeft w:val="0"/>
      <w:marRight w:val="0"/>
      <w:marTop w:val="0"/>
      <w:marBottom w:val="0"/>
      <w:divBdr>
        <w:top w:val="none" w:sz="0" w:space="0" w:color="auto"/>
        <w:left w:val="none" w:sz="0" w:space="0" w:color="auto"/>
        <w:bottom w:val="none" w:sz="0" w:space="0" w:color="auto"/>
        <w:right w:val="none" w:sz="0" w:space="0" w:color="auto"/>
      </w:divBdr>
    </w:div>
    <w:div w:id="1009258919">
      <w:bodyDiv w:val="1"/>
      <w:marLeft w:val="0"/>
      <w:marRight w:val="0"/>
      <w:marTop w:val="0"/>
      <w:marBottom w:val="0"/>
      <w:divBdr>
        <w:top w:val="none" w:sz="0" w:space="0" w:color="auto"/>
        <w:left w:val="none" w:sz="0" w:space="0" w:color="auto"/>
        <w:bottom w:val="none" w:sz="0" w:space="0" w:color="auto"/>
        <w:right w:val="none" w:sz="0" w:space="0" w:color="auto"/>
      </w:divBdr>
    </w:div>
    <w:div w:id="1009872819">
      <w:bodyDiv w:val="1"/>
      <w:marLeft w:val="0"/>
      <w:marRight w:val="0"/>
      <w:marTop w:val="0"/>
      <w:marBottom w:val="0"/>
      <w:divBdr>
        <w:top w:val="none" w:sz="0" w:space="0" w:color="auto"/>
        <w:left w:val="none" w:sz="0" w:space="0" w:color="auto"/>
        <w:bottom w:val="none" w:sz="0" w:space="0" w:color="auto"/>
        <w:right w:val="none" w:sz="0" w:space="0" w:color="auto"/>
      </w:divBdr>
    </w:div>
    <w:div w:id="1015688299">
      <w:bodyDiv w:val="1"/>
      <w:marLeft w:val="0"/>
      <w:marRight w:val="0"/>
      <w:marTop w:val="0"/>
      <w:marBottom w:val="0"/>
      <w:divBdr>
        <w:top w:val="none" w:sz="0" w:space="0" w:color="auto"/>
        <w:left w:val="none" w:sz="0" w:space="0" w:color="auto"/>
        <w:bottom w:val="none" w:sz="0" w:space="0" w:color="auto"/>
        <w:right w:val="none" w:sz="0" w:space="0" w:color="auto"/>
      </w:divBdr>
    </w:div>
    <w:div w:id="1016495633">
      <w:bodyDiv w:val="1"/>
      <w:marLeft w:val="0"/>
      <w:marRight w:val="0"/>
      <w:marTop w:val="0"/>
      <w:marBottom w:val="0"/>
      <w:divBdr>
        <w:top w:val="none" w:sz="0" w:space="0" w:color="auto"/>
        <w:left w:val="none" w:sz="0" w:space="0" w:color="auto"/>
        <w:bottom w:val="none" w:sz="0" w:space="0" w:color="auto"/>
        <w:right w:val="none" w:sz="0" w:space="0" w:color="auto"/>
      </w:divBdr>
    </w:div>
    <w:div w:id="1017855613">
      <w:bodyDiv w:val="1"/>
      <w:marLeft w:val="0"/>
      <w:marRight w:val="0"/>
      <w:marTop w:val="0"/>
      <w:marBottom w:val="0"/>
      <w:divBdr>
        <w:top w:val="none" w:sz="0" w:space="0" w:color="auto"/>
        <w:left w:val="none" w:sz="0" w:space="0" w:color="auto"/>
        <w:bottom w:val="none" w:sz="0" w:space="0" w:color="auto"/>
        <w:right w:val="none" w:sz="0" w:space="0" w:color="auto"/>
      </w:divBdr>
    </w:div>
    <w:div w:id="1018240344">
      <w:bodyDiv w:val="1"/>
      <w:marLeft w:val="0"/>
      <w:marRight w:val="0"/>
      <w:marTop w:val="0"/>
      <w:marBottom w:val="0"/>
      <w:divBdr>
        <w:top w:val="none" w:sz="0" w:space="0" w:color="auto"/>
        <w:left w:val="none" w:sz="0" w:space="0" w:color="auto"/>
        <w:bottom w:val="none" w:sz="0" w:space="0" w:color="auto"/>
        <w:right w:val="none" w:sz="0" w:space="0" w:color="auto"/>
      </w:divBdr>
    </w:div>
    <w:div w:id="1018580388">
      <w:bodyDiv w:val="1"/>
      <w:marLeft w:val="0"/>
      <w:marRight w:val="0"/>
      <w:marTop w:val="0"/>
      <w:marBottom w:val="0"/>
      <w:divBdr>
        <w:top w:val="none" w:sz="0" w:space="0" w:color="auto"/>
        <w:left w:val="none" w:sz="0" w:space="0" w:color="auto"/>
        <w:bottom w:val="none" w:sz="0" w:space="0" w:color="auto"/>
        <w:right w:val="none" w:sz="0" w:space="0" w:color="auto"/>
      </w:divBdr>
    </w:div>
    <w:div w:id="1019232192">
      <w:bodyDiv w:val="1"/>
      <w:marLeft w:val="0"/>
      <w:marRight w:val="0"/>
      <w:marTop w:val="0"/>
      <w:marBottom w:val="0"/>
      <w:divBdr>
        <w:top w:val="none" w:sz="0" w:space="0" w:color="auto"/>
        <w:left w:val="none" w:sz="0" w:space="0" w:color="auto"/>
        <w:bottom w:val="none" w:sz="0" w:space="0" w:color="auto"/>
        <w:right w:val="none" w:sz="0" w:space="0" w:color="auto"/>
      </w:divBdr>
    </w:div>
    <w:div w:id="1021859721">
      <w:bodyDiv w:val="1"/>
      <w:marLeft w:val="0"/>
      <w:marRight w:val="0"/>
      <w:marTop w:val="0"/>
      <w:marBottom w:val="0"/>
      <w:divBdr>
        <w:top w:val="none" w:sz="0" w:space="0" w:color="auto"/>
        <w:left w:val="none" w:sz="0" w:space="0" w:color="auto"/>
        <w:bottom w:val="none" w:sz="0" w:space="0" w:color="auto"/>
        <w:right w:val="none" w:sz="0" w:space="0" w:color="auto"/>
      </w:divBdr>
    </w:div>
    <w:div w:id="1023018740">
      <w:bodyDiv w:val="1"/>
      <w:marLeft w:val="0"/>
      <w:marRight w:val="0"/>
      <w:marTop w:val="0"/>
      <w:marBottom w:val="0"/>
      <w:divBdr>
        <w:top w:val="none" w:sz="0" w:space="0" w:color="auto"/>
        <w:left w:val="none" w:sz="0" w:space="0" w:color="auto"/>
        <w:bottom w:val="none" w:sz="0" w:space="0" w:color="auto"/>
        <w:right w:val="none" w:sz="0" w:space="0" w:color="auto"/>
      </w:divBdr>
    </w:div>
    <w:div w:id="1025519778">
      <w:bodyDiv w:val="1"/>
      <w:marLeft w:val="0"/>
      <w:marRight w:val="0"/>
      <w:marTop w:val="0"/>
      <w:marBottom w:val="0"/>
      <w:divBdr>
        <w:top w:val="none" w:sz="0" w:space="0" w:color="auto"/>
        <w:left w:val="none" w:sz="0" w:space="0" w:color="auto"/>
        <w:bottom w:val="none" w:sz="0" w:space="0" w:color="auto"/>
        <w:right w:val="none" w:sz="0" w:space="0" w:color="auto"/>
      </w:divBdr>
    </w:div>
    <w:div w:id="1025522925">
      <w:bodyDiv w:val="1"/>
      <w:marLeft w:val="0"/>
      <w:marRight w:val="0"/>
      <w:marTop w:val="0"/>
      <w:marBottom w:val="0"/>
      <w:divBdr>
        <w:top w:val="none" w:sz="0" w:space="0" w:color="auto"/>
        <w:left w:val="none" w:sz="0" w:space="0" w:color="auto"/>
        <w:bottom w:val="none" w:sz="0" w:space="0" w:color="auto"/>
        <w:right w:val="none" w:sz="0" w:space="0" w:color="auto"/>
      </w:divBdr>
    </w:div>
    <w:div w:id="1026175806">
      <w:bodyDiv w:val="1"/>
      <w:marLeft w:val="0"/>
      <w:marRight w:val="0"/>
      <w:marTop w:val="0"/>
      <w:marBottom w:val="0"/>
      <w:divBdr>
        <w:top w:val="none" w:sz="0" w:space="0" w:color="auto"/>
        <w:left w:val="none" w:sz="0" w:space="0" w:color="auto"/>
        <w:bottom w:val="none" w:sz="0" w:space="0" w:color="auto"/>
        <w:right w:val="none" w:sz="0" w:space="0" w:color="auto"/>
      </w:divBdr>
    </w:div>
    <w:div w:id="1026910454">
      <w:bodyDiv w:val="1"/>
      <w:marLeft w:val="0"/>
      <w:marRight w:val="0"/>
      <w:marTop w:val="0"/>
      <w:marBottom w:val="0"/>
      <w:divBdr>
        <w:top w:val="none" w:sz="0" w:space="0" w:color="auto"/>
        <w:left w:val="none" w:sz="0" w:space="0" w:color="auto"/>
        <w:bottom w:val="none" w:sz="0" w:space="0" w:color="auto"/>
        <w:right w:val="none" w:sz="0" w:space="0" w:color="auto"/>
      </w:divBdr>
    </w:div>
    <w:div w:id="1028869245">
      <w:bodyDiv w:val="1"/>
      <w:marLeft w:val="0"/>
      <w:marRight w:val="0"/>
      <w:marTop w:val="0"/>
      <w:marBottom w:val="0"/>
      <w:divBdr>
        <w:top w:val="none" w:sz="0" w:space="0" w:color="auto"/>
        <w:left w:val="none" w:sz="0" w:space="0" w:color="auto"/>
        <w:bottom w:val="none" w:sz="0" w:space="0" w:color="auto"/>
        <w:right w:val="none" w:sz="0" w:space="0" w:color="auto"/>
      </w:divBdr>
    </w:div>
    <w:div w:id="1028877362">
      <w:bodyDiv w:val="1"/>
      <w:marLeft w:val="0"/>
      <w:marRight w:val="0"/>
      <w:marTop w:val="0"/>
      <w:marBottom w:val="0"/>
      <w:divBdr>
        <w:top w:val="none" w:sz="0" w:space="0" w:color="auto"/>
        <w:left w:val="none" w:sz="0" w:space="0" w:color="auto"/>
        <w:bottom w:val="none" w:sz="0" w:space="0" w:color="auto"/>
        <w:right w:val="none" w:sz="0" w:space="0" w:color="auto"/>
      </w:divBdr>
    </w:div>
    <w:div w:id="1029378424">
      <w:bodyDiv w:val="1"/>
      <w:marLeft w:val="0"/>
      <w:marRight w:val="0"/>
      <w:marTop w:val="0"/>
      <w:marBottom w:val="0"/>
      <w:divBdr>
        <w:top w:val="none" w:sz="0" w:space="0" w:color="auto"/>
        <w:left w:val="none" w:sz="0" w:space="0" w:color="auto"/>
        <w:bottom w:val="none" w:sz="0" w:space="0" w:color="auto"/>
        <w:right w:val="none" w:sz="0" w:space="0" w:color="auto"/>
      </w:divBdr>
    </w:div>
    <w:div w:id="1030913354">
      <w:bodyDiv w:val="1"/>
      <w:marLeft w:val="0"/>
      <w:marRight w:val="0"/>
      <w:marTop w:val="0"/>
      <w:marBottom w:val="0"/>
      <w:divBdr>
        <w:top w:val="none" w:sz="0" w:space="0" w:color="auto"/>
        <w:left w:val="none" w:sz="0" w:space="0" w:color="auto"/>
        <w:bottom w:val="none" w:sz="0" w:space="0" w:color="auto"/>
        <w:right w:val="none" w:sz="0" w:space="0" w:color="auto"/>
      </w:divBdr>
    </w:div>
    <w:div w:id="1031955773">
      <w:bodyDiv w:val="1"/>
      <w:marLeft w:val="0"/>
      <w:marRight w:val="0"/>
      <w:marTop w:val="0"/>
      <w:marBottom w:val="0"/>
      <w:divBdr>
        <w:top w:val="none" w:sz="0" w:space="0" w:color="auto"/>
        <w:left w:val="none" w:sz="0" w:space="0" w:color="auto"/>
        <w:bottom w:val="none" w:sz="0" w:space="0" w:color="auto"/>
        <w:right w:val="none" w:sz="0" w:space="0" w:color="auto"/>
      </w:divBdr>
    </w:div>
    <w:div w:id="1033918854">
      <w:bodyDiv w:val="1"/>
      <w:marLeft w:val="0"/>
      <w:marRight w:val="0"/>
      <w:marTop w:val="0"/>
      <w:marBottom w:val="0"/>
      <w:divBdr>
        <w:top w:val="none" w:sz="0" w:space="0" w:color="auto"/>
        <w:left w:val="none" w:sz="0" w:space="0" w:color="auto"/>
        <w:bottom w:val="none" w:sz="0" w:space="0" w:color="auto"/>
        <w:right w:val="none" w:sz="0" w:space="0" w:color="auto"/>
      </w:divBdr>
    </w:div>
    <w:div w:id="1035698010">
      <w:bodyDiv w:val="1"/>
      <w:marLeft w:val="0"/>
      <w:marRight w:val="0"/>
      <w:marTop w:val="0"/>
      <w:marBottom w:val="0"/>
      <w:divBdr>
        <w:top w:val="none" w:sz="0" w:space="0" w:color="auto"/>
        <w:left w:val="none" w:sz="0" w:space="0" w:color="auto"/>
        <w:bottom w:val="none" w:sz="0" w:space="0" w:color="auto"/>
        <w:right w:val="none" w:sz="0" w:space="0" w:color="auto"/>
      </w:divBdr>
    </w:div>
    <w:div w:id="1036153042">
      <w:bodyDiv w:val="1"/>
      <w:marLeft w:val="0"/>
      <w:marRight w:val="0"/>
      <w:marTop w:val="0"/>
      <w:marBottom w:val="0"/>
      <w:divBdr>
        <w:top w:val="none" w:sz="0" w:space="0" w:color="auto"/>
        <w:left w:val="none" w:sz="0" w:space="0" w:color="auto"/>
        <w:bottom w:val="none" w:sz="0" w:space="0" w:color="auto"/>
        <w:right w:val="none" w:sz="0" w:space="0" w:color="auto"/>
      </w:divBdr>
    </w:div>
    <w:div w:id="1036320789">
      <w:bodyDiv w:val="1"/>
      <w:marLeft w:val="0"/>
      <w:marRight w:val="0"/>
      <w:marTop w:val="0"/>
      <w:marBottom w:val="0"/>
      <w:divBdr>
        <w:top w:val="none" w:sz="0" w:space="0" w:color="auto"/>
        <w:left w:val="none" w:sz="0" w:space="0" w:color="auto"/>
        <w:bottom w:val="none" w:sz="0" w:space="0" w:color="auto"/>
        <w:right w:val="none" w:sz="0" w:space="0" w:color="auto"/>
      </w:divBdr>
    </w:div>
    <w:div w:id="1037436557">
      <w:bodyDiv w:val="1"/>
      <w:marLeft w:val="0"/>
      <w:marRight w:val="0"/>
      <w:marTop w:val="0"/>
      <w:marBottom w:val="0"/>
      <w:divBdr>
        <w:top w:val="none" w:sz="0" w:space="0" w:color="auto"/>
        <w:left w:val="none" w:sz="0" w:space="0" w:color="auto"/>
        <w:bottom w:val="none" w:sz="0" w:space="0" w:color="auto"/>
        <w:right w:val="none" w:sz="0" w:space="0" w:color="auto"/>
      </w:divBdr>
    </w:div>
    <w:div w:id="1037701561">
      <w:bodyDiv w:val="1"/>
      <w:marLeft w:val="0"/>
      <w:marRight w:val="0"/>
      <w:marTop w:val="0"/>
      <w:marBottom w:val="0"/>
      <w:divBdr>
        <w:top w:val="none" w:sz="0" w:space="0" w:color="auto"/>
        <w:left w:val="none" w:sz="0" w:space="0" w:color="auto"/>
        <w:bottom w:val="none" w:sz="0" w:space="0" w:color="auto"/>
        <w:right w:val="none" w:sz="0" w:space="0" w:color="auto"/>
      </w:divBdr>
    </w:div>
    <w:div w:id="1038242957">
      <w:bodyDiv w:val="1"/>
      <w:marLeft w:val="0"/>
      <w:marRight w:val="0"/>
      <w:marTop w:val="0"/>
      <w:marBottom w:val="0"/>
      <w:divBdr>
        <w:top w:val="none" w:sz="0" w:space="0" w:color="auto"/>
        <w:left w:val="none" w:sz="0" w:space="0" w:color="auto"/>
        <w:bottom w:val="none" w:sz="0" w:space="0" w:color="auto"/>
        <w:right w:val="none" w:sz="0" w:space="0" w:color="auto"/>
      </w:divBdr>
    </w:div>
    <w:div w:id="1039664939">
      <w:bodyDiv w:val="1"/>
      <w:marLeft w:val="0"/>
      <w:marRight w:val="0"/>
      <w:marTop w:val="0"/>
      <w:marBottom w:val="0"/>
      <w:divBdr>
        <w:top w:val="none" w:sz="0" w:space="0" w:color="auto"/>
        <w:left w:val="none" w:sz="0" w:space="0" w:color="auto"/>
        <w:bottom w:val="none" w:sz="0" w:space="0" w:color="auto"/>
        <w:right w:val="none" w:sz="0" w:space="0" w:color="auto"/>
      </w:divBdr>
    </w:div>
    <w:div w:id="1041319363">
      <w:bodyDiv w:val="1"/>
      <w:marLeft w:val="0"/>
      <w:marRight w:val="0"/>
      <w:marTop w:val="0"/>
      <w:marBottom w:val="0"/>
      <w:divBdr>
        <w:top w:val="none" w:sz="0" w:space="0" w:color="auto"/>
        <w:left w:val="none" w:sz="0" w:space="0" w:color="auto"/>
        <w:bottom w:val="none" w:sz="0" w:space="0" w:color="auto"/>
        <w:right w:val="none" w:sz="0" w:space="0" w:color="auto"/>
      </w:divBdr>
    </w:div>
    <w:div w:id="1042095809">
      <w:bodyDiv w:val="1"/>
      <w:marLeft w:val="0"/>
      <w:marRight w:val="0"/>
      <w:marTop w:val="0"/>
      <w:marBottom w:val="0"/>
      <w:divBdr>
        <w:top w:val="none" w:sz="0" w:space="0" w:color="auto"/>
        <w:left w:val="none" w:sz="0" w:space="0" w:color="auto"/>
        <w:bottom w:val="none" w:sz="0" w:space="0" w:color="auto"/>
        <w:right w:val="none" w:sz="0" w:space="0" w:color="auto"/>
      </w:divBdr>
    </w:div>
    <w:div w:id="1043753486">
      <w:bodyDiv w:val="1"/>
      <w:marLeft w:val="0"/>
      <w:marRight w:val="0"/>
      <w:marTop w:val="0"/>
      <w:marBottom w:val="0"/>
      <w:divBdr>
        <w:top w:val="none" w:sz="0" w:space="0" w:color="auto"/>
        <w:left w:val="none" w:sz="0" w:space="0" w:color="auto"/>
        <w:bottom w:val="none" w:sz="0" w:space="0" w:color="auto"/>
        <w:right w:val="none" w:sz="0" w:space="0" w:color="auto"/>
      </w:divBdr>
    </w:div>
    <w:div w:id="1044717021">
      <w:bodyDiv w:val="1"/>
      <w:marLeft w:val="0"/>
      <w:marRight w:val="0"/>
      <w:marTop w:val="0"/>
      <w:marBottom w:val="0"/>
      <w:divBdr>
        <w:top w:val="none" w:sz="0" w:space="0" w:color="auto"/>
        <w:left w:val="none" w:sz="0" w:space="0" w:color="auto"/>
        <w:bottom w:val="none" w:sz="0" w:space="0" w:color="auto"/>
        <w:right w:val="none" w:sz="0" w:space="0" w:color="auto"/>
      </w:divBdr>
    </w:div>
    <w:div w:id="1046217404">
      <w:bodyDiv w:val="1"/>
      <w:marLeft w:val="0"/>
      <w:marRight w:val="0"/>
      <w:marTop w:val="0"/>
      <w:marBottom w:val="0"/>
      <w:divBdr>
        <w:top w:val="none" w:sz="0" w:space="0" w:color="auto"/>
        <w:left w:val="none" w:sz="0" w:space="0" w:color="auto"/>
        <w:bottom w:val="none" w:sz="0" w:space="0" w:color="auto"/>
        <w:right w:val="none" w:sz="0" w:space="0" w:color="auto"/>
      </w:divBdr>
    </w:div>
    <w:div w:id="1046442832">
      <w:bodyDiv w:val="1"/>
      <w:marLeft w:val="0"/>
      <w:marRight w:val="0"/>
      <w:marTop w:val="0"/>
      <w:marBottom w:val="0"/>
      <w:divBdr>
        <w:top w:val="none" w:sz="0" w:space="0" w:color="auto"/>
        <w:left w:val="none" w:sz="0" w:space="0" w:color="auto"/>
        <w:bottom w:val="none" w:sz="0" w:space="0" w:color="auto"/>
        <w:right w:val="none" w:sz="0" w:space="0" w:color="auto"/>
      </w:divBdr>
    </w:div>
    <w:div w:id="1048258348">
      <w:bodyDiv w:val="1"/>
      <w:marLeft w:val="0"/>
      <w:marRight w:val="0"/>
      <w:marTop w:val="0"/>
      <w:marBottom w:val="0"/>
      <w:divBdr>
        <w:top w:val="none" w:sz="0" w:space="0" w:color="auto"/>
        <w:left w:val="none" w:sz="0" w:space="0" w:color="auto"/>
        <w:bottom w:val="none" w:sz="0" w:space="0" w:color="auto"/>
        <w:right w:val="none" w:sz="0" w:space="0" w:color="auto"/>
      </w:divBdr>
    </w:div>
    <w:div w:id="1048341341">
      <w:bodyDiv w:val="1"/>
      <w:marLeft w:val="0"/>
      <w:marRight w:val="0"/>
      <w:marTop w:val="0"/>
      <w:marBottom w:val="0"/>
      <w:divBdr>
        <w:top w:val="none" w:sz="0" w:space="0" w:color="auto"/>
        <w:left w:val="none" w:sz="0" w:space="0" w:color="auto"/>
        <w:bottom w:val="none" w:sz="0" w:space="0" w:color="auto"/>
        <w:right w:val="none" w:sz="0" w:space="0" w:color="auto"/>
      </w:divBdr>
    </w:div>
    <w:div w:id="1049455024">
      <w:bodyDiv w:val="1"/>
      <w:marLeft w:val="0"/>
      <w:marRight w:val="0"/>
      <w:marTop w:val="0"/>
      <w:marBottom w:val="0"/>
      <w:divBdr>
        <w:top w:val="none" w:sz="0" w:space="0" w:color="auto"/>
        <w:left w:val="none" w:sz="0" w:space="0" w:color="auto"/>
        <w:bottom w:val="none" w:sz="0" w:space="0" w:color="auto"/>
        <w:right w:val="none" w:sz="0" w:space="0" w:color="auto"/>
      </w:divBdr>
    </w:div>
    <w:div w:id="1052534786">
      <w:bodyDiv w:val="1"/>
      <w:marLeft w:val="0"/>
      <w:marRight w:val="0"/>
      <w:marTop w:val="0"/>
      <w:marBottom w:val="0"/>
      <w:divBdr>
        <w:top w:val="none" w:sz="0" w:space="0" w:color="auto"/>
        <w:left w:val="none" w:sz="0" w:space="0" w:color="auto"/>
        <w:bottom w:val="none" w:sz="0" w:space="0" w:color="auto"/>
        <w:right w:val="none" w:sz="0" w:space="0" w:color="auto"/>
      </w:divBdr>
    </w:div>
    <w:div w:id="1052924651">
      <w:bodyDiv w:val="1"/>
      <w:marLeft w:val="0"/>
      <w:marRight w:val="0"/>
      <w:marTop w:val="0"/>
      <w:marBottom w:val="0"/>
      <w:divBdr>
        <w:top w:val="none" w:sz="0" w:space="0" w:color="auto"/>
        <w:left w:val="none" w:sz="0" w:space="0" w:color="auto"/>
        <w:bottom w:val="none" w:sz="0" w:space="0" w:color="auto"/>
        <w:right w:val="none" w:sz="0" w:space="0" w:color="auto"/>
      </w:divBdr>
    </w:div>
    <w:div w:id="1053114748">
      <w:bodyDiv w:val="1"/>
      <w:marLeft w:val="0"/>
      <w:marRight w:val="0"/>
      <w:marTop w:val="0"/>
      <w:marBottom w:val="0"/>
      <w:divBdr>
        <w:top w:val="none" w:sz="0" w:space="0" w:color="auto"/>
        <w:left w:val="none" w:sz="0" w:space="0" w:color="auto"/>
        <w:bottom w:val="none" w:sz="0" w:space="0" w:color="auto"/>
        <w:right w:val="none" w:sz="0" w:space="0" w:color="auto"/>
      </w:divBdr>
    </w:div>
    <w:div w:id="1054694982">
      <w:bodyDiv w:val="1"/>
      <w:marLeft w:val="0"/>
      <w:marRight w:val="0"/>
      <w:marTop w:val="0"/>
      <w:marBottom w:val="0"/>
      <w:divBdr>
        <w:top w:val="none" w:sz="0" w:space="0" w:color="auto"/>
        <w:left w:val="none" w:sz="0" w:space="0" w:color="auto"/>
        <w:bottom w:val="none" w:sz="0" w:space="0" w:color="auto"/>
        <w:right w:val="none" w:sz="0" w:space="0" w:color="auto"/>
      </w:divBdr>
    </w:div>
    <w:div w:id="1054698354">
      <w:bodyDiv w:val="1"/>
      <w:marLeft w:val="0"/>
      <w:marRight w:val="0"/>
      <w:marTop w:val="0"/>
      <w:marBottom w:val="0"/>
      <w:divBdr>
        <w:top w:val="none" w:sz="0" w:space="0" w:color="auto"/>
        <w:left w:val="none" w:sz="0" w:space="0" w:color="auto"/>
        <w:bottom w:val="none" w:sz="0" w:space="0" w:color="auto"/>
        <w:right w:val="none" w:sz="0" w:space="0" w:color="auto"/>
      </w:divBdr>
    </w:div>
    <w:div w:id="1058280519">
      <w:bodyDiv w:val="1"/>
      <w:marLeft w:val="0"/>
      <w:marRight w:val="0"/>
      <w:marTop w:val="0"/>
      <w:marBottom w:val="0"/>
      <w:divBdr>
        <w:top w:val="none" w:sz="0" w:space="0" w:color="auto"/>
        <w:left w:val="none" w:sz="0" w:space="0" w:color="auto"/>
        <w:bottom w:val="none" w:sz="0" w:space="0" w:color="auto"/>
        <w:right w:val="none" w:sz="0" w:space="0" w:color="auto"/>
      </w:divBdr>
    </w:div>
    <w:div w:id="1058941878">
      <w:bodyDiv w:val="1"/>
      <w:marLeft w:val="0"/>
      <w:marRight w:val="0"/>
      <w:marTop w:val="0"/>
      <w:marBottom w:val="0"/>
      <w:divBdr>
        <w:top w:val="none" w:sz="0" w:space="0" w:color="auto"/>
        <w:left w:val="none" w:sz="0" w:space="0" w:color="auto"/>
        <w:bottom w:val="none" w:sz="0" w:space="0" w:color="auto"/>
        <w:right w:val="none" w:sz="0" w:space="0" w:color="auto"/>
      </w:divBdr>
    </w:div>
    <w:div w:id="1059129022">
      <w:bodyDiv w:val="1"/>
      <w:marLeft w:val="0"/>
      <w:marRight w:val="0"/>
      <w:marTop w:val="0"/>
      <w:marBottom w:val="0"/>
      <w:divBdr>
        <w:top w:val="none" w:sz="0" w:space="0" w:color="auto"/>
        <w:left w:val="none" w:sz="0" w:space="0" w:color="auto"/>
        <w:bottom w:val="none" w:sz="0" w:space="0" w:color="auto"/>
        <w:right w:val="none" w:sz="0" w:space="0" w:color="auto"/>
      </w:divBdr>
    </w:div>
    <w:div w:id="1061367517">
      <w:bodyDiv w:val="1"/>
      <w:marLeft w:val="0"/>
      <w:marRight w:val="0"/>
      <w:marTop w:val="0"/>
      <w:marBottom w:val="0"/>
      <w:divBdr>
        <w:top w:val="none" w:sz="0" w:space="0" w:color="auto"/>
        <w:left w:val="none" w:sz="0" w:space="0" w:color="auto"/>
        <w:bottom w:val="none" w:sz="0" w:space="0" w:color="auto"/>
        <w:right w:val="none" w:sz="0" w:space="0" w:color="auto"/>
      </w:divBdr>
    </w:div>
    <w:div w:id="1061514335">
      <w:bodyDiv w:val="1"/>
      <w:marLeft w:val="0"/>
      <w:marRight w:val="0"/>
      <w:marTop w:val="0"/>
      <w:marBottom w:val="0"/>
      <w:divBdr>
        <w:top w:val="none" w:sz="0" w:space="0" w:color="auto"/>
        <w:left w:val="none" w:sz="0" w:space="0" w:color="auto"/>
        <w:bottom w:val="none" w:sz="0" w:space="0" w:color="auto"/>
        <w:right w:val="none" w:sz="0" w:space="0" w:color="auto"/>
      </w:divBdr>
    </w:div>
    <w:div w:id="1062021235">
      <w:bodyDiv w:val="1"/>
      <w:marLeft w:val="0"/>
      <w:marRight w:val="0"/>
      <w:marTop w:val="0"/>
      <w:marBottom w:val="0"/>
      <w:divBdr>
        <w:top w:val="none" w:sz="0" w:space="0" w:color="auto"/>
        <w:left w:val="none" w:sz="0" w:space="0" w:color="auto"/>
        <w:bottom w:val="none" w:sz="0" w:space="0" w:color="auto"/>
        <w:right w:val="none" w:sz="0" w:space="0" w:color="auto"/>
      </w:divBdr>
    </w:div>
    <w:div w:id="1062369599">
      <w:bodyDiv w:val="1"/>
      <w:marLeft w:val="0"/>
      <w:marRight w:val="0"/>
      <w:marTop w:val="0"/>
      <w:marBottom w:val="0"/>
      <w:divBdr>
        <w:top w:val="none" w:sz="0" w:space="0" w:color="auto"/>
        <w:left w:val="none" w:sz="0" w:space="0" w:color="auto"/>
        <w:bottom w:val="none" w:sz="0" w:space="0" w:color="auto"/>
        <w:right w:val="none" w:sz="0" w:space="0" w:color="auto"/>
      </w:divBdr>
    </w:div>
    <w:div w:id="1065228310">
      <w:bodyDiv w:val="1"/>
      <w:marLeft w:val="0"/>
      <w:marRight w:val="0"/>
      <w:marTop w:val="0"/>
      <w:marBottom w:val="0"/>
      <w:divBdr>
        <w:top w:val="none" w:sz="0" w:space="0" w:color="auto"/>
        <w:left w:val="none" w:sz="0" w:space="0" w:color="auto"/>
        <w:bottom w:val="none" w:sz="0" w:space="0" w:color="auto"/>
        <w:right w:val="none" w:sz="0" w:space="0" w:color="auto"/>
      </w:divBdr>
    </w:div>
    <w:div w:id="1065877864">
      <w:bodyDiv w:val="1"/>
      <w:marLeft w:val="0"/>
      <w:marRight w:val="0"/>
      <w:marTop w:val="0"/>
      <w:marBottom w:val="0"/>
      <w:divBdr>
        <w:top w:val="none" w:sz="0" w:space="0" w:color="auto"/>
        <w:left w:val="none" w:sz="0" w:space="0" w:color="auto"/>
        <w:bottom w:val="none" w:sz="0" w:space="0" w:color="auto"/>
        <w:right w:val="none" w:sz="0" w:space="0" w:color="auto"/>
      </w:divBdr>
    </w:div>
    <w:div w:id="1066881460">
      <w:bodyDiv w:val="1"/>
      <w:marLeft w:val="0"/>
      <w:marRight w:val="0"/>
      <w:marTop w:val="0"/>
      <w:marBottom w:val="0"/>
      <w:divBdr>
        <w:top w:val="none" w:sz="0" w:space="0" w:color="auto"/>
        <w:left w:val="none" w:sz="0" w:space="0" w:color="auto"/>
        <w:bottom w:val="none" w:sz="0" w:space="0" w:color="auto"/>
        <w:right w:val="none" w:sz="0" w:space="0" w:color="auto"/>
      </w:divBdr>
    </w:div>
    <w:div w:id="1069117193">
      <w:bodyDiv w:val="1"/>
      <w:marLeft w:val="0"/>
      <w:marRight w:val="0"/>
      <w:marTop w:val="0"/>
      <w:marBottom w:val="0"/>
      <w:divBdr>
        <w:top w:val="none" w:sz="0" w:space="0" w:color="auto"/>
        <w:left w:val="none" w:sz="0" w:space="0" w:color="auto"/>
        <w:bottom w:val="none" w:sz="0" w:space="0" w:color="auto"/>
        <w:right w:val="none" w:sz="0" w:space="0" w:color="auto"/>
      </w:divBdr>
    </w:div>
    <w:div w:id="1070349196">
      <w:bodyDiv w:val="1"/>
      <w:marLeft w:val="0"/>
      <w:marRight w:val="0"/>
      <w:marTop w:val="0"/>
      <w:marBottom w:val="0"/>
      <w:divBdr>
        <w:top w:val="none" w:sz="0" w:space="0" w:color="auto"/>
        <w:left w:val="none" w:sz="0" w:space="0" w:color="auto"/>
        <w:bottom w:val="none" w:sz="0" w:space="0" w:color="auto"/>
        <w:right w:val="none" w:sz="0" w:space="0" w:color="auto"/>
      </w:divBdr>
    </w:div>
    <w:div w:id="1072310124">
      <w:bodyDiv w:val="1"/>
      <w:marLeft w:val="0"/>
      <w:marRight w:val="0"/>
      <w:marTop w:val="0"/>
      <w:marBottom w:val="0"/>
      <w:divBdr>
        <w:top w:val="none" w:sz="0" w:space="0" w:color="auto"/>
        <w:left w:val="none" w:sz="0" w:space="0" w:color="auto"/>
        <w:bottom w:val="none" w:sz="0" w:space="0" w:color="auto"/>
        <w:right w:val="none" w:sz="0" w:space="0" w:color="auto"/>
      </w:divBdr>
    </w:div>
    <w:div w:id="1072628050">
      <w:bodyDiv w:val="1"/>
      <w:marLeft w:val="0"/>
      <w:marRight w:val="0"/>
      <w:marTop w:val="0"/>
      <w:marBottom w:val="0"/>
      <w:divBdr>
        <w:top w:val="none" w:sz="0" w:space="0" w:color="auto"/>
        <w:left w:val="none" w:sz="0" w:space="0" w:color="auto"/>
        <w:bottom w:val="none" w:sz="0" w:space="0" w:color="auto"/>
        <w:right w:val="none" w:sz="0" w:space="0" w:color="auto"/>
      </w:divBdr>
    </w:div>
    <w:div w:id="1075474188">
      <w:bodyDiv w:val="1"/>
      <w:marLeft w:val="0"/>
      <w:marRight w:val="0"/>
      <w:marTop w:val="0"/>
      <w:marBottom w:val="0"/>
      <w:divBdr>
        <w:top w:val="none" w:sz="0" w:space="0" w:color="auto"/>
        <w:left w:val="none" w:sz="0" w:space="0" w:color="auto"/>
        <w:bottom w:val="none" w:sz="0" w:space="0" w:color="auto"/>
        <w:right w:val="none" w:sz="0" w:space="0" w:color="auto"/>
      </w:divBdr>
    </w:div>
    <w:div w:id="1077478940">
      <w:bodyDiv w:val="1"/>
      <w:marLeft w:val="0"/>
      <w:marRight w:val="0"/>
      <w:marTop w:val="0"/>
      <w:marBottom w:val="0"/>
      <w:divBdr>
        <w:top w:val="none" w:sz="0" w:space="0" w:color="auto"/>
        <w:left w:val="none" w:sz="0" w:space="0" w:color="auto"/>
        <w:bottom w:val="none" w:sz="0" w:space="0" w:color="auto"/>
        <w:right w:val="none" w:sz="0" w:space="0" w:color="auto"/>
      </w:divBdr>
    </w:div>
    <w:div w:id="1078288569">
      <w:bodyDiv w:val="1"/>
      <w:marLeft w:val="0"/>
      <w:marRight w:val="0"/>
      <w:marTop w:val="0"/>
      <w:marBottom w:val="0"/>
      <w:divBdr>
        <w:top w:val="none" w:sz="0" w:space="0" w:color="auto"/>
        <w:left w:val="none" w:sz="0" w:space="0" w:color="auto"/>
        <w:bottom w:val="none" w:sz="0" w:space="0" w:color="auto"/>
        <w:right w:val="none" w:sz="0" w:space="0" w:color="auto"/>
      </w:divBdr>
    </w:div>
    <w:div w:id="1078599369">
      <w:bodyDiv w:val="1"/>
      <w:marLeft w:val="0"/>
      <w:marRight w:val="0"/>
      <w:marTop w:val="0"/>
      <w:marBottom w:val="0"/>
      <w:divBdr>
        <w:top w:val="none" w:sz="0" w:space="0" w:color="auto"/>
        <w:left w:val="none" w:sz="0" w:space="0" w:color="auto"/>
        <w:bottom w:val="none" w:sz="0" w:space="0" w:color="auto"/>
        <w:right w:val="none" w:sz="0" w:space="0" w:color="auto"/>
      </w:divBdr>
    </w:div>
    <w:div w:id="1079017107">
      <w:bodyDiv w:val="1"/>
      <w:marLeft w:val="0"/>
      <w:marRight w:val="0"/>
      <w:marTop w:val="0"/>
      <w:marBottom w:val="0"/>
      <w:divBdr>
        <w:top w:val="none" w:sz="0" w:space="0" w:color="auto"/>
        <w:left w:val="none" w:sz="0" w:space="0" w:color="auto"/>
        <w:bottom w:val="none" w:sz="0" w:space="0" w:color="auto"/>
        <w:right w:val="none" w:sz="0" w:space="0" w:color="auto"/>
      </w:divBdr>
    </w:div>
    <w:div w:id="1079062685">
      <w:bodyDiv w:val="1"/>
      <w:marLeft w:val="0"/>
      <w:marRight w:val="0"/>
      <w:marTop w:val="0"/>
      <w:marBottom w:val="0"/>
      <w:divBdr>
        <w:top w:val="none" w:sz="0" w:space="0" w:color="auto"/>
        <w:left w:val="none" w:sz="0" w:space="0" w:color="auto"/>
        <w:bottom w:val="none" w:sz="0" w:space="0" w:color="auto"/>
        <w:right w:val="none" w:sz="0" w:space="0" w:color="auto"/>
      </w:divBdr>
    </w:div>
    <w:div w:id="1079139285">
      <w:bodyDiv w:val="1"/>
      <w:marLeft w:val="0"/>
      <w:marRight w:val="0"/>
      <w:marTop w:val="0"/>
      <w:marBottom w:val="0"/>
      <w:divBdr>
        <w:top w:val="none" w:sz="0" w:space="0" w:color="auto"/>
        <w:left w:val="none" w:sz="0" w:space="0" w:color="auto"/>
        <w:bottom w:val="none" w:sz="0" w:space="0" w:color="auto"/>
        <w:right w:val="none" w:sz="0" w:space="0" w:color="auto"/>
      </w:divBdr>
    </w:div>
    <w:div w:id="1080250954">
      <w:bodyDiv w:val="1"/>
      <w:marLeft w:val="0"/>
      <w:marRight w:val="0"/>
      <w:marTop w:val="0"/>
      <w:marBottom w:val="0"/>
      <w:divBdr>
        <w:top w:val="none" w:sz="0" w:space="0" w:color="auto"/>
        <w:left w:val="none" w:sz="0" w:space="0" w:color="auto"/>
        <w:bottom w:val="none" w:sz="0" w:space="0" w:color="auto"/>
        <w:right w:val="none" w:sz="0" w:space="0" w:color="auto"/>
      </w:divBdr>
    </w:div>
    <w:div w:id="1080327514">
      <w:bodyDiv w:val="1"/>
      <w:marLeft w:val="0"/>
      <w:marRight w:val="0"/>
      <w:marTop w:val="0"/>
      <w:marBottom w:val="0"/>
      <w:divBdr>
        <w:top w:val="none" w:sz="0" w:space="0" w:color="auto"/>
        <w:left w:val="none" w:sz="0" w:space="0" w:color="auto"/>
        <w:bottom w:val="none" w:sz="0" w:space="0" w:color="auto"/>
        <w:right w:val="none" w:sz="0" w:space="0" w:color="auto"/>
      </w:divBdr>
    </w:div>
    <w:div w:id="1080832353">
      <w:bodyDiv w:val="1"/>
      <w:marLeft w:val="0"/>
      <w:marRight w:val="0"/>
      <w:marTop w:val="0"/>
      <w:marBottom w:val="0"/>
      <w:divBdr>
        <w:top w:val="none" w:sz="0" w:space="0" w:color="auto"/>
        <w:left w:val="none" w:sz="0" w:space="0" w:color="auto"/>
        <w:bottom w:val="none" w:sz="0" w:space="0" w:color="auto"/>
        <w:right w:val="none" w:sz="0" w:space="0" w:color="auto"/>
      </w:divBdr>
    </w:div>
    <w:div w:id="1084231299">
      <w:bodyDiv w:val="1"/>
      <w:marLeft w:val="0"/>
      <w:marRight w:val="0"/>
      <w:marTop w:val="0"/>
      <w:marBottom w:val="0"/>
      <w:divBdr>
        <w:top w:val="none" w:sz="0" w:space="0" w:color="auto"/>
        <w:left w:val="none" w:sz="0" w:space="0" w:color="auto"/>
        <w:bottom w:val="none" w:sz="0" w:space="0" w:color="auto"/>
        <w:right w:val="none" w:sz="0" w:space="0" w:color="auto"/>
      </w:divBdr>
    </w:div>
    <w:div w:id="1085617276">
      <w:bodyDiv w:val="1"/>
      <w:marLeft w:val="0"/>
      <w:marRight w:val="0"/>
      <w:marTop w:val="0"/>
      <w:marBottom w:val="0"/>
      <w:divBdr>
        <w:top w:val="none" w:sz="0" w:space="0" w:color="auto"/>
        <w:left w:val="none" w:sz="0" w:space="0" w:color="auto"/>
        <w:bottom w:val="none" w:sz="0" w:space="0" w:color="auto"/>
        <w:right w:val="none" w:sz="0" w:space="0" w:color="auto"/>
      </w:divBdr>
    </w:div>
    <w:div w:id="1085690866">
      <w:bodyDiv w:val="1"/>
      <w:marLeft w:val="0"/>
      <w:marRight w:val="0"/>
      <w:marTop w:val="0"/>
      <w:marBottom w:val="0"/>
      <w:divBdr>
        <w:top w:val="none" w:sz="0" w:space="0" w:color="auto"/>
        <w:left w:val="none" w:sz="0" w:space="0" w:color="auto"/>
        <w:bottom w:val="none" w:sz="0" w:space="0" w:color="auto"/>
        <w:right w:val="none" w:sz="0" w:space="0" w:color="auto"/>
      </w:divBdr>
    </w:div>
    <w:div w:id="1086028874">
      <w:bodyDiv w:val="1"/>
      <w:marLeft w:val="0"/>
      <w:marRight w:val="0"/>
      <w:marTop w:val="0"/>
      <w:marBottom w:val="0"/>
      <w:divBdr>
        <w:top w:val="none" w:sz="0" w:space="0" w:color="auto"/>
        <w:left w:val="none" w:sz="0" w:space="0" w:color="auto"/>
        <w:bottom w:val="none" w:sz="0" w:space="0" w:color="auto"/>
        <w:right w:val="none" w:sz="0" w:space="0" w:color="auto"/>
      </w:divBdr>
    </w:div>
    <w:div w:id="1090662883">
      <w:bodyDiv w:val="1"/>
      <w:marLeft w:val="0"/>
      <w:marRight w:val="0"/>
      <w:marTop w:val="0"/>
      <w:marBottom w:val="0"/>
      <w:divBdr>
        <w:top w:val="none" w:sz="0" w:space="0" w:color="auto"/>
        <w:left w:val="none" w:sz="0" w:space="0" w:color="auto"/>
        <w:bottom w:val="none" w:sz="0" w:space="0" w:color="auto"/>
        <w:right w:val="none" w:sz="0" w:space="0" w:color="auto"/>
      </w:divBdr>
    </w:div>
    <w:div w:id="1090855636">
      <w:bodyDiv w:val="1"/>
      <w:marLeft w:val="0"/>
      <w:marRight w:val="0"/>
      <w:marTop w:val="0"/>
      <w:marBottom w:val="0"/>
      <w:divBdr>
        <w:top w:val="none" w:sz="0" w:space="0" w:color="auto"/>
        <w:left w:val="none" w:sz="0" w:space="0" w:color="auto"/>
        <w:bottom w:val="none" w:sz="0" w:space="0" w:color="auto"/>
        <w:right w:val="none" w:sz="0" w:space="0" w:color="auto"/>
      </w:divBdr>
    </w:div>
    <w:div w:id="1095591424">
      <w:bodyDiv w:val="1"/>
      <w:marLeft w:val="0"/>
      <w:marRight w:val="0"/>
      <w:marTop w:val="0"/>
      <w:marBottom w:val="0"/>
      <w:divBdr>
        <w:top w:val="none" w:sz="0" w:space="0" w:color="auto"/>
        <w:left w:val="none" w:sz="0" w:space="0" w:color="auto"/>
        <w:bottom w:val="none" w:sz="0" w:space="0" w:color="auto"/>
        <w:right w:val="none" w:sz="0" w:space="0" w:color="auto"/>
      </w:divBdr>
    </w:div>
    <w:div w:id="1097675284">
      <w:bodyDiv w:val="1"/>
      <w:marLeft w:val="0"/>
      <w:marRight w:val="0"/>
      <w:marTop w:val="0"/>
      <w:marBottom w:val="0"/>
      <w:divBdr>
        <w:top w:val="none" w:sz="0" w:space="0" w:color="auto"/>
        <w:left w:val="none" w:sz="0" w:space="0" w:color="auto"/>
        <w:bottom w:val="none" w:sz="0" w:space="0" w:color="auto"/>
        <w:right w:val="none" w:sz="0" w:space="0" w:color="auto"/>
      </w:divBdr>
    </w:div>
    <w:div w:id="1098792480">
      <w:bodyDiv w:val="1"/>
      <w:marLeft w:val="0"/>
      <w:marRight w:val="0"/>
      <w:marTop w:val="0"/>
      <w:marBottom w:val="0"/>
      <w:divBdr>
        <w:top w:val="none" w:sz="0" w:space="0" w:color="auto"/>
        <w:left w:val="none" w:sz="0" w:space="0" w:color="auto"/>
        <w:bottom w:val="none" w:sz="0" w:space="0" w:color="auto"/>
        <w:right w:val="none" w:sz="0" w:space="0" w:color="auto"/>
      </w:divBdr>
    </w:div>
    <w:div w:id="1099375786">
      <w:bodyDiv w:val="1"/>
      <w:marLeft w:val="0"/>
      <w:marRight w:val="0"/>
      <w:marTop w:val="0"/>
      <w:marBottom w:val="0"/>
      <w:divBdr>
        <w:top w:val="none" w:sz="0" w:space="0" w:color="auto"/>
        <w:left w:val="none" w:sz="0" w:space="0" w:color="auto"/>
        <w:bottom w:val="none" w:sz="0" w:space="0" w:color="auto"/>
        <w:right w:val="none" w:sz="0" w:space="0" w:color="auto"/>
      </w:divBdr>
    </w:div>
    <w:div w:id="1102382230">
      <w:bodyDiv w:val="1"/>
      <w:marLeft w:val="0"/>
      <w:marRight w:val="0"/>
      <w:marTop w:val="0"/>
      <w:marBottom w:val="0"/>
      <w:divBdr>
        <w:top w:val="none" w:sz="0" w:space="0" w:color="auto"/>
        <w:left w:val="none" w:sz="0" w:space="0" w:color="auto"/>
        <w:bottom w:val="none" w:sz="0" w:space="0" w:color="auto"/>
        <w:right w:val="none" w:sz="0" w:space="0" w:color="auto"/>
      </w:divBdr>
    </w:div>
    <w:div w:id="1102801142">
      <w:bodyDiv w:val="1"/>
      <w:marLeft w:val="0"/>
      <w:marRight w:val="0"/>
      <w:marTop w:val="0"/>
      <w:marBottom w:val="0"/>
      <w:divBdr>
        <w:top w:val="none" w:sz="0" w:space="0" w:color="auto"/>
        <w:left w:val="none" w:sz="0" w:space="0" w:color="auto"/>
        <w:bottom w:val="none" w:sz="0" w:space="0" w:color="auto"/>
        <w:right w:val="none" w:sz="0" w:space="0" w:color="auto"/>
      </w:divBdr>
    </w:div>
    <w:div w:id="1103837219">
      <w:bodyDiv w:val="1"/>
      <w:marLeft w:val="0"/>
      <w:marRight w:val="0"/>
      <w:marTop w:val="0"/>
      <w:marBottom w:val="0"/>
      <w:divBdr>
        <w:top w:val="none" w:sz="0" w:space="0" w:color="auto"/>
        <w:left w:val="none" w:sz="0" w:space="0" w:color="auto"/>
        <w:bottom w:val="none" w:sz="0" w:space="0" w:color="auto"/>
        <w:right w:val="none" w:sz="0" w:space="0" w:color="auto"/>
      </w:divBdr>
    </w:div>
    <w:div w:id="1104224974">
      <w:bodyDiv w:val="1"/>
      <w:marLeft w:val="0"/>
      <w:marRight w:val="0"/>
      <w:marTop w:val="0"/>
      <w:marBottom w:val="0"/>
      <w:divBdr>
        <w:top w:val="none" w:sz="0" w:space="0" w:color="auto"/>
        <w:left w:val="none" w:sz="0" w:space="0" w:color="auto"/>
        <w:bottom w:val="none" w:sz="0" w:space="0" w:color="auto"/>
        <w:right w:val="none" w:sz="0" w:space="0" w:color="auto"/>
      </w:divBdr>
    </w:div>
    <w:div w:id="1104378603">
      <w:bodyDiv w:val="1"/>
      <w:marLeft w:val="0"/>
      <w:marRight w:val="0"/>
      <w:marTop w:val="0"/>
      <w:marBottom w:val="0"/>
      <w:divBdr>
        <w:top w:val="none" w:sz="0" w:space="0" w:color="auto"/>
        <w:left w:val="none" w:sz="0" w:space="0" w:color="auto"/>
        <w:bottom w:val="none" w:sz="0" w:space="0" w:color="auto"/>
        <w:right w:val="none" w:sz="0" w:space="0" w:color="auto"/>
      </w:divBdr>
    </w:div>
    <w:div w:id="1105998433">
      <w:bodyDiv w:val="1"/>
      <w:marLeft w:val="0"/>
      <w:marRight w:val="0"/>
      <w:marTop w:val="0"/>
      <w:marBottom w:val="0"/>
      <w:divBdr>
        <w:top w:val="none" w:sz="0" w:space="0" w:color="auto"/>
        <w:left w:val="none" w:sz="0" w:space="0" w:color="auto"/>
        <w:bottom w:val="none" w:sz="0" w:space="0" w:color="auto"/>
        <w:right w:val="none" w:sz="0" w:space="0" w:color="auto"/>
      </w:divBdr>
    </w:div>
    <w:div w:id="1106652522">
      <w:bodyDiv w:val="1"/>
      <w:marLeft w:val="0"/>
      <w:marRight w:val="0"/>
      <w:marTop w:val="0"/>
      <w:marBottom w:val="0"/>
      <w:divBdr>
        <w:top w:val="none" w:sz="0" w:space="0" w:color="auto"/>
        <w:left w:val="none" w:sz="0" w:space="0" w:color="auto"/>
        <w:bottom w:val="none" w:sz="0" w:space="0" w:color="auto"/>
        <w:right w:val="none" w:sz="0" w:space="0" w:color="auto"/>
      </w:divBdr>
    </w:div>
    <w:div w:id="1107583150">
      <w:bodyDiv w:val="1"/>
      <w:marLeft w:val="0"/>
      <w:marRight w:val="0"/>
      <w:marTop w:val="0"/>
      <w:marBottom w:val="0"/>
      <w:divBdr>
        <w:top w:val="none" w:sz="0" w:space="0" w:color="auto"/>
        <w:left w:val="none" w:sz="0" w:space="0" w:color="auto"/>
        <w:bottom w:val="none" w:sz="0" w:space="0" w:color="auto"/>
        <w:right w:val="none" w:sz="0" w:space="0" w:color="auto"/>
      </w:divBdr>
    </w:div>
    <w:div w:id="1111780713">
      <w:bodyDiv w:val="1"/>
      <w:marLeft w:val="0"/>
      <w:marRight w:val="0"/>
      <w:marTop w:val="0"/>
      <w:marBottom w:val="0"/>
      <w:divBdr>
        <w:top w:val="none" w:sz="0" w:space="0" w:color="auto"/>
        <w:left w:val="none" w:sz="0" w:space="0" w:color="auto"/>
        <w:bottom w:val="none" w:sz="0" w:space="0" w:color="auto"/>
        <w:right w:val="none" w:sz="0" w:space="0" w:color="auto"/>
      </w:divBdr>
    </w:div>
    <w:div w:id="1113671450">
      <w:bodyDiv w:val="1"/>
      <w:marLeft w:val="0"/>
      <w:marRight w:val="0"/>
      <w:marTop w:val="0"/>
      <w:marBottom w:val="0"/>
      <w:divBdr>
        <w:top w:val="none" w:sz="0" w:space="0" w:color="auto"/>
        <w:left w:val="none" w:sz="0" w:space="0" w:color="auto"/>
        <w:bottom w:val="none" w:sz="0" w:space="0" w:color="auto"/>
        <w:right w:val="none" w:sz="0" w:space="0" w:color="auto"/>
      </w:divBdr>
    </w:div>
    <w:div w:id="1114442867">
      <w:bodyDiv w:val="1"/>
      <w:marLeft w:val="0"/>
      <w:marRight w:val="0"/>
      <w:marTop w:val="0"/>
      <w:marBottom w:val="0"/>
      <w:divBdr>
        <w:top w:val="none" w:sz="0" w:space="0" w:color="auto"/>
        <w:left w:val="none" w:sz="0" w:space="0" w:color="auto"/>
        <w:bottom w:val="none" w:sz="0" w:space="0" w:color="auto"/>
        <w:right w:val="none" w:sz="0" w:space="0" w:color="auto"/>
      </w:divBdr>
    </w:div>
    <w:div w:id="1118529537">
      <w:bodyDiv w:val="1"/>
      <w:marLeft w:val="0"/>
      <w:marRight w:val="0"/>
      <w:marTop w:val="0"/>
      <w:marBottom w:val="0"/>
      <w:divBdr>
        <w:top w:val="none" w:sz="0" w:space="0" w:color="auto"/>
        <w:left w:val="none" w:sz="0" w:space="0" w:color="auto"/>
        <w:bottom w:val="none" w:sz="0" w:space="0" w:color="auto"/>
        <w:right w:val="none" w:sz="0" w:space="0" w:color="auto"/>
      </w:divBdr>
    </w:div>
    <w:div w:id="1121845492">
      <w:bodyDiv w:val="1"/>
      <w:marLeft w:val="0"/>
      <w:marRight w:val="0"/>
      <w:marTop w:val="0"/>
      <w:marBottom w:val="0"/>
      <w:divBdr>
        <w:top w:val="none" w:sz="0" w:space="0" w:color="auto"/>
        <w:left w:val="none" w:sz="0" w:space="0" w:color="auto"/>
        <w:bottom w:val="none" w:sz="0" w:space="0" w:color="auto"/>
        <w:right w:val="none" w:sz="0" w:space="0" w:color="auto"/>
      </w:divBdr>
    </w:div>
    <w:div w:id="1122190777">
      <w:bodyDiv w:val="1"/>
      <w:marLeft w:val="0"/>
      <w:marRight w:val="0"/>
      <w:marTop w:val="0"/>
      <w:marBottom w:val="0"/>
      <w:divBdr>
        <w:top w:val="none" w:sz="0" w:space="0" w:color="auto"/>
        <w:left w:val="none" w:sz="0" w:space="0" w:color="auto"/>
        <w:bottom w:val="none" w:sz="0" w:space="0" w:color="auto"/>
        <w:right w:val="none" w:sz="0" w:space="0" w:color="auto"/>
      </w:divBdr>
    </w:div>
    <w:div w:id="1124732209">
      <w:bodyDiv w:val="1"/>
      <w:marLeft w:val="0"/>
      <w:marRight w:val="0"/>
      <w:marTop w:val="0"/>
      <w:marBottom w:val="0"/>
      <w:divBdr>
        <w:top w:val="none" w:sz="0" w:space="0" w:color="auto"/>
        <w:left w:val="none" w:sz="0" w:space="0" w:color="auto"/>
        <w:bottom w:val="none" w:sz="0" w:space="0" w:color="auto"/>
        <w:right w:val="none" w:sz="0" w:space="0" w:color="auto"/>
      </w:divBdr>
    </w:div>
    <w:div w:id="1125387204">
      <w:bodyDiv w:val="1"/>
      <w:marLeft w:val="0"/>
      <w:marRight w:val="0"/>
      <w:marTop w:val="0"/>
      <w:marBottom w:val="0"/>
      <w:divBdr>
        <w:top w:val="none" w:sz="0" w:space="0" w:color="auto"/>
        <w:left w:val="none" w:sz="0" w:space="0" w:color="auto"/>
        <w:bottom w:val="none" w:sz="0" w:space="0" w:color="auto"/>
        <w:right w:val="none" w:sz="0" w:space="0" w:color="auto"/>
      </w:divBdr>
    </w:div>
    <w:div w:id="1127819630">
      <w:bodyDiv w:val="1"/>
      <w:marLeft w:val="0"/>
      <w:marRight w:val="0"/>
      <w:marTop w:val="0"/>
      <w:marBottom w:val="0"/>
      <w:divBdr>
        <w:top w:val="none" w:sz="0" w:space="0" w:color="auto"/>
        <w:left w:val="none" w:sz="0" w:space="0" w:color="auto"/>
        <w:bottom w:val="none" w:sz="0" w:space="0" w:color="auto"/>
        <w:right w:val="none" w:sz="0" w:space="0" w:color="auto"/>
      </w:divBdr>
    </w:div>
    <w:div w:id="1129473069">
      <w:bodyDiv w:val="1"/>
      <w:marLeft w:val="0"/>
      <w:marRight w:val="0"/>
      <w:marTop w:val="0"/>
      <w:marBottom w:val="0"/>
      <w:divBdr>
        <w:top w:val="none" w:sz="0" w:space="0" w:color="auto"/>
        <w:left w:val="none" w:sz="0" w:space="0" w:color="auto"/>
        <w:bottom w:val="none" w:sz="0" w:space="0" w:color="auto"/>
        <w:right w:val="none" w:sz="0" w:space="0" w:color="auto"/>
      </w:divBdr>
    </w:div>
    <w:div w:id="1131633248">
      <w:bodyDiv w:val="1"/>
      <w:marLeft w:val="0"/>
      <w:marRight w:val="0"/>
      <w:marTop w:val="0"/>
      <w:marBottom w:val="0"/>
      <w:divBdr>
        <w:top w:val="none" w:sz="0" w:space="0" w:color="auto"/>
        <w:left w:val="none" w:sz="0" w:space="0" w:color="auto"/>
        <w:bottom w:val="none" w:sz="0" w:space="0" w:color="auto"/>
        <w:right w:val="none" w:sz="0" w:space="0" w:color="auto"/>
      </w:divBdr>
    </w:div>
    <w:div w:id="1133403268">
      <w:bodyDiv w:val="1"/>
      <w:marLeft w:val="0"/>
      <w:marRight w:val="0"/>
      <w:marTop w:val="0"/>
      <w:marBottom w:val="0"/>
      <w:divBdr>
        <w:top w:val="none" w:sz="0" w:space="0" w:color="auto"/>
        <w:left w:val="none" w:sz="0" w:space="0" w:color="auto"/>
        <w:bottom w:val="none" w:sz="0" w:space="0" w:color="auto"/>
        <w:right w:val="none" w:sz="0" w:space="0" w:color="auto"/>
      </w:divBdr>
    </w:div>
    <w:div w:id="1133909900">
      <w:bodyDiv w:val="1"/>
      <w:marLeft w:val="0"/>
      <w:marRight w:val="0"/>
      <w:marTop w:val="0"/>
      <w:marBottom w:val="0"/>
      <w:divBdr>
        <w:top w:val="none" w:sz="0" w:space="0" w:color="auto"/>
        <w:left w:val="none" w:sz="0" w:space="0" w:color="auto"/>
        <w:bottom w:val="none" w:sz="0" w:space="0" w:color="auto"/>
        <w:right w:val="none" w:sz="0" w:space="0" w:color="auto"/>
      </w:divBdr>
    </w:div>
    <w:div w:id="1133987655">
      <w:bodyDiv w:val="1"/>
      <w:marLeft w:val="0"/>
      <w:marRight w:val="0"/>
      <w:marTop w:val="0"/>
      <w:marBottom w:val="0"/>
      <w:divBdr>
        <w:top w:val="none" w:sz="0" w:space="0" w:color="auto"/>
        <w:left w:val="none" w:sz="0" w:space="0" w:color="auto"/>
        <w:bottom w:val="none" w:sz="0" w:space="0" w:color="auto"/>
        <w:right w:val="none" w:sz="0" w:space="0" w:color="auto"/>
      </w:divBdr>
    </w:div>
    <w:div w:id="1135100861">
      <w:bodyDiv w:val="1"/>
      <w:marLeft w:val="0"/>
      <w:marRight w:val="0"/>
      <w:marTop w:val="0"/>
      <w:marBottom w:val="0"/>
      <w:divBdr>
        <w:top w:val="none" w:sz="0" w:space="0" w:color="auto"/>
        <w:left w:val="none" w:sz="0" w:space="0" w:color="auto"/>
        <w:bottom w:val="none" w:sz="0" w:space="0" w:color="auto"/>
        <w:right w:val="none" w:sz="0" w:space="0" w:color="auto"/>
      </w:divBdr>
    </w:div>
    <w:div w:id="1136290794">
      <w:bodyDiv w:val="1"/>
      <w:marLeft w:val="0"/>
      <w:marRight w:val="0"/>
      <w:marTop w:val="0"/>
      <w:marBottom w:val="0"/>
      <w:divBdr>
        <w:top w:val="none" w:sz="0" w:space="0" w:color="auto"/>
        <w:left w:val="none" w:sz="0" w:space="0" w:color="auto"/>
        <w:bottom w:val="none" w:sz="0" w:space="0" w:color="auto"/>
        <w:right w:val="none" w:sz="0" w:space="0" w:color="auto"/>
      </w:divBdr>
    </w:div>
    <w:div w:id="1137381099">
      <w:bodyDiv w:val="1"/>
      <w:marLeft w:val="0"/>
      <w:marRight w:val="0"/>
      <w:marTop w:val="0"/>
      <w:marBottom w:val="0"/>
      <w:divBdr>
        <w:top w:val="none" w:sz="0" w:space="0" w:color="auto"/>
        <w:left w:val="none" w:sz="0" w:space="0" w:color="auto"/>
        <w:bottom w:val="none" w:sz="0" w:space="0" w:color="auto"/>
        <w:right w:val="none" w:sz="0" w:space="0" w:color="auto"/>
      </w:divBdr>
    </w:div>
    <w:div w:id="1138299697">
      <w:bodyDiv w:val="1"/>
      <w:marLeft w:val="0"/>
      <w:marRight w:val="0"/>
      <w:marTop w:val="0"/>
      <w:marBottom w:val="0"/>
      <w:divBdr>
        <w:top w:val="none" w:sz="0" w:space="0" w:color="auto"/>
        <w:left w:val="none" w:sz="0" w:space="0" w:color="auto"/>
        <w:bottom w:val="none" w:sz="0" w:space="0" w:color="auto"/>
        <w:right w:val="none" w:sz="0" w:space="0" w:color="auto"/>
      </w:divBdr>
    </w:div>
    <w:div w:id="1138719840">
      <w:bodyDiv w:val="1"/>
      <w:marLeft w:val="0"/>
      <w:marRight w:val="0"/>
      <w:marTop w:val="0"/>
      <w:marBottom w:val="0"/>
      <w:divBdr>
        <w:top w:val="none" w:sz="0" w:space="0" w:color="auto"/>
        <w:left w:val="none" w:sz="0" w:space="0" w:color="auto"/>
        <w:bottom w:val="none" w:sz="0" w:space="0" w:color="auto"/>
        <w:right w:val="none" w:sz="0" w:space="0" w:color="auto"/>
      </w:divBdr>
    </w:div>
    <w:div w:id="1139148436">
      <w:bodyDiv w:val="1"/>
      <w:marLeft w:val="0"/>
      <w:marRight w:val="0"/>
      <w:marTop w:val="0"/>
      <w:marBottom w:val="0"/>
      <w:divBdr>
        <w:top w:val="none" w:sz="0" w:space="0" w:color="auto"/>
        <w:left w:val="none" w:sz="0" w:space="0" w:color="auto"/>
        <w:bottom w:val="none" w:sz="0" w:space="0" w:color="auto"/>
        <w:right w:val="none" w:sz="0" w:space="0" w:color="auto"/>
      </w:divBdr>
    </w:div>
    <w:div w:id="1143235255">
      <w:bodyDiv w:val="1"/>
      <w:marLeft w:val="0"/>
      <w:marRight w:val="0"/>
      <w:marTop w:val="0"/>
      <w:marBottom w:val="0"/>
      <w:divBdr>
        <w:top w:val="none" w:sz="0" w:space="0" w:color="auto"/>
        <w:left w:val="none" w:sz="0" w:space="0" w:color="auto"/>
        <w:bottom w:val="none" w:sz="0" w:space="0" w:color="auto"/>
        <w:right w:val="none" w:sz="0" w:space="0" w:color="auto"/>
      </w:divBdr>
    </w:div>
    <w:div w:id="1145271271">
      <w:bodyDiv w:val="1"/>
      <w:marLeft w:val="0"/>
      <w:marRight w:val="0"/>
      <w:marTop w:val="0"/>
      <w:marBottom w:val="0"/>
      <w:divBdr>
        <w:top w:val="none" w:sz="0" w:space="0" w:color="auto"/>
        <w:left w:val="none" w:sz="0" w:space="0" w:color="auto"/>
        <w:bottom w:val="none" w:sz="0" w:space="0" w:color="auto"/>
        <w:right w:val="none" w:sz="0" w:space="0" w:color="auto"/>
      </w:divBdr>
    </w:div>
    <w:div w:id="1146437513">
      <w:bodyDiv w:val="1"/>
      <w:marLeft w:val="0"/>
      <w:marRight w:val="0"/>
      <w:marTop w:val="0"/>
      <w:marBottom w:val="0"/>
      <w:divBdr>
        <w:top w:val="none" w:sz="0" w:space="0" w:color="auto"/>
        <w:left w:val="none" w:sz="0" w:space="0" w:color="auto"/>
        <w:bottom w:val="none" w:sz="0" w:space="0" w:color="auto"/>
        <w:right w:val="none" w:sz="0" w:space="0" w:color="auto"/>
      </w:divBdr>
    </w:div>
    <w:div w:id="1146554206">
      <w:bodyDiv w:val="1"/>
      <w:marLeft w:val="0"/>
      <w:marRight w:val="0"/>
      <w:marTop w:val="0"/>
      <w:marBottom w:val="0"/>
      <w:divBdr>
        <w:top w:val="none" w:sz="0" w:space="0" w:color="auto"/>
        <w:left w:val="none" w:sz="0" w:space="0" w:color="auto"/>
        <w:bottom w:val="none" w:sz="0" w:space="0" w:color="auto"/>
        <w:right w:val="none" w:sz="0" w:space="0" w:color="auto"/>
      </w:divBdr>
    </w:div>
    <w:div w:id="1149520980">
      <w:bodyDiv w:val="1"/>
      <w:marLeft w:val="0"/>
      <w:marRight w:val="0"/>
      <w:marTop w:val="0"/>
      <w:marBottom w:val="0"/>
      <w:divBdr>
        <w:top w:val="none" w:sz="0" w:space="0" w:color="auto"/>
        <w:left w:val="none" w:sz="0" w:space="0" w:color="auto"/>
        <w:bottom w:val="none" w:sz="0" w:space="0" w:color="auto"/>
        <w:right w:val="none" w:sz="0" w:space="0" w:color="auto"/>
      </w:divBdr>
    </w:div>
    <w:div w:id="1149706026">
      <w:bodyDiv w:val="1"/>
      <w:marLeft w:val="0"/>
      <w:marRight w:val="0"/>
      <w:marTop w:val="0"/>
      <w:marBottom w:val="0"/>
      <w:divBdr>
        <w:top w:val="none" w:sz="0" w:space="0" w:color="auto"/>
        <w:left w:val="none" w:sz="0" w:space="0" w:color="auto"/>
        <w:bottom w:val="none" w:sz="0" w:space="0" w:color="auto"/>
        <w:right w:val="none" w:sz="0" w:space="0" w:color="auto"/>
      </w:divBdr>
    </w:div>
    <w:div w:id="1152795065">
      <w:bodyDiv w:val="1"/>
      <w:marLeft w:val="0"/>
      <w:marRight w:val="0"/>
      <w:marTop w:val="0"/>
      <w:marBottom w:val="0"/>
      <w:divBdr>
        <w:top w:val="none" w:sz="0" w:space="0" w:color="auto"/>
        <w:left w:val="none" w:sz="0" w:space="0" w:color="auto"/>
        <w:bottom w:val="none" w:sz="0" w:space="0" w:color="auto"/>
        <w:right w:val="none" w:sz="0" w:space="0" w:color="auto"/>
      </w:divBdr>
    </w:div>
    <w:div w:id="1154175826">
      <w:bodyDiv w:val="1"/>
      <w:marLeft w:val="0"/>
      <w:marRight w:val="0"/>
      <w:marTop w:val="0"/>
      <w:marBottom w:val="0"/>
      <w:divBdr>
        <w:top w:val="none" w:sz="0" w:space="0" w:color="auto"/>
        <w:left w:val="none" w:sz="0" w:space="0" w:color="auto"/>
        <w:bottom w:val="none" w:sz="0" w:space="0" w:color="auto"/>
        <w:right w:val="none" w:sz="0" w:space="0" w:color="auto"/>
      </w:divBdr>
    </w:div>
    <w:div w:id="1154952943">
      <w:bodyDiv w:val="1"/>
      <w:marLeft w:val="0"/>
      <w:marRight w:val="0"/>
      <w:marTop w:val="0"/>
      <w:marBottom w:val="0"/>
      <w:divBdr>
        <w:top w:val="none" w:sz="0" w:space="0" w:color="auto"/>
        <w:left w:val="none" w:sz="0" w:space="0" w:color="auto"/>
        <w:bottom w:val="none" w:sz="0" w:space="0" w:color="auto"/>
        <w:right w:val="none" w:sz="0" w:space="0" w:color="auto"/>
      </w:divBdr>
    </w:div>
    <w:div w:id="1155797872">
      <w:bodyDiv w:val="1"/>
      <w:marLeft w:val="0"/>
      <w:marRight w:val="0"/>
      <w:marTop w:val="0"/>
      <w:marBottom w:val="0"/>
      <w:divBdr>
        <w:top w:val="none" w:sz="0" w:space="0" w:color="auto"/>
        <w:left w:val="none" w:sz="0" w:space="0" w:color="auto"/>
        <w:bottom w:val="none" w:sz="0" w:space="0" w:color="auto"/>
        <w:right w:val="none" w:sz="0" w:space="0" w:color="auto"/>
      </w:divBdr>
    </w:div>
    <w:div w:id="1158349414">
      <w:bodyDiv w:val="1"/>
      <w:marLeft w:val="0"/>
      <w:marRight w:val="0"/>
      <w:marTop w:val="0"/>
      <w:marBottom w:val="0"/>
      <w:divBdr>
        <w:top w:val="none" w:sz="0" w:space="0" w:color="auto"/>
        <w:left w:val="none" w:sz="0" w:space="0" w:color="auto"/>
        <w:bottom w:val="none" w:sz="0" w:space="0" w:color="auto"/>
        <w:right w:val="none" w:sz="0" w:space="0" w:color="auto"/>
      </w:divBdr>
    </w:div>
    <w:div w:id="1159420261">
      <w:bodyDiv w:val="1"/>
      <w:marLeft w:val="0"/>
      <w:marRight w:val="0"/>
      <w:marTop w:val="0"/>
      <w:marBottom w:val="0"/>
      <w:divBdr>
        <w:top w:val="none" w:sz="0" w:space="0" w:color="auto"/>
        <w:left w:val="none" w:sz="0" w:space="0" w:color="auto"/>
        <w:bottom w:val="none" w:sz="0" w:space="0" w:color="auto"/>
        <w:right w:val="none" w:sz="0" w:space="0" w:color="auto"/>
      </w:divBdr>
    </w:div>
    <w:div w:id="1160190860">
      <w:bodyDiv w:val="1"/>
      <w:marLeft w:val="0"/>
      <w:marRight w:val="0"/>
      <w:marTop w:val="0"/>
      <w:marBottom w:val="0"/>
      <w:divBdr>
        <w:top w:val="none" w:sz="0" w:space="0" w:color="auto"/>
        <w:left w:val="none" w:sz="0" w:space="0" w:color="auto"/>
        <w:bottom w:val="none" w:sz="0" w:space="0" w:color="auto"/>
        <w:right w:val="none" w:sz="0" w:space="0" w:color="auto"/>
      </w:divBdr>
    </w:div>
    <w:div w:id="1160736019">
      <w:bodyDiv w:val="1"/>
      <w:marLeft w:val="0"/>
      <w:marRight w:val="0"/>
      <w:marTop w:val="0"/>
      <w:marBottom w:val="0"/>
      <w:divBdr>
        <w:top w:val="none" w:sz="0" w:space="0" w:color="auto"/>
        <w:left w:val="none" w:sz="0" w:space="0" w:color="auto"/>
        <w:bottom w:val="none" w:sz="0" w:space="0" w:color="auto"/>
        <w:right w:val="none" w:sz="0" w:space="0" w:color="auto"/>
      </w:divBdr>
    </w:div>
    <w:div w:id="1160928759">
      <w:bodyDiv w:val="1"/>
      <w:marLeft w:val="0"/>
      <w:marRight w:val="0"/>
      <w:marTop w:val="0"/>
      <w:marBottom w:val="0"/>
      <w:divBdr>
        <w:top w:val="none" w:sz="0" w:space="0" w:color="auto"/>
        <w:left w:val="none" w:sz="0" w:space="0" w:color="auto"/>
        <w:bottom w:val="none" w:sz="0" w:space="0" w:color="auto"/>
        <w:right w:val="none" w:sz="0" w:space="0" w:color="auto"/>
      </w:divBdr>
    </w:div>
    <w:div w:id="1161772690">
      <w:bodyDiv w:val="1"/>
      <w:marLeft w:val="0"/>
      <w:marRight w:val="0"/>
      <w:marTop w:val="0"/>
      <w:marBottom w:val="0"/>
      <w:divBdr>
        <w:top w:val="none" w:sz="0" w:space="0" w:color="auto"/>
        <w:left w:val="none" w:sz="0" w:space="0" w:color="auto"/>
        <w:bottom w:val="none" w:sz="0" w:space="0" w:color="auto"/>
        <w:right w:val="none" w:sz="0" w:space="0" w:color="auto"/>
      </w:divBdr>
    </w:div>
    <w:div w:id="1162040819">
      <w:bodyDiv w:val="1"/>
      <w:marLeft w:val="0"/>
      <w:marRight w:val="0"/>
      <w:marTop w:val="0"/>
      <w:marBottom w:val="0"/>
      <w:divBdr>
        <w:top w:val="none" w:sz="0" w:space="0" w:color="auto"/>
        <w:left w:val="none" w:sz="0" w:space="0" w:color="auto"/>
        <w:bottom w:val="none" w:sz="0" w:space="0" w:color="auto"/>
        <w:right w:val="none" w:sz="0" w:space="0" w:color="auto"/>
      </w:divBdr>
    </w:div>
    <w:div w:id="1163742530">
      <w:bodyDiv w:val="1"/>
      <w:marLeft w:val="0"/>
      <w:marRight w:val="0"/>
      <w:marTop w:val="0"/>
      <w:marBottom w:val="0"/>
      <w:divBdr>
        <w:top w:val="none" w:sz="0" w:space="0" w:color="auto"/>
        <w:left w:val="none" w:sz="0" w:space="0" w:color="auto"/>
        <w:bottom w:val="none" w:sz="0" w:space="0" w:color="auto"/>
        <w:right w:val="none" w:sz="0" w:space="0" w:color="auto"/>
      </w:divBdr>
    </w:div>
    <w:div w:id="1163854286">
      <w:bodyDiv w:val="1"/>
      <w:marLeft w:val="0"/>
      <w:marRight w:val="0"/>
      <w:marTop w:val="0"/>
      <w:marBottom w:val="0"/>
      <w:divBdr>
        <w:top w:val="none" w:sz="0" w:space="0" w:color="auto"/>
        <w:left w:val="none" w:sz="0" w:space="0" w:color="auto"/>
        <w:bottom w:val="none" w:sz="0" w:space="0" w:color="auto"/>
        <w:right w:val="none" w:sz="0" w:space="0" w:color="auto"/>
      </w:divBdr>
    </w:div>
    <w:div w:id="1164860735">
      <w:bodyDiv w:val="1"/>
      <w:marLeft w:val="0"/>
      <w:marRight w:val="0"/>
      <w:marTop w:val="0"/>
      <w:marBottom w:val="0"/>
      <w:divBdr>
        <w:top w:val="none" w:sz="0" w:space="0" w:color="auto"/>
        <w:left w:val="none" w:sz="0" w:space="0" w:color="auto"/>
        <w:bottom w:val="none" w:sz="0" w:space="0" w:color="auto"/>
        <w:right w:val="none" w:sz="0" w:space="0" w:color="auto"/>
      </w:divBdr>
    </w:div>
    <w:div w:id="1166281408">
      <w:bodyDiv w:val="1"/>
      <w:marLeft w:val="0"/>
      <w:marRight w:val="0"/>
      <w:marTop w:val="0"/>
      <w:marBottom w:val="0"/>
      <w:divBdr>
        <w:top w:val="none" w:sz="0" w:space="0" w:color="auto"/>
        <w:left w:val="none" w:sz="0" w:space="0" w:color="auto"/>
        <w:bottom w:val="none" w:sz="0" w:space="0" w:color="auto"/>
        <w:right w:val="none" w:sz="0" w:space="0" w:color="auto"/>
      </w:divBdr>
    </w:div>
    <w:div w:id="1166632678">
      <w:bodyDiv w:val="1"/>
      <w:marLeft w:val="0"/>
      <w:marRight w:val="0"/>
      <w:marTop w:val="0"/>
      <w:marBottom w:val="0"/>
      <w:divBdr>
        <w:top w:val="none" w:sz="0" w:space="0" w:color="auto"/>
        <w:left w:val="none" w:sz="0" w:space="0" w:color="auto"/>
        <w:bottom w:val="none" w:sz="0" w:space="0" w:color="auto"/>
        <w:right w:val="none" w:sz="0" w:space="0" w:color="auto"/>
      </w:divBdr>
    </w:div>
    <w:div w:id="1167092065">
      <w:bodyDiv w:val="1"/>
      <w:marLeft w:val="0"/>
      <w:marRight w:val="0"/>
      <w:marTop w:val="0"/>
      <w:marBottom w:val="0"/>
      <w:divBdr>
        <w:top w:val="none" w:sz="0" w:space="0" w:color="auto"/>
        <w:left w:val="none" w:sz="0" w:space="0" w:color="auto"/>
        <w:bottom w:val="none" w:sz="0" w:space="0" w:color="auto"/>
        <w:right w:val="none" w:sz="0" w:space="0" w:color="auto"/>
      </w:divBdr>
    </w:div>
    <w:div w:id="1167478366">
      <w:bodyDiv w:val="1"/>
      <w:marLeft w:val="0"/>
      <w:marRight w:val="0"/>
      <w:marTop w:val="0"/>
      <w:marBottom w:val="0"/>
      <w:divBdr>
        <w:top w:val="none" w:sz="0" w:space="0" w:color="auto"/>
        <w:left w:val="none" w:sz="0" w:space="0" w:color="auto"/>
        <w:bottom w:val="none" w:sz="0" w:space="0" w:color="auto"/>
        <w:right w:val="none" w:sz="0" w:space="0" w:color="auto"/>
      </w:divBdr>
    </w:div>
    <w:div w:id="1171069376">
      <w:bodyDiv w:val="1"/>
      <w:marLeft w:val="0"/>
      <w:marRight w:val="0"/>
      <w:marTop w:val="0"/>
      <w:marBottom w:val="0"/>
      <w:divBdr>
        <w:top w:val="none" w:sz="0" w:space="0" w:color="auto"/>
        <w:left w:val="none" w:sz="0" w:space="0" w:color="auto"/>
        <w:bottom w:val="none" w:sz="0" w:space="0" w:color="auto"/>
        <w:right w:val="none" w:sz="0" w:space="0" w:color="auto"/>
      </w:divBdr>
    </w:div>
    <w:div w:id="1176187362">
      <w:bodyDiv w:val="1"/>
      <w:marLeft w:val="0"/>
      <w:marRight w:val="0"/>
      <w:marTop w:val="0"/>
      <w:marBottom w:val="0"/>
      <w:divBdr>
        <w:top w:val="none" w:sz="0" w:space="0" w:color="auto"/>
        <w:left w:val="none" w:sz="0" w:space="0" w:color="auto"/>
        <w:bottom w:val="none" w:sz="0" w:space="0" w:color="auto"/>
        <w:right w:val="none" w:sz="0" w:space="0" w:color="auto"/>
      </w:divBdr>
    </w:div>
    <w:div w:id="1176379664">
      <w:bodyDiv w:val="1"/>
      <w:marLeft w:val="0"/>
      <w:marRight w:val="0"/>
      <w:marTop w:val="0"/>
      <w:marBottom w:val="0"/>
      <w:divBdr>
        <w:top w:val="none" w:sz="0" w:space="0" w:color="auto"/>
        <w:left w:val="none" w:sz="0" w:space="0" w:color="auto"/>
        <w:bottom w:val="none" w:sz="0" w:space="0" w:color="auto"/>
        <w:right w:val="none" w:sz="0" w:space="0" w:color="auto"/>
      </w:divBdr>
    </w:div>
    <w:div w:id="1179856740">
      <w:bodyDiv w:val="1"/>
      <w:marLeft w:val="0"/>
      <w:marRight w:val="0"/>
      <w:marTop w:val="0"/>
      <w:marBottom w:val="0"/>
      <w:divBdr>
        <w:top w:val="none" w:sz="0" w:space="0" w:color="auto"/>
        <w:left w:val="none" w:sz="0" w:space="0" w:color="auto"/>
        <w:bottom w:val="none" w:sz="0" w:space="0" w:color="auto"/>
        <w:right w:val="none" w:sz="0" w:space="0" w:color="auto"/>
      </w:divBdr>
    </w:div>
    <w:div w:id="1180662544">
      <w:bodyDiv w:val="1"/>
      <w:marLeft w:val="0"/>
      <w:marRight w:val="0"/>
      <w:marTop w:val="0"/>
      <w:marBottom w:val="0"/>
      <w:divBdr>
        <w:top w:val="none" w:sz="0" w:space="0" w:color="auto"/>
        <w:left w:val="none" w:sz="0" w:space="0" w:color="auto"/>
        <w:bottom w:val="none" w:sz="0" w:space="0" w:color="auto"/>
        <w:right w:val="none" w:sz="0" w:space="0" w:color="auto"/>
      </w:divBdr>
    </w:div>
    <w:div w:id="1180704656">
      <w:bodyDiv w:val="1"/>
      <w:marLeft w:val="0"/>
      <w:marRight w:val="0"/>
      <w:marTop w:val="0"/>
      <w:marBottom w:val="0"/>
      <w:divBdr>
        <w:top w:val="none" w:sz="0" w:space="0" w:color="auto"/>
        <w:left w:val="none" w:sz="0" w:space="0" w:color="auto"/>
        <w:bottom w:val="none" w:sz="0" w:space="0" w:color="auto"/>
        <w:right w:val="none" w:sz="0" w:space="0" w:color="auto"/>
      </w:divBdr>
    </w:div>
    <w:div w:id="1181820100">
      <w:bodyDiv w:val="1"/>
      <w:marLeft w:val="0"/>
      <w:marRight w:val="0"/>
      <w:marTop w:val="0"/>
      <w:marBottom w:val="0"/>
      <w:divBdr>
        <w:top w:val="none" w:sz="0" w:space="0" w:color="auto"/>
        <w:left w:val="none" w:sz="0" w:space="0" w:color="auto"/>
        <w:bottom w:val="none" w:sz="0" w:space="0" w:color="auto"/>
        <w:right w:val="none" w:sz="0" w:space="0" w:color="auto"/>
      </w:divBdr>
    </w:div>
    <w:div w:id="1182163601">
      <w:bodyDiv w:val="1"/>
      <w:marLeft w:val="0"/>
      <w:marRight w:val="0"/>
      <w:marTop w:val="0"/>
      <w:marBottom w:val="0"/>
      <w:divBdr>
        <w:top w:val="none" w:sz="0" w:space="0" w:color="auto"/>
        <w:left w:val="none" w:sz="0" w:space="0" w:color="auto"/>
        <w:bottom w:val="none" w:sz="0" w:space="0" w:color="auto"/>
        <w:right w:val="none" w:sz="0" w:space="0" w:color="auto"/>
      </w:divBdr>
    </w:div>
    <w:div w:id="1182622206">
      <w:bodyDiv w:val="1"/>
      <w:marLeft w:val="0"/>
      <w:marRight w:val="0"/>
      <w:marTop w:val="0"/>
      <w:marBottom w:val="0"/>
      <w:divBdr>
        <w:top w:val="none" w:sz="0" w:space="0" w:color="auto"/>
        <w:left w:val="none" w:sz="0" w:space="0" w:color="auto"/>
        <w:bottom w:val="none" w:sz="0" w:space="0" w:color="auto"/>
        <w:right w:val="none" w:sz="0" w:space="0" w:color="auto"/>
      </w:divBdr>
    </w:div>
    <w:div w:id="1185051775">
      <w:bodyDiv w:val="1"/>
      <w:marLeft w:val="0"/>
      <w:marRight w:val="0"/>
      <w:marTop w:val="0"/>
      <w:marBottom w:val="0"/>
      <w:divBdr>
        <w:top w:val="none" w:sz="0" w:space="0" w:color="auto"/>
        <w:left w:val="none" w:sz="0" w:space="0" w:color="auto"/>
        <w:bottom w:val="none" w:sz="0" w:space="0" w:color="auto"/>
        <w:right w:val="none" w:sz="0" w:space="0" w:color="auto"/>
      </w:divBdr>
    </w:div>
    <w:div w:id="1186138274">
      <w:bodyDiv w:val="1"/>
      <w:marLeft w:val="0"/>
      <w:marRight w:val="0"/>
      <w:marTop w:val="0"/>
      <w:marBottom w:val="0"/>
      <w:divBdr>
        <w:top w:val="none" w:sz="0" w:space="0" w:color="auto"/>
        <w:left w:val="none" w:sz="0" w:space="0" w:color="auto"/>
        <w:bottom w:val="none" w:sz="0" w:space="0" w:color="auto"/>
        <w:right w:val="none" w:sz="0" w:space="0" w:color="auto"/>
      </w:divBdr>
    </w:div>
    <w:div w:id="1187866196">
      <w:bodyDiv w:val="1"/>
      <w:marLeft w:val="0"/>
      <w:marRight w:val="0"/>
      <w:marTop w:val="0"/>
      <w:marBottom w:val="0"/>
      <w:divBdr>
        <w:top w:val="none" w:sz="0" w:space="0" w:color="auto"/>
        <w:left w:val="none" w:sz="0" w:space="0" w:color="auto"/>
        <w:bottom w:val="none" w:sz="0" w:space="0" w:color="auto"/>
        <w:right w:val="none" w:sz="0" w:space="0" w:color="auto"/>
      </w:divBdr>
    </w:div>
    <w:div w:id="1188829299">
      <w:bodyDiv w:val="1"/>
      <w:marLeft w:val="0"/>
      <w:marRight w:val="0"/>
      <w:marTop w:val="0"/>
      <w:marBottom w:val="0"/>
      <w:divBdr>
        <w:top w:val="none" w:sz="0" w:space="0" w:color="auto"/>
        <w:left w:val="none" w:sz="0" w:space="0" w:color="auto"/>
        <w:bottom w:val="none" w:sz="0" w:space="0" w:color="auto"/>
        <w:right w:val="none" w:sz="0" w:space="0" w:color="auto"/>
      </w:divBdr>
    </w:div>
    <w:div w:id="1191184667">
      <w:bodyDiv w:val="1"/>
      <w:marLeft w:val="0"/>
      <w:marRight w:val="0"/>
      <w:marTop w:val="0"/>
      <w:marBottom w:val="0"/>
      <w:divBdr>
        <w:top w:val="none" w:sz="0" w:space="0" w:color="auto"/>
        <w:left w:val="none" w:sz="0" w:space="0" w:color="auto"/>
        <w:bottom w:val="none" w:sz="0" w:space="0" w:color="auto"/>
        <w:right w:val="none" w:sz="0" w:space="0" w:color="auto"/>
      </w:divBdr>
    </w:div>
    <w:div w:id="1191840822">
      <w:bodyDiv w:val="1"/>
      <w:marLeft w:val="0"/>
      <w:marRight w:val="0"/>
      <w:marTop w:val="0"/>
      <w:marBottom w:val="0"/>
      <w:divBdr>
        <w:top w:val="none" w:sz="0" w:space="0" w:color="auto"/>
        <w:left w:val="none" w:sz="0" w:space="0" w:color="auto"/>
        <w:bottom w:val="none" w:sz="0" w:space="0" w:color="auto"/>
        <w:right w:val="none" w:sz="0" w:space="0" w:color="auto"/>
      </w:divBdr>
    </w:div>
    <w:div w:id="1192958426">
      <w:bodyDiv w:val="1"/>
      <w:marLeft w:val="0"/>
      <w:marRight w:val="0"/>
      <w:marTop w:val="0"/>
      <w:marBottom w:val="0"/>
      <w:divBdr>
        <w:top w:val="none" w:sz="0" w:space="0" w:color="auto"/>
        <w:left w:val="none" w:sz="0" w:space="0" w:color="auto"/>
        <w:bottom w:val="none" w:sz="0" w:space="0" w:color="auto"/>
        <w:right w:val="none" w:sz="0" w:space="0" w:color="auto"/>
      </w:divBdr>
    </w:div>
    <w:div w:id="1193152908">
      <w:bodyDiv w:val="1"/>
      <w:marLeft w:val="0"/>
      <w:marRight w:val="0"/>
      <w:marTop w:val="0"/>
      <w:marBottom w:val="0"/>
      <w:divBdr>
        <w:top w:val="none" w:sz="0" w:space="0" w:color="auto"/>
        <w:left w:val="none" w:sz="0" w:space="0" w:color="auto"/>
        <w:bottom w:val="none" w:sz="0" w:space="0" w:color="auto"/>
        <w:right w:val="none" w:sz="0" w:space="0" w:color="auto"/>
      </w:divBdr>
    </w:div>
    <w:div w:id="1194423268">
      <w:bodyDiv w:val="1"/>
      <w:marLeft w:val="0"/>
      <w:marRight w:val="0"/>
      <w:marTop w:val="0"/>
      <w:marBottom w:val="0"/>
      <w:divBdr>
        <w:top w:val="none" w:sz="0" w:space="0" w:color="auto"/>
        <w:left w:val="none" w:sz="0" w:space="0" w:color="auto"/>
        <w:bottom w:val="none" w:sz="0" w:space="0" w:color="auto"/>
        <w:right w:val="none" w:sz="0" w:space="0" w:color="auto"/>
      </w:divBdr>
    </w:div>
    <w:div w:id="1194924643">
      <w:bodyDiv w:val="1"/>
      <w:marLeft w:val="0"/>
      <w:marRight w:val="0"/>
      <w:marTop w:val="0"/>
      <w:marBottom w:val="0"/>
      <w:divBdr>
        <w:top w:val="none" w:sz="0" w:space="0" w:color="auto"/>
        <w:left w:val="none" w:sz="0" w:space="0" w:color="auto"/>
        <w:bottom w:val="none" w:sz="0" w:space="0" w:color="auto"/>
        <w:right w:val="none" w:sz="0" w:space="0" w:color="auto"/>
      </w:divBdr>
    </w:div>
    <w:div w:id="1195774813">
      <w:bodyDiv w:val="1"/>
      <w:marLeft w:val="0"/>
      <w:marRight w:val="0"/>
      <w:marTop w:val="0"/>
      <w:marBottom w:val="0"/>
      <w:divBdr>
        <w:top w:val="none" w:sz="0" w:space="0" w:color="auto"/>
        <w:left w:val="none" w:sz="0" w:space="0" w:color="auto"/>
        <w:bottom w:val="none" w:sz="0" w:space="0" w:color="auto"/>
        <w:right w:val="none" w:sz="0" w:space="0" w:color="auto"/>
      </w:divBdr>
    </w:div>
    <w:div w:id="1196040875">
      <w:bodyDiv w:val="1"/>
      <w:marLeft w:val="0"/>
      <w:marRight w:val="0"/>
      <w:marTop w:val="0"/>
      <w:marBottom w:val="0"/>
      <w:divBdr>
        <w:top w:val="none" w:sz="0" w:space="0" w:color="auto"/>
        <w:left w:val="none" w:sz="0" w:space="0" w:color="auto"/>
        <w:bottom w:val="none" w:sz="0" w:space="0" w:color="auto"/>
        <w:right w:val="none" w:sz="0" w:space="0" w:color="auto"/>
      </w:divBdr>
    </w:div>
    <w:div w:id="1199854291">
      <w:bodyDiv w:val="1"/>
      <w:marLeft w:val="0"/>
      <w:marRight w:val="0"/>
      <w:marTop w:val="0"/>
      <w:marBottom w:val="0"/>
      <w:divBdr>
        <w:top w:val="none" w:sz="0" w:space="0" w:color="auto"/>
        <w:left w:val="none" w:sz="0" w:space="0" w:color="auto"/>
        <w:bottom w:val="none" w:sz="0" w:space="0" w:color="auto"/>
        <w:right w:val="none" w:sz="0" w:space="0" w:color="auto"/>
      </w:divBdr>
    </w:div>
    <w:div w:id="1200171420">
      <w:bodyDiv w:val="1"/>
      <w:marLeft w:val="0"/>
      <w:marRight w:val="0"/>
      <w:marTop w:val="0"/>
      <w:marBottom w:val="0"/>
      <w:divBdr>
        <w:top w:val="none" w:sz="0" w:space="0" w:color="auto"/>
        <w:left w:val="none" w:sz="0" w:space="0" w:color="auto"/>
        <w:bottom w:val="none" w:sz="0" w:space="0" w:color="auto"/>
        <w:right w:val="none" w:sz="0" w:space="0" w:color="auto"/>
      </w:divBdr>
    </w:div>
    <w:div w:id="1201817197">
      <w:bodyDiv w:val="1"/>
      <w:marLeft w:val="0"/>
      <w:marRight w:val="0"/>
      <w:marTop w:val="0"/>
      <w:marBottom w:val="0"/>
      <w:divBdr>
        <w:top w:val="none" w:sz="0" w:space="0" w:color="auto"/>
        <w:left w:val="none" w:sz="0" w:space="0" w:color="auto"/>
        <w:bottom w:val="none" w:sz="0" w:space="0" w:color="auto"/>
        <w:right w:val="none" w:sz="0" w:space="0" w:color="auto"/>
      </w:divBdr>
    </w:div>
    <w:div w:id="1203176360">
      <w:bodyDiv w:val="1"/>
      <w:marLeft w:val="0"/>
      <w:marRight w:val="0"/>
      <w:marTop w:val="0"/>
      <w:marBottom w:val="0"/>
      <w:divBdr>
        <w:top w:val="none" w:sz="0" w:space="0" w:color="auto"/>
        <w:left w:val="none" w:sz="0" w:space="0" w:color="auto"/>
        <w:bottom w:val="none" w:sz="0" w:space="0" w:color="auto"/>
        <w:right w:val="none" w:sz="0" w:space="0" w:color="auto"/>
      </w:divBdr>
    </w:div>
    <w:div w:id="1204098141">
      <w:bodyDiv w:val="1"/>
      <w:marLeft w:val="0"/>
      <w:marRight w:val="0"/>
      <w:marTop w:val="0"/>
      <w:marBottom w:val="0"/>
      <w:divBdr>
        <w:top w:val="none" w:sz="0" w:space="0" w:color="auto"/>
        <w:left w:val="none" w:sz="0" w:space="0" w:color="auto"/>
        <w:bottom w:val="none" w:sz="0" w:space="0" w:color="auto"/>
        <w:right w:val="none" w:sz="0" w:space="0" w:color="auto"/>
      </w:divBdr>
    </w:div>
    <w:div w:id="1204713655">
      <w:bodyDiv w:val="1"/>
      <w:marLeft w:val="0"/>
      <w:marRight w:val="0"/>
      <w:marTop w:val="0"/>
      <w:marBottom w:val="0"/>
      <w:divBdr>
        <w:top w:val="none" w:sz="0" w:space="0" w:color="auto"/>
        <w:left w:val="none" w:sz="0" w:space="0" w:color="auto"/>
        <w:bottom w:val="none" w:sz="0" w:space="0" w:color="auto"/>
        <w:right w:val="none" w:sz="0" w:space="0" w:color="auto"/>
      </w:divBdr>
    </w:div>
    <w:div w:id="1205216026">
      <w:bodyDiv w:val="1"/>
      <w:marLeft w:val="0"/>
      <w:marRight w:val="0"/>
      <w:marTop w:val="0"/>
      <w:marBottom w:val="0"/>
      <w:divBdr>
        <w:top w:val="none" w:sz="0" w:space="0" w:color="auto"/>
        <w:left w:val="none" w:sz="0" w:space="0" w:color="auto"/>
        <w:bottom w:val="none" w:sz="0" w:space="0" w:color="auto"/>
        <w:right w:val="none" w:sz="0" w:space="0" w:color="auto"/>
      </w:divBdr>
    </w:div>
    <w:div w:id="1205286759">
      <w:bodyDiv w:val="1"/>
      <w:marLeft w:val="0"/>
      <w:marRight w:val="0"/>
      <w:marTop w:val="0"/>
      <w:marBottom w:val="0"/>
      <w:divBdr>
        <w:top w:val="none" w:sz="0" w:space="0" w:color="auto"/>
        <w:left w:val="none" w:sz="0" w:space="0" w:color="auto"/>
        <w:bottom w:val="none" w:sz="0" w:space="0" w:color="auto"/>
        <w:right w:val="none" w:sz="0" w:space="0" w:color="auto"/>
      </w:divBdr>
    </w:div>
    <w:div w:id="1205677551">
      <w:bodyDiv w:val="1"/>
      <w:marLeft w:val="0"/>
      <w:marRight w:val="0"/>
      <w:marTop w:val="0"/>
      <w:marBottom w:val="0"/>
      <w:divBdr>
        <w:top w:val="none" w:sz="0" w:space="0" w:color="auto"/>
        <w:left w:val="none" w:sz="0" w:space="0" w:color="auto"/>
        <w:bottom w:val="none" w:sz="0" w:space="0" w:color="auto"/>
        <w:right w:val="none" w:sz="0" w:space="0" w:color="auto"/>
      </w:divBdr>
    </w:div>
    <w:div w:id="1206067676">
      <w:bodyDiv w:val="1"/>
      <w:marLeft w:val="0"/>
      <w:marRight w:val="0"/>
      <w:marTop w:val="0"/>
      <w:marBottom w:val="0"/>
      <w:divBdr>
        <w:top w:val="none" w:sz="0" w:space="0" w:color="auto"/>
        <w:left w:val="none" w:sz="0" w:space="0" w:color="auto"/>
        <w:bottom w:val="none" w:sz="0" w:space="0" w:color="auto"/>
        <w:right w:val="none" w:sz="0" w:space="0" w:color="auto"/>
      </w:divBdr>
    </w:div>
    <w:div w:id="1206599723">
      <w:bodyDiv w:val="1"/>
      <w:marLeft w:val="0"/>
      <w:marRight w:val="0"/>
      <w:marTop w:val="0"/>
      <w:marBottom w:val="0"/>
      <w:divBdr>
        <w:top w:val="none" w:sz="0" w:space="0" w:color="auto"/>
        <w:left w:val="none" w:sz="0" w:space="0" w:color="auto"/>
        <w:bottom w:val="none" w:sz="0" w:space="0" w:color="auto"/>
        <w:right w:val="none" w:sz="0" w:space="0" w:color="auto"/>
      </w:divBdr>
    </w:div>
    <w:div w:id="1206791880">
      <w:bodyDiv w:val="1"/>
      <w:marLeft w:val="0"/>
      <w:marRight w:val="0"/>
      <w:marTop w:val="0"/>
      <w:marBottom w:val="0"/>
      <w:divBdr>
        <w:top w:val="none" w:sz="0" w:space="0" w:color="auto"/>
        <w:left w:val="none" w:sz="0" w:space="0" w:color="auto"/>
        <w:bottom w:val="none" w:sz="0" w:space="0" w:color="auto"/>
        <w:right w:val="none" w:sz="0" w:space="0" w:color="auto"/>
      </w:divBdr>
    </w:div>
    <w:div w:id="1207179111">
      <w:bodyDiv w:val="1"/>
      <w:marLeft w:val="0"/>
      <w:marRight w:val="0"/>
      <w:marTop w:val="0"/>
      <w:marBottom w:val="0"/>
      <w:divBdr>
        <w:top w:val="none" w:sz="0" w:space="0" w:color="auto"/>
        <w:left w:val="none" w:sz="0" w:space="0" w:color="auto"/>
        <w:bottom w:val="none" w:sz="0" w:space="0" w:color="auto"/>
        <w:right w:val="none" w:sz="0" w:space="0" w:color="auto"/>
      </w:divBdr>
    </w:div>
    <w:div w:id="1208762514">
      <w:bodyDiv w:val="1"/>
      <w:marLeft w:val="0"/>
      <w:marRight w:val="0"/>
      <w:marTop w:val="0"/>
      <w:marBottom w:val="0"/>
      <w:divBdr>
        <w:top w:val="none" w:sz="0" w:space="0" w:color="auto"/>
        <w:left w:val="none" w:sz="0" w:space="0" w:color="auto"/>
        <w:bottom w:val="none" w:sz="0" w:space="0" w:color="auto"/>
        <w:right w:val="none" w:sz="0" w:space="0" w:color="auto"/>
      </w:divBdr>
    </w:div>
    <w:div w:id="1209950938">
      <w:bodyDiv w:val="1"/>
      <w:marLeft w:val="0"/>
      <w:marRight w:val="0"/>
      <w:marTop w:val="0"/>
      <w:marBottom w:val="0"/>
      <w:divBdr>
        <w:top w:val="none" w:sz="0" w:space="0" w:color="auto"/>
        <w:left w:val="none" w:sz="0" w:space="0" w:color="auto"/>
        <w:bottom w:val="none" w:sz="0" w:space="0" w:color="auto"/>
        <w:right w:val="none" w:sz="0" w:space="0" w:color="auto"/>
      </w:divBdr>
    </w:div>
    <w:div w:id="1209954280">
      <w:bodyDiv w:val="1"/>
      <w:marLeft w:val="0"/>
      <w:marRight w:val="0"/>
      <w:marTop w:val="0"/>
      <w:marBottom w:val="0"/>
      <w:divBdr>
        <w:top w:val="none" w:sz="0" w:space="0" w:color="auto"/>
        <w:left w:val="none" w:sz="0" w:space="0" w:color="auto"/>
        <w:bottom w:val="none" w:sz="0" w:space="0" w:color="auto"/>
        <w:right w:val="none" w:sz="0" w:space="0" w:color="auto"/>
      </w:divBdr>
    </w:div>
    <w:div w:id="1211192471">
      <w:bodyDiv w:val="1"/>
      <w:marLeft w:val="0"/>
      <w:marRight w:val="0"/>
      <w:marTop w:val="0"/>
      <w:marBottom w:val="0"/>
      <w:divBdr>
        <w:top w:val="none" w:sz="0" w:space="0" w:color="auto"/>
        <w:left w:val="none" w:sz="0" w:space="0" w:color="auto"/>
        <w:bottom w:val="none" w:sz="0" w:space="0" w:color="auto"/>
        <w:right w:val="none" w:sz="0" w:space="0" w:color="auto"/>
      </w:divBdr>
    </w:div>
    <w:div w:id="1211965609">
      <w:bodyDiv w:val="1"/>
      <w:marLeft w:val="0"/>
      <w:marRight w:val="0"/>
      <w:marTop w:val="0"/>
      <w:marBottom w:val="0"/>
      <w:divBdr>
        <w:top w:val="none" w:sz="0" w:space="0" w:color="auto"/>
        <w:left w:val="none" w:sz="0" w:space="0" w:color="auto"/>
        <w:bottom w:val="none" w:sz="0" w:space="0" w:color="auto"/>
        <w:right w:val="none" w:sz="0" w:space="0" w:color="auto"/>
      </w:divBdr>
    </w:div>
    <w:div w:id="1212037259">
      <w:bodyDiv w:val="1"/>
      <w:marLeft w:val="0"/>
      <w:marRight w:val="0"/>
      <w:marTop w:val="0"/>
      <w:marBottom w:val="0"/>
      <w:divBdr>
        <w:top w:val="none" w:sz="0" w:space="0" w:color="auto"/>
        <w:left w:val="none" w:sz="0" w:space="0" w:color="auto"/>
        <w:bottom w:val="none" w:sz="0" w:space="0" w:color="auto"/>
        <w:right w:val="none" w:sz="0" w:space="0" w:color="auto"/>
      </w:divBdr>
    </w:div>
    <w:div w:id="1213541031">
      <w:bodyDiv w:val="1"/>
      <w:marLeft w:val="0"/>
      <w:marRight w:val="0"/>
      <w:marTop w:val="0"/>
      <w:marBottom w:val="0"/>
      <w:divBdr>
        <w:top w:val="none" w:sz="0" w:space="0" w:color="auto"/>
        <w:left w:val="none" w:sz="0" w:space="0" w:color="auto"/>
        <w:bottom w:val="none" w:sz="0" w:space="0" w:color="auto"/>
        <w:right w:val="none" w:sz="0" w:space="0" w:color="auto"/>
      </w:divBdr>
    </w:div>
    <w:div w:id="1215044119">
      <w:bodyDiv w:val="1"/>
      <w:marLeft w:val="0"/>
      <w:marRight w:val="0"/>
      <w:marTop w:val="0"/>
      <w:marBottom w:val="0"/>
      <w:divBdr>
        <w:top w:val="none" w:sz="0" w:space="0" w:color="auto"/>
        <w:left w:val="none" w:sz="0" w:space="0" w:color="auto"/>
        <w:bottom w:val="none" w:sz="0" w:space="0" w:color="auto"/>
        <w:right w:val="none" w:sz="0" w:space="0" w:color="auto"/>
      </w:divBdr>
    </w:div>
    <w:div w:id="1216041013">
      <w:bodyDiv w:val="1"/>
      <w:marLeft w:val="0"/>
      <w:marRight w:val="0"/>
      <w:marTop w:val="0"/>
      <w:marBottom w:val="0"/>
      <w:divBdr>
        <w:top w:val="none" w:sz="0" w:space="0" w:color="auto"/>
        <w:left w:val="none" w:sz="0" w:space="0" w:color="auto"/>
        <w:bottom w:val="none" w:sz="0" w:space="0" w:color="auto"/>
        <w:right w:val="none" w:sz="0" w:space="0" w:color="auto"/>
      </w:divBdr>
    </w:div>
    <w:div w:id="1216696872">
      <w:bodyDiv w:val="1"/>
      <w:marLeft w:val="0"/>
      <w:marRight w:val="0"/>
      <w:marTop w:val="0"/>
      <w:marBottom w:val="0"/>
      <w:divBdr>
        <w:top w:val="none" w:sz="0" w:space="0" w:color="auto"/>
        <w:left w:val="none" w:sz="0" w:space="0" w:color="auto"/>
        <w:bottom w:val="none" w:sz="0" w:space="0" w:color="auto"/>
        <w:right w:val="none" w:sz="0" w:space="0" w:color="auto"/>
      </w:divBdr>
    </w:div>
    <w:div w:id="1218664740">
      <w:bodyDiv w:val="1"/>
      <w:marLeft w:val="0"/>
      <w:marRight w:val="0"/>
      <w:marTop w:val="0"/>
      <w:marBottom w:val="0"/>
      <w:divBdr>
        <w:top w:val="none" w:sz="0" w:space="0" w:color="auto"/>
        <w:left w:val="none" w:sz="0" w:space="0" w:color="auto"/>
        <w:bottom w:val="none" w:sz="0" w:space="0" w:color="auto"/>
        <w:right w:val="none" w:sz="0" w:space="0" w:color="auto"/>
      </w:divBdr>
    </w:div>
    <w:div w:id="1219590276">
      <w:bodyDiv w:val="1"/>
      <w:marLeft w:val="0"/>
      <w:marRight w:val="0"/>
      <w:marTop w:val="0"/>
      <w:marBottom w:val="0"/>
      <w:divBdr>
        <w:top w:val="none" w:sz="0" w:space="0" w:color="auto"/>
        <w:left w:val="none" w:sz="0" w:space="0" w:color="auto"/>
        <w:bottom w:val="none" w:sz="0" w:space="0" w:color="auto"/>
        <w:right w:val="none" w:sz="0" w:space="0" w:color="auto"/>
      </w:divBdr>
    </w:div>
    <w:div w:id="1219902867">
      <w:bodyDiv w:val="1"/>
      <w:marLeft w:val="0"/>
      <w:marRight w:val="0"/>
      <w:marTop w:val="0"/>
      <w:marBottom w:val="0"/>
      <w:divBdr>
        <w:top w:val="none" w:sz="0" w:space="0" w:color="auto"/>
        <w:left w:val="none" w:sz="0" w:space="0" w:color="auto"/>
        <w:bottom w:val="none" w:sz="0" w:space="0" w:color="auto"/>
        <w:right w:val="none" w:sz="0" w:space="0" w:color="auto"/>
      </w:divBdr>
    </w:div>
    <w:div w:id="1220631725">
      <w:bodyDiv w:val="1"/>
      <w:marLeft w:val="0"/>
      <w:marRight w:val="0"/>
      <w:marTop w:val="0"/>
      <w:marBottom w:val="0"/>
      <w:divBdr>
        <w:top w:val="none" w:sz="0" w:space="0" w:color="auto"/>
        <w:left w:val="none" w:sz="0" w:space="0" w:color="auto"/>
        <w:bottom w:val="none" w:sz="0" w:space="0" w:color="auto"/>
        <w:right w:val="none" w:sz="0" w:space="0" w:color="auto"/>
      </w:divBdr>
    </w:div>
    <w:div w:id="1220826698">
      <w:bodyDiv w:val="1"/>
      <w:marLeft w:val="0"/>
      <w:marRight w:val="0"/>
      <w:marTop w:val="0"/>
      <w:marBottom w:val="0"/>
      <w:divBdr>
        <w:top w:val="none" w:sz="0" w:space="0" w:color="auto"/>
        <w:left w:val="none" w:sz="0" w:space="0" w:color="auto"/>
        <w:bottom w:val="none" w:sz="0" w:space="0" w:color="auto"/>
        <w:right w:val="none" w:sz="0" w:space="0" w:color="auto"/>
      </w:divBdr>
    </w:div>
    <w:div w:id="1221792845">
      <w:bodyDiv w:val="1"/>
      <w:marLeft w:val="0"/>
      <w:marRight w:val="0"/>
      <w:marTop w:val="0"/>
      <w:marBottom w:val="0"/>
      <w:divBdr>
        <w:top w:val="none" w:sz="0" w:space="0" w:color="auto"/>
        <w:left w:val="none" w:sz="0" w:space="0" w:color="auto"/>
        <w:bottom w:val="none" w:sz="0" w:space="0" w:color="auto"/>
        <w:right w:val="none" w:sz="0" w:space="0" w:color="auto"/>
      </w:divBdr>
    </w:div>
    <w:div w:id="1222060784">
      <w:bodyDiv w:val="1"/>
      <w:marLeft w:val="0"/>
      <w:marRight w:val="0"/>
      <w:marTop w:val="0"/>
      <w:marBottom w:val="0"/>
      <w:divBdr>
        <w:top w:val="none" w:sz="0" w:space="0" w:color="auto"/>
        <w:left w:val="none" w:sz="0" w:space="0" w:color="auto"/>
        <w:bottom w:val="none" w:sz="0" w:space="0" w:color="auto"/>
        <w:right w:val="none" w:sz="0" w:space="0" w:color="auto"/>
      </w:divBdr>
    </w:div>
    <w:div w:id="1222792695">
      <w:bodyDiv w:val="1"/>
      <w:marLeft w:val="0"/>
      <w:marRight w:val="0"/>
      <w:marTop w:val="0"/>
      <w:marBottom w:val="0"/>
      <w:divBdr>
        <w:top w:val="none" w:sz="0" w:space="0" w:color="auto"/>
        <w:left w:val="none" w:sz="0" w:space="0" w:color="auto"/>
        <w:bottom w:val="none" w:sz="0" w:space="0" w:color="auto"/>
        <w:right w:val="none" w:sz="0" w:space="0" w:color="auto"/>
      </w:divBdr>
    </w:div>
    <w:div w:id="1223365028">
      <w:bodyDiv w:val="1"/>
      <w:marLeft w:val="0"/>
      <w:marRight w:val="0"/>
      <w:marTop w:val="0"/>
      <w:marBottom w:val="0"/>
      <w:divBdr>
        <w:top w:val="none" w:sz="0" w:space="0" w:color="auto"/>
        <w:left w:val="none" w:sz="0" w:space="0" w:color="auto"/>
        <w:bottom w:val="none" w:sz="0" w:space="0" w:color="auto"/>
        <w:right w:val="none" w:sz="0" w:space="0" w:color="auto"/>
      </w:divBdr>
    </w:div>
    <w:div w:id="1223829268">
      <w:bodyDiv w:val="1"/>
      <w:marLeft w:val="0"/>
      <w:marRight w:val="0"/>
      <w:marTop w:val="0"/>
      <w:marBottom w:val="0"/>
      <w:divBdr>
        <w:top w:val="none" w:sz="0" w:space="0" w:color="auto"/>
        <w:left w:val="none" w:sz="0" w:space="0" w:color="auto"/>
        <w:bottom w:val="none" w:sz="0" w:space="0" w:color="auto"/>
        <w:right w:val="none" w:sz="0" w:space="0" w:color="auto"/>
      </w:divBdr>
    </w:div>
    <w:div w:id="1224368748">
      <w:bodyDiv w:val="1"/>
      <w:marLeft w:val="0"/>
      <w:marRight w:val="0"/>
      <w:marTop w:val="0"/>
      <w:marBottom w:val="0"/>
      <w:divBdr>
        <w:top w:val="none" w:sz="0" w:space="0" w:color="auto"/>
        <w:left w:val="none" w:sz="0" w:space="0" w:color="auto"/>
        <w:bottom w:val="none" w:sz="0" w:space="0" w:color="auto"/>
        <w:right w:val="none" w:sz="0" w:space="0" w:color="auto"/>
      </w:divBdr>
    </w:div>
    <w:div w:id="1225262670">
      <w:bodyDiv w:val="1"/>
      <w:marLeft w:val="0"/>
      <w:marRight w:val="0"/>
      <w:marTop w:val="0"/>
      <w:marBottom w:val="0"/>
      <w:divBdr>
        <w:top w:val="none" w:sz="0" w:space="0" w:color="auto"/>
        <w:left w:val="none" w:sz="0" w:space="0" w:color="auto"/>
        <w:bottom w:val="none" w:sz="0" w:space="0" w:color="auto"/>
        <w:right w:val="none" w:sz="0" w:space="0" w:color="auto"/>
      </w:divBdr>
    </w:div>
    <w:div w:id="1228613815">
      <w:bodyDiv w:val="1"/>
      <w:marLeft w:val="0"/>
      <w:marRight w:val="0"/>
      <w:marTop w:val="0"/>
      <w:marBottom w:val="0"/>
      <w:divBdr>
        <w:top w:val="none" w:sz="0" w:space="0" w:color="auto"/>
        <w:left w:val="none" w:sz="0" w:space="0" w:color="auto"/>
        <w:bottom w:val="none" w:sz="0" w:space="0" w:color="auto"/>
        <w:right w:val="none" w:sz="0" w:space="0" w:color="auto"/>
      </w:divBdr>
    </w:div>
    <w:div w:id="1230076193">
      <w:bodyDiv w:val="1"/>
      <w:marLeft w:val="0"/>
      <w:marRight w:val="0"/>
      <w:marTop w:val="0"/>
      <w:marBottom w:val="0"/>
      <w:divBdr>
        <w:top w:val="none" w:sz="0" w:space="0" w:color="auto"/>
        <w:left w:val="none" w:sz="0" w:space="0" w:color="auto"/>
        <w:bottom w:val="none" w:sz="0" w:space="0" w:color="auto"/>
        <w:right w:val="none" w:sz="0" w:space="0" w:color="auto"/>
      </w:divBdr>
    </w:div>
    <w:div w:id="1233154094">
      <w:bodyDiv w:val="1"/>
      <w:marLeft w:val="0"/>
      <w:marRight w:val="0"/>
      <w:marTop w:val="0"/>
      <w:marBottom w:val="0"/>
      <w:divBdr>
        <w:top w:val="none" w:sz="0" w:space="0" w:color="auto"/>
        <w:left w:val="none" w:sz="0" w:space="0" w:color="auto"/>
        <w:bottom w:val="none" w:sz="0" w:space="0" w:color="auto"/>
        <w:right w:val="none" w:sz="0" w:space="0" w:color="auto"/>
      </w:divBdr>
    </w:div>
    <w:div w:id="1234700310">
      <w:bodyDiv w:val="1"/>
      <w:marLeft w:val="0"/>
      <w:marRight w:val="0"/>
      <w:marTop w:val="0"/>
      <w:marBottom w:val="0"/>
      <w:divBdr>
        <w:top w:val="none" w:sz="0" w:space="0" w:color="auto"/>
        <w:left w:val="none" w:sz="0" w:space="0" w:color="auto"/>
        <w:bottom w:val="none" w:sz="0" w:space="0" w:color="auto"/>
        <w:right w:val="none" w:sz="0" w:space="0" w:color="auto"/>
      </w:divBdr>
    </w:div>
    <w:div w:id="1235042708">
      <w:bodyDiv w:val="1"/>
      <w:marLeft w:val="0"/>
      <w:marRight w:val="0"/>
      <w:marTop w:val="0"/>
      <w:marBottom w:val="0"/>
      <w:divBdr>
        <w:top w:val="none" w:sz="0" w:space="0" w:color="auto"/>
        <w:left w:val="none" w:sz="0" w:space="0" w:color="auto"/>
        <w:bottom w:val="none" w:sz="0" w:space="0" w:color="auto"/>
        <w:right w:val="none" w:sz="0" w:space="0" w:color="auto"/>
      </w:divBdr>
    </w:div>
    <w:div w:id="1235777966">
      <w:bodyDiv w:val="1"/>
      <w:marLeft w:val="0"/>
      <w:marRight w:val="0"/>
      <w:marTop w:val="0"/>
      <w:marBottom w:val="0"/>
      <w:divBdr>
        <w:top w:val="none" w:sz="0" w:space="0" w:color="auto"/>
        <w:left w:val="none" w:sz="0" w:space="0" w:color="auto"/>
        <w:bottom w:val="none" w:sz="0" w:space="0" w:color="auto"/>
        <w:right w:val="none" w:sz="0" w:space="0" w:color="auto"/>
      </w:divBdr>
    </w:div>
    <w:div w:id="1236941323">
      <w:bodyDiv w:val="1"/>
      <w:marLeft w:val="0"/>
      <w:marRight w:val="0"/>
      <w:marTop w:val="0"/>
      <w:marBottom w:val="0"/>
      <w:divBdr>
        <w:top w:val="none" w:sz="0" w:space="0" w:color="auto"/>
        <w:left w:val="none" w:sz="0" w:space="0" w:color="auto"/>
        <w:bottom w:val="none" w:sz="0" w:space="0" w:color="auto"/>
        <w:right w:val="none" w:sz="0" w:space="0" w:color="auto"/>
      </w:divBdr>
    </w:div>
    <w:div w:id="1238126743">
      <w:bodyDiv w:val="1"/>
      <w:marLeft w:val="0"/>
      <w:marRight w:val="0"/>
      <w:marTop w:val="0"/>
      <w:marBottom w:val="0"/>
      <w:divBdr>
        <w:top w:val="none" w:sz="0" w:space="0" w:color="auto"/>
        <w:left w:val="none" w:sz="0" w:space="0" w:color="auto"/>
        <w:bottom w:val="none" w:sz="0" w:space="0" w:color="auto"/>
        <w:right w:val="none" w:sz="0" w:space="0" w:color="auto"/>
      </w:divBdr>
    </w:div>
    <w:div w:id="1238518013">
      <w:bodyDiv w:val="1"/>
      <w:marLeft w:val="0"/>
      <w:marRight w:val="0"/>
      <w:marTop w:val="0"/>
      <w:marBottom w:val="0"/>
      <w:divBdr>
        <w:top w:val="none" w:sz="0" w:space="0" w:color="auto"/>
        <w:left w:val="none" w:sz="0" w:space="0" w:color="auto"/>
        <w:bottom w:val="none" w:sz="0" w:space="0" w:color="auto"/>
        <w:right w:val="none" w:sz="0" w:space="0" w:color="auto"/>
      </w:divBdr>
    </w:div>
    <w:div w:id="1239168212">
      <w:bodyDiv w:val="1"/>
      <w:marLeft w:val="0"/>
      <w:marRight w:val="0"/>
      <w:marTop w:val="0"/>
      <w:marBottom w:val="0"/>
      <w:divBdr>
        <w:top w:val="none" w:sz="0" w:space="0" w:color="auto"/>
        <w:left w:val="none" w:sz="0" w:space="0" w:color="auto"/>
        <w:bottom w:val="none" w:sz="0" w:space="0" w:color="auto"/>
        <w:right w:val="none" w:sz="0" w:space="0" w:color="auto"/>
      </w:divBdr>
    </w:div>
    <w:div w:id="1241017891">
      <w:bodyDiv w:val="1"/>
      <w:marLeft w:val="0"/>
      <w:marRight w:val="0"/>
      <w:marTop w:val="0"/>
      <w:marBottom w:val="0"/>
      <w:divBdr>
        <w:top w:val="none" w:sz="0" w:space="0" w:color="auto"/>
        <w:left w:val="none" w:sz="0" w:space="0" w:color="auto"/>
        <w:bottom w:val="none" w:sz="0" w:space="0" w:color="auto"/>
        <w:right w:val="none" w:sz="0" w:space="0" w:color="auto"/>
      </w:divBdr>
    </w:div>
    <w:div w:id="1241132506">
      <w:bodyDiv w:val="1"/>
      <w:marLeft w:val="0"/>
      <w:marRight w:val="0"/>
      <w:marTop w:val="0"/>
      <w:marBottom w:val="0"/>
      <w:divBdr>
        <w:top w:val="none" w:sz="0" w:space="0" w:color="auto"/>
        <w:left w:val="none" w:sz="0" w:space="0" w:color="auto"/>
        <w:bottom w:val="none" w:sz="0" w:space="0" w:color="auto"/>
        <w:right w:val="none" w:sz="0" w:space="0" w:color="auto"/>
      </w:divBdr>
    </w:div>
    <w:div w:id="1241408668">
      <w:bodyDiv w:val="1"/>
      <w:marLeft w:val="0"/>
      <w:marRight w:val="0"/>
      <w:marTop w:val="0"/>
      <w:marBottom w:val="0"/>
      <w:divBdr>
        <w:top w:val="none" w:sz="0" w:space="0" w:color="auto"/>
        <w:left w:val="none" w:sz="0" w:space="0" w:color="auto"/>
        <w:bottom w:val="none" w:sz="0" w:space="0" w:color="auto"/>
        <w:right w:val="none" w:sz="0" w:space="0" w:color="auto"/>
      </w:divBdr>
    </w:div>
    <w:div w:id="1241671598">
      <w:bodyDiv w:val="1"/>
      <w:marLeft w:val="0"/>
      <w:marRight w:val="0"/>
      <w:marTop w:val="0"/>
      <w:marBottom w:val="0"/>
      <w:divBdr>
        <w:top w:val="none" w:sz="0" w:space="0" w:color="auto"/>
        <w:left w:val="none" w:sz="0" w:space="0" w:color="auto"/>
        <w:bottom w:val="none" w:sz="0" w:space="0" w:color="auto"/>
        <w:right w:val="none" w:sz="0" w:space="0" w:color="auto"/>
      </w:divBdr>
    </w:div>
    <w:div w:id="1242176227">
      <w:bodyDiv w:val="1"/>
      <w:marLeft w:val="0"/>
      <w:marRight w:val="0"/>
      <w:marTop w:val="0"/>
      <w:marBottom w:val="0"/>
      <w:divBdr>
        <w:top w:val="none" w:sz="0" w:space="0" w:color="auto"/>
        <w:left w:val="none" w:sz="0" w:space="0" w:color="auto"/>
        <w:bottom w:val="none" w:sz="0" w:space="0" w:color="auto"/>
        <w:right w:val="none" w:sz="0" w:space="0" w:color="auto"/>
      </w:divBdr>
    </w:div>
    <w:div w:id="1243636163">
      <w:bodyDiv w:val="1"/>
      <w:marLeft w:val="0"/>
      <w:marRight w:val="0"/>
      <w:marTop w:val="0"/>
      <w:marBottom w:val="0"/>
      <w:divBdr>
        <w:top w:val="none" w:sz="0" w:space="0" w:color="auto"/>
        <w:left w:val="none" w:sz="0" w:space="0" w:color="auto"/>
        <w:bottom w:val="none" w:sz="0" w:space="0" w:color="auto"/>
        <w:right w:val="none" w:sz="0" w:space="0" w:color="auto"/>
      </w:divBdr>
    </w:div>
    <w:div w:id="1243756005">
      <w:bodyDiv w:val="1"/>
      <w:marLeft w:val="0"/>
      <w:marRight w:val="0"/>
      <w:marTop w:val="0"/>
      <w:marBottom w:val="0"/>
      <w:divBdr>
        <w:top w:val="none" w:sz="0" w:space="0" w:color="auto"/>
        <w:left w:val="none" w:sz="0" w:space="0" w:color="auto"/>
        <w:bottom w:val="none" w:sz="0" w:space="0" w:color="auto"/>
        <w:right w:val="none" w:sz="0" w:space="0" w:color="auto"/>
      </w:divBdr>
    </w:div>
    <w:div w:id="1244876862">
      <w:bodyDiv w:val="1"/>
      <w:marLeft w:val="0"/>
      <w:marRight w:val="0"/>
      <w:marTop w:val="0"/>
      <w:marBottom w:val="0"/>
      <w:divBdr>
        <w:top w:val="none" w:sz="0" w:space="0" w:color="auto"/>
        <w:left w:val="none" w:sz="0" w:space="0" w:color="auto"/>
        <w:bottom w:val="none" w:sz="0" w:space="0" w:color="auto"/>
        <w:right w:val="none" w:sz="0" w:space="0" w:color="auto"/>
      </w:divBdr>
    </w:div>
    <w:div w:id="1245334169">
      <w:bodyDiv w:val="1"/>
      <w:marLeft w:val="0"/>
      <w:marRight w:val="0"/>
      <w:marTop w:val="0"/>
      <w:marBottom w:val="0"/>
      <w:divBdr>
        <w:top w:val="none" w:sz="0" w:space="0" w:color="auto"/>
        <w:left w:val="none" w:sz="0" w:space="0" w:color="auto"/>
        <w:bottom w:val="none" w:sz="0" w:space="0" w:color="auto"/>
        <w:right w:val="none" w:sz="0" w:space="0" w:color="auto"/>
      </w:divBdr>
    </w:div>
    <w:div w:id="1245645005">
      <w:bodyDiv w:val="1"/>
      <w:marLeft w:val="0"/>
      <w:marRight w:val="0"/>
      <w:marTop w:val="0"/>
      <w:marBottom w:val="0"/>
      <w:divBdr>
        <w:top w:val="none" w:sz="0" w:space="0" w:color="auto"/>
        <w:left w:val="none" w:sz="0" w:space="0" w:color="auto"/>
        <w:bottom w:val="none" w:sz="0" w:space="0" w:color="auto"/>
        <w:right w:val="none" w:sz="0" w:space="0" w:color="auto"/>
      </w:divBdr>
    </w:div>
    <w:div w:id="1246572513">
      <w:bodyDiv w:val="1"/>
      <w:marLeft w:val="0"/>
      <w:marRight w:val="0"/>
      <w:marTop w:val="0"/>
      <w:marBottom w:val="0"/>
      <w:divBdr>
        <w:top w:val="none" w:sz="0" w:space="0" w:color="auto"/>
        <w:left w:val="none" w:sz="0" w:space="0" w:color="auto"/>
        <w:bottom w:val="none" w:sz="0" w:space="0" w:color="auto"/>
        <w:right w:val="none" w:sz="0" w:space="0" w:color="auto"/>
      </w:divBdr>
    </w:div>
    <w:div w:id="1246645666">
      <w:bodyDiv w:val="1"/>
      <w:marLeft w:val="0"/>
      <w:marRight w:val="0"/>
      <w:marTop w:val="0"/>
      <w:marBottom w:val="0"/>
      <w:divBdr>
        <w:top w:val="none" w:sz="0" w:space="0" w:color="auto"/>
        <w:left w:val="none" w:sz="0" w:space="0" w:color="auto"/>
        <w:bottom w:val="none" w:sz="0" w:space="0" w:color="auto"/>
        <w:right w:val="none" w:sz="0" w:space="0" w:color="auto"/>
      </w:divBdr>
    </w:div>
    <w:div w:id="1247302486">
      <w:bodyDiv w:val="1"/>
      <w:marLeft w:val="0"/>
      <w:marRight w:val="0"/>
      <w:marTop w:val="0"/>
      <w:marBottom w:val="0"/>
      <w:divBdr>
        <w:top w:val="none" w:sz="0" w:space="0" w:color="auto"/>
        <w:left w:val="none" w:sz="0" w:space="0" w:color="auto"/>
        <w:bottom w:val="none" w:sz="0" w:space="0" w:color="auto"/>
        <w:right w:val="none" w:sz="0" w:space="0" w:color="auto"/>
      </w:divBdr>
    </w:div>
    <w:div w:id="1249264416">
      <w:bodyDiv w:val="1"/>
      <w:marLeft w:val="0"/>
      <w:marRight w:val="0"/>
      <w:marTop w:val="0"/>
      <w:marBottom w:val="0"/>
      <w:divBdr>
        <w:top w:val="none" w:sz="0" w:space="0" w:color="auto"/>
        <w:left w:val="none" w:sz="0" w:space="0" w:color="auto"/>
        <w:bottom w:val="none" w:sz="0" w:space="0" w:color="auto"/>
        <w:right w:val="none" w:sz="0" w:space="0" w:color="auto"/>
      </w:divBdr>
    </w:div>
    <w:div w:id="1250458434">
      <w:bodyDiv w:val="1"/>
      <w:marLeft w:val="0"/>
      <w:marRight w:val="0"/>
      <w:marTop w:val="0"/>
      <w:marBottom w:val="0"/>
      <w:divBdr>
        <w:top w:val="none" w:sz="0" w:space="0" w:color="auto"/>
        <w:left w:val="none" w:sz="0" w:space="0" w:color="auto"/>
        <w:bottom w:val="none" w:sz="0" w:space="0" w:color="auto"/>
        <w:right w:val="none" w:sz="0" w:space="0" w:color="auto"/>
      </w:divBdr>
    </w:div>
    <w:div w:id="1254510706">
      <w:bodyDiv w:val="1"/>
      <w:marLeft w:val="0"/>
      <w:marRight w:val="0"/>
      <w:marTop w:val="0"/>
      <w:marBottom w:val="0"/>
      <w:divBdr>
        <w:top w:val="none" w:sz="0" w:space="0" w:color="auto"/>
        <w:left w:val="none" w:sz="0" w:space="0" w:color="auto"/>
        <w:bottom w:val="none" w:sz="0" w:space="0" w:color="auto"/>
        <w:right w:val="none" w:sz="0" w:space="0" w:color="auto"/>
      </w:divBdr>
    </w:div>
    <w:div w:id="1255237995">
      <w:bodyDiv w:val="1"/>
      <w:marLeft w:val="0"/>
      <w:marRight w:val="0"/>
      <w:marTop w:val="0"/>
      <w:marBottom w:val="0"/>
      <w:divBdr>
        <w:top w:val="none" w:sz="0" w:space="0" w:color="auto"/>
        <w:left w:val="none" w:sz="0" w:space="0" w:color="auto"/>
        <w:bottom w:val="none" w:sz="0" w:space="0" w:color="auto"/>
        <w:right w:val="none" w:sz="0" w:space="0" w:color="auto"/>
      </w:divBdr>
    </w:div>
    <w:div w:id="1260866365">
      <w:bodyDiv w:val="1"/>
      <w:marLeft w:val="0"/>
      <w:marRight w:val="0"/>
      <w:marTop w:val="0"/>
      <w:marBottom w:val="0"/>
      <w:divBdr>
        <w:top w:val="none" w:sz="0" w:space="0" w:color="auto"/>
        <w:left w:val="none" w:sz="0" w:space="0" w:color="auto"/>
        <w:bottom w:val="none" w:sz="0" w:space="0" w:color="auto"/>
        <w:right w:val="none" w:sz="0" w:space="0" w:color="auto"/>
      </w:divBdr>
    </w:div>
    <w:div w:id="1261600241">
      <w:bodyDiv w:val="1"/>
      <w:marLeft w:val="0"/>
      <w:marRight w:val="0"/>
      <w:marTop w:val="0"/>
      <w:marBottom w:val="0"/>
      <w:divBdr>
        <w:top w:val="none" w:sz="0" w:space="0" w:color="auto"/>
        <w:left w:val="none" w:sz="0" w:space="0" w:color="auto"/>
        <w:bottom w:val="none" w:sz="0" w:space="0" w:color="auto"/>
        <w:right w:val="none" w:sz="0" w:space="0" w:color="auto"/>
      </w:divBdr>
    </w:div>
    <w:div w:id="1263152119">
      <w:bodyDiv w:val="1"/>
      <w:marLeft w:val="0"/>
      <w:marRight w:val="0"/>
      <w:marTop w:val="0"/>
      <w:marBottom w:val="0"/>
      <w:divBdr>
        <w:top w:val="none" w:sz="0" w:space="0" w:color="auto"/>
        <w:left w:val="none" w:sz="0" w:space="0" w:color="auto"/>
        <w:bottom w:val="none" w:sz="0" w:space="0" w:color="auto"/>
        <w:right w:val="none" w:sz="0" w:space="0" w:color="auto"/>
      </w:divBdr>
    </w:div>
    <w:div w:id="1264267378">
      <w:bodyDiv w:val="1"/>
      <w:marLeft w:val="0"/>
      <w:marRight w:val="0"/>
      <w:marTop w:val="0"/>
      <w:marBottom w:val="0"/>
      <w:divBdr>
        <w:top w:val="none" w:sz="0" w:space="0" w:color="auto"/>
        <w:left w:val="none" w:sz="0" w:space="0" w:color="auto"/>
        <w:bottom w:val="none" w:sz="0" w:space="0" w:color="auto"/>
        <w:right w:val="none" w:sz="0" w:space="0" w:color="auto"/>
      </w:divBdr>
    </w:div>
    <w:div w:id="1266307361">
      <w:bodyDiv w:val="1"/>
      <w:marLeft w:val="0"/>
      <w:marRight w:val="0"/>
      <w:marTop w:val="0"/>
      <w:marBottom w:val="0"/>
      <w:divBdr>
        <w:top w:val="none" w:sz="0" w:space="0" w:color="auto"/>
        <w:left w:val="none" w:sz="0" w:space="0" w:color="auto"/>
        <w:bottom w:val="none" w:sz="0" w:space="0" w:color="auto"/>
        <w:right w:val="none" w:sz="0" w:space="0" w:color="auto"/>
      </w:divBdr>
    </w:div>
    <w:div w:id="1267663677">
      <w:bodyDiv w:val="1"/>
      <w:marLeft w:val="0"/>
      <w:marRight w:val="0"/>
      <w:marTop w:val="0"/>
      <w:marBottom w:val="0"/>
      <w:divBdr>
        <w:top w:val="none" w:sz="0" w:space="0" w:color="auto"/>
        <w:left w:val="none" w:sz="0" w:space="0" w:color="auto"/>
        <w:bottom w:val="none" w:sz="0" w:space="0" w:color="auto"/>
        <w:right w:val="none" w:sz="0" w:space="0" w:color="auto"/>
      </w:divBdr>
    </w:div>
    <w:div w:id="1274479473">
      <w:bodyDiv w:val="1"/>
      <w:marLeft w:val="0"/>
      <w:marRight w:val="0"/>
      <w:marTop w:val="0"/>
      <w:marBottom w:val="0"/>
      <w:divBdr>
        <w:top w:val="none" w:sz="0" w:space="0" w:color="auto"/>
        <w:left w:val="none" w:sz="0" w:space="0" w:color="auto"/>
        <w:bottom w:val="none" w:sz="0" w:space="0" w:color="auto"/>
        <w:right w:val="none" w:sz="0" w:space="0" w:color="auto"/>
      </w:divBdr>
    </w:div>
    <w:div w:id="1274903147">
      <w:bodyDiv w:val="1"/>
      <w:marLeft w:val="0"/>
      <w:marRight w:val="0"/>
      <w:marTop w:val="0"/>
      <w:marBottom w:val="0"/>
      <w:divBdr>
        <w:top w:val="none" w:sz="0" w:space="0" w:color="auto"/>
        <w:left w:val="none" w:sz="0" w:space="0" w:color="auto"/>
        <w:bottom w:val="none" w:sz="0" w:space="0" w:color="auto"/>
        <w:right w:val="none" w:sz="0" w:space="0" w:color="auto"/>
      </w:divBdr>
    </w:div>
    <w:div w:id="1275550532">
      <w:bodyDiv w:val="1"/>
      <w:marLeft w:val="0"/>
      <w:marRight w:val="0"/>
      <w:marTop w:val="0"/>
      <w:marBottom w:val="0"/>
      <w:divBdr>
        <w:top w:val="none" w:sz="0" w:space="0" w:color="auto"/>
        <w:left w:val="none" w:sz="0" w:space="0" w:color="auto"/>
        <w:bottom w:val="none" w:sz="0" w:space="0" w:color="auto"/>
        <w:right w:val="none" w:sz="0" w:space="0" w:color="auto"/>
      </w:divBdr>
    </w:div>
    <w:div w:id="1278680995">
      <w:bodyDiv w:val="1"/>
      <w:marLeft w:val="0"/>
      <w:marRight w:val="0"/>
      <w:marTop w:val="0"/>
      <w:marBottom w:val="0"/>
      <w:divBdr>
        <w:top w:val="none" w:sz="0" w:space="0" w:color="auto"/>
        <w:left w:val="none" w:sz="0" w:space="0" w:color="auto"/>
        <w:bottom w:val="none" w:sz="0" w:space="0" w:color="auto"/>
        <w:right w:val="none" w:sz="0" w:space="0" w:color="auto"/>
      </w:divBdr>
    </w:div>
    <w:div w:id="1279946442">
      <w:bodyDiv w:val="1"/>
      <w:marLeft w:val="0"/>
      <w:marRight w:val="0"/>
      <w:marTop w:val="0"/>
      <w:marBottom w:val="0"/>
      <w:divBdr>
        <w:top w:val="none" w:sz="0" w:space="0" w:color="auto"/>
        <w:left w:val="none" w:sz="0" w:space="0" w:color="auto"/>
        <w:bottom w:val="none" w:sz="0" w:space="0" w:color="auto"/>
        <w:right w:val="none" w:sz="0" w:space="0" w:color="auto"/>
      </w:divBdr>
    </w:div>
    <w:div w:id="1280184066">
      <w:bodyDiv w:val="1"/>
      <w:marLeft w:val="0"/>
      <w:marRight w:val="0"/>
      <w:marTop w:val="0"/>
      <w:marBottom w:val="0"/>
      <w:divBdr>
        <w:top w:val="none" w:sz="0" w:space="0" w:color="auto"/>
        <w:left w:val="none" w:sz="0" w:space="0" w:color="auto"/>
        <w:bottom w:val="none" w:sz="0" w:space="0" w:color="auto"/>
        <w:right w:val="none" w:sz="0" w:space="0" w:color="auto"/>
      </w:divBdr>
    </w:div>
    <w:div w:id="1282418598">
      <w:bodyDiv w:val="1"/>
      <w:marLeft w:val="0"/>
      <w:marRight w:val="0"/>
      <w:marTop w:val="0"/>
      <w:marBottom w:val="0"/>
      <w:divBdr>
        <w:top w:val="none" w:sz="0" w:space="0" w:color="auto"/>
        <w:left w:val="none" w:sz="0" w:space="0" w:color="auto"/>
        <w:bottom w:val="none" w:sz="0" w:space="0" w:color="auto"/>
        <w:right w:val="none" w:sz="0" w:space="0" w:color="auto"/>
      </w:divBdr>
    </w:div>
    <w:div w:id="1282495476">
      <w:bodyDiv w:val="1"/>
      <w:marLeft w:val="0"/>
      <w:marRight w:val="0"/>
      <w:marTop w:val="0"/>
      <w:marBottom w:val="0"/>
      <w:divBdr>
        <w:top w:val="none" w:sz="0" w:space="0" w:color="auto"/>
        <w:left w:val="none" w:sz="0" w:space="0" w:color="auto"/>
        <w:bottom w:val="none" w:sz="0" w:space="0" w:color="auto"/>
        <w:right w:val="none" w:sz="0" w:space="0" w:color="auto"/>
      </w:divBdr>
    </w:div>
    <w:div w:id="1282498494">
      <w:bodyDiv w:val="1"/>
      <w:marLeft w:val="0"/>
      <w:marRight w:val="0"/>
      <w:marTop w:val="0"/>
      <w:marBottom w:val="0"/>
      <w:divBdr>
        <w:top w:val="none" w:sz="0" w:space="0" w:color="auto"/>
        <w:left w:val="none" w:sz="0" w:space="0" w:color="auto"/>
        <w:bottom w:val="none" w:sz="0" w:space="0" w:color="auto"/>
        <w:right w:val="none" w:sz="0" w:space="0" w:color="auto"/>
      </w:divBdr>
    </w:div>
    <w:div w:id="1284266354">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286692250">
      <w:bodyDiv w:val="1"/>
      <w:marLeft w:val="0"/>
      <w:marRight w:val="0"/>
      <w:marTop w:val="0"/>
      <w:marBottom w:val="0"/>
      <w:divBdr>
        <w:top w:val="none" w:sz="0" w:space="0" w:color="auto"/>
        <w:left w:val="none" w:sz="0" w:space="0" w:color="auto"/>
        <w:bottom w:val="none" w:sz="0" w:space="0" w:color="auto"/>
        <w:right w:val="none" w:sz="0" w:space="0" w:color="auto"/>
      </w:divBdr>
    </w:div>
    <w:div w:id="1288469846">
      <w:bodyDiv w:val="1"/>
      <w:marLeft w:val="0"/>
      <w:marRight w:val="0"/>
      <w:marTop w:val="0"/>
      <w:marBottom w:val="0"/>
      <w:divBdr>
        <w:top w:val="none" w:sz="0" w:space="0" w:color="auto"/>
        <w:left w:val="none" w:sz="0" w:space="0" w:color="auto"/>
        <w:bottom w:val="none" w:sz="0" w:space="0" w:color="auto"/>
        <w:right w:val="none" w:sz="0" w:space="0" w:color="auto"/>
      </w:divBdr>
    </w:div>
    <w:div w:id="1288582559">
      <w:bodyDiv w:val="1"/>
      <w:marLeft w:val="0"/>
      <w:marRight w:val="0"/>
      <w:marTop w:val="0"/>
      <w:marBottom w:val="0"/>
      <w:divBdr>
        <w:top w:val="none" w:sz="0" w:space="0" w:color="auto"/>
        <w:left w:val="none" w:sz="0" w:space="0" w:color="auto"/>
        <w:bottom w:val="none" w:sz="0" w:space="0" w:color="auto"/>
        <w:right w:val="none" w:sz="0" w:space="0" w:color="auto"/>
      </w:divBdr>
    </w:div>
    <w:div w:id="1292325732">
      <w:bodyDiv w:val="1"/>
      <w:marLeft w:val="0"/>
      <w:marRight w:val="0"/>
      <w:marTop w:val="0"/>
      <w:marBottom w:val="0"/>
      <w:divBdr>
        <w:top w:val="none" w:sz="0" w:space="0" w:color="auto"/>
        <w:left w:val="none" w:sz="0" w:space="0" w:color="auto"/>
        <w:bottom w:val="none" w:sz="0" w:space="0" w:color="auto"/>
        <w:right w:val="none" w:sz="0" w:space="0" w:color="auto"/>
      </w:divBdr>
    </w:div>
    <w:div w:id="1297446501">
      <w:bodyDiv w:val="1"/>
      <w:marLeft w:val="0"/>
      <w:marRight w:val="0"/>
      <w:marTop w:val="0"/>
      <w:marBottom w:val="0"/>
      <w:divBdr>
        <w:top w:val="none" w:sz="0" w:space="0" w:color="auto"/>
        <w:left w:val="none" w:sz="0" w:space="0" w:color="auto"/>
        <w:bottom w:val="none" w:sz="0" w:space="0" w:color="auto"/>
        <w:right w:val="none" w:sz="0" w:space="0" w:color="auto"/>
      </w:divBdr>
    </w:div>
    <w:div w:id="1298753383">
      <w:bodyDiv w:val="1"/>
      <w:marLeft w:val="0"/>
      <w:marRight w:val="0"/>
      <w:marTop w:val="0"/>
      <w:marBottom w:val="0"/>
      <w:divBdr>
        <w:top w:val="none" w:sz="0" w:space="0" w:color="auto"/>
        <w:left w:val="none" w:sz="0" w:space="0" w:color="auto"/>
        <w:bottom w:val="none" w:sz="0" w:space="0" w:color="auto"/>
        <w:right w:val="none" w:sz="0" w:space="0" w:color="auto"/>
      </w:divBdr>
    </w:div>
    <w:div w:id="1300110946">
      <w:bodyDiv w:val="1"/>
      <w:marLeft w:val="0"/>
      <w:marRight w:val="0"/>
      <w:marTop w:val="0"/>
      <w:marBottom w:val="0"/>
      <w:divBdr>
        <w:top w:val="none" w:sz="0" w:space="0" w:color="auto"/>
        <w:left w:val="none" w:sz="0" w:space="0" w:color="auto"/>
        <w:bottom w:val="none" w:sz="0" w:space="0" w:color="auto"/>
        <w:right w:val="none" w:sz="0" w:space="0" w:color="auto"/>
      </w:divBdr>
    </w:div>
    <w:div w:id="1302269560">
      <w:bodyDiv w:val="1"/>
      <w:marLeft w:val="0"/>
      <w:marRight w:val="0"/>
      <w:marTop w:val="0"/>
      <w:marBottom w:val="0"/>
      <w:divBdr>
        <w:top w:val="none" w:sz="0" w:space="0" w:color="auto"/>
        <w:left w:val="none" w:sz="0" w:space="0" w:color="auto"/>
        <w:bottom w:val="none" w:sz="0" w:space="0" w:color="auto"/>
        <w:right w:val="none" w:sz="0" w:space="0" w:color="auto"/>
      </w:divBdr>
    </w:div>
    <w:div w:id="1303081171">
      <w:bodyDiv w:val="1"/>
      <w:marLeft w:val="0"/>
      <w:marRight w:val="0"/>
      <w:marTop w:val="0"/>
      <w:marBottom w:val="0"/>
      <w:divBdr>
        <w:top w:val="none" w:sz="0" w:space="0" w:color="auto"/>
        <w:left w:val="none" w:sz="0" w:space="0" w:color="auto"/>
        <w:bottom w:val="none" w:sz="0" w:space="0" w:color="auto"/>
        <w:right w:val="none" w:sz="0" w:space="0" w:color="auto"/>
      </w:divBdr>
    </w:div>
    <w:div w:id="1304307408">
      <w:bodyDiv w:val="1"/>
      <w:marLeft w:val="0"/>
      <w:marRight w:val="0"/>
      <w:marTop w:val="0"/>
      <w:marBottom w:val="0"/>
      <w:divBdr>
        <w:top w:val="none" w:sz="0" w:space="0" w:color="auto"/>
        <w:left w:val="none" w:sz="0" w:space="0" w:color="auto"/>
        <w:bottom w:val="none" w:sz="0" w:space="0" w:color="auto"/>
        <w:right w:val="none" w:sz="0" w:space="0" w:color="auto"/>
      </w:divBdr>
    </w:div>
    <w:div w:id="1304582909">
      <w:bodyDiv w:val="1"/>
      <w:marLeft w:val="0"/>
      <w:marRight w:val="0"/>
      <w:marTop w:val="0"/>
      <w:marBottom w:val="0"/>
      <w:divBdr>
        <w:top w:val="none" w:sz="0" w:space="0" w:color="auto"/>
        <w:left w:val="none" w:sz="0" w:space="0" w:color="auto"/>
        <w:bottom w:val="none" w:sz="0" w:space="0" w:color="auto"/>
        <w:right w:val="none" w:sz="0" w:space="0" w:color="auto"/>
      </w:divBdr>
    </w:div>
    <w:div w:id="1307710607">
      <w:bodyDiv w:val="1"/>
      <w:marLeft w:val="0"/>
      <w:marRight w:val="0"/>
      <w:marTop w:val="0"/>
      <w:marBottom w:val="0"/>
      <w:divBdr>
        <w:top w:val="none" w:sz="0" w:space="0" w:color="auto"/>
        <w:left w:val="none" w:sz="0" w:space="0" w:color="auto"/>
        <w:bottom w:val="none" w:sz="0" w:space="0" w:color="auto"/>
        <w:right w:val="none" w:sz="0" w:space="0" w:color="auto"/>
      </w:divBdr>
    </w:div>
    <w:div w:id="1308129860">
      <w:bodyDiv w:val="1"/>
      <w:marLeft w:val="0"/>
      <w:marRight w:val="0"/>
      <w:marTop w:val="0"/>
      <w:marBottom w:val="0"/>
      <w:divBdr>
        <w:top w:val="none" w:sz="0" w:space="0" w:color="auto"/>
        <w:left w:val="none" w:sz="0" w:space="0" w:color="auto"/>
        <w:bottom w:val="none" w:sz="0" w:space="0" w:color="auto"/>
        <w:right w:val="none" w:sz="0" w:space="0" w:color="auto"/>
      </w:divBdr>
    </w:div>
    <w:div w:id="1317298994">
      <w:bodyDiv w:val="1"/>
      <w:marLeft w:val="0"/>
      <w:marRight w:val="0"/>
      <w:marTop w:val="0"/>
      <w:marBottom w:val="0"/>
      <w:divBdr>
        <w:top w:val="none" w:sz="0" w:space="0" w:color="auto"/>
        <w:left w:val="none" w:sz="0" w:space="0" w:color="auto"/>
        <w:bottom w:val="none" w:sz="0" w:space="0" w:color="auto"/>
        <w:right w:val="none" w:sz="0" w:space="0" w:color="auto"/>
      </w:divBdr>
    </w:div>
    <w:div w:id="1318220314">
      <w:bodyDiv w:val="1"/>
      <w:marLeft w:val="0"/>
      <w:marRight w:val="0"/>
      <w:marTop w:val="0"/>
      <w:marBottom w:val="0"/>
      <w:divBdr>
        <w:top w:val="none" w:sz="0" w:space="0" w:color="auto"/>
        <w:left w:val="none" w:sz="0" w:space="0" w:color="auto"/>
        <w:bottom w:val="none" w:sz="0" w:space="0" w:color="auto"/>
        <w:right w:val="none" w:sz="0" w:space="0" w:color="auto"/>
      </w:divBdr>
    </w:div>
    <w:div w:id="1319457928">
      <w:bodyDiv w:val="1"/>
      <w:marLeft w:val="0"/>
      <w:marRight w:val="0"/>
      <w:marTop w:val="0"/>
      <w:marBottom w:val="0"/>
      <w:divBdr>
        <w:top w:val="none" w:sz="0" w:space="0" w:color="auto"/>
        <w:left w:val="none" w:sz="0" w:space="0" w:color="auto"/>
        <w:bottom w:val="none" w:sz="0" w:space="0" w:color="auto"/>
        <w:right w:val="none" w:sz="0" w:space="0" w:color="auto"/>
      </w:divBdr>
    </w:div>
    <w:div w:id="1319533131">
      <w:bodyDiv w:val="1"/>
      <w:marLeft w:val="0"/>
      <w:marRight w:val="0"/>
      <w:marTop w:val="0"/>
      <w:marBottom w:val="0"/>
      <w:divBdr>
        <w:top w:val="none" w:sz="0" w:space="0" w:color="auto"/>
        <w:left w:val="none" w:sz="0" w:space="0" w:color="auto"/>
        <w:bottom w:val="none" w:sz="0" w:space="0" w:color="auto"/>
        <w:right w:val="none" w:sz="0" w:space="0" w:color="auto"/>
      </w:divBdr>
    </w:div>
    <w:div w:id="1321886715">
      <w:bodyDiv w:val="1"/>
      <w:marLeft w:val="0"/>
      <w:marRight w:val="0"/>
      <w:marTop w:val="0"/>
      <w:marBottom w:val="0"/>
      <w:divBdr>
        <w:top w:val="none" w:sz="0" w:space="0" w:color="auto"/>
        <w:left w:val="none" w:sz="0" w:space="0" w:color="auto"/>
        <w:bottom w:val="none" w:sz="0" w:space="0" w:color="auto"/>
        <w:right w:val="none" w:sz="0" w:space="0" w:color="auto"/>
      </w:divBdr>
    </w:div>
    <w:div w:id="1323042637">
      <w:bodyDiv w:val="1"/>
      <w:marLeft w:val="0"/>
      <w:marRight w:val="0"/>
      <w:marTop w:val="0"/>
      <w:marBottom w:val="0"/>
      <w:divBdr>
        <w:top w:val="none" w:sz="0" w:space="0" w:color="auto"/>
        <w:left w:val="none" w:sz="0" w:space="0" w:color="auto"/>
        <w:bottom w:val="none" w:sz="0" w:space="0" w:color="auto"/>
        <w:right w:val="none" w:sz="0" w:space="0" w:color="auto"/>
      </w:divBdr>
    </w:div>
    <w:div w:id="1325350840">
      <w:bodyDiv w:val="1"/>
      <w:marLeft w:val="0"/>
      <w:marRight w:val="0"/>
      <w:marTop w:val="0"/>
      <w:marBottom w:val="0"/>
      <w:divBdr>
        <w:top w:val="none" w:sz="0" w:space="0" w:color="auto"/>
        <w:left w:val="none" w:sz="0" w:space="0" w:color="auto"/>
        <w:bottom w:val="none" w:sz="0" w:space="0" w:color="auto"/>
        <w:right w:val="none" w:sz="0" w:space="0" w:color="auto"/>
      </w:divBdr>
    </w:div>
    <w:div w:id="1326055594">
      <w:bodyDiv w:val="1"/>
      <w:marLeft w:val="0"/>
      <w:marRight w:val="0"/>
      <w:marTop w:val="0"/>
      <w:marBottom w:val="0"/>
      <w:divBdr>
        <w:top w:val="none" w:sz="0" w:space="0" w:color="auto"/>
        <w:left w:val="none" w:sz="0" w:space="0" w:color="auto"/>
        <w:bottom w:val="none" w:sz="0" w:space="0" w:color="auto"/>
        <w:right w:val="none" w:sz="0" w:space="0" w:color="auto"/>
      </w:divBdr>
    </w:div>
    <w:div w:id="1327979533">
      <w:bodyDiv w:val="1"/>
      <w:marLeft w:val="0"/>
      <w:marRight w:val="0"/>
      <w:marTop w:val="0"/>
      <w:marBottom w:val="0"/>
      <w:divBdr>
        <w:top w:val="none" w:sz="0" w:space="0" w:color="auto"/>
        <w:left w:val="none" w:sz="0" w:space="0" w:color="auto"/>
        <w:bottom w:val="none" w:sz="0" w:space="0" w:color="auto"/>
        <w:right w:val="none" w:sz="0" w:space="0" w:color="auto"/>
      </w:divBdr>
    </w:div>
    <w:div w:id="1328442696">
      <w:bodyDiv w:val="1"/>
      <w:marLeft w:val="0"/>
      <w:marRight w:val="0"/>
      <w:marTop w:val="0"/>
      <w:marBottom w:val="0"/>
      <w:divBdr>
        <w:top w:val="none" w:sz="0" w:space="0" w:color="auto"/>
        <w:left w:val="none" w:sz="0" w:space="0" w:color="auto"/>
        <w:bottom w:val="none" w:sz="0" w:space="0" w:color="auto"/>
        <w:right w:val="none" w:sz="0" w:space="0" w:color="auto"/>
      </w:divBdr>
    </w:div>
    <w:div w:id="1328558348">
      <w:bodyDiv w:val="1"/>
      <w:marLeft w:val="0"/>
      <w:marRight w:val="0"/>
      <w:marTop w:val="0"/>
      <w:marBottom w:val="0"/>
      <w:divBdr>
        <w:top w:val="none" w:sz="0" w:space="0" w:color="auto"/>
        <w:left w:val="none" w:sz="0" w:space="0" w:color="auto"/>
        <w:bottom w:val="none" w:sz="0" w:space="0" w:color="auto"/>
        <w:right w:val="none" w:sz="0" w:space="0" w:color="auto"/>
      </w:divBdr>
    </w:div>
    <w:div w:id="1328941049">
      <w:bodyDiv w:val="1"/>
      <w:marLeft w:val="0"/>
      <w:marRight w:val="0"/>
      <w:marTop w:val="0"/>
      <w:marBottom w:val="0"/>
      <w:divBdr>
        <w:top w:val="none" w:sz="0" w:space="0" w:color="auto"/>
        <w:left w:val="none" w:sz="0" w:space="0" w:color="auto"/>
        <w:bottom w:val="none" w:sz="0" w:space="0" w:color="auto"/>
        <w:right w:val="none" w:sz="0" w:space="0" w:color="auto"/>
      </w:divBdr>
    </w:div>
    <w:div w:id="1330249801">
      <w:bodyDiv w:val="1"/>
      <w:marLeft w:val="0"/>
      <w:marRight w:val="0"/>
      <w:marTop w:val="0"/>
      <w:marBottom w:val="0"/>
      <w:divBdr>
        <w:top w:val="none" w:sz="0" w:space="0" w:color="auto"/>
        <w:left w:val="none" w:sz="0" w:space="0" w:color="auto"/>
        <w:bottom w:val="none" w:sz="0" w:space="0" w:color="auto"/>
        <w:right w:val="none" w:sz="0" w:space="0" w:color="auto"/>
      </w:divBdr>
    </w:div>
    <w:div w:id="1330910883">
      <w:bodyDiv w:val="1"/>
      <w:marLeft w:val="0"/>
      <w:marRight w:val="0"/>
      <w:marTop w:val="0"/>
      <w:marBottom w:val="0"/>
      <w:divBdr>
        <w:top w:val="none" w:sz="0" w:space="0" w:color="auto"/>
        <w:left w:val="none" w:sz="0" w:space="0" w:color="auto"/>
        <w:bottom w:val="none" w:sz="0" w:space="0" w:color="auto"/>
        <w:right w:val="none" w:sz="0" w:space="0" w:color="auto"/>
      </w:divBdr>
    </w:div>
    <w:div w:id="1331131275">
      <w:bodyDiv w:val="1"/>
      <w:marLeft w:val="0"/>
      <w:marRight w:val="0"/>
      <w:marTop w:val="0"/>
      <w:marBottom w:val="0"/>
      <w:divBdr>
        <w:top w:val="none" w:sz="0" w:space="0" w:color="auto"/>
        <w:left w:val="none" w:sz="0" w:space="0" w:color="auto"/>
        <w:bottom w:val="none" w:sz="0" w:space="0" w:color="auto"/>
        <w:right w:val="none" w:sz="0" w:space="0" w:color="auto"/>
      </w:divBdr>
      <w:divsChild>
        <w:div w:id="315719384">
          <w:marLeft w:val="0"/>
          <w:marRight w:val="0"/>
          <w:marTop w:val="0"/>
          <w:marBottom w:val="0"/>
          <w:divBdr>
            <w:top w:val="none" w:sz="0" w:space="0" w:color="auto"/>
            <w:left w:val="none" w:sz="0" w:space="0" w:color="auto"/>
            <w:bottom w:val="none" w:sz="0" w:space="0" w:color="auto"/>
            <w:right w:val="none" w:sz="0" w:space="0" w:color="auto"/>
          </w:divBdr>
        </w:div>
        <w:div w:id="1331717497">
          <w:marLeft w:val="0"/>
          <w:marRight w:val="0"/>
          <w:marTop w:val="0"/>
          <w:marBottom w:val="0"/>
          <w:divBdr>
            <w:top w:val="none" w:sz="0" w:space="0" w:color="auto"/>
            <w:left w:val="none" w:sz="0" w:space="0" w:color="auto"/>
            <w:bottom w:val="none" w:sz="0" w:space="0" w:color="auto"/>
            <w:right w:val="none" w:sz="0" w:space="0" w:color="auto"/>
          </w:divBdr>
        </w:div>
        <w:div w:id="1963997627">
          <w:marLeft w:val="0"/>
          <w:marRight w:val="0"/>
          <w:marTop w:val="0"/>
          <w:marBottom w:val="0"/>
          <w:divBdr>
            <w:top w:val="none" w:sz="0" w:space="0" w:color="auto"/>
            <w:left w:val="none" w:sz="0" w:space="0" w:color="auto"/>
            <w:bottom w:val="none" w:sz="0" w:space="0" w:color="auto"/>
            <w:right w:val="none" w:sz="0" w:space="0" w:color="auto"/>
          </w:divBdr>
        </w:div>
        <w:div w:id="2077632255">
          <w:marLeft w:val="0"/>
          <w:marRight w:val="0"/>
          <w:marTop w:val="0"/>
          <w:marBottom w:val="0"/>
          <w:divBdr>
            <w:top w:val="none" w:sz="0" w:space="0" w:color="auto"/>
            <w:left w:val="none" w:sz="0" w:space="0" w:color="auto"/>
            <w:bottom w:val="none" w:sz="0" w:space="0" w:color="auto"/>
            <w:right w:val="none" w:sz="0" w:space="0" w:color="auto"/>
          </w:divBdr>
        </w:div>
      </w:divsChild>
    </w:div>
    <w:div w:id="1331330254">
      <w:bodyDiv w:val="1"/>
      <w:marLeft w:val="0"/>
      <w:marRight w:val="0"/>
      <w:marTop w:val="0"/>
      <w:marBottom w:val="0"/>
      <w:divBdr>
        <w:top w:val="none" w:sz="0" w:space="0" w:color="auto"/>
        <w:left w:val="none" w:sz="0" w:space="0" w:color="auto"/>
        <w:bottom w:val="none" w:sz="0" w:space="0" w:color="auto"/>
        <w:right w:val="none" w:sz="0" w:space="0" w:color="auto"/>
      </w:divBdr>
    </w:div>
    <w:div w:id="1331373883">
      <w:bodyDiv w:val="1"/>
      <w:marLeft w:val="0"/>
      <w:marRight w:val="0"/>
      <w:marTop w:val="0"/>
      <w:marBottom w:val="0"/>
      <w:divBdr>
        <w:top w:val="none" w:sz="0" w:space="0" w:color="auto"/>
        <w:left w:val="none" w:sz="0" w:space="0" w:color="auto"/>
        <w:bottom w:val="none" w:sz="0" w:space="0" w:color="auto"/>
        <w:right w:val="none" w:sz="0" w:space="0" w:color="auto"/>
      </w:divBdr>
    </w:div>
    <w:div w:id="1332680731">
      <w:bodyDiv w:val="1"/>
      <w:marLeft w:val="0"/>
      <w:marRight w:val="0"/>
      <w:marTop w:val="0"/>
      <w:marBottom w:val="0"/>
      <w:divBdr>
        <w:top w:val="none" w:sz="0" w:space="0" w:color="auto"/>
        <w:left w:val="none" w:sz="0" w:space="0" w:color="auto"/>
        <w:bottom w:val="none" w:sz="0" w:space="0" w:color="auto"/>
        <w:right w:val="none" w:sz="0" w:space="0" w:color="auto"/>
      </w:divBdr>
    </w:div>
    <w:div w:id="1332752027">
      <w:bodyDiv w:val="1"/>
      <w:marLeft w:val="0"/>
      <w:marRight w:val="0"/>
      <w:marTop w:val="0"/>
      <w:marBottom w:val="0"/>
      <w:divBdr>
        <w:top w:val="none" w:sz="0" w:space="0" w:color="auto"/>
        <w:left w:val="none" w:sz="0" w:space="0" w:color="auto"/>
        <w:bottom w:val="none" w:sz="0" w:space="0" w:color="auto"/>
        <w:right w:val="none" w:sz="0" w:space="0" w:color="auto"/>
      </w:divBdr>
    </w:div>
    <w:div w:id="1333485123">
      <w:bodyDiv w:val="1"/>
      <w:marLeft w:val="0"/>
      <w:marRight w:val="0"/>
      <w:marTop w:val="0"/>
      <w:marBottom w:val="0"/>
      <w:divBdr>
        <w:top w:val="none" w:sz="0" w:space="0" w:color="auto"/>
        <w:left w:val="none" w:sz="0" w:space="0" w:color="auto"/>
        <w:bottom w:val="none" w:sz="0" w:space="0" w:color="auto"/>
        <w:right w:val="none" w:sz="0" w:space="0" w:color="auto"/>
      </w:divBdr>
    </w:div>
    <w:div w:id="1334138447">
      <w:bodyDiv w:val="1"/>
      <w:marLeft w:val="0"/>
      <w:marRight w:val="0"/>
      <w:marTop w:val="0"/>
      <w:marBottom w:val="0"/>
      <w:divBdr>
        <w:top w:val="none" w:sz="0" w:space="0" w:color="auto"/>
        <w:left w:val="none" w:sz="0" w:space="0" w:color="auto"/>
        <w:bottom w:val="none" w:sz="0" w:space="0" w:color="auto"/>
        <w:right w:val="none" w:sz="0" w:space="0" w:color="auto"/>
      </w:divBdr>
    </w:div>
    <w:div w:id="1336568036">
      <w:bodyDiv w:val="1"/>
      <w:marLeft w:val="0"/>
      <w:marRight w:val="0"/>
      <w:marTop w:val="0"/>
      <w:marBottom w:val="0"/>
      <w:divBdr>
        <w:top w:val="none" w:sz="0" w:space="0" w:color="auto"/>
        <w:left w:val="none" w:sz="0" w:space="0" w:color="auto"/>
        <w:bottom w:val="none" w:sz="0" w:space="0" w:color="auto"/>
        <w:right w:val="none" w:sz="0" w:space="0" w:color="auto"/>
      </w:divBdr>
    </w:div>
    <w:div w:id="1336573788">
      <w:bodyDiv w:val="1"/>
      <w:marLeft w:val="0"/>
      <w:marRight w:val="0"/>
      <w:marTop w:val="0"/>
      <w:marBottom w:val="0"/>
      <w:divBdr>
        <w:top w:val="none" w:sz="0" w:space="0" w:color="auto"/>
        <w:left w:val="none" w:sz="0" w:space="0" w:color="auto"/>
        <w:bottom w:val="none" w:sz="0" w:space="0" w:color="auto"/>
        <w:right w:val="none" w:sz="0" w:space="0" w:color="auto"/>
      </w:divBdr>
    </w:div>
    <w:div w:id="1337416169">
      <w:bodyDiv w:val="1"/>
      <w:marLeft w:val="0"/>
      <w:marRight w:val="0"/>
      <w:marTop w:val="0"/>
      <w:marBottom w:val="0"/>
      <w:divBdr>
        <w:top w:val="none" w:sz="0" w:space="0" w:color="auto"/>
        <w:left w:val="none" w:sz="0" w:space="0" w:color="auto"/>
        <w:bottom w:val="none" w:sz="0" w:space="0" w:color="auto"/>
        <w:right w:val="none" w:sz="0" w:space="0" w:color="auto"/>
      </w:divBdr>
    </w:div>
    <w:div w:id="1339383767">
      <w:bodyDiv w:val="1"/>
      <w:marLeft w:val="0"/>
      <w:marRight w:val="0"/>
      <w:marTop w:val="0"/>
      <w:marBottom w:val="0"/>
      <w:divBdr>
        <w:top w:val="none" w:sz="0" w:space="0" w:color="auto"/>
        <w:left w:val="none" w:sz="0" w:space="0" w:color="auto"/>
        <w:bottom w:val="none" w:sz="0" w:space="0" w:color="auto"/>
        <w:right w:val="none" w:sz="0" w:space="0" w:color="auto"/>
      </w:divBdr>
    </w:div>
    <w:div w:id="1339771000">
      <w:bodyDiv w:val="1"/>
      <w:marLeft w:val="0"/>
      <w:marRight w:val="0"/>
      <w:marTop w:val="0"/>
      <w:marBottom w:val="0"/>
      <w:divBdr>
        <w:top w:val="none" w:sz="0" w:space="0" w:color="auto"/>
        <w:left w:val="none" w:sz="0" w:space="0" w:color="auto"/>
        <w:bottom w:val="none" w:sz="0" w:space="0" w:color="auto"/>
        <w:right w:val="none" w:sz="0" w:space="0" w:color="auto"/>
      </w:divBdr>
    </w:div>
    <w:div w:id="1340155931">
      <w:bodyDiv w:val="1"/>
      <w:marLeft w:val="0"/>
      <w:marRight w:val="0"/>
      <w:marTop w:val="0"/>
      <w:marBottom w:val="0"/>
      <w:divBdr>
        <w:top w:val="none" w:sz="0" w:space="0" w:color="auto"/>
        <w:left w:val="none" w:sz="0" w:space="0" w:color="auto"/>
        <w:bottom w:val="none" w:sz="0" w:space="0" w:color="auto"/>
        <w:right w:val="none" w:sz="0" w:space="0" w:color="auto"/>
      </w:divBdr>
    </w:div>
    <w:div w:id="1342121584">
      <w:bodyDiv w:val="1"/>
      <w:marLeft w:val="0"/>
      <w:marRight w:val="0"/>
      <w:marTop w:val="0"/>
      <w:marBottom w:val="0"/>
      <w:divBdr>
        <w:top w:val="none" w:sz="0" w:space="0" w:color="auto"/>
        <w:left w:val="none" w:sz="0" w:space="0" w:color="auto"/>
        <w:bottom w:val="none" w:sz="0" w:space="0" w:color="auto"/>
        <w:right w:val="none" w:sz="0" w:space="0" w:color="auto"/>
      </w:divBdr>
      <w:divsChild>
        <w:div w:id="1485004892">
          <w:marLeft w:val="547"/>
          <w:marRight w:val="0"/>
          <w:marTop w:val="0"/>
          <w:marBottom w:val="0"/>
          <w:divBdr>
            <w:top w:val="none" w:sz="0" w:space="0" w:color="auto"/>
            <w:left w:val="none" w:sz="0" w:space="0" w:color="auto"/>
            <w:bottom w:val="none" w:sz="0" w:space="0" w:color="auto"/>
            <w:right w:val="none" w:sz="0" w:space="0" w:color="auto"/>
          </w:divBdr>
        </w:div>
      </w:divsChild>
    </w:div>
    <w:div w:id="1342127196">
      <w:bodyDiv w:val="1"/>
      <w:marLeft w:val="0"/>
      <w:marRight w:val="0"/>
      <w:marTop w:val="0"/>
      <w:marBottom w:val="0"/>
      <w:divBdr>
        <w:top w:val="none" w:sz="0" w:space="0" w:color="auto"/>
        <w:left w:val="none" w:sz="0" w:space="0" w:color="auto"/>
        <w:bottom w:val="none" w:sz="0" w:space="0" w:color="auto"/>
        <w:right w:val="none" w:sz="0" w:space="0" w:color="auto"/>
      </w:divBdr>
    </w:div>
    <w:div w:id="1344362459">
      <w:bodyDiv w:val="1"/>
      <w:marLeft w:val="0"/>
      <w:marRight w:val="0"/>
      <w:marTop w:val="0"/>
      <w:marBottom w:val="0"/>
      <w:divBdr>
        <w:top w:val="none" w:sz="0" w:space="0" w:color="auto"/>
        <w:left w:val="none" w:sz="0" w:space="0" w:color="auto"/>
        <w:bottom w:val="none" w:sz="0" w:space="0" w:color="auto"/>
        <w:right w:val="none" w:sz="0" w:space="0" w:color="auto"/>
      </w:divBdr>
    </w:div>
    <w:div w:id="1345015784">
      <w:bodyDiv w:val="1"/>
      <w:marLeft w:val="0"/>
      <w:marRight w:val="0"/>
      <w:marTop w:val="0"/>
      <w:marBottom w:val="0"/>
      <w:divBdr>
        <w:top w:val="none" w:sz="0" w:space="0" w:color="auto"/>
        <w:left w:val="none" w:sz="0" w:space="0" w:color="auto"/>
        <w:bottom w:val="none" w:sz="0" w:space="0" w:color="auto"/>
        <w:right w:val="none" w:sz="0" w:space="0" w:color="auto"/>
      </w:divBdr>
    </w:div>
    <w:div w:id="1345596891">
      <w:bodyDiv w:val="1"/>
      <w:marLeft w:val="0"/>
      <w:marRight w:val="0"/>
      <w:marTop w:val="0"/>
      <w:marBottom w:val="0"/>
      <w:divBdr>
        <w:top w:val="none" w:sz="0" w:space="0" w:color="auto"/>
        <w:left w:val="none" w:sz="0" w:space="0" w:color="auto"/>
        <w:bottom w:val="none" w:sz="0" w:space="0" w:color="auto"/>
        <w:right w:val="none" w:sz="0" w:space="0" w:color="auto"/>
      </w:divBdr>
    </w:div>
    <w:div w:id="1347369509">
      <w:bodyDiv w:val="1"/>
      <w:marLeft w:val="0"/>
      <w:marRight w:val="0"/>
      <w:marTop w:val="0"/>
      <w:marBottom w:val="0"/>
      <w:divBdr>
        <w:top w:val="none" w:sz="0" w:space="0" w:color="auto"/>
        <w:left w:val="none" w:sz="0" w:space="0" w:color="auto"/>
        <w:bottom w:val="none" w:sz="0" w:space="0" w:color="auto"/>
        <w:right w:val="none" w:sz="0" w:space="0" w:color="auto"/>
      </w:divBdr>
    </w:div>
    <w:div w:id="1348364939">
      <w:bodyDiv w:val="1"/>
      <w:marLeft w:val="0"/>
      <w:marRight w:val="0"/>
      <w:marTop w:val="0"/>
      <w:marBottom w:val="0"/>
      <w:divBdr>
        <w:top w:val="none" w:sz="0" w:space="0" w:color="auto"/>
        <w:left w:val="none" w:sz="0" w:space="0" w:color="auto"/>
        <w:bottom w:val="none" w:sz="0" w:space="0" w:color="auto"/>
        <w:right w:val="none" w:sz="0" w:space="0" w:color="auto"/>
      </w:divBdr>
    </w:div>
    <w:div w:id="1351372677">
      <w:bodyDiv w:val="1"/>
      <w:marLeft w:val="0"/>
      <w:marRight w:val="0"/>
      <w:marTop w:val="0"/>
      <w:marBottom w:val="0"/>
      <w:divBdr>
        <w:top w:val="none" w:sz="0" w:space="0" w:color="auto"/>
        <w:left w:val="none" w:sz="0" w:space="0" w:color="auto"/>
        <w:bottom w:val="none" w:sz="0" w:space="0" w:color="auto"/>
        <w:right w:val="none" w:sz="0" w:space="0" w:color="auto"/>
      </w:divBdr>
    </w:div>
    <w:div w:id="1352534384">
      <w:bodyDiv w:val="1"/>
      <w:marLeft w:val="0"/>
      <w:marRight w:val="0"/>
      <w:marTop w:val="0"/>
      <w:marBottom w:val="0"/>
      <w:divBdr>
        <w:top w:val="none" w:sz="0" w:space="0" w:color="auto"/>
        <w:left w:val="none" w:sz="0" w:space="0" w:color="auto"/>
        <w:bottom w:val="none" w:sz="0" w:space="0" w:color="auto"/>
        <w:right w:val="none" w:sz="0" w:space="0" w:color="auto"/>
      </w:divBdr>
    </w:div>
    <w:div w:id="1352947978">
      <w:bodyDiv w:val="1"/>
      <w:marLeft w:val="0"/>
      <w:marRight w:val="0"/>
      <w:marTop w:val="0"/>
      <w:marBottom w:val="0"/>
      <w:divBdr>
        <w:top w:val="none" w:sz="0" w:space="0" w:color="auto"/>
        <w:left w:val="none" w:sz="0" w:space="0" w:color="auto"/>
        <w:bottom w:val="none" w:sz="0" w:space="0" w:color="auto"/>
        <w:right w:val="none" w:sz="0" w:space="0" w:color="auto"/>
      </w:divBdr>
    </w:div>
    <w:div w:id="1353993509">
      <w:bodyDiv w:val="1"/>
      <w:marLeft w:val="0"/>
      <w:marRight w:val="0"/>
      <w:marTop w:val="0"/>
      <w:marBottom w:val="0"/>
      <w:divBdr>
        <w:top w:val="none" w:sz="0" w:space="0" w:color="auto"/>
        <w:left w:val="none" w:sz="0" w:space="0" w:color="auto"/>
        <w:bottom w:val="none" w:sz="0" w:space="0" w:color="auto"/>
        <w:right w:val="none" w:sz="0" w:space="0" w:color="auto"/>
      </w:divBdr>
    </w:div>
    <w:div w:id="1355154990">
      <w:bodyDiv w:val="1"/>
      <w:marLeft w:val="0"/>
      <w:marRight w:val="0"/>
      <w:marTop w:val="0"/>
      <w:marBottom w:val="0"/>
      <w:divBdr>
        <w:top w:val="none" w:sz="0" w:space="0" w:color="auto"/>
        <w:left w:val="none" w:sz="0" w:space="0" w:color="auto"/>
        <w:bottom w:val="none" w:sz="0" w:space="0" w:color="auto"/>
        <w:right w:val="none" w:sz="0" w:space="0" w:color="auto"/>
      </w:divBdr>
    </w:div>
    <w:div w:id="1357776687">
      <w:bodyDiv w:val="1"/>
      <w:marLeft w:val="0"/>
      <w:marRight w:val="0"/>
      <w:marTop w:val="0"/>
      <w:marBottom w:val="0"/>
      <w:divBdr>
        <w:top w:val="none" w:sz="0" w:space="0" w:color="auto"/>
        <w:left w:val="none" w:sz="0" w:space="0" w:color="auto"/>
        <w:bottom w:val="none" w:sz="0" w:space="0" w:color="auto"/>
        <w:right w:val="none" w:sz="0" w:space="0" w:color="auto"/>
      </w:divBdr>
    </w:div>
    <w:div w:id="1359623390">
      <w:bodyDiv w:val="1"/>
      <w:marLeft w:val="0"/>
      <w:marRight w:val="0"/>
      <w:marTop w:val="0"/>
      <w:marBottom w:val="0"/>
      <w:divBdr>
        <w:top w:val="none" w:sz="0" w:space="0" w:color="auto"/>
        <w:left w:val="none" w:sz="0" w:space="0" w:color="auto"/>
        <w:bottom w:val="none" w:sz="0" w:space="0" w:color="auto"/>
        <w:right w:val="none" w:sz="0" w:space="0" w:color="auto"/>
      </w:divBdr>
    </w:div>
    <w:div w:id="1360275542">
      <w:bodyDiv w:val="1"/>
      <w:marLeft w:val="0"/>
      <w:marRight w:val="0"/>
      <w:marTop w:val="0"/>
      <w:marBottom w:val="0"/>
      <w:divBdr>
        <w:top w:val="none" w:sz="0" w:space="0" w:color="auto"/>
        <w:left w:val="none" w:sz="0" w:space="0" w:color="auto"/>
        <w:bottom w:val="none" w:sz="0" w:space="0" w:color="auto"/>
        <w:right w:val="none" w:sz="0" w:space="0" w:color="auto"/>
      </w:divBdr>
    </w:div>
    <w:div w:id="1360428621">
      <w:bodyDiv w:val="1"/>
      <w:marLeft w:val="0"/>
      <w:marRight w:val="0"/>
      <w:marTop w:val="0"/>
      <w:marBottom w:val="0"/>
      <w:divBdr>
        <w:top w:val="none" w:sz="0" w:space="0" w:color="auto"/>
        <w:left w:val="none" w:sz="0" w:space="0" w:color="auto"/>
        <w:bottom w:val="none" w:sz="0" w:space="0" w:color="auto"/>
        <w:right w:val="none" w:sz="0" w:space="0" w:color="auto"/>
      </w:divBdr>
    </w:div>
    <w:div w:id="1360811390">
      <w:bodyDiv w:val="1"/>
      <w:marLeft w:val="0"/>
      <w:marRight w:val="0"/>
      <w:marTop w:val="0"/>
      <w:marBottom w:val="0"/>
      <w:divBdr>
        <w:top w:val="none" w:sz="0" w:space="0" w:color="auto"/>
        <w:left w:val="none" w:sz="0" w:space="0" w:color="auto"/>
        <w:bottom w:val="none" w:sz="0" w:space="0" w:color="auto"/>
        <w:right w:val="none" w:sz="0" w:space="0" w:color="auto"/>
      </w:divBdr>
    </w:div>
    <w:div w:id="1361052369">
      <w:bodyDiv w:val="1"/>
      <w:marLeft w:val="0"/>
      <w:marRight w:val="0"/>
      <w:marTop w:val="0"/>
      <w:marBottom w:val="0"/>
      <w:divBdr>
        <w:top w:val="none" w:sz="0" w:space="0" w:color="auto"/>
        <w:left w:val="none" w:sz="0" w:space="0" w:color="auto"/>
        <w:bottom w:val="none" w:sz="0" w:space="0" w:color="auto"/>
        <w:right w:val="none" w:sz="0" w:space="0" w:color="auto"/>
      </w:divBdr>
    </w:div>
    <w:div w:id="1361515569">
      <w:bodyDiv w:val="1"/>
      <w:marLeft w:val="0"/>
      <w:marRight w:val="0"/>
      <w:marTop w:val="0"/>
      <w:marBottom w:val="0"/>
      <w:divBdr>
        <w:top w:val="none" w:sz="0" w:space="0" w:color="auto"/>
        <w:left w:val="none" w:sz="0" w:space="0" w:color="auto"/>
        <w:bottom w:val="none" w:sz="0" w:space="0" w:color="auto"/>
        <w:right w:val="none" w:sz="0" w:space="0" w:color="auto"/>
      </w:divBdr>
    </w:div>
    <w:div w:id="1363090312">
      <w:bodyDiv w:val="1"/>
      <w:marLeft w:val="0"/>
      <w:marRight w:val="0"/>
      <w:marTop w:val="0"/>
      <w:marBottom w:val="0"/>
      <w:divBdr>
        <w:top w:val="none" w:sz="0" w:space="0" w:color="auto"/>
        <w:left w:val="none" w:sz="0" w:space="0" w:color="auto"/>
        <w:bottom w:val="none" w:sz="0" w:space="0" w:color="auto"/>
        <w:right w:val="none" w:sz="0" w:space="0" w:color="auto"/>
      </w:divBdr>
    </w:div>
    <w:div w:id="1363549993">
      <w:bodyDiv w:val="1"/>
      <w:marLeft w:val="0"/>
      <w:marRight w:val="0"/>
      <w:marTop w:val="0"/>
      <w:marBottom w:val="0"/>
      <w:divBdr>
        <w:top w:val="none" w:sz="0" w:space="0" w:color="auto"/>
        <w:left w:val="none" w:sz="0" w:space="0" w:color="auto"/>
        <w:bottom w:val="none" w:sz="0" w:space="0" w:color="auto"/>
        <w:right w:val="none" w:sz="0" w:space="0" w:color="auto"/>
      </w:divBdr>
    </w:div>
    <w:div w:id="1366784744">
      <w:bodyDiv w:val="1"/>
      <w:marLeft w:val="0"/>
      <w:marRight w:val="0"/>
      <w:marTop w:val="0"/>
      <w:marBottom w:val="0"/>
      <w:divBdr>
        <w:top w:val="none" w:sz="0" w:space="0" w:color="auto"/>
        <w:left w:val="none" w:sz="0" w:space="0" w:color="auto"/>
        <w:bottom w:val="none" w:sz="0" w:space="0" w:color="auto"/>
        <w:right w:val="none" w:sz="0" w:space="0" w:color="auto"/>
      </w:divBdr>
    </w:div>
    <w:div w:id="1368411752">
      <w:bodyDiv w:val="1"/>
      <w:marLeft w:val="0"/>
      <w:marRight w:val="0"/>
      <w:marTop w:val="0"/>
      <w:marBottom w:val="0"/>
      <w:divBdr>
        <w:top w:val="none" w:sz="0" w:space="0" w:color="auto"/>
        <w:left w:val="none" w:sz="0" w:space="0" w:color="auto"/>
        <w:bottom w:val="none" w:sz="0" w:space="0" w:color="auto"/>
        <w:right w:val="none" w:sz="0" w:space="0" w:color="auto"/>
      </w:divBdr>
    </w:div>
    <w:div w:id="1368876145">
      <w:bodyDiv w:val="1"/>
      <w:marLeft w:val="0"/>
      <w:marRight w:val="0"/>
      <w:marTop w:val="0"/>
      <w:marBottom w:val="0"/>
      <w:divBdr>
        <w:top w:val="none" w:sz="0" w:space="0" w:color="auto"/>
        <w:left w:val="none" w:sz="0" w:space="0" w:color="auto"/>
        <w:bottom w:val="none" w:sz="0" w:space="0" w:color="auto"/>
        <w:right w:val="none" w:sz="0" w:space="0" w:color="auto"/>
      </w:divBdr>
    </w:div>
    <w:div w:id="1369524227">
      <w:bodyDiv w:val="1"/>
      <w:marLeft w:val="0"/>
      <w:marRight w:val="0"/>
      <w:marTop w:val="0"/>
      <w:marBottom w:val="0"/>
      <w:divBdr>
        <w:top w:val="none" w:sz="0" w:space="0" w:color="auto"/>
        <w:left w:val="none" w:sz="0" w:space="0" w:color="auto"/>
        <w:bottom w:val="none" w:sz="0" w:space="0" w:color="auto"/>
        <w:right w:val="none" w:sz="0" w:space="0" w:color="auto"/>
      </w:divBdr>
    </w:div>
    <w:div w:id="1369913019">
      <w:bodyDiv w:val="1"/>
      <w:marLeft w:val="0"/>
      <w:marRight w:val="0"/>
      <w:marTop w:val="0"/>
      <w:marBottom w:val="0"/>
      <w:divBdr>
        <w:top w:val="none" w:sz="0" w:space="0" w:color="auto"/>
        <w:left w:val="none" w:sz="0" w:space="0" w:color="auto"/>
        <w:bottom w:val="none" w:sz="0" w:space="0" w:color="auto"/>
        <w:right w:val="none" w:sz="0" w:space="0" w:color="auto"/>
      </w:divBdr>
    </w:div>
    <w:div w:id="1372146132">
      <w:bodyDiv w:val="1"/>
      <w:marLeft w:val="0"/>
      <w:marRight w:val="0"/>
      <w:marTop w:val="0"/>
      <w:marBottom w:val="0"/>
      <w:divBdr>
        <w:top w:val="none" w:sz="0" w:space="0" w:color="auto"/>
        <w:left w:val="none" w:sz="0" w:space="0" w:color="auto"/>
        <w:bottom w:val="none" w:sz="0" w:space="0" w:color="auto"/>
        <w:right w:val="none" w:sz="0" w:space="0" w:color="auto"/>
      </w:divBdr>
    </w:div>
    <w:div w:id="1375501258">
      <w:bodyDiv w:val="1"/>
      <w:marLeft w:val="0"/>
      <w:marRight w:val="0"/>
      <w:marTop w:val="0"/>
      <w:marBottom w:val="0"/>
      <w:divBdr>
        <w:top w:val="none" w:sz="0" w:space="0" w:color="auto"/>
        <w:left w:val="none" w:sz="0" w:space="0" w:color="auto"/>
        <w:bottom w:val="none" w:sz="0" w:space="0" w:color="auto"/>
        <w:right w:val="none" w:sz="0" w:space="0" w:color="auto"/>
      </w:divBdr>
    </w:div>
    <w:div w:id="1376848893">
      <w:bodyDiv w:val="1"/>
      <w:marLeft w:val="0"/>
      <w:marRight w:val="0"/>
      <w:marTop w:val="0"/>
      <w:marBottom w:val="0"/>
      <w:divBdr>
        <w:top w:val="none" w:sz="0" w:space="0" w:color="auto"/>
        <w:left w:val="none" w:sz="0" w:space="0" w:color="auto"/>
        <w:bottom w:val="none" w:sz="0" w:space="0" w:color="auto"/>
        <w:right w:val="none" w:sz="0" w:space="0" w:color="auto"/>
      </w:divBdr>
    </w:div>
    <w:div w:id="1377392944">
      <w:bodyDiv w:val="1"/>
      <w:marLeft w:val="0"/>
      <w:marRight w:val="0"/>
      <w:marTop w:val="0"/>
      <w:marBottom w:val="0"/>
      <w:divBdr>
        <w:top w:val="none" w:sz="0" w:space="0" w:color="auto"/>
        <w:left w:val="none" w:sz="0" w:space="0" w:color="auto"/>
        <w:bottom w:val="none" w:sz="0" w:space="0" w:color="auto"/>
        <w:right w:val="none" w:sz="0" w:space="0" w:color="auto"/>
      </w:divBdr>
    </w:div>
    <w:div w:id="1378435469">
      <w:bodyDiv w:val="1"/>
      <w:marLeft w:val="0"/>
      <w:marRight w:val="0"/>
      <w:marTop w:val="0"/>
      <w:marBottom w:val="0"/>
      <w:divBdr>
        <w:top w:val="none" w:sz="0" w:space="0" w:color="auto"/>
        <w:left w:val="none" w:sz="0" w:space="0" w:color="auto"/>
        <w:bottom w:val="none" w:sz="0" w:space="0" w:color="auto"/>
        <w:right w:val="none" w:sz="0" w:space="0" w:color="auto"/>
      </w:divBdr>
    </w:div>
    <w:div w:id="1378578400">
      <w:bodyDiv w:val="1"/>
      <w:marLeft w:val="0"/>
      <w:marRight w:val="0"/>
      <w:marTop w:val="0"/>
      <w:marBottom w:val="0"/>
      <w:divBdr>
        <w:top w:val="none" w:sz="0" w:space="0" w:color="auto"/>
        <w:left w:val="none" w:sz="0" w:space="0" w:color="auto"/>
        <w:bottom w:val="none" w:sz="0" w:space="0" w:color="auto"/>
        <w:right w:val="none" w:sz="0" w:space="0" w:color="auto"/>
      </w:divBdr>
    </w:div>
    <w:div w:id="1381589815">
      <w:bodyDiv w:val="1"/>
      <w:marLeft w:val="0"/>
      <w:marRight w:val="0"/>
      <w:marTop w:val="0"/>
      <w:marBottom w:val="0"/>
      <w:divBdr>
        <w:top w:val="none" w:sz="0" w:space="0" w:color="auto"/>
        <w:left w:val="none" w:sz="0" w:space="0" w:color="auto"/>
        <w:bottom w:val="none" w:sz="0" w:space="0" w:color="auto"/>
        <w:right w:val="none" w:sz="0" w:space="0" w:color="auto"/>
      </w:divBdr>
    </w:div>
    <w:div w:id="1382827270">
      <w:bodyDiv w:val="1"/>
      <w:marLeft w:val="0"/>
      <w:marRight w:val="0"/>
      <w:marTop w:val="0"/>
      <w:marBottom w:val="0"/>
      <w:divBdr>
        <w:top w:val="none" w:sz="0" w:space="0" w:color="auto"/>
        <w:left w:val="none" w:sz="0" w:space="0" w:color="auto"/>
        <w:bottom w:val="none" w:sz="0" w:space="0" w:color="auto"/>
        <w:right w:val="none" w:sz="0" w:space="0" w:color="auto"/>
      </w:divBdr>
    </w:div>
    <w:div w:id="1383091697">
      <w:bodyDiv w:val="1"/>
      <w:marLeft w:val="0"/>
      <w:marRight w:val="0"/>
      <w:marTop w:val="0"/>
      <w:marBottom w:val="0"/>
      <w:divBdr>
        <w:top w:val="none" w:sz="0" w:space="0" w:color="auto"/>
        <w:left w:val="none" w:sz="0" w:space="0" w:color="auto"/>
        <w:bottom w:val="none" w:sz="0" w:space="0" w:color="auto"/>
        <w:right w:val="none" w:sz="0" w:space="0" w:color="auto"/>
      </w:divBdr>
    </w:div>
    <w:div w:id="1384980857">
      <w:bodyDiv w:val="1"/>
      <w:marLeft w:val="0"/>
      <w:marRight w:val="0"/>
      <w:marTop w:val="0"/>
      <w:marBottom w:val="0"/>
      <w:divBdr>
        <w:top w:val="none" w:sz="0" w:space="0" w:color="auto"/>
        <w:left w:val="none" w:sz="0" w:space="0" w:color="auto"/>
        <w:bottom w:val="none" w:sz="0" w:space="0" w:color="auto"/>
        <w:right w:val="none" w:sz="0" w:space="0" w:color="auto"/>
      </w:divBdr>
    </w:div>
    <w:div w:id="1385445032">
      <w:bodyDiv w:val="1"/>
      <w:marLeft w:val="0"/>
      <w:marRight w:val="0"/>
      <w:marTop w:val="0"/>
      <w:marBottom w:val="0"/>
      <w:divBdr>
        <w:top w:val="none" w:sz="0" w:space="0" w:color="auto"/>
        <w:left w:val="none" w:sz="0" w:space="0" w:color="auto"/>
        <w:bottom w:val="none" w:sz="0" w:space="0" w:color="auto"/>
        <w:right w:val="none" w:sz="0" w:space="0" w:color="auto"/>
      </w:divBdr>
    </w:div>
    <w:div w:id="1385911567">
      <w:bodyDiv w:val="1"/>
      <w:marLeft w:val="0"/>
      <w:marRight w:val="0"/>
      <w:marTop w:val="0"/>
      <w:marBottom w:val="0"/>
      <w:divBdr>
        <w:top w:val="none" w:sz="0" w:space="0" w:color="auto"/>
        <w:left w:val="none" w:sz="0" w:space="0" w:color="auto"/>
        <w:bottom w:val="none" w:sz="0" w:space="0" w:color="auto"/>
        <w:right w:val="none" w:sz="0" w:space="0" w:color="auto"/>
      </w:divBdr>
    </w:div>
    <w:div w:id="1385984120">
      <w:bodyDiv w:val="1"/>
      <w:marLeft w:val="0"/>
      <w:marRight w:val="0"/>
      <w:marTop w:val="0"/>
      <w:marBottom w:val="0"/>
      <w:divBdr>
        <w:top w:val="none" w:sz="0" w:space="0" w:color="auto"/>
        <w:left w:val="none" w:sz="0" w:space="0" w:color="auto"/>
        <w:bottom w:val="none" w:sz="0" w:space="0" w:color="auto"/>
        <w:right w:val="none" w:sz="0" w:space="0" w:color="auto"/>
      </w:divBdr>
    </w:div>
    <w:div w:id="1387753740">
      <w:bodyDiv w:val="1"/>
      <w:marLeft w:val="0"/>
      <w:marRight w:val="0"/>
      <w:marTop w:val="0"/>
      <w:marBottom w:val="0"/>
      <w:divBdr>
        <w:top w:val="none" w:sz="0" w:space="0" w:color="auto"/>
        <w:left w:val="none" w:sz="0" w:space="0" w:color="auto"/>
        <w:bottom w:val="none" w:sz="0" w:space="0" w:color="auto"/>
        <w:right w:val="none" w:sz="0" w:space="0" w:color="auto"/>
      </w:divBdr>
    </w:div>
    <w:div w:id="1389308220">
      <w:bodyDiv w:val="1"/>
      <w:marLeft w:val="0"/>
      <w:marRight w:val="0"/>
      <w:marTop w:val="0"/>
      <w:marBottom w:val="0"/>
      <w:divBdr>
        <w:top w:val="none" w:sz="0" w:space="0" w:color="auto"/>
        <w:left w:val="none" w:sz="0" w:space="0" w:color="auto"/>
        <w:bottom w:val="none" w:sz="0" w:space="0" w:color="auto"/>
        <w:right w:val="none" w:sz="0" w:space="0" w:color="auto"/>
      </w:divBdr>
    </w:div>
    <w:div w:id="1396123943">
      <w:bodyDiv w:val="1"/>
      <w:marLeft w:val="0"/>
      <w:marRight w:val="0"/>
      <w:marTop w:val="0"/>
      <w:marBottom w:val="0"/>
      <w:divBdr>
        <w:top w:val="none" w:sz="0" w:space="0" w:color="auto"/>
        <w:left w:val="none" w:sz="0" w:space="0" w:color="auto"/>
        <w:bottom w:val="none" w:sz="0" w:space="0" w:color="auto"/>
        <w:right w:val="none" w:sz="0" w:space="0" w:color="auto"/>
      </w:divBdr>
    </w:div>
    <w:div w:id="1396657681">
      <w:bodyDiv w:val="1"/>
      <w:marLeft w:val="0"/>
      <w:marRight w:val="0"/>
      <w:marTop w:val="0"/>
      <w:marBottom w:val="0"/>
      <w:divBdr>
        <w:top w:val="none" w:sz="0" w:space="0" w:color="auto"/>
        <w:left w:val="none" w:sz="0" w:space="0" w:color="auto"/>
        <w:bottom w:val="none" w:sz="0" w:space="0" w:color="auto"/>
        <w:right w:val="none" w:sz="0" w:space="0" w:color="auto"/>
      </w:divBdr>
    </w:div>
    <w:div w:id="1397128071">
      <w:bodyDiv w:val="1"/>
      <w:marLeft w:val="0"/>
      <w:marRight w:val="0"/>
      <w:marTop w:val="0"/>
      <w:marBottom w:val="0"/>
      <w:divBdr>
        <w:top w:val="none" w:sz="0" w:space="0" w:color="auto"/>
        <w:left w:val="none" w:sz="0" w:space="0" w:color="auto"/>
        <w:bottom w:val="none" w:sz="0" w:space="0" w:color="auto"/>
        <w:right w:val="none" w:sz="0" w:space="0" w:color="auto"/>
      </w:divBdr>
    </w:div>
    <w:div w:id="1397822682">
      <w:bodyDiv w:val="1"/>
      <w:marLeft w:val="0"/>
      <w:marRight w:val="0"/>
      <w:marTop w:val="0"/>
      <w:marBottom w:val="0"/>
      <w:divBdr>
        <w:top w:val="none" w:sz="0" w:space="0" w:color="auto"/>
        <w:left w:val="none" w:sz="0" w:space="0" w:color="auto"/>
        <w:bottom w:val="none" w:sz="0" w:space="0" w:color="auto"/>
        <w:right w:val="none" w:sz="0" w:space="0" w:color="auto"/>
      </w:divBdr>
    </w:div>
    <w:div w:id="1398627018">
      <w:bodyDiv w:val="1"/>
      <w:marLeft w:val="0"/>
      <w:marRight w:val="0"/>
      <w:marTop w:val="0"/>
      <w:marBottom w:val="0"/>
      <w:divBdr>
        <w:top w:val="none" w:sz="0" w:space="0" w:color="auto"/>
        <w:left w:val="none" w:sz="0" w:space="0" w:color="auto"/>
        <w:bottom w:val="none" w:sz="0" w:space="0" w:color="auto"/>
        <w:right w:val="none" w:sz="0" w:space="0" w:color="auto"/>
      </w:divBdr>
    </w:div>
    <w:div w:id="1399592089">
      <w:bodyDiv w:val="1"/>
      <w:marLeft w:val="0"/>
      <w:marRight w:val="0"/>
      <w:marTop w:val="0"/>
      <w:marBottom w:val="0"/>
      <w:divBdr>
        <w:top w:val="none" w:sz="0" w:space="0" w:color="auto"/>
        <w:left w:val="none" w:sz="0" w:space="0" w:color="auto"/>
        <w:bottom w:val="none" w:sz="0" w:space="0" w:color="auto"/>
        <w:right w:val="none" w:sz="0" w:space="0" w:color="auto"/>
      </w:divBdr>
    </w:div>
    <w:div w:id="1400251773">
      <w:bodyDiv w:val="1"/>
      <w:marLeft w:val="0"/>
      <w:marRight w:val="0"/>
      <w:marTop w:val="0"/>
      <w:marBottom w:val="0"/>
      <w:divBdr>
        <w:top w:val="none" w:sz="0" w:space="0" w:color="auto"/>
        <w:left w:val="none" w:sz="0" w:space="0" w:color="auto"/>
        <w:bottom w:val="none" w:sz="0" w:space="0" w:color="auto"/>
        <w:right w:val="none" w:sz="0" w:space="0" w:color="auto"/>
      </w:divBdr>
    </w:div>
    <w:div w:id="1401320508">
      <w:bodyDiv w:val="1"/>
      <w:marLeft w:val="0"/>
      <w:marRight w:val="0"/>
      <w:marTop w:val="0"/>
      <w:marBottom w:val="0"/>
      <w:divBdr>
        <w:top w:val="none" w:sz="0" w:space="0" w:color="auto"/>
        <w:left w:val="none" w:sz="0" w:space="0" w:color="auto"/>
        <w:bottom w:val="none" w:sz="0" w:space="0" w:color="auto"/>
        <w:right w:val="none" w:sz="0" w:space="0" w:color="auto"/>
      </w:divBdr>
    </w:div>
    <w:div w:id="1402874515">
      <w:bodyDiv w:val="1"/>
      <w:marLeft w:val="0"/>
      <w:marRight w:val="0"/>
      <w:marTop w:val="0"/>
      <w:marBottom w:val="0"/>
      <w:divBdr>
        <w:top w:val="none" w:sz="0" w:space="0" w:color="auto"/>
        <w:left w:val="none" w:sz="0" w:space="0" w:color="auto"/>
        <w:bottom w:val="none" w:sz="0" w:space="0" w:color="auto"/>
        <w:right w:val="none" w:sz="0" w:space="0" w:color="auto"/>
      </w:divBdr>
    </w:div>
    <w:div w:id="1403799010">
      <w:bodyDiv w:val="1"/>
      <w:marLeft w:val="0"/>
      <w:marRight w:val="0"/>
      <w:marTop w:val="0"/>
      <w:marBottom w:val="0"/>
      <w:divBdr>
        <w:top w:val="none" w:sz="0" w:space="0" w:color="auto"/>
        <w:left w:val="none" w:sz="0" w:space="0" w:color="auto"/>
        <w:bottom w:val="none" w:sz="0" w:space="0" w:color="auto"/>
        <w:right w:val="none" w:sz="0" w:space="0" w:color="auto"/>
      </w:divBdr>
    </w:div>
    <w:div w:id="1404332103">
      <w:bodyDiv w:val="1"/>
      <w:marLeft w:val="0"/>
      <w:marRight w:val="0"/>
      <w:marTop w:val="0"/>
      <w:marBottom w:val="0"/>
      <w:divBdr>
        <w:top w:val="none" w:sz="0" w:space="0" w:color="auto"/>
        <w:left w:val="none" w:sz="0" w:space="0" w:color="auto"/>
        <w:bottom w:val="none" w:sz="0" w:space="0" w:color="auto"/>
        <w:right w:val="none" w:sz="0" w:space="0" w:color="auto"/>
      </w:divBdr>
    </w:div>
    <w:div w:id="1404335749">
      <w:bodyDiv w:val="1"/>
      <w:marLeft w:val="0"/>
      <w:marRight w:val="0"/>
      <w:marTop w:val="0"/>
      <w:marBottom w:val="0"/>
      <w:divBdr>
        <w:top w:val="none" w:sz="0" w:space="0" w:color="auto"/>
        <w:left w:val="none" w:sz="0" w:space="0" w:color="auto"/>
        <w:bottom w:val="none" w:sz="0" w:space="0" w:color="auto"/>
        <w:right w:val="none" w:sz="0" w:space="0" w:color="auto"/>
      </w:divBdr>
    </w:div>
    <w:div w:id="1405490930">
      <w:bodyDiv w:val="1"/>
      <w:marLeft w:val="0"/>
      <w:marRight w:val="0"/>
      <w:marTop w:val="0"/>
      <w:marBottom w:val="0"/>
      <w:divBdr>
        <w:top w:val="none" w:sz="0" w:space="0" w:color="auto"/>
        <w:left w:val="none" w:sz="0" w:space="0" w:color="auto"/>
        <w:bottom w:val="none" w:sz="0" w:space="0" w:color="auto"/>
        <w:right w:val="none" w:sz="0" w:space="0" w:color="auto"/>
      </w:divBdr>
    </w:div>
    <w:div w:id="1405832784">
      <w:bodyDiv w:val="1"/>
      <w:marLeft w:val="0"/>
      <w:marRight w:val="0"/>
      <w:marTop w:val="0"/>
      <w:marBottom w:val="0"/>
      <w:divBdr>
        <w:top w:val="none" w:sz="0" w:space="0" w:color="auto"/>
        <w:left w:val="none" w:sz="0" w:space="0" w:color="auto"/>
        <w:bottom w:val="none" w:sz="0" w:space="0" w:color="auto"/>
        <w:right w:val="none" w:sz="0" w:space="0" w:color="auto"/>
      </w:divBdr>
    </w:div>
    <w:div w:id="1407190314">
      <w:bodyDiv w:val="1"/>
      <w:marLeft w:val="0"/>
      <w:marRight w:val="0"/>
      <w:marTop w:val="0"/>
      <w:marBottom w:val="0"/>
      <w:divBdr>
        <w:top w:val="none" w:sz="0" w:space="0" w:color="auto"/>
        <w:left w:val="none" w:sz="0" w:space="0" w:color="auto"/>
        <w:bottom w:val="none" w:sz="0" w:space="0" w:color="auto"/>
        <w:right w:val="none" w:sz="0" w:space="0" w:color="auto"/>
      </w:divBdr>
    </w:div>
    <w:div w:id="1409888126">
      <w:bodyDiv w:val="1"/>
      <w:marLeft w:val="0"/>
      <w:marRight w:val="0"/>
      <w:marTop w:val="0"/>
      <w:marBottom w:val="0"/>
      <w:divBdr>
        <w:top w:val="none" w:sz="0" w:space="0" w:color="auto"/>
        <w:left w:val="none" w:sz="0" w:space="0" w:color="auto"/>
        <w:bottom w:val="none" w:sz="0" w:space="0" w:color="auto"/>
        <w:right w:val="none" w:sz="0" w:space="0" w:color="auto"/>
      </w:divBdr>
    </w:div>
    <w:div w:id="1410233076">
      <w:bodyDiv w:val="1"/>
      <w:marLeft w:val="0"/>
      <w:marRight w:val="0"/>
      <w:marTop w:val="0"/>
      <w:marBottom w:val="0"/>
      <w:divBdr>
        <w:top w:val="none" w:sz="0" w:space="0" w:color="auto"/>
        <w:left w:val="none" w:sz="0" w:space="0" w:color="auto"/>
        <w:bottom w:val="none" w:sz="0" w:space="0" w:color="auto"/>
        <w:right w:val="none" w:sz="0" w:space="0" w:color="auto"/>
      </w:divBdr>
    </w:div>
    <w:div w:id="1410733062">
      <w:bodyDiv w:val="1"/>
      <w:marLeft w:val="0"/>
      <w:marRight w:val="0"/>
      <w:marTop w:val="0"/>
      <w:marBottom w:val="0"/>
      <w:divBdr>
        <w:top w:val="none" w:sz="0" w:space="0" w:color="auto"/>
        <w:left w:val="none" w:sz="0" w:space="0" w:color="auto"/>
        <w:bottom w:val="none" w:sz="0" w:space="0" w:color="auto"/>
        <w:right w:val="none" w:sz="0" w:space="0" w:color="auto"/>
      </w:divBdr>
    </w:div>
    <w:div w:id="1411391219">
      <w:bodyDiv w:val="1"/>
      <w:marLeft w:val="0"/>
      <w:marRight w:val="0"/>
      <w:marTop w:val="0"/>
      <w:marBottom w:val="0"/>
      <w:divBdr>
        <w:top w:val="none" w:sz="0" w:space="0" w:color="auto"/>
        <w:left w:val="none" w:sz="0" w:space="0" w:color="auto"/>
        <w:bottom w:val="none" w:sz="0" w:space="0" w:color="auto"/>
        <w:right w:val="none" w:sz="0" w:space="0" w:color="auto"/>
      </w:divBdr>
    </w:div>
    <w:div w:id="1411730670">
      <w:bodyDiv w:val="1"/>
      <w:marLeft w:val="0"/>
      <w:marRight w:val="0"/>
      <w:marTop w:val="0"/>
      <w:marBottom w:val="0"/>
      <w:divBdr>
        <w:top w:val="none" w:sz="0" w:space="0" w:color="auto"/>
        <w:left w:val="none" w:sz="0" w:space="0" w:color="auto"/>
        <w:bottom w:val="none" w:sz="0" w:space="0" w:color="auto"/>
        <w:right w:val="none" w:sz="0" w:space="0" w:color="auto"/>
      </w:divBdr>
    </w:div>
    <w:div w:id="1411924667">
      <w:bodyDiv w:val="1"/>
      <w:marLeft w:val="0"/>
      <w:marRight w:val="0"/>
      <w:marTop w:val="0"/>
      <w:marBottom w:val="0"/>
      <w:divBdr>
        <w:top w:val="none" w:sz="0" w:space="0" w:color="auto"/>
        <w:left w:val="none" w:sz="0" w:space="0" w:color="auto"/>
        <w:bottom w:val="none" w:sz="0" w:space="0" w:color="auto"/>
        <w:right w:val="none" w:sz="0" w:space="0" w:color="auto"/>
      </w:divBdr>
    </w:div>
    <w:div w:id="1414931655">
      <w:bodyDiv w:val="1"/>
      <w:marLeft w:val="0"/>
      <w:marRight w:val="0"/>
      <w:marTop w:val="0"/>
      <w:marBottom w:val="0"/>
      <w:divBdr>
        <w:top w:val="none" w:sz="0" w:space="0" w:color="auto"/>
        <w:left w:val="none" w:sz="0" w:space="0" w:color="auto"/>
        <w:bottom w:val="none" w:sz="0" w:space="0" w:color="auto"/>
        <w:right w:val="none" w:sz="0" w:space="0" w:color="auto"/>
      </w:divBdr>
    </w:div>
    <w:div w:id="1415129057">
      <w:bodyDiv w:val="1"/>
      <w:marLeft w:val="0"/>
      <w:marRight w:val="0"/>
      <w:marTop w:val="0"/>
      <w:marBottom w:val="0"/>
      <w:divBdr>
        <w:top w:val="none" w:sz="0" w:space="0" w:color="auto"/>
        <w:left w:val="none" w:sz="0" w:space="0" w:color="auto"/>
        <w:bottom w:val="none" w:sz="0" w:space="0" w:color="auto"/>
        <w:right w:val="none" w:sz="0" w:space="0" w:color="auto"/>
      </w:divBdr>
    </w:div>
    <w:div w:id="1416056312">
      <w:bodyDiv w:val="1"/>
      <w:marLeft w:val="0"/>
      <w:marRight w:val="0"/>
      <w:marTop w:val="0"/>
      <w:marBottom w:val="0"/>
      <w:divBdr>
        <w:top w:val="none" w:sz="0" w:space="0" w:color="auto"/>
        <w:left w:val="none" w:sz="0" w:space="0" w:color="auto"/>
        <w:bottom w:val="none" w:sz="0" w:space="0" w:color="auto"/>
        <w:right w:val="none" w:sz="0" w:space="0" w:color="auto"/>
      </w:divBdr>
    </w:div>
    <w:div w:id="1416123522">
      <w:bodyDiv w:val="1"/>
      <w:marLeft w:val="0"/>
      <w:marRight w:val="0"/>
      <w:marTop w:val="0"/>
      <w:marBottom w:val="0"/>
      <w:divBdr>
        <w:top w:val="none" w:sz="0" w:space="0" w:color="auto"/>
        <w:left w:val="none" w:sz="0" w:space="0" w:color="auto"/>
        <w:bottom w:val="none" w:sz="0" w:space="0" w:color="auto"/>
        <w:right w:val="none" w:sz="0" w:space="0" w:color="auto"/>
      </w:divBdr>
    </w:div>
    <w:div w:id="1416779373">
      <w:bodyDiv w:val="1"/>
      <w:marLeft w:val="0"/>
      <w:marRight w:val="0"/>
      <w:marTop w:val="0"/>
      <w:marBottom w:val="0"/>
      <w:divBdr>
        <w:top w:val="none" w:sz="0" w:space="0" w:color="auto"/>
        <w:left w:val="none" w:sz="0" w:space="0" w:color="auto"/>
        <w:bottom w:val="none" w:sz="0" w:space="0" w:color="auto"/>
        <w:right w:val="none" w:sz="0" w:space="0" w:color="auto"/>
      </w:divBdr>
    </w:div>
    <w:div w:id="1418944635">
      <w:bodyDiv w:val="1"/>
      <w:marLeft w:val="0"/>
      <w:marRight w:val="0"/>
      <w:marTop w:val="0"/>
      <w:marBottom w:val="0"/>
      <w:divBdr>
        <w:top w:val="none" w:sz="0" w:space="0" w:color="auto"/>
        <w:left w:val="none" w:sz="0" w:space="0" w:color="auto"/>
        <w:bottom w:val="none" w:sz="0" w:space="0" w:color="auto"/>
        <w:right w:val="none" w:sz="0" w:space="0" w:color="auto"/>
      </w:divBdr>
    </w:div>
    <w:div w:id="1419130347">
      <w:bodyDiv w:val="1"/>
      <w:marLeft w:val="0"/>
      <w:marRight w:val="0"/>
      <w:marTop w:val="0"/>
      <w:marBottom w:val="0"/>
      <w:divBdr>
        <w:top w:val="none" w:sz="0" w:space="0" w:color="auto"/>
        <w:left w:val="none" w:sz="0" w:space="0" w:color="auto"/>
        <w:bottom w:val="none" w:sz="0" w:space="0" w:color="auto"/>
        <w:right w:val="none" w:sz="0" w:space="0" w:color="auto"/>
      </w:divBdr>
    </w:div>
    <w:div w:id="1419788439">
      <w:bodyDiv w:val="1"/>
      <w:marLeft w:val="0"/>
      <w:marRight w:val="0"/>
      <w:marTop w:val="0"/>
      <w:marBottom w:val="0"/>
      <w:divBdr>
        <w:top w:val="none" w:sz="0" w:space="0" w:color="auto"/>
        <w:left w:val="none" w:sz="0" w:space="0" w:color="auto"/>
        <w:bottom w:val="none" w:sz="0" w:space="0" w:color="auto"/>
        <w:right w:val="none" w:sz="0" w:space="0" w:color="auto"/>
      </w:divBdr>
    </w:div>
    <w:div w:id="1419987940">
      <w:bodyDiv w:val="1"/>
      <w:marLeft w:val="0"/>
      <w:marRight w:val="0"/>
      <w:marTop w:val="0"/>
      <w:marBottom w:val="0"/>
      <w:divBdr>
        <w:top w:val="none" w:sz="0" w:space="0" w:color="auto"/>
        <w:left w:val="none" w:sz="0" w:space="0" w:color="auto"/>
        <w:bottom w:val="none" w:sz="0" w:space="0" w:color="auto"/>
        <w:right w:val="none" w:sz="0" w:space="0" w:color="auto"/>
      </w:divBdr>
    </w:div>
    <w:div w:id="1422262822">
      <w:bodyDiv w:val="1"/>
      <w:marLeft w:val="0"/>
      <w:marRight w:val="0"/>
      <w:marTop w:val="0"/>
      <w:marBottom w:val="0"/>
      <w:divBdr>
        <w:top w:val="none" w:sz="0" w:space="0" w:color="auto"/>
        <w:left w:val="none" w:sz="0" w:space="0" w:color="auto"/>
        <w:bottom w:val="none" w:sz="0" w:space="0" w:color="auto"/>
        <w:right w:val="none" w:sz="0" w:space="0" w:color="auto"/>
      </w:divBdr>
    </w:div>
    <w:div w:id="1422525540">
      <w:bodyDiv w:val="1"/>
      <w:marLeft w:val="0"/>
      <w:marRight w:val="0"/>
      <w:marTop w:val="0"/>
      <w:marBottom w:val="0"/>
      <w:divBdr>
        <w:top w:val="none" w:sz="0" w:space="0" w:color="auto"/>
        <w:left w:val="none" w:sz="0" w:space="0" w:color="auto"/>
        <w:bottom w:val="none" w:sz="0" w:space="0" w:color="auto"/>
        <w:right w:val="none" w:sz="0" w:space="0" w:color="auto"/>
      </w:divBdr>
    </w:div>
    <w:div w:id="1422681566">
      <w:bodyDiv w:val="1"/>
      <w:marLeft w:val="0"/>
      <w:marRight w:val="0"/>
      <w:marTop w:val="0"/>
      <w:marBottom w:val="0"/>
      <w:divBdr>
        <w:top w:val="none" w:sz="0" w:space="0" w:color="auto"/>
        <w:left w:val="none" w:sz="0" w:space="0" w:color="auto"/>
        <w:bottom w:val="none" w:sz="0" w:space="0" w:color="auto"/>
        <w:right w:val="none" w:sz="0" w:space="0" w:color="auto"/>
      </w:divBdr>
    </w:div>
    <w:div w:id="1423722641">
      <w:bodyDiv w:val="1"/>
      <w:marLeft w:val="0"/>
      <w:marRight w:val="0"/>
      <w:marTop w:val="0"/>
      <w:marBottom w:val="0"/>
      <w:divBdr>
        <w:top w:val="none" w:sz="0" w:space="0" w:color="auto"/>
        <w:left w:val="none" w:sz="0" w:space="0" w:color="auto"/>
        <w:bottom w:val="none" w:sz="0" w:space="0" w:color="auto"/>
        <w:right w:val="none" w:sz="0" w:space="0" w:color="auto"/>
      </w:divBdr>
    </w:div>
    <w:div w:id="1425106947">
      <w:bodyDiv w:val="1"/>
      <w:marLeft w:val="0"/>
      <w:marRight w:val="0"/>
      <w:marTop w:val="0"/>
      <w:marBottom w:val="0"/>
      <w:divBdr>
        <w:top w:val="none" w:sz="0" w:space="0" w:color="auto"/>
        <w:left w:val="none" w:sz="0" w:space="0" w:color="auto"/>
        <w:bottom w:val="none" w:sz="0" w:space="0" w:color="auto"/>
        <w:right w:val="none" w:sz="0" w:space="0" w:color="auto"/>
      </w:divBdr>
    </w:div>
    <w:div w:id="1426608656">
      <w:bodyDiv w:val="1"/>
      <w:marLeft w:val="0"/>
      <w:marRight w:val="0"/>
      <w:marTop w:val="0"/>
      <w:marBottom w:val="0"/>
      <w:divBdr>
        <w:top w:val="none" w:sz="0" w:space="0" w:color="auto"/>
        <w:left w:val="none" w:sz="0" w:space="0" w:color="auto"/>
        <w:bottom w:val="none" w:sz="0" w:space="0" w:color="auto"/>
        <w:right w:val="none" w:sz="0" w:space="0" w:color="auto"/>
      </w:divBdr>
    </w:div>
    <w:div w:id="1427770552">
      <w:bodyDiv w:val="1"/>
      <w:marLeft w:val="0"/>
      <w:marRight w:val="0"/>
      <w:marTop w:val="0"/>
      <w:marBottom w:val="0"/>
      <w:divBdr>
        <w:top w:val="none" w:sz="0" w:space="0" w:color="auto"/>
        <w:left w:val="none" w:sz="0" w:space="0" w:color="auto"/>
        <w:bottom w:val="none" w:sz="0" w:space="0" w:color="auto"/>
        <w:right w:val="none" w:sz="0" w:space="0" w:color="auto"/>
      </w:divBdr>
    </w:div>
    <w:div w:id="1428423456">
      <w:bodyDiv w:val="1"/>
      <w:marLeft w:val="0"/>
      <w:marRight w:val="0"/>
      <w:marTop w:val="0"/>
      <w:marBottom w:val="0"/>
      <w:divBdr>
        <w:top w:val="none" w:sz="0" w:space="0" w:color="auto"/>
        <w:left w:val="none" w:sz="0" w:space="0" w:color="auto"/>
        <w:bottom w:val="none" w:sz="0" w:space="0" w:color="auto"/>
        <w:right w:val="none" w:sz="0" w:space="0" w:color="auto"/>
      </w:divBdr>
    </w:div>
    <w:div w:id="1429501581">
      <w:bodyDiv w:val="1"/>
      <w:marLeft w:val="0"/>
      <w:marRight w:val="0"/>
      <w:marTop w:val="0"/>
      <w:marBottom w:val="0"/>
      <w:divBdr>
        <w:top w:val="none" w:sz="0" w:space="0" w:color="auto"/>
        <w:left w:val="none" w:sz="0" w:space="0" w:color="auto"/>
        <w:bottom w:val="none" w:sz="0" w:space="0" w:color="auto"/>
        <w:right w:val="none" w:sz="0" w:space="0" w:color="auto"/>
      </w:divBdr>
    </w:div>
    <w:div w:id="1430924600">
      <w:bodyDiv w:val="1"/>
      <w:marLeft w:val="0"/>
      <w:marRight w:val="0"/>
      <w:marTop w:val="0"/>
      <w:marBottom w:val="0"/>
      <w:divBdr>
        <w:top w:val="none" w:sz="0" w:space="0" w:color="auto"/>
        <w:left w:val="none" w:sz="0" w:space="0" w:color="auto"/>
        <w:bottom w:val="none" w:sz="0" w:space="0" w:color="auto"/>
        <w:right w:val="none" w:sz="0" w:space="0" w:color="auto"/>
      </w:divBdr>
    </w:div>
    <w:div w:id="1432966991">
      <w:bodyDiv w:val="1"/>
      <w:marLeft w:val="0"/>
      <w:marRight w:val="0"/>
      <w:marTop w:val="0"/>
      <w:marBottom w:val="0"/>
      <w:divBdr>
        <w:top w:val="none" w:sz="0" w:space="0" w:color="auto"/>
        <w:left w:val="none" w:sz="0" w:space="0" w:color="auto"/>
        <w:bottom w:val="none" w:sz="0" w:space="0" w:color="auto"/>
        <w:right w:val="none" w:sz="0" w:space="0" w:color="auto"/>
      </w:divBdr>
    </w:div>
    <w:div w:id="1434206042">
      <w:bodyDiv w:val="1"/>
      <w:marLeft w:val="0"/>
      <w:marRight w:val="0"/>
      <w:marTop w:val="0"/>
      <w:marBottom w:val="0"/>
      <w:divBdr>
        <w:top w:val="none" w:sz="0" w:space="0" w:color="auto"/>
        <w:left w:val="none" w:sz="0" w:space="0" w:color="auto"/>
        <w:bottom w:val="none" w:sz="0" w:space="0" w:color="auto"/>
        <w:right w:val="none" w:sz="0" w:space="0" w:color="auto"/>
      </w:divBdr>
    </w:div>
    <w:div w:id="1434352265">
      <w:bodyDiv w:val="1"/>
      <w:marLeft w:val="0"/>
      <w:marRight w:val="0"/>
      <w:marTop w:val="0"/>
      <w:marBottom w:val="0"/>
      <w:divBdr>
        <w:top w:val="none" w:sz="0" w:space="0" w:color="auto"/>
        <w:left w:val="none" w:sz="0" w:space="0" w:color="auto"/>
        <w:bottom w:val="none" w:sz="0" w:space="0" w:color="auto"/>
        <w:right w:val="none" w:sz="0" w:space="0" w:color="auto"/>
      </w:divBdr>
    </w:div>
    <w:div w:id="1438062254">
      <w:bodyDiv w:val="1"/>
      <w:marLeft w:val="0"/>
      <w:marRight w:val="0"/>
      <w:marTop w:val="0"/>
      <w:marBottom w:val="0"/>
      <w:divBdr>
        <w:top w:val="none" w:sz="0" w:space="0" w:color="auto"/>
        <w:left w:val="none" w:sz="0" w:space="0" w:color="auto"/>
        <w:bottom w:val="none" w:sz="0" w:space="0" w:color="auto"/>
        <w:right w:val="none" w:sz="0" w:space="0" w:color="auto"/>
      </w:divBdr>
    </w:div>
    <w:div w:id="1439106605">
      <w:bodyDiv w:val="1"/>
      <w:marLeft w:val="0"/>
      <w:marRight w:val="0"/>
      <w:marTop w:val="0"/>
      <w:marBottom w:val="0"/>
      <w:divBdr>
        <w:top w:val="none" w:sz="0" w:space="0" w:color="auto"/>
        <w:left w:val="none" w:sz="0" w:space="0" w:color="auto"/>
        <w:bottom w:val="none" w:sz="0" w:space="0" w:color="auto"/>
        <w:right w:val="none" w:sz="0" w:space="0" w:color="auto"/>
      </w:divBdr>
    </w:div>
    <w:div w:id="1440369227">
      <w:bodyDiv w:val="1"/>
      <w:marLeft w:val="0"/>
      <w:marRight w:val="0"/>
      <w:marTop w:val="0"/>
      <w:marBottom w:val="0"/>
      <w:divBdr>
        <w:top w:val="none" w:sz="0" w:space="0" w:color="auto"/>
        <w:left w:val="none" w:sz="0" w:space="0" w:color="auto"/>
        <w:bottom w:val="none" w:sz="0" w:space="0" w:color="auto"/>
        <w:right w:val="none" w:sz="0" w:space="0" w:color="auto"/>
      </w:divBdr>
    </w:div>
    <w:div w:id="1446074929">
      <w:bodyDiv w:val="1"/>
      <w:marLeft w:val="0"/>
      <w:marRight w:val="0"/>
      <w:marTop w:val="0"/>
      <w:marBottom w:val="0"/>
      <w:divBdr>
        <w:top w:val="none" w:sz="0" w:space="0" w:color="auto"/>
        <w:left w:val="none" w:sz="0" w:space="0" w:color="auto"/>
        <w:bottom w:val="none" w:sz="0" w:space="0" w:color="auto"/>
        <w:right w:val="none" w:sz="0" w:space="0" w:color="auto"/>
      </w:divBdr>
    </w:div>
    <w:div w:id="1447235751">
      <w:bodyDiv w:val="1"/>
      <w:marLeft w:val="0"/>
      <w:marRight w:val="0"/>
      <w:marTop w:val="0"/>
      <w:marBottom w:val="0"/>
      <w:divBdr>
        <w:top w:val="none" w:sz="0" w:space="0" w:color="auto"/>
        <w:left w:val="none" w:sz="0" w:space="0" w:color="auto"/>
        <w:bottom w:val="none" w:sz="0" w:space="0" w:color="auto"/>
        <w:right w:val="none" w:sz="0" w:space="0" w:color="auto"/>
      </w:divBdr>
    </w:div>
    <w:div w:id="1447697754">
      <w:bodyDiv w:val="1"/>
      <w:marLeft w:val="0"/>
      <w:marRight w:val="0"/>
      <w:marTop w:val="0"/>
      <w:marBottom w:val="0"/>
      <w:divBdr>
        <w:top w:val="none" w:sz="0" w:space="0" w:color="auto"/>
        <w:left w:val="none" w:sz="0" w:space="0" w:color="auto"/>
        <w:bottom w:val="none" w:sz="0" w:space="0" w:color="auto"/>
        <w:right w:val="none" w:sz="0" w:space="0" w:color="auto"/>
      </w:divBdr>
    </w:div>
    <w:div w:id="1450971402">
      <w:bodyDiv w:val="1"/>
      <w:marLeft w:val="0"/>
      <w:marRight w:val="0"/>
      <w:marTop w:val="0"/>
      <w:marBottom w:val="0"/>
      <w:divBdr>
        <w:top w:val="none" w:sz="0" w:space="0" w:color="auto"/>
        <w:left w:val="none" w:sz="0" w:space="0" w:color="auto"/>
        <w:bottom w:val="none" w:sz="0" w:space="0" w:color="auto"/>
        <w:right w:val="none" w:sz="0" w:space="0" w:color="auto"/>
      </w:divBdr>
    </w:div>
    <w:div w:id="1451195767">
      <w:bodyDiv w:val="1"/>
      <w:marLeft w:val="0"/>
      <w:marRight w:val="0"/>
      <w:marTop w:val="0"/>
      <w:marBottom w:val="0"/>
      <w:divBdr>
        <w:top w:val="none" w:sz="0" w:space="0" w:color="auto"/>
        <w:left w:val="none" w:sz="0" w:space="0" w:color="auto"/>
        <w:bottom w:val="none" w:sz="0" w:space="0" w:color="auto"/>
        <w:right w:val="none" w:sz="0" w:space="0" w:color="auto"/>
      </w:divBdr>
    </w:div>
    <w:div w:id="1453668927">
      <w:bodyDiv w:val="1"/>
      <w:marLeft w:val="0"/>
      <w:marRight w:val="0"/>
      <w:marTop w:val="0"/>
      <w:marBottom w:val="0"/>
      <w:divBdr>
        <w:top w:val="none" w:sz="0" w:space="0" w:color="auto"/>
        <w:left w:val="none" w:sz="0" w:space="0" w:color="auto"/>
        <w:bottom w:val="none" w:sz="0" w:space="0" w:color="auto"/>
        <w:right w:val="none" w:sz="0" w:space="0" w:color="auto"/>
      </w:divBdr>
    </w:div>
    <w:div w:id="1453868572">
      <w:bodyDiv w:val="1"/>
      <w:marLeft w:val="0"/>
      <w:marRight w:val="0"/>
      <w:marTop w:val="0"/>
      <w:marBottom w:val="0"/>
      <w:divBdr>
        <w:top w:val="none" w:sz="0" w:space="0" w:color="auto"/>
        <w:left w:val="none" w:sz="0" w:space="0" w:color="auto"/>
        <w:bottom w:val="none" w:sz="0" w:space="0" w:color="auto"/>
        <w:right w:val="none" w:sz="0" w:space="0" w:color="auto"/>
      </w:divBdr>
    </w:div>
    <w:div w:id="1456215466">
      <w:bodyDiv w:val="1"/>
      <w:marLeft w:val="0"/>
      <w:marRight w:val="0"/>
      <w:marTop w:val="0"/>
      <w:marBottom w:val="0"/>
      <w:divBdr>
        <w:top w:val="none" w:sz="0" w:space="0" w:color="auto"/>
        <w:left w:val="none" w:sz="0" w:space="0" w:color="auto"/>
        <w:bottom w:val="none" w:sz="0" w:space="0" w:color="auto"/>
        <w:right w:val="none" w:sz="0" w:space="0" w:color="auto"/>
      </w:divBdr>
    </w:div>
    <w:div w:id="1456407412">
      <w:bodyDiv w:val="1"/>
      <w:marLeft w:val="0"/>
      <w:marRight w:val="0"/>
      <w:marTop w:val="0"/>
      <w:marBottom w:val="0"/>
      <w:divBdr>
        <w:top w:val="none" w:sz="0" w:space="0" w:color="auto"/>
        <w:left w:val="none" w:sz="0" w:space="0" w:color="auto"/>
        <w:bottom w:val="none" w:sz="0" w:space="0" w:color="auto"/>
        <w:right w:val="none" w:sz="0" w:space="0" w:color="auto"/>
      </w:divBdr>
    </w:div>
    <w:div w:id="1457483444">
      <w:bodyDiv w:val="1"/>
      <w:marLeft w:val="0"/>
      <w:marRight w:val="0"/>
      <w:marTop w:val="0"/>
      <w:marBottom w:val="0"/>
      <w:divBdr>
        <w:top w:val="none" w:sz="0" w:space="0" w:color="auto"/>
        <w:left w:val="none" w:sz="0" w:space="0" w:color="auto"/>
        <w:bottom w:val="none" w:sz="0" w:space="0" w:color="auto"/>
        <w:right w:val="none" w:sz="0" w:space="0" w:color="auto"/>
      </w:divBdr>
    </w:div>
    <w:div w:id="1460339847">
      <w:bodyDiv w:val="1"/>
      <w:marLeft w:val="0"/>
      <w:marRight w:val="0"/>
      <w:marTop w:val="0"/>
      <w:marBottom w:val="0"/>
      <w:divBdr>
        <w:top w:val="none" w:sz="0" w:space="0" w:color="auto"/>
        <w:left w:val="none" w:sz="0" w:space="0" w:color="auto"/>
        <w:bottom w:val="none" w:sz="0" w:space="0" w:color="auto"/>
        <w:right w:val="none" w:sz="0" w:space="0" w:color="auto"/>
      </w:divBdr>
    </w:div>
    <w:div w:id="1460686176">
      <w:bodyDiv w:val="1"/>
      <w:marLeft w:val="0"/>
      <w:marRight w:val="0"/>
      <w:marTop w:val="0"/>
      <w:marBottom w:val="0"/>
      <w:divBdr>
        <w:top w:val="none" w:sz="0" w:space="0" w:color="auto"/>
        <w:left w:val="none" w:sz="0" w:space="0" w:color="auto"/>
        <w:bottom w:val="none" w:sz="0" w:space="0" w:color="auto"/>
        <w:right w:val="none" w:sz="0" w:space="0" w:color="auto"/>
      </w:divBdr>
    </w:div>
    <w:div w:id="1461149873">
      <w:bodyDiv w:val="1"/>
      <w:marLeft w:val="0"/>
      <w:marRight w:val="0"/>
      <w:marTop w:val="0"/>
      <w:marBottom w:val="0"/>
      <w:divBdr>
        <w:top w:val="none" w:sz="0" w:space="0" w:color="auto"/>
        <w:left w:val="none" w:sz="0" w:space="0" w:color="auto"/>
        <w:bottom w:val="none" w:sz="0" w:space="0" w:color="auto"/>
        <w:right w:val="none" w:sz="0" w:space="0" w:color="auto"/>
      </w:divBdr>
    </w:div>
    <w:div w:id="1463772541">
      <w:bodyDiv w:val="1"/>
      <w:marLeft w:val="0"/>
      <w:marRight w:val="0"/>
      <w:marTop w:val="0"/>
      <w:marBottom w:val="0"/>
      <w:divBdr>
        <w:top w:val="none" w:sz="0" w:space="0" w:color="auto"/>
        <w:left w:val="none" w:sz="0" w:space="0" w:color="auto"/>
        <w:bottom w:val="none" w:sz="0" w:space="0" w:color="auto"/>
        <w:right w:val="none" w:sz="0" w:space="0" w:color="auto"/>
      </w:divBdr>
    </w:div>
    <w:div w:id="1464420530">
      <w:bodyDiv w:val="1"/>
      <w:marLeft w:val="0"/>
      <w:marRight w:val="0"/>
      <w:marTop w:val="0"/>
      <w:marBottom w:val="0"/>
      <w:divBdr>
        <w:top w:val="none" w:sz="0" w:space="0" w:color="auto"/>
        <w:left w:val="none" w:sz="0" w:space="0" w:color="auto"/>
        <w:bottom w:val="none" w:sz="0" w:space="0" w:color="auto"/>
        <w:right w:val="none" w:sz="0" w:space="0" w:color="auto"/>
      </w:divBdr>
    </w:div>
    <w:div w:id="1465390010">
      <w:bodyDiv w:val="1"/>
      <w:marLeft w:val="0"/>
      <w:marRight w:val="0"/>
      <w:marTop w:val="0"/>
      <w:marBottom w:val="0"/>
      <w:divBdr>
        <w:top w:val="none" w:sz="0" w:space="0" w:color="auto"/>
        <w:left w:val="none" w:sz="0" w:space="0" w:color="auto"/>
        <w:bottom w:val="none" w:sz="0" w:space="0" w:color="auto"/>
        <w:right w:val="none" w:sz="0" w:space="0" w:color="auto"/>
      </w:divBdr>
    </w:div>
    <w:div w:id="1465465505">
      <w:bodyDiv w:val="1"/>
      <w:marLeft w:val="0"/>
      <w:marRight w:val="0"/>
      <w:marTop w:val="0"/>
      <w:marBottom w:val="0"/>
      <w:divBdr>
        <w:top w:val="none" w:sz="0" w:space="0" w:color="auto"/>
        <w:left w:val="none" w:sz="0" w:space="0" w:color="auto"/>
        <w:bottom w:val="none" w:sz="0" w:space="0" w:color="auto"/>
        <w:right w:val="none" w:sz="0" w:space="0" w:color="auto"/>
      </w:divBdr>
    </w:div>
    <w:div w:id="1468662840">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470979606">
      <w:bodyDiv w:val="1"/>
      <w:marLeft w:val="0"/>
      <w:marRight w:val="0"/>
      <w:marTop w:val="0"/>
      <w:marBottom w:val="0"/>
      <w:divBdr>
        <w:top w:val="none" w:sz="0" w:space="0" w:color="auto"/>
        <w:left w:val="none" w:sz="0" w:space="0" w:color="auto"/>
        <w:bottom w:val="none" w:sz="0" w:space="0" w:color="auto"/>
        <w:right w:val="none" w:sz="0" w:space="0" w:color="auto"/>
      </w:divBdr>
    </w:div>
    <w:div w:id="1471635584">
      <w:bodyDiv w:val="1"/>
      <w:marLeft w:val="0"/>
      <w:marRight w:val="0"/>
      <w:marTop w:val="0"/>
      <w:marBottom w:val="0"/>
      <w:divBdr>
        <w:top w:val="none" w:sz="0" w:space="0" w:color="auto"/>
        <w:left w:val="none" w:sz="0" w:space="0" w:color="auto"/>
        <w:bottom w:val="none" w:sz="0" w:space="0" w:color="auto"/>
        <w:right w:val="none" w:sz="0" w:space="0" w:color="auto"/>
      </w:divBdr>
    </w:div>
    <w:div w:id="1472480184">
      <w:bodyDiv w:val="1"/>
      <w:marLeft w:val="0"/>
      <w:marRight w:val="0"/>
      <w:marTop w:val="0"/>
      <w:marBottom w:val="0"/>
      <w:divBdr>
        <w:top w:val="none" w:sz="0" w:space="0" w:color="auto"/>
        <w:left w:val="none" w:sz="0" w:space="0" w:color="auto"/>
        <w:bottom w:val="none" w:sz="0" w:space="0" w:color="auto"/>
        <w:right w:val="none" w:sz="0" w:space="0" w:color="auto"/>
      </w:divBdr>
    </w:div>
    <w:div w:id="1472672701">
      <w:bodyDiv w:val="1"/>
      <w:marLeft w:val="0"/>
      <w:marRight w:val="0"/>
      <w:marTop w:val="0"/>
      <w:marBottom w:val="0"/>
      <w:divBdr>
        <w:top w:val="none" w:sz="0" w:space="0" w:color="auto"/>
        <w:left w:val="none" w:sz="0" w:space="0" w:color="auto"/>
        <w:bottom w:val="none" w:sz="0" w:space="0" w:color="auto"/>
        <w:right w:val="none" w:sz="0" w:space="0" w:color="auto"/>
      </w:divBdr>
    </w:div>
    <w:div w:id="1473062790">
      <w:bodyDiv w:val="1"/>
      <w:marLeft w:val="0"/>
      <w:marRight w:val="0"/>
      <w:marTop w:val="0"/>
      <w:marBottom w:val="0"/>
      <w:divBdr>
        <w:top w:val="none" w:sz="0" w:space="0" w:color="auto"/>
        <w:left w:val="none" w:sz="0" w:space="0" w:color="auto"/>
        <w:bottom w:val="none" w:sz="0" w:space="0" w:color="auto"/>
        <w:right w:val="none" w:sz="0" w:space="0" w:color="auto"/>
      </w:divBdr>
    </w:div>
    <w:div w:id="1474248613">
      <w:bodyDiv w:val="1"/>
      <w:marLeft w:val="0"/>
      <w:marRight w:val="0"/>
      <w:marTop w:val="0"/>
      <w:marBottom w:val="0"/>
      <w:divBdr>
        <w:top w:val="none" w:sz="0" w:space="0" w:color="auto"/>
        <w:left w:val="none" w:sz="0" w:space="0" w:color="auto"/>
        <w:bottom w:val="none" w:sz="0" w:space="0" w:color="auto"/>
        <w:right w:val="none" w:sz="0" w:space="0" w:color="auto"/>
      </w:divBdr>
    </w:div>
    <w:div w:id="1476022311">
      <w:bodyDiv w:val="1"/>
      <w:marLeft w:val="0"/>
      <w:marRight w:val="0"/>
      <w:marTop w:val="0"/>
      <w:marBottom w:val="0"/>
      <w:divBdr>
        <w:top w:val="none" w:sz="0" w:space="0" w:color="auto"/>
        <w:left w:val="none" w:sz="0" w:space="0" w:color="auto"/>
        <w:bottom w:val="none" w:sz="0" w:space="0" w:color="auto"/>
        <w:right w:val="none" w:sz="0" w:space="0" w:color="auto"/>
      </w:divBdr>
    </w:div>
    <w:div w:id="1476409979">
      <w:bodyDiv w:val="1"/>
      <w:marLeft w:val="0"/>
      <w:marRight w:val="0"/>
      <w:marTop w:val="0"/>
      <w:marBottom w:val="0"/>
      <w:divBdr>
        <w:top w:val="none" w:sz="0" w:space="0" w:color="auto"/>
        <w:left w:val="none" w:sz="0" w:space="0" w:color="auto"/>
        <w:bottom w:val="none" w:sz="0" w:space="0" w:color="auto"/>
        <w:right w:val="none" w:sz="0" w:space="0" w:color="auto"/>
      </w:divBdr>
    </w:div>
    <w:div w:id="1476868769">
      <w:bodyDiv w:val="1"/>
      <w:marLeft w:val="0"/>
      <w:marRight w:val="0"/>
      <w:marTop w:val="0"/>
      <w:marBottom w:val="0"/>
      <w:divBdr>
        <w:top w:val="none" w:sz="0" w:space="0" w:color="auto"/>
        <w:left w:val="none" w:sz="0" w:space="0" w:color="auto"/>
        <w:bottom w:val="none" w:sz="0" w:space="0" w:color="auto"/>
        <w:right w:val="none" w:sz="0" w:space="0" w:color="auto"/>
      </w:divBdr>
    </w:div>
    <w:div w:id="1477262473">
      <w:bodyDiv w:val="1"/>
      <w:marLeft w:val="0"/>
      <w:marRight w:val="0"/>
      <w:marTop w:val="0"/>
      <w:marBottom w:val="0"/>
      <w:divBdr>
        <w:top w:val="none" w:sz="0" w:space="0" w:color="auto"/>
        <w:left w:val="none" w:sz="0" w:space="0" w:color="auto"/>
        <w:bottom w:val="none" w:sz="0" w:space="0" w:color="auto"/>
        <w:right w:val="none" w:sz="0" w:space="0" w:color="auto"/>
      </w:divBdr>
    </w:div>
    <w:div w:id="1477843129">
      <w:bodyDiv w:val="1"/>
      <w:marLeft w:val="0"/>
      <w:marRight w:val="0"/>
      <w:marTop w:val="0"/>
      <w:marBottom w:val="0"/>
      <w:divBdr>
        <w:top w:val="none" w:sz="0" w:space="0" w:color="auto"/>
        <w:left w:val="none" w:sz="0" w:space="0" w:color="auto"/>
        <w:bottom w:val="none" w:sz="0" w:space="0" w:color="auto"/>
        <w:right w:val="none" w:sz="0" w:space="0" w:color="auto"/>
      </w:divBdr>
    </w:div>
    <w:div w:id="1478759456">
      <w:bodyDiv w:val="1"/>
      <w:marLeft w:val="0"/>
      <w:marRight w:val="0"/>
      <w:marTop w:val="0"/>
      <w:marBottom w:val="0"/>
      <w:divBdr>
        <w:top w:val="none" w:sz="0" w:space="0" w:color="auto"/>
        <w:left w:val="none" w:sz="0" w:space="0" w:color="auto"/>
        <w:bottom w:val="none" w:sz="0" w:space="0" w:color="auto"/>
        <w:right w:val="none" w:sz="0" w:space="0" w:color="auto"/>
      </w:divBdr>
    </w:div>
    <w:div w:id="1478954687">
      <w:bodyDiv w:val="1"/>
      <w:marLeft w:val="0"/>
      <w:marRight w:val="0"/>
      <w:marTop w:val="0"/>
      <w:marBottom w:val="0"/>
      <w:divBdr>
        <w:top w:val="none" w:sz="0" w:space="0" w:color="auto"/>
        <w:left w:val="none" w:sz="0" w:space="0" w:color="auto"/>
        <w:bottom w:val="none" w:sz="0" w:space="0" w:color="auto"/>
        <w:right w:val="none" w:sz="0" w:space="0" w:color="auto"/>
      </w:divBdr>
    </w:div>
    <w:div w:id="1480196836">
      <w:bodyDiv w:val="1"/>
      <w:marLeft w:val="0"/>
      <w:marRight w:val="0"/>
      <w:marTop w:val="0"/>
      <w:marBottom w:val="0"/>
      <w:divBdr>
        <w:top w:val="none" w:sz="0" w:space="0" w:color="auto"/>
        <w:left w:val="none" w:sz="0" w:space="0" w:color="auto"/>
        <w:bottom w:val="none" w:sz="0" w:space="0" w:color="auto"/>
        <w:right w:val="none" w:sz="0" w:space="0" w:color="auto"/>
      </w:divBdr>
    </w:div>
    <w:div w:id="1480347021">
      <w:bodyDiv w:val="1"/>
      <w:marLeft w:val="0"/>
      <w:marRight w:val="0"/>
      <w:marTop w:val="0"/>
      <w:marBottom w:val="0"/>
      <w:divBdr>
        <w:top w:val="none" w:sz="0" w:space="0" w:color="auto"/>
        <w:left w:val="none" w:sz="0" w:space="0" w:color="auto"/>
        <w:bottom w:val="none" w:sz="0" w:space="0" w:color="auto"/>
        <w:right w:val="none" w:sz="0" w:space="0" w:color="auto"/>
      </w:divBdr>
    </w:div>
    <w:div w:id="1481649878">
      <w:bodyDiv w:val="1"/>
      <w:marLeft w:val="0"/>
      <w:marRight w:val="0"/>
      <w:marTop w:val="0"/>
      <w:marBottom w:val="0"/>
      <w:divBdr>
        <w:top w:val="none" w:sz="0" w:space="0" w:color="auto"/>
        <w:left w:val="none" w:sz="0" w:space="0" w:color="auto"/>
        <w:bottom w:val="none" w:sz="0" w:space="0" w:color="auto"/>
        <w:right w:val="none" w:sz="0" w:space="0" w:color="auto"/>
      </w:divBdr>
    </w:div>
    <w:div w:id="1482189285">
      <w:bodyDiv w:val="1"/>
      <w:marLeft w:val="0"/>
      <w:marRight w:val="0"/>
      <w:marTop w:val="0"/>
      <w:marBottom w:val="0"/>
      <w:divBdr>
        <w:top w:val="none" w:sz="0" w:space="0" w:color="auto"/>
        <w:left w:val="none" w:sz="0" w:space="0" w:color="auto"/>
        <w:bottom w:val="none" w:sz="0" w:space="0" w:color="auto"/>
        <w:right w:val="none" w:sz="0" w:space="0" w:color="auto"/>
      </w:divBdr>
    </w:div>
    <w:div w:id="1484347607">
      <w:bodyDiv w:val="1"/>
      <w:marLeft w:val="0"/>
      <w:marRight w:val="0"/>
      <w:marTop w:val="0"/>
      <w:marBottom w:val="0"/>
      <w:divBdr>
        <w:top w:val="none" w:sz="0" w:space="0" w:color="auto"/>
        <w:left w:val="none" w:sz="0" w:space="0" w:color="auto"/>
        <w:bottom w:val="none" w:sz="0" w:space="0" w:color="auto"/>
        <w:right w:val="none" w:sz="0" w:space="0" w:color="auto"/>
      </w:divBdr>
    </w:div>
    <w:div w:id="1486311386">
      <w:bodyDiv w:val="1"/>
      <w:marLeft w:val="0"/>
      <w:marRight w:val="0"/>
      <w:marTop w:val="0"/>
      <w:marBottom w:val="0"/>
      <w:divBdr>
        <w:top w:val="none" w:sz="0" w:space="0" w:color="auto"/>
        <w:left w:val="none" w:sz="0" w:space="0" w:color="auto"/>
        <w:bottom w:val="none" w:sz="0" w:space="0" w:color="auto"/>
        <w:right w:val="none" w:sz="0" w:space="0" w:color="auto"/>
      </w:divBdr>
    </w:div>
    <w:div w:id="1486822863">
      <w:bodyDiv w:val="1"/>
      <w:marLeft w:val="0"/>
      <w:marRight w:val="0"/>
      <w:marTop w:val="0"/>
      <w:marBottom w:val="0"/>
      <w:divBdr>
        <w:top w:val="none" w:sz="0" w:space="0" w:color="auto"/>
        <w:left w:val="none" w:sz="0" w:space="0" w:color="auto"/>
        <w:bottom w:val="none" w:sz="0" w:space="0" w:color="auto"/>
        <w:right w:val="none" w:sz="0" w:space="0" w:color="auto"/>
      </w:divBdr>
    </w:div>
    <w:div w:id="1487942471">
      <w:bodyDiv w:val="1"/>
      <w:marLeft w:val="0"/>
      <w:marRight w:val="0"/>
      <w:marTop w:val="0"/>
      <w:marBottom w:val="0"/>
      <w:divBdr>
        <w:top w:val="none" w:sz="0" w:space="0" w:color="auto"/>
        <w:left w:val="none" w:sz="0" w:space="0" w:color="auto"/>
        <w:bottom w:val="none" w:sz="0" w:space="0" w:color="auto"/>
        <w:right w:val="none" w:sz="0" w:space="0" w:color="auto"/>
      </w:divBdr>
    </w:div>
    <w:div w:id="1488860782">
      <w:bodyDiv w:val="1"/>
      <w:marLeft w:val="0"/>
      <w:marRight w:val="0"/>
      <w:marTop w:val="0"/>
      <w:marBottom w:val="0"/>
      <w:divBdr>
        <w:top w:val="none" w:sz="0" w:space="0" w:color="auto"/>
        <w:left w:val="none" w:sz="0" w:space="0" w:color="auto"/>
        <w:bottom w:val="none" w:sz="0" w:space="0" w:color="auto"/>
        <w:right w:val="none" w:sz="0" w:space="0" w:color="auto"/>
      </w:divBdr>
    </w:div>
    <w:div w:id="1490898399">
      <w:bodyDiv w:val="1"/>
      <w:marLeft w:val="0"/>
      <w:marRight w:val="0"/>
      <w:marTop w:val="0"/>
      <w:marBottom w:val="0"/>
      <w:divBdr>
        <w:top w:val="none" w:sz="0" w:space="0" w:color="auto"/>
        <w:left w:val="none" w:sz="0" w:space="0" w:color="auto"/>
        <w:bottom w:val="none" w:sz="0" w:space="0" w:color="auto"/>
        <w:right w:val="none" w:sz="0" w:space="0" w:color="auto"/>
      </w:divBdr>
    </w:div>
    <w:div w:id="1492673578">
      <w:bodyDiv w:val="1"/>
      <w:marLeft w:val="0"/>
      <w:marRight w:val="0"/>
      <w:marTop w:val="0"/>
      <w:marBottom w:val="0"/>
      <w:divBdr>
        <w:top w:val="none" w:sz="0" w:space="0" w:color="auto"/>
        <w:left w:val="none" w:sz="0" w:space="0" w:color="auto"/>
        <w:bottom w:val="none" w:sz="0" w:space="0" w:color="auto"/>
        <w:right w:val="none" w:sz="0" w:space="0" w:color="auto"/>
      </w:divBdr>
    </w:div>
    <w:div w:id="1493329115">
      <w:bodyDiv w:val="1"/>
      <w:marLeft w:val="0"/>
      <w:marRight w:val="0"/>
      <w:marTop w:val="0"/>
      <w:marBottom w:val="0"/>
      <w:divBdr>
        <w:top w:val="none" w:sz="0" w:space="0" w:color="auto"/>
        <w:left w:val="none" w:sz="0" w:space="0" w:color="auto"/>
        <w:bottom w:val="none" w:sz="0" w:space="0" w:color="auto"/>
        <w:right w:val="none" w:sz="0" w:space="0" w:color="auto"/>
      </w:divBdr>
    </w:div>
    <w:div w:id="1496188669">
      <w:bodyDiv w:val="1"/>
      <w:marLeft w:val="0"/>
      <w:marRight w:val="0"/>
      <w:marTop w:val="0"/>
      <w:marBottom w:val="0"/>
      <w:divBdr>
        <w:top w:val="none" w:sz="0" w:space="0" w:color="auto"/>
        <w:left w:val="none" w:sz="0" w:space="0" w:color="auto"/>
        <w:bottom w:val="none" w:sz="0" w:space="0" w:color="auto"/>
        <w:right w:val="none" w:sz="0" w:space="0" w:color="auto"/>
      </w:divBdr>
    </w:div>
    <w:div w:id="1496648580">
      <w:bodyDiv w:val="1"/>
      <w:marLeft w:val="0"/>
      <w:marRight w:val="0"/>
      <w:marTop w:val="0"/>
      <w:marBottom w:val="0"/>
      <w:divBdr>
        <w:top w:val="none" w:sz="0" w:space="0" w:color="auto"/>
        <w:left w:val="none" w:sz="0" w:space="0" w:color="auto"/>
        <w:bottom w:val="none" w:sz="0" w:space="0" w:color="auto"/>
        <w:right w:val="none" w:sz="0" w:space="0" w:color="auto"/>
      </w:divBdr>
    </w:div>
    <w:div w:id="1496998023">
      <w:bodyDiv w:val="1"/>
      <w:marLeft w:val="0"/>
      <w:marRight w:val="0"/>
      <w:marTop w:val="0"/>
      <w:marBottom w:val="0"/>
      <w:divBdr>
        <w:top w:val="none" w:sz="0" w:space="0" w:color="auto"/>
        <w:left w:val="none" w:sz="0" w:space="0" w:color="auto"/>
        <w:bottom w:val="none" w:sz="0" w:space="0" w:color="auto"/>
        <w:right w:val="none" w:sz="0" w:space="0" w:color="auto"/>
      </w:divBdr>
    </w:div>
    <w:div w:id="1500272656">
      <w:bodyDiv w:val="1"/>
      <w:marLeft w:val="0"/>
      <w:marRight w:val="0"/>
      <w:marTop w:val="0"/>
      <w:marBottom w:val="0"/>
      <w:divBdr>
        <w:top w:val="none" w:sz="0" w:space="0" w:color="auto"/>
        <w:left w:val="none" w:sz="0" w:space="0" w:color="auto"/>
        <w:bottom w:val="none" w:sz="0" w:space="0" w:color="auto"/>
        <w:right w:val="none" w:sz="0" w:space="0" w:color="auto"/>
      </w:divBdr>
    </w:div>
    <w:div w:id="1500778501">
      <w:bodyDiv w:val="1"/>
      <w:marLeft w:val="0"/>
      <w:marRight w:val="0"/>
      <w:marTop w:val="0"/>
      <w:marBottom w:val="0"/>
      <w:divBdr>
        <w:top w:val="none" w:sz="0" w:space="0" w:color="auto"/>
        <w:left w:val="none" w:sz="0" w:space="0" w:color="auto"/>
        <w:bottom w:val="none" w:sz="0" w:space="0" w:color="auto"/>
        <w:right w:val="none" w:sz="0" w:space="0" w:color="auto"/>
      </w:divBdr>
    </w:div>
    <w:div w:id="1501695069">
      <w:bodyDiv w:val="1"/>
      <w:marLeft w:val="0"/>
      <w:marRight w:val="0"/>
      <w:marTop w:val="0"/>
      <w:marBottom w:val="0"/>
      <w:divBdr>
        <w:top w:val="none" w:sz="0" w:space="0" w:color="auto"/>
        <w:left w:val="none" w:sz="0" w:space="0" w:color="auto"/>
        <w:bottom w:val="none" w:sz="0" w:space="0" w:color="auto"/>
        <w:right w:val="none" w:sz="0" w:space="0" w:color="auto"/>
      </w:divBdr>
    </w:div>
    <w:div w:id="1501919816">
      <w:bodyDiv w:val="1"/>
      <w:marLeft w:val="0"/>
      <w:marRight w:val="0"/>
      <w:marTop w:val="0"/>
      <w:marBottom w:val="0"/>
      <w:divBdr>
        <w:top w:val="none" w:sz="0" w:space="0" w:color="auto"/>
        <w:left w:val="none" w:sz="0" w:space="0" w:color="auto"/>
        <w:bottom w:val="none" w:sz="0" w:space="0" w:color="auto"/>
        <w:right w:val="none" w:sz="0" w:space="0" w:color="auto"/>
      </w:divBdr>
    </w:div>
    <w:div w:id="1502237480">
      <w:bodyDiv w:val="1"/>
      <w:marLeft w:val="0"/>
      <w:marRight w:val="0"/>
      <w:marTop w:val="0"/>
      <w:marBottom w:val="0"/>
      <w:divBdr>
        <w:top w:val="none" w:sz="0" w:space="0" w:color="auto"/>
        <w:left w:val="none" w:sz="0" w:space="0" w:color="auto"/>
        <w:bottom w:val="none" w:sz="0" w:space="0" w:color="auto"/>
        <w:right w:val="none" w:sz="0" w:space="0" w:color="auto"/>
      </w:divBdr>
    </w:div>
    <w:div w:id="1503861523">
      <w:bodyDiv w:val="1"/>
      <w:marLeft w:val="0"/>
      <w:marRight w:val="0"/>
      <w:marTop w:val="0"/>
      <w:marBottom w:val="0"/>
      <w:divBdr>
        <w:top w:val="none" w:sz="0" w:space="0" w:color="auto"/>
        <w:left w:val="none" w:sz="0" w:space="0" w:color="auto"/>
        <w:bottom w:val="none" w:sz="0" w:space="0" w:color="auto"/>
        <w:right w:val="none" w:sz="0" w:space="0" w:color="auto"/>
      </w:divBdr>
    </w:div>
    <w:div w:id="1503885414">
      <w:bodyDiv w:val="1"/>
      <w:marLeft w:val="0"/>
      <w:marRight w:val="0"/>
      <w:marTop w:val="0"/>
      <w:marBottom w:val="0"/>
      <w:divBdr>
        <w:top w:val="none" w:sz="0" w:space="0" w:color="auto"/>
        <w:left w:val="none" w:sz="0" w:space="0" w:color="auto"/>
        <w:bottom w:val="none" w:sz="0" w:space="0" w:color="auto"/>
        <w:right w:val="none" w:sz="0" w:space="0" w:color="auto"/>
      </w:divBdr>
    </w:div>
    <w:div w:id="1504903600">
      <w:bodyDiv w:val="1"/>
      <w:marLeft w:val="0"/>
      <w:marRight w:val="0"/>
      <w:marTop w:val="0"/>
      <w:marBottom w:val="0"/>
      <w:divBdr>
        <w:top w:val="none" w:sz="0" w:space="0" w:color="auto"/>
        <w:left w:val="none" w:sz="0" w:space="0" w:color="auto"/>
        <w:bottom w:val="none" w:sz="0" w:space="0" w:color="auto"/>
        <w:right w:val="none" w:sz="0" w:space="0" w:color="auto"/>
      </w:divBdr>
    </w:div>
    <w:div w:id="1504972175">
      <w:bodyDiv w:val="1"/>
      <w:marLeft w:val="0"/>
      <w:marRight w:val="0"/>
      <w:marTop w:val="0"/>
      <w:marBottom w:val="0"/>
      <w:divBdr>
        <w:top w:val="none" w:sz="0" w:space="0" w:color="auto"/>
        <w:left w:val="none" w:sz="0" w:space="0" w:color="auto"/>
        <w:bottom w:val="none" w:sz="0" w:space="0" w:color="auto"/>
        <w:right w:val="none" w:sz="0" w:space="0" w:color="auto"/>
      </w:divBdr>
    </w:div>
    <w:div w:id="1505317259">
      <w:bodyDiv w:val="1"/>
      <w:marLeft w:val="0"/>
      <w:marRight w:val="0"/>
      <w:marTop w:val="0"/>
      <w:marBottom w:val="0"/>
      <w:divBdr>
        <w:top w:val="none" w:sz="0" w:space="0" w:color="auto"/>
        <w:left w:val="none" w:sz="0" w:space="0" w:color="auto"/>
        <w:bottom w:val="none" w:sz="0" w:space="0" w:color="auto"/>
        <w:right w:val="none" w:sz="0" w:space="0" w:color="auto"/>
      </w:divBdr>
    </w:div>
    <w:div w:id="1505583789">
      <w:bodyDiv w:val="1"/>
      <w:marLeft w:val="0"/>
      <w:marRight w:val="0"/>
      <w:marTop w:val="0"/>
      <w:marBottom w:val="0"/>
      <w:divBdr>
        <w:top w:val="none" w:sz="0" w:space="0" w:color="auto"/>
        <w:left w:val="none" w:sz="0" w:space="0" w:color="auto"/>
        <w:bottom w:val="none" w:sz="0" w:space="0" w:color="auto"/>
        <w:right w:val="none" w:sz="0" w:space="0" w:color="auto"/>
      </w:divBdr>
    </w:div>
    <w:div w:id="1507941698">
      <w:bodyDiv w:val="1"/>
      <w:marLeft w:val="0"/>
      <w:marRight w:val="0"/>
      <w:marTop w:val="0"/>
      <w:marBottom w:val="0"/>
      <w:divBdr>
        <w:top w:val="none" w:sz="0" w:space="0" w:color="auto"/>
        <w:left w:val="none" w:sz="0" w:space="0" w:color="auto"/>
        <w:bottom w:val="none" w:sz="0" w:space="0" w:color="auto"/>
        <w:right w:val="none" w:sz="0" w:space="0" w:color="auto"/>
      </w:divBdr>
    </w:div>
    <w:div w:id="1508594636">
      <w:bodyDiv w:val="1"/>
      <w:marLeft w:val="0"/>
      <w:marRight w:val="0"/>
      <w:marTop w:val="0"/>
      <w:marBottom w:val="0"/>
      <w:divBdr>
        <w:top w:val="none" w:sz="0" w:space="0" w:color="auto"/>
        <w:left w:val="none" w:sz="0" w:space="0" w:color="auto"/>
        <w:bottom w:val="none" w:sz="0" w:space="0" w:color="auto"/>
        <w:right w:val="none" w:sz="0" w:space="0" w:color="auto"/>
      </w:divBdr>
    </w:div>
    <w:div w:id="1508668663">
      <w:bodyDiv w:val="1"/>
      <w:marLeft w:val="0"/>
      <w:marRight w:val="0"/>
      <w:marTop w:val="0"/>
      <w:marBottom w:val="0"/>
      <w:divBdr>
        <w:top w:val="none" w:sz="0" w:space="0" w:color="auto"/>
        <w:left w:val="none" w:sz="0" w:space="0" w:color="auto"/>
        <w:bottom w:val="none" w:sz="0" w:space="0" w:color="auto"/>
        <w:right w:val="none" w:sz="0" w:space="0" w:color="auto"/>
      </w:divBdr>
    </w:div>
    <w:div w:id="1509784071">
      <w:bodyDiv w:val="1"/>
      <w:marLeft w:val="0"/>
      <w:marRight w:val="0"/>
      <w:marTop w:val="0"/>
      <w:marBottom w:val="0"/>
      <w:divBdr>
        <w:top w:val="none" w:sz="0" w:space="0" w:color="auto"/>
        <w:left w:val="none" w:sz="0" w:space="0" w:color="auto"/>
        <w:bottom w:val="none" w:sz="0" w:space="0" w:color="auto"/>
        <w:right w:val="none" w:sz="0" w:space="0" w:color="auto"/>
      </w:divBdr>
    </w:div>
    <w:div w:id="1509831622">
      <w:bodyDiv w:val="1"/>
      <w:marLeft w:val="0"/>
      <w:marRight w:val="0"/>
      <w:marTop w:val="0"/>
      <w:marBottom w:val="0"/>
      <w:divBdr>
        <w:top w:val="none" w:sz="0" w:space="0" w:color="auto"/>
        <w:left w:val="none" w:sz="0" w:space="0" w:color="auto"/>
        <w:bottom w:val="none" w:sz="0" w:space="0" w:color="auto"/>
        <w:right w:val="none" w:sz="0" w:space="0" w:color="auto"/>
      </w:divBdr>
    </w:div>
    <w:div w:id="1510172997">
      <w:bodyDiv w:val="1"/>
      <w:marLeft w:val="0"/>
      <w:marRight w:val="0"/>
      <w:marTop w:val="0"/>
      <w:marBottom w:val="0"/>
      <w:divBdr>
        <w:top w:val="none" w:sz="0" w:space="0" w:color="auto"/>
        <w:left w:val="none" w:sz="0" w:space="0" w:color="auto"/>
        <w:bottom w:val="none" w:sz="0" w:space="0" w:color="auto"/>
        <w:right w:val="none" w:sz="0" w:space="0" w:color="auto"/>
      </w:divBdr>
    </w:div>
    <w:div w:id="1511405199">
      <w:bodyDiv w:val="1"/>
      <w:marLeft w:val="0"/>
      <w:marRight w:val="0"/>
      <w:marTop w:val="0"/>
      <w:marBottom w:val="0"/>
      <w:divBdr>
        <w:top w:val="none" w:sz="0" w:space="0" w:color="auto"/>
        <w:left w:val="none" w:sz="0" w:space="0" w:color="auto"/>
        <w:bottom w:val="none" w:sz="0" w:space="0" w:color="auto"/>
        <w:right w:val="none" w:sz="0" w:space="0" w:color="auto"/>
      </w:divBdr>
    </w:div>
    <w:div w:id="1512063035">
      <w:bodyDiv w:val="1"/>
      <w:marLeft w:val="0"/>
      <w:marRight w:val="0"/>
      <w:marTop w:val="0"/>
      <w:marBottom w:val="0"/>
      <w:divBdr>
        <w:top w:val="none" w:sz="0" w:space="0" w:color="auto"/>
        <w:left w:val="none" w:sz="0" w:space="0" w:color="auto"/>
        <w:bottom w:val="none" w:sz="0" w:space="0" w:color="auto"/>
        <w:right w:val="none" w:sz="0" w:space="0" w:color="auto"/>
      </w:divBdr>
    </w:div>
    <w:div w:id="1513685345">
      <w:bodyDiv w:val="1"/>
      <w:marLeft w:val="0"/>
      <w:marRight w:val="0"/>
      <w:marTop w:val="0"/>
      <w:marBottom w:val="0"/>
      <w:divBdr>
        <w:top w:val="none" w:sz="0" w:space="0" w:color="auto"/>
        <w:left w:val="none" w:sz="0" w:space="0" w:color="auto"/>
        <w:bottom w:val="none" w:sz="0" w:space="0" w:color="auto"/>
        <w:right w:val="none" w:sz="0" w:space="0" w:color="auto"/>
      </w:divBdr>
    </w:div>
    <w:div w:id="1513910693">
      <w:bodyDiv w:val="1"/>
      <w:marLeft w:val="0"/>
      <w:marRight w:val="0"/>
      <w:marTop w:val="0"/>
      <w:marBottom w:val="0"/>
      <w:divBdr>
        <w:top w:val="none" w:sz="0" w:space="0" w:color="auto"/>
        <w:left w:val="none" w:sz="0" w:space="0" w:color="auto"/>
        <w:bottom w:val="none" w:sz="0" w:space="0" w:color="auto"/>
        <w:right w:val="none" w:sz="0" w:space="0" w:color="auto"/>
      </w:divBdr>
    </w:div>
    <w:div w:id="1514539216">
      <w:bodyDiv w:val="1"/>
      <w:marLeft w:val="0"/>
      <w:marRight w:val="0"/>
      <w:marTop w:val="0"/>
      <w:marBottom w:val="0"/>
      <w:divBdr>
        <w:top w:val="none" w:sz="0" w:space="0" w:color="auto"/>
        <w:left w:val="none" w:sz="0" w:space="0" w:color="auto"/>
        <w:bottom w:val="none" w:sz="0" w:space="0" w:color="auto"/>
        <w:right w:val="none" w:sz="0" w:space="0" w:color="auto"/>
      </w:divBdr>
    </w:div>
    <w:div w:id="1517496787">
      <w:bodyDiv w:val="1"/>
      <w:marLeft w:val="0"/>
      <w:marRight w:val="0"/>
      <w:marTop w:val="0"/>
      <w:marBottom w:val="0"/>
      <w:divBdr>
        <w:top w:val="none" w:sz="0" w:space="0" w:color="auto"/>
        <w:left w:val="none" w:sz="0" w:space="0" w:color="auto"/>
        <w:bottom w:val="none" w:sz="0" w:space="0" w:color="auto"/>
        <w:right w:val="none" w:sz="0" w:space="0" w:color="auto"/>
      </w:divBdr>
    </w:div>
    <w:div w:id="1517765941">
      <w:bodyDiv w:val="1"/>
      <w:marLeft w:val="0"/>
      <w:marRight w:val="0"/>
      <w:marTop w:val="0"/>
      <w:marBottom w:val="0"/>
      <w:divBdr>
        <w:top w:val="none" w:sz="0" w:space="0" w:color="auto"/>
        <w:left w:val="none" w:sz="0" w:space="0" w:color="auto"/>
        <w:bottom w:val="none" w:sz="0" w:space="0" w:color="auto"/>
        <w:right w:val="none" w:sz="0" w:space="0" w:color="auto"/>
      </w:divBdr>
    </w:div>
    <w:div w:id="1518301758">
      <w:bodyDiv w:val="1"/>
      <w:marLeft w:val="0"/>
      <w:marRight w:val="0"/>
      <w:marTop w:val="0"/>
      <w:marBottom w:val="0"/>
      <w:divBdr>
        <w:top w:val="none" w:sz="0" w:space="0" w:color="auto"/>
        <w:left w:val="none" w:sz="0" w:space="0" w:color="auto"/>
        <w:bottom w:val="none" w:sz="0" w:space="0" w:color="auto"/>
        <w:right w:val="none" w:sz="0" w:space="0" w:color="auto"/>
      </w:divBdr>
    </w:div>
    <w:div w:id="1519931285">
      <w:bodyDiv w:val="1"/>
      <w:marLeft w:val="0"/>
      <w:marRight w:val="0"/>
      <w:marTop w:val="0"/>
      <w:marBottom w:val="0"/>
      <w:divBdr>
        <w:top w:val="none" w:sz="0" w:space="0" w:color="auto"/>
        <w:left w:val="none" w:sz="0" w:space="0" w:color="auto"/>
        <w:bottom w:val="none" w:sz="0" w:space="0" w:color="auto"/>
        <w:right w:val="none" w:sz="0" w:space="0" w:color="auto"/>
      </w:divBdr>
    </w:div>
    <w:div w:id="1520046381">
      <w:bodyDiv w:val="1"/>
      <w:marLeft w:val="0"/>
      <w:marRight w:val="0"/>
      <w:marTop w:val="0"/>
      <w:marBottom w:val="0"/>
      <w:divBdr>
        <w:top w:val="none" w:sz="0" w:space="0" w:color="auto"/>
        <w:left w:val="none" w:sz="0" w:space="0" w:color="auto"/>
        <w:bottom w:val="none" w:sz="0" w:space="0" w:color="auto"/>
        <w:right w:val="none" w:sz="0" w:space="0" w:color="auto"/>
      </w:divBdr>
    </w:div>
    <w:div w:id="1521696782">
      <w:bodyDiv w:val="1"/>
      <w:marLeft w:val="0"/>
      <w:marRight w:val="0"/>
      <w:marTop w:val="0"/>
      <w:marBottom w:val="0"/>
      <w:divBdr>
        <w:top w:val="none" w:sz="0" w:space="0" w:color="auto"/>
        <w:left w:val="none" w:sz="0" w:space="0" w:color="auto"/>
        <w:bottom w:val="none" w:sz="0" w:space="0" w:color="auto"/>
        <w:right w:val="none" w:sz="0" w:space="0" w:color="auto"/>
      </w:divBdr>
    </w:div>
    <w:div w:id="1521965105">
      <w:bodyDiv w:val="1"/>
      <w:marLeft w:val="0"/>
      <w:marRight w:val="0"/>
      <w:marTop w:val="0"/>
      <w:marBottom w:val="0"/>
      <w:divBdr>
        <w:top w:val="none" w:sz="0" w:space="0" w:color="auto"/>
        <w:left w:val="none" w:sz="0" w:space="0" w:color="auto"/>
        <w:bottom w:val="none" w:sz="0" w:space="0" w:color="auto"/>
        <w:right w:val="none" w:sz="0" w:space="0" w:color="auto"/>
      </w:divBdr>
    </w:div>
    <w:div w:id="1522620653">
      <w:bodyDiv w:val="1"/>
      <w:marLeft w:val="0"/>
      <w:marRight w:val="0"/>
      <w:marTop w:val="0"/>
      <w:marBottom w:val="0"/>
      <w:divBdr>
        <w:top w:val="none" w:sz="0" w:space="0" w:color="auto"/>
        <w:left w:val="none" w:sz="0" w:space="0" w:color="auto"/>
        <w:bottom w:val="none" w:sz="0" w:space="0" w:color="auto"/>
        <w:right w:val="none" w:sz="0" w:space="0" w:color="auto"/>
      </w:divBdr>
    </w:div>
    <w:div w:id="1524050439">
      <w:bodyDiv w:val="1"/>
      <w:marLeft w:val="0"/>
      <w:marRight w:val="0"/>
      <w:marTop w:val="0"/>
      <w:marBottom w:val="0"/>
      <w:divBdr>
        <w:top w:val="none" w:sz="0" w:space="0" w:color="auto"/>
        <w:left w:val="none" w:sz="0" w:space="0" w:color="auto"/>
        <w:bottom w:val="none" w:sz="0" w:space="0" w:color="auto"/>
        <w:right w:val="none" w:sz="0" w:space="0" w:color="auto"/>
      </w:divBdr>
    </w:div>
    <w:div w:id="1524127325">
      <w:bodyDiv w:val="1"/>
      <w:marLeft w:val="0"/>
      <w:marRight w:val="0"/>
      <w:marTop w:val="0"/>
      <w:marBottom w:val="0"/>
      <w:divBdr>
        <w:top w:val="none" w:sz="0" w:space="0" w:color="auto"/>
        <w:left w:val="none" w:sz="0" w:space="0" w:color="auto"/>
        <w:bottom w:val="none" w:sz="0" w:space="0" w:color="auto"/>
        <w:right w:val="none" w:sz="0" w:space="0" w:color="auto"/>
      </w:divBdr>
    </w:div>
    <w:div w:id="1525048108">
      <w:bodyDiv w:val="1"/>
      <w:marLeft w:val="0"/>
      <w:marRight w:val="0"/>
      <w:marTop w:val="0"/>
      <w:marBottom w:val="0"/>
      <w:divBdr>
        <w:top w:val="none" w:sz="0" w:space="0" w:color="auto"/>
        <w:left w:val="none" w:sz="0" w:space="0" w:color="auto"/>
        <w:bottom w:val="none" w:sz="0" w:space="0" w:color="auto"/>
        <w:right w:val="none" w:sz="0" w:space="0" w:color="auto"/>
      </w:divBdr>
    </w:div>
    <w:div w:id="1525364536">
      <w:bodyDiv w:val="1"/>
      <w:marLeft w:val="0"/>
      <w:marRight w:val="0"/>
      <w:marTop w:val="0"/>
      <w:marBottom w:val="0"/>
      <w:divBdr>
        <w:top w:val="none" w:sz="0" w:space="0" w:color="auto"/>
        <w:left w:val="none" w:sz="0" w:space="0" w:color="auto"/>
        <w:bottom w:val="none" w:sz="0" w:space="0" w:color="auto"/>
        <w:right w:val="none" w:sz="0" w:space="0" w:color="auto"/>
      </w:divBdr>
    </w:div>
    <w:div w:id="1527793148">
      <w:bodyDiv w:val="1"/>
      <w:marLeft w:val="0"/>
      <w:marRight w:val="0"/>
      <w:marTop w:val="0"/>
      <w:marBottom w:val="0"/>
      <w:divBdr>
        <w:top w:val="none" w:sz="0" w:space="0" w:color="auto"/>
        <w:left w:val="none" w:sz="0" w:space="0" w:color="auto"/>
        <w:bottom w:val="none" w:sz="0" w:space="0" w:color="auto"/>
        <w:right w:val="none" w:sz="0" w:space="0" w:color="auto"/>
      </w:divBdr>
    </w:div>
    <w:div w:id="1530486878">
      <w:bodyDiv w:val="1"/>
      <w:marLeft w:val="0"/>
      <w:marRight w:val="0"/>
      <w:marTop w:val="0"/>
      <w:marBottom w:val="0"/>
      <w:divBdr>
        <w:top w:val="none" w:sz="0" w:space="0" w:color="auto"/>
        <w:left w:val="none" w:sz="0" w:space="0" w:color="auto"/>
        <w:bottom w:val="none" w:sz="0" w:space="0" w:color="auto"/>
        <w:right w:val="none" w:sz="0" w:space="0" w:color="auto"/>
      </w:divBdr>
    </w:div>
    <w:div w:id="1531257237">
      <w:bodyDiv w:val="1"/>
      <w:marLeft w:val="0"/>
      <w:marRight w:val="0"/>
      <w:marTop w:val="0"/>
      <w:marBottom w:val="0"/>
      <w:divBdr>
        <w:top w:val="none" w:sz="0" w:space="0" w:color="auto"/>
        <w:left w:val="none" w:sz="0" w:space="0" w:color="auto"/>
        <w:bottom w:val="none" w:sz="0" w:space="0" w:color="auto"/>
        <w:right w:val="none" w:sz="0" w:space="0" w:color="auto"/>
      </w:divBdr>
    </w:div>
    <w:div w:id="1533113031">
      <w:bodyDiv w:val="1"/>
      <w:marLeft w:val="0"/>
      <w:marRight w:val="0"/>
      <w:marTop w:val="0"/>
      <w:marBottom w:val="0"/>
      <w:divBdr>
        <w:top w:val="none" w:sz="0" w:space="0" w:color="auto"/>
        <w:left w:val="none" w:sz="0" w:space="0" w:color="auto"/>
        <w:bottom w:val="none" w:sz="0" w:space="0" w:color="auto"/>
        <w:right w:val="none" w:sz="0" w:space="0" w:color="auto"/>
      </w:divBdr>
    </w:div>
    <w:div w:id="1534999749">
      <w:bodyDiv w:val="1"/>
      <w:marLeft w:val="0"/>
      <w:marRight w:val="0"/>
      <w:marTop w:val="0"/>
      <w:marBottom w:val="0"/>
      <w:divBdr>
        <w:top w:val="none" w:sz="0" w:space="0" w:color="auto"/>
        <w:left w:val="none" w:sz="0" w:space="0" w:color="auto"/>
        <w:bottom w:val="none" w:sz="0" w:space="0" w:color="auto"/>
        <w:right w:val="none" w:sz="0" w:space="0" w:color="auto"/>
      </w:divBdr>
    </w:div>
    <w:div w:id="1535146700">
      <w:bodyDiv w:val="1"/>
      <w:marLeft w:val="0"/>
      <w:marRight w:val="0"/>
      <w:marTop w:val="0"/>
      <w:marBottom w:val="0"/>
      <w:divBdr>
        <w:top w:val="none" w:sz="0" w:space="0" w:color="auto"/>
        <w:left w:val="none" w:sz="0" w:space="0" w:color="auto"/>
        <w:bottom w:val="none" w:sz="0" w:space="0" w:color="auto"/>
        <w:right w:val="none" w:sz="0" w:space="0" w:color="auto"/>
      </w:divBdr>
    </w:div>
    <w:div w:id="1535265626">
      <w:bodyDiv w:val="1"/>
      <w:marLeft w:val="0"/>
      <w:marRight w:val="0"/>
      <w:marTop w:val="0"/>
      <w:marBottom w:val="0"/>
      <w:divBdr>
        <w:top w:val="none" w:sz="0" w:space="0" w:color="auto"/>
        <w:left w:val="none" w:sz="0" w:space="0" w:color="auto"/>
        <w:bottom w:val="none" w:sz="0" w:space="0" w:color="auto"/>
        <w:right w:val="none" w:sz="0" w:space="0" w:color="auto"/>
      </w:divBdr>
    </w:div>
    <w:div w:id="1538349858">
      <w:bodyDiv w:val="1"/>
      <w:marLeft w:val="0"/>
      <w:marRight w:val="0"/>
      <w:marTop w:val="0"/>
      <w:marBottom w:val="0"/>
      <w:divBdr>
        <w:top w:val="none" w:sz="0" w:space="0" w:color="auto"/>
        <w:left w:val="none" w:sz="0" w:space="0" w:color="auto"/>
        <w:bottom w:val="none" w:sz="0" w:space="0" w:color="auto"/>
        <w:right w:val="none" w:sz="0" w:space="0" w:color="auto"/>
      </w:divBdr>
    </w:div>
    <w:div w:id="1539969725">
      <w:bodyDiv w:val="1"/>
      <w:marLeft w:val="0"/>
      <w:marRight w:val="0"/>
      <w:marTop w:val="0"/>
      <w:marBottom w:val="0"/>
      <w:divBdr>
        <w:top w:val="none" w:sz="0" w:space="0" w:color="auto"/>
        <w:left w:val="none" w:sz="0" w:space="0" w:color="auto"/>
        <w:bottom w:val="none" w:sz="0" w:space="0" w:color="auto"/>
        <w:right w:val="none" w:sz="0" w:space="0" w:color="auto"/>
      </w:divBdr>
    </w:div>
    <w:div w:id="1541674607">
      <w:bodyDiv w:val="1"/>
      <w:marLeft w:val="0"/>
      <w:marRight w:val="0"/>
      <w:marTop w:val="0"/>
      <w:marBottom w:val="0"/>
      <w:divBdr>
        <w:top w:val="none" w:sz="0" w:space="0" w:color="auto"/>
        <w:left w:val="none" w:sz="0" w:space="0" w:color="auto"/>
        <w:bottom w:val="none" w:sz="0" w:space="0" w:color="auto"/>
        <w:right w:val="none" w:sz="0" w:space="0" w:color="auto"/>
      </w:divBdr>
    </w:div>
    <w:div w:id="1545172251">
      <w:bodyDiv w:val="1"/>
      <w:marLeft w:val="0"/>
      <w:marRight w:val="0"/>
      <w:marTop w:val="0"/>
      <w:marBottom w:val="0"/>
      <w:divBdr>
        <w:top w:val="none" w:sz="0" w:space="0" w:color="auto"/>
        <w:left w:val="none" w:sz="0" w:space="0" w:color="auto"/>
        <w:bottom w:val="none" w:sz="0" w:space="0" w:color="auto"/>
        <w:right w:val="none" w:sz="0" w:space="0" w:color="auto"/>
      </w:divBdr>
    </w:div>
    <w:div w:id="1546480550">
      <w:bodyDiv w:val="1"/>
      <w:marLeft w:val="0"/>
      <w:marRight w:val="0"/>
      <w:marTop w:val="0"/>
      <w:marBottom w:val="0"/>
      <w:divBdr>
        <w:top w:val="none" w:sz="0" w:space="0" w:color="auto"/>
        <w:left w:val="none" w:sz="0" w:space="0" w:color="auto"/>
        <w:bottom w:val="none" w:sz="0" w:space="0" w:color="auto"/>
        <w:right w:val="none" w:sz="0" w:space="0" w:color="auto"/>
      </w:divBdr>
    </w:div>
    <w:div w:id="1546715204">
      <w:bodyDiv w:val="1"/>
      <w:marLeft w:val="0"/>
      <w:marRight w:val="0"/>
      <w:marTop w:val="0"/>
      <w:marBottom w:val="0"/>
      <w:divBdr>
        <w:top w:val="none" w:sz="0" w:space="0" w:color="auto"/>
        <w:left w:val="none" w:sz="0" w:space="0" w:color="auto"/>
        <w:bottom w:val="none" w:sz="0" w:space="0" w:color="auto"/>
        <w:right w:val="none" w:sz="0" w:space="0" w:color="auto"/>
      </w:divBdr>
    </w:div>
    <w:div w:id="1548949299">
      <w:bodyDiv w:val="1"/>
      <w:marLeft w:val="0"/>
      <w:marRight w:val="0"/>
      <w:marTop w:val="0"/>
      <w:marBottom w:val="0"/>
      <w:divBdr>
        <w:top w:val="none" w:sz="0" w:space="0" w:color="auto"/>
        <w:left w:val="none" w:sz="0" w:space="0" w:color="auto"/>
        <w:bottom w:val="none" w:sz="0" w:space="0" w:color="auto"/>
        <w:right w:val="none" w:sz="0" w:space="0" w:color="auto"/>
      </w:divBdr>
    </w:div>
    <w:div w:id="1553811546">
      <w:bodyDiv w:val="1"/>
      <w:marLeft w:val="0"/>
      <w:marRight w:val="0"/>
      <w:marTop w:val="0"/>
      <w:marBottom w:val="0"/>
      <w:divBdr>
        <w:top w:val="none" w:sz="0" w:space="0" w:color="auto"/>
        <w:left w:val="none" w:sz="0" w:space="0" w:color="auto"/>
        <w:bottom w:val="none" w:sz="0" w:space="0" w:color="auto"/>
        <w:right w:val="none" w:sz="0" w:space="0" w:color="auto"/>
      </w:divBdr>
    </w:div>
    <w:div w:id="1554465906">
      <w:bodyDiv w:val="1"/>
      <w:marLeft w:val="0"/>
      <w:marRight w:val="0"/>
      <w:marTop w:val="0"/>
      <w:marBottom w:val="0"/>
      <w:divBdr>
        <w:top w:val="none" w:sz="0" w:space="0" w:color="auto"/>
        <w:left w:val="none" w:sz="0" w:space="0" w:color="auto"/>
        <w:bottom w:val="none" w:sz="0" w:space="0" w:color="auto"/>
        <w:right w:val="none" w:sz="0" w:space="0" w:color="auto"/>
      </w:divBdr>
    </w:div>
    <w:div w:id="1556769523">
      <w:bodyDiv w:val="1"/>
      <w:marLeft w:val="0"/>
      <w:marRight w:val="0"/>
      <w:marTop w:val="0"/>
      <w:marBottom w:val="0"/>
      <w:divBdr>
        <w:top w:val="none" w:sz="0" w:space="0" w:color="auto"/>
        <w:left w:val="none" w:sz="0" w:space="0" w:color="auto"/>
        <w:bottom w:val="none" w:sz="0" w:space="0" w:color="auto"/>
        <w:right w:val="none" w:sz="0" w:space="0" w:color="auto"/>
      </w:divBdr>
    </w:div>
    <w:div w:id="1557162365">
      <w:bodyDiv w:val="1"/>
      <w:marLeft w:val="0"/>
      <w:marRight w:val="0"/>
      <w:marTop w:val="0"/>
      <w:marBottom w:val="0"/>
      <w:divBdr>
        <w:top w:val="none" w:sz="0" w:space="0" w:color="auto"/>
        <w:left w:val="none" w:sz="0" w:space="0" w:color="auto"/>
        <w:bottom w:val="none" w:sz="0" w:space="0" w:color="auto"/>
        <w:right w:val="none" w:sz="0" w:space="0" w:color="auto"/>
      </w:divBdr>
    </w:div>
    <w:div w:id="1557274980">
      <w:bodyDiv w:val="1"/>
      <w:marLeft w:val="0"/>
      <w:marRight w:val="0"/>
      <w:marTop w:val="0"/>
      <w:marBottom w:val="0"/>
      <w:divBdr>
        <w:top w:val="none" w:sz="0" w:space="0" w:color="auto"/>
        <w:left w:val="none" w:sz="0" w:space="0" w:color="auto"/>
        <w:bottom w:val="none" w:sz="0" w:space="0" w:color="auto"/>
        <w:right w:val="none" w:sz="0" w:space="0" w:color="auto"/>
      </w:divBdr>
    </w:div>
    <w:div w:id="1557277564">
      <w:bodyDiv w:val="1"/>
      <w:marLeft w:val="0"/>
      <w:marRight w:val="0"/>
      <w:marTop w:val="0"/>
      <w:marBottom w:val="0"/>
      <w:divBdr>
        <w:top w:val="none" w:sz="0" w:space="0" w:color="auto"/>
        <w:left w:val="none" w:sz="0" w:space="0" w:color="auto"/>
        <w:bottom w:val="none" w:sz="0" w:space="0" w:color="auto"/>
        <w:right w:val="none" w:sz="0" w:space="0" w:color="auto"/>
      </w:divBdr>
    </w:div>
    <w:div w:id="1558659399">
      <w:bodyDiv w:val="1"/>
      <w:marLeft w:val="0"/>
      <w:marRight w:val="0"/>
      <w:marTop w:val="0"/>
      <w:marBottom w:val="0"/>
      <w:divBdr>
        <w:top w:val="none" w:sz="0" w:space="0" w:color="auto"/>
        <w:left w:val="none" w:sz="0" w:space="0" w:color="auto"/>
        <w:bottom w:val="none" w:sz="0" w:space="0" w:color="auto"/>
        <w:right w:val="none" w:sz="0" w:space="0" w:color="auto"/>
      </w:divBdr>
    </w:div>
    <w:div w:id="1559244205">
      <w:bodyDiv w:val="1"/>
      <w:marLeft w:val="0"/>
      <w:marRight w:val="0"/>
      <w:marTop w:val="0"/>
      <w:marBottom w:val="0"/>
      <w:divBdr>
        <w:top w:val="none" w:sz="0" w:space="0" w:color="auto"/>
        <w:left w:val="none" w:sz="0" w:space="0" w:color="auto"/>
        <w:bottom w:val="none" w:sz="0" w:space="0" w:color="auto"/>
        <w:right w:val="none" w:sz="0" w:space="0" w:color="auto"/>
      </w:divBdr>
    </w:div>
    <w:div w:id="1560167132">
      <w:bodyDiv w:val="1"/>
      <w:marLeft w:val="0"/>
      <w:marRight w:val="0"/>
      <w:marTop w:val="0"/>
      <w:marBottom w:val="0"/>
      <w:divBdr>
        <w:top w:val="none" w:sz="0" w:space="0" w:color="auto"/>
        <w:left w:val="none" w:sz="0" w:space="0" w:color="auto"/>
        <w:bottom w:val="none" w:sz="0" w:space="0" w:color="auto"/>
        <w:right w:val="none" w:sz="0" w:space="0" w:color="auto"/>
      </w:divBdr>
    </w:div>
    <w:div w:id="1560898170">
      <w:bodyDiv w:val="1"/>
      <w:marLeft w:val="0"/>
      <w:marRight w:val="0"/>
      <w:marTop w:val="0"/>
      <w:marBottom w:val="0"/>
      <w:divBdr>
        <w:top w:val="none" w:sz="0" w:space="0" w:color="auto"/>
        <w:left w:val="none" w:sz="0" w:space="0" w:color="auto"/>
        <w:bottom w:val="none" w:sz="0" w:space="0" w:color="auto"/>
        <w:right w:val="none" w:sz="0" w:space="0" w:color="auto"/>
      </w:divBdr>
    </w:div>
    <w:div w:id="1562714652">
      <w:bodyDiv w:val="1"/>
      <w:marLeft w:val="0"/>
      <w:marRight w:val="0"/>
      <w:marTop w:val="0"/>
      <w:marBottom w:val="0"/>
      <w:divBdr>
        <w:top w:val="none" w:sz="0" w:space="0" w:color="auto"/>
        <w:left w:val="none" w:sz="0" w:space="0" w:color="auto"/>
        <w:bottom w:val="none" w:sz="0" w:space="0" w:color="auto"/>
        <w:right w:val="none" w:sz="0" w:space="0" w:color="auto"/>
      </w:divBdr>
    </w:div>
    <w:div w:id="1564291725">
      <w:bodyDiv w:val="1"/>
      <w:marLeft w:val="0"/>
      <w:marRight w:val="0"/>
      <w:marTop w:val="0"/>
      <w:marBottom w:val="0"/>
      <w:divBdr>
        <w:top w:val="none" w:sz="0" w:space="0" w:color="auto"/>
        <w:left w:val="none" w:sz="0" w:space="0" w:color="auto"/>
        <w:bottom w:val="none" w:sz="0" w:space="0" w:color="auto"/>
        <w:right w:val="none" w:sz="0" w:space="0" w:color="auto"/>
      </w:divBdr>
    </w:div>
    <w:div w:id="1564367899">
      <w:bodyDiv w:val="1"/>
      <w:marLeft w:val="0"/>
      <w:marRight w:val="0"/>
      <w:marTop w:val="0"/>
      <w:marBottom w:val="0"/>
      <w:divBdr>
        <w:top w:val="none" w:sz="0" w:space="0" w:color="auto"/>
        <w:left w:val="none" w:sz="0" w:space="0" w:color="auto"/>
        <w:bottom w:val="none" w:sz="0" w:space="0" w:color="auto"/>
        <w:right w:val="none" w:sz="0" w:space="0" w:color="auto"/>
      </w:divBdr>
    </w:div>
    <w:div w:id="1564826780">
      <w:bodyDiv w:val="1"/>
      <w:marLeft w:val="0"/>
      <w:marRight w:val="0"/>
      <w:marTop w:val="0"/>
      <w:marBottom w:val="0"/>
      <w:divBdr>
        <w:top w:val="none" w:sz="0" w:space="0" w:color="auto"/>
        <w:left w:val="none" w:sz="0" w:space="0" w:color="auto"/>
        <w:bottom w:val="none" w:sz="0" w:space="0" w:color="auto"/>
        <w:right w:val="none" w:sz="0" w:space="0" w:color="auto"/>
      </w:divBdr>
    </w:div>
    <w:div w:id="1566840756">
      <w:bodyDiv w:val="1"/>
      <w:marLeft w:val="0"/>
      <w:marRight w:val="0"/>
      <w:marTop w:val="0"/>
      <w:marBottom w:val="0"/>
      <w:divBdr>
        <w:top w:val="none" w:sz="0" w:space="0" w:color="auto"/>
        <w:left w:val="none" w:sz="0" w:space="0" w:color="auto"/>
        <w:bottom w:val="none" w:sz="0" w:space="0" w:color="auto"/>
        <w:right w:val="none" w:sz="0" w:space="0" w:color="auto"/>
      </w:divBdr>
    </w:div>
    <w:div w:id="1570077034">
      <w:bodyDiv w:val="1"/>
      <w:marLeft w:val="0"/>
      <w:marRight w:val="0"/>
      <w:marTop w:val="0"/>
      <w:marBottom w:val="0"/>
      <w:divBdr>
        <w:top w:val="none" w:sz="0" w:space="0" w:color="auto"/>
        <w:left w:val="none" w:sz="0" w:space="0" w:color="auto"/>
        <w:bottom w:val="none" w:sz="0" w:space="0" w:color="auto"/>
        <w:right w:val="none" w:sz="0" w:space="0" w:color="auto"/>
      </w:divBdr>
    </w:div>
    <w:div w:id="1571234731">
      <w:bodyDiv w:val="1"/>
      <w:marLeft w:val="0"/>
      <w:marRight w:val="0"/>
      <w:marTop w:val="0"/>
      <w:marBottom w:val="0"/>
      <w:divBdr>
        <w:top w:val="none" w:sz="0" w:space="0" w:color="auto"/>
        <w:left w:val="none" w:sz="0" w:space="0" w:color="auto"/>
        <w:bottom w:val="none" w:sz="0" w:space="0" w:color="auto"/>
        <w:right w:val="none" w:sz="0" w:space="0" w:color="auto"/>
      </w:divBdr>
    </w:div>
    <w:div w:id="1571695237">
      <w:bodyDiv w:val="1"/>
      <w:marLeft w:val="0"/>
      <w:marRight w:val="0"/>
      <w:marTop w:val="0"/>
      <w:marBottom w:val="0"/>
      <w:divBdr>
        <w:top w:val="none" w:sz="0" w:space="0" w:color="auto"/>
        <w:left w:val="none" w:sz="0" w:space="0" w:color="auto"/>
        <w:bottom w:val="none" w:sz="0" w:space="0" w:color="auto"/>
        <w:right w:val="none" w:sz="0" w:space="0" w:color="auto"/>
      </w:divBdr>
    </w:div>
    <w:div w:id="1574391466">
      <w:bodyDiv w:val="1"/>
      <w:marLeft w:val="0"/>
      <w:marRight w:val="0"/>
      <w:marTop w:val="0"/>
      <w:marBottom w:val="0"/>
      <w:divBdr>
        <w:top w:val="none" w:sz="0" w:space="0" w:color="auto"/>
        <w:left w:val="none" w:sz="0" w:space="0" w:color="auto"/>
        <w:bottom w:val="none" w:sz="0" w:space="0" w:color="auto"/>
        <w:right w:val="none" w:sz="0" w:space="0" w:color="auto"/>
      </w:divBdr>
    </w:div>
    <w:div w:id="1575309706">
      <w:bodyDiv w:val="1"/>
      <w:marLeft w:val="0"/>
      <w:marRight w:val="0"/>
      <w:marTop w:val="0"/>
      <w:marBottom w:val="0"/>
      <w:divBdr>
        <w:top w:val="none" w:sz="0" w:space="0" w:color="auto"/>
        <w:left w:val="none" w:sz="0" w:space="0" w:color="auto"/>
        <w:bottom w:val="none" w:sz="0" w:space="0" w:color="auto"/>
        <w:right w:val="none" w:sz="0" w:space="0" w:color="auto"/>
      </w:divBdr>
    </w:div>
    <w:div w:id="1578320443">
      <w:bodyDiv w:val="1"/>
      <w:marLeft w:val="0"/>
      <w:marRight w:val="0"/>
      <w:marTop w:val="0"/>
      <w:marBottom w:val="0"/>
      <w:divBdr>
        <w:top w:val="none" w:sz="0" w:space="0" w:color="auto"/>
        <w:left w:val="none" w:sz="0" w:space="0" w:color="auto"/>
        <w:bottom w:val="none" w:sz="0" w:space="0" w:color="auto"/>
        <w:right w:val="none" w:sz="0" w:space="0" w:color="auto"/>
      </w:divBdr>
      <w:divsChild>
        <w:div w:id="488136746">
          <w:marLeft w:val="0"/>
          <w:marRight w:val="0"/>
          <w:marTop w:val="0"/>
          <w:marBottom w:val="0"/>
          <w:divBdr>
            <w:top w:val="none" w:sz="0" w:space="0" w:color="auto"/>
            <w:left w:val="none" w:sz="0" w:space="0" w:color="auto"/>
            <w:bottom w:val="none" w:sz="0" w:space="0" w:color="auto"/>
            <w:right w:val="none" w:sz="0" w:space="0" w:color="auto"/>
          </w:divBdr>
        </w:div>
        <w:div w:id="657922644">
          <w:marLeft w:val="0"/>
          <w:marRight w:val="0"/>
          <w:marTop w:val="0"/>
          <w:marBottom w:val="0"/>
          <w:divBdr>
            <w:top w:val="none" w:sz="0" w:space="0" w:color="auto"/>
            <w:left w:val="none" w:sz="0" w:space="0" w:color="auto"/>
            <w:bottom w:val="none" w:sz="0" w:space="0" w:color="auto"/>
            <w:right w:val="none" w:sz="0" w:space="0" w:color="auto"/>
          </w:divBdr>
        </w:div>
      </w:divsChild>
    </w:div>
    <w:div w:id="1579051021">
      <w:bodyDiv w:val="1"/>
      <w:marLeft w:val="0"/>
      <w:marRight w:val="0"/>
      <w:marTop w:val="0"/>
      <w:marBottom w:val="0"/>
      <w:divBdr>
        <w:top w:val="none" w:sz="0" w:space="0" w:color="auto"/>
        <w:left w:val="none" w:sz="0" w:space="0" w:color="auto"/>
        <w:bottom w:val="none" w:sz="0" w:space="0" w:color="auto"/>
        <w:right w:val="none" w:sz="0" w:space="0" w:color="auto"/>
      </w:divBdr>
    </w:div>
    <w:div w:id="1579631379">
      <w:bodyDiv w:val="1"/>
      <w:marLeft w:val="0"/>
      <w:marRight w:val="0"/>
      <w:marTop w:val="0"/>
      <w:marBottom w:val="0"/>
      <w:divBdr>
        <w:top w:val="none" w:sz="0" w:space="0" w:color="auto"/>
        <w:left w:val="none" w:sz="0" w:space="0" w:color="auto"/>
        <w:bottom w:val="none" w:sz="0" w:space="0" w:color="auto"/>
        <w:right w:val="none" w:sz="0" w:space="0" w:color="auto"/>
      </w:divBdr>
    </w:div>
    <w:div w:id="1579899942">
      <w:bodyDiv w:val="1"/>
      <w:marLeft w:val="0"/>
      <w:marRight w:val="0"/>
      <w:marTop w:val="0"/>
      <w:marBottom w:val="0"/>
      <w:divBdr>
        <w:top w:val="none" w:sz="0" w:space="0" w:color="auto"/>
        <w:left w:val="none" w:sz="0" w:space="0" w:color="auto"/>
        <w:bottom w:val="none" w:sz="0" w:space="0" w:color="auto"/>
        <w:right w:val="none" w:sz="0" w:space="0" w:color="auto"/>
      </w:divBdr>
    </w:div>
    <w:div w:id="1580558910">
      <w:bodyDiv w:val="1"/>
      <w:marLeft w:val="0"/>
      <w:marRight w:val="0"/>
      <w:marTop w:val="0"/>
      <w:marBottom w:val="0"/>
      <w:divBdr>
        <w:top w:val="none" w:sz="0" w:space="0" w:color="auto"/>
        <w:left w:val="none" w:sz="0" w:space="0" w:color="auto"/>
        <w:bottom w:val="none" w:sz="0" w:space="0" w:color="auto"/>
        <w:right w:val="none" w:sz="0" w:space="0" w:color="auto"/>
      </w:divBdr>
    </w:div>
    <w:div w:id="1580679105">
      <w:bodyDiv w:val="1"/>
      <w:marLeft w:val="0"/>
      <w:marRight w:val="0"/>
      <w:marTop w:val="0"/>
      <w:marBottom w:val="0"/>
      <w:divBdr>
        <w:top w:val="none" w:sz="0" w:space="0" w:color="auto"/>
        <w:left w:val="none" w:sz="0" w:space="0" w:color="auto"/>
        <w:bottom w:val="none" w:sz="0" w:space="0" w:color="auto"/>
        <w:right w:val="none" w:sz="0" w:space="0" w:color="auto"/>
      </w:divBdr>
    </w:div>
    <w:div w:id="1580796018">
      <w:bodyDiv w:val="1"/>
      <w:marLeft w:val="0"/>
      <w:marRight w:val="0"/>
      <w:marTop w:val="0"/>
      <w:marBottom w:val="0"/>
      <w:divBdr>
        <w:top w:val="none" w:sz="0" w:space="0" w:color="auto"/>
        <w:left w:val="none" w:sz="0" w:space="0" w:color="auto"/>
        <w:bottom w:val="none" w:sz="0" w:space="0" w:color="auto"/>
        <w:right w:val="none" w:sz="0" w:space="0" w:color="auto"/>
      </w:divBdr>
    </w:div>
    <w:div w:id="1582525630">
      <w:bodyDiv w:val="1"/>
      <w:marLeft w:val="0"/>
      <w:marRight w:val="0"/>
      <w:marTop w:val="0"/>
      <w:marBottom w:val="0"/>
      <w:divBdr>
        <w:top w:val="none" w:sz="0" w:space="0" w:color="auto"/>
        <w:left w:val="none" w:sz="0" w:space="0" w:color="auto"/>
        <w:bottom w:val="none" w:sz="0" w:space="0" w:color="auto"/>
        <w:right w:val="none" w:sz="0" w:space="0" w:color="auto"/>
      </w:divBdr>
    </w:div>
    <w:div w:id="1583176118">
      <w:bodyDiv w:val="1"/>
      <w:marLeft w:val="0"/>
      <w:marRight w:val="0"/>
      <w:marTop w:val="0"/>
      <w:marBottom w:val="0"/>
      <w:divBdr>
        <w:top w:val="none" w:sz="0" w:space="0" w:color="auto"/>
        <w:left w:val="none" w:sz="0" w:space="0" w:color="auto"/>
        <w:bottom w:val="none" w:sz="0" w:space="0" w:color="auto"/>
        <w:right w:val="none" w:sz="0" w:space="0" w:color="auto"/>
      </w:divBdr>
    </w:div>
    <w:div w:id="1584140151">
      <w:bodyDiv w:val="1"/>
      <w:marLeft w:val="0"/>
      <w:marRight w:val="0"/>
      <w:marTop w:val="0"/>
      <w:marBottom w:val="0"/>
      <w:divBdr>
        <w:top w:val="none" w:sz="0" w:space="0" w:color="auto"/>
        <w:left w:val="none" w:sz="0" w:space="0" w:color="auto"/>
        <w:bottom w:val="none" w:sz="0" w:space="0" w:color="auto"/>
        <w:right w:val="none" w:sz="0" w:space="0" w:color="auto"/>
      </w:divBdr>
    </w:div>
    <w:div w:id="1584486385">
      <w:bodyDiv w:val="1"/>
      <w:marLeft w:val="0"/>
      <w:marRight w:val="0"/>
      <w:marTop w:val="0"/>
      <w:marBottom w:val="0"/>
      <w:divBdr>
        <w:top w:val="none" w:sz="0" w:space="0" w:color="auto"/>
        <w:left w:val="none" w:sz="0" w:space="0" w:color="auto"/>
        <w:bottom w:val="none" w:sz="0" w:space="0" w:color="auto"/>
        <w:right w:val="none" w:sz="0" w:space="0" w:color="auto"/>
      </w:divBdr>
    </w:div>
    <w:div w:id="1585840962">
      <w:bodyDiv w:val="1"/>
      <w:marLeft w:val="0"/>
      <w:marRight w:val="0"/>
      <w:marTop w:val="0"/>
      <w:marBottom w:val="0"/>
      <w:divBdr>
        <w:top w:val="none" w:sz="0" w:space="0" w:color="auto"/>
        <w:left w:val="none" w:sz="0" w:space="0" w:color="auto"/>
        <w:bottom w:val="none" w:sz="0" w:space="0" w:color="auto"/>
        <w:right w:val="none" w:sz="0" w:space="0" w:color="auto"/>
      </w:divBdr>
    </w:div>
    <w:div w:id="1586719344">
      <w:bodyDiv w:val="1"/>
      <w:marLeft w:val="0"/>
      <w:marRight w:val="0"/>
      <w:marTop w:val="0"/>
      <w:marBottom w:val="0"/>
      <w:divBdr>
        <w:top w:val="none" w:sz="0" w:space="0" w:color="auto"/>
        <w:left w:val="none" w:sz="0" w:space="0" w:color="auto"/>
        <w:bottom w:val="none" w:sz="0" w:space="0" w:color="auto"/>
        <w:right w:val="none" w:sz="0" w:space="0" w:color="auto"/>
      </w:divBdr>
    </w:div>
    <w:div w:id="1588224637">
      <w:bodyDiv w:val="1"/>
      <w:marLeft w:val="0"/>
      <w:marRight w:val="0"/>
      <w:marTop w:val="0"/>
      <w:marBottom w:val="0"/>
      <w:divBdr>
        <w:top w:val="none" w:sz="0" w:space="0" w:color="auto"/>
        <w:left w:val="none" w:sz="0" w:space="0" w:color="auto"/>
        <w:bottom w:val="none" w:sz="0" w:space="0" w:color="auto"/>
        <w:right w:val="none" w:sz="0" w:space="0" w:color="auto"/>
      </w:divBdr>
    </w:div>
    <w:div w:id="1588730546">
      <w:bodyDiv w:val="1"/>
      <w:marLeft w:val="0"/>
      <w:marRight w:val="0"/>
      <w:marTop w:val="0"/>
      <w:marBottom w:val="0"/>
      <w:divBdr>
        <w:top w:val="none" w:sz="0" w:space="0" w:color="auto"/>
        <w:left w:val="none" w:sz="0" w:space="0" w:color="auto"/>
        <w:bottom w:val="none" w:sz="0" w:space="0" w:color="auto"/>
        <w:right w:val="none" w:sz="0" w:space="0" w:color="auto"/>
      </w:divBdr>
    </w:div>
    <w:div w:id="1589118286">
      <w:bodyDiv w:val="1"/>
      <w:marLeft w:val="0"/>
      <w:marRight w:val="0"/>
      <w:marTop w:val="0"/>
      <w:marBottom w:val="0"/>
      <w:divBdr>
        <w:top w:val="none" w:sz="0" w:space="0" w:color="auto"/>
        <w:left w:val="none" w:sz="0" w:space="0" w:color="auto"/>
        <w:bottom w:val="none" w:sz="0" w:space="0" w:color="auto"/>
        <w:right w:val="none" w:sz="0" w:space="0" w:color="auto"/>
      </w:divBdr>
    </w:div>
    <w:div w:id="1590112586">
      <w:bodyDiv w:val="1"/>
      <w:marLeft w:val="0"/>
      <w:marRight w:val="0"/>
      <w:marTop w:val="0"/>
      <w:marBottom w:val="0"/>
      <w:divBdr>
        <w:top w:val="none" w:sz="0" w:space="0" w:color="auto"/>
        <w:left w:val="none" w:sz="0" w:space="0" w:color="auto"/>
        <w:bottom w:val="none" w:sz="0" w:space="0" w:color="auto"/>
        <w:right w:val="none" w:sz="0" w:space="0" w:color="auto"/>
      </w:divBdr>
    </w:div>
    <w:div w:id="1590508384">
      <w:bodyDiv w:val="1"/>
      <w:marLeft w:val="0"/>
      <w:marRight w:val="0"/>
      <w:marTop w:val="0"/>
      <w:marBottom w:val="0"/>
      <w:divBdr>
        <w:top w:val="none" w:sz="0" w:space="0" w:color="auto"/>
        <w:left w:val="none" w:sz="0" w:space="0" w:color="auto"/>
        <w:bottom w:val="none" w:sz="0" w:space="0" w:color="auto"/>
        <w:right w:val="none" w:sz="0" w:space="0" w:color="auto"/>
      </w:divBdr>
    </w:div>
    <w:div w:id="1594588747">
      <w:bodyDiv w:val="1"/>
      <w:marLeft w:val="0"/>
      <w:marRight w:val="0"/>
      <w:marTop w:val="0"/>
      <w:marBottom w:val="0"/>
      <w:divBdr>
        <w:top w:val="none" w:sz="0" w:space="0" w:color="auto"/>
        <w:left w:val="none" w:sz="0" w:space="0" w:color="auto"/>
        <w:bottom w:val="none" w:sz="0" w:space="0" w:color="auto"/>
        <w:right w:val="none" w:sz="0" w:space="0" w:color="auto"/>
      </w:divBdr>
    </w:div>
    <w:div w:id="1595479965">
      <w:bodyDiv w:val="1"/>
      <w:marLeft w:val="0"/>
      <w:marRight w:val="0"/>
      <w:marTop w:val="0"/>
      <w:marBottom w:val="0"/>
      <w:divBdr>
        <w:top w:val="none" w:sz="0" w:space="0" w:color="auto"/>
        <w:left w:val="none" w:sz="0" w:space="0" w:color="auto"/>
        <w:bottom w:val="none" w:sz="0" w:space="0" w:color="auto"/>
        <w:right w:val="none" w:sz="0" w:space="0" w:color="auto"/>
      </w:divBdr>
    </w:div>
    <w:div w:id="1596202984">
      <w:bodyDiv w:val="1"/>
      <w:marLeft w:val="0"/>
      <w:marRight w:val="0"/>
      <w:marTop w:val="0"/>
      <w:marBottom w:val="0"/>
      <w:divBdr>
        <w:top w:val="none" w:sz="0" w:space="0" w:color="auto"/>
        <w:left w:val="none" w:sz="0" w:space="0" w:color="auto"/>
        <w:bottom w:val="none" w:sz="0" w:space="0" w:color="auto"/>
        <w:right w:val="none" w:sz="0" w:space="0" w:color="auto"/>
      </w:divBdr>
    </w:div>
    <w:div w:id="1597594185">
      <w:bodyDiv w:val="1"/>
      <w:marLeft w:val="0"/>
      <w:marRight w:val="0"/>
      <w:marTop w:val="0"/>
      <w:marBottom w:val="0"/>
      <w:divBdr>
        <w:top w:val="none" w:sz="0" w:space="0" w:color="auto"/>
        <w:left w:val="none" w:sz="0" w:space="0" w:color="auto"/>
        <w:bottom w:val="none" w:sz="0" w:space="0" w:color="auto"/>
        <w:right w:val="none" w:sz="0" w:space="0" w:color="auto"/>
      </w:divBdr>
    </w:div>
    <w:div w:id="1600219612">
      <w:bodyDiv w:val="1"/>
      <w:marLeft w:val="0"/>
      <w:marRight w:val="0"/>
      <w:marTop w:val="0"/>
      <w:marBottom w:val="0"/>
      <w:divBdr>
        <w:top w:val="none" w:sz="0" w:space="0" w:color="auto"/>
        <w:left w:val="none" w:sz="0" w:space="0" w:color="auto"/>
        <w:bottom w:val="none" w:sz="0" w:space="0" w:color="auto"/>
        <w:right w:val="none" w:sz="0" w:space="0" w:color="auto"/>
      </w:divBdr>
    </w:div>
    <w:div w:id="1600794148">
      <w:bodyDiv w:val="1"/>
      <w:marLeft w:val="0"/>
      <w:marRight w:val="0"/>
      <w:marTop w:val="0"/>
      <w:marBottom w:val="0"/>
      <w:divBdr>
        <w:top w:val="none" w:sz="0" w:space="0" w:color="auto"/>
        <w:left w:val="none" w:sz="0" w:space="0" w:color="auto"/>
        <w:bottom w:val="none" w:sz="0" w:space="0" w:color="auto"/>
        <w:right w:val="none" w:sz="0" w:space="0" w:color="auto"/>
      </w:divBdr>
    </w:div>
    <w:div w:id="1602450673">
      <w:bodyDiv w:val="1"/>
      <w:marLeft w:val="0"/>
      <w:marRight w:val="0"/>
      <w:marTop w:val="0"/>
      <w:marBottom w:val="0"/>
      <w:divBdr>
        <w:top w:val="none" w:sz="0" w:space="0" w:color="auto"/>
        <w:left w:val="none" w:sz="0" w:space="0" w:color="auto"/>
        <w:bottom w:val="none" w:sz="0" w:space="0" w:color="auto"/>
        <w:right w:val="none" w:sz="0" w:space="0" w:color="auto"/>
      </w:divBdr>
    </w:div>
    <w:div w:id="1603224200">
      <w:bodyDiv w:val="1"/>
      <w:marLeft w:val="0"/>
      <w:marRight w:val="0"/>
      <w:marTop w:val="0"/>
      <w:marBottom w:val="0"/>
      <w:divBdr>
        <w:top w:val="none" w:sz="0" w:space="0" w:color="auto"/>
        <w:left w:val="none" w:sz="0" w:space="0" w:color="auto"/>
        <w:bottom w:val="none" w:sz="0" w:space="0" w:color="auto"/>
        <w:right w:val="none" w:sz="0" w:space="0" w:color="auto"/>
      </w:divBdr>
    </w:div>
    <w:div w:id="1603567174">
      <w:bodyDiv w:val="1"/>
      <w:marLeft w:val="0"/>
      <w:marRight w:val="0"/>
      <w:marTop w:val="0"/>
      <w:marBottom w:val="0"/>
      <w:divBdr>
        <w:top w:val="none" w:sz="0" w:space="0" w:color="auto"/>
        <w:left w:val="none" w:sz="0" w:space="0" w:color="auto"/>
        <w:bottom w:val="none" w:sz="0" w:space="0" w:color="auto"/>
        <w:right w:val="none" w:sz="0" w:space="0" w:color="auto"/>
      </w:divBdr>
    </w:div>
    <w:div w:id="1603686395">
      <w:bodyDiv w:val="1"/>
      <w:marLeft w:val="0"/>
      <w:marRight w:val="0"/>
      <w:marTop w:val="0"/>
      <w:marBottom w:val="0"/>
      <w:divBdr>
        <w:top w:val="none" w:sz="0" w:space="0" w:color="auto"/>
        <w:left w:val="none" w:sz="0" w:space="0" w:color="auto"/>
        <w:bottom w:val="none" w:sz="0" w:space="0" w:color="auto"/>
        <w:right w:val="none" w:sz="0" w:space="0" w:color="auto"/>
      </w:divBdr>
    </w:div>
    <w:div w:id="1606578112">
      <w:bodyDiv w:val="1"/>
      <w:marLeft w:val="0"/>
      <w:marRight w:val="0"/>
      <w:marTop w:val="0"/>
      <w:marBottom w:val="0"/>
      <w:divBdr>
        <w:top w:val="none" w:sz="0" w:space="0" w:color="auto"/>
        <w:left w:val="none" w:sz="0" w:space="0" w:color="auto"/>
        <w:bottom w:val="none" w:sz="0" w:space="0" w:color="auto"/>
        <w:right w:val="none" w:sz="0" w:space="0" w:color="auto"/>
      </w:divBdr>
    </w:div>
    <w:div w:id="1609311263">
      <w:bodyDiv w:val="1"/>
      <w:marLeft w:val="0"/>
      <w:marRight w:val="0"/>
      <w:marTop w:val="0"/>
      <w:marBottom w:val="0"/>
      <w:divBdr>
        <w:top w:val="none" w:sz="0" w:space="0" w:color="auto"/>
        <w:left w:val="none" w:sz="0" w:space="0" w:color="auto"/>
        <w:bottom w:val="none" w:sz="0" w:space="0" w:color="auto"/>
        <w:right w:val="none" w:sz="0" w:space="0" w:color="auto"/>
      </w:divBdr>
    </w:div>
    <w:div w:id="1612276972">
      <w:bodyDiv w:val="1"/>
      <w:marLeft w:val="0"/>
      <w:marRight w:val="0"/>
      <w:marTop w:val="0"/>
      <w:marBottom w:val="0"/>
      <w:divBdr>
        <w:top w:val="none" w:sz="0" w:space="0" w:color="auto"/>
        <w:left w:val="none" w:sz="0" w:space="0" w:color="auto"/>
        <w:bottom w:val="none" w:sz="0" w:space="0" w:color="auto"/>
        <w:right w:val="none" w:sz="0" w:space="0" w:color="auto"/>
      </w:divBdr>
    </w:div>
    <w:div w:id="1614824149">
      <w:bodyDiv w:val="1"/>
      <w:marLeft w:val="0"/>
      <w:marRight w:val="0"/>
      <w:marTop w:val="0"/>
      <w:marBottom w:val="0"/>
      <w:divBdr>
        <w:top w:val="none" w:sz="0" w:space="0" w:color="auto"/>
        <w:left w:val="none" w:sz="0" w:space="0" w:color="auto"/>
        <w:bottom w:val="none" w:sz="0" w:space="0" w:color="auto"/>
        <w:right w:val="none" w:sz="0" w:space="0" w:color="auto"/>
      </w:divBdr>
    </w:div>
    <w:div w:id="1616205927">
      <w:bodyDiv w:val="1"/>
      <w:marLeft w:val="0"/>
      <w:marRight w:val="0"/>
      <w:marTop w:val="0"/>
      <w:marBottom w:val="0"/>
      <w:divBdr>
        <w:top w:val="none" w:sz="0" w:space="0" w:color="auto"/>
        <w:left w:val="none" w:sz="0" w:space="0" w:color="auto"/>
        <w:bottom w:val="none" w:sz="0" w:space="0" w:color="auto"/>
        <w:right w:val="none" w:sz="0" w:space="0" w:color="auto"/>
      </w:divBdr>
    </w:div>
    <w:div w:id="1617443636">
      <w:bodyDiv w:val="1"/>
      <w:marLeft w:val="0"/>
      <w:marRight w:val="0"/>
      <w:marTop w:val="0"/>
      <w:marBottom w:val="0"/>
      <w:divBdr>
        <w:top w:val="none" w:sz="0" w:space="0" w:color="auto"/>
        <w:left w:val="none" w:sz="0" w:space="0" w:color="auto"/>
        <w:bottom w:val="none" w:sz="0" w:space="0" w:color="auto"/>
        <w:right w:val="none" w:sz="0" w:space="0" w:color="auto"/>
      </w:divBdr>
    </w:div>
    <w:div w:id="1618559535">
      <w:bodyDiv w:val="1"/>
      <w:marLeft w:val="0"/>
      <w:marRight w:val="0"/>
      <w:marTop w:val="0"/>
      <w:marBottom w:val="0"/>
      <w:divBdr>
        <w:top w:val="none" w:sz="0" w:space="0" w:color="auto"/>
        <w:left w:val="none" w:sz="0" w:space="0" w:color="auto"/>
        <w:bottom w:val="none" w:sz="0" w:space="0" w:color="auto"/>
        <w:right w:val="none" w:sz="0" w:space="0" w:color="auto"/>
      </w:divBdr>
    </w:div>
    <w:div w:id="1619216771">
      <w:bodyDiv w:val="1"/>
      <w:marLeft w:val="0"/>
      <w:marRight w:val="0"/>
      <w:marTop w:val="0"/>
      <w:marBottom w:val="0"/>
      <w:divBdr>
        <w:top w:val="none" w:sz="0" w:space="0" w:color="auto"/>
        <w:left w:val="none" w:sz="0" w:space="0" w:color="auto"/>
        <w:bottom w:val="none" w:sz="0" w:space="0" w:color="auto"/>
        <w:right w:val="none" w:sz="0" w:space="0" w:color="auto"/>
      </w:divBdr>
    </w:div>
    <w:div w:id="1620919512">
      <w:bodyDiv w:val="1"/>
      <w:marLeft w:val="0"/>
      <w:marRight w:val="0"/>
      <w:marTop w:val="0"/>
      <w:marBottom w:val="0"/>
      <w:divBdr>
        <w:top w:val="none" w:sz="0" w:space="0" w:color="auto"/>
        <w:left w:val="none" w:sz="0" w:space="0" w:color="auto"/>
        <w:bottom w:val="none" w:sz="0" w:space="0" w:color="auto"/>
        <w:right w:val="none" w:sz="0" w:space="0" w:color="auto"/>
      </w:divBdr>
    </w:div>
    <w:div w:id="1621649636">
      <w:bodyDiv w:val="1"/>
      <w:marLeft w:val="0"/>
      <w:marRight w:val="0"/>
      <w:marTop w:val="0"/>
      <w:marBottom w:val="0"/>
      <w:divBdr>
        <w:top w:val="none" w:sz="0" w:space="0" w:color="auto"/>
        <w:left w:val="none" w:sz="0" w:space="0" w:color="auto"/>
        <w:bottom w:val="none" w:sz="0" w:space="0" w:color="auto"/>
        <w:right w:val="none" w:sz="0" w:space="0" w:color="auto"/>
      </w:divBdr>
    </w:div>
    <w:div w:id="1622223556">
      <w:bodyDiv w:val="1"/>
      <w:marLeft w:val="0"/>
      <w:marRight w:val="0"/>
      <w:marTop w:val="0"/>
      <w:marBottom w:val="0"/>
      <w:divBdr>
        <w:top w:val="none" w:sz="0" w:space="0" w:color="auto"/>
        <w:left w:val="none" w:sz="0" w:space="0" w:color="auto"/>
        <w:bottom w:val="none" w:sz="0" w:space="0" w:color="auto"/>
        <w:right w:val="none" w:sz="0" w:space="0" w:color="auto"/>
      </w:divBdr>
    </w:div>
    <w:div w:id="1622300614">
      <w:bodyDiv w:val="1"/>
      <w:marLeft w:val="0"/>
      <w:marRight w:val="0"/>
      <w:marTop w:val="0"/>
      <w:marBottom w:val="0"/>
      <w:divBdr>
        <w:top w:val="none" w:sz="0" w:space="0" w:color="auto"/>
        <w:left w:val="none" w:sz="0" w:space="0" w:color="auto"/>
        <w:bottom w:val="none" w:sz="0" w:space="0" w:color="auto"/>
        <w:right w:val="none" w:sz="0" w:space="0" w:color="auto"/>
      </w:divBdr>
    </w:div>
    <w:div w:id="1622611779">
      <w:bodyDiv w:val="1"/>
      <w:marLeft w:val="0"/>
      <w:marRight w:val="0"/>
      <w:marTop w:val="0"/>
      <w:marBottom w:val="0"/>
      <w:divBdr>
        <w:top w:val="none" w:sz="0" w:space="0" w:color="auto"/>
        <w:left w:val="none" w:sz="0" w:space="0" w:color="auto"/>
        <w:bottom w:val="none" w:sz="0" w:space="0" w:color="auto"/>
        <w:right w:val="none" w:sz="0" w:space="0" w:color="auto"/>
      </w:divBdr>
    </w:div>
    <w:div w:id="1623878963">
      <w:bodyDiv w:val="1"/>
      <w:marLeft w:val="0"/>
      <w:marRight w:val="0"/>
      <w:marTop w:val="0"/>
      <w:marBottom w:val="0"/>
      <w:divBdr>
        <w:top w:val="none" w:sz="0" w:space="0" w:color="auto"/>
        <w:left w:val="none" w:sz="0" w:space="0" w:color="auto"/>
        <w:bottom w:val="none" w:sz="0" w:space="0" w:color="auto"/>
        <w:right w:val="none" w:sz="0" w:space="0" w:color="auto"/>
      </w:divBdr>
    </w:div>
    <w:div w:id="1624001602">
      <w:bodyDiv w:val="1"/>
      <w:marLeft w:val="0"/>
      <w:marRight w:val="0"/>
      <w:marTop w:val="0"/>
      <w:marBottom w:val="0"/>
      <w:divBdr>
        <w:top w:val="none" w:sz="0" w:space="0" w:color="auto"/>
        <w:left w:val="none" w:sz="0" w:space="0" w:color="auto"/>
        <w:bottom w:val="none" w:sz="0" w:space="0" w:color="auto"/>
        <w:right w:val="none" w:sz="0" w:space="0" w:color="auto"/>
      </w:divBdr>
    </w:div>
    <w:div w:id="1625427907">
      <w:bodyDiv w:val="1"/>
      <w:marLeft w:val="0"/>
      <w:marRight w:val="0"/>
      <w:marTop w:val="0"/>
      <w:marBottom w:val="0"/>
      <w:divBdr>
        <w:top w:val="none" w:sz="0" w:space="0" w:color="auto"/>
        <w:left w:val="none" w:sz="0" w:space="0" w:color="auto"/>
        <w:bottom w:val="none" w:sz="0" w:space="0" w:color="auto"/>
        <w:right w:val="none" w:sz="0" w:space="0" w:color="auto"/>
      </w:divBdr>
    </w:div>
    <w:div w:id="1625890194">
      <w:bodyDiv w:val="1"/>
      <w:marLeft w:val="0"/>
      <w:marRight w:val="0"/>
      <w:marTop w:val="0"/>
      <w:marBottom w:val="0"/>
      <w:divBdr>
        <w:top w:val="none" w:sz="0" w:space="0" w:color="auto"/>
        <w:left w:val="none" w:sz="0" w:space="0" w:color="auto"/>
        <w:bottom w:val="none" w:sz="0" w:space="0" w:color="auto"/>
        <w:right w:val="none" w:sz="0" w:space="0" w:color="auto"/>
      </w:divBdr>
    </w:div>
    <w:div w:id="1626891482">
      <w:bodyDiv w:val="1"/>
      <w:marLeft w:val="0"/>
      <w:marRight w:val="0"/>
      <w:marTop w:val="0"/>
      <w:marBottom w:val="0"/>
      <w:divBdr>
        <w:top w:val="none" w:sz="0" w:space="0" w:color="auto"/>
        <w:left w:val="none" w:sz="0" w:space="0" w:color="auto"/>
        <w:bottom w:val="none" w:sz="0" w:space="0" w:color="auto"/>
        <w:right w:val="none" w:sz="0" w:space="0" w:color="auto"/>
      </w:divBdr>
    </w:div>
    <w:div w:id="1627272709">
      <w:bodyDiv w:val="1"/>
      <w:marLeft w:val="0"/>
      <w:marRight w:val="0"/>
      <w:marTop w:val="0"/>
      <w:marBottom w:val="0"/>
      <w:divBdr>
        <w:top w:val="none" w:sz="0" w:space="0" w:color="auto"/>
        <w:left w:val="none" w:sz="0" w:space="0" w:color="auto"/>
        <w:bottom w:val="none" w:sz="0" w:space="0" w:color="auto"/>
        <w:right w:val="none" w:sz="0" w:space="0" w:color="auto"/>
      </w:divBdr>
    </w:div>
    <w:div w:id="1627347403">
      <w:bodyDiv w:val="1"/>
      <w:marLeft w:val="0"/>
      <w:marRight w:val="0"/>
      <w:marTop w:val="0"/>
      <w:marBottom w:val="0"/>
      <w:divBdr>
        <w:top w:val="none" w:sz="0" w:space="0" w:color="auto"/>
        <w:left w:val="none" w:sz="0" w:space="0" w:color="auto"/>
        <w:bottom w:val="none" w:sz="0" w:space="0" w:color="auto"/>
        <w:right w:val="none" w:sz="0" w:space="0" w:color="auto"/>
      </w:divBdr>
    </w:div>
    <w:div w:id="1628126502">
      <w:bodyDiv w:val="1"/>
      <w:marLeft w:val="0"/>
      <w:marRight w:val="0"/>
      <w:marTop w:val="0"/>
      <w:marBottom w:val="0"/>
      <w:divBdr>
        <w:top w:val="none" w:sz="0" w:space="0" w:color="auto"/>
        <w:left w:val="none" w:sz="0" w:space="0" w:color="auto"/>
        <w:bottom w:val="none" w:sz="0" w:space="0" w:color="auto"/>
        <w:right w:val="none" w:sz="0" w:space="0" w:color="auto"/>
      </w:divBdr>
    </w:div>
    <w:div w:id="1628512269">
      <w:bodyDiv w:val="1"/>
      <w:marLeft w:val="0"/>
      <w:marRight w:val="0"/>
      <w:marTop w:val="0"/>
      <w:marBottom w:val="0"/>
      <w:divBdr>
        <w:top w:val="none" w:sz="0" w:space="0" w:color="auto"/>
        <w:left w:val="none" w:sz="0" w:space="0" w:color="auto"/>
        <w:bottom w:val="none" w:sz="0" w:space="0" w:color="auto"/>
        <w:right w:val="none" w:sz="0" w:space="0" w:color="auto"/>
      </w:divBdr>
    </w:div>
    <w:div w:id="1628586444">
      <w:bodyDiv w:val="1"/>
      <w:marLeft w:val="0"/>
      <w:marRight w:val="0"/>
      <w:marTop w:val="0"/>
      <w:marBottom w:val="0"/>
      <w:divBdr>
        <w:top w:val="none" w:sz="0" w:space="0" w:color="auto"/>
        <w:left w:val="none" w:sz="0" w:space="0" w:color="auto"/>
        <w:bottom w:val="none" w:sz="0" w:space="0" w:color="auto"/>
        <w:right w:val="none" w:sz="0" w:space="0" w:color="auto"/>
      </w:divBdr>
    </w:div>
    <w:div w:id="1630355641">
      <w:bodyDiv w:val="1"/>
      <w:marLeft w:val="0"/>
      <w:marRight w:val="0"/>
      <w:marTop w:val="0"/>
      <w:marBottom w:val="0"/>
      <w:divBdr>
        <w:top w:val="none" w:sz="0" w:space="0" w:color="auto"/>
        <w:left w:val="none" w:sz="0" w:space="0" w:color="auto"/>
        <w:bottom w:val="none" w:sz="0" w:space="0" w:color="auto"/>
        <w:right w:val="none" w:sz="0" w:space="0" w:color="auto"/>
      </w:divBdr>
    </w:div>
    <w:div w:id="1630433125">
      <w:bodyDiv w:val="1"/>
      <w:marLeft w:val="0"/>
      <w:marRight w:val="0"/>
      <w:marTop w:val="0"/>
      <w:marBottom w:val="0"/>
      <w:divBdr>
        <w:top w:val="none" w:sz="0" w:space="0" w:color="auto"/>
        <w:left w:val="none" w:sz="0" w:space="0" w:color="auto"/>
        <w:bottom w:val="none" w:sz="0" w:space="0" w:color="auto"/>
        <w:right w:val="none" w:sz="0" w:space="0" w:color="auto"/>
      </w:divBdr>
    </w:div>
    <w:div w:id="1630630482">
      <w:bodyDiv w:val="1"/>
      <w:marLeft w:val="0"/>
      <w:marRight w:val="0"/>
      <w:marTop w:val="0"/>
      <w:marBottom w:val="0"/>
      <w:divBdr>
        <w:top w:val="none" w:sz="0" w:space="0" w:color="auto"/>
        <w:left w:val="none" w:sz="0" w:space="0" w:color="auto"/>
        <w:bottom w:val="none" w:sz="0" w:space="0" w:color="auto"/>
        <w:right w:val="none" w:sz="0" w:space="0" w:color="auto"/>
      </w:divBdr>
    </w:div>
    <w:div w:id="1631672582">
      <w:bodyDiv w:val="1"/>
      <w:marLeft w:val="0"/>
      <w:marRight w:val="0"/>
      <w:marTop w:val="0"/>
      <w:marBottom w:val="0"/>
      <w:divBdr>
        <w:top w:val="none" w:sz="0" w:space="0" w:color="auto"/>
        <w:left w:val="none" w:sz="0" w:space="0" w:color="auto"/>
        <w:bottom w:val="none" w:sz="0" w:space="0" w:color="auto"/>
        <w:right w:val="none" w:sz="0" w:space="0" w:color="auto"/>
      </w:divBdr>
    </w:div>
    <w:div w:id="1633511310">
      <w:bodyDiv w:val="1"/>
      <w:marLeft w:val="0"/>
      <w:marRight w:val="0"/>
      <w:marTop w:val="0"/>
      <w:marBottom w:val="0"/>
      <w:divBdr>
        <w:top w:val="none" w:sz="0" w:space="0" w:color="auto"/>
        <w:left w:val="none" w:sz="0" w:space="0" w:color="auto"/>
        <w:bottom w:val="none" w:sz="0" w:space="0" w:color="auto"/>
        <w:right w:val="none" w:sz="0" w:space="0" w:color="auto"/>
      </w:divBdr>
    </w:div>
    <w:div w:id="1634825722">
      <w:bodyDiv w:val="1"/>
      <w:marLeft w:val="0"/>
      <w:marRight w:val="0"/>
      <w:marTop w:val="0"/>
      <w:marBottom w:val="0"/>
      <w:divBdr>
        <w:top w:val="none" w:sz="0" w:space="0" w:color="auto"/>
        <w:left w:val="none" w:sz="0" w:space="0" w:color="auto"/>
        <w:bottom w:val="none" w:sz="0" w:space="0" w:color="auto"/>
        <w:right w:val="none" w:sz="0" w:space="0" w:color="auto"/>
      </w:divBdr>
    </w:div>
    <w:div w:id="1636181939">
      <w:bodyDiv w:val="1"/>
      <w:marLeft w:val="0"/>
      <w:marRight w:val="0"/>
      <w:marTop w:val="0"/>
      <w:marBottom w:val="0"/>
      <w:divBdr>
        <w:top w:val="none" w:sz="0" w:space="0" w:color="auto"/>
        <w:left w:val="none" w:sz="0" w:space="0" w:color="auto"/>
        <w:bottom w:val="none" w:sz="0" w:space="0" w:color="auto"/>
        <w:right w:val="none" w:sz="0" w:space="0" w:color="auto"/>
      </w:divBdr>
    </w:div>
    <w:div w:id="1638418238">
      <w:bodyDiv w:val="1"/>
      <w:marLeft w:val="0"/>
      <w:marRight w:val="0"/>
      <w:marTop w:val="0"/>
      <w:marBottom w:val="0"/>
      <w:divBdr>
        <w:top w:val="none" w:sz="0" w:space="0" w:color="auto"/>
        <w:left w:val="none" w:sz="0" w:space="0" w:color="auto"/>
        <w:bottom w:val="none" w:sz="0" w:space="0" w:color="auto"/>
        <w:right w:val="none" w:sz="0" w:space="0" w:color="auto"/>
      </w:divBdr>
    </w:div>
    <w:div w:id="1639452124">
      <w:bodyDiv w:val="1"/>
      <w:marLeft w:val="0"/>
      <w:marRight w:val="0"/>
      <w:marTop w:val="0"/>
      <w:marBottom w:val="0"/>
      <w:divBdr>
        <w:top w:val="none" w:sz="0" w:space="0" w:color="auto"/>
        <w:left w:val="none" w:sz="0" w:space="0" w:color="auto"/>
        <w:bottom w:val="none" w:sz="0" w:space="0" w:color="auto"/>
        <w:right w:val="none" w:sz="0" w:space="0" w:color="auto"/>
      </w:divBdr>
    </w:div>
    <w:div w:id="1642072263">
      <w:bodyDiv w:val="1"/>
      <w:marLeft w:val="0"/>
      <w:marRight w:val="0"/>
      <w:marTop w:val="0"/>
      <w:marBottom w:val="0"/>
      <w:divBdr>
        <w:top w:val="none" w:sz="0" w:space="0" w:color="auto"/>
        <w:left w:val="none" w:sz="0" w:space="0" w:color="auto"/>
        <w:bottom w:val="none" w:sz="0" w:space="0" w:color="auto"/>
        <w:right w:val="none" w:sz="0" w:space="0" w:color="auto"/>
      </w:divBdr>
    </w:div>
    <w:div w:id="1645816076">
      <w:bodyDiv w:val="1"/>
      <w:marLeft w:val="0"/>
      <w:marRight w:val="0"/>
      <w:marTop w:val="0"/>
      <w:marBottom w:val="0"/>
      <w:divBdr>
        <w:top w:val="none" w:sz="0" w:space="0" w:color="auto"/>
        <w:left w:val="none" w:sz="0" w:space="0" w:color="auto"/>
        <w:bottom w:val="none" w:sz="0" w:space="0" w:color="auto"/>
        <w:right w:val="none" w:sz="0" w:space="0" w:color="auto"/>
      </w:divBdr>
    </w:div>
    <w:div w:id="1645969256">
      <w:bodyDiv w:val="1"/>
      <w:marLeft w:val="0"/>
      <w:marRight w:val="0"/>
      <w:marTop w:val="0"/>
      <w:marBottom w:val="0"/>
      <w:divBdr>
        <w:top w:val="none" w:sz="0" w:space="0" w:color="auto"/>
        <w:left w:val="none" w:sz="0" w:space="0" w:color="auto"/>
        <w:bottom w:val="none" w:sz="0" w:space="0" w:color="auto"/>
        <w:right w:val="none" w:sz="0" w:space="0" w:color="auto"/>
      </w:divBdr>
    </w:div>
    <w:div w:id="1646083094">
      <w:bodyDiv w:val="1"/>
      <w:marLeft w:val="0"/>
      <w:marRight w:val="0"/>
      <w:marTop w:val="0"/>
      <w:marBottom w:val="0"/>
      <w:divBdr>
        <w:top w:val="none" w:sz="0" w:space="0" w:color="auto"/>
        <w:left w:val="none" w:sz="0" w:space="0" w:color="auto"/>
        <w:bottom w:val="none" w:sz="0" w:space="0" w:color="auto"/>
        <w:right w:val="none" w:sz="0" w:space="0" w:color="auto"/>
      </w:divBdr>
    </w:div>
    <w:div w:id="1647664670">
      <w:bodyDiv w:val="1"/>
      <w:marLeft w:val="0"/>
      <w:marRight w:val="0"/>
      <w:marTop w:val="0"/>
      <w:marBottom w:val="0"/>
      <w:divBdr>
        <w:top w:val="none" w:sz="0" w:space="0" w:color="auto"/>
        <w:left w:val="none" w:sz="0" w:space="0" w:color="auto"/>
        <w:bottom w:val="none" w:sz="0" w:space="0" w:color="auto"/>
        <w:right w:val="none" w:sz="0" w:space="0" w:color="auto"/>
      </w:divBdr>
    </w:div>
    <w:div w:id="1649556147">
      <w:bodyDiv w:val="1"/>
      <w:marLeft w:val="0"/>
      <w:marRight w:val="0"/>
      <w:marTop w:val="0"/>
      <w:marBottom w:val="0"/>
      <w:divBdr>
        <w:top w:val="none" w:sz="0" w:space="0" w:color="auto"/>
        <w:left w:val="none" w:sz="0" w:space="0" w:color="auto"/>
        <w:bottom w:val="none" w:sz="0" w:space="0" w:color="auto"/>
        <w:right w:val="none" w:sz="0" w:space="0" w:color="auto"/>
      </w:divBdr>
    </w:div>
    <w:div w:id="1649743158">
      <w:bodyDiv w:val="1"/>
      <w:marLeft w:val="0"/>
      <w:marRight w:val="0"/>
      <w:marTop w:val="0"/>
      <w:marBottom w:val="0"/>
      <w:divBdr>
        <w:top w:val="none" w:sz="0" w:space="0" w:color="auto"/>
        <w:left w:val="none" w:sz="0" w:space="0" w:color="auto"/>
        <w:bottom w:val="none" w:sz="0" w:space="0" w:color="auto"/>
        <w:right w:val="none" w:sz="0" w:space="0" w:color="auto"/>
      </w:divBdr>
    </w:div>
    <w:div w:id="1650474764">
      <w:bodyDiv w:val="1"/>
      <w:marLeft w:val="0"/>
      <w:marRight w:val="0"/>
      <w:marTop w:val="0"/>
      <w:marBottom w:val="0"/>
      <w:divBdr>
        <w:top w:val="none" w:sz="0" w:space="0" w:color="auto"/>
        <w:left w:val="none" w:sz="0" w:space="0" w:color="auto"/>
        <w:bottom w:val="none" w:sz="0" w:space="0" w:color="auto"/>
        <w:right w:val="none" w:sz="0" w:space="0" w:color="auto"/>
      </w:divBdr>
    </w:div>
    <w:div w:id="1650478676">
      <w:bodyDiv w:val="1"/>
      <w:marLeft w:val="0"/>
      <w:marRight w:val="0"/>
      <w:marTop w:val="0"/>
      <w:marBottom w:val="0"/>
      <w:divBdr>
        <w:top w:val="none" w:sz="0" w:space="0" w:color="auto"/>
        <w:left w:val="none" w:sz="0" w:space="0" w:color="auto"/>
        <w:bottom w:val="none" w:sz="0" w:space="0" w:color="auto"/>
        <w:right w:val="none" w:sz="0" w:space="0" w:color="auto"/>
      </w:divBdr>
    </w:div>
    <w:div w:id="1651009962">
      <w:bodyDiv w:val="1"/>
      <w:marLeft w:val="0"/>
      <w:marRight w:val="0"/>
      <w:marTop w:val="0"/>
      <w:marBottom w:val="0"/>
      <w:divBdr>
        <w:top w:val="none" w:sz="0" w:space="0" w:color="auto"/>
        <w:left w:val="none" w:sz="0" w:space="0" w:color="auto"/>
        <w:bottom w:val="none" w:sz="0" w:space="0" w:color="auto"/>
        <w:right w:val="none" w:sz="0" w:space="0" w:color="auto"/>
      </w:divBdr>
    </w:div>
    <w:div w:id="1654093723">
      <w:bodyDiv w:val="1"/>
      <w:marLeft w:val="0"/>
      <w:marRight w:val="0"/>
      <w:marTop w:val="0"/>
      <w:marBottom w:val="0"/>
      <w:divBdr>
        <w:top w:val="none" w:sz="0" w:space="0" w:color="auto"/>
        <w:left w:val="none" w:sz="0" w:space="0" w:color="auto"/>
        <w:bottom w:val="none" w:sz="0" w:space="0" w:color="auto"/>
        <w:right w:val="none" w:sz="0" w:space="0" w:color="auto"/>
      </w:divBdr>
    </w:div>
    <w:div w:id="1654142105">
      <w:bodyDiv w:val="1"/>
      <w:marLeft w:val="0"/>
      <w:marRight w:val="0"/>
      <w:marTop w:val="0"/>
      <w:marBottom w:val="0"/>
      <w:divBdr>
        <w:top w:val="none" w:sz="0" w:space="0" w:color="auto"/>
        <w:left w:val="none" w:sz="0" w:space="0" w:color="auto"/>
        <w:bottom w:val="none" w:sz="0" w:space="0" w:color="auto"/>
        <w:right w:val="none" w:sz="0" w:space="0" w:color="auto"/>
      </w:divBdr>
    </w:div>
    <w:div w:id="1655378297">
      <w:bodyDiv w:val="1"/>
      <w:marLeft w:val="0"/>
      <w:marRight w:val="0"/>
      <w:marTop w:val="0"/>
      <w:marBottom w:val="0"/>
      <w:divBdr>
        <w:top w:val="none" w:sz="0" w:space="0" w:color="auto"/>
        <w:left w:val="none" w:sz="0" w:space="0" w:color="auto"/>
        <w:bottom w:val="none" w:sz="0" w:space="0" w:color="auto"/>
        <w:right w:val="none" w:sz="0" w:space="0" w:color="auto"/>
      </w:divBdr>
    </w:div>
    <w:div w:id="1656107943">
      <w:bodyDiv w:val="1"/>
      <w:marLeft w:val="0"/>
      <w:marRight w:val="0"/>
      <w:marTop w:val="0"/>
      <w:marBottom w:val="0"/>
      <w:divBdr>
        <w:top w:val="none" w:sz="0" w:space="0" w:color="auto"/>
        <w:left w:val="none" w:sz="0" w:space="0" w:color="auto"/>
        <w:bottom w:val="none" w:sz="0" w:space="0" w:color="auto"/>
        <w:right w:val="none" w:sz="0" w:space="0" w:color="auto"/>
      </w:divBdr>
    </w:div>
    <w:div w:id="1656296376">
      <w:bodyDiv w:val="1"/>
      <w:marLeft w:val="0"/>
      <w:marRight w:val="0"/>
      <w:marTop w:val="0"/>
      <w:marBottom w:val="0"/>
      <w:divBdr>
        <w:top w:val="none" w:sz="0" w:space="0" w:color="auto"/>
        <w:left w:val="none" w:sz="0" w:space="0" w:color="auto"/>
        <w:bottom w:val="none" w:sz="0" w:space="0" w:color="auto"/>
        <w:right w:val="none" w:sz="0" w:space="0" w:color="auto"/>
      </w:divBdr>
    </w:div>
    <w:div w:id="1656564654">
      <w:bodyDiv w:val="1"/>
      <w:marLeft w:val="0"/>
      <w:marRight w:val="0"/>
      <w:marTop w:val="0"/>
      <w:marBottom w:val="0"/>
      <w:divBdr>
        <w:top w:val="none" w:sz="0" w:space="0" w:color="auto"/>
        <w:left w:val="none" w:sz="0" w:space="0" w:color="auto"/>
        <w:bottom w:val="none" w:sz="0" w:space="0" w:color="auto"/>
        <w:right w:val="none" w:sz="0" w:space="0" w:color="auto"/>
      </w:divBdr>
    </w:div>
    <w:div w:id="1656688221">
      <w:bodyDiv w:val="1"/>
      <w:marLeft w:val="0"/>
      <w:marRight w:val="0"/>
      <w:marTop w:val="0"/>
      <w:marBottom w:val="0"/>
      <w:divBdr>
        <w:top w:val="none" w:sz="0" w:space="0" w:color="auto"/>
        <w:left w:val="none" w:sz="0" w:space="0" w:color="auto"/>
        <w:bottom w:val="none" w:sz="0" w:space="0" w:color="auto"/>
        <w:right w:val="none" w:sz="0" w:space="0" w:color="auto"/>
      </w:divBdr>
    </w:div>
    <w:div w:id="1657034457">
      <w:bodyDiv w:val="1"/>
      <w:marLeft w:val="0"/>
      <w:marRight w:val="0"/>
      <w:marTop w:val="0"/>
      <w:marBottom w:val="0"/>
      <w:divBdr>
        <w:top w:val="none" w:sz="0" w:space="0" w:color="auto"/>
        <w:left w:val="none" w:sz="0" w:space="0" w:color="auto"/>
        <w:bottom w:val="none" w:sz="0" w:space="0" w:color="auto"/>
        <w:right w:val="none" w:sz="0" w:space="0" w:color="auto"/>
      </w:divBdr>
    </w:div>
    <w:div w:id="1658996406">
      <w:bodyDiv w:val="1"/>
      <w:marLeft w:val="0"/>
      <w:marRight w:val="0"/>
      <w:marTop w:val="0"/>
      <w:marBottom w:val="0"/>
      <w:divBdr>
        <w:top w:val="none" w:sz="0" w:space="0" w:color="auto"/>
        <w:left w:val="none" w:sz="0" w:space="0" w:color="auto"/>
        <w:bottom w:val="none" w:sz="0" w:space="0" w:color="auto"/>
        <w:right w:val="none" w:sz="0" w:space="0" w:color="auto"/>
      </w:divBdr>
    </w:div>
    <w:div w:id="1661882324">
      <w:bodyDiv w:val="1"/>
      <w:marLeft w:val="0"/>
      <w:marRight w:val="0"/>
      <w:marTop w:val="0"/>
      <w:marBottom w:val="0"/>
      <w:divBdr>
        <w:top w:val="none" w:sz="0" w:space="0" w:color="auto"/>
        <w:left w:val="none" w:sz="0" w:space="0" w:color="auto"/>
        <w:bottom w:val="none" w:sz="0" w:space="0" w:color="auto"/>
        <w:right w:val="none" w:sz="0" w:space="0" w:color="auto"/>
      </w:divBdr>
    </w:div>
    <w:div w:id="1663268347">
      <w:bodyDiv w:val="1"/>
      <w:marLeft w:val="0"/>
      <w:marRight w:val="0"/>
      <w:marTop w:val="0"/>
      <w:marBottom w:val="0"/>
      <w:divBdr>
        <w:top w:val="none" w:sz="0" w:space="0" w:color="auto"/>
        <w:left w:val="none" w:sz="0" w:space="0" w:color="auto"/>
        <w:bottom w:val="none" w:sz="0" w:space="0" w:color="auto"/>
        <w:right w:val="none" w:sz="0" w:space="0" w:color="auto"/>
      </w:divBdr>
    </w:div>
    <w:div w:id="1664509612">
      <w:bodyDiv w:val="1"/>
      <w:marLeft w:val="0"/>
      <w:marRight w:val="0"/>
      <w:marTop w:val="0"/>
      <w:marBottom w:val="0"/>
      <w:divBdr>
        <w:top w:val="none" w:sz="0" w:space="0" w:color="auto"/>
        <w:left w:val="none" w:sz="0" w:space="0" w:color="auto"/>
        <w:bottom w:val="none" w:sz="0" w:space="0" w:color="auto"/>
        <w:right w:val="none" w:sz="0" w:space="0" w:color="auto"/>
      </w:divBdr>
    </w:div>
    <w:div w:id="1666474198">
      <w:bodyDiv w:val="1"/>
      <w:marLeft w:val="0"/>
      <w:marRight w:val="0"/>
      <w:marTop w:val="0"/>
      <w:marBottom w:val="0"/>
      <w:divBdr>
        <w:top w:val="none" w:sz="0" w:space="0" w:color="auto"/>
        <w:left w:val="none" w:sz="0" w:space="0" w:color="auto"/>
        <w:bottom w:val="none" w:sz="0" w:space="0" w:color="auto"/>
        <w:right w:val="none" w:sz="0" w:space="0" w:color="auto"/>
      </w:divBdr>
    </w:div>
    <w:div w:id="1667323593">
      <w:bodyDiv w:val="1"/>
      <w:marLeft w:val="0"/>
      <w:marRight w:val="0"/>
      <w:marTop w:val="0"/>
      <w:marBottom w:val="0"/>
      <w:divBdr>
        <w:top w:val="none" w:sz="0" w:space="0" w:color="auto"/>
        <w:left w:val="none" w:sz="0" w:space="0" w:color="auto"/>
        <w:bottom w:val="none" w:sz="0" w:space="0" w:color="auto"/>
        <w:right w:val="none" w:sz="0" w:space="0" w:color="auto"/>
      </w:divBdr>
    </w:div>
    <w:div w:id="1668168290">
      <w:bodyDiv w:val="1"/>
      <w:marLeft w:val="0"/>
      <w:marRight w:val="0"/>
      <w:marTop w:val="0"/>
      <w:marBottom w:val="0"/>
      <w:divBdr>
        <w:top w:val="none" w:sz="0" w:space="0" w:color="auto"/>
        <w:left w:val="none" w:sz="0" w:space="0" w:color="auto"/>
        <w:bottom w:val="none" w:sz="0" w:space="0" w:color="auto"/>
        <w:right w:val="none" w:sz="0" w:space="0" w:color="auto"/>
      </w:divBdr>
    </w:div>
    <w:div w:id="1668437481">
      <w:bodyDiv w:val="1"/>
      <w:marLeft w:val="0"/>
      <w:marRight w:val="0"/>
      <w:marTop w:val="0"/>
      <w:marBottom w:val="0"/>
      <w:divBdr>
        <w:top w:val="none" w:sz="0" w:space="0" w:color="auto"/>
        <w:left w:val="none" w:sz="0" w:space="0" w:color="auto"/>
        <w:bottom w:val="none" w:sz="0" w:space="0" w:color="auto"/>
        <w:right w:val="none" w:sz="0" w:space="0" w:color="auto"/>
      </w:divBdr>
    </w:div>
    <w:div w:id="1668971277">
      <w:bodyDiv w:val="1"/>
      <w:marLeft w:val="0"/>
      <w:marRight w:val="0"/>
      <w:marTop w:val="0"/>
      <w:marBottom w:val="0"/>
      <w:divBdr>
        <w:top w:val="none" w:sz="0" w:space="0" w:color="auto"/>
        <w:left w:val="none" w:sz="0" w:space="0" w:color="auto"/>
        <w:bottom w:val="none" w:sz="0" w:space="0" w:color="auto"/>
        <w:right w:val="none" w:sz="0" w:space="0" w:color="auto"/>
      </w:divBdr>
    </w:div>
    <w:div w:id="1674189659">
      <w:bodyDiv w:val="1"/>
      <w:marLeft w:val="0"/>
      <w:marRight w:val="0"/>
      <w:marTop w:val="0"/>
      <w:marBottom w:val="0"/>
      <w:divBdr>
        <w:top w:val="none" w:sz="0" w:space="0" w:color="auto"/>
        <w:left w:val="none" w:sz="0" w:space="0" w:color="auto"/>
        <w:bottom w:val="none" w:sz="0" w:space="0" w:color="auto"/>
        <w:right w:val="none" w:sz="0" w:space="0" w:color="auto"/>
      </w:divBdr>
    </w:div>
    <w:div w:id="1674333185">
      <w:bodyDiv w:val="1"/>
      <w:marLeft w:val="0"/>
      <w:marRight w:val="0"/>
      <w:marTop w:val="0"/>
      <w:marBottom w:val="0"/>
      <w:divBdr>
        <w:top w:val="none" w:sz="0" w:space="0" w:color="auto"/>
        <w:left w:val="none" w:sz="0" w:space="0" w:color="auto"/>
        <w:bottom w:val="none" w:sz="0" w:space="0" w:color="auto"/>
        <w:right w:val="none" w:sz="0" w:space="0" w:color="auto"/>
      </w:divBdr>
    </w:div>
    <w:div w:id="1675300475">
      <w:bodyDiv w:val="1"/>
      <w:marLeft w:val="0"/>
      <w:marRight w:val="0"/>
      <w:marTop w:val="0"/>
      <w:marBottom w:val="0"/>
      <w:divBdr>
        <w:top w:val="none" w:sz="0" w:space="0" w:color="auto"/>
        <w:left w:val="none" w:sz="0" w:space="0" w:color="auto"/>
        <w:bottom w:val="none" w:sz="0" w:space="0" w:color="auto"/>
        <w:right w:val="none" w:sz="0" w:space="0" w:color="auto"/>
      </w:divBdr>
    </w:div>
    <w:div w:id="1676034716">
      <w:bodyDiv w:val="1"/>
      <w:marLeft w:val="0"/>
      <w:marRight w:val="0"/>
      <w:marTop w:val="0"/>
      <w:marBottom w:val="0"/>
      <w:divBdr>
        <w:top w:val="none" w:sz="0" w:space="0" w:color="auto"/>
        <w:left w:val="none" w:sz="0" w:space="0" w:color="auto"/>
        <w:bottom w:val="none" w:sz="0" w:space="0" w:color="auto"/>
        <w:right w:val="none" w:sz="0" w:space="0" w:color="auto"/>
      </w:divBdr>
    </w:div>
    <w:div w:id="1676692754">
      <w:bodyDiv w:val="1"/>
      <w:marLeft w:val="0"/>
      <w:marRight w:val="0"/>
      <w:marTop w:val="0"/>
      <w:marBottom w:val="0"/>
      <w:divBdr>
        <w:top w:val="none" w:sz="0" w:space="0" w:color="auto"/>
        <w:left w:val="none" w:sz="0" w:space="0" w:color="auto"/>
        <w:bottom w:val="none" w:sz="0" w:space="0" w:color="auto"/>
        <w:right w:val="none" w:sz="0" w:space="0" w:color="auto"/>
      </w:divBdr>
    </w:div>
    <w:div w:id="1677731995">
      <w:bodyDiv w:val="1"/>
      <w:marLeft w:val="0"/>
      <w:marRight w:val="0"/>
      <w:marTop w:val="0"/>
      <w:marBottom w:val="0"/>
      <w:divBdr>
        <w:top w:val="none" w:sz="0" w:space="0" w:color="auto"/>
        <w:left w:val="none" w:sz="0" w:space="0" w:color="auto"/>
        <w:bottom w:val="none" w:sz="0" w:space="0" w:color="auto"/>
        <w:right w:val="none" w:sz="0" w:space="0" w:color="auto"/>
      </w:divBdr>
    </w:div>
    <w:div w:id="1678656363">
      <w:bodyDiv w:val="1"/>
      <w:marLeft w:val="0"/>
      <w:marRight w:val="0"/>
      <w:marTop w:val="0"/>
      <w:marBottom w:val="0"/>
      <w:divBdr>
        <w:top w:val="none" w:sz="0" w:space="0" w:color="auto"/>
        <w:left w:val="none" w:sz="0" w:space="0" w:color="auto"/>
        <w:bottom w:val="none" w:sz="0" w:space="0" w:color="auto"/>
        <w:right w:val="none" w:sz="0" w:space="0" w:color="auto"/>
      </w:divBdr>
    </w:div>
    <w:div w:id="1678844953">
      <w:bodyDiv w:val="1"/>
      <w:marLeft w:val="0"/>
      <w:marRight w:val="0"/>
      <w:marTop w:val="0"/>
      <w:marBottom w:val="0"/>
      <w:divBdr>
        <w:top w:val="none" w:sz="0" w:space="0" w:color="auto"/>
        <w:left w:val="none" w:sz="0" w:space="0" w:color="auto"/>
        <w:bottom w:val="none" w:sz="0" w:space="0" w:color="auto"/>
        <w:right w:val="none" w:sz="0" w:space="0" w:color="auto"/>
      </w:divBdr>
    </w:div>
    <w:div w:id="1679384098">
      <w:bodyDiv w:val="1"/>
      <w:marLeft w:val="0"/>
      <w:marRight w:val="0"/>
      <w:marTop w:val="0"/>
      <w:marBottom w:val="0"/>
      <w:divBdr>
        <w:top w:val="none" w:sz="0" w:space="0" w:color="auto"/>
        <w:left w:val="none" w:sz="0" w:space="0" w:color="auto"/>
        <w:bottom w:val="none" w:sz="0" w:space="0" w:color="auto"/>
        <w:right w:val="none" w:sz="0" w:space="0" w:color="auto"/>
      </w:divBdr>
    </w:div>
    <w:div w:id="1679575967">
      <w:bodyDiv w:val="1"/>
      <w:marLeft w:val="0"/>
      <w:marRight w:val="0"/>
      <w:marTop w:val="0"/>
      <w:marBottom w:val="0"/>
      <w:divBdr>
        <w:top w:val="none" w:sz="0" w:space="0" w:color="auto"/>
        <w:left w:val="none" w:sz="0" w:space="0" w:color="auto"/>
        <w:bottom w:val="none" w:sz="0" w:space="0" w:color="auto"/>
        <w:right w:val="none" w:sz="0" w:space="0" w:color="auto"/>
      </w:divBdr>
    </w:div>
    <w:div w:id="1680308888">
      <w:bodyDiv w:val="1"/>
      <w:marLeft w:val="0"/>
      <w:marRight w:val="0"/>
      <w:marTop w:val="0"/>
      <w:marBottom w:val="0"/>
      <w:divBdr>
        <w:top w:val="none" w:sz="0" w:space="0" w:color="auto"/>
        <w:left w:val="none" w:sz="0" w:space="0" w:color="auto"/>
        <w:bottom w:val="none" w:sz="0" w:space="0" w:color="auto"/>
        <w:right w:val="none" w:sz="0" w:space="0" w:color="auto"/>
      </w:divBdr>
    </w:div>
    <w:div w:id="1680542365">
      <w:bodyDiv w:val="1"/>
      <w:marLeft w:val="0"/>
      <w:marRight w:val="0"/>
      <w:marTop w:val="0"/>
      <w:marBottom w:val="0"/>
      <w:divBdr>
        <w:top w:val="none" w:sz="0" w:space="0" w:color="auto"/>
        <w:left w:val="none" w:sz="0" w:space="0" w:color="auto"/>
        <w:bottom w:val="none" w:sz="0" w:space="0" w:color="auto"/>
        <w:right w:val="none" w:sz="0" w:space="0" w:color="auto"/>
      </w:divBdr>
    </w:div>
    <w:div w:id="1681934562">
      <w:bodyDiv w:val="1"/>
      <w:marLeft w:val="0"/>
      <w:marRight w:val="0"/>
      <w:marTop w:val="0"/>
      <w:marBottom w:val="0"/>
      <w:divBdr>
        <w:top w:val="none" w:sz="0" w:space="0" w:color="auto"/>
        <w:left w:val="none" w:sz="0" w:space="0" w:color="auto"/>
        <w:bottom w:val="none" w:sz="0" w:space="0" w:color="auto"/>
        <w:right w:val="none" w:sz="0" w:space="0" w:color="auto"/>
      </w:divBdr>
    </w:div>
    <w:div w:id="1682008314">
      <w:bodyDiv w:val="1"/>
      <w:marLeft w:val="0"/>
      <w:marRight w:val="0"/>
      <w:marTop w:val="0"/>
      <w:marBottom w:val="0"/>
      <w:divBdr>
        <w:top w:val="none" w:sz="0" w:space="0" w:color="auto"/>
        <w:left w:val="none" w:sz="0" w:space="0" w:color="auto"/>
        <w:bottom w:val="none" w:sz="0" w:space="0" w:color="auto"/>
        <w:right w:val="none" w:sz="0" w:space="0" w:color="auto"/>
      </w:divBdr>
    </w:div>
    <w:div w:id="1682509359">
      <w:bodyDiv w:val="1"/>
      <w:marLeft w:val="0"/>
      <w:marRight w:val="0"/>
      <w:marTop w:val="0"/>
      <w:marBottom w:val="0"/>
      <w:divBdr>
        <w:top w:val="none" w:sz="0" w:space="0" w:color="auto"/>
        <w:left w:val="none" w:sz="0" w:space="0" w:color="auto"/>
        <w:bottom w:val="none" w:sz="0" w:space="0" w:color="auto"/>
        <w:right w:val="none" w:sz="0" w:space="0" w:color="auto"/>
      </w:divBdr>
    </w:div>
    <w:div w:id="1684745076">
      <w:bodyDiv w:val="1"/>
      <w:marLeft w:val="0"/>
      <w:marRight w:val="0"/>
      <w:marTop w:val="0"/>
      <w:marBottom w:val="0"/>
      <w:divBdr>
        <w:top w:val="none" w:sz="0" w:space="0" w:color="auto"/>
        <w:left w:val="none" w:sz="0" w:space="0" w:color="auto"/>
        <w:bottom w:val="none" w:sz="0" w:space="0" w:color="auto"/>
        <w:right w:val="none" w:sz="0" w:space="0" w:color="auto"/>
      </w:divBdr>
    </w:div>
    <w:div w:id="1687368973">
      <w:bodyDiv w:val="1"/>
      <w:marLeft w:val="0"/>
      <w:marRight w:val="0"/>
      <w:marTop w:val="0"/>
      <w:marBottom w:val="0"/>
      <w:divBdr>
        <w:top w:val="none" w:sz="0" w:space="0" w:color="auto"/>
        <w:left w:val="none" w:sz="0" w:space="0" w:color="auto"/>
        <w:bottom w:val="none" w:sz="0" w:space="0" w:color="auto"/>
        <w:right w:val="none" w:sz="0" w:space="0" w:color="auto"/>
      </w:divBdr>
    </w:div>
    <w:div w:id="1687513758">
      <w:bodyDiv w:val="1"/>
      <w:marLeft w:val="0"/>
      <w:marRight w:val="0"/>
      <w:marTop w:val="0"/>
      <w:marBottom w:val="0"/>
      <w:divBdr>
        <w:top w:val="none" w:sz="0" w:space="0" w:color="auto"/>
        <w:left w:val="none" w:sz="0" w:space="0" w:color="auto"/>
        <w:bottom w:val="none" w:sz="0" w:space="0" w:color="auto"/>
        <w:right w:val="none" w:sz="0" w:space="0" w:color="auto"/>
      </w:divBdr>
    </w:div>
    <w:div w:id="1688209581">
      <w:bodyDiv w:val="1"/>
      <w:marLeft w:val="0"/>
      <w:marRight w:val="0"/>
      <w:marTop w:val="0"/>
      <w:marBottom w:val="0"/>
      <w:divBdr>
        <w:top w:val="none" w:sz="0" w:space="0" w:color="auto"/>
        <w:left w:val="none" w:sz="0" w:space="0" w:color="auto"/>
        <w:bottom w:val="none" w:sz="0" w:space="0" w:color="auto"/>
        <w:right w:val="none" w:sz="0" w:space="0" w:color="auto"/>
      </w:divBdr>
    </w:div>
    <w:div w:id="1691684837">
      <w:bodyDiv w:val="1"/>
      <w:marLeft w:val="0"/>
      <w:marRight w:val="0"/>
      <w:marTop w:val="0"/>
      <w:marBottom w:val="0"/>
      <w:divBdr>
        <w:top w:val="none" w:sz="0" w:space="0" w:color="auto"/>
        <w:left w:val="none" w:sz="0" w:space="0" w:color="auto"/>
        <w:bottom w:val="none" w:sz="0" w:space="0" w:color="auto"/>
        <w:right w:val="none" w:sz="0" w:space="0" w:color="auto"/>
      </w:divBdr>
    </w:div>
    <w:div w:id="1693535013">
      <w:bodyDiv w:val="1"/>
      <w:marLeft w:val="0"/>
      <w:marRight w:val="0"/>
      <w:marTop w:val="0"/>
      <w:marBottom w:val="0"/>
      <w:divBdr>
        <w:top w:val="none" w:sz="0" w:space="0" w:color="auto"/>
        <w:left w:val="none" w:sz="0" w:space="0" w:color="auto"/>
        <w:bottom w:val="none" w:sz="0" w:space="0" w:color="auto"/>
        <w:right w:val="none" w:sz="0" w:space="0" w:color="auto"/>
      </w:divBdr>
    </w:div>
    <w:div w:id="1694375700">
      <w:bodyDiv w:val="1"/>
      <w:marLeft w:val="0"/>
      <w:marRight w:val="0"/>
      <w:marTop w:val="0"/>
      <w:marBottom w:val="0"/>
      <w:divBdr>
        <w:top w:val="none" w:sz="0" w:space="0" w:color="auto"/>
        <w:left w:val="none" w:sz="0" w:space="0" w:color="auto"/>
        <w:bottom w:val="none" w:sz="0" w:space="0" w:color="auto"/>
        <w:right w:val="none" w:sz="0" w:space="0" w:color="auto"/>
      </w:divBdr>
    </w:div>
    <w:div w:id="1694576038">
      <w:bodyDiv w:val="1"/>
      <w:marLeft w:val="0"/>
      <w:marRight w:val="0"/>
      <w:marTop w:val="0"/>
      <w:marBottom w:val="0"/>
      <w:divBdr>
        <w:top w:val="none" w:sz="0" w:space="0" w:color="auto"/>
        <w:left w:val="none" w:sz="0" w:space="0" w:color="auto"/>
        <w:bottom w:val="none" w:sz="0" w:space="0" w:color="auto"/>
        <w:right w:val="none" w:sz="0" w:space="0" w:color="auto"/>
      </w:divBdr>
    </w:div>
    <w:div w:id="1696540529">
      <w:bodyDiv w:val="1"/>
      <w:marLeft w:val="0"/>
      <w:marRight w:val="0"/>
      <w:marTop w:val="0"/>
      <w:marBottom w:val="0"/>
      <w:divBdr>
        <w:top w:val="none" w:sz="0" w:space="0" w:color="auto"/>
        <w:left w:val="none" w:sz="0" w:space="0" w:color="auto"/>
        <w:bottom w:val="none" w:sz="0" w:space="0" w:color="auto"/>
        <w:right w:val="none" w:sz="0" w:space="0" w:color="auto"/>
      </w:divBdr>
    </w:div>
    <w:div w:id="1697807893">
      <w:bodyDiv w:val="1"/>
      <w:marLeft w:val="0"/>
      <w:marRight w:val="0"/>
      <w:marTop w:val="0"/>
      <w:marBottom w:val="0"/>
      <w:divBdr>
        <w:top w:val="none" w:sz="0" w:space="0" w:color="auto"/>
        <w:left w:val="none" w:sz="0" w:space="0" w:color="auto"/>
        <w:bottom w:val="none" w:sz="0" w:space="0" w:color="auto"/>
        <w:right w:val="none" w:sz="0" w:space="0" w:color="auto"/>
      </w:divBdr>
    </w:div>
    <w:div w:id="1703019035">
      <w:bodyDiv w:val="1"/>
      <w:marLeft w:val="0"/>
      <w:marRight w:val="0"/>
      <w:marTop w:val="0"/>
      <w:marBottom w:val="0"/>
      <w:divBdr>
        <w:top w:val="none" w:sz="0" w:space="0" w:color="auto"/>
        <w:left w:val="none" w:sz="0" w:space="0" w:color="auto"/>
        <w:bottom w:val="none" w:sz="0" w:space="0" w:color="auto"/>
        <w:right w:val="none" w:sz="0" w:space="0" w:color="auto"/>
      </w:divBdr>
    </w:div>
    <w:div w:id="1705053226">
      <w:bodyDiv w:val="1"/>
      <w:marLeft w:val="0"/>
      <w:marRight w:val="0"/>
      <w:marTop w:val="0"/>
      <w:marBottom w:val="0"/>
      <w:divBdr>
        <w:top w:val="none" w:sz="0" w:space="0" w:color="auto"/>
        <w:left w:val="none" w:sz="0" w:space="0" w:color="auto"/>
        <w:bottom w:val="none" w:sz="0" w:space="0" w:color="auto"/>
        <w:right w:val="none" w:sz="0" w:space="0" w:color="auto"/>
      </w:divBdr>
    </w:div>
    <w:div w:id="1705398511">
      <w:bodyDiv w:val="1"/>
      <w:marLeft w:val="0"/>
      <w:marRight w:val="0"/>
      <w:marTop w:val="0"/>
      <w:marBottom w:val="0"/>
      <w:divBdr>
        <w:top w:val="none" w:sz="0" w:space="0" w:color="auto"/>
        <w:left w:val="none" w:sz="0" w:space="0" w:color="auto"/>
        <w:bottom w:val="none" w:sz="0" w:space="0" w:color="auto"/>
        <w:right w:val="none" w:sz="0" w:space="0" w:color="auto"/>
      </w:divBdr>
    </w:div>
    <w:div w:id="1706371152">
      <w:bodyDiv w:val="1"/>
      <w:marLeft w:val="0"/>
      <w:marRight w:val="0"/>
      <w:marTop w:val="0"/>
      <w:marBottom w:val="0"/>
      <w:divBdr>
        <w:top w:val="none" w:sz="0" w:space="0" w:color="auto"/>
        <w:left w:val="none" w:sz="0" w:space="0" w:color="auto"/>
        <w:bottom w:val="none" w:sz="0" w:space="0" w:color="auto"/>
        <w:right w:val="none" w:sz="0" w:space="0" w:color="auto"/>
      </w:divBdr>
    </w:div>
    <w:div w:id="1706784779">
      <w:bodyDiv w:val="1"/>
      <w:marLeft w:val="0"/>
      <w:marRight w:val="0"/>
      <w:marTop w:val="0"/>
      <w:marBottom w:val="0"/>
      <w:divBdr>
        <w:top w:val="none" w:sz="0" w:space="0" w:color="auto"/>
        <w:left w:val="none" w:sz="0" w:space="0" w:color="auto"/>
        <w:bottom w:val="none" w:sz="0" w:space="0" w:color="auto"/>
        <w:right w:val="none" w:sz="0" w:space="0" w:color="auto"/>
      </w:divBdr>
    </w:div>
    <w:div w:id="1706835085">
      <w:bodyDiv w:val="1"/>
      <w:marLeft w:val="0"/>
      <w:marRight w:val="0"/>
      <w:marTop w:val="0"/>
      <w:marBottom w:val="0"/>
      <w:divBdr>
        <w:top w:val="none" w:sz="0" w:space="0" w:color="auto"/>
        <w:left w:val="none" w:sz="0" w:space="0" w:color="auto"/>
        <w:bottom w:val="none" w:sz="0" w:space="0" w:color="auto"/>
        <w:right w:val="none" w:sz="0" w:space="0" w:color="auto"/>
      </w:divBdr>
    </w:div>
    <w:div w:id="1708068394">
      <w:bodyDiv w:val="1"/>
      <w:marLeft w:val="0"/>
      <w:marRight w:val="0"/>
      <w:marTop w:val="0"/>
      <w:marBottom w:val="0"/>
      <w:divBdr>
        <w:top w:val="none" w:sz="0" w:space="0" w:color="auto"/>
        <w:left w:val="none" w:sz="0" w:space="0" w:color="auto"/>
        <w:bottom w:val="none" w:sz="0" w:space="0" w:color="auto"/>
        <w:right w:val="none" w:sz="0" w:space="0" w:color="auto"/>
      </w:divBdr>
    </w:div>
    <w:div w:id="1712220691">
      <w:bodyDiv w:val="1"/>
      <w:marLeft w:val="0"/>
      <w:marRight w:val="0"/>
      <w:marTop w:val="0"/>
      <w:marBottom w:val="0"/>
      <w:divBdr>
        <w:top w:val="none" w:sz="0" w:space="0" w:color="auto"/>
        <w:left w:val="none" w:sz="0" w:space="0" w:color="auto"/>
        <w:bottom w:val="none" w:sz="0" w:space="0" w:color="auto"/>
        <w:right w:val="none" w:sz="0" w:space="0" w:color="auto"/>
      </w:divBdr>
    </w:div>
    <w:div w:id="1712339969">
      <w:bodyDiv w:val="1"/>
      <w:marLeft w:val="0"/>
      <w:marRight w:val="0"/>
      <w:marTop w:val="0"/>
      <w:marBottom w:val="0"/>
      <w:divBdr>
        <w:top w:val="none" w:sz="0" w:space="0" w:color="auto"/>
        <w:left w:val="none" w:sz="0" w:space="0" w:color="auto"/>
        <w:bottom w:val="none" w:sz="0" w:space="0" w:color="auto"/>
        <w:right w:val="none" w:sz="0" w:space="0" w:color="auto"/>
      </w:divBdr>
    </w:div>
    <w:div w:id="1713114570">
      <w:bodyDiv w:val="1"/>
      <w:marLeft w:val="0"/>
      <w:marRight w:val="0"/>
      <w:marTop w:val="0"/>
      <w:marBottom w:val="0"/>
      <w:divBdr>
        <w:top w:val="none" w:sz="0" w:space="0" w:color="auto"/>
        <w:left w:val="none" w:sz="0" w:space="0" w:color="auto"/>
        <w:bottom w:val="none" w:sz="0" w:space="0" w:color="auto"/>
        <w:right w:val="none" w:sz="0" w:space="0" w:color="auto"/>
      </w:divBdr>
    </w:div>
    <w:div w:id="1713383936">
      <w:bodyDiv w:val="1"/>
      <w:marLeft w:val="0"/>
      <w:marRight w:val="0"/>
      <w:marTop w:val="0"/>
      <w:marBottom w:val="0"/>
      <w:divBdr>
        <w:top w:val="none" w:sz="0" w:space="0" w:color="auto"/>
        <w:left w:val="none" w:sz="0" w:space="0" w:color="auto"/>
        <w:bottom w:val="none" w:sz="0" w:space="0" w:color="auto"/>
        <w:right w:val="none" w:sz="0" w:space="0" w:color="auto"/>
      </w:divBdr>
    </w:div>
    <w:div w:id="1714423396">
      <w:bodyDiv w:val="1"/>
      <w:marLeft w:val="0"/>
      <w:marRight w:val="0"/>
      <w:marTop w:val="0"/>
      <w:marBottom w:val="0"/>
      <w:divBdr>
        <w:top w:val="none" w:sz="0" w:space="0" w:color="auto"/>
        <w:left w:val="none" w:sz="0" w:space="0" w:color="auto"/>
        <w:bottom w:val="none" w:sz="0" w:space="0" w:color="auto"/>
        <w:right w:val="none" w:sz="0" w:space="0" w:color="auto"/>
      </w:divBdr>
    </w:div>
    <w:div w:id="1715079714">
      <w:bodyDiv w:val="1"/>
      <w:marLeft w:val="0"/>
      <w:marRight w:val="0"/>
      <w:marTop w:val="0"/>
      <w:marBottom w:val="0"/>
      <w:divBdr>
        <w:top w:val="none" w:sz="0" w:space="0" w:color="auto"/>
        <w:left w:val="none" w:sz="0" w:space="0" w:color="auto"/>
        <w:bottom w:val="none" w:sz="0" w:space="0" w:color="auto"/>
        <w:right w:val="none" w:sz="0" w:space="0" w:color="auto"/>
      </w:divBdr>
    </w:div>
    <w:div w:id="1716391588">
      <w:bodyDiv w:val="1"/>
      <w:marLeft w:val="0"/>
      <w:marRight w:val="0"/>
      <w:marTop w:val="0"/>
      <w:marBottom w:val="0"/>
      <w:divBdr>
        <w:top w:val="none" w:sz="0" w:space="0" w:color="auto"/>
        <w:left w:val="none" w:sz="0" w:space="0" w:color="auto"/>
        <w:bottom w:val="none" w:sz="0" w:space="0" w:color="auto"/>
        <w:right w:val="none" w:sz="0" w:space="0" w:color="auto"/>
      </w:divBdr>
    </w:div>
    <w:div w:id="1717049770">
      <w:bodyDiv w:val="1"/>
      <w:marLeft w:val="0"/>
      <w:marRight w:val="0"/>
      <w:marTop w:val="0"/>
      <w:marBottom w:val="0"/>
      <w:divBdr>
        <w:top w:val="none" w:sz="0" w:space="0" w:color="auto"/>
        <w:left w:val="none" w:sz="0" w:space="0" w:color="auto"/>
        <w:bottom w:val="none" w:sz="0" w:space="0" w:color="auto"/>
        <w:right w:val="none" w:sz="0" w:space="0" w:color="auto"/>
      </w:divBdr>
    </w:div>
    <w:div w:id="1717117422">
      <w:bodyDiv w:val="1"/>
      <w:marLeft w:val="0"/>
      <w:marRight w:val="0"/>
      <w:marTop w:val="0"/>
      <w:marBottom w:val="0"/>
      <w:divBdr>
        <w:top w:val="none" w:sz="0" w:space="0" w:color="auto"/>
        <w:left w:val="none" w:sz="0" w:space="0" w:color="auto"/>
        <w:bottom w:val="none" w:sz="0" w:space="0" w:color="auto"/>
        <w:right w:val="none" w:sz="0" w:space="0" w:color="auto"/>
      </w:divBdr>
    </w:div>
    <w:div w:id="1718310902">
      <w:bodyDiv w:val="1"/>
      <w:marLeft w:val="0"/>
      <w:marRight w:val="0"/>
      <w:marTop w:val="0"/>
      <w:marBottom w:val="0"/>
      <w:divBdr>
        <w:top w:val="none" w:sz="0" w:space="0" w:color="auto"/>
        <w:left w:val="none" w:sz="0" w:space="0" w:color="auto"/>
        <w:bottom w:val="none" w:sz="0" w:space="0" w:color="auto"/>
        <w:right w:val="none" w:sz="0" w:space="0" w:color="auto"/>
      </w:divBdr>
    </w:div>
    <w:div w:id="1718354319">
      <w:bodyDiv w:val="1"/>
      <w:marLeft w:val="0"/>
      <w:marRight w:val="0"/>
      <w:marTop w:val="0"/>
      <w:marBottom w:val="0"/>
      <w:divBdr>
        <w:top w:val="none" w:sz="0" w:space="0" w:color="auto"/>
        <w:left w:val="none" w:sz="0" w:space="0" w:color="auto"/>
        <w:bottom w:val="none" w:sz="0" w:space="0" w:color="auto"/>
        <w:right w:val="none" w:sz="0" w:space="0" w:color="auto"/>
      </w:divBdr>
    </w:div>
    <w:div w:id="1718435003">
      <w:bodyDiv w:val="1"/>
      <w:marLeft w:val="0"/>
      <w:marRight w:val="0"/>
      <w:marTop w:val="0"/>
      <w:marBottom w:val="0"/>
      <w:divBdr>
        <w:top w:val="none" w:sz="0" w:space="0" w:color="auto"/>
        <w:left w:val="none" w:sz="0" w:space="0" w:color="auto"/>
        <w:bottom w:val="none" w:sz="0" w:space="0" w:color="auto"/>
        <w:right w:val="none" w:sz="0" w:space="0" w:color="auto"/>
      </w:divBdr>
    </w:div>
    <w:div w:id="1719351353">
      <w:bodyDiv w:val="1"/>
      <w:marLeft w:val="0"/>
      <w:marRight w:val="0"/>
      <w:marTop w:val="0"/>
      <w:marBottom w:val="0"/>
      <w:divBdr>
        <w:top w:val="none" w:sz="0" w:space="0" w:color="auto"/>
        <w:left w:val="none" w:sz="0" w:space="0" w:color="auto"/>
        <w:bottom w:val="none" w:sz="0" w:space="0" w:color="auto"/>
        <w:right w:val="none" w:sz="0" w:space="0" w:color="auto"/>
      </w:divBdr>
    </w:div>
    <w:div w:id="1720200867">
      <w:bodyDiv w:val="1"/>
      <w:marLeft w:val="0"/>
      <w:marRight w:val="0"/>
      <w:marTop w:val="0"/>
      <w:marBottom w:val="0"/>
      <w:divBdr>
        <w:top w:val="none" w:sz="0" w:space="0" w:color="auto"/>
        <w:left w:val="none" w:sz="0" w:space="0" w:color="auto"/>
        <w:bottom w:val="none" w:sz="0" w:space="0" w:color="auto"/>
        <w:right w:val="none" w:sz="0" w:space="0" w:color="auto"/>
      </w:divBdr>
    </w:div>
    <w:div w:id="1721661753">
      <w:bodyDiv w:val="1"/>
      <w:marLeft w:val="0"/>
      <w:marRight w:val="0"/>
      <w:marTop w:val="0"/>
      <w:marBottom w:val="0"/>
      <w:divBdr>
        <w:top w:val="none" w:sz="0" w:space="0" w:color="auto"/>
        <w:left w:val="none" w:sz="0" w:space="0" w:color="auto"/>
        <w:bottom w:val="none" w:sz="0" w:space="0" w:color="auto"/>
        <w:right w:val="none" w:sz="0" w:space="0" w:color="auto"/>
      </w:divBdr>
    </w:div>
    <w:div w:id="1722090019">
      <w:bodyDiv w:val="1"/>
      <w:marLeft w:val="0"/>
      <w:marRight w:val="0"/>
      <w:marTop w:val="0"/>
      <w:marBottom w:val="0"/>
      <w:divBdr>
        <w:top w:val="none" w:sz="0" w:space="0" w:color="auto"/>
        <w:left w:val="none" w:sz="0" w:space="0" w:color="auto"/>
        <w:bottom w:val="none" w:sz="0" w:space="0" w:color="auto"/>
        <w:right w:val="none" w:sz="0" w:space="0" w:color="auto"/>
      </w:divBdr>
    </w:div>
    <w:div w:id="1723358705">
      <w:bodyDiv w:val="1"/>
      <w:marLeft w:val="0"/>
      <w:marRight w:val="0"/>
      <w:marTop w:val="0"/>
      <w:marBottom w:val="0"/>
      <w:divBdr>
        <w:top w:val="none" w:sz="0" w:space="0" w:color="auto"/>
        <w:left w:val="none" w:sz="0" w:space="0" w:color="auto"/>
        <w:bottom w:val="none" w:sz="0" w:space="0" w:color="auto"/>
        <w:right w:val="none" w:sz="0" w:space="0" w:color="auto"/>
      </w:divBdr>
    </w:div>
    <w:div w:id="1723793489">
      <w:bodyDiv w:val="1"/>
      <w:marLeft w:val="0"/>
      <w:marRight w:val="0"/>
      <w:marTop w:val="0"/>
      <w:marBottom w:val="0"/>
      <w:divBdr>
        <w:top w:val="none" w:sz="0" w:space="0" w:color="auto"/>
        <w:left w:val="none" w:sz="0" w:space="0" w:color="auto"/>
        <w:bottom w:val="none" w:sz="0" w:space="0" w:color="auto"/>
        <w:right w:val="none" w:sz="0" w:space="0" w:color="auto"/>
      </w:divBdr>
    </w:div>
    <w:div w:id="1724674101">
      <w:bodyDiv w:val="1"/>
      <w:marLeft w:val="0"/>
      <w:marRight w:val="0"/>
      <w:marTop w:val="0"/>
      <w:marBottom w:val="0"/>
      <w:divBdr>
        <w:top w:val="none" w:sz="0" w:space="0" w:color="auto"/>
        <w:left w:val="none" w:sz="0" w:space="0" w:color="auto"/>
        <w:bottom w:val="none" w:sz="0" w:space="0" w:color="auto"/>
        <w:right w:val="none" w:sz="0" w:space="0" w:color="auto"/>
      </w:divBdr>
    </w:div>
    <w:div w:id="1724987467">
      <w:bodyDiv w:val="1"/>
      <w:marLeft w:val="0"/>
      <w:marRight w:val="0"/>
      <w:marTop w:val="0"/>
      <w:marBottom w:val="0"/>
      <w:divBdr>
        <w:top w:val="none" w:sz="0" w:space="0" w:color="auto"/>
        <w:left w:val="none" w:sz="0" w:space="0" w:color="auto"/>
        <w:bottom w:val="none" w:sz="0" w:space="0" w:color="auto"/>
        <w:right w:val="none" w:sz="0" w:space="0" w:color="auto"/>
      </w:divBdr>
    </w:div>
    <w:div w:id="1726369228">
      <w:bodyDiv w:val="1"/>
      <w:marLeft w:val="0"/>
      <w:marRight w:val="0"/>
      <w:marTop w:val="0"/>
      <w:marBottom w:val="0"/>
      <w:divBdr>
        <w:top w:val="none" w:sz="0" w:space="0" w:color="auto"/>
        <w:left w:val="none" w:sz="0" w:space="0" w:color="auto"/>
        <w:bottom w:val="none" w:sz="0" w:space="0" w:color="auto"/>
        <w:right w:val="none" w:sz="0" w:space="0" w:color="auto"/>
      </w:divBdr>
    </w:div>
    <w:div w:id="1727754890">
      <w:bodyDiv w:val="1"/>
      <w:marLeft w:val="0"/>
      <w:marRight w:val="0"/>
      <w:marTop w:val="0"/>
      <w:marBottom w:val="0"/>
      <w:divBdr>
        <w:top w:val="none" w:sz="0" w:space="0" w:color="auto"/>
        <w:left w:val="none" w:sz="0" w:space="0" w:color="auto"/>
        <w:bottom w:val="none" w:sz="0" w:space="0" w:color="auto"/>
        <w:right w:val="none" w:sz="0" w:space="0" w:color="auto"/>
      </w:divBdr>
    </w:div>
    <w:div w:id="1730686355">
      <w:bodyDiv w:val="1"/>
      <w:marLeft w:val="0"/>
      <w:marRight w:val="0"/>
      <w:marTop w:val="0"/>
      <w:marBottom w:val="0"/>
      <w:divBdr>
        <w:top w:val="none" w:sz="0" w:space="0" w:color="auto"/>
        <w:left w:val="none" w:sz="0" w:space="0" w:color="auto"/>
        <w:bottom w:val="none" w:sz="0" w:space="0" w:color="auto"/>
        <w:right w:val="none" w:sz="0" w:space="0" w:color="auto"/>
      </w:divBdr>
    </w:div>
    <w:div w:id="1730956543">
      <w:bodyDiv w:val="1"/>
      <w:marLeft w:val="0"/>
      <w:marRight w:val="0"/>
      <w:marTop w:val="0"/>
      <w:marBottom w:val="0"/>
      <w:divBdr>
        <w:top w:val="none" w:sz="0" w:space="0" w:color="auto"/>
        <w:left w:val="none" w:sz="0" w:space="0" w:color="auto"/>
        <w:bottom w:val="none" w:sz="0" w:space="0" w:color="auto"/>
        <w:right w:val="none" w:sz="0" w:space="0" w:color="auto"/>
      </w:divBdr>
      <w:divsChild>
        <w:div w:id="592588002">
          <w:marLeft w:val="0"/>
          <w:marRight w:val="0"/>
          <w:marTop w:val="0"/>
          <w:marBottom w:val="0"/>
          <w:divBdr>
            <w:top w:val="none" w:sz="0" w:space="0" w:color="auto"/>
            <w:left w:val="none" w:sz="0" w:space="0" w:color="auto"/>
            <w:bottom w:val="none" w:sz="0" w:space="0" w:color="auto"/>
            <w:right w:val="none" w:sz="0" w:space="0" w:color="auto"/>
          </w:divBdr>
        </w:div>
        <w:div w:id="1321807132">
          <w:marLeft w:val="0"/>
          <w:marRight w:val="0"/>
          <w:marTop w:val="0"/>
          <w:marBottom w:val="0"/>
          <w:divBdr>
            <w:top w:val="none" w:sz="0" w:space="0" w:color="auto"/>
            <w:left w:val="none" w:sz="0" w:space="0" w:color="auto"/>
            <w:bottom w:val="none" w:sz="0" w:space="0" w:color="auto"/>
            <w:right w:val="none" w:sz="0" w:space="0" w:color="auto"/>
          </w:divBdr>
        </w:div>
      </w:divsChild>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731659542">
      <w:bodyDiv w:val="1"/>
      <w:marLeft w:val="0"/>
      <w:marRight w:val="0"/>
      <w:marTop w:val="0"/>
      <w:marBottom w:val="0"/>
      <w:divBdr>
        <w:top w:val="none" w:sz="0" w:space="0" w:color="auto"/>
        <w:left w:val="none" w:sz="0" w:space="0" w:color="auto"/>
        <w:bottom w:val="none" w:sz="0" w:space="0" w:color="auto"/>
        <w:right w:val="none" w:sz="0" w:space="0" w:color="auto"/>
      </w:divBdr>
    </w:div>
    <w:div w:id="1733890674">
      <w:bodyDiv w:val="1"/>
      <w:marLeft w:val="0"/>
      <w:marRight w:val="0"/>
      <w:marTop w:val="0"/>
      <w:marBottom w:val="0"/>
      <w:divBdr>
        <w:top w:val="none" w:sz="0" w:space="0" w:color="auto"/>
        <w:left w:val="none" w:sz="0" w:space="0" w:color="auto"/>
        <w:bottom w:val="none" w:sz="0" w:space="0" w:color="auto"/>
        <w:right w:val="none" w:sz="0" w:space="0" w:color="auto"/>
      </w:divBdr>
    </w:div>
    <w:div w:id="1734308478">
      <w:bodyDiv w:val="1"/>
      <w:marLeft w:val="0"/>
      <w:marRight w:val="0"/>
      <w:marTop w:val="0"/>
      <w:marBottom w:val="0"/>
      <w:divBdr>
        <w:top w:val="none" w:sz="0" w:space="0" w:color="auto"/>
        <w:left w:val="none" w:sz="0" w:space="0" w:color="auto"/>
        <w:bottom w:val="none" w:sz="0" w:space="0" w:color="auto"/>
        <w:right w:val="none" w:sz="0" w:space="0" w:color="auto"/>
      </w:divBdr>
    </w:div>
    <w:div w:id="1735159418">
      <w:bodyDiv w:val="1"/>
      <w:marLeft w:val="0"/>
      <w:marRight w:val="0"/>
      <w:marTop w:val="0"/>
      <w:marBottom w:val="0"/>
      <w:divBdr>
        <w:top w:val="none" w:sz="0" w:space="0" w:color="auto"/>
        <w:left w:val="none" w:sz="0" w:space="0" w:color="auto"/>
        <w:bottom w:val="none" w:sz="0" w:space="0" w:color="auto"/>
        <w:right w:val="none" w:sz="0" w:space="0" w:color="auto"/>
      </w:divBdr>
    </w:div>
    <w:div w:id="1735160754">
      <w:bodyDiv w:val="1"/>
      <w:marLeft w:val="0"/>
      <w:marRight w:val="0"/>
      <w:marTop w:val="0"/>
      <w:marBottom w:val="0"/>
      <w:divBdr>
        <w:top w:val="none" w:sz="0" w:space="0" w:color="auto"/>
        <w:left w:val="none" w:sz="0" w:space="0" w:color="auto"/>
        <w:bottom w:val="none" w:sz="0" w:space="0" w:color="auto"/>
        <w:right w:val="none" w:sz="0" w:space="0" w:color="auto"/>
      </w:divBdr>
    </w:div>
    <w:div w:id="1736277793">
      <w:bodyDiv w:val="1"/>
      <w:marLeft w:val="0"/>
      <w:marRight w:val="0"/>
      <w:marTop w:val="0"/>
      <w:marBottom w:val="0"/>
      <w:divBdr>
        <w:top w:val="none" w:sz="0" w:space="0" w:color="auto"/>
        <w:left w:val="none" w:sz="0" w:space="0" w:color="auto"/>
        <w:bottom w:val="none" w:sz="0" w:space="0" w:color="auto"/>
        <w:right w:val="none" w:sz="0" w:space="0" w:color="auto"/>
      </w:divBdr>
    </w:div>
    <w:div w:id="1736315484">
      <w:bodyDiv w:val="1"/>
      <w:marLeft w:val="0"/>
      <w:marRight w:val="0"/>
      <w:marTop w:val="0"/>
      <w:marBottom w:val="0"/>
      <w:divBdr>
        <w:top w:val="none" w:sz="0" w:space="0" w:color="auto"/>
        <w:left w:val="none" w:sz="0" w:space="0" w:color="auto"/>
        <w:bottom w:val="none" w:sz="0" w:space="0" w:color="auto"/>
        <w:right w:val="none" w:sz="0" w:space="0" w:color="auto"/>
      </w:divBdr>
    </w:div>
    <w:div w:id="1736782080">
      <w:bodyDiv w:val="1"/>
      <w:marLeft w:val="0"/>
      <w:marRight w:val="0"/>
      <w:marTop w:val="0"/>
      <w:marBottom w:val="0"/>
      <w:divBdr>
        <w:top w:val="none" w:sz="0" w:space="0" w:color="auto"/>
        <w:left w:val="none" w:sz="0" w:space="0" w:color="auto"/>
        <w:bottom w:val="none" w:sz="0" w:space="0" w:color="auto"/>
        <w:right w:val="none" w:sz="0" w:space="0" w:color="auto"/>
      </w:divBdr>
    </w:div>
    <w:div w:id="1738281198">
      <w:bodyDiv w:val="1"/>
      <w:marLeft w:val="0"/>
      <w:marRight w:val="0"/>
      <w:marTop w:val="0"/>
      <w:marBottom w:val="0"/>
      <w:divBdr>
        <w:top w:val="none" w:sz="0" w:space="0" w:color="auto"/>
        <w:left w:val="none" w:sz="0" w:space="0" w:color="auto"/>
        <w:bottom w:val="none" w:sz="0" w:space="0" w:color="auto"/>
        <w:right w:val="none" w:sz="0" w:space="0" w:color="auto"/>
      </w:divBdr>
    </w:div>
    <w:div w:id="1740133736">
      <w:bodyDiv w:val="1"/>
      <w:marLeft w:val="0"/>
      <w:marRight w:val="0"/>
      <w:marTop w:val="0"/>
      <w:marBottom w:val="0"/>
      <w:divBdr>
        <w:top w:val="none" w:sz="0" w:space="0" w:color="auto"/>
        <w:left w:val="none" w:sz="0" w:space="0" w:color="auto"/>
        <w:bottom w:val="none" w:sz="0" w:space="0" w:color="auto"/>
        <w:right w:val="none" w:sz="0" w:space="0" w:color="auto"/>
      </w:divBdr>
    </w:div>
    <w:div w:id="1740786440">
      <w:bodyDiv w:val="1"/>
      <w:marLeft w:val="0"/>
      <w:marRight w:val="0"/>
      <w:marTop w:val="0"/>
      <w:marBottom w:val="0"/>
      <w:divBdr>
        <w:top w:val="none" w:sz="0" w:space="0" w:color="auto"/>
        <w:left w:val="none" w:sz="0" w:space="0" w:color="auto"/>
        <w:bottom w:val="none" w:sz="0" w:space="0" w:color="auto"/>
        <w:right w:val="none" w:sz="0" w:space="0" w:color="auto"/>
      </w:divBdr>
    </w:div>
    <w:div w:id="1741053463">
      <w:bodyDiv w:val="1"/>
      <w:marLeft w:val="0"/>
      <w:marRight w:val="0"/>
      <w:marTop w:val="0"/>
      <w:marBottom w:val="0"/>
      <w:divBdr>
        <w:top w:val="none" w:sz="0" w:space="0" w:color="auto"/>
        <w:left w:val="none" w:sz="0" w:space="0" w:color="auto"/>
        <w:bottom w:val="none" w:sz="0" w:space="0" w:color="auto"/>
        <w:right w:val="none" w:sz="0" w:space="0" w:color="auto"/>
      </w:divBdr>
    </w:div>
    <w:div w:id="1741292305">
      <w:bodyDiv w:val="1"/>
      <w:marLeft w:val="0"/>
      <w:marRight w:val="0"/>
      <w:marTop w:val="0"/>
      <w:marBottom w:val="0"/>
      <w:divBdr>
        <w:top w:val="none" w:sz="0" w:space="0" w:color="auto"/>
        <w:left w:val="none" w:sz="0" w:space="0" w:color="auto"/>
        <w:bottom w:val="none" w:sz="0" w:space="0" w:color="auto"/>
        <w:right w:val="none" w:sz="0" w:space="0" w:color="auto"/>
      </w:divBdr>
    </w:div>
    <w:div w:id="1742409461">
      <w:bodyDiv w:val="1"/>
      <w:marLeft w:val="0"/>
      <w:marRight w:val="0"/>
      <w:marTop w:val="0"/>
      <w:marBottom w:val="0"/>
      <w:divBdr>
        <w:top w:val="none" w:sz="0" w:space="0" w:color="auto"/>
        <w:left w:val="none" w:sz="0" w:space="0" w:color="auto"/>
        <w:bottom w:val="none" w:sz="0" w:space="0" w:color="auto"/>
        <w:right w:val="none" w:sz="0" w:space="0" w:color="auto"/>
      </w:divBdr>
    </w:div>
    <w:div w:id="1744137412">
      <w:bodyDiv w:val="1"/>
      <w:marLeft w:val="0"/>
      <w:marRight w:val="0"/>
      <w:marTop w:val="0"/>
      <w:marBottom w:val="0"/>
      <w:divBdr>
        <w:top w:val="none" w:sz="0" w:space="0" w:color="auto"/>
        <w:left w:val="none" w:sz="0" w:space="0" w:color="auto"/>
        <w:bottom w:val="none" w:sz="0" w:space="0" w:color="auto"/>
        <w:right w:val="none" w:sz="0" w:space="0" w:color="auto"/>
      </w:divBdr>
    </w:div>
    <w:div w:id="1744372561">
      <w:bodyDiv w:val="1"/>
      <w:marLeft w:val="0"/>
      <w:marRight w:val="0"/>
      <w:marTop w:val="0"/>
      <w:marBottom w:val="0"/>
      <w:divBdr>
        <w:top w:val="none" w:sz="0" w:space="0" w:color="auto"/>
        <w:left w:val="none" w:sz="0" w:space="0" w:color="auto"/>
        <w:bottom w:val="none" w:sz="0" w:space="0" w:color="auto"/>
        <w:right w:val="none" w:sz="0" w:space="0" w:color="auto"/>
      </w:divBdr>
    </w:div>
    <w:div w:id="1745949146">
      <w:bodyDiv w:val="1"/>
      <w:marLeft w:val="0"/>
      <w:marRight w:val="0"/>
      <w:marTop w:val="0"/>
      <w:marBottom w:val="0"/>
      <w:divBdr>
        <w:top w:val="none" w:sz="0" w:space="0" w:color="auto"/>
        <w:left w:val="none" w:sz="0" w:space="0" w:color="auto"/>
        <w:bottom w:val="none" w:sz="0" w:space="0" w:color="auto"/>
        <w:right w:val="none" w:sz="0" w:space="0" w:color="auto"/>
      </w:divBdr>
    </w:div>
    <w:div w:id="1748378347">
      <w:bodyDiv w:val="1"/>
      <w:marLeft w:val="0"/>
      <w:marRight w:val="0"/>
      <w:marTop w:val="0"/>
      <w:marBottom w:val="0"/>
      <w:divBdr>
        <w:top w:val="none" w:sz="0" w:space="0" w:color="auto"/>
        <w:left w:val="none" w:sz="0" w:space="0" w:color="auto"/>
        <w:bottom w:val="none" w:sz="0" w:space="0" w:color="auto"/>
        <w:right w:val="none" w:sz="0" w:space="0" w:color="auto"/>
      </w:divBdr>
    </w:div>
    <w:div w:id="1750495215">
      <w:bodyDiv w:val="1"/>
      <w:marLeft w:val="0"/>
      <w:marRight w:val="0"/>
      <w:marTop w:val="0"/>
      <w:marBottom w:val="0"/>
      <w:divBdr>
        <w:top w:val="none" w:sz="0" w:space="0" w:color="auto"/>
        <w:left w:val="none" w:sz="0" w:space="0" w:color="auto"/>
        <w:bottom w:val="none" w:sz="0" w:space="0" w:color="auto"/>
        <w:right w:val="none" w:sz="0" w:space="0" w:color="auto"/>
      </w:divBdr>
    </w:div>
    <w:div w:id="1753241034">
      <w:bodyDiv w:val="1"/>
      <w:marLeft w:val="0"/>
      <w:marRight w:val="0"/>
      <w:marTop w:val="0"/>
      <w:marBottom w:val="0"/>
      <w:divBdr>
        <w:top w:val="none" w:sz="0" w:space="0" w:color="auto"/>
        <w:left w:val="none" w:sz="0" w:space="0" w:color="auto"/>
        <w:bottom w:val="none" w:sz="0" w:space="0" w:color="auto"/>
        <w:right w:val="none" w:sz="0" w:space="0" w:color="auto"/>
      </w:divBdr>
    </w:div>
    <w:div w:id="1754547178">
      <w:bodyDiv w:val="1"/>
      <w:marLeft w:val="0"/>
      <w:marRight w:val="0"/>
      <w:marTop w:val="0"/>
      <w:marBottom w:val="0"/>
      <w:divBdr>
        <w:top w:val="none" w:sz="0" w:space="0" w:color="auto"/>
        <w:left w:val="none" w:sz="0" w:space="0" w:color="auto"/>
        <w:bottom w:val="none" w:sz="0" w:space="0" w:color="auto"/>
        <w:right w:val="none" w:sz="0" w:space="0" w:color="auto"/>
      </w:divBdr>
    </w:div>
    <w:div w:id="1755518356">
      <w:bodyDiv w:val="1"/>
      <w:marLeft w:val="0"/>
      <w:marRight w:val="0"/>
      <w:marTop w:val="0"/>
      <w:marBottom w:val="0"/>
      <w:divBdr>
        <w:top w:val="none" w:sz="0" w:space="0" w:color="auto"/>
        <w:left w:val="none" w:sz="0" w:space="0" w:color="auto"/>
        <w:bottom w:val="none" w:sz="0" w:space="0" w:color="auto"/>
        <w:right w:val="none" w:sz="0" w:space="0" w:color="auto"/>
      </w:divBdr>
    </w:div>
    <w:div w:id="1759402139">
      <w:bodyDiv w:val="1"/>
      <w:marLeft w:val="0"/>
      <w:marRight w:val="0"/>
      <w:marTop w:val="0"/>
      <w:marBottom w:val="0"/>
      <w:divBdr>
        <w:top w:val="none" w:sz="0" w:space="0" w:color="auto"/>
        <w:left w:val="none" w:sz="0" w:space="0" w:color="auto"/>
        <w:bottom w:val="none" w:sz="0" w:space="0" w:color="auto"/>
        <w:right w:val="none" w:sz="0" w:space="0" w:color="auto"/>
      </w:divBdr>
    </w:div>
    <w:div w:id="1760246682">
      <w:bodyDiv w:val="1"/>
      <w:marLeft w:val="0"/>
      <w:marRight w:val="0"/>
      <w:marTop w:val="0"/>
      <w:marBottom w:val="0"/>
      <w:divBdr>
        <w:top w:val="none" w:sz="0" w:space="0" w:color="auto"/>
        <w:left w:val="none" w:sz="0" w:space="0" w:color="auto"/>
        <w:bottom w:val="none" w:sz="0" w:space="0" w:color="auto"/>
        <w:right w:val="none" w:sz="0" w:space="0" w:color="auto"/>
      </w:divBdr>
    </w:div>
    <w:div w:id="1762945623">
      <w:bodyDiv w:val="1"/>
      <w:marLeft w:val="0"/>
      <w:marRight w:val="0"/>
      <w:marTop w:val="0"/>
      <w:marBottom w:val="0"/>
      <w:divBdr>
        <w:top w:val="none" w:sz="0" w:space="0" w:color="auto"/>
        <w:left w:val="none" w:sz="0" w:space="0" w:color="auto"/>
        <w:bottom w:val="none" w:sz="0" w:space="0" w:color="auto"/>
        <w:right w:val="none" w:sz="0" w:space="0" w:color="auto"/>
      </w:divBdr>
    </w:div>
    <w:div w:id="1763836727">
      <w:bodyDiv w:val="1"/>
      <w:marLeft w:val="0"/>
      <w:marRight w:val="0"/>
      <w:marTop w:val="0"/>
      <w:marBottom w:val="0"/>
      <w:divBdr>
        <w:top w:val="none" w:sz="0" w:space="0" w:color="auto"/>
        <w:left w:val="none" w:sz="0" w:space="0" w:color="auto"/>
        <w:bottom w:val="none" w:sz="0" w:space="0" w:color="auto"/>
        <w:right w:val="none" w:sz="0" w:space="0" w:color="auto"/>
      </w:divBdr>
    </w:div>
    <w:div w:id="1763839583">
      <w:bodyDiv w:val="1"/>
      <w:marLeft w:val="0"/>
      <w:marRight w:val="0"/>
      <w:marTop w:val="0"/>
      <w:marBottom w:val="0"/>
      <w:divBdr>
        <w:top w:val="none" w:sz="0" w:space="0" w:color="auto"/>
        <w:left w:val="none" w:sz="0" w:space="0" w:color="auto"/>
        <w:bottom w:val="none" w:sz="0" w:space="0" w:color="auto"/>
        <w:right w:val="none" w:sz="0" w:space="0" w:color="auto"/>
      </w:divBdr>
    </w:div>
    <w:div w:id="1765833005">
      <w:bodyDiv w:val="1"/>
      <w:marLeft w:val="0"/>
      <w:marRight w:val="0"/>
      <w:marTop w:val="0"/>
      <w:marBottom w:val="0"/>
      <w:divBdr>
        <w:top w:val="none" w:sz="0" w:space="0" w:color="auto"/>
        <w:left w:val="none" w:sz="0" w:space="0" w:color="auto"/>
        <w:bottom w:val="none" w:sz="0" w:space="0" w:color="auto"/>
        <w:right w:val="none" w:sz="0" w:space="0" w:color="auto"/>
      </w:divBdr>
    </w:div>
    <w:div w:id="1768192432">
      <w:bodyDiv w:val="1"/>
      <w:marLeft w:val="0"/>
      <w:marRight w:val="0"/>
      <w:marTop w:val="0"/>
      <w:marBottom w:val="0"/>
      <w:divBdr>
        <w:top w:val="none" w:sz="0" w:space="0" w:color="auto"/>
        <w:left w:val="none" w:sz="0" w:space="0" w:color="auto"/>
        <w:bottom w:val="none" w:sz="0" w:space="0" w:color="auto"/>
        <w:right w:val="none" w:sz="0" w:space="0" w:color="auto"/>
      </w:divBdr>
    </w:div>
    <w:div w:id="1768961790">
      <w:bodyDiv w:val="1"/>
      <w:marLeft w:val="0"/>
      <w:marRight w:val="0"/>
      <w:marTop w:val="0"/>
      <w:marBottom w:val="0"/>
      <w:divBdr>
        <w:top w:val="none" w:sz="0" w:space="0" w:color="auto"/>
        <w:left w:val="none" w:sz="0" w:space="0" w:color="auto"/>
        <w:bottom w:val="none" w:sz="0" w:space="0" w:color="auto"/>
        <w:right w:val="none" w:sz="0" w:space="0" w:color="auto"/>
      </w:divBdr>
    </w:div>
    <w:div w:id="1771003903">
      <w:bodyDiv w:val="1"/>
      <w:marLeft w:val="0"/>
      <w:marRight w:val="0"/>
      <w:marTop w:val="0"/>
      <w:marBottom w:val="0"/>
      <w:divBdr>
        <w:top w:val="none" w:sz="0" w:space="0" w:color="auto"/>
        <w:left w:val="none" w:sz="0" w:space="0" w:color="auto"/>
        <w:bottom w:val="none" w:sz="0" w:space="0" w:color="auto"/>
        <w:right w:val="none" w:sz="0" w:space="0" w:color="auto"/>
      </w:divBdr>
    </w:div>
    <w:div w:id="1771314397">
      <w:bodyDiv w:val="1"/>
      <w:marLeft w:val="0"/>
      <w:marRight w:val="0"/>
      <w:marTop w:val="0"/>
      <w:marBottom w:val="0"/>
      <w:divBdr>
        <w:top w:val="none" w:sz="0" w:space="0" w:color="auto"/>
        <w:left w:val="none" w:sz="0" w:space="0" w:color="auto"/>
        <w:bottom w:val="none" w:sz="0" w:space="0" w:color="auto"/>
        <w:right w:val="none" w:sz="0" w:space="0" w:color="auto"/>
      </w:divBdr>
    </w:div>
    <w:div w:id="1773624066">
      <w:bodyDiv w:val="1"/>
      <w:marLeft w:val="0"/>
      <w:marRight w:val="0"/>
      <w:marTop w:val="0"/>
      <w:marBottom w:val="0"/>
      <w:divBdr>
        <w:top w:val="none" w:sz="0" w:space="0" w:color="auto"/>
        <w:left w:val="none" w:sz="0" w:space="0" w:color="auto"/>
        <w:bottom w:val="none" w:sz="0" w:space="0" w:color="auto"/>
        <w:right w:val="none" w:sz="0" w:space="0" w:color="auto"/>
      </w:divBdr>
    </w:div>
    <w:div w:id="1774204565">
      <w:bodyDiv w:val="1"/>
      <w:marLeft w:val="0"/>
      <w:marRight w:val="0"/>
      <w:marTop w:val="0"/>
      <w:marBottom w:val="0"/>
      <w:divBdr>
        <w:top w:val="none" w:sz="0" w:space="0" w:color="auto"/>
        <w:left w:val="none" w:sz="0" w:space="0" w:color="auto"/>
        <w:bottom w:val="none" w:sz="0" w:space="0" w:color="auto"/>
        <w:right w:val="none" w:sz="0" w:space="0" w:color="auto"/>
      </w:divBdr>
    </w:div>
    <w:div w:id="1775130144">
      <w:bodyDiv w:val="1"/>
      <w:marLeft w:val="0"/>
      <w:marRight w:val="0"/>
      <w:marTop w:val="0"/>
      <w:marBottom w:val="0"/>
      <w:divBdr>
        <w:top w:val="none" w:sz="0" w:space="0" w:color="auto"/>
        <w:left w:val="none" w:sz="0" w:space="0" w:color="auto"/>
        <w:bottom w:val="none" w:sz="0" w:space="0" w:color="auto"/>
        <w:right w:val="none" w:sz="0" w:space="0" w:color="auto"/>
      </w:divBdr>
    </w:div>
    <w:div w:id="1776705570">
      <w:bodyDiv w:val="1"/>
      <w:marLeft w:val="0"/>
      <w:marRight w:val="0"/>
      <w:marTop w:val="0"/>
      <w:marBottom w:val="0"/>
      <w:divBdr>
        <w:top w:val="none" w:sz="0" w:space="0" w:color="auto"/>
        <w:left w:val="none" w:sz="0" w:space="0" w:color="auto"/>
        <w:bottom w:val="none" w:sz="0" w:space="0" w:color="auto"/>
        <w:right w:val="none" w:sz="0" w:space="0" w:color="auto"/>
      </w:divBdr>
    </w:div>
    <w:div w:id="1777211055">
      <w:bodyDiv w:val="1"/>
      <w:marLeft w:val="0"/>
      <w:marRight w:val="0"/>
      <w:marTop w:val="0"/>
      <w:marBottom w:val="0"/>
      <w:divBdr>
        <w:top w:val="none" w:sz="0" w:space="0" w:color="auto"/>
        <w:left w:val="none" w:sz="0" w:space="0" w:color="auto"/>
        <w:bottom w:val="none" w:sz="0" w:space="0" w:color="auto"/>
        <w:right w:val="none" w:sz="0" w:space="0" w:color="auto"/>
      </w:divBdr>
    </w:div>
    <w:div w:id="1778284986">
      <w:bodyDiv w:val="1"/>
      <w:marLeft w:val="0"/>
      <w:marRight w:val="0"/>
      <w:marTop w:val="0"/>
      <w:marBottom w:val="0"/>
      <w:divBdr>
        <w:top w:val="none" w:sz="0" w:space="0" w:color="auto"/>
        <w:left w:val="none" w:sz="0" w:space="0" w:color="auto"/>
        <w:bottom w:val="none" w:sz="0" w:space="0" w:color="auto"/>
        <w:right w:val="none" w:sz="0" w:space="0" w:color="auto"/>
      </w:divBdr>
    </w:div>
    <w:div w:id="1778452736">
      <w:bodyDiv w:val="1"/>
      <w:marLeft w:val="0"/>
      <w:marRight w:val="0"/>
      <w:marTop w:val="0"/>
      <w:marBottom w:val="0"/>
      <w:divBdr>
        <w:top w:val="none" w:sz="0" w:space="0" w:color="auto"/>
        <w:left w:val="none" w:sz="0" w:space="0" w:color="auto"/>
        <w:bottom w:val="none" w:sz="0" w:space="0" w:color="auto"/>
        <w:right w:val="none" w:sz="0" w:space="0" w:color="auto"/>
      </w:divBdr>
    </w:div>
    <w:div w:id="1779062123">
      <w:bodyDiv w:val="1"/>
      <w:marLeft w:val="0"/>
      <w:marRight w:val="0"/>
      <w:marTop w:val="0"/>
      <w:marBottom w:val="0"/>
      <w:divBdr>
        <w:top w:val="none" w:sz="0" w:space="0" w:color="auto"/>
        <w:left w:val="none" w:sz="0" w:space="0" w:color="auto"/>
        <w:bottom w:val="none" w:sz="0" w:space="0" w:color="auto"/>
        <w:right w:val="none" w:sz="0" w:space="0" w:color="auto"/>
      </w:divBdr>
    </w:div>
    <w:div w:id="1782803599">
      <w:bodyDiv w:val="1"/>
      <w:marLeft w:val="0"/>
      <w:marRight w:val="0"/>
      <w:marTop w:val="0"/>
      <w:marBottom w:val="0"/>
      <w:divBdr>
        <w:top w:val="none" w:sz="0" w:space="0" w:color="auto"/>
        <w:left w:val="none" w:sz="0" w:space="0" w:color="auto"/>
        <w:bottom w:val="none" w:sz="0" w:space="0" w:color="auto"/>
        <w:right w:val="none" w:sz="0" w:space="0" w:color="auto"/>
      </w:divBdr>
    </w:div>
    <w:div w:id="1784381289">
      <w:bodyDiv w:val="1"/>
      <w:marLeft w:val="0"/>
      <w:marRight w:val="0"/>
      <w:marTop w:val="0"/>
      <w:marBottom w:val="0"/>
      <w:divBdr>
        <w:top w:val="none" w:sz="0" w:space="0" w:color="auto"/>
        <w:left w:val="none" w:sz="0" w:space="0" w:color="auto"/>
        <w:bottom w:val="none" w:sz="0" w:space="0" w:color="auto"/>
        <w:right w:val="none" w:sz="0" w:space="0" w:color="auto"/>
      </w:divBdr>
    </w:div>
    <w:div w:id="1785689218">
      <w:bodyDiv w:val="1"/>
      <w:marLeft w:val="0"/>
      <w:marRight w:val="0"/>
      <w:marTop w:val="0"/>
      <w:marBottom w:val="0"/>
      <w:divBdr>
        <w:top w:val="none" w:sz="0" w:space="0" w:color="auto"/>
        <w:left w:val="none" w:sz="0" w:space="0" w:color="auto"/>
        <w:bottom w:val="none" w:sz="0" w:space="0" w:color="auto"/>
        <w:right w:val="none" w:sz="0" w:space="0" w:color="auto"/>
      </w:divBdr>
    </w:div>
    <w:div w:id="1786267189">
      <w:bodyDiv w:val="1"/>
      <w:marLeft w:val="0"/>
      <w:marRight w:val="0"/>
      <w:marTop w:val="0"/>
      <w:marBottom w:val="0"/>
      <w:divBdr>
        <w:top w:val="none" w:sz="0" w:space="0" w:color="auto"/>
        <w:left w:val="none" w:sz="0" w:space="0" w:color="auto"/>
        <w:bottom w:val="none" w:sz="0" w:space="0" w:color="auto"/>
        <w:right w:val="none" w:sz="0" w:space="0" w:color="auto"/>
      </w:divBdr>
    </w:div>
    <w:div w:id="1786461749">
      <w:bodyDiv w:val="1"/>
      <w:marLeft w:val="0"/>
      <w:marRight w:val="0"/>
      <w:marTop w:val="0"/>
      <w:marBottom w:val="0"/>
      <w:divBdr>
        <w:top w:val="none" w:sz="0" w:space="0" w:color="auto"/>
        <w:left w:val="none" w:sz="0" w:space="0" w:color="auto"/>
        <w:bottom w:val="none" w:sz="0" w:space="0" w:color="auto"/>
        <w:right w:val="none" w:sz="0" w:space="0" w:color="auto"/>
      </w:divBdr>
    </w:div>
    <w:div w:id="1786801212">
      <w:bodyDiv w:val="1"/>
      <w:marLeft w:val="0"/>
      <w:marRight w:val="0"/>
      <w:marTop w:val="0"/>
      <w:marBottom w:val="0"/>
      <w:divBdr>
        <w:top w:val="none" w:sz="0" w:space="0" w:color="auto"/>
        <w:left w:val="none" w:sz="0" w:space="0" w:color="auto"/>
        <w:bottom w:val="none" w:sz="0" w:space="0" w:color="auto"/>
        <w:right w:val="none" w:sz="0" w:space="0" w:color="auto"/>
      </w:divBdr>
    </w:div>
    <w:div w:id="1787889611">
      <w:bodyDiv w:val="1"/>
      <w:marLeft w:val="0"/>
      <w:marRight w:val="0"/>
      <w:marTop w:val="0"/>
      <w:marBottom w:val="0"/>
      <w:divBdr>
        <w:top w:val="none" w:sz="0" w:space="0" w:color="auto"/>
        <w:left w:val="none" w:sz="0" w:space="0" w:color="auto"/>
        <w:bottom w:val="none" w:sz="0" w:space="0" w:color="auto"/>
        <w:right w:val="none" w:sz="0" w:space="0" w:color="auto"/>
      </w:divBdr>
    </w:div>
    <w:div w:id="1790005023">
      <w:bodyDiv w:val="1"/>
      <w:marLeft w:val="0"/>
      <w:marRight w:val="0"/>
      <w:marTop w:val="0"/>
      <w:marBottom w:val="0"/>
      <w:divBdr>
        <w:top w:val="none" w:sz="0" w:space="0" w:color="auto"/>
        <w:left w:val="none" w:sz="0" w:space="0" w:color="auto"/>
        <w:bottom w:val="none" w:sz="0" w:space="0" w:color="auto"/>
        <w:right w:val="none" w:sz="0" w:space="0" w:color="auto"/>
      </w:divBdr>
    </w:div>
    <w:div w:id="1791894911">
      <w:bodyDiv w:val="1"/>
      <w:marLeft w:val="0"/>
      <w:marRight w:val="0"/>
      <w:marTop w:val="0"/>
      <w:marBottom w:val="0"/>
      <w:divBdr>
        <w:top w:val="none" w:sz="0" w:space="0" w:color="auto"/>
        <w:left w:val="none" w:sz="0" w:space="0" w:color="auto"/>
        <w:bottom w:val="none" w:sz="0" w:space="0" w:color="auto"/>
        <w:right w:val="none" w:sz="0" w:space="0" w:color="auto"/>
      </w:divBdr>
    </w:div>
    <w:div w:id="1792548465">
      <w:bodyDiv w:val="1"/>
      <w:marLeft w:val="0"/>
      <w:marRight w:val="0"/>
      <w:marTop w:val="0"/>
      <w:marBottom w:val="0"/>
      <w:divBdr>
        <w:top w:val="none" w:sz="0" w:space="0" w:color="auto"/>
        <w:left w:val="none" w:sz="0" w:space="0" w:color="auto"/>
        <w:bottom w:val="none" w:sz="0" w:space="0" w:color="auto"/>
        <w:right w:val="none" w:sz="0" w:space="0" w:color="auto"/>
      </w:divBdr>
    </w:div>
    <w:div w:id="1792741985">
      <w:bodyDiv w:val="1"/>
      <w:marLeft w:val="0"/>
      <w:marRight w:val="0"/>
      <w:marTop w:val="0"/>
      <w:marBottom w:val="0"/>
      <w:divBdr>
        <w:top w:val="none" w:sz="0" w:space="0" w:color="auto"/>
        <w:left w:val="none" w:sz="0" w:space="0" w:color="auto"/>
        <w:bottom w:val="none" w:sz="0" w:space="0" w:color="auto"/>
        <w:right w:val="none" w:sz="0" w:space="0" w:color="auto"/>
      </w:divBdr>
    </w:div>
    <w:div w:id="1793554083">
      <w:bodyDiv w:val="1"/>
      <w:marLeft w:val="0"/>
      <w:marRight w:val="0"/>
      <w:marTop w:val="0"/>
      <w:marBottom w:val="0"/>
      <w:divBdr>
        <w:top w:val="none" w:sz="0" w:space="0" w:color="auto"/>
        <w:left w:val="none" w:sz="0" w:space="0" w:color="auto"/>
        <w:bottom w:val="none" w:sz="0" w:space="0" w:color="auto"/>
        <w:right w:val="none" w:sz="0" w:space="0" w:color="auto"/>
      </w:divBdr>
    </w:div>
    <w:div w:id="1793788137">
      <w:bodyDiv w:val="1"/>
      <w:marLeft w:val="0"/>
      <w:marRight w:val="0"/>
      <w:marTop w:val="0"/>
      <w:marBottom w:val="0"/>
      <w:divBdr>
        <w:top w:val="none" w:sz="0" w:space="0" w:color="auto"/>
        <w:left w:val="none" w:sz="0" w:space="0" w:color="auto"/>
        <w:bottom w:val="none" w:sz="0" w:space="0" w:color="auto"/>
        <w:right w:val="none" w:sz="0" w:space="0" w:color="auto"/>
      </w:divBdr>
    </w:div>
    <w:div w:id="1794010568">
      <w:bodyDiv w:val="1"/>
      <w:marLeft w:val="0"/>
      <w:marRight w:val="0"/>
      <w:marTop w:val="0"/>
      <w:marBottom w:val="0"/>
      <w:divBdr>
        <w:top w:val="none" w:sz="0" w:space="0" w:color="auto"/>
        <w:left w:val="none" w:sz="0" w:space="0" w:color="auto"/>
        <w:bottom w:val="none" w:sz="0" w:space="0" w:color="auto"/>
        <w:right w:val="none" w:sz="0" w:space="0" w:color="auto"/>
      </w:divBdr>
    </w:div>
    <w:div w:id="1795755139">
      <w:bodyDiv w:val="1"/>
      <w:marLeft w:val="0"/>
      <w:marRight w:val="0"/>
      <w:marTop w:val="0"/>
      <w:marBottom w:val="0"/>
      <w:divBdr>
        <w:top w:val="none" w:sz="0" w:space="0" w:color="auto"/>
        <w:left w:val="none" w:sz="0" w:space="0" w:color="auto"/>
        <w:bottom w:val="none" w:sz="0" w:space="0" w:color="auto"/>
        <w:right w:val="none" w:sz="0" w:space="0" w:color="auto"/>
      </w:divBdr>
    </w:div>
    <w:div w:id="1796099034">
      <w:bodyDiv w:val="1"/>
      <w:marLeft w:val="0"/>
      <w:marRight w:val="0"/>
      <w:marTop w:val="0"/>
      <w:marBottom w:val="0"/>
      <w:divBdr>
        <w:top w:val="none" w:sz="0" w:space="0" w:color="auto"/>
        <w:left w:val="none" w:sz="0" w:space="0" w:color="auto"/>
        <w:bottom w:val="none" w:sz="0" w:space="0" w:color="auto"/>
        <w:right w:val="none" w:sz="0" w:space="0" w:color="auto"/>
      </w:divBdr>
    </w:div>
    <w:div w:id="1796681204">
      <w:bodyDiv w:val="1"/>
      <w:marLeft w:val="0"/>
      <w:marRight w:val="0"/>
      <w:marTop w:val="0"/>
      <w:marBottom w:val="0"/>
      <w:divBdr>
        <w:top w:val="none" w:sz="0" w:space="0" w:color="auto"/>
        <w:left w:val="none" w:sz="0" w:space="0" w:color="auto"/>
        <w:bottom w:val="none" w:sz="0" w:space="0" w:color="auto"/>
        <w:right w:val="none" w:sz="0" w:space="0" w:color="auto"/>
      </w:divBdr>
    </w:div>
    <w:div w:id="1797290545">
      <w:bodyDiv w:val="1"/>
      <w:marLeft w:val="0"/>
      <w:marRight w:val="0"/>
      <w:marTop w:val="0"/>
      <w:marBottom w:val="0"/>
      <w:divBdr>
        <w:top w:val="none" w:sz="0" w:space="0" w:color="auto"/>
        <w:left w:val="none" w:sz="0" w:space="0" w:color="auto"/>
        <w:bottom w:val="none" w:sz="0" w:space="0" w:color="auto"/>
        <w:right w:val="none" w:sz="0" w:space="0" w:color="auto"/>
      </w:divBdr>
    </w:div>
    <w:div w:id="1798796959">
      <w:bodyDiv w:val="1"/>
      <w:marLeft w:val="0"/>
      <w:marRight w:val="0"/>
      <w:marTop w:val="0"/>
      <w:marBottom w:val="0"/>
      <w:divBdr>
        <w:top w:val="none" w:sz="0" w:space="0" w:color="auto"/>
        <w:left w:val="none" w:sz="0" w:space="0" w:color="auto"/>
        <w:bottom w:val="none" w:sz="0" w:space="0" w:color="auto"/>
        <w:right w:val="none" w:sz="0" w:space="0" w:color="auto"/>
      </w:divBdr>
    </w:div>
    <w:div w:id="1800151560">
      <w:bodyDiv w:val="1"/>
      <w:marLeft w:val="0"/>
      <w:marRight w:val="0"/>
      <w:marTop w:val="0"/>
      <w:marBottom w:val="0"/>
      <w:divBdr>
        <w:top w:val="none" w:sz="0" w:space="0" w:color="auto"/>
        <w:left w:val="none" w:sz="0" w:space="0" w:color="auto"/>
        <w:bottom w:val="none" w:sz="0" w:space="0" w:color="auto"/>
        <w:right w:val="none" w:sz="0" w:space="0" w:color="auto"/>
      </w:divBdr>
    </w:div>
    <w:div w:id="1800612900">
      <w:bodyDiv w:val="1"/>
      <w:marLeft w:val="0"/>
      <w:marRight w:val="0"/>
      <w:marTop w:val="0"/>
      <w:marBottom w:val="0"/>
      <w:divBdr>
        <w:top w:val="none" w:sz="0" w:space="0" w:color="auto"/>
        <w:left w:val="none" w:sz="0" w:space="0" w:color="auto"/>
        <w:bottom w:val="none" w:sz="0" w:space="0" w:color="auto"/>
        <w:right w:val="none" w:sz="0" w:space="0" w:color="auto"/>
      </w:divBdr>
    </w:div>
    <w:div w:id="1800764121">
      <w:bodyDiv w:val="1"/>
      <w:marLeft w:val="0"/>
      <w:marRight w:val="0"/>
      <w:marTop w:val="0"/>
      <w:marBottom w:val="0"/>
      <w:divBdr>
        <w:top w:val="none" w:sz="0" w:space="0" w:color="auto"/>
        <w:left w:val="none" w:sz="0" w:space="0" w:color="auto"/>
        <w:bottom w:val="none" w:sz="0" w:space="0" w:color="auto"/>
        <w:right w:val="none" w:sz="0" w:space="0" w:color="auto"/>
      </w:divBdr>
    </w:div>
    <w:div w:id="1800875693">
      <w:bodyDiv w:val="1"/>
      <w:marLeft w:val="0"/>
      <w:marRight w:val="0"/>
      <w:marTop w:val="0"/>
      <w:marBottom w:val="0"/>
      <w:divBdr>
        <w:top w:val="none" w:sz="0" w:space="0" w:color="auto"/>
        <w:left w:val="none" w:sz="0" w:space="0" w:color="auto"/>
        <w:bottom w:val="none" w:sz="0" w:space="0" w:color="auto"/>
        <w:right w:val="none" w:sz="0" w:space="0" w:color="auto"/>
      </w:divBdr>
    </w:div>
    <w:div w:id="1802839191">
      <w:bodyDiv w:val="1"/>
      <w:marLeft w:val="0"/>
      <w:marRight w:val="0"/>
      <w:marTop w:val="0"/>
      <w:marBottom w:val="0"/>
      <w:divBdr>
        <w:top w:val="none" w:sz="0" w:space="0" w:color="auto"/>
        <w:left w:val="none" w:sz="0" w:space="0" w:color="auto"/>
        <w:bottom w:val="none" w:sz="0" w:space="0" w:color="auto"/>
        <w:right w:val="none" w:sz="0" w:space="0" w:color="auto"/>
      </w:divBdr>
    </w:div>
    <w:div w:id="1802917606">
      <w:bodyDiv w:val="1"/>
      <w:marLeft w:val="0"/>
      <w:marRight w:val="0"/>
      <w:marTop w:val="0"/>
      <w:marBottom w:val="0"/>
      <w:divBdr>
        <w:top w:val="none" w:sz="0" w:space="0" w:color="auto"/>
        <w:left w:val="none" w:sz="0" w:space="0" w:color="auto"/>
        <w:bottom w:val="none" w:sz="0" w:space="0" w:color="auto"/>
        <w:right w:val="none" w:sz="0" w:space="0" w:color="auto"/>
      </w:divBdr>
    </w:div>
    <w:div w:id="1803376965">
      <w:bodyDiv w:val="1"/>
      <w:marLeft w:val="0"/>
      <w:marRight w:val="0"/>
      <w:marTop w:val="0"/>
      <w:marBottom w:val="0"/>
      <w:divBdr>
        <w:top w:val="none" w:sz="0" w:space="0" w:color="auto"/>
        <w:left w:val="none" w:sz="0" w:space="0" w:color="auto"/>
        <w:bottom w:val="none" w:sz="0" w:space="0" w:color="auto"/>
        <w:right w:val="none" w:sz="0" w:space="0" w:color="auto"/>
      </w:divBdr>
    </w:div>
    <w:div w:id="1804813953">
      <w:bodyDiv w:val="1"/>
      <w:marLeft w:val="0"/>
      <w:marRight w:val="0"/>
      <w:marTop w:val="0"/>
      <w:marBottom w:val="0"/>
      <w:divBdr>
        <w:top w:val="none" w:sz="0" w:space="0" w:color="auto"/>
        <w:left w:val="none" w:sz="0" w:space="0" w:color="auto"/>
        <w:bottom w:val="none" w:sz="0" w:space="0" w:color="auto"/>
        <w:right w:val="none" w:sz="0" w:space="0" w:color="auto"/>
      </w:divBdr>
    </w:div>
    <w:div w:id="1805389567">
      <w:bodyDiv w:val="1"/>
      <w:marLeft w:val="0"/>
      <w:marRight w:val="0"/>
      <w:marTop w:val="0"/>
      <w:marBottom w:val="0"/>
      <w:divBdr>
        <w:top w:val="none" w:sz="0" w:space="0" w:color="auto"/>
        <w:left w:val="none" w:sz="0" w:space="0" w:color="auto"/>
        <w:bottom w:val="none" w:sz="0" w:space="0" w:color="auto"/>
        <w:right w:val="none" w:sz="0" w:space="0" w:color="auto"/>
      </w:divBdr>
    </w:div>
    <w:div w:id="1807699889">
      <w:bodyDiv w:val="1"/>
      <w:marLeft w:val="0"/>
      <w:marRight w:val="0"/>
      <w:marTop w:val="0"/>
      <w:marBottom w:val="0"/>
      <w:divBdr>
        <w:top w:val="none" w:sz="0" w:space="0" w:color="auto"/>
        <w:left w:val="none" w:sz="0" w:space="0" w:color="auto"/>
        <w:bottom w:val="none" w:sz="0" w:space="0" w:color="auto"/>
        <w:right w:val="none" w:sz="0" w:space="0" w:color="auto"/>
      </w:divBdr>
    </w:div>
    <w:div w:id="1809319679">
      <w:bodyDiv w:val="1"/>
      <w:marLeft w:val="0"/>
      <w:marRight w:val="0"/>
      <w:marTop w:val="0"/>
      <w:marBottom w:val="0"/>
      <w:divBdr>
        <w:top w:val="none" w:sz="0" w:space="0" w:color="auto"/>
        <w:left w:val="none" w:sz="0" w:space="0" w:color="auto"/>
        <w:bottom w:val="none" w:sz="0" w:space="0" w:color="auto"/>
        <w:right w:val="none" w:sz="0" w:space="0" w:color="auto"/>
      </w:divBdr>
    </w:div>
    <w:div w:id="1812210683">
      <w:bodyDiv w:val="1"/>
      <w:marLeft w:val="0"/>
      <w:marRight w:val="0"/>
      <w:marTop w:val="0"/>
      <w:marBottom w:val="0"/>
      <w:divBdr>
        <w:top w:val="none" w:sz="0" w:space="0" w:color="auto"/>
        <w:left w:val="none" w:sz="0" w:space="0" w:color="auto"/>
        <w:bottom w:val="none" w:sz="0" w:space="0" w:color="auto"/>
        <w:right w:val="none" w:sz="0" w:space="0" w:color="auto"/>
      </w:divBdr>
    </w:div>
    <w:div w:id="1813138460">
      <w:bodyDiv w:val="1"/>
      <w:marLeft w:val="0"/>
      <w:marRight w:val="0"/>
      <w:marTop w:val="0"/>
      <w:marBottom w:val="0"/>
      <w:divBdr>
        <w:top w:val="none" w:sz="0" w:space="0" w:color="auto"/>
        <w:left w:val="none" w:sz="0" w:space="0" w:color="auto"/>
        <w:bottom w:val="none" w:sz="0" w:space="0" w:color="auto"/>
        <w:right w:val="none" w:sz="0" w:space="0" w:color="auto"/>
      </w:divBdr>
    </w:div>
    <w:div w:id="1814520405">
      <w:bodyDiv w:val="1"/>
      <w:marLeft w:val="0"/>
      <w:marRight w:val="0"/>
      <w:marTop w:val="0"/>
      <w:marBottom w:val="0"/>
      <w:divBdr>
        <w:top w:val="none" w:sz="0" w:space="0" w:color="auto"/>
        <w:left w:val="none" w:sz="0" w:space="0" w:color="auto"/>
        <w:bottom w:val="none" w:sz="0" w:space="0" w:color="auto"/>
        <w:right w:val="none" w:sz="0" w:space="0" w:color="auto"/>
      </w:divBdr>
    </w:div>
    <w:div w:id="1816335746">
      <w:bodyDiv w:val="1"/>
      <w:marLeft w:val="0"/>
      <w:marRight w:val="0"/>
      <w:marTop w:val="0"/>
      <w:marBottom w:val="0"/>
      <w:divBdr>
        <w:top w:val="none" w:sz="0" w:space="0" w:color="auto"/>
        <w:left w:val="none" w:sz="0" w:space="0" w:color="auto"/>
        <w:bottom w:val="none" w:sz="0" w:space="0" w:color="auto"/>
        <w:right w:val="none" w:sz="0" w:space="0" w:color="auto"/>
      </w:divBdr>
    </w:div>
    <w:div w:id="1816794010">
      <w:bodyDiv w:val="1"/>
      <w:marLeft w:val="0"/>
      <w:marRight w:val="0"/>
      <w:marTop w:val="0"/>
      <w:marBottom w:val="0"/>
      <w:divBdr>
        <w:top w:val="none" w:sz="0" w:space="0" w:color="auto"/>
        <w:left w:val="none" w:sz="0" w:space="0" w:color="auto"/>
        <w:bottom w:val="none" w:sz="0" w:space="0" w:color="auto"/>
        <w:right w:val="none" w:sz="0" w:space="0" w:color="auto"/>
      </w:divBdr>
    </w:div>
    <w:div w:id="1818036419">
      <w:bodyDiv w:val="1"/>
      <w:marLeft w:val="0"/>
      <w:marRight w:val="0"/>
      <w:marTop w:val="0"/>
      <w:marBottom w:val="0"/>
      <w:divBdr>
        <w:top w:val="none" w:sz="0" w:space="0" w:color="auto"/>
        <w:left w:val="none" w:sz="0" w:space="0" w:color="auto"/>
        <w:bottom w:val="none" w:sz="0" w:space="0" w:color="auto"/>
        <w:right w:val="none" w:sz="0" w:space="0" w:color="auto"/>
      </w:divBdr>
    </w:div>
    <w:div w:id="1818257934">
      <w:bodyDiv w:val="1"/>
      <w:marLeft w:val="0"/>
      <w:marRight w:val="0"/>
      <w:marTop w:val="0"/>
      <w:marBottom w:val="0"/>
      <w:divBdr>
        <w:top w:val="none" w:sz="0" w:space="0" w:color="auto"/>
        <w:left w:val="none" w:sz="0" w:space="0" w:color="auto"/>
        <w:bottom w:val="none" w:sz="0" w:space="0" w:color="auto"/>
        <w:right w:val="none" w:sz="0" w:space="0" w:color="auto"/>
      </w:divBdr>
    </w:div>
    <w:div w:id="1819299906">
      <w:bodyDiv w:val="1"/>
      <w:marLeft w:val="0"/>
      <w:marRight w:val="0"/>
      <w:marTop w:val="0"/>
      <w:marBottom w:val="0"/>
      <w:divBdr>
        <w:top w:val="none" w:sz="0" w:space="0" w:color="auto"/>
        <w:left w:val="none" w:sz="0" w:space="0" w:color="auto"/>
        <w:bottom w:val="none" w:sz="0" w:space="0" w:color="auto"/>
        <w:right w:val="none" w:sz="0" w:space="0" w:color="auto"/>
      </w:divBdr>
    </w:div>
    <w:div w:id="1819763098">
      <w:bodyDiv w:val="1"/>
      <w:marLeft w:val="0"/>
      <w:marRight w:val="0"/>
      <w:marTop w:val="0"/>
      <w:marBottom w:val="0"/>
      <w:divBdr>
        <w:top w:val="none" w:sz="0" w:space="0" w:color="auto"/>
        <w:left w:val="none" w:sz="0" w:space="0" w:color="auto"/>
        <w:bottom w:val="none" w:sz="0" w:space="0" w:color="auto"/>
        <w:right w:val="none" w:sz="0" w:space="0" w:color="auto"/>
      </w:divBdr>
    </w:div>
    <w:div w:id="1820219818">
      <w:bodyDiv w:val="1"/>
      <w:marLeft w:val="0"/>
      <w:marRight w:val="0"/>
      <w:marTop w:val="0"/>
      <w:marBottom w:val="0"/>
      <w:divBdr>
        <w:top w:val="none" w:sz="0" w:space="0" w:color="auto"/>
        <w:left w:val="none" w:sz="0" w:space="0" w:color="auto"/>
        <w:bottom w:val="none" w:sz="0" w:space="0" w:color="auto"/>
        <w:right w:val="none" w:sz="0" w:space="0" w:color="auto"/>
      </w:divBdr>
    </w:div>
    <w:div w:id="1820998956">
      <w:bodyDiv w:val="1"/>
      <w:marLeft w:val="0"/>
      <w:marRight w:val="0"/>
      <w:marTop w:val="0"/>
      <w:marBottom w:val="0"/>
      <w:divBdr>
        <w:top w:val="none" w:sz="0" w:space="0" w:color="auto"/>
        <w:left w:val="none" w:sz="0" w:space="0" w:color="auto"/>
        <w:bottom w:val="none" w:sz="0" w:space="0" w:color="auto"/>
        <w:right w:val="none" w:sz="0" w:space="0" w:color="auto"/>
      </w:divBdr>
    </w:div>
    <w:div w:id="1823498998">
      <w:bodyDiv w:val="1"/>
      <w:marLeft w:val="0"/>
      <w:marRight w:val="0"/>
      <w:marTop w:val="0"/>
      <w:marBottom w:val="0"/>
      <w:divBdr>
        <w:top w:val="none" w:sz="0" w:space="0" w:color="auto"/>
        <w:left w:val="none" w:sz="0" w:space="0" w:color="auto"/>
        <w:bottom w:val="none" w:sz="0" w:space="0" w:color="auto"/>
        <w:right w:val="none" w:sz="0" w:space="0" w:color="auto"/>
      </w:divBdr>
    </w:div>
    <w:div w:id="1825851601">
      <w:bodyDiv w:val="1"/>
      <w:marLeft w:val="0"/>
      <w:marRight w:val="0"/>
      <w:marTop w:val="0"/>
      <w:marBottom w:val="0"/>
      <w:divBdr>
        <w:top w:val="none" w:sz="0" w:space="0" w:color="auto"/>
        <w:left w:val="none" w:sz="0" w:space="0" w:color="auto"/>
        <w:bottom w:val="none" w:sz="0" w:space="0" w:color="auto"/>
        <w:right w:val="none" w:sz="0" w:space="0" w:color="auto"/>
      </w:divBdr>
    </w:div>
    <w:div w:id="1826583822">
      <w:bodyDiv w:val="1"/>
      <w:marLeft w:val="0"/>
      <w:marRight w:val="0"/>
      <w:marTop w:val="0"/>
      <w:marBottom w:val="0"/>
      <w:divBdr>
        <w:top w:val="none" w:sz="0" w:space="0" w:color="auto"/>
        <w:left w:val="none" w:sz="0" w:space="0" w:color="auto"/>
        <w:bottom w:val="none" w:sz="0" w:space="0" w:color="auto"/>
        <w:right w:val="none" w:sz="0" w:space="0" w:color="auto"/>
      </w:divBdr>
    </w:div>
    <w:div w:id="1829665452">
      <w:bodyDiv w:val="1"/>
      <w:marLeft w:val="0"/>
      <w:marRight w:val="0"/>
      <w:marTop w:val="0"/>
      <w:marBottom w:val="0"/>
      <w:divBdr>
        <w:top w:val="none" w:sz="0" w:space="0" w:color="auto"/>
        <w:left w:val="none" w:sz="0" w:space="0" w:color="auto"/>
        <w:bottom w:val="none" w:sz="0" w:space="0" w:color="auto"/>
        <w:right w:val="none" w:sz="0" w:space="0" w:color="auto"/>
      </w:divBdr>
    </w:div>
    <w:div w:id="1830364160">
      <w:bodyDiv w:val="1"/>
      <w:marLeft w:val="0"/>
      <w:marRight w:val="0"/>
      <w:marTop w:val="0"/>
      <w:marBottom w:val="0"/>
      <w:divBdr>
        <w:top w:val="none" w:sz="0" w:space="0" w:color="auto"/>
        <w:left w:val="none" w:sz="0" w:space="0" w:color="auto"/>
        <w:bottom w:val="none" w:sz="0" w:space="0" w:color="auto"/>
        <w:right w:val="none" w:sz="0" w:space="0" w:color="auto"/>
      </w:divBdr>
    </w:div>
    <w:div w:id="1830709098">
      <w:bodyDiv w:val="1"/>
      <w:marLeft w:val="0"/>
      <w:marRight w:val="0"/>
      <w:marTop w:val="0"/>
      <w:marBottom w:val="0"/>
      <w:divBdr>
        <w:top w:val="none" w:sz="0" w:space="0" w:color="auto"/>
        <w:left w:val="none" w:sz="0" w:space="0" w:color="auto"/>
        <w:bottom w:val="none" w:sz="0" w:space="0" w:color="auto"/>
        <w:right w:val="none" w:sz="0" w:space="0" w:color="auto"/>
      </w:divBdr>
    </w:div>
    <w:div w:id="1830900538">
      <w:bodyDiv w:val="1"/>
      <w:marLeft w:val="0"/>
      <w:marRight w:val="0"/>
      <w:marTop w:val="0"/>
      <w:marBottom w:val="0"/>
      <w:divBdr>
        <w:top w:val="none" w:sz="0" w:space="0" w:color="auto"/>
        <w:left w:val="none" w:sz="0" w:space="0" w:color="auto"/>
        <w:bottom w:val="none" w:sz="0" w:space="0" w:color="auto"/>
        <w:right w:val="none" w:sz="0" w:space="0" w:color="auto"/>
      </w:divBdr>
    </w:div>
    <w:div w:id="1832138778">
      <w:bodyDiv w:val="1"/>
      <w:marLeft w:val="0"/>
      <w:marRight w:val="0"/>
      <w:marTop w:val="0"/>
      <w:marBottom w:val="0"/>
      <w:divBdr>
        <w:top w:val="none" w:sz="0" w:space="0" w:color="auto"/>
        <w:left w:val="none" w:sz="0" w:space="0" w:color="auto"/>
        <w:bottom w:val="none" w:sz="0" w:space="0" w:color="auto"/>
        <w:right w:val="none" w:sz="0" w:space="0" w:color="auto"/>
      </w:divBdr>
    </w:div>
    <w:div w:id="1832596319">
      <w:bodyDiv w:val="1"/>
      <w:marLeft w:val="0"/>
      <w:marRight w:val="0"/>
      <w:marTop w:val="0"/>
      <w:marBottom w:val="0"/>
      <w:divBdr>
        <w:top w:val="none" w:sz="0" w:space="0" w:color="auto"/>
        <w:left w:val="none" w:sz="0" w:space="0" w:color="auto"/>
        <w:bottom w:val="none" w:sz="0" w:space="0" w:color="auto"/>
        <w:right w:val="none" w:sz="0" w:space="0" w:color="auto"/>
      </w:divBdr>
    </w:div>
    <w:div w:id="1832794527">
      <w:bodyDiv w:val="1"/>
      <w:marLeft w:val="0"/>
      <w:marRight w:val="0"/>
      <w:marTop w:val="0"/>
      <w:marBottom w:val="0"/>
      <w:divBdr>
        <w:top w:val="none" w:sz="0" w:space="0" w:color="auto"/>
        <w:left w:val="none" w:sz="0" w:space="0" w:color="auto"/>
        <w:bottom w:val="none" w:sz="0" w:space="0" w:color="auto"/>
        <w:right w:val="none" w:sz="0" w:space="0" w:color="auto"/>
      </w:divBdr>
    </w:div>
    <w:div w:id="1832987007">
      <w:bodyDiv w:val="1"/>
      <w:marLeft w:val="0"/>
      <w:marRight w:val="0"/>
      <w:marTop w:val="0"/>
      <w:marBottom w:val="0"/>
      <w:divBdr>
        <w:top w:val="none" w:sz="0" w:space="0" w:color="auto"/>
        <w:left w:val="none" w:sz="0" w:space="0" w:color="auto"/>
        <w:bottom w:val="none" w:sz="0" w:space="0" w:color="auto"/>
        <w:right w:val="none" w:sz="0" w:space="0" w:color="auto"/>
      </w:divBdr>
    </w:div>
    <w:div w:id="1833178122">
      <w:bodyDiv w:val="1"/>
      <w:marLeft w:val="0"/>
      <w:marRight w:val="0"/>
      <w:marTop w:val="0"/>
      <w:marBottom w:val="0"/>
      <w:divBdr>
        <w:top w:val="none" w:sz="0" w:space="0" w:color="auto"/>
        <w:left w:val="none" w:sz="0" w:space="0" w:color="auto"/>
        <w:bottom w:val="none" w:sz="0" w:space="0" w:color="auto"/>
        <w:right w:val="none" w:sz="0" w:space="0" w:color="auto"/>
      </w:divBdr>
    </w:div>
    <w:div w:id="1833250433">
      <w:bodyDiv w:val="1"/>
      <w:marLeft w:val="0"/>
      <w:marRight w:val="0"/>
      <w:marTop w:val="0"/>
      <w:marBottom w:val="0"/>
      <w:divBdr>
        <w:top w:val="none" w:sz="0" w:space="0" w:color="auto"/>
        <w:left w:val="none" w:sz="0" w:space="0" w:color="auto"/>
        <w:bottom w:val="none" w:sz="0" w:space="0" w:color="auto"/>
        <w:right w:val="none" w:sz="0" w:space="0" w:color="auto"/>
      </w:divBdr>
    </w:div>
    <w:div w:id="1833762910">
      <w:bodyDiv w:val="1"/>
      <w:marLeft w:val="0"/>
      <w:marRight w:val="0"/>
      <w:marTop w:val="0"/>
      <w:marBottom w:val="0"/>
      <w:divBdr>
        <w:top w:val="none" w:sz="0" w:space="0" w:color="auto"/>
        <w:left w:val="none" w:sz="0" w:space="0" w:color="auto"/>
        <w:bottom w:val="none" w:sz="0" w:space="0" w:color="auto"/>
        <w:right w:val="none" w:sz="0" w:space="0" w:color="auto"/>
      </w:divBdr>
    </w:div>
    <w:div w:id="1836220134">
      <w:bodyDiv w:val="1"/>
      <w:marLeft w:val="0"/>
      <w:marRight w:val="0"/>
      <w:marTop w:val="0"/>
      <w:marBottom w:val="0"/>
      <w:divBdr>
        <w:top w:val="none" w:sz="0" w:space="0" w:color="auto"/>
        <w:left w:val="none" w:sz="0" w:space="0" w:color="auto"/>
        <w:bottom w:val="none" w:sz="0" w:space="0" w:color="auto"/>
        <w:right w:val="none" w:sz="0" w:space="0" w:color="auto"/>
      </w:divBdr>
    </w:div>
    <w:div w:id="1836409706">
      <w:bodyDiv w:val="1"/>
      <w:marLeft w:val="0"/>
      <w:marRight w:val="0"/>
      <w:marTop w:val="0"/>
      <w:marBottom w:val="0"/>
      <w:divBdr>
        <w:top w:val="none" w:sz="0" w:space="0" w:color="auto"/>
        <w:left w:val="none" w:sz="0" w:space="0" w:color="auto"/>
        <w:bottom w:val="none" w:sz="0" w:space="0" w:color="auto"/>
        <w:right w:val="none" w:sz="0" w:space="0" w:color="auto"/>
      </w:divBdr>
    </w:div>
    <w:div w:id="1837456874">
      <w:bodyDiv w:val="1"/>
      <w:marLeft w:val="0"/>
      <w:marRight w:val="0"/>
      <w:marTop w:val="0"/>
      <w:marBottom w:val="0"/>
      <w:divBdr>
        <w:top w:val="none" w:sz="0" w:space="0" w:color="auto"/>
        <w:left w:val="none" w:sz="0" w:space="0" w:color="auto"/>
        <w:bottom w:val="none" w:sz="0" w:space="0" w:color="auto"/>
        <w:right w:val="none" w:sz="0" w:space="0" w:color="auto"/>
      </w:divBdr>
    </w:div>
    <w:div w:id="1837769871">
      <w:bodyDiv w:val="1"/>
      <w:marLeft w:val="0"/>
      <w:marRight w:val="0"/>
      <w:marTop w:val="0"/>
      <w:marBottom w:val="0"/>
      <w:divBdr>
        <w:top w:val="none" w:sz="0" w:space="0" w:color="auto"/>
        <w:left w:val="none" w:sz="0" w:space="0" w:color="auto"/>
        <w:bottom w:val="none" w:sz="0" w:space="0" w:color="auto"/>
        <w:right w:val="none" w:sz="0" w:space="0" w:color="auto"/>
      </w:divBdr>
    </w:div>
    <w:div w:id="1838957518">
      <w:bodyDiv w:val="1"/>
      <w:marLeft w:val="0"/>
      <w:marRight w:val="0"/>
      <w:marTop w:val="0"/>
      <w:marBottom w:val="0"/>
      <w:divBdr>
        <w:top w:val="none" w:sz="0" w:space="0" w:color="auto"/>
        <w:left w:val="none" w:sz="0" w:space="0" w:color="auto"/>
        <w:bottom w:val="none" w:sz="0" w:space="0" w:color="auto"/>
        <w:right w:val="none" w:sz="0" w:space="0" w:color="auto"/>
      </w:divBdr>
    </w:div>
    <w:div w:id="1842961201">
      <w:bodyDiv w:val="1"/>
      <w:marLeft w:val="0"/>
      <w:marRight w:val="0"/>
      <w:marTop w:val="0"/>
      <w:marBottom w:val="0"/>
      <w:divBdr>
        <w:top w:val="none" w:sz="0" w:space="0" w:color="auto"/>
        <w:left w:val="none" w:sz="0" w:space="0" w:color="auto"/>
        <w:bottom w:val="none" w:sz="0" w:space="0" w:color="auto"/>
        <w:right w:val="none" w:sz="0" w:space="0" w:color="auto"/>
      </w:divBdr>
    </w:div>
    <w:div w:id="1843931329">
      <w:bodyDiv w:val="1"/>
      <w:marLeft w:val="0"/>
      <w:marRight w:val="0"/>
      <w:marTop w:val="0"/>
      <w:marBottom w:val="0"/>
      <w:divBdr>
        <w:top w:val="none" w:sz="0" w:space="0" w:color="auto"/>
        <w:left w:val="none" w:sz="0" w:space="0" w:color="auto"/>
        <w:bottom w:val="none" w:sz="0" w:space="0" w:color="auto"/>
        <w:right w:val="none" w:sz="0" w:space="0" w:color="auto"/>
      </w:divBdr>
    </w:div>
    <w:div w:id="1845968863">
      <w:bodyDiv w:val="1"/>
      <w:marLeft w:val="0"/>
      <w:marRight w:val="0"/>
      <w:marTop w:val="0"/>
      <w:marBottom w:val="0"/>
      <w:divBdr>
        <w:top w:val="none" w:sz="0" w:space="0" w:color="auto"/>
        <w:left w:val="none" w:sz="0" w:space="0" w:color="auto"/>
        <w:bottom w:val="none" w:sz="0" w:space="0" w:color="auto"/>
        <w:right w:val="none" w:sz="0" w:space="0" w:color="auto"/>
      </w:divBdr>
    </w:div>
    <w:div w:id="1849707325">
      <w:bodyDiv w:val="1"/>
      <w:marLeft w:val="0"/>
      <w:marRight w:val="0"/>
      <w:marTop w:val="0"/>
      <w:marBottom w:val="0"/>
      <w:divBdr>
        <w:top w:val="none" w:sz="0" w:space="0" w:color="auto"/>
        <w:left w:val="none" w:sz="0" w:space="0" w:color="auto"/>
        <w:bottom w:val="none" w:sz="0" w:space="0" w:color="auto"/>
        <w:right w:val="none" w:sz="0" w:space="0" w:color="auto"/>
      </w:divBdr>
    </w:div>
    <w:div w:id="1852722866">
      <w:bodyDiv w:val="1"/>
      <w:marLeft w:val="0"/>
      <w:marRight w:val="0"/>
      <w:marTop w:val="0"/>
      <w:marBottom w:val="0"/>
      <w:divBdr>
        <w:top w:val="none" w:sz="0" w:space="0" w:color="auto"/>
        <w:left w:val="none" w:sz="0" w:space="0" w:color="auto"/>
        <w:bottom w:val="none" w:sz="0" w:space="0" w:color="auto"/>
        <w:right w:val="none" w:sz="0" w:space="0" w:color="auto"/>
      </w:divBdr>
    </w:div>
    <w:div w:id="1852985690">
      <w:bodyDiv w:val="1"/>
      <w:marLeft w:val="0"/>
      <w:marRight w:val="0"/>
      <w:marTop w:val="0"/>
      <w:marBottom w:val="0"/>
      <w:divBdr>
        <w:top w:val="none" w:sz="0" w:space="0" w:color="auto"/>
        <w:left w:val="none" w:sz="0" w:space="0" w:color="auto"/>
        <w:bottom w:val="none" w:sz="0" w:space="0" w:color="auto"/>
        <w:right w:val="none" w:sz="0" w:space="0" w:color="auto"/>
      </w:divBdr>
    </w:div>
    <w:div w:id="1853641315">
      <w:bodyDiv w:val="1"/>
      <w:marLeft w:val="0"/>
      <w:marRight w:val="0"/>
      <w:marTop w:val="0"/>
      <w:marBottom w:val="0"/>
      <w:divBdr>
        <w:top w:val="none" w:sz="0" w:space="0" w:color="auto"/>
        <w:left w:val="none" w:sz="0" w:space="0" w:color="auto"/>
        <w:bottom w:val="none" w:sz="0" w:space="0" w:color="auto"/>
        <w:right w:val="none" w:sz="0" w:space="0" w:color="auto"/>
      </w:divBdr>
    </w:div>
    <w:div w:id="1854421244">
      <w:bodyDiv w:val="1"/>
      <w:marLeft w:val="0"/>
      <w:marRight w:val="0"/>
      <w:marTop w:val="0"/>
      <w:marBottom w:val="0"/>
      <w:divBdr>
        <w:top w:val="none" w:sz="0" w:space="0" w:color="auto"/>
        <w:left w:val="none" w:sz="0" w:space="0" w:color="auto"/>
        <w:bottom w:val="none" w:sz="0" w:space="0" w:color="auto"/>
        <w:right w:val="none" w:sz="0" w:space="0" w:color="auto"/>
      </w:divBdr>
    </w:div>
    <w:div w:id="1854489562">
      <w:bodyDiv w:val="1"/>
      <w:marLeft w:val="0"/>
      <w:marRight w:val="0"/>
      <w:marTop w:val="0"/>
      <w:marBottom w:val="0"/>
      <w:divBdr>
        <w:top w:val="none" w:sz="0" w:space="0" w:color="auto"/>
        <w:left w:val="none" w:sz="0" w:space="0" w:color="auto"/>
        <w:bottom w:val="none" w:sz="0" w:space="0" w:color="auto"/>
        <w:right w:val="none" w:sz="0" w:space="0" w:color="auto"/>
      </w:divBdr>
    </w:div>
    <w:div w:id="1854758406">
      <w:bodyDiv w:val="1"/>
      <w:marLeft w:val="0"/>
      <w:marRight w:val="0"/>
      <w:marTop w:val="0"/>
      <w:marBottom w:val="0"/>
      <w:divBdr>
        <w:top w:val="none" w:sz="0" w:space="0" w:color="auto"/>
        <w:left w:val="none" w:sz="0" w:space="0" w:color="auto"/>
        <w:bottom w:val="none" w:sz="0" w:space="0" w:color="auto"/>
        <w:right w:val="none" w:sz="0" w:space="0" w:color="auto"/>
      </w:divBdr>
    </w:div>
    <w:div w:id="1855260288">
      <w:bodyDiv w:val="1"/>
      <w:marLeft w:val="0"/>
      <w:marRight w:val="0"/>
      <w:marTop w:val="0"/>
      <w:marBottom w:val="0"/>
      <w:divBdr>
        <w:top w:val="none" w:sz="0" w:space="0" w:color="auto"/>
        <w:left w:val="none" w:sz="0" w:space="0" w:color="auto"/>
        <w:bottom w:val="none" w:sz="0" w:space="0" w:color="auto"/>
        <w:right w:val="none" w:sz="0" w:space="0" w:color="auto"/>
      </w:divBdr>
    </w:div>
    <w:div w:id="1856771524">
      <w:bodyDiv w:val="1"/>
      <w:marLeft w:val="0"/>
      <w:marRight w:val="0"/>
      <w:marTop w:val="0"/>
      <w:marBottom w:val="0"/>
      <w:divBdr>
        <w:top w:val="none" w:sz="0" w:space="0" w:color="auto"/>
        <w:left w:val="none" w:sz="0" w:space="0" w:color="auto"/>
        <w:bottom w:val="none" w:sz="0" w:space="0" w:color="auto"/>
        <w:right w:val="none" w:sz="0" w:space="0" w:color="auto"/>
      </w:divBdr>
    </w:div>
    <w:div w:id="1857691507">
      <w:bodyDiv w:val="1"/>
      <w:marLeft w:val="0"/>
      <w:marRight w:val="0"/>
      <w:marTop w:val="0"/>
      <w:marBottom w:val="0"/>
      <w:divBdr>
        <w:top w:val="none" w:sz="0" w:space="0" w:color="auto"/>
        <w:left w:val="none" w:sz="0" w:space="0" w:color="auto"/>
        <w:bottom w:val="none" w:sz="0" w:space="0" w:color="auto"/>
        <w:right w:val="none" w:sz="0" w:space="0" w:color="auto"/>
      </w:divBdr>
    </w:div>
    <w:div w:id="1857964489">
      <w:bodyDiv w:val="1"/>
      <w:marLeft w:val="0"/>
      <w:marRight w:val="0"/>
      <w:marTop w:val="0"/>
      <w:marBottom w:val="0"/>
      <w:divBdr>
        <w:top w:val="none" w:sz="0" w:space="0" w:color="auto"/>
        <w:left w:val="none" w:sz="0" w:space="0" w:color="auto"/>
        <w:bottom w:val="none" w:sz="0" w:space="0" w:color="auto"/>
        <w:right w:val="none" w:sz="0" w:space="0" w:color="auto"/>
      </w:divBdr>
    </w:div>
    <w:div w:id="1859612248">
      <w:bodyDiv w:val="1"/>
      <w:marLeft w:val="0"/>
      <w:marRight w:val="0"/>
      <w:marTop w:val="0"/>
      <w:marBottom w:val="0"/>
      <w:divBdr>
        <w:top w:val="none" w:sz="0" w:space="0" w:color="auto"/>
        <w:left w:val="none" w:sz="0" w:space="0" w:color="auto"/>
        <w:bottom w:val="none" w:sz="0" w:space="0" w:color="auto"/>
        <w:right w:val="none" w:sz="0" w:space="0" w:color="auto"/>
      </w:divBdr>
    </w:div>
    <w:div w:id="1859613373">
      <w:bodyDiv w:val="1"/>
      <w:marLeft w:val="0"/>
      <w:marRight w:val="0"/>
      <w:marTop w:val="0"/>
      <w:marBottom w:val="0"/>
      <w:divBdr>
        <w:top w:val="none" w:sz="0" w:space="0" w:color="auto"/>
        <w:left w:val="none" w:sz="0" w:space="0" w:color="auto"/>
        <w:bottom w:val="none" w:sz="0" w:space="0" w:color="auto"/>
        <w:right w:val="none" w:sz="0" w:space="0" w:color="auto"/>
      </w:divBdr>
    </w:div>
    <w:div w:id="1860924896">
      <w:bodyDiv w:val="1"/>
      <w:marLeft w:val="0"/>
      <w:marRight w:val="0"/>
      <w:marTop w:val="0"/>
      <w:marBottom w:val="0"/>
      <w:divBdr>
        <w:top w:val="none" w:sz="0" w:space="0" w:color="auto"/>
        <w:left w:val="none" w:sz="0" w:space="0" w:color="auto"/>
        <w:bottom w:val="none" w:sz="0" w:space="0" w:color="auto"/>
        <w:right w:val="none" w:sz="0" w:space="0" w:color="auto"/>
      </w:divBdr>
    </w:div>
    <w:div w:id="1861235390">
      <w:bodyDiv w:val="1"/>
      <w:marLeft w:val="0"/>
      <w:marRight w:val="0"/>
      <w:marTop w:val="0"/>
      <w:marBottom w:val="0"/>
      <w:divBdr>
        <w:top w:val="none" w:sz="0" w:space="0" w:color="auto"/>
        <w:left w:val="none" w:sz="0" w:space="0" w:color="auto"/>
        <w:bottom w:val="none" w:sz="0" w:space="0" w:color="auto"/>
        <w:right w:val="none" w:sz="0" w:space="0" w:color="auto"/>
      </w:divBdr>
    </w:div>
    <w:div w:id="1866745069">
      <w:bodyDiv w:val="1"/>
      <w:marLeft w:val="0"/>
      <w:marRight w:val="0"/>
      <w:marTop w:val="0"/>
      <w:marBottom w:val="0"/>
      <w:divBdr>
        <w:top w:val="none" w:sz="0" w:space="0" w:color="auto"/>
        <w:left w:val="none" w:sz="0" w:space="0" w:color="auto"/>
        <w:bottom w:val="none" w:sz="0" w:space="0" w:color="auto"/>
        <w:right w:val="none" w:sz="0" w:space="0" w:color="auto"/>
      </w:divBdr>
    </w:div>
    <w:div w:id="1868518883">
      <w:bodyDiv w:val="1"/>
      <w:marLeft w:val="0"/>
      <w:marRight w:val="0"/>
      <w:marTop w:val="0"/>
      <w:marBottom w:val="0"/>
      <w:divBdr>
        <w:top w:val="none" w:sz="0" w:space="0" w:color="auto"/>
        <w:left w:val="none" w:sz="0" w:space="0" w:color="auto"/>
        <w:bottom w:val="none" w:sz="0" w:space="0" w:color="auto"/>
        <w:right w:val="none" w:sz="0" w:space="0" w:color="auto"/>
      </w:divBdr>
    </w:div>
    <w:div w:id="1868523208">
      <w:bodyDiv w:val="1"/>
      <w:marLeft w:val="0"/>
      <w:marRight w:val="0"/>
      <w:marTop w:val="0"/>
      <w:marBottom w:val="0"/>
      <w:divBdr>
        <w:top w:val="none" w:sz="0" w:space="0" w:color="auto"/>
        <w:left w:val="none" w:sz="0" w:space="0" w:color="auto"/>
        <w:bottom w:val="none" w:sz="0" w:space="0" w:color="auto"/>
        <w:right w:val="none" w:sz="0" w:space="0" w:color="auto"/>
      </w:divBdr>
    </w:div>
    <w:div w:id="1868717006">
      <w:bodyDiv w:val="1"/>
      <w:marLeft w:val="0"/>
      <w:marRight w:val="0"/>
      <w:marTop w:val="0"/>
      <w:marBottom w:val="0"/>
      <w:divBdr>
        <w:top w:val="none" w:sz="0" w:space="0" w:color="auto"/>
        <w:left w:val="none" w:sz="0" w:space="0" w:color="auto"/>
        <w:bottom w:val="none" w:sz="0" w:space="0" w:color="auto"/>
        <w:right w:val="none" w:sz="0" w:space="0" w:color="auto"/>
      </w:divBdr>
    </w:div>
    <w:div w:id="1868829881">
      <w:bodyDiv w:val="1"/>
      <w:marLeft w:val="0"/>
      <w:marRight w:val="0"/>
      <w:marTop w:val="0"/>
      <w:marBottom w:val="0"/>
      <w:divBdr>
        <w:top w:val="none" w:sz="0" w:space="0" w:color="auto"/>
        <w:left w:val="none" w:sz="0" w:space="0" w:color="auto"/>
        <w:bottom w:val="none" w:sz="0" w:space="0" w:color="auto"/>
        <w:right w:val="none" w:sz="0" w:space="0" w:color="auto"/>
      </w:divBdr>
    </w:div>
    <w:div w:id="1870988140">
      <w:bodyDiv w:val="1"/>
      <w:marLeft w:val="0"/>
      <w:marRight w:val="0"/>
      <w:marTop w:val="0"/>
      <w:marBottom w:val="0"/>
      <w:divBdr>
        <w:top w:val="none" w:sz="0" w:space="0" w:color="auto"/>
        <w:left w:val="none" w:sz="0" w:space="0" w:color="auto"/>
        <w:bottom w:val="none" w:sz="0" w:space="0" w:color="auto"/>
        <w:right w:val="none" w:sz="0" w:space="0" w:color="auto"/>
      </w:divBdr>
    </w:div>
    <w:div w:id="1873028125">
      <w:bodyDiv w:val="1"/>
      <w:marLeft w:val="0"/>
      <w:marRight w:val="0"/>
      <w:marTop w:val="0"/>
      <w:marBottom w:val="0"/>
      <w:divBdr>
        <w:top w:val="none" w:sz="0" w:space="0" w:color="auto"/>
        <w:left w:val="none" w:sz="0" w:space="0" w:color="auto"/>
        <w:bottom w:val="none" w:sz="0" w:space="0" w:color="auto"/>
        <w:right w:val="none" w:sz="0" w:space="0" w:color="auto"/>
      </w:divBdr>
    </w:div>
    <w:div w:id="1873226870">
      <w:bodyDiv w:val="1"/>
      <w:marLeft w:val="0"/>
      <w:marRight w:val="0"/>
      <w:marTop w:val="0"/>
      <w:marBottom w:val="0"/>
      <w:divBdr>
        <w:top w:val="none" w:sz="0" w:space="0" w:color="auto"/>
        <w:left w:val="none" w:sz="0" w:space="0" w:color="auto"/>
        <w:bottom w:val="none" w:sz="0" w:space="0" w:color="auto"/>
        <w:right w:val="none" w:sz="0" w:space="0" w:color="auto"/>
      </w:divBdr>
    </w:div>
    <w:div w:id="1873615454">
      <w:bodyDiv w:val="1"/>
      <w:marLeft w:val="0"/>
      <w:marRight w:val="0"/>
      <w:marTop w:val="0"/>
      <w:marBottom w:val="0"/>
      <w:divBdr>
        <w:top w:val="none" w:sz="0" w:space="0" w:color="auto"/>
        <w:left w:val="none" w:sz="0" w:space="0" w:color="auto"/>
        <w:bottom w:val="none" w:sz="0" w:space="0" w:color="auto"/>
        <w:right w:val="none" w:sz="0" w:space="0" w:color="auto"/>
      </w:divBdr>
    </w:div>
    <w:div w:id="1874227252">
      <w:bodyDiv w:val="1"/>
      <w:marLeft w:val="0"/>
      <w:marRight w:val="0"/>
      <w:marTop w:val="0"/>
      <w:marBottom w:val="0"/>
      <w:divBdr>
        <w:top w:val="none" w:sz="0" w:space="0" w:color="auto"/>
        <w:left w:val="none" w:sz="0" w:space="0" w:color="auto"/>
        <w:bottom w:val="none" w:sz="0" w:space="0" w:color="auto"/>
        <w:right w:val="none" w:sz="0" w:space="0" w:color="auto"/>
      </w:divBdr>
    </w:div>
    <w:div w:id="1876120052">
      <w:bodyDiv w:val="1"/>
      <w:marLeft w:val="0"/>
      <w:marRight w:val="0"/>
      <w:marTop w:val="0"/>
      <w:marBottom w:val="0"/>
      <w:divBdr>
        <w:top w:val="none" w:sz="0" w:space="0" w:color="auto"/>
        <w:left w:val="none" w:sz="0" w:space="0" w:color="auto"/>
        <w:bottom w:val="none" w:sz="0" w:space="0" w:color="auto"/>
        <w:right w:val="none" w:sz="0" w:space="0" w:color="auto"/>
      </w:divBdr>
    </w:div>
    <w:div w:id="1876312177">
      <w:bodyDiv w:val="1"/>
      <w:marLeft w:val="0"/>
      <w:marRight w:val="0"/>
      <w:marTop w:val="0"/>
      <w:marBottom w:val="0"/>
      <w:divBdr>
        <w:top w:val="none" w:sz="0" w:space="0" w:color="auto"/>
        <w:left w:val="none" w:sz="0" w:space="0" w:color="auto"/>
        <w:bottom w:val="none" w:sz="0" w:space="0" w:color="auto"/>
        <w:right w:val="none" w:sz="0" w:space="0" w:color="auto"/>
      </w:divBdr>
    </w:div>
    <w:div w:id="1878007555">
      <w:bodyDiv w:val="1"/>
      <w:marLeft w:val="0"/>
      <w:marRight w:val="0"/>
      <w:marTop w:val="0"/>
      <w:marBottom w:val="0"/>
      <w:divBdr>
        <w:top w:val="none" w:sz="0" w:space="0" w:color="auto"/>
        <w:left w:val="none" w:sz="0" w:space="0" w:color="auto"/>
        <w:bottom w:val="none" w:sz="0" w:space="0" w:color="auto"/>
        <w:right w:val="none" w:sz="0" w:space="0" w:color="auto"/>
      </w:divBdr>
    </w:div>
    <w:div w:id="1878815613">
      <w:bodyDiv w:val="1"/>
      <w:marLeft w:val="0"/>
      <w:marRight w:val="0"/>
      <w:marTop w:val="0"/>
      <w:marBottom w:val="0"/>
      <w:divBdr>
        <w:top w:val="none" w:sz="0" w:space="0" w:color="auto"/>
        <w:left w:val="none" w:sz="0" w:space="0" w:color="auto"/>
        <w:bottom w:val="none" w:sz="0" w:space="0" w:color="auto"/>
        <w:right w:val="none" w:sz="0" w:space="0" w:color="auto"/>
      </w:divBdr>
    </w:div>
    <w:div w:id="1881434442">
      <w:bodyDiv w:val="1"/>
      <w:marLeft w:val="0"/>
      <w:marRight w:val="0"/>
      <w:marTop w:val="0"/>
      <w:marBottom w:val="0"/>
      <w:divBdr>
        <w:top w:val="none" w:sz="0" w:space="0" w:color="auto"/>
        <w:left w:val="none" w:sz="0" w:space="0" w:color="auto"/>
        <w:bottom w:val="none" w:sz="0" w:space="0" w:color="auto"/>
        <w:right w:val="none" w:sz="0" w:space="0" w:color="auto"/>
      </w:divBdr>
    </w:div>
    <w:div w:id="1881630270">
      <w:bodyDiv w:val="1"/>
      <w:marLeft w:val="0"/>
      <w:marRight w:val="0"/>
      <w:marTop w:val="0"/>
      <w:marBottom w:val="0"/>
      <w:divBdr>
        <w:top w:val="none" w:sz="0" w:space="0" w:color="auto"/>
        <w:left w:val="none" w:sz="0" w:space="0" w:color="auto"/>
        <w:bottom w:val="none" w:sz="0" w:space="0" w:color="auto"/>
        <w:right w:val="none" w:sz="0" w:space="0" w:color="auto"/>
      </w:divBdr>
    </w:div>
    <w:div w:id="1882353696">
      <w:bodyDiv w:val="1"/>
      <w:marLeft w:val="0"/>
      <w:marRight w:val="0"/>
      <w:marTop w:val="0"/>
      <w:marBottom w:val="0"/>
      <w:divBdr>
        <w:top w:val="none" w:sz="0" w:space="0" w:color="auto"/>
        <w:left w:val="none" w:sz="0" w:space="0" w:color="auto"/>
        <w:bottom w:val="none" w:sz="0" w:space="0" w:color="auto"/>
        <w:right w:val="none" w:sz="0" w:space="0" w:color="auto"/>
      </w:divBdr>
    </w:div>
    <w:div w:id="1882859634">
      <w:bodyDiv w:val="1"/>
      <w:marLeft w:val="0"/>
      <w:marRight w:val="0"/>
      <w:marTop w:val="0"/>
      <w:marBottom w:val="0"/>
      <w:divBdr>
        <w:top w:val="none" w:sz="0" w:space="0" w:color="auto"/>
        <w:left w:val="none" w:sz="0" w:space="0" w:color="auto"/>
        <w:bottom w:val="none" w:sz="0" w:space="0" w:color="auto"/>
        <w:right w:val="none" w:sz="0" w:space="0" w:color="auto"/>
      </w:divBdr>
    </w:div>
    <w:div w:id="1883788673">
      <w:bodyDiv w:val="1"/>
      <w:marLeft w:val="0"/>
      <w:marRight w:val="0"/>
      <w:marTop w:val="0"/>
      <w:marBottom w:val="0"/>
      <w:divBdr>
        <w:top w:val="none" w:sz="0" w:space="0" w:color="auto"/>
        <w:left w:val="none" w:sz="0" w:space="0" w:color="auto"/>
        <w:bottom w:val="none" w:sz="0" w:space="0" w:color="auto"/>
        <w:right w:val="none" w:sz="0" w:space="0" w:color="auto"/>
      </w:divBdr>
    </w:div>
    <w:div w:id="1885216395">
      <w:bodyDiv w:val="1"/>
      <w:marLeft w:val="0"/>
      <w:marRight w:val="0"/>
      <w:marTop w:val="0"/>
      <w:marBottom w:val="0"/>
      <w:divBdr>
        <w:top w:val="none" w:sz="0" w:space="0" w:color="auto"/>
        <w:left w:val="none" w:sz="0" w:space="0" w:color="auto"/>
        <w:bottom w:val="none" w:sz="0" w:space="0" w:color="auto"/>
        <w:right w:val="none" w:sz="0" w:space="0" w:color="auto"/>
      </w:divBdr>
    </w:div>
    <w:div w:id="1886871390">
      <w:bodyDiv w:val="1"/>
      <w:marLeft w:val="0"/>
      <w:marRight w:val="0"/>
      <w:marTop w:val="0"/>
      <w:marBottom w:val="0"/>
      <w:divBdr>
        <w:top w:val="none" w:sz="0" w:space="0" w:color="auto"/>
        <w:left w:val="none" w:sz="0" w:space="0" w:color="auto"/>
        <w:bottom w:val="none" w:sz="0" w:space="0" w:color="auto"/>
        <w:right w:val="none" w:sz="0" w:space="0" w:color="auto"/>
      </w:divBdr>
    </w:div>
    <w:div w:id="1887792966">
      <w:bodyDiv w:val="1"/>
      <w:marLeft w:val="0"/>
      <w:marRight w:val="0"/>
      <w:marTop w:val="0"/>
      <w:marBottom w:val="0"/>
      <w:divBdr>
        <w:top w:val="none" w:sz="0" w:space="0" w:color="auto"/>
        <w:left w:val="none" w:sz="0" w:space="0" w:color="auto"/>
        <w:bottom w:val="none" w:sz="0" w:space="0" w:color="auto"/>
        <w:right w:val="none" w:sz="0" w:space="0" w:color="auto"/>
      </w:divBdr>
    </w:div>
    <w:div w:id="1888636825">
      <w:bodyDiv w:val="1"/>
      <w:marLeft w:val="0"/>
      <w:marRight w:val="0"/>
      <w:marTop w:val="0"/>
      <w:marBottom w:val="0"/>
      <w:divBdr>
        <w:top w:val="none" w:sz="0" w:space="0" w:color="auto"/>
        <w:left w:val="none" w:sz="0" w:space="0" w:color="auto"/>
        <w:bottom w:val="none" w:sz="0" w:space="0" w:color="auto"/>
        <w:right w:val="none" w:sz="0" w:space="0" w:color="auto"/>
      </w:divBdr>
    </w:div>
    <w:div w:id="1890336791">
      <w:bodyDiv w:val="1"/>
      <w:marLeft w:val="0"/>
      <w:marRight w:val="0"/>
      <w:marTop w:val="0"/>
      <w:marBottom w:val="0"/>
      <w:divBdr>
        <w:top w:val="none" w:sz="0" w:space="0" w:color="auto"/>
        <w:left w:val="none" w:sz="0" w:space="0" w:color="auto"/>
        <w:bottom w:val="none" w:sz="0" w:space="0" w:color="auto"/>
        <w:right w:val="none" w:sz="0" w:space="0" w:color="auto"/>
      </w:divBdr>
    </w:div>
    <w:div w:id="1890915892">
      <w:bodyDiv w:val="1"/>
      <w:marLeft w:val="0"/>
      <w:marRight w:val="0"/>
      <w:marTop w:val="0"/>
      <w:marBottom w:val="0"/>
      <w:divBdr>
        <w:top w:val="none" w:sz="0" w:space="0" w:color="auto"/>
        <w:left w:val="none" w:sz="0" w:space="0" w:color="auto"/>
        <w:bottom w:val="none" w:sz="0" w:space="0" w:color="auto"/>
        <w:right w:val="none" w:sz="0" w:space="0" w:color="auto"/>
      </w:divBdr>
    </w:div>
    <w:div w:id="1893467822">
      <w:bodyDiv w:val="1"/>
      <w:marLeft w:val="0"/>
      <w:marRight w:val="0"/>
      <w:marTop w:val="0"/>
      <w:marBottom w:val="0"/>
      <w:divBdr>
        <w:top w:val="none" w:sz="0" w:space="0" w:color="auto"/>
        <w:left w:val="none" w:sz="0" w:space="0" w:color="auto"/>
        <w:bottom w:val="none" w:sz="0" w:space="0" w:color="auto"/>
        <w:right w:val="none" w:sz="0" w:space="0" w:color="auto"/>
      </w:divBdr>
    </w:div>
    <w:div w:id="1894458554">
      <w:bodyDiv w:val="1"/>
      <w:marLeft w:val="0"/>
      <w:marRight w:val="0"/>
      <w:marTop w:val="0"/>
      <w:marBottom w:val="0"/>
      <w:divBdr>
        <w:top w:val="none" w:sz="0" w:space="0" w:color="auto"/>
        <w:left w:val="none" w:sz="0" w:space="0" w:color="auto"/>
        <w:bottom w:val="none" w:sz="0" w:space="0" w:color="auto"/>
        <w:right w:val="none" w:sz="0" w:space="0" w:color="auto"/>
      </w:divBdr>
    </w:div>
    <w:div w:id="1898662774">
      <w:bodyDiv w:val="1"/>
      <w:marLeft w:val="0"/>
      <w:marRight w:val="0"/>
      <w:marTop w:val="0"/>
      <w:marBottom w:val="0"/>
      <w:divBdr>
        <w:top w:val="none" w:sz="0" w:space="0" w:color="auto"/>
        <w:left w:val="none" w:sz="0" w:space="0" w:color="auto"/>
        <w:bottom w:val="none" w:sz="0" w:space="0" w:color="auto"/>
        <w:right w:val="none" w:sz="0" w:space="0" w:color="auto"/>
      </w:divBdr>
    </w:div>
    <w:div w:id="1899246001">
      <w:bodyDiv w:val="1"/>
      <w:marLeft w:val="0"/>
      <w:marRight w:val="0"/>
      <w:marTop w:val="0"/>
      <w:marBottom w:val="0"/>
      <w:divBdr>
        <w:top w:val="none" w:sz="0" w:space="0" w:color="auto"/>
        <w:left w:val="none" w:sz="0" w:space="0" w:color="auto"/>
        <w:bottom w:val="none" w:sz="0" w:space="0" w:color="auto"/>
        <w:right w:val="none" w:sz="0" w:space="0" w:color="auto"/>
      </w:divBdr>
    </w:div>
    <w:div w:id="1899508232">
      <w:bodyDiv w:val="1"/>
      <w:marLeft w:val="0"/>
      <w:marRight w:val="0"/>
      <w:marTop w:val="0"/>
      <w:marBottom w:val="0"/>
      <w:divBdr>
        <w:top w:val="none" w:sz="0" w:space="0" w:color="auto"/>
        <w:left w:val="none" w:sz="0" w:space="0" w:color="auto"/>
        <w:bottom w:val="none" w:sz="0" w:space="0" w:color="auto"/>
        <w:right w:val="none" w:sz="0" w:space="0" w:color="auto"/>
      </w:divBdr>
    </w:div>
    <w:div w:id="1901942244">
      <w:bodyDiv w:val="1"/>
      <w:marLeft w:val="0"/>
      <w:marRight w:val="0"/>
      <w:marTop w:val="0"/>
      <w:marBottom w:val="0"/>
      <w:divBdr>
        <w:top w:val="none" w:sz="0" w:space="0" w:color="auto"/>
        <w:left w:val="none" w:sz="0" w:space="0" w:color="auto"/>
        <w:bottom w:val="none" w:sz="0" w:space="0" w:color="auto"/>
        <w:right w:val="none" w:sz="0" w:space="0" w:color="auto"/>
      </w:divBdr>
    </w:div>
    <w:div w:id="1902132586">
      <w:bodyDiv w:val="1"/>
      <w:marLeft w:val="0"/>
      <w:marRight w:val="0"/>
      <w:marTop w:val="0"/>
      <w:marBottom w:val="0"/>
      <w:divBdr>
        <w:top w:val="none" w:sz="0" w:space="0" w:color="auto"/>
        <w:left w:val="none" w:sz="0" w:space="0" w:color="auto"/>
        <w:bottom w:val="none" w:sz="0" w:space="0" w:color="auto"/>
        <w:right w:val="none" w:sz="0" w:space="0" w:color="auto"/>
      </w:divBdr>
    </w:div>
    <w:div w:id="1903251778">
      <w:bodyDiv w:val="1"/>
      <w:marLeft w:val="0"/>
      <w:marRight w:val="0"/>
      <w:marTop w:val="0"/>
      <w:marBottom w:val="0"/>
      <w:divBdr>
        <w:top w:val="none" w:sz="0" w:space="0" w:color="auto"/>
        <w:left w:val="none" w:sz="0" w:space="0" w:color="auto"/>
        <w:bottom w:val="none" w:sz="0" w:space="0" w:color="auto"/>
        <w:right w:val="none" w:sz="0" w:space="0" w:color="auto"/>
      </w:divBdr>
    </w:div>
    <w:div w:id="1904246353">
      <w:bodyDiv w:val="1"/>
      <w:marLeft w:val="0"/>
      <w:marRight w:val="0"/>
      <w:marTop w:val="0"/>
      <w:marBottom w:val="0"/>
      <w:divBdr>
        <w:top w:val="none" w:sz="0" w:space="0" w:color="auto"/>
        <w:left w:val="none" w:sz="0" w:space="0" w:color="auto"/>
        <w:bottom w:val="none" w:sz="0" w:space="0" w:color="auto"/>
        <w:right w:val="none" w:sz="0" w:space="0" w:color="auto"/>
      </w:divBdr>
    </w:div>
    <w:div w:id="1905219971">
      <w:bodyDiv w:val="1"/>
      <w:marLeft w:val="0"/>
      <w:marRight w:val="0"/>
      <w:marTop w:val="0"/>
      <w:marBottom w:val="0"/>
      <w:divBdr>
        <w:top w:val="none" w:sz="0" w:space="0" w:color="auto"/>
        <w:left w:val="none" w:sz="0" w:space="0" w:color="auto"/>
        <w:bottom w:val="none" w:sz="0" w:space="0" w:color="auto"/>
        <w:right w:val="none" w:sz="0" w:space="0" w:color="auto"/>
      </w:divBdr>
    </w:div>
    <w:div w:id="1906795044">
      <w:bodyDiv w:val="1"/>
      <w:marLeft w:val="0"/>
      <w:marRight w:val="0"/>
      <w:marTop w:val="0"/>
      <w:marBottom w:val="0"/>
      <w:divBdr>
        <w:top w:val="none" w:sz="0" w:space="0" w:color="auto"/>
        <w:left w:val="none" w:sz="0" w:space="0" w:color="auto"/>
        <w:bottom w:val="none" w:sz="0" w:space="0" w:color="auto"/>
        <w:right w:val="none" w:sz="0" w:space="0" w:color="auto"/>
      </w:divBdr>
    </w:div>
    <w:div w:id="1906909493">
      <w:bodyDiv w:val="1"/>
      <w:marLeft w:val="0"/>
      <w:marRight w:val="0"/>
      <w:marTop w:val="0"/>
      <w:marBottom w:val="0"/>
      <w:divBdr>
        <w:top w:val="none" w:sz="0" w:space="0" w:color="auto"/>
        <w:left w:val="none" w:sz="0" w:space="0" w:color="auto"/>
        <w:bottom w:val="none" w:sz="0" w:space="0" w:color="auto"/>
        <w:right w:val="none" w:sz="0" w:space="0" w:color="auto"/>
      </w:divBdr>
    </w:div>
    <w:div w:id="1907060864">
      <w:bodyDiv w:val="1"/>
      <w:marLeft w:val="0"/>
      <w:marRight w:val="0"/>
      <w:marTop w:val="0"/>
      <w:marBottom w:val="0"/>
      <w:divBdr>
        <w:top w:val="none" w:sz="0" w:space="0" w:color="auto"/>
        <w:left w:val="none" w:sz="0" w:space="0" w:color="auto"/>
        <w:bottom w:val="none" w:sz="0" w:space="0" w:color="auto"/>
        <w:right w:val="none" w:sz="0" w:space="0" w:color="auto"/>
      </w:divBdr>
    </w:div>
    <w:div w:id="1907912343">
      <w:bodyDiv w:val="1"/>
      <w:marLeft w:val="0"/>
      <w:marRight w:val="0"/>
      <w:marTop w:val="0"/>
      <w:marBottom w:val="0"/>
      <w:divBdr>
        <w:top w:val="none" w:sz="0" w:space="0" w:color="auto"/>
        <w:left w:val="none" w:sz="0" w:space="0" w:color="auto"/>
        <w:bottom w:val="none" w:sz="0" w:space="0" w:color="auto"/>
        <w:right w:val="none" w:sz="0" w:space="0" w:color="auto"/>
      </w:divBdr>
    </w:div>
    <w:div w:id="1908495824">
      <w:bodyDiv w:val="1"/>
      <w:marLeft w:val="0"/>
      <w:marRight w:val="0"/>
      <w:marTop w:val="0"/>
      <w:marBottom w:val="0"/>
      <w:divBdr>
        <w:top w:val="none" w:sz="0" w:space="0" w:color="auto"/>
        <w:left w:val="none" w:sz="0" w:space="0" w:color="auto"/>
        <w:bottom w:val="none" w:sz="0" w:space="0" w:color="auto"/>
        <w:right w:val="none" w:sz="0" w:space="0" w:color="auto"/>
      </w:divBdr>
    </w:div>
    <w:div w:id="1908762447">
      <w:bodyDiv w:val="1"/>
      <w:marLeft w:val="0"/>
      <w:marRight w:val="0"/>
      <w:marTop w:val="0"/>
      <w:marBottom w:val="0"/>
      <w:divBdr>
        <w:top w:val="none" w:sz="0" w:space="0" w:color="auto"/>
        <w:left w:val="none" w:sz="0" w:space="0" w:color="auto"/>
        <w:bottom w:val="none" w:sz="0" w:space="0" w:color="auto"/>
        <w:right w:val="none" w:sz="0" w:space="0" w:color="auto"/>
      </w:divBdr>
    </w:div>
    <w:div w:id="1909805311">
      <w:bodyDiv w:val="1"/>
      <w:marLeft w:val="0"/>
      <w:marRight w:val="0"/>
      <w:marTop w:val="0"/>
      <w:marBottom w:val="0"/>
      <w:divBdr>
        <w:top w:val="none" w:sz="0" w:space="0" w:color="auto"/>
        <w:left w:val="none" w:sz="0" w:space="0" w:color="auto"/>
        <w:bottom w:val="none" w:sz="0" w:space="0" w:color="auto"/>
        <w:right w:val="none" w:sz="0" w:space="0" w:color="auto"/>
      </w:divBdr>
      <w:divsChild>
        <w:div w:id="1165433914">
          <w:marLeft w:val="0"/>
          <w:marRight w:val="0"/>
          <w:marTop w:val="0"/>
          <w:marBottom w:val="0"/>
          <w:divBdr>
            <w:top w:val="none" w:sz="0" w:space="0" w:color="auto"/>
            <w:left w:val="none" w:sz="0" w:space="0" w:color="auto"/>
            <w:bottom w:val="none" w:sz="0" w:space="0" w:color="auto"/>
            <w:right w:val="none" w:sz="0" w:space="0" w:color="auto"/>
          </w:divBdr>
        </w:div>
        <w:div w:id="1656227932">
          <w:marLeft w:val="0"/>
          <w:marRight w:val="0"/>
          <w:marTop w:val="0"/>
          <w:marBottom w:val="0"/>
          <w:divBdr>
            <w:top w:val="none" w:sz="0" w:space="0" w:color="auto"/>
            <w:left w:val="none" w:sz="0" w:space="0" w:color="auto"/>
            <w:bottom w:val="none" w:sz="0" w:space="0" w:color="auto"/>
            <w:right w:val="none" w:sz="0" w:space="0" w:color="auto"/>
          </w:divBdr>
        </w:div>
      </w:divsChild>
    </w:div>
    <w:div w:id="1910844065">
      <w:bodyDiv w:val="1"/>
      <w:marLeft w:val="0"/>
      <w:marRight w:val="0"/>
      <w:marTop w:val="0"/>
      <w:marBottom w:val="0"/>
      <w:divBdr>
        <w:top w:val="none" w:sz="0" w:space="0" w:color="auto"/>
        <w:left w:val="none" w:sz="0" w:space="0" w:color="auto"/>
        <w:bottom w:val="none" w:sz="0" w:space="0" w:color="auto"/>
        <w:right w:val="none" w:sz="0" w:space="0" w:color="auto"/>
      </w:divBdr>
    </w:div>
    <w:div w:id="1912352855">
      <w:bodyDiv w:val="1"/>
      <w:marLeft w:val="0"/>
      <w:marRight w:val="0"/>
      <w:marTop w:val="0"/>
      <w:marBottom w:val="0"/>
      <w:divBdr>
        <w:top w:val="none" w:sz="0" w:space="0" w:color="auto"/>
        <w:left w:val="none" w:sz="0" w:space="0" w:color="auto"/>
        <w:bottom w:val="none" w:sz="0" w:space="0" w:color="auto"/>
        <w:right w:val="none" w:sz="0" w:space="0" w:color="auto"/>
      </w:divBdr>
    </w:div>
    <w:div w:id="1913194385">
      <w:bodyDiv w:val="1"/>
      <w:marLeft w:val="0"/>
      <w:marRight w:val="0"/>
      <w:marTop w:val="0"/>
      <w:marBottom w:val="0"/>
      <w:divBdr>
        <w:top w:val="none" w:sz="0" w:space="0" w:color="auto"/>
        <w:left w:val="none" w:sz="0" w:space="0" w:color="auto"/>
        <w:bottom w:val="none" w:sz="0" w:space="0" w:color="auto"/>
        <w:right w:val="none" w:sz="0" w:space="0" w:color="auto"/>
      </w:divBdr>
    </w:div>
    <w:div w:id="1913930738">
      <w:bodyDiv w:val="1"/>
      <w:marLeft w:val="0"/>
      <w:marRight w:val="0"/>
      <w:marTop w:val="0"/>
      <w:marBottom w:val="0"/>
      <w:divBdr>
        <w:top w:val="none" w:sz="0" w:space="0" w:color="auto"/>
        <w:left w:val="none" w:sz="0" w:space="0" w:color="auto"/>
        <w:bottom w:val="none" w:sz="0" w:space="0" w:color="auto"/>
        <w:right w:val="none" w:sz="0" w:space="0" w:color="auto"/>
      </w:divBdr>
    </w:div>
    <w:div w:id="1914314015">
      <w:bodyDiv w:val="1"/>
      <w:marLeft w:val="0"/>
      <w:marRight w:val="0"/>
      <w:marTop w:val="0"/>
      <w:marBottom w:val="0"/>
      <w:divBdr>
        <w:top w:val="none" w:sz="0" w:space="0" w:color="auto"/>
        <w:left w:val="none" w:sz="0" w:space="0" w:color="auto"/>
        <w:bottom w:val="none" w:sz="0" w:space="0" w:color="auto"/>
        <w:right w:val="none" w:sz="0" w:space="0" w:color="auto"/>
      </w:divBdr>
    </w:div>
    <w:div w:id="1914774212">
      <w:bodyDiv w:val="1"/>
      <w:marLeft w:val="0"/>
      <w:marRight w:val="0"/>
      <w:marTop w:val="0"/>
      <w:marBottom w:val="0"/>
      <w:divBdr>
        <w:top w:val="none" w:sz="0" w:space="0" w:color="auto"/>
        <w:left w:val="none" w:sz="0" w:space="0" w:color="auto"/>
        <w:bottom w:val="none" w:sz="0" w:space="0" w:color="auto"/>
        <w:right w:val="none" w:sz="0" w:space="0" w:color="auto"/>
      </w:divBdr>
    </w:div>
    <w:div w:id="1914852178">
      <w:bodyDiv w:val="1"/>
      <w:marLeft w:val="0"/>
      <w:marRight w:val="0"/>
      <w:marTop w:val="0"/>
      <w:marBottom w:val="0"/>
      <w:divBdr>
        <w:top w:val="none" w:sz="0" w:space="0" w:color="auto"/>
        <w:left w:val="none" w:sz="0" w:space="0" w:color="auto"/>
        <w:bottom w:val="none" w:sz="0" w:space="0" w:color="auto"/>
        <w:right w:val="none" w:sz="0" w:space="0" w:color="auto"/>
      </w:divBdr>
    </w:div>
    <w:div w:id="1916431581">
      <w:bodyDiv w:val="1"/>
      <w:marLeft w:val="0"/>
      <w:marRight w:val="0"/>
      <w:marTop w:val="0"/>
      <w:marBottom w:val="0"/>
      <w:divBdr>
        <w:top w:val="none" w:sz="0" w:space="0" w:color="auto"/>
        <w:left w:val="none" w:sz="0" w:space="0" w:color="auto"/>
        <w:bottom w:val="none" w:sz="0" w:space="0" w:color="auto"/>
        <w:right w:val="none" w:sz="0" w:space="0" w:color="auto"/>
      </w:divBdr>
    </w:div>
    <w:div w:id="1918439678">
      <w:bodyDiv w:val="1"/>
      <w:marLeft w:val="0"/>
      <w:marRight w:val="0"/>
      <w:marTop w:val="0"/>
      <w:marBottom w:val="0"/>
      <w:divBdr>
        <w:top w:val="none" w:sz="0" w:space="0" w:color="auto"/>
        <w:left w:val="none" w:sz="0" w:space="0" w:color="auto"/>
        <w:bottom w:val="none" w:sz="0" w:space="0" w:color="auto"/>
        <w:right w:val="none" w:sz="0" w:space="0" w:color="auto"/>
      </w:divBdr>
    </w:div>
    <w:div w:id="1918972536">
      <w:bodyDiv w:val="1"/>
      <w:marLeft w:val="0"/>
      <w:marRight w:val="0"/>
      <w:marTop w:val="0"/>
      <w:marBottom w:val="0"/>
      <w:divBdr>
        <w:top w:val="none" w:sz="0" w:space="0" w:color="auto"/>
        <w:left w:val="none" w:sz="0" w:space="0" w:color="auto"/>
        <w:bottom w:val="none" w:sz="0" w:space="0" w:color="auto"/>
        <w:right w:val="none" w:sz="0" w:space="0" w:color="auto"/>
      </w:divBdr>
    </w:div>
    <w:div w:id="1919512081">
      <w:bodyDiv w:val="1"/>
      <w:marLeft w:val="0"/>
      <w:marRight w:val="0"/>
      <w:marTop w:val="0"/>
      <w:marBottom w:val="0"/>
      <w:divBdr>
        <w:top w:val="none" w:sz="0" w:space="0" w:color="auto"/>
        <w:left w:val="none" w:sz="0" w:space="0" w:color="auto"/>
        <w:bottom w:val="none" w:sz="0" w:space="0" w:color="auto"/>
        <w:right w:val="none" w:sz="0" w:space="0" w:color="auto"/>
      </w:divBdr>
    </w:div>
    <w:div w:id="1920945974">
      <w:bodyDiv w:val="1"/>
      <w:marLeft w:val="0"/>
      <w:marRight w:val="0"/>
      <w:marTop w:val="0"/>
      <w:marBottom w:val="0"/>
      <w:divBdr>
        <w:top w:val="none" w:sz="0" w:space="0" w:color="auto"/>
        <w:left w:val="none" w:sz="0" w:space="0" w:color="auto"/>
        <w:bottom w:val="none" w:sz="0" w:space="0" w:color="auto"/>
        <w:right w:val="none" w:sz="0" w:space="0" w:color="auto"/>
      </w:divBdr>
    </w:div>
    <w:div w:id="1921018220">
      <w:bodyDiv w:val="1"/>
      <w:marLeft w:val="0"/>
      <w:marRight w:val="0"/>
      <w:marTop w:val="0"/>
      <w:marBottom w:val="0"/>
      <w:divBdr>
        <w:top w:val="none" w:sz="0" w:space="0" w:color="auto"/>
        <w:left w:val="none" w:sz="0" w:space="0" w:color="auto"/>
        <w:bottom w:val="none" w:sz="0" w:space="0" w:color="auto"/>
        <w:right w:val="none" w:sz="0" w:space="0" w:color="auto"/>
      </w:divBdr>
    </w:div>
    <w:div w:id="1921131575">
      <w:bodyDiv w:val="1"/>
      <w:marLeft w:val="0"/>
      <w:marRight w:val="0"/>
      <w:marTop w:val="0"/>
      <w:marBottom w:val="0"/>
      <w:divBdr>
        <w:top w:val="none" w:sz="0" w:space="0" w:color="auto"/>
        <w:left w:val="none" w:sz="0" w:space="0" w:color="auto"/>
        <w:bottom w:val="none" w:sz="0" w:space="0" w:color="auto"/>
        <w:right w:val="none" w:sz="0" w:space="0" w:color="auto"/>
      </w:divBdr>
    </w:div>
    <w:div w:id="1921715906">
      <w:bodyDiv w:val="1"/>
      <w:marLeft w:val="0"/>
      <w:marRight w:val="0"/>
      <w:marTop w:val="0"/>
      <w:marBottom w:val="0"/>
      <w:divBdr>
        <w:top w:val="none" w:sz="0" w:space="0" w:color="auto"/>
        <w:left w:val="none" w:sz="0" w:space="0" w:color="auto"/>
        <w:bottom w:val="none" w:sz="0" w:space="0" w:color="auto"/>
        <w:right w:val="none" w:sz="0" w:space="0" w:color="auto"/>
      </w:divBdr>
    </w:div>
    <w:div w:id="1922255375">
      <w:bodyDiv w:val="1"/>
      <w:marLeft w:val="0"/>
      <w:marRight w:val="0"/>
      <w:marTop w:val="0"/>
      <w:marBottom w:val="0"/>
      <w:divBdr>
        <w:top w:val="none" w:sz="0" w:space="0" w:color="auto"/>
        <w:left w:val="none" w:sz="0" w:space="0" w:color="auto"/>
        <w:bottom w:val="none" w:sz="0" w:space="0" w:color="auto"/>
        <w:right w:val="none" w:sz="0" w:space="0" w:color="auto"/>
      </w:divBdr>
    </w:div>
    <w:div w:id="1922979868">
      <w:bodyDiv w:val="1"/>
      <w:marLeft w:val="0"/>
      <w:marRight w:val="0"/>
      <w:marTop w:val="0"/>
      <w:marBottom w:val="0"/>
      <w:divBdr>
        <w:top w:val="none" w:sz="0" w:space="0" w:color="auto"/>
        <w:left w:val="none" w:sz="0" w:space="0" w:color="auto"/>
        <w:bottom w:val="none" w:sz="0" w:space="0" w:color="auto"/>
        <w:right w:val="none" w:sz="0" w:space="0" w:color="auto"/>
      </w:divBdr>
    </w:div>
    <w:div w:id="1924023563">
      <w:bodyDiv w:val="1"/>
      <w:marLeft w:val="0"/>
      <w:marRight w:val="0"/>
      <w:marTop w:val="0"/>
      <w:marBottom w:val="0"/>
      <w:divBdr>
        <w:top w:val="none" w:sz="0" w:space="0" w:color="auto"/>
        <w:left w:val="none" w:sz="0" w:space="0" w:color="auto"/>
        <w:bottom w:val="none" w:sz="0" w:space="0" w:color="auto"/>
        <w:right w:val="none" w:sz="0" w:space="0" w:color="auto"/>
      </w:divBdr>
    </w:div>
    <w:div w:id="1924756381">
      <w:bodyDiv w:val="1"/>
      <w:marLeft w:val="0"/>
      <w:marRight w:val="0"/>
      <w:marTop w:val="0"/>
      <w:marBottom w:val="0"/>
      <w:divBdr>
        <w:top w:val="none" w:sz="0" w:space="0" w:color="auto"/>
        <w:left w:val="none" w:sz="0" w:space="0" w:color="auto"/>
        <w:bottom w:val="none" w:sz="0" w:space="0" w:color="auto"/>
        <w:right w:val="none" w:sz="0" w:space="0" w:color="auto"/>
      </w:divBdr>
    </w:div>
    <w:div w:id="1924802533">
      <w:bodyDiv w:val="1"/>
      <w:marLeft w:val="0"/>
      <w:marRight w:val="0"/>
      <w:marTop w:val="0"/>
      <w:marBottom w:val="0"/>
      <w:divBdr>
        <w:top w:val="none" w:sz="0" w:space="0" w:color="auto"/>
        <w:left w:val="none" w:sz="0" w:space="0" w:color="auto"/>
        <w:bottom w:val="none" w:sz="0" w:space="0" w:color="auto"/>
        <w:right w:val="none" w:sz="0" w:space="0" w:color="auto"/>
      </w:divBdr>
    </w:div>
    <w:div w:id="1926570517">
      <w:bodyDiv w:val="1"/>
      <w:marLeft w:val="0"/>
      <w:marRight w:val="0"/>
      <w:marTop w:val="0"/>
      <w:marBottom w:val="0"/>
      <w:divBdr>
        <w:top w:val="none" w:sz="0" w:space="0" w:color="auto"/>
        <w:left w:val="none" w:sz="0" w:space="0" w:color="auto"/>
        <w:bottom w:val="none" w:sz="0" w:space="0" w:color="auto"/>
        <w:right w:val="none" w:sz="0" w:space="0" w:color="auto"/>
      </w:divBdr>
    </w:div>
    <w:div w:id="1926835342">
      <w:bodyDiv w:val="1"/>
      <w:marLeft w:val="0"/>
      <w:marRight w:val="0"/>
      <w:marTop w:val="0"/>
      <w:marBottom w:val="0"/>
      <w:divBdr>
        <w:top w:val="none" w:sz="0" w:space="0" w:color="auto"/>
        <w:left w:val="none" w:sz="0" w:space="0" w:color="auto"/>
        <w:bottom w:val="none" w:sz="0" w:space="0" w:color="auto"/>
        <w:right w:val="none" w:sz="0" w:space="0" w:color="auto"/>
      </w:divBdr>
    </w:div>
    <w:div w:id="1927491679">
      <w:bodyDiv w:val="1"/>
      <w:marLeft w:val="0"/>
      <w:marRight w:val="0"/>
      <w:marTop w:val="0"/>
      <w:marBottom w:val="0"/>
      <w:divBdr>
        <w:top w:val="none" w:sz="0" w:space="0" w:color="auto"/>
        <w:left w:val="none" w:sz="0" w:space="0" w:color="auto"/>
        <w:bottom w:val="none" w:sz="0" w:space="0" w:color="auto"/>
        <w:right w:val="none" w:sz="0" w:space="0" w:color="auto"/>
      </w:divBdr>
    </w:div>
    <w:div w:id="1928224048">
      <w:bodyDiv w:val="1"/>
      <w:marLeft w:val="0"/>
      <w:marRight w:val="0"/>
      <w:marTop w:val="0"/>
      <w:marBottom w:val="0"/>
      <w:divBdr>
        <w:top w:val="none" w:sz="0" w:space="0" w:color="auto"/>
        <w:left w:val="none" w:sz="0" w:space="0" w:color="auto"/>
        <w:bottom w:val="none" w:sz="0" w:space="0" w:color="auto"/>
        <w:right w:val="none" w:sz="0" w:space="0" w:color="auto"/>
      </w:divBdr>
    </w:div>
    <w:div w:id="1929577487">
      <w:bodyDiv w:val="1"/>
      <w:marLeft w:val="0"/>
      <w:marRight w:val="0"/>
      <w:marTop w:val="0"/>
      <w:marBottom w:val="0"/>
      <w:divBdr>
        <w:top w:val="none" w:sz="0" w:space="0" w:color="auto"/>
        <w:left w:val="none" w:sz="0" w:space="0" w:color="auto"/>
        <w:bottom w:val="none" w:sz="0" w:space="0" w:color="auto"/>
        <w:right w:val="none" w:sz="0" w:space="0" w:color="auto"/>
      </w:divBdr>
    </w:div>
    <w:div w:id="1930966817">
      <w:bodyDiv w:val="1"/>
      <w:marLeft w:val="0"/>
      <w:marRight w:val="0"/>
      <w:marTop w:val="0"/>
      <w:marBottom w:val="0"/>
      <w:divBdr>
        <w:top w:val="none" w:sz="0" w:space="0" w:color="auto"/>
        <w:left w:val="none" w:sz="0" w:space="0" w:color="auto"/>
        <w:bottom w:val="none" w:sz="0" w:space="0" w:color="auto"/>
        <w:right w:val="none" w:sz="0" w:space="0" w:color="auto"/>
      </w:divBdr>
    </w:div>
    <w:div w:id="1931040224">
      <w:bodyDiv w:val="1"/>
      <w:marLeft w:val="0"/>
      <w:marRight w:val="0"/>
      <w:marTop w:val="0"/>
      <w:marBottom w:val="0"/>
      <w:divBdr>
        <w:top w:val="none" w:sz="0" w:space="0" w:color="auto"/>
        <w:left w:val="none" w:sz="0" w:space="0" w:color="auto"/>
        <w:bottom w:val="none" w:sz="0" w:space="0" w:color="auto"/>
        <w:right w:val="none" w:sz="0" w:space="0" w:color="auto"/>
      </w:divBdr>
    </w:div>
    <w:div w:id="1931231306">
      <w:bodyDiv w:val="1"/>
      <w:marLeft w:val="0"/>
      <w:marRight w:val="0"/>
      <w:marTop w:val="0"/>
      <w:marBottom w:val="0"/>
      <w:divBdr>
        <w:top w:val="none" w:sz="0" w:space="0" w:color="auto"/>
        <w:left w:val="none" w:sz="0" w:space="0" w:color="auto"/>
        <w:bottom w:val="none" w:sz="0" w:space="0" w:color="auto"/>
        <w:right w:val="none" w:sz="0" w:space="0" w:color="auto"/>
      </w:divBdr>
    </w:div>
    <w:div w:id="1932742206">
      <w:bodyDiv w:val="1"/>
      <w:marLeft w:val="0"/>
      <w:marRight w:val="0"/>
      <w:marTop w:val="0"/>
      <w:marBottom w:val="0"/>
      <w:divBdr>
        <w:top w:val="none" w:sz="0" w:space="0" w:color="auto"/>
        <w:left w:val="none" w:sz="0" w:space="0" w:color="auto"/>
        <w:bottom w:val="none" w:sz="0" w:space="0" w:color="auto"/>
        <w:right w:val="none" w:sz="0" w:space="0" w:color="auto"/>
      </w:divBdr>
    </w:div>
    <w:div w:id="1933583239">
      <w:bodyDiv w:val="1"/>
      <w:marLeft w:val="0"/>
      <w:marRight w:val="0"/>
      <w:marTop w:val="0"/>
      <w:marBottom w:val="0"/>
      <w:divBdr>
        <w:top w:val="none" w:sz="0" w:space="0" w:color="auto"/>
        <w:left w:val="none" w:sz="0" w:space="0" w:color="auto"/>
        <w:bottom w:val="none" w:sz="0" w:space="0" w:color="auto"/>
        <w:right w:val="none" w:sz="0" w:space="0" w:color="auto"/>
      </w:divBdr>
    </w:div>
    <w:div w:id="1933588101">
      <w:bodyDiv w:val="1"/>
      <w:marLeft w:val="0"/>
      <w:marRight w:val="0"/>
      <w:marTop w:val="0"/>
      <w:marBottom w:val="0"/>
      <w:divBdr>
        <w:top w:val="none" w:sz="0" w:space="0" w:color="auto"/>
        <w:left w:val="none" w:sz="0" w:space="0" w:color="auto"/>
        <w:bottom w:val="none" w:sz="0" w:space="0" w:color="auto"/>
        <w:right w:val="none" w:sz="0" w:space="0" w:color="auto"/>
      </w:divBdr>
    </w:div>
    <w:div w:id="1934121038">
      <w:bodyDiv w:val="1"/>
      <w:marLeft w:val="0"/>
      <w:marRight w:val="0"/>
      <w:marTop w:val="0"/>
      <w:marBottom w:val="0"/>
      <w:divBdr>
        <w:top w:val="none" w:sz="0" w:space="0" w:color="auto"/>
        <w:left w:val="none" w:sz="0" w:space="0" w:color="auto"/>
        <w:bottom w:val="none" w:sz="0" w:space="0" w:color="auto"/>
        <w:right w:val="none" w:sz="0" w:space="0" w:color="auto"/>
      </w:divBdr>
    </w:div>
    <w:div w:id="1935548608">
      <w:bodyDiv w:val="1"/>
      <w:marLeft w:val="0"/>
      <w:marRight w:val="0"/>
      <w:marTop w:val="0"/>
      <w:marBottom w:val="0"/>
      <w:divBdr>
        <w:top w:val="none" w:sz="0" w:space="0" w:color="auto"/>
        <w:left w:val="none" w:sz="0" w:space="0" w:color="auto"/>
        <w:bottom w:val="none" w:sz="0" w:space="0" w:color="auto"/>
        <w:right w:val="none" w:sz="0" w:space="0" w:color="auto"/>
      </w:divBdr>
    </w:div>
    <w:div w:id="1936666745">
      <w:bodyDiv w:val="1"/>
      <w:marLeft w:val="0"/>
      <w:marRight w:val="0"/>
      <w:marTop w:val="0"/>
      <w:marBottom w:val="0"/>
      <w:divBdr>
        <w:top w:val="none" w:sz="0" w:space="0" w:color="auto"/>
        <w:left w:val="none" w:sz="0" w:space="0" w:color="auto"/>
        <w:bottom w:val="none" w:sz="0" w:space="0" w:color="auto"/>
        <w:right w:val="none" w:sz="0" w:space="0" w:color="auto"/>
      </w:divBdr>
    </w:div>
    <w:div w:id="1937245127">
      <w:bodyDiv w:val="1"/>
      <w:marLeft w:val="0"/>
      <w:marRight w:val="0"/>
      <w:marTop w:val="0"/>
      <w:marBottom w:val="0"/>
      <w:divBdr>
        <w:top w:val="none" w:sz="0" w:space="0" w:color="auto"/>
        <w:left w:val="none" w:sz="0" w:space="0" w:color="auto"/>
        <w:bottom w:val="none" w:sz="0" w:space="0" w:color="auto"/>
        <w:right w:val="none" w:sz="0" w:space="0" w:color="auto"/>
      </w:divBdr>
    </w:div>
    <w:div w:id="1940330410">
      <w:bodyDiv w:val="1"/>
      <w:marLeft w:val="0"/>
      <w:marRight w:val="0"/>
      <w:marTop w:val="0"/>
      <w:marBottom w:val="0"/>
      <w:divBdr>
        <w:top w:val="none" w:sz="0" w:space="0" w:color="auto"/>
        <w:left w:val="none" w:sz="0" w:space="0" w:color="auto"/>
        <w:bottom w:val="none" w:sz="0" w:space="0" w:color="auto"/>
        <w:right w:val="none" w:sz="0" w:space="0" w:color="auto"/>
      </w:divBdr>
    </w:div>
    <w:div w:id="1942446937">
      <w:bodyDiv w:val="1"/>
      <w:marLeft w:val="0"/>
      <w:marRight w:val="0"/>
      <w:marTop w:val="0"/>
      <w:marBottom w:val="0"/>
      <w:divBdr>
        <w:top w:val="none" w:sz="0" w:space="0" w:color="auto"/>
        <w:left w:val="none" w:sz="0" w:space="0" w:color="auto"/>
        <w:bottom w:val="none" w:sz="0" w:space="0" w:color="auto"/>
        <w:right w:val="none" w:sz="0" w:space="0" w:color="auto"/>
      </w:divBdr>
    </w:div>
    <w:div w:id="1942838187">
      <w:bodyDiv w:val="1"/>
      <w:marLeft w:val="0"/>
      <w:marRight w:val="0"/>
      <w:marTop w:val="0"/>
      <w:marBottom w:val="0"/>
      <w:divBdr>
        <w:top w:val="none" w:sz="0" w:space="0" w:color="auto"/>
        <w:left w:val="none" w:sz="0" w:space="0" w:color="auto"/>
        <w:bottom w:val="none" w:sz="0" w:space="0" w:color="auto"/>
        <w:right w:val="none" w:sz="0" w:space="0" w:color="auto"/>
      </w:divBdr>
    </w:div>
    <w:div w:id="1944146692">
      <w:bodyDiv w:val="1"/>
      <w:marLeft w:val="0"/>
      <w:marRight w:val="0"/>
      <w:marTop w:val="0"/>
      <w:marBottom w:val="0"/>
      <w:divBdr>
        <w:top w:val="none" w:sz="0" w:space="0" w:color="auto"/>
        <w:left w:val="none" w:sz="0" w:space="0" w:color="auto"/>
        <w:bottom w:val="none" w:sz="0" w:space="0" w:color="auto"/>
        <w:right w:val="none" w:sz="0" w:space="0" w:color="auto"/>
      </w:divBdr>
    </w:div>
    <w:div w:id="1945380094">
      <w:bodyDiv w:val="1"/>
      <w:marLeft w:val="0"/>
      <w:marRight w:val="0"/>
      <w:marTop w:val="0"/>
      <w:marBottom w:val="0"/>
      <w:divBdr>
        <w:top w:val="none" w:sz="0" w:space="0" w:color="auto"/>
        <w:left w:val="none" w:sz="0" w:space="0" w:color="auto"/>
        <w:bottom w:val="none" w:sz="0" w:space="0" w:color="auto"/>
        <w:right w:val="none" w:sz="0" w:space="0" w:color="auto"/>
      </w:divBdr>
    </w:div>
    <w:div w:id="1946494798">
      <w:bodyDiv w:val="1"/>
      <w:marLeft w:val="0"/>
      <w:marRight w:val="0"/>
      <w:marTop w:val="0"/>
      <w:marBottom w:val="0"/>
      <w:divBdr>
        <w:top w:val="none" w:sz="0" w:space="0" w:color="auto"/>
        <w:left w:val="none" w:sz="0" w:space="0" w:color="auto"/>
        <w:bottom w:val="none" w:sz="0" w:space="0" w:color="auto"/>
        <w:right w:val="none" w:sz="0" w:space="0" w:color="auto"/>
      </w:divBdr>
    </w:div>
    <w:div w:id="1946498047">
      <w:bodyDiv w:val="1"/>
      <w:marLeft w:val="0"/>
      <w:marRight w:val="0"/>
      <w:marTop w:val="0"/>
      <w:marBottom w:val="0"/>
      <w:divBdr>
        <w:top w:val="none" w:sz="0" w:space="0" w:color="auto"/>
        <w:left w:val="none" w:sz="0" w:space="0" w:color="auto"/>
        <w:bottom w:val="none" w:sz="0" w:space="0" w:color="auto"/>
        <w:right w:val="none" w:sz="0" w:space="0" w:color="auto"/>
      </w:divBdr>
    </w:div>
    <w:div w:id="1946498647">
      <w:bodyDiv w:val="1"/>
      <w:marLeft w:val="0"/>
      <w:marRight w:val="0"/>
      <w:marTop w:val="0"/>
      <w:marBottom w:val="0"/>
      <w:divBdr>
        <w:top w:val="none" w:sz="0" w:space="0" w:color="auto"/>
        <w:left w:val="none" w:sz="0" w:space="0" w:color="auto"/>
        <w:bottom w:val="none" w:sz="0" w:space="0" w:color="auto"/>
        <w:right w:val="none" w:sz="0" w:space="0" w:color="auto"/>
      </w:divBdr>
    </w:div>
    <w:div w:id="1946499170">
      <w:bodyDiv w:val="1"/>
      <w:marLeft w:val="0"/>
      <w:marRight w:val="0"/>
      <w:marTop w:val="0"/>
      <w:marBottom w:val="0"/>
      <w:divBdr>
        <w:top w:val="none" w:sz="0" w:space="0" w:color="auto"/>
        <w:left w:val="none" w:sz="0" w:space="0" w:color="auto"/>
        <w:bottom w:val="none" w:sz="0" w:space="0" w:color="auto"/>
        <w:right w:val="none" w:sz="0" w:space="0" w:color="auto"/>
      </w:divBdr>
    </w:div>
    <w:div w:id="1947536666">
      <w:bodyDiv w:val="1"/>
      <w:marLeft w:val="0"/>
      <w:marRight w:val="0"/>
      <w:marTop w:val="0"/>
      <w:marBottom w:val="0"/>
      <w:divBdr>
        <w:top w:val="none" w:sz="0" w:space="0" w:color="auto"/>
        <w:left w:val="none" w:sz="0" w:space="0" w:color="auto"/>
        <w:bottom w:val="none" w:sz="0" w:space="0" w:color="auto"/>
        <w:right w:val="none" w:sz="0" w:space="0" w:color="auto"/>
      </w:divBdr>
    </w:div>
    <w:div w:id="1949193619">
      <w:bodyDiv w:val="1"/>
      <w:marLeft w:val="0"/>
      <w:marRight w:val="0"/>
      <w:marTop w:val="0"/>
      <w:marBottom w:val="0"/>
      <w:divBdr>
        <w:top w:val="none" w:sz="0" w:space="0" w:color="auto"/>
        <w:left w:val="none" w:sz="0" w:space="0" w:color="auto"/>
        <w:bottom w:val="none" w:sz="0" w:space="0" w:color="auto"/>
        <w:right w:val="none" w:sz="0" w:space="0" w:color="auto"/>
      </w:divBdr>
    </w:div>
    <w:div w:id="1951037677">
      <w:bodyDiv w:val="1"/>
      <w:marLeft w:val="0"/>
      <w:marRight w:val="0"/>
      <w:marTop w:val="0"/>
      <w:marBottom w:val="0"/>
      <w:divBdr>
        <w:top w:val="none" w:sz="0" w:space="0" w:color="auto"/>
        <w:left w:val="none" w:sz="0" w:space="0" w:color="auto"/>
        <w:bottom w:val="none" w:sz="0" w:space="0" w:color="auto"/>
        <w:right w:val="none" w:sz="0" w:space="0" w:color="auto"/>
      </w:divBdr>
    </w:div>
    <w:div w:id="1952203495">
      <w:bodyDiv w:val="1"/>
      <w:marLeft w:val="0"/>
      <w:marRight w:val="0"/>
      <w:marTop w:val="0"/>
      <w:marBottom w:val="0"/>
      <w:divBdr>
        <w:top w:val="none" w:sz="0" w:space="0" w:color="auto"/>
        <w:left w:val="none" w:sz="0" w:space="0" w:color="auto"/>
        <w:bottom w:val="none" w:sz="0" w:space="0" w:color="auto"/>
        <w:right w:val="none" w:sz="0" w:space="0" w:color="auto"/>
      </w:divBdr>
    </w:div>
    <w:div w:id="1952737531">
      <w:bodyDiv w:val="1"/>
      <w:marLeft w:val="0"/>
      <w:marRight w:val="0"/>
      <w:marTop w:val="0"/>
      <w:marBottom w:val="0"/>
      <w:divBdr>
        <w:top w:val="none" w:sz="0" w:space="0" w:color="auto"/>
        <w:left w:val="none" w:sz="0" w:space="0" w:color="auto"/>
        <w:bottom w:val="none" w:sz="0" w:space="0" w:color="auto"/>
        <w:right w:val="none" w:sz="0" w:space="0" w:color="auto"/>
      </w:divBdr>
    </w:div>
    <w:div w:id="1953825244">
      <w:bodyDiv w:val="1"/>
      <w:marLeft w:val="0"/>
      <w:marRight w:val="0"/>
      <w:marTop w:val="0"/>
      <w:marBottom w:val="0"/>
      <w:divBdr>
        <w:top w:val="none" w:sz="0" w:space="0" w:color="auto"/>
        <w:left w:val="none" w:sz="0" w:space="0" w:color="auto"/>
        <w:bottom w:val="none" w:sz="0" w:space="0" w:color="auto"/>
        <w:right w:val="none" w:sz="0" w:space="0" w:color="auto"/>
      </w:divBdr>
    </w:div>
    <w:div w:id="1954821492">
      <w:bodyDiv w:val="1"/>
      <w:marLeft w:val="0"/>
      <w:marRight w:val="0"/>
      <w:marTop w:val="0"/>
      <w:marBottom w:val="0"/>
      <w:divBdr>
        <w:top w:val="none" w:sz="0" w:space="0" w:color="auto"/>
        <w:left w:val="none" w:sz="0" w:space="0" w:color="auto"/>
        <w:bottom w:val="none" w:sz="0" w:space="0" w:color="auto"/>
        <w:right w:val="none" w:sz="0" w:space="0" w:color="auto"/>
      </w:divBdr>
    </w:div>
    <w:div w:id="1955014342">
      <w:bodyDiv w:val="1"/>
      <w:marLeft w:val="0"/>
      <w:marRight w:val="0"/>
      <w:marTop w:val="0"/>
      <w:marBottom w:val="0"/>
      <w:divBdr>
        <w:top w:val="none" w:sz="0" w:space="0" w:color="auto"/>
        <w:left w:val="none" w:sz="0" w:space="0" w:color="auto"/>
        <w:bottom w:val="none" w:sz="0" w:space="0" w:color="auto"/>
        <w:right w:val="none" w:sz="0" w:space="0" w:color="auto"/>
      </w:divBdr>
    </w:div>
    <w:div w:id="1955794670">
      <w:bodyDiv w:val="1"/>
      <w:marLeft w:val="0"/>
      <w:marRight w:val="0"/>
      <w:marTop w:val="0"/>
      <w:marBottom w:val="0"/>
      <w:divBdr>
        <w:top w:val="none" w:sz="0" w:space="0" w:color="auto"/>
        <w:left w:val="none" w:sz="0" w:space="0" w:color="auto"/>
        <w:bottom w:val="none" w:sz="0" w:space="0" w:color="auto"/>
        <w:right w:val="none" w:sz="0" w:space="0" w:color="auto"/>
      </w:divBdr>
    </w:div>
    <w:div w:id="1956132171">
      <w:bodyDiv w:val="1"/>
      <w:marLeft w:val="0"/>
      <w:marRight w:val="0"/>
      <w:marTop w:val="0"/>
      <w:marBottom w:val="0"/>
      <w:divBdr>
        <w:top w:val="none" w:sz="0" w:space="0" w:color="auto"/>
        <w:left w:val="none" w:sz="0" w:space="0" w:color="auto"/>
        <w:bottom w:val="none" w:sz="0" w:space="0" w:color="auto"/>
        <w:right w:val="none" w:sz="0" w:space="0" w:color="auto"/>
      </w:divBdr>
    </w:div>
    <w:div w:id="1957328768">
      <w:bodyDiv w:val="1"/>
      <w:marLeft w:val="0"/>
      <w:marRight w:val="0"/>
      <w:marTop w:val="0"/>
      <w:marBottom w:val="0"/>
      <w:divBdr>
        <w:top w:val="none" w:sz="0" w:space="0" w:color="auto"/>
        <w:left w:val="none" w:sz="0" w:space="0" w:color="auto"/>
        <w:bottom w:val="none" w:sz="0" w:space="0" w:color="auto"/>
        <w:right w:val="none" w:sz="0" w:space="0" w:color="auto"/>
      </w:divBdr>
    </w:div>
    <w:div w:id="1957523798">
      <w:bodyDiv w:val="1"/>
      <w:marLeft w:val="0"/>
      <w:marRight w:val="0"/>
      <w:marTop w:val="0"/>
      <w:marBottom w:val="0"/>
      <w:divBdr>
        <w:top w:val="none" w:sz="0" w:space="0" w:color="auto"/>
        <w:left w:val="none" w:sz="0" w:space="0" w:color="auto"/>
        <w:bottom w:val="none" w:sz="0" w:space="0" w:color="auto"/>
        <w:right w:val="none" w:sz="0" w:space="0" w:color="auto"/>
      </w:divBdr>
    </w:div>
    <w:div w:id="1957981096">
      <w:bodyDiv w:val="1"/>
      <w:marLeft w:val="0"/>
      <w:marRight w:val="0"/>
      <w:marTop w:val="0"/>
      <w:marBottom w:val="0"/>
      <w:divBdr>
        <w:top w:val="none" w:sz="0" w:space="0" w:color="auto"/>
        <w:left w:val="none" w:sz="0" w:space="0" w:color="auto"/>
        <w:bottom w:val="none" w:sz="0" w:space="0" w:color="auto"/>
        <w:right w:val="none" w:sz="0" w:space="0" w:color="auto"/>
      </w:divBdr>
    </w:div>
    <w:div w:id="1961184302">
      <w:bodyDiv w:val="1"/>
      <w:marLeft w:val="0"/>
      <w:marRight w:val="0"/>
      <w:marTop w:val="0"/>
      <w:marBottom w:val="0"/>
      <w:divBdr>
        <w:top w:val="none" w:sz="0" w:space="0" w:color="auto"/>
        <w:left w:val="none" w:sz="0" w:space="0" w:color="auto"/>
        <w:bottom w:val="none" w:sz="0" w:space="0" w:color="auto"/>
        <w:right w:val="none" w:sz="0" w:space="0" w:color="auto"/>
      </w:divBdr>
    </w:div>
    <w:div w:id="1961717441">
      <w:bodyDiv w:val="1"/>
      <w:marLeft w:val="0"/>
      <w:marRight w:val="0"/>
      <w:marTop w:val="0"/>
      <w:marBottom w:val="0"/>
      <w:divBdr>
        <w:top w:val="none" w:sz="0" w:space="0" w:color="auto"/>
        <w:left w:val="none" w:sz="0" w:space="0" w:color="auto"/>
        <w:bottom w:val="none" w:sz="0" w:space="0" w:color="auto"/>
        <w:right w:val="none" w:sz="0" w:space="0" w:color="auto"/>
      </w:divBdr>
    </w:div>
    <w:div w:id="1963225173">
      <w:bodyDiv w:val="1"/>
      <w:marLeft w:val="0"/>
      <w:marRight w:val="0"/>
      <w:marTop w:val="0"/>
      <w:marBottom w:val="0"/>
      <w:divBdr>
        <w:top w:val="none" w:sz="0" w:space="0" w:color="auto"/>
        <w:left w:val="none" w:sz="0" w:space="0" w:color="auto"/>
        <w:bottom w:val="none" w:sz="0" w:space="0" w:color="auto"/>
        <w:right w:val="none" w:sz="0" w:space="0" w:color="auto"/>
      </w:divBdr>
    </w:div>
    <w:div w:id="1963346555">
      <w:bodyDiv w:val="1"/>
      <w:marLeft w:val="0"/>
      <w:marRight w:val="0"/>
      <w:marTop w:val="0"/>
      <w:marBottom w:val="0"/>
      <w:divBdr>
        <w:top w:val="none" w:sz="0" w:space="0" w:color="auto"/>
        <w:left w:val="none" w:sz="0" w:space="0" w:color="auto"/>
        <w:bottom w:val="none" w:sz="0" w:space="0" w:color="auto"/>
        <w:right w:val="none" w:sz="0" w:space="0" w:color="auto"/>
      </w:divBdr>
    </w:div>
    <w:div w:id="1963994473">
      <w:bodyDiv w:val="1"/>
      <w:marLeft w:val="0"/>
      <w:marRight w:val="0"/>
      <w:marTop w:val="0"/>
      <w:marBottom w:val="0"/>
      <w:divBdr>
        <w:top w:val="none" w:sz="0" w:space="0" w:color="auto"/>
        <w:left w:val="none" w:sz="0" w:space="0" w:color="auto"/>
        <w:bottom w:val="none" w:sz="0" w:space="0" w:color="auto"/>
        <w:right w:val="none" w:sz="0" w:space="0" w:color="auto"/>
      </w:divBdr>
    </w:div>
    <w:div w:id="1964118497">
      <w:bodyDiv w:val="1"/>
      <w:marLeft w:val="0"/>
      <w:marRight w:val="0"/>
      <w:marTop w:val="0"/>
      <w:marBottom w:val="0"/>
      <w:divBdr>
        <w:top w:val="none" w:sz="0" w:space="0" w:color="auto"/>
        <w:left w:val="none" w:sz="0" w:space="0" w:color="auto"/>
        <w:bottom w:val="none" w:sz="0" w:space="0" w:color="auto"/>
        <w:right w:val="none" w:sz="0" w:space="0" w:color="auto"/>
      </w:divBdr>
    </w:div>
    <w:div w:id="1965312266">
      <w:bodyDiv w:val="1"/>
      <w:marLeft w:val="0"/>
      <w:marRight w:val="0"/>
      <w:marTop w:val="0"/>
      <w:marBottom w:val="0"/>
      <w:divBdr>
        <w:top w:val="none" w:sz="0" w:space="0" w:color="auto"/>
        <w:left w:val="none" w:sz="0" w:space="0" w:color="auto"/>
        <w:bottom w:val="none" w:sz="0" w:space="0" w:color="auto"/>
        <w:right w:val="none" w:sz="0" w:space="0" w:color="auto"/>
      </w:divBdr>
    </w:div>
    <w:div w:id="1966082513">
      <w:bodyDiv w:val="1"/>
      <w:marLeft w:val="0"/>
      <w:marRight w:val="0"/>
      <w:marTop w:val="0"/>
      <w:marBottom w:val="0"/>
      <w:divBdr>
        <w:top w:val="none" w:sz="0" w:space="0" w:color="auto"/>
        <w:left w:val="none" w:sz="0" w:space="0" w:color="auto"/>
        <w:bottom w:val="none" w:sz="0" w:space="0" w:color="auto"/>
        <w:right w:val="none" w:sz="0" w:space="0" w:color="auto"/>
      </w:divBdr>
    </w:div>
    <w:div w:id="1966767134">
      <w:bodyDiv w:val="1"/>
      <w:marLeft w:val="0"/>
      <w:marRight w:val="0"/>
      <w:marTop w:val="0"/>
      <w:marBottom w:val="0"/>
      <w:divBdr>
        <w:top w:val="none" w:sz="0" w:space="0" w:color="auto"/>
        <w:left w:val="none" w:sz="0" w:space="0" w:color="auto"/>
        <w:bottom w:val="none" w:sz="0" w:space="0" w:color="auto"/>
        <w:right w:val="none" w:sz="0" w:space="0" w:color="auto"/>
      </w:divBdr>
    </w:div>
    <w:div w:id="1966815118">
      <w:bodyDiv w:val="1"/>
      <w:marLeft w:val="0"/>
      <w:marRight w:val="0"/>
      <w:marTop w:val="0"/>
      <w:marBottom w:val="0"/>
      <w:divBdr>
        <w:top w:val="none" w:sz="0" w:space="0" w:color="auto"/>
        <w:left w:val="none" w:sz="0" w:space="0" w:color="auto"/>
        <w:bottom w:val="none" w:sz="0" w:space="0" w:color="auto"/>
        <w:right w:val="none" w:sz="0" w:space="0" w:color="auto"/>
      </w:divBdr>
    </w:div>
    <w:div w:id="1972129888">
      <w:bodyDiv w:val="1"/>
      <w:marLeft w:val="0"/>
      <w:marRight w:val="0"/>
      <w:marTop w:val="0"/>
      <w:marBottom w:val="0"/>
      <w:divBdr>
        <w:top w:val="none" w:sz="0" w:space="0" w:color="auto"/>
        <w:left w:val="none" w:sz="0" w:space="0" w:color="auto"/>
        <w:bottom w:val="none" w:sz="0" w:space="0" w:color="auto"/>
        <w:right w:val="none" w:sz="0" w:space="0" w:color="auto"/>
      </w:divBdr>
    </w:div>
    <w:div w:id="1974091944">
      <w:bodyDiv w:val="1"/>
      <w:marLeft w:val="0"/>
      <w:marRight w:val="0"/>
      <w:marTop w:val="0"/>
      <w:marBottom w:val="0"/>
      <w:divBdr>
        <w:top w:val="none" w:sz="0" w:space="0" w:color="auto"/>
        <w:left w:val="none" w:sz="0" w:space="0" w:color="auto"/>
        <w:bottom w:val="none" w:sz="0" w:space="0" w:color="auto"/>
        <w:right w:val="none" w:sz="0" w:space="0" w:color="auto"/>
      </w:divBdr>
    </w:div>
    <w:div w:id="1974366133">
      <w:bodyDiv w:val="1"/>
      <w:marLeft w:val="0"/>
      <w:marRight w:val="0"/>
      <w:marTop w:val="0"/>
      <w:marBottom w:val="0"/>
      <w:divBdr>
        <w:top w:val="none" w:sz="0" w:space="0" w:color="auto"/>
        <w:left w:val="none" w:sz="0" w:space="0" w:color="auto"/>
        <w:bottom w:val="none" w:sz="0" w:space="0" w:color="auto"/>
        <w:right w:val="none" w:sz="0" w:space="0" w:color="auto"/>
      </w:divBdr>
    </w:div>
    <w:div w:id="1974864870">
      <w:bodyDiv w:val="1"/>
      <w:marLeft w:val="0"/>
      <w:marRight w:val="0"/>
      <w:marTop w:val="0"/>
      <w:marBottom w:val="0"/>
      <w:divBdr>
        <w:top w:val="none" w:sz="0" w:space="0" w:color="auto"/>
        <w:left w:val="none" w:sz="0" w:space="0" w:color="auto"/>
        <w:bottom w:val="none" w:sz="0" w:space="0" w:color="auto"/>
        <w:right w:val="none" w:sz="0" w:space="0" w:color="auto"/>
      </w:divBdr>
    </w:div>
    <w:div w:id="1975063346">
      <w:bodyDiv w:val="1"/>
      <w:marLeft w:val="0"/>
      <w:marRight w:val="0"/>
      <w:marTop w:val="0"/>
      <w:marBottom w:val="0"/>
      <w:divBdr>
        <w:top w:val="none" w:sz="0" w:space="0" w:color="auto"/>
        <w:left w:val="none" w:sz="0" w:space="0" w:color="auto"/>
        <w:bottom w:val="none" w:sz="0" w:space="0" w:color="auto"/>
        <w:right w:val="none" w:sz="0" w:space="0" w:color="auto"/>
      </w:divBdr>
    </w:div>
    <w:div w:id="1976056840">
      <w:bodyDiv w:val="1"/>
      <w:marLeft w:val="0"/>
      <w:marRight w:val="0"/>
      <w:marTop w:val="0"/>
      <w:marBottom w:val="0"/>
      <w:divBdr>
        <w:top w:val="none" w:sz="0" w:space="0" w:color="auto"/>
        <w:left w:val="none" w:sz="0" w:space="0" w:color="auto"/>
        <w:bottom w:val="none" w:sz="0" w:space="0" w:color="auto"/>
        <w:right w:val="none" w:sz="0" w:space="0" w:color="auto"/>
      </w:divBdr>
    </w:div>
    <w:div w:id="1976135152">
      <w:bodyDiv w:val="1"/>
      <w:marLeft w:val="0"/>
      <w:marRight w:val="0"/>
      <w:marTop w:val="0"/>
      <w:marBottom w:val="0"/>
      <w:divBdr>
        <w:top w:val="none" w:sz="0" w:space="0" w:color="auto"/>
        <w:left w:val="none" w:sz="0" w:space="0" w:color="auto"/>
        <w:bottom w:val="none" w:sz="0" w:space="0" w:color="auto"/>
        <w:right w:val="none" w:sz="0" w:space="0" w:color="auto"/>
      </w:divBdr>
    </w:div>
    <w:div w:id="1978099372">
      <w:bodyDiv w:val="1"/>
      <w:marLeft w:val="0"/>
      <w:marRight w:val="0"/>
      <w:marTop w:val="0"/>
      <w:marBottom w:val="0"/>
      <w:divBdr>
        <w:top w:val="none" w:sz="0" w:space="0" w:color="auto"/>
        <w:left w:val="none" w:sz="0" w:space="0" w:color="auto"/>
        <w:bottom w:val="none" w:sz="0" w:space="0" w:color="auto"/>
        <w:right w:val="none" w:sz="0" w:space="0" w:color="auto"/>
      </w:divBdr>
    </w:div>
    <w:div w:id="1979257816">
      <w:bodyDiv w:val="1"/>
      <w:marLeft w:val="0"/>
      <w:marRight w:val="0"/>
      <w:marTop w:val="0"/>
      <w:marBottom w:val="0"/>
      <w:divBdr>
        <w:top w:val="none" w:sz="0" w:space="0" w:color="auto"/>
        <w:left w:val="none" w:sz="0" w:space="0" w:color="auto"/>
        <w:bottom w:val="none" w:sz="0" w:space="0" w:color="auto"/>
        <w:right w:val="none" w:sz="0" w:space="0" w:color="auto"/>
      </w:divBdr>
    </w:div>
    <w:div w:id="1982299456">
      <w:bodyDiv w:val="1"/>
      <w:marLeft w:val="0"/>
      <w:marRight w:val="0"/>
      <w:marTop w:val="0"/>
      <w:marBottom w:val="0"/>
      <w:divBdr>
        <w:top w:val="none" w:sz="0" w:space="0" w:color="auto"/>
        <w:left w:val="none" w:sz="0" w:space="0" w:color="auto"/>
        <w:bottom w:val="none" w:sz="0" w:space="0" w:color="auto"/>
        <w:right w:val="none" w:sz="0" w:space="0" w:color="auto"/>
      </w:divBdr>
    </w:div>
    <w:div w:id="1987471860">
      <w:bodyDiv w:val="1"/>
      <w:marLeft w:val="0"/>
      <w:marRight w:val="0"/>
      <w:marTop w:val="0"/>
      <w:marBottom w:val="0"/>
      <w:divBdr>
        <w:top w:val="none" w:sz="0" w:space="0" w:color="auto"/>
        <w:left w:val="none" w:sz="0" w:space="0" w:color="auto"/>
        <w:bottom w:val="none" w:sz="0" w:space="0" w:color="auto"/>
        <w:right w:val="none" w:sz="0" w:space="0" w:color="auto"/>
      </w:divBdr>
    </w:div>
    <w:div w:id="1988779099">
      <w:bodyDiv w:val="1"/>
      <w:marLeft w:val="0"/>
      <w:marRight w:val="0"/>
      <w:marTop w:val="0"/>
      <w:marBottom w:val="0"/>
      <w:divBdr>
        <w:top w:val="none" w:sz="0" w:space="0" w:color="auto"/>
        <w:left w:val="none" w:sz="0" w:space="0" w:color="auto"/>
        <w:bottom w:val="none" w:sz="0" w:space="0" w:color="auto"/>
        <w:right w:val="none" w:sz="0" w:space="0" w:color="auto"/>
      </w:divBdr>
    </w:div>
    <w:div w:id="1988976212">
      <w:bodyDiv w:val="1"/>
      <w:marLeft w:val="0"/>
      <w:marRight w:val="0"/>
      <w:marTop w:val="0"/>
      <w:marBottom w:val="0"/>
      <w:divBdr>
        <w:top w:val="none" w:sz="0" w:space="0" w:color="auto"/>
        <w:left w:val="none" w:sz="0" w:space="0" w:color="auto"/>
        <w:bottom w:val="none" w:sz="0" w:space="0" w:color="auto"/>
        <w:right w:val="none" w:sz="0" w:space="0" w:color="auto"/>
      </w:divBdr>
    </w:div>
    <w:div w:id="1990017067">
      <w:bodyDiv w:val="1"/>
      <w:marLeft w:val="0"/>
      <w:marRight w:val="0"/>
      <w:marTop w:val="0"/>
      <w:marBottom w:val="0"/>
      <w:divBdr>
        <w:top w:val="none" w:sz="0" w:space="0" w:color="auto"/>
        <w:left w:val="none" w:sz="0" w:space="0" w:color="auto"/>
        <w:bottom w:val="none" w:sz="0" w:space="0" w:color="auto"/>
        <w:right w:val="none" w:sz="0" w:space="0" w:color="auto"/>
      </w:divBdr>
    </w:div>
    <w:div w:id="1990282962">
      <w:bodyDiv w:val="1"/>
      <w:marLeft w:val="0"/>
      <w:marRight w:val="0"/>
      <w:marTop w:val="0"/>
      <w:marBottom w:val="0"/>
      <w:divBdr>
        <w:top w:val="none" w:sz="0" w:space="0" w:color="auto"/>
        <w:left w:val="none" w:sz="0" w:space="0" w:color="auto"/>
        <w:bottom w:val="none" w:sz="0" w:space="0" w:color="auto"/>
        <w:right w:val="none" w:sz="0" w:space="0" w:color="auto"/>
      </w:divBdr>
    </w:div>
    <w:div w:id="1990471740">
      <w:bodyDiv w:val="1"/>
      <w:marLeft w:val="0"/>
      <w:marRight w:val="0"/>
      <w:marTop w:val="0"/>
      <w:marBottom w:val="0"/>
      <w:divBdr>
        <w:top w:val="none" w:sz="0" w:space="0" w:color="auto"/>
        <w:left w:val="none" w:sz="0" w:space="0" w:color="auto"/>
        <w:bottom w:val="none" w:sz="0" w:space="0" w:color="auto"/>
        <w:right w:val="none" w:sz="0" w:space="0" w:color="auto"/>
      </w:divBdr>
    </w:div>
    <w:div w:id="1991664596">
      <w:bodyDiv w:val="1"/>
      <w:marLeft w:val="0"/>
      <w:marRight w:val="0"/>
      <w:marTop w:val="0"/>
      <w:marBottom w:val="0"/>
      <w:divBdr>
        <w:top w:val="none" w:sz="0" w:space="0" w:color="auto"/>
        <w:left w:val="none" w:sz="0" w:space="0" w:color="auto"/>
        <w:bottom w:val="none" w:sz="0" w:space="0" w:color="auto"/>
        <w:right w:val="none" w:sz="0" w:space="0" w:color="auto"/>
      </w:divBdr>
    </w:div>
    <w:div w:id="1992520616">
      <w:bodyDiv w:val="1"/>
      <w:marLeft w:val="0"/>
      <w:marRight w:val="0"/>
      <w:marTop w:val="0"/>
      <w:marBottom w:val="0"/>
      <w:divBdr>
        <w:top w:val="none" w:sz="0" w:space="0" w:color="auto"/>
        <w:left w:val="none" w:sz="0" w:space="0" w:color="auto"/>
        <w:bottom w:val="none" w:sz="0" w:space="0" w:color="auto"/>
        <w:right w:val="none" w:sz="0" w:space="0" w:color="auto"/>
      </w:divBdr>
    </w:div>
    <w:div w:id="1992783971">
      <w:bodyDiv w:val="1"/>
      <w:marLeft w:val="0"/>
      <w:marRight w:val="0"/>
      <w:marTop w:val="0"/>
      <w:marBottom w:val="0"/>
      <w:divBdr>
        <w:top w:val="none" w:sz="0" w:space="0" w:color="auto"/>
        <w:left w:val="none" w:sz="0" w:space="0" w:color="auto"/>
        <w:bottom w:val="none" w:sz="0" w:space="0" w:color="auto"/>
        <w:right w:val="none" w:sz="0" w:space="0" w:color="auto"/>
      </w:divBdr>
    </w:div>
    <w:div w:id="2000184582">
      <w:bodyDiv w:val="1"/>
      <w:marLeft w:val="0"/>
      <w:marRight w:val="0"/>
      <w:marTop w:val="0"/>
      <w:marBottom w:val="0"/>
      <w:divBdr>
        <w:top w:val="none" w:sz="0" w:space="0" w:color="auto"/>
        <w:left w:val="none" w:sz="0" w:space="0" w:color="auto"/>
        <w:bottom w:val="none" w:sz="0" w:space="0" w:color="auto"/>
        <w:right w:val="none" w:sz="0" w:space="0" w:color="auto"/>
      </w:divBdr>
    </w:div>
    <w:div w:id="2004041303">
      <w:bodyDiv w:val="1"/>
      <w:marLeft w:val="0"/>
      <w:marRight w:val="0"/>
      <w:marTop w:val="0"/>
      <w:marBottom w:val="0"/>
      <w:divBdr>
        <w:top w:val="none" w:sz="0" w:space="0" w:color="auto"/>
        <w:left w:val="none" w:sz="0" w:space="0" w:color="auto"/>
        <w:bottom w:val="none" w:sz="0" w:space="0" w:color="auto"/>
        <w:right w:val="none" w:sz="0" w:space="0" w:color="auto"/>
      </w:divBdr>
    </w:div>
    <w:div w:id="2006274999">
      <w:bodyDiv w:val="1"/>
      <w:marLeft w:val="0"/>
      <w:marRight w:val="0"/>
      <w:marTop w:val="0"/>
      <w:marBottom w:val="0"/>
      <w:divBdr>
        <w:top w:val="none" w:sz="0" w:space="0" w:color="auto"/>
        <w:left w:val="none" w:sz="0" w:space="0" w:color="auto"/>
        <w:bottom w:val="none" w:sz="0" w:space="0" w:color="auto"/>
        <w:right w:val="none" w:sz="0" w:space="0" w:color="auto"/>
      </w:divBdr>
    </w:div>
    <w:div w:id="2006275298">
      <w:bodyDiv w:val="1"/>
      <w:marLeft w:val="0"/>
      <w:marRight w:val="0"/>
      <w:marTop w:val="0"/>
      <w:marBottom w:val="0"/>
      <w:divBdr>
        <w:top w:val="none" w:sz="0" w:space="0" w:color="auto"/>
        <w:left w:val="none" w:sz="0" w:space="0" w:color="auto"/>
        <w:bottom w:val="none" w:sz="0" w:space="0" w:color="auto"/>
        <w:right w:val="none" w:sz="0" w:space="0" w:color="auto"/>
      </w:divBdr>
    </w:div>
    <w:div w:id="2008705300">
      <w:bodyDiv w:val="1"/>
      <w:marLeft w:val="0"/>
      <w:marRight w:val="0"/>
      <w:marTop w:val="0"/>
      <w:marBottom w:val="0"/>
      <w:divBdr>
        <w:top w:val="none" w:sz="0" w:space="0" w:color="auto"/>
        <w:left w:val="none" w:sz="0" w:space="0" w:color="auto"/>
        <w:bottom w:val="none" w:sz="0" w:space="0" w:color="auto"/>
        <w:right w:val="none" w:sz="0" w:space="0" w:color="auto"/>
      </w:divBdr>
    </w:div>
    <w:div w:id="2009557163">
      <w:bodyDiv w:val="1"/>
      <w:marLeft w:val="0"/>
      <w:marRight w:val="0"/>
      <w:marTop w:val="0"/>
      <w:marBottom w:val="0"/>
      <w:divBdr>
        <w:top w:val="none" w:sz="0" w:space="0" w:color="auto"/>
        <w:left w:val="none" w:sz="0" w:space="0" w:color="auto"/>
        <w:bottom w:val="none" w:sz="0" w:space="0" w:color="auto"/>
        <w:right w:val="none" w:sz="0" w:space="0" w:color="auto"/>
      </w:divBdr>
    </w:div>
    <w:div w:id="2010210290">
      <w:bodyDiv w:val="1"/>
      <w:marLeft w:val="0"/>
      <w:marRight w:val="0"/>
      <w:marTop w:val="0"/>
      <w:marBottom w:val="0"/>
      <w:divBdr>
        <w:top w:val="none" w:sz="0" w:space="0" w:color="auto"/>
        <w:left w:val="none" w:sz="0" w:space="0" w:color="auto"/>
        <w:bottom w:val="none" w:sz="0" w:space="0" w:color="auto"/>
        <w:right w:val="none" w:sz="0" w:space="0" w:color="auto"/>
      </w:divBdr>
    </w:div>
    <w:div w:id="2010211385">
      <w:bodyDiv w:val="1"/>
      <w:marLeft w:val="0"/>
      <w:marRight w:val="0"/>
      <w:marTop w:val="0"/>
      <w:marBottom w:val="0"/>
      <w:divBdr>
        <w:top w:val="none" w:sz="0" w:space="0" w:color="auto"/>
        <w:left w:val="none" w:sz="0" w:space="0" w:color="auto"/>
        <w:bottom w:val="none" w:sz="0" w:space="0" w:color="auto"/>
        <w:right w:val="none" w:sz="0" w:space="0" w:color="auto"/>
      </w:divBdr>
    </w:div>
    <w:div w:id="2011061572">
      <w:bodyDiv w:val="1"/>
      <w:marLeft w:val="0"/>
      <w:marRight w:val="0"/>
      <w:marTop w:val="0"/>
      <w:marBottom w:val="0"/>
      <w:divBdr>
        <w:top w:val="none" w:sz="0" w:space="0" w:color="auto"/>
        <w:left w:val="none" w:sz="0" w:space="0" w:color="auto"/>
        <w:bottom w:val="none" w:sz="0" w:space="0" w:color="auto"/>
        <w:right w:val="none" w:sz="0" w:space="0" w:color="auto"/>
      </w:divBdr>
    </w:div>
    <w:div w:id="2013750731">
      <w:bodyDiv w:val="1"/>
      <w:marLeft w:val="0"/>
      <w:marRight w:val="0"/>
      <w:marTop w:val="0"/>
      <w:marBottom w:val="0"/>
      <w:divBdr>
        <w:top w:val="none" w:sz="0" w:space="0" w:color="auto"/>
        <w:left w:val="none" w:sz="0" w:space="0" w:color="auto"/>
        <w:bottom w:val="none" w:sz="0" w:space="0" w:color="auto"/>
        <w:right w:val="none" w:sz="0" w:space="0" w:color="auto"/>
      </w:divBdr>
    </w:div>
    <w:div w:id="2014841099">
      <w:bodyDiv w:val="1"/>
      <w:marLeft w:val="0"/>
      <w:marRight w:val="0"/>
      <w:marTop w:val="0"/>
      <w:marBottom w:val="0"/>
      <w:divBdr>
        <w:top w:val="none" w:sz="0" w:space="0" w:color="auto"/>
        <w:left w:val="none" w:sz="0" w:space="0" w:color="auto"/>
        <w:bottom w:val="none" w:sz="0" w:space="0" w:color="auto"/>
        <w:right w:val="none" w:sz="0" w:space="0" w:color="auto"/>
      </w:divBdr>
    </w:div>
    <w:div w:id="2015566711">
      <w:bodyDiv w:val="1"/>
      <w:marLeft w:val="0"/>
      <w:marRight w:val="0"/>
      <w:marTop w:val="0"/>
      <w:marBottom w:val="0"/>
      <w:divBdr>
        <w:top w:val="none" w:sz="0" w:space="0" w:color="auto"/>
        <w:left w:val="none" w:sz="0" w:space="0" w:color="auto"/>
        <w:bottom w:val="none" w:sz="0" w:space="0" w:color="auto"/>
        <w:right w:val="none" w:sz="0" w:space="0" w:color="auto"/>
      </w:divBdr>
    </w:div>
    <w:div w:id="2018731703">
      <w:bodyDiv w:val="1"/>
      <w:marLeft w:val="0"/>
      <w:marRight w:val="0"/>
      <w:marTop w:val="0"/>
      <w:marBottom w:val="0"/>
      <w:divBdr>
        <w:top w:val="none" w:sz="0" w:space="0" w:color="auto"/>
        <w:left w:val="none" w:sz="0" w:space="0" w:color="auto"/>
        <w:bottom w:val="none" w:sz="0" w:space="0" w:color="auto"/>
        <w:right w:val="none" w:sz="0" w:space="0" w:color="auto"/>
      </w:divBdr>
    </w:div>
    <w:div w:id="2019380154">
      <w:bodyDiv w:val="1"/>
      <w:marLeft w:val="0"/>
      <w:marRight w:val="0"/>
      <w:marTop w:val="0"/>
      <w:marBottom w:val="0"/>
      <w:divBdr>
        <w:top w:val="none" w:sz="0" w:space="0" w:color="auto"/>
        <w:left w:val="none" w:sz="0" w:space="0" w:color="auto"/>
        <w:bottom w:val="none" w:sz="0" w:space="0" w:color="auto"/>
        <w:right w:val="none" w:sz="0" w:space="0" w:color="auto"/>
      </w:divBdr>
    </w:div>
    <w:div w:id="2019427523">
      <w:bodyDiv w:val="1"/>
      <w:marLeft w:val="0"/>
      <w:marRight w:val="0"/>
      <w:marTop w:val="0"/>
      <w:marBottom w:val="0"/>
      <w:divBdr>
        <w:top w:val="none" w:sz="0" w:space="0" w:color="auto"/>
        <w:left w:val="none" w:sz="0" w:space="0" w:color="auto"/>
        <w:bottom w:val="none" w:sz="0" w:space="0" w:color="auto"/>
        <w:right w:val="none" w:sz="0" w:space="0" w:color="auto"/>
      </w:divBdr>
    </w:div>
    <w:div w:id="2019454295">
      <w:bodyDiv w:val="1"/>
      <w:marLeft w:val="0"/>
      <w:marRight w:val="0"/>
      <w:marTop w:val="0"/>
      <w:marBottom w:val="0"/>
      <w:divBdr>
        <w:top w:val="none" w:sz="0" w:space="0" w:color="auto"/>
        <w:left w:val="none" w:sz="0" w:space="0" w:color="auto"/>
        <w:bottom w:val="none" w:sz="0" w:space="0" w:color="auto"/>
        <w:right w:val="none" w:sz="0" w:space="0" w:color="auto"/>
      </w:divBdr>
    </w:div>
    <w:div w:id="2019917246">
      <w:bodyDiv w:val="1"/>
      <w:marLeft w:val="0"/>
      <w:marRight w:val="0"/>
      <w:marTop w:val="0"/>
      <w:marBottom w:val="0"/>
      <w:divBdr>
        <w:top w:val="none" w:sz="0" w:space="0" w:color="auto"/>
        <w:left w:val="none" w:sz="0" w:space="0" w:color="auto"/>
        <w:bottom w:val="none" w:sz="0" w:space="0" w:color="auto"/>
        <w:right w:val="none" w:sz="0" w:space="0" w:color="auto"/>
      </w:divBdr>
    </w:div>
    <w:div w:id="2020426801">
      <w:bodyDiv w:val="1"/>
      <w:marLeft w:val="0"/>
      <w:marRight w:val="0"/>
      <w:marTop w:val="0"/>
      <w:marBottom w:val="0"/>
      <w:divBdr>
        <w:top w:val="none" w:sz="0" w:space="0" w:color="auto"/>
        <w:left w:val="none" w:sz="0" w:space="0" w:color="auto"/>
        <w:bottom w:val="none" w:sz="0" w:space="0" w:color="auto"/>
        <w:right w:val="none" w:sz="0" w:space="0" w:color="auto"/>
      </w:divBdr>
    </w:div>
    <w:div w:id="2021544961">
      <w:bodyDiv w:val="1"/>
      <w:marLeft w:val="0"/>
      <w:marRight w:val="0"/>
      <w:marTop w:val="0"/>
      <w:marBottom w:val="0"/>
      <w:divBdr>
        <w:top w:val="none" w:sz="0" w:space="0" w:color="auto"/>
        <w:left w:val="none" w:sz="0" w:space="0" w:color="auto"/>
        <w:bottom w:val="none" w:sz="0" w:space="0" w:color="auto"/>
        <w:right w:val="none" w:sz="0" w:space="0" w:color="auto"/>
      </w:divBdr>
    </w:div>
    <w:div w:id="2023701397">
      <w:bodyDiv w:val="1"/>
      <w:marLeft w:val="0"/>
      <w:marRight w:val="0"/>
      <w:marTop w:val="0"/>
      <w:marBottom w:val="0"/>
      <w:divBdr>
        <w:top w:val="none" w:sz="0" w:space="0" w:color="auto"/>
        <w:left w:val="none" w:sz="0" w:space="0" w:color="auto"/>
        <w:bottom w:val="none" w:sz="0" w:space="0" w:color="auto"/>
        <w:right w:val="none" w:sz="0" w:space="0" w:color="auto"/>
      </w:divBdr>
    </w:div>
    <w:div w:id="2024939026">
      <w:bodyDiv w:val="1"/>
      <w:marLeft w:val="0"/>
      <w:marRight w:val="0"/>
      <w:marTop w:val="0"/>
      <w:marBottom w:val="0"/>
      <w:divBdr>
        <w:top w:val="none" w:sz="0" w:space="0" w:color="auto"/>
        <w:left w:val="none" w:sz="0" w:space="0" w:color="auto"/>
        <w:bottom w:val="none" w:sz="0" w:space="0" w:color="auto"/>
        <w:right w:val="none" w:sz="0" w:space="0" w:color="auto"/>
      </w:divBdr>
    </w:div>
    <w:div w:id="2025280154">
      <w:bodyDiv w:val="1"/>
      <w:marLeft w:val="0"/>
      <w:marRight w:val="0"/>
      <w:marTop w:val="0"/>
      <w:marBottom w:val="0"/>
      <w:divBdr>
        <w:top w:val="none" w:sz="0" w:space="0" w:color="auto"/>
        <w:left w:val="none" w:sz="0" w:space="0" w:color="auto"/>
        <w:bottom w:val="none" w:sz="0" w:space="0" w:color="auto"/>
        <w:right w:val="none" w:sz="0" w:space="0" w:color="auto"/>
      </w:divBdr>
    </w:div>
    <w:div w:id="2025470916">
      <w:bodyDiv w:val="1"/>
      <w:marLeft w:val="0"/>
      <w:marRight w:val="0"/>
      <w:marTop w:val="0"/>
      <w:marBottom w:val="0"/>
      <w:divBdr>
        <w:top w:val="none" w:sz="0" w:space="0" w:color="auto"/>
        <w:left w:val="none" w:sz="0" w:space="0" w:color="auto"/>
        <w:bottom w:val="none" w:sz="0" w:space="0" w:color="auto"/>
        <w:right w:val="none" w:sz="0" w:space="0" w:color="auto"/>
      </w:divBdr>
    </w:div>
    <w:div w:id="2029090834">
      <w:bodyDiv w:val="1"/>
      <w:marLeft w:val="0"/>
      <w:marRight w:val="0"/>
      <w:marTop w:val="0"/>
      <w:marBottom w:val="0"/>
      <w:divBdr>
        <w:top w:val="none" w:sz="0" w:space="0" w:color="auto"/>
        <w:left w:val="none" w:sz="0" w:space="0" w:color="auto"/>
        <w:bottom w:val="none" w:sz="0" w:space="0" w:color="auto"/>
        <w:right w:val="none" w:sz="0" w:space="0" w:color="auto"/>
      </w:divBdr>
    </w:div>
    <w:div w:id="2029679542">
      <w:bodyDiv w:val="1"/>
      <w:marLeft w:val="0"/>
      <w:marRight w:val="0"/>
      <w:marTop w:val="0"/>
      <w:marBottom w:val="0"/>
      <w:divBdr>
        <w:top w:val="none" w:sz="0" w:space="0" w:color="auto"/>
        <w:left w:val="none" w:sz="0" w:space="0" w:color="auto"/>
        <w:bottom w:val="none" w:sz="0" w:space="0" w:color="auto"/>
        <w:right w:val="none" w:sz="0" w:space="0" w:color="auto"/>
      </w:divBdr>
    </w:div>
    <w:div w:id="2031442740">
      <w:bodyDiv w:val="1"/>
      <w:marLeft w:val="0"/>
      <w:marRight w:val="0"/>
      <w:marTop w:val="0"/>
      <w:marBottom w:val="0"/>
      <w:divBdr>
        <w:top w:val="none" w:sz="0" w:space="0" w:color="auto"/>
        <w:left w:val="none" w:sz="0" w:space="0" w:color="auto"/>
        <w:bottom w:val="none" w:sz="0" w:space="0" w:color="auto"/>
        <w:right w:val="none" w:sz="0" w:space="0" w:color="auto"/>
      </w:divBdr>
    </w:div>
    <w:div w:id="2032947611">
      <w:bodyDiv w:val="1"/>
      <w:marLeft w:val="0"/>
      <w:marRight w:val="0"/>
      <w:marTop w:val="0"/>
      <w:marBottom w:val="0"/>
      <w:divBdr>
        <w:top w:val="none" w:sz="0" w:space="0" w:color="auto"/>
        <w:left w:val="none" w:sz="0" w:space="0" w:color="auto"/>
        <w:bottom w:val="none" w:sz="0" w:space="0" w:color="auto"/>
        <w:right w:val="none" w:sz="0" w:space="0" w:color="auto"/>
      </w:divBdr>
    </w:div>
    <w:div w:id="2033918330">
      <w:bodyDiv w:val="1"/>
      <w:marLeft w:val="0"/>
      <w:marRight w:val="0"/>
      <w:marTop w:val="0"/>
      <w:marBottom w:val="0"/>
      <w:divBdr>
        <w:top w:val="none" w:sz="0" w:space="0" w:color="auto"/>
        <w:left w:val="none" w:sz="0" w:space="0" w:color="auto"/>
        <w:bottom w:val="none" w:sz="0" w:space="0" w:color="auto"/>
        <w:right w:val="none" w:sz="0" w:space="0" w:color="auto"/>
      </w:divBdr>
    </w:div>
    <w:div w:id="2034264016">
      <w:bodyDiv w:val="1"/>
      <w:marLeft w:val="0"/>
      <w:marRight w:val="0"/>
      <w:marTop w:val="0"/>
      <w:marBottom w:val="0"/>
      <w:divBdr>
        <w:top w:val="none" w:sz="0" w:space="0" w:color="auto"/>
        <w:left w:val="none" w:sz="0" w:space="0" w:color="auto"/>
        <w:bottom w:val="none" w:sz="0" w:space="0" w:color="auto"/>
        <w:right w:val="none" w:sz="0" w:space="0" w:color="auto"/>
      </w:divBdr>
    </w:div>
    <w:div w:id="2035033028">
      <w:bodyDiv w:val="1"/>
      <w:marLeft w:val="0"/>
      <w:marRight w:val="0"/>
      <w:marTop w:val="0"/>
      <w:marBottom w:val="0"/>
      <w:divBdr>
        <w:top w:val="none" w:sz="0" w:space="0" w:color="auto"/>
        <w:left w:val="none" w:sz="0" w:space="0" w:color="auto"/>
        <w:bottom w:val="none" w:sz="0" w:space="0" w:color="auto"/>
        <w:right w:val="none" w:sz="0" w:space="0" w:color="auto"/>
      </w:divBdr>
    </w:div>
    <w:div w:id="2036686264">
      <w:bodyDiv w:val="1"/>
      <w:marLeft w:val="0"/>
      <w:marRight w:val="0"/>
      <w:marTop w:val="0"/>
      <w:marBottom w:val="0"/>
      <w:divBdr>
        <w:top w:val="none" w:sz="0" w:space="0" w:color="auto"/>
        <w:left w:val="none" w:sz="0" w:space="0" w:color="auto"/>
        <w:bottom w:val="none" w:sz="0" w:space="0" w:color="auto"/>
        <w:right w:val="none" w:sz="0" w:space="0" w:color="auto"/>
      </w:divBdr>
    </w:div>
    <w:div w:id="2038584180">
      <w:bodyDiv w:val="1"/>
      <w:marLeft w:val="0"/>
      <w:marRight w:val="0"/>
      <w:marTop w:val="0"/>
      <w:marBottom w:val="0"/>
      <w:divBdr>
        <w:top w:val="none" w:sz="0" w:space="0" w:color="auto"/>
        <w:left w:val="none" w:sz="0" w:space="0" w:color="auto"/>
        <w:bottom w:val="none" w:sz="0" w:space="0" w:color="auto"/>
        <w:right w:val="none" w:sz="0" w:space="0" w:color="auto"/>
      </w:divBdr>
    </w:div>
    <w:div w:id="2039040051">
      <w:bodyDiv w:val="1"/>
      <w:marLeft w:val="0"/>
      <w:marRight w:val="0"/>
      <w:marTop w:val="0"/>
      <w:marBottom w:val="0"/>
      <w:divBdr>
        <w:top w:val="none" w:sz="0" w:space="0" w:color="auto"/>
        <w:left w:val="none" w:sz="0" w:space="0" w:color="auto"/>
        <w:bottom w:val="none" w:sz="0" w:space="0" w:color="auto"/>
        <w:right w:val="none" w:sz="0" w:space="0" w:color="auto"/>
      </w:divBdr>
    </w:div>
    <w:div w:id="2039621664">
      <w:bodyDiv w:val="1"/>
      <w:marLeft w:val="0"/>
      <w:marRight w:val="0"/>
      <w:marTop w:val="0"/>
      <w:marBottom w:val="0"/>
      <w:divBdr>
        <w:top w:val="none" w:sz="0" w:space="0" w:color="auto"/>
        <w:left w:val="none" w:sz="0" w:space="0" w:color="auto"/>
        <w:bottom w:val="none" w:sz="0" w:space="0" w:color="auto"/>
        <w:right w:val="none" w:sz="0" w:space="0" w:color="auto"/>
      </w:divBdr>
    </w:div>
    <w:div w:id="2041709505">
      <w:bodyDiv w:val="1"/>
      <w:marLeft w:val="0"/>
      <w:marRight w:val="0"/>
      <w:marTop w:val="0"/>
      <w:marBottom w:val="0"/>
      <w:divBdr>
        <w:top w:val="none" w:sz="0" w:space="0" w:color="auto"/>
        <w:left w:val="none" w:sz="0" w:space="0" w:color="auto"/>
        <w:bottom w:val="none" w:sz="0" w:space="0" w:color="auto"/>
        <w:right w:val="none" w:sz="0" w:space="0" w:color="auto"/>
      </w:divBdr>
    </w:div>
    <w:div w:id="2041777681">
      <w:bodyDiv w:val="1"/>
      <w:marLeft w:val="0"/>
      <w:marRight w:val="0"/>
      <w:marTop w:val="0"/>
      <w:marBottom w:val="0"/>
      <w:divBdr>
        <w:top w:val="none" w:sz="0" w:space="0" w:color="auto"/>
        <w:left w:val="none" w:sz="0" w:space="0" w:color="auto"/>
        <w:bottom w:val="none" w:sz="0" w:space="0" w:color="auto"/>
        <w:right w:val="none" w:sz="0" w:space="0" w:color="auto"/>
      </w:divBdr>
    </w:div>
    <w:div w:id="2042703740">
      <w:bodyDiv w:val="1"/>
      <w:marLeft w:val="0"/>
      <w:marRight w:val="0"/>
      <w:marTop w:val="0"/>
      <w:marBottom w:val="0"/>
      <w:divBdr>
        <w:top w:val="none" w:sz="0" w:space="0" w:color="auto"/>
        <w:left w:val="none" w:sz="0" w:space="0" w:color="auto"/>
        <w:bottom w:val="none" w:sz="0" w:space="0" w:color="auto"/>
        <w:right w:val="none" w:sz="0" w:space="0" w:color="auto"/>
      </w:divBdr>
    </w:div>
    <w:div w:id="2043818966">
      <w:bodyDiv w:val="1"/>
      <w:marLeft w:val="0"/>
      <w:marRight w:val="0"/>
      <w:marTop w:val="0"/>
      <w:marBottom w:val="0"/>
      <w:divBdr>
        <w:top w:val="none" w:sz="0" w:space="0" w:color="auto"/>
        <w:left w:val="none" w:sz="0" w:space="0" w:color="auto"/>
        <w:bottom w:val="none" w:sz="0" w:space="0" w:color="auto"/>
        <w:right w:val="none" w:sz="0" w:space="0" w:color="auto"/>
      </w:divBdr>
    </w:div>
    <w:div w:id="2044594894">
      <w:bodyDiv w:val="1"/>
      <w:marLeft w:val="0"/>
      <w:marRight w:val="0"/>
      <w:marTop w:val="0"/>
      <w:marBottom w:val="0"/>
      <w:divBdr>
        <w:top w:val="none" w:sz="0" w:space="0" w:color="auto"/>
        <w:left w:val="none" w:sz="0" w:space="0" w:color="auto"/>
        <w:bottom w:val="none" w:sz="0" w:space="0" w:color="auto"/>
        <w:right w:val="none" w:sz="0" w:space="0" w:color="auto"/>
      </w:divBdr>
    </w:div>
    <w:div w:id="2047365541">
      <w:bodyDiv w:val="1"/>
      <w:marLeft w:val="0"/>
      <w:marRight w:val="0"/>
      <w:marTop w:val="0"/>
      <w:marBottom w:val="0"/>
      <w:divBdr>
        <w:top w:val="none" w:sz="0" w:space="0" w:color="auto"/>
        <w:left w:val="none" w:sz="0" w:space="0" w:color="auto"/>
        <w:bottom w:val="none" w:sz="0" w:space="0" w:color="auto"/>
        <w:right w:val="none" w:sz="0" w:space="0" w:color="auto"/>
      </w:divBdr>
    </w:div>
    <w:div w:id="2047750802">
      <w:bodyDiv w:val="1"/>
      <w:marLeft w:val="0"/>
      <w:marRight w:val="0"/>
      <w:marTop w:val="0"/>
      <w:marBottom w:val="0"/>
      <w:divBdr>
        <w:top w:val="none" w:sz="0" w:space="0" w:color="auto"/>
        <w:left w:val="none" w:sz="0" w:space="0" w:color="auto"/>
        <w:bottom w:val="none" w:sz="0" w:space="0" w:color="auto"/>
        <w:right w:val="none" w:sz="0" w:space="0" w:color="auto"/>
      </w:divBdr>
    </w:div>
    <w:div w:id="2050108593">
      <w:bodyDiv w:val="1"/>
      <w:marLeft w:val="0"/>
      <w:marRight w:val="0"/>
      <w:marTop w:val="0"/>
      <w:marBottom w:val="0"/>
      <w:divBdr>
        <w:top w:val="none" w:sz="0" w:space="0" w:color="auto"/>
        <w:left w:val="none" w:sz="0" w:space="0" w:color="auto"/>
        <w:bottom w:val="none" w:sz="0" w:space="0" w:color="auto"/>
        <w:right w:val="none" w:sz="0" w:space="0" w:color="auto"/>
      </w:divBdr>
    </w:div>
    <w:div w:id="2051105080">
      <w:bodyDiv w:val="1"/>
      <w:marLeft w:val="0"/>
      <w:marRight w:val="0"/>
      <w:marTop w:val="0"/>
      <w:marBottom w:val="0"/>
      <w:divBdr>
        <w:top w:val="none" w:sz="0" w:space="0" w:color="auto"/>
        <w:left w:val="none" w:sz="0" w:space="0" w:color="auto"/>
        <w:bottom w:val="none" w:sz="0" w:space="0" w:color="auto"/>
        <w:right w:val="none" w:sz="0" w:space="0" w:color="auto"/>
      </w:divBdr>
    </w:div>
    <w:div w:id="2052261529">
      <w:bodyDiv w:val="1"/>
      <w:marLeft w:val="0"/>
      <w:marRight w:val="0"/>
      <w:marTop w:val="0"/>
      <w:marBottom w:val="0"/>
      <w:divBdr>
        <w:top w:val="none" w:sz="0" w:space="0" w:color="auto"/>
        <w:left w:val="none" w:sz="0" w:space="0" w:color="auto"/>
        <w:bottom w:val="none" w:sz="0" w:space="0" w:color="auto"/>
        <w:right w:val="none" w:sz="0" w:space="0" w:color="auto"/>
      </w:divBdr>
    </w:div>
    <w:div w:id="2055034368">
      <w:bodyDiv w:val="1"/>
      <w:marLeft w:val="0"/>
      <w:marRight w:val="0"/>
      <w:marTop w:val="0"/>
      <w:marBottom w:val="0"/>
      <w:divBdr>
        <w:top w:val="none" w:sz="0" w:space="0" w:color="auto"/>
        <w:left w:val="none" w:sz="0" w:space="0" w:color="auto"/>
        <w:bottom w:val="none" w:sz="0" w:space="0" w:color="auto"/>
        <w:right w:val="none" w:sz="0" w:space="0" w:color="auto"/>
      </w:divBdr>
    </w:div>
    <w:div w:id="2056660979">
      <w:bodyDiv w:val="1"/>
      <w:marLeft w:val="0"/>
      <w:marRight w:val="0"/>
      <w:marTop w:val="0"/>
      <w:marBottom w:val="0"/>
      <w:divBdr>
        <w:top w:val="none" w:sz="0" w:space="0" w:color="auto"/>
        <w:left w:val="none" w:sz="0" w:space="0" w:color="auto"/>
        <w:bottom w:val="none" w:sz="0" w:space="0" w:color="auto"/>
        <w:right w:val="none" w:sz="0" w:space="0" w:color="auto"/>
      </w:divBdr>
    </w:div>
    <w:div w:id="2056733597">
      <w:bodyDiv w:val="1"/>
      <w:marLeft w:val="0"/>
      <w:marRight w:val="0"/>
      <w:marTop w:val="0"/>
      <w:marBottom w:val="0"/>
      <w:divBdr>
        <w:top w:val="none" w:sz="0" w:space="0" w:color="auto"/>
        <w:left w:val="none" w:sz="0" w:space="0" w:color="auto"/>
        <w:bottom w:val="none" w:sz="0" w:space="0" w:color="auto"/>
        <w:right w:val="none" w:sz="0" w:space="0" w:color="auto"/>
      </w:divBdr>
    </w:div>
    <w:div w:id="2057586479">
      <w:bodyDiv w:val="1"/>
      <w:marLeft w:val="0"/>
      <w:marRight w:val="0"/>
      <w:marTop w:val="0"/>
      <w:marBottom w:val="0"/>
      <w:divBdr>
        <w:top w:val="none" w:sz="0" w:space="0" w:color="auto"/>
        <w:left w:val="none" w:sz="0" w:space="0" w:color="auto"/>
        <w:bottom w:val="none" w:sz="0" w:space="0" w:color="auto"/>
        <w:right w:val="none" w:sz="0" w:space="0" w:color="auto"/>
      </w:divBdr>
    </w:div>
    <w:div w:id="2057896990">
      <w:bodyDiv w:val="1"/>
      <w:marLeft w:val="0"/>
      <w:marRight w:val="0"/>
      <w:marTop w:val="0"/>
      <w:marBottom w:val="0"/>
      <w:divBdr>
        <w:top w:val="none" w:sz="0" w:space="0" w:color="auto"/>
        <w:left w:val="none" w:sz="0" w:space="0" w:color="auto"/>
        <w:bottom w:val="none" w:sz="0" w:space="0" w:color="auto"/>
        <w:right w:val="none" w:sz="0" w:space="0" w:color="auto"/>
      </w:divBdr>
    </w:div>
    <w:div w:id="2058314833">
      <w:bodyDiv w:val="1"/>
      <w:marLeft w:val="0"/>
      <w:marRight w:val="0"/>
      <w:marTop w:val="0"/>
      <w:marBottom w:val="0"/>
      <w:divBdr>
        <w:top w:val="none" w:sz="0" w:space="0" w:color="auto"/>
        <w:left w:val="none" w:sz="0" w:space="0" w:color="auto"/>
        <w:bottom w:val="none" w:sz="0" w:space="0" w:color="auto"/>
        <w:right w:val="none" w:sz="0" w:space="0" w:color="auto"/>
      </w:divBdr>
    </w:div>
    <w:div w:id="2058357961">
      <w:bodyDiv w:val="1"/>
      <w:marLeft w:val="0"/>
      <w:marRight w:val="0"/>
      <w:marTop w:val="0"/>
      <w:marBottom w:val="0"/>
      <w:divBdr>
        <w:top w:val="none" w:sz="0" w:space="0" w:color="auto"/>
        <w:left w:val="none" w:sz="0" w:space="0" w:color="auto"/>
        <w:bottom w:val="none" w:sz="0" w:space="0" w:color="auto"/>
        <w:right w:val="none" w:sz="0" w:space="0" w:color="auto"/>
      </w:divBdr>
    </w:div>
    <w:div w:id="2058509584">
      <w:bodyDiv w:val="1"/>
      <w:marLeft w:val="0"/>
      <w:marRight w:val="0"/>
      <w:marTop w:val="0"/>
      <w:marBottom w:val="0"/>
      <w:divBdr>
        <w:top w:val="none" w:sz="0" w:space="0" w:color="auto"/>
        <w:left w:val="none" w:sz="0" w:space="0" w:color="auto"/>
        <w:bottom w:val="none" w:sz="0" w:space="0" w:color="auto"/>
        <w:right w:val="none" w:sz="0" w:space="0" w:color="auto"/>
      </w:divBdr>
    </w:div>
    <w:div w:id="2059355421">
      <w:bodyDiv w:val="1"/>
      <w:marLeft w:val="0"/>
      <w:marRight w:val="0"/>
      <w:marTop w:val="0"/>
      <w:marBottom w:val="0"/>
      <w:divBdr>
        <w:top w:val="none" w:sz="0" w:space="0" w:color="auto"/>
        <w:left w:val="none" w:sz="0" w:space="0" w:color="auto"/>
        <w:bottom w:val="none" w:sz="0" w:space="0" w:color="auto"/>
        <w:right w:val="none" w:sz="0" w:space="0" w:color="auto"/>
      </w:divBdr>
    </w:div>
    <w:div w:id="2059740664">
      <w:bodyDiv w:val="1"/>
      <w:marLeft w:val="0"/>
      <w:marRight w:val="0"/>
      <w:marTop w:val="0"/>
      <w:marBottom w:val="0"/>
      <w:divBdr>
        <w:top w:val="none" w:sz="0" w:space="0" w:color="auto"/>
        <w:left w:val="none" w:sz="0" w:space="0" w:color="auto"/>
        <w:bottom w:val="none" w:sz="0" w:space="0" w:color="auto"/>
        <w:right w:val="none" w:sz="0" w:space="0" w:color="auto"/>
      </w:divBdr>
    </w:div>
    <w:div w:id="2062292019">
      <w:bodyDiv w:val="1"/>
      <w:marLeft w:val="0"/>
      <w:marRight w:val="0"/>
      <w:marTop w:val="0"/>
      <w:marBottom w:val="0"/>
      <w:divBdr>
        <w:top w:val="none" w:sz="0" w:space="0" w:color="auto"/>
        <w:left w:val="none" w:sz="0" w:space="0" w:color="auto"/>
        <w:bottom w:val="none" w:sz="0" w:space="0" w:color="auto"/>
        <w:right w:val="none" w:sz="0" w:space="0" w:color="auto"/>
      </w:divBdr>
    </w:div>
    <w:div w:id="2064060954">
      <w:bodyDiv w:val="1"/>
      <w:marLeft w:val="0"/>
      <w:marRight w:val="0"/>
      <w:marTop w:val="0"/>
      <w:marBottom w:val="0"/>
      <w:divBdr>
        <w:top w:val="none" w:sz="0" w:space="0" w:color="auto"/>
        <w:left w:val="none" w:sz="0" w:space="0" w:color="auto"/>
        <w:bottom w:val="none" w:sz="0" w:space="0" w:color="auto"/>
        <w:right w:val="none" w:sz="0" w:space="0" w:color="auto"/>
      </w:divBdr>
    </w:div>
    <w:div w:id="2064593964">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66948297">
      <w:bodyDiv w:val="1"/>
      <w:marLeft w:val="0"/>
      <w:marRight w:val="0"/>
      <w:marTop w:val="0"/>
      <w:marBottom w:val="0"/>
      <w:divBdr>
        <w:top w:val="none" w:sz="0" w:space="0" w:color="auto"/>
        <w:left w:val="none" w:sz="0" w:space="0" w:color="auto"/>
        <w:bottom w:val="none" w:sz="0" w:space="0" w:color="auto"/>
        <w:right w:val="none" w:sz="0" w:space="0" w:color="auto"/>
      </w:divBdr>
    </w:div>
    <w:div w:id="2066952598">
      <w:bodyDiv w:val="1"/>
      <w:marLeft w:val="0"/>
      <w:marRight w:val="0"/>
      <w:marTop w:val="0"/>
      <w:marBottom w:val="0"/>
      <w:divBdr>
        <w:top w:val="none" w:sz="0" w:space="0" w:color="auto"/>
        <w:left w:val="none" w:sz="0" w:space="0" w:color="auto"/>
        <w:bottom w:val="none" w:sz="0" w:space="0" w:color="auto"/>
        <w:right w:val="none" w:sz="0" w:space="0" w:color="auto"/>
      </w:divBdr>
    </w:div>
    <w:div w:id="2067100020">
      <w:bodyDiv w:val="1"/>
      <w:marLeft w:val="0"/>
      <w:marRight w:val="0"/>
      <w:marTop w:val="0"/>
      <w:marBottom w:val="0"/>
      <w:divBdr>
        <w:top w:val="none" w:sz="0" w:space="0" w:color="auto"/>
        <w:left w:val="none" w:sz="0" w:space="0" w:color="auto"/>
        <w:bottom w:val="none" w:sz="0" w:space="0" w:color="auto"/>
        <w:right w:val="none" w:sz="0" w:space="0" w:color="auto"/>
      </w:divBdr>
    </w:div>
    <w:div w:id="2067490836">
      <w:bodyDiv w:val="1"/>
      <w:marLeft w:val="0"/>
      <w:marRight w:val="0"/>
      <w:marTop w:val="0"/>
      <w:marBottom w:val="0"/>
      <w:divBdr>
        <w:top w:val="none" w:sz="0" w:space="0" w:color="auto"/>
        <w:left w:val="none" w:sz="0" w:space="0" w:color="auto"/>
        <w:bottom w:val="none" w:sz="0" w:space="0" w:color="auto"/>
        <w:right w:val="none" w:sz="0" w:space="0" w:color="auto"/>
      </w:divBdr>
    </w:div>
    <w:div w:id="2069181013">
      <w:bodyDiv w:val="1"/>
      <w:marLeft w:val="0"/>
      <w:marRight w:val="0"/>
      <w:marTop w:val="0"/>
      <w:marBottom w:val="0"/>
      <w:divBdr>
        <w:top w:val="none" w:sz="0" w:space="0" w:color="auto"/>
        <w:left w:val="none" w:sz="0" w:space="0" w:color="auto"/>
        <w:bottom w:val="none" w:sz="0" w:space="0" w:color="auto"/>
        <w:right w:val="none" w:sz="0" w:space="0" w:color="auto"/>
      </w:divBdr>
    </w:div>
    <w:div w:id="2070570062">
      <w:bodyDiv w:val="1"/>
      <w:marLeft w:val="0"/>
      <w:marRight w:val="0"/>
      <w:marTop w:val="0"/>
      <w:marBottom w:val="0"/>
      <w:divBdr>
        <w:top w:val="none" w:sz="0" w:space="0" w:color="auto"/>
        <w:left w:val="none" w:sz="0" w:space="0" w:color="auto"/>
        <w:bottom w:val="none" w:sz="0" w:space="0" w:color="auto"/>
        <w:right w:val="none" w:sz="0" w:space="0" w:color="auto"/>
      </w:divBdr>
    </w:div>
    <w:div w:id="2070807129">
      <w:bodyDiv w:val="1"/>
      <w:marLeft w:val="0"/>
      <w:marRight w:val="0"/>
      <w:marTop w:val="0"/>
      <w:marBottom w:val="0"/>
      <w:divBdr>
        <w:top w:val="none" w:sz="0" w:space="0" w:color="auto"/>
        <w:left w:val="none" w:sz="0" w:space="0" w:color="auto"/>
        <w:bottom w:val="none" w:sz="0" w:space="0" w:color="auto"/>
        <w:right w:val="none" w:sz="0" w:space="0" w:color="auto"/>
      </w:divBdr>
    </w:div>
    <w:div w:id="2071921422">
      <w:bodyDiv w:val="1"/>
      <w:marLeft w:val="0"/>
      <w:marRight w:val="0"/>
      <w:marTop w:val="0"/>
      <w:marBottom w:val="0"/>
      <w:divBdr>
        <w:top w:val="none" w:sz="0" w:space="0" w:color="auto"/>
        <w:left w:val="none" w:sz="0" w:space="0" w:color="auto"/>
        <w:bottom w:val="none" w:sz="0" w:space="0" w:color="auto"/>
        <w:right w:val="none" w:sz="0" w:space="0" w:color="auto"/>
      </w:divBdr>
    </w:div>
    <w:div w:id="2074280600">
      <w:bodyDiv w:val="1"/>
      <w:marLeft w:val="0"/>
      <w:marRight w:val="0"/>
      <w:marTop w:val="0"/>
      <w:marBottom w:val="0"/>
      <w:divBdr>
        <w:top w:val="none" w:sz="0" w:space="0" w:color="auto"/>
        <w:left w:val="none" w:sz="0" w:space="0" w:color="auto"/>
        <w:bottom w:val="none" w:sz="0" w:space="0" w:color="auto"/>
        <w:right w:val="none" w:sz="0" w:space="0" w:color="auto"/>
      </w:divBdr>
    </w:div>
    <w:div w:id="2075084584">
      <w:bodyDiv w:val="1"/>
      <w:marLeft w:val="0"/>
      <w:marRight w:val="0"/>
      <w:marTop w:val="0"/>
      <w:marBottom w:val="0"/>
      <w:divBdr>
        <w:top w:val="none" w:sz="0" w:space="0" w:color="auto"/>
        <w:left w:val="none" w:sz="0" w:space="0" w:color="auto"/>
        <w:bottom w:val="none" w:sz="0" w:space="0" w:color="auto"/>
        <w:right w:val="none" w:sz="0" w:space="0" w:color="auto"/>
      </w:divBdr>
    </w:div>
    <w:div w:id="2076005859">
      <w:bodyDiv w:val="1"/>
      <w:marLeft w:val="0"/>
      <w:marRight w:val="0"/>
      <w:marTop w:val="0"/>
      <w:marBottom w:val="0"/>
      <w:divBdr>
        <w:top w:val="none" w:sz="0" w:space="0" w:color="auto"/>
        <w:left w:val="none" w:sz="0" w:space="0" w:color="auto"/>
        <w:bottom w:val="none" w:sz="0" w:space="0" w:color="auto"/>
        <w:right w:val="none" w:sz="0" w:space="0" w:color="auto"/>
      </w:divBdr>
    </w:div>
    <w:div w:id="2076121362">
      <w:bodyDiv w:val="1"/>
      <w:marLeft w:val="0"/>
      <w:marRight w:val="0"/>
      <w:marTop w:val="0"/>
      <w:marBottom w:val="0"/>
      <w:divBdr>
        <w:top w:val="none" w:sz="0" w:space="0" w:color="auto"/>
        <w:left w:val="none" w:sz="0" w:space="0" w:color="auto"/>
        <w:bottom w:val="none" w:sz="0" w:space="0" w:color="auto"/>
        <w:right w:val="none" w:sz="0" w:space="0" w:color="auto"/>
      </w:divBdr>
    </w:div>
    <w:div w:id="2078237472">
      <w:bodyDiv w:val="1"/>
      <w:marLeft w:val="0"/>
      <w:marRight w:val="0"/>
      <w:marTop w:val="0"/>
      <w:marBottom w:val="0"/>
      <w:divBdr>
        <w:top w:val="none" w:sz="0" w:space="0" w:color="auto"/>
        <w:left w:val="none" w:sz="0" w:space="0" w:color="auto"/>
        <w:bottom w:val="none" w:sz="0" w:space="0" w:color="auto"/>
        <w:right w:val="none" w:sz="0" w:space="0" w:color="auto"/>
      </w:divBdr>
    </w:div>
    <w:div w:id="2079401704">
      <w:bodyDiv w:val="1"/>
      <w:marLeft w:val="0"/>
      <w:marRight w:val="0"/>
      <w:marTop w:val="0"/>
      <w:marBottom w:val="0"/>
      <w:divBdr>
        <w:top w:val="none" w:sz="0" w:space="0" w:color="auto"/>
        <w:left w:val="none" w:sz="0" w:space="0" w:color="auto"/>
        <w:bottom w:val="none" w:sz="0" w:space="0" w:color="auto"/>
        <w:right w:val="none" w:sz="0" w:space="0" w:color="auto"/>
      </w:divBdr>
    </w:div>
    <w:div w:id="2082485309">
      <w:bodyDiv w:val="1"/>
      <w:marLeft w:val="0"/>
      <w:marRight w:val="0"/>
      <w:marTop w:val="0"/>
      <w:marBottom w:val="0"/>
      <w:divBdr>
        <w:top w:val="none" w:sz="0" w:space="0" w:color="auto"/>
        <w:left w:val="none" w:sz="0" w:space="0" w:color="auto"/>
        <w:bottom w:val="none" w:sz="0" w:space="0" w:color="auto"/>
        <w:right w:val="none" w:sz="0" w:space="0" w:color="auto"/>
      </w:divBdr>
    </w:div>
    <w:div w:id="2083139488">
      <w:bodyDiv w:val="1"/>
      <w:marLeft w:val="0"/>
      <w:marRight w:val="0"/>
      <w:marTop w:val="0"/>
      <w:marBottom w:val="0"/>
      <w:divBdr>
        <w:top w:val="none" w:sz="0" w:space="0" w:color="auto"/>
        <w:left w:val="none" w:sz="0" w:space="0" w:color="auto"/>
        <w:bottom w:val="none" w:sz="0" w:space="0" w:color="auto"/>
        <w:right w:val="none" w:sz="0" w:space="0" w:color="auto"/>
      </w:divBdr>
    </w:div>
    <w:div w:id="2084061031">
      <w:bodyDiv w:val="1"/>
      <w:marLeft w:val="0"/>
      <w:marRight w:val="0"/>
      <w:marTop w:val="0"/>
      <w:marBottom w:val="0"/>
      <w:divBdr>
        <w:top w:val="none" w:sz="0" w:space="0" w:color="auto"/>
        <w:left w:val="none" w:sz="0" w:space="0" w:color="auto"/>
        <w:bottom w:val="none" w:sz="0" w:space="0" w:color="auto"/>
        <w:right w:val="none" w:sz="0" w:space="0" w:color="auto"/>
      </w:divBdr>
    </w:div>
    <w:div w:id="2085369380">
      <w:bodyDiv w:val="1"/>
      <w:marLeft w:val="0"/>
      <w:marRight w:val="0"/>
      <w:marTop w:val="0"/>
      <w:marBottom w:val="0"/>
      <w:divBdr>
        <w:top w:val="none" w:sz="0" w:space="0" w:color="auto"/>
        <w:left w:val="none" w:sz="0" w:space="0" w:color="auto"/>
        <w:bottom w:val="none" w:sz="0" w:space="0" w:color="auto"/>
        <w:right w:val="none" w:sz="0" w:space="0" w:color="auto"/>
      </w:divBdr>
    </w:div>
    <w:div w:id="2085949528">
      <w:bodyDiv w:val="1"/>
      <w:marLeft w:val="0"/>
      <w:marRight w:val="0"/>
      <w:marTop w:val="0"/>
      <w:marBottom w:val="0"/>
      <w:divBdr>
        <w:top w:val="none" w:sz="0" w:space="0" w:color="auto"/>
        <w:left w:val="none" w:sz="0" w:space="0" w:color="auto"/>
        <w:bottom w:val="none" w:sz="0" w:space="0" w:color="auto"/>
        <w:right w:val="none" w:sz="0" w:space="0" w:color="auto"/>
      </w:divBdr>
    </w:div>
    <w:div w:id="2086340364">
      <w:bodyDiv w:val="1"/>
      <w:marLeft w:val="0"/>
      <w:marRight w:val="0"/>
      <w:marTop w:val="0"/>
      <w:marBottom w:val="0"/>
      <w:divBdr>
        <w:top w:val="none" w:sz="0" w:space="0" w:color="auto"/>
        <w:left w:val="none" w:sz="0" w:space="0" w:color="auto"/>
        <w:bottom w:val="none" w:sz="0" w:space="0" w:color="auto"/>
        <w:right w:val="none" w:sz="0" w:space="0" w:color="auto"/>
      </w:divBdr>
    </w:div>
    <w:div w:id="2087875196">
      <w:bodyDiv w:val="1"/>
      <w:marLeft w:val="0"/>
      <w:marRight w:val="0"/>
      <w:marTop w:val="0"/>
      <w:marBottom w:val="0"/>
      <w:divBdr>
        <w:top w:val="none" w:sz="0" w:space="0" w:color="auto"/>
        <w:left w:val="none" w:sz="0" w:space="0" w:color="auto"/>
        <w:bottom w:val="none" w:sz="0" w:space="0" w:color="auto"/>
        <w:right w:val="none" w:sz="0" w:space="0" w:color="auto"/>
      </w:divBdr>
    </w:div>
    <w:div w:id="2088304681">
      <w:bodyDiv w:val="1"/>
      <w:marLeft w:val="0"/>
      <w:marRight w:val="0"/>
      <w:marTop w:val="0"/>
      <w:marBottom w:val="0"/>
      <w:divBdr>
        <w:top w:val="none" w:sz="0" w:space="0" w:color="auto"/>
        <w:left w:val="none" w:sz="0" w:space="0" w:color="auto"/>
        <w:bottom w:val="none" w:sz="0" w:space="0" w:color="auto"/>
        <w:right w:val="none" w:sz="0" w:space="0" w:color="auto"/>
      </w:divBdr>
    </w:div>
    <w:div w:id="2089499035">
      <w:bodyDiv w:val="1"/>
      <w:marLeft w:val="0"/>
      <w:marRight w:val="0"/>
      <w:marTop w:val="0"/>
      <w:marBottom w:val="0"/>
      <w:divBdr>
        <w:top w:val="none" w:sz="0" w:space="0" w:color="auto"/>
        <w:left w:val="none" w:sz="0" w:space="0" w:color="auto"/>
        <w:bottom w:val="none" w:sz="0" w:space="0" w:color="auto"/>
        <w:right w:val="none" w:sz="0" w:space="0" w:color="auto"/>
      </w:divBdr>
    </w:div>
    <w:div w:id="2093162677">
      <w:bodyDiv w:val="1"/>
      <w:marLeft w:val="0"/>
      <w:marRight w:val="0"/>
      <w:marTop w:val="0"/>
      <w:marBottom w:val="0"/>
      <w:divBdr>
        <w:top w:val="none" w:sz="0" w:space="0" w:color="auto"/>
        <w:left w:val="none" w:sz="0" w:space="0" w:color="auto"/>
        <w:bottom w:val="none" w:sz="0" w:space="0" w:color="auto"/>
        <w:right w:val="none" w:sz="0" w:space="0" w:color="auto"/>
      </w:divBdr>
    </w:div>
    <w:div w:id="2093624292">
      <w:bodyDiv w:val="1"/>
      <w:marLeft w:val="0"/>
      <w:marRight w:val="0"/>
      <w:marTop w:val="0"/>
      <w:marBottom w:val="0"/>
      <w:divBdr>
        <w:top w:val="none" w:sz="0" w:space="0" w:color="auto"/>
        <w:left w:val="none" w:sz="0" w:space="0" w:color="auto"/>
        <w:bottom w:val="none" w:sz="0" w:space="0" w:color="auto"/>
        <w:right w:val="none" w:sz="0" w:space="0" w:color="auto"/>
      </w:divBdr>
    </w:div>
    <w:div w:id="2094740888">
      <w:bodyDiv w:val="1"/>
      <w:marLeft w:val="0"/>
      <w:marRight w:val="0"/>
      <w:marTop w:val="0"/>
      <w:marBottom w:val="0"/>
      <w:divBdr>
        <w:top w:val="none" w:sz="0" w:space="0" w:color="auto"/>
        <w:left w:val="none" w:sz="0" w:space="0" w:color="auto"/>
        <w:bottom w:val="none" w:sz="0" w:space="0" w:color="auto"/>
        <w:right w:val="none" w:sz="0" w:space="0" w:color="auto"/>
      </w:divBdr>
    </w:div>
    <w:div w:id="2096240692">
      <w:bodyDiv w:val="1"/>
      <w:marLeft w:val="0"/>
      <w:marRight w:val="0"/>
      <w:marTop w:val="0"/>
      <w:marBottom w:val="0"/>
      <w:divBdr>
        <w:top w:val="none" w:sz="0" w:space="0" w:color="auto"/>
        <w:left w:val="none" w:sz="0" w:space="0" w:color="auto"/>
        <w:bottom w:val="none" w:sz="0" w:space="0" w:color="auto"/>
        <w:right w:val="none" w:sz="0" w:space="0" w:color="auto"/>
      </w:divBdr>
    </w:div>
    <w:div w:id="2096709759">
      <w:bodyDiv w:val="1"/>
      <w:marLeft w:val="0"/>
      <w:marRight w:val="0"/>
      <w:marTop w:val="0"/>
      <w:marBottom w:val="0"/>
      <w:divBdr>
        <w:top w:val="none" w:sz="0" w:space="0" w:color="auto"/>
        <w:left w:val="none" w:sz="0" w:space="0" w:color="auto"/>
        <w:bottom w:val="none" w:sz="0" w:space="0" w:color="auto"/>
        <w:right w:val="none" w:sz="0" w:space="0" w:color="auto"/>
      </w:divBdr>
    </w:div>
    <w:div w:id="2097555852">
      <w:bodyDiv w:val="1"/>
      <w:marLeft w:val="0"/>
      <w:marRight w:val="0"/>
      <w:marTop w:val="0"/>
      <w:marBottom w:val="0"/>
      <w:divBdr>
        <w:top w:val="none" w:sz="0" w:space="0" w:color="auto"/>
        <w:left w:val="none" w:sz="0" w:space="0" w:color="auto"/>
        <w:bottom w:val="none" w:sz="0" w:space="0" w:color="auto"/>
        <w:right w:val="none" w:sz="0" w:space="0" w:color="auto"/>
      </w:divBdr>
    </w:div>
    <w:div w:id="2100590463">
      <w:bodyDiv w:val="1"/>
      <w:marLeft w:val="0"/>
      <w:marRight w:val="0"/>
      <w:marTop w:val="0"/>
      <w:marBottom w:val="0"/>
      <w:divBdr>
        <w:top w:val="none" w:sz="0" w:space="0" w:color="auto"/>
        <w:left w:val="none" w:sz="0" w:space="0" w:color="auto"/>
        <w:bottom w:val="none" w:sz="0" w:space="0" w:color="auto"/>
        <w:right w:val="none" w:sz="0" w:space="0" w:color="auto"/>
      </w:divBdr>
    </w:div>
    <w:div w:id="2103646173">
      <w:bodyDiv w:val="1"/>
      <w:marLeft w:val="0"/>
      <w:marRight w:val="0"/>
      <w:marTop w:val="0"/>
      <w:marBottom w:val="0"/>
      <w:divBdr>
        <w:top w:val="none" w:sz="0" w:space="0" w:color="auto"/>
        <w:left w:val="none" w:sz="0" w:space="0" w:color="auto"/>
        <w:bottom w:val="none" w:sz="0" w:space="0" w:color="auto"/>
        <w:right w:val="none" w:sz="0" w:space="0" w:color="auto"/>
      </w:divBdr>
    </w:div>
    <w:div w:id="2105690276">
      <w:bodyDiv w:val="1"/>
      <w:marLeft w:val="0"/>
      <w:marRight w:val="0"/>
      <w:marTop w:val="0"/>
      <w:marBottom w:val="0"/>
      <w:divBdr>
        <w:top w:val="none" w:sz="0" w:space="0" w:color="auto"/>
        <w:left w:val="none" w:sz="0" w:space="0" w:color="auto"/>
        <w:bottom w:val="none" w:sz="0" w:space="0" w:color="auto"/>
        <w:right w:val="none" w:sz="0" w:space="0" w:color="auto"/>
      </w:divBdr>
    </w:div>
    <w:div w:id="2106489464">
      <w:bodyDiv w:val="1"/>
      <w:marLeft w:val="0"/>
      <w:marRight w:val="0"/>
      <w:marTop w:val="0"/>
      <w:marBottom w:val="0"/>
      <w:divBdr>
        <w:top w:val="none" w:sz="0" w:space="0" w:color="auto"/>
        <w:left w:val="none" w:sz="0" w:space="0" w:color="auto"/>
        <w:bottom w:val="none" w:sz="0" w:space="0" w:color="auto"/>
        <w:right w:val="none" w:sz="0" w:space="0" w:color="auto"/>
      </w:divBdr>
    </w:div>
    <w:div w:id="2106684600">
      <w:bodyDiv w:val="1"/>
      <w:marLeft w:val="0"/>
      <w:marRight w:val="0"/>
      <w:marTop w:val="0"/>
      <w:marBottom w:val="0"/>
      <w:divBdr>
        <w:top w:val="none" w:sz="0" w:space="0" w:color="auto"/>
        <w:left w:val="none" w:sz="0" w:space="0" w:color="auto"/>
        <w:bottom w:val="none" w:sz="0" w:space="0" w:color="auto"/>
        <w:right w:val="none" w:sz="0" w:space="0" w:color="auto"/>
      </w:divBdr>
    </w:div>
    <w:div w:id="2107337548">
      <w:bodyDiv w:val="1"/>
      <w:marLeft w:val="0"/>
      <w:marRight w:val="0"/>
      <w:marTop w:val="0"/>
      <w:marBottom w:val="0"/>
      <w:divBdr>
        <w:top w:val="none" w:sz="0" w:space="0" w:color="auto"/>
        <w:left w:val="none" w:sz="0" w:space="0" w:color="auto"/>
        <w:bottom w:val="none" w:sz="0" w:space="0" w:color="auto"/>
        <w:right w:val="none" w:sz="0" w:space="0" w:color="auto"/>
      </w:divBdr>
    </w:div>
    <w:div w:id="2107339463">
      <w:bodyDiv w:val="1"/>
      <w:marLeft w:val="0"/>
      <w:marRight w:val="0"/>
      <w:marTop w:val="0"/>
      <w:marBottom w:val="0"/>
      <w:divBdr>
        <w:top w:val="none" w:sz="0" w:space="0" w:color="auto"/>
        <w:left w:val="none" w:sz="0" w:space="0" w:color="auto"/>
        <w:bottom w:val="none" w:sz="0" w:space="0" w:color="auto"/>
        <w:right w:val="none" w:sz="0" w:space="0" w:color="auto"/>
      </w:divBdr>
    </w:div>
    <w:div w:id="2109881845">
      <w:bodyDiv w:val="1"/>
      <w:marLeft w:val="0"/>
      <w:marRight w:val="0"/>
      <w:marTop w:val="0"/>
      <w:marBottom w:val="0"/>
      <w:divBdr>
        <w:top w:val="none" w:sz="0" w:space="0" w:color="auto"/>
        <w:left w:val="none" w:sz="0" w:space="0" w:color="auto"/>
        <w:bottom w:val="none" w:sz="0" w:space="0" w:color="auto"/>
        <w:right w:val="none" w:sz="0" w:space="0" w:color="auto"/>
      </w:divBdr>
    </w:div>
    <w:div w:id="2111315419">
      <w:bodyDiv w:val="1"/>
      <w:marLeft w:val="0"/>
      <w:marRight w:val="0"/>
      <w:marTop w:val="0"/>
      <w:marBottom w:val="0"/>
      <w:divBdr>
        <w:top w:val="none" w:sz="0" w:space="0" w:color="auto"/>
        <w:left w:val="none" w:sz="0" w:space="0" w:color="auto"/>
        <w:bottom w:val="none" w:sz="0" w:space="0" w:color="auto"/>
        <w:right w:val="none" w:sz="0" w:space="0" w:color="auto"/>
      </w:divBdr>
    </w:div>
    <w:div w:id="2112166814">
      <w:bodyDiv w:val="1"/>
      <w:marLeft w:val="0"/>
      <w:marRight w:val="0"/>
      <w:marTop w:val="0"/>
      <w:marBottom w:val="0"/>
      <w:divBdr>
        <w:top w:val="none" w:sz="0" w:space="0" w:color="auto"/>
        <w:left w:val="none" w:sz="0" w:space="0" w:color="auto"/>
        <w:bottom w:val="none" w:sz="0" w:space="0" w:color="auto"/>
        <w:right w:val="none" w:sz="0" w:space="0" w:color="auto"/>
      </w:divBdr>
    </w:div>
    <w:div w:id="2113550319">
      <w:bodyDiv w:val="1"/>
      <w:marLeft w:val="0"/>
      <w:marRight w:val="0"/>
      <w:marTop w:val="0"/>
      <w:marBottom w:val="0"/>
      <w:divBdr>
        <w:top w:val="none" w:sz="0" w:space="0" w:color="auto"/>
        <w:left w:val="none" w:sz="0" w:space="0" w:color="auto"/>
        <w:bottom w:val="none" w:sz="0" w:space="0" w:color="auto"/>
        <w:right w:val="none" w:sz="0" w:space="0" w:color="auto"/>
      </w:divBdr>
    </w:div>
    <w:div w:id="2113671916">
      <w:bodyDiv w:val="1"/>
      <w:marLeft w:val="0"/>
      <w:marRight w:val="0"/>
      <w:marTop w:val="0"/>
      <w:marBottom w:val="0"/>
      <w:divBdr>
        <w:top w:val="none" w:sz="0" w:space="0" w:color="auto"/>
        <w:left w:val="none" w:sz="0" w:space="0" w:color="auto"/>
        <w:bottom w:val="none" w:sz="0" w:space="0" w:color="auto"/>
        <w:right w:val="none" w:sz="0" w:space="0" w:color="auto"/>
      </w:divBdr>
    </w:div>
    <w:div w:id="2114551615">
      <w:bodyDiv w:val="1"/>
      <w:marLeft w:val="0"/>
      <w:marRight w:val="0"/>
      <w:marTop w:val="0"/>
      <w:marBottom w:val="0"/>
      <w:divBdr>
        <w:top w:val="none" w:sz="0" w:space="0" w:color="auto"/>
        <w:left w:val="none" w:sz="0" w:space="0" w:color="auto"/>
        <w:bottom w:val="none" w:sz="0" w:space="0" w:color="auto"/>
        <w:right w:val="none" w:sz="0" w:space="0" w:color="auto"/>
      </w:divBdr>
    </w:div>
    <w:div w:id="2114784615">
      <w:bodyDiv w:val="1"/>
      <w:marLeft w:val="0"/>
      <w:marRight w:val="0"/>
      <w:marTop w:val="0"/>
      <w:marBottom w:val="0"/>
      <w:divBdr>
        <w:top w:val="none" w:sz="0" w:space="0" w:color="auto"/>
        <w:left w:val="none" w:sz="0" w:space="0" w:color="auto"/>
        <w:bottom w:val="none" w:sz="0" w:space="0" w:color="auto"/>
        <w:right w:val="none" w:sz="0" w:space="0" w:color="auto"/>
      </w:divBdr>
    </w:div>
    <w:div w:id="2115244380">
      <w:bodyDiv w:val="1"/>
      <w:marLeft w:val="0"/>
      <w:marRight w:val="0"/>
      <w:marTop w:val="0"/>
      <w:marBottom w:val="0"/>
      <w:divBdr>
        <w:top w:val="none" w:sz="0" w:space="0" w:color="auto"/>
        <w:left w:val="none" w:sz="0" w:space="0" w:color="auto"/>
        <w:bottom w:val="none" w:sz="0" w:space="0" w:color="auto"/>
        <w:right w:val="none" w:sz="0" w:space="0" w:color="auto"/>
      </w:divBdr>
    </w:div>
    <w:div w:id="2115468201">
      <w:bodyDiv w:val="1"/>
      <w:marLeft w:val="0"/>
      <w:marRight w:val="0"/>
      <w:marTop w:val="0"/>
      <w:marBottom w:val="0"/>
      <w:divBdr>
        <w:top w:val="none" w:sz="0" w:space="0" w:color="auto"/>
        <w:left w:val="none" w:sz="0" w:space="0" w:color="auto"/>
        <w:bottom w:val="none" w:sz="0" w:space="0" w:color="auto"/>
        <w:right w:val="none" w:sz="0" w:space="0" w:color="auto"/>
      </w:divBdr>
    </w:div>
    <w:div w:id="2116975886">
      <w:bodyDiv w:val="1"/>
      <w:marLeft w:val="0"/>
      <w:marRight w:val="0"/>
      <w:marTop w:val="0"/>
      <w:marBottom w:val="0"/>
      <w:divBdr>
        <w:top w:val="none" w:sz="0" w:space="0" w:color="auto"/>
        <w:left w:val="none" w:sz="0" w:space="0" w:color="auto"/>
        <w:bottom w:val="none" w:sz="0" w:space="0" w:color="auto"/>
        <w:right w:val="none" w:sz="0" w:space="0" w:color="auto"/>
      </w:divBdr>
    </w:div>
    <w:div w:id="2117289789">
      <w:bodyDiv w:val="1"/>
      <w:marLeft w:val="0"/>
      <w:marRight w:val="0"/>
      <w:marTop w:val="0"/>
      <w:marBottom w:val="0"/>
      <w:divBdr>
        <w:top w:val="none" w:sz="0" w:space="0" w:color="auto"/>
        <w:left w:val="none" w:sz="0" w:space="0" w:color="auto"/>
        <w:bottom w:val="none" w:sz="0" w:space="0" w:color="auto"/>
        <w:right w:val="none" w:sz="0" w:space="0" w:color="auto"/>
      </w:divBdr>
    </w:div>
    <w:div w:id="2117942390">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8942660">
      <w:bodyDiv w:val="1"/>
      <w:marLeft w:val="0"/>
      <w:marRight w:val="0"/>
      <w:marTop w:val="0"/>
      <w:marBottom w:val="0"/>
      <w:divBdr>
        <w:top w:val="none" w:sz="0" w:space="0" w:color="auto"/>
        <w:left w:val="none" w:sz="0" w:space="0" w:color="auto"/>
        <w:bottom w:val="none" w:sz="0" w:space="0" w:color="auto"/>
        <w:right w:val="none" w:sz="0" w:space="0" w:color="auto"/>
      </w:divBdr>
    </w:div>
    <w:div w:id="2122257966">
      <w:bodyDiv w:val="1"/>
      <w:marLeft w:val="0"/>
      <w:marRight w:val="0"/>
      <w:marTop w:val="0"/>
      <w:marBottom w:val="0"/>
      <w:divBdr>
        <w:top w:val="none" w:sz="0" w:space="0" w:color="auto"/>
        <w:left w:val="none" w:sz="0" w:space="0" w:color="auto"/>
        <w:bottom w:val="none" w:sz="0" w:space="0" w:color="auto"/>
        <w:right w:val="none" w:sz="0" w:space="0" w:color="auto"/>
      </w:divBdr>
    </w:div>
    <w:div w:id="2122526693">
      <w:bodyDiv w:val="1"/>
      <w:marLeft w:val="0"/>
      <w:marRight w:val="0"/>
      <w:marTop w:val="0"/>
      <w:marBottom w:val="0"/>
      <w:divBdr>
        <w:top w:val="none" w:sz="0" w:space="0" w:color="auto"/>
        <w:left w:val="none" w:sz="0" w:space="0" w:color="auto"/>
        <w:bottom w:val="none" w:sz="0" w:space="0" w:color="auto"/>
        <w:right w:val="none" w:sz="0" w:space="0" w:color="auto"/>
      </w:divBdr>
    </w:div>
    <w:div w:id="2123376624">
      <w:bodyDiv w:val="1"/>
      <w:marLeft w:val="0"/>
      <w:marRight w:val="0"/>
      <w:marTop w:val="0"/>
      <w:marBottom w:val="0"/>
      <w:divBdr>
        <w:top w:val="none" w:sz="0" w:space="0" w:color="auto"/>
        <w:left w:val="none" w:sz="0" w:space="0" w:color="auto"/>
        <w:bottom w:val="none" w:sz="0" w:space="0" w:color="auto"/>
        <w:right w:val="none" w:sz="0" w:space="0" w:color="auto"/>
      </w:divBdr>
    </w:div>
    <w:div w:id="2125270015">
      <w:bodyDiv w:val="1"/>
      <w:marLeft w:val="0"/>
      <w:marRight w:val="0"/>
      <w:marTop w:val="0"/>
      <w:marBottom w:val="0"/>
      <w:divBdr>
        <w:top w:val="none" w:sz="0" w:space="0" w:color="auto"/>
        <w:left w:val="none" w:sz="0" w:space="0" w:color="auto"/>
        <w:bottom w:val="none" w:sz="0" w:space="0" w:color="auto"/>
        <w:right w:val="none" w:sz="0" w:space="0" w:color="auto"/>
      </w:divBdr>
    </w:div>
    <w:div w:id="2125419652">
      <w:bodyDiv w:val="1"/>
      <w:marLeft w:val="0"/>
      <w:marRight w:val="0"/>
      <w:marTop w:val="0"/>
      <w:marBottom w:val="0"/>
      <w:divBdr>
        <w:top w:val="none" w:sz="0" w:space="0" w:color="auto"/>
        <w:left w:val="none" w:sz="0" w:space="0" w:color="auto"/>
        <w:bottom w:val="none" w:sz="0" w:space="0" w:color="auto"/>
        <w:right w:val="none" w:sz="0" w:space="0" w:color="auto"/>
      </w:divBdr>
    </w:div>
    <w:div w:id="2130126247">
      <w:bodyDiv w:val="1"/>
      <w:marLeft w:val="0"/>
      <w:marRight w:val="0"/>
      <w:marTop w:val="0"/>
      <w:marBottom w:val="0"/>
      <w:divBdr>
        <w:top w:val="none" w:sz="0" w:space="0" w:color="auto"/>
        <w:left w:val="none" w:sz="0" w:space="0" w:color="auto"/>
        <w:bottom w:val="none" w:sz="0" w:space="0" w:color="auto"/>
        <w:right w:val="none" w:sz="0" w:space="0" w:color="auto"/>
      </w:divBdr>
    </w:div>
    <w:div w:id="2130661636">
      <w:bodyDiv w:val="1"/>
      <w:marLeft w:val="0"/>
      <w:marRight w:val="0"/>
      <w:marTop w:val="0"/>
      <w:marBottom w:val="0"/>
      <w:divBdr>
        <w:top w:val="none" w:sz="0" w:space="0" w:color="auto"/>
        <w:left w:val="none" w:sz="0" w:space="0" w:color="auto"/>
        <w:bottom w:val="none" w:sz="0" w:space="0" w:color="auto"/>
        <w:right w:val="none" w:sz="0" w:space="0" w:color="auto"/>
      </w:divBdr>
    </w:div>
    <w:div w:id="2131432710">
      <w:bodyDiv w:val="1"/>
      <w:marLeft w:val="0"/>
      <w:marRight w:val="0"/>
      <w:marTop w:val="0"/>
      <w:marBottom w:val="0"/>
      <w:divBdr>
        <w:top w:val="none" w:sz="0" w:space="0" w:color="auto"/>
        <w:left w:val="none" w:sz="0" w:space="0" w:color="auto"/>
        <w:bottom w:val="none" w:sz="0" w:space="0" w:color="auto"/>
        <w:right w:val="none" w:sz="0" w:space="0" w:color="auto"/>
      </w:divBdr>
    </w:div>
    <w:div w:id="2131782917">
      <w:bodyDiv w:val="1"/>
      <w:marLeft w:val="0"/>
      <w:marRight w:val="0"/>
      <w:marTop w:val="0"/>
      <w:marBottom w:val="0"/>
      <w:divBdr>
        <w:top w:val="none" w:sz="0" w:space="0" w:color="auto"/>
        <w:left w:val="none" w:sz="0" w:space="0" w:color="auto"/>
        <w:bottom w:val="none" w:sz="0" w:space="0" w:color="auto"/>
        <w:right w:val="none" w:sz="0" w:space="0" w:color="auto"/>
      </w:divBdr>
    </w:div>
    <w:div w:id="2132279943">
      <w:bodyDiv w:val="1"/>
      <w:marLeft w:val="0"/>
      <w:marRight w:val="0"/>
      <w:marTop w:val="0"/>
      <w:marBottom w:val="0"/>
      <w:divBdr>
        <w:top w:val="none" w:sz="0" w:space="0" w:color="auto"/>
        <w:left w:val="none" w:sz="0" w:space="0" w:color="auto"/>
        <w:bottom w:val="none" w:sz="0" w:space="0" w:color="auto"/>
        <w:right w:val="none" w:sz="0" w:space="0" w:color="auto"/>
      </w:divBdr>
    </w:div>
    <w:div w:id="2132476496">
      <w:bodyDiv w:val="1"/>
      <w:marLeft w:val="0"/>
      <w:marRight w:val="0"/>
      <w:marTop w:val="0"/>
      <w:marBottom w:val="0"/>
      <w:divBdr>
        <w:top w:val="none" w:sz="0" w:space="0" w:color="auto"/>
        <w:left w:val="none" w:sz="0" w:space="0" w:color="auto"/>
        <w:bottom w:val="none" w:sz="0" w:space="0" w:color="auto"/>
        <w:right w:val="none" w:sz="0" w:space="0" w:color="auto"/>
      </w:divBdr>
    </w:div>
    <w:div w:id="2134206223">
      <w:bodyDiv w:val="1"/>
      <w:marLeft w:val="0"/>
      <w:marRight w:val="0"/>
      <w:marTop w:val="0"/>
      <w:marBottom w:val="0"/>
      <w:divBdr>
        <w:top w:val="none" w:sz="0" w:space="0" w:color="auto"/>
        <w:left w:val="none" w:sz="0" w:space="0" w:color="auto"/>
        <w:bottom w:val="none" w:sz="0" w:space="0" w:color="auto"/>
        <w:right w:val="none" w:sz="0" w:space="0" w:color="auto"/>
      </w:divBdr>
    </w:div>
    <w:div w:id="2134592894">
      <w:bodyDiv w:val="1"/>
      <w:marLeft w:val="0"/>
      <w:marRight w:val="0"/>
      <w:marTop w:val="0"/>
      <w:marBottom w:val="0"/>
      <w:divBdr>
        <w:top w:val="none" w:sz="0" w:space="0" w:color="auto"/>
        <w:left w:val="none" w:sz="0" w:space="0" w:color="auto"/>
        <w:bottom w:val="none" w:sz="0" w:space="0" w:color="auto"/>
        <w:right w:val="none" w:sz="0" w:space="0" w:color="auto"/>
      </w:divBdr>
    </w:div>
    <w:div w:id="2135556302">
      <w:bodyDiv w:val="1"/>
      <w:marLeft w:val="0"/>
      <w:marRight w:val="0"/>
      <w:marTop w:val="0"/>
      <w:marBottom w:val="0"/>
      <w:divBdr>
        <w:top w:val="none" w:sz="0" w:space="0" w:color="auto"/>
        <w:left w:val="none" w:sz="0" w:space="0" w:color="auto"/>
        <w:bottom w:val="none" w:sz="0" w:space="0" w:color="auto"/>
        <w:right w:val="none" w:sz="0" w:space="0" w:color="auto"/>
      </w:divBdr>
    </w:div>
    <w:div w:id="2135907799">
      <w:bodyDiv w:val="1"/>
      <w:marLeft w:val="0"/>
      <w:marRight w:val="0"/>
      <w:marTop w:val="0"/>
      <w:marBottom w:val="0"/>
      <w:divBdr>
        <w:top w:val="none" w:sz="0" w:space="0" w:color="auto"/>
        <w:left w:val="none" w:sz="0" w:space="0" w:color="auto"/>
        <w:bottom w:val="none" w:sz="0" w:space="0" w:color="auto"/>
        <w:right w:val="none" w:sz="0" w:space="0" w:color="auto"/>
      </w:divBdr>
    </w:div>
    <w:div w:id="2136631758">
      <w:bodyDiv w:val="1"/>
      <w:marLeft w:val="0"/>
      <w:marRight w:val="0"/>
      <w:marTop w:val="0"/>
      <w:marBottom w:val="0"/>
      <w:divBdr>
        <w:top w:val="none" w:sz="0" w:space="0" w:color="auto"/>
        <w:left w:val="none" w:sz="0" w:space="0" w:color="auto"/>
        <w:bottom w:val="none" w:sz="0" w:space="0" w:color="auto"/>
        <w:right w:val="none" w:sz="0" w:space="0" w:color="auto"/>
      </w:divBdr>
    </w:div>
    <w:div w:id="2137720461">
      <w:bodyDiv w:val="1"/>
      <w:marLeft w:val="0"/>
      <w:marRight w:val="0"/>
      <w:marTop w:val="0"/>
      <w:marBottom w:val="0"/>
      <w:divBdr>
        <w:top w:val="none" w:sz="0" w:space="0" w:color="auto"/>
        <w:left w:val="none" w:sz="0" w:space="0" w:color="auto"/>
        <w:bottom w:val="none" w:sz="0" w:space="0" w:color="auto"/>
        <w:right w:val="none" w:sz="0" w:space="0" w:color="auto"/>
      </w:divBdr>
    </w:div>
    <w:div w:id="2137990489">
      <w:bodyDiv w:val="1"/>
      <w:marLeft w:val="0"/>
      <w:marRight w:val="0"/>
      <w:marTop w:val="0"/>
      <w:marBottom w:val="0"/>
      <w:divBdr>
        <w:top w:val="none" w:sz="0" w:space="0" w:color="auto"/>
        <w:left w:val="none" w:sz="0" w:space="0" w:color="auto"/>
        <w:bottom w:val="none" w:sz="0" w:space="0" w:color="auto"/>
        <w:right w:val="none" w:sz="0" w:space="0" w:color="auto"/>
      </w:divBdr>
    </w:div>
    <w:div w:id="2139689165">
      <w:bodyDiv w:val="1"/>
      <w:marLeft w:val="0"/>
      <w:marRight w:val="0"/>
      <w:marTop w:val="0"/>
      <w:marBottom w:val="0"/>
      <w:divBdr>
        <w:top w:val="none" w:sz="0" w:space="0" w:color="auto"/>
        <w:left w:val="none" w:sz="0" w:space="0" w:color="auto"/>
        <w:bottom w:val="none" w:sz="0" w:space="0" w:color="auto"/>
        <w:right w:val="none" w:sz="0" w:space="0" w:color="auto"/>
      </w:divBdr>
    </w:div>
    <w:div w:id="2143621048">
      <w:bodyDiv w:val="1"/>
      <w:marLeft w:val="0"/>
      <w:marRight w:val="0"/>
      <w:marTop w:val="0"/>
      <w:marBottom w:val="0"/>
      <w:divBdr>
        <w:top w:val="none" w:sz="0" w:space="0" w:color="auto"/>
        <w:left w:val="none" w:sz="0" w:space="0" w:color="auto"/>
        <w:bottom w:val="none" w:sz="0" w:space="0" w:color="auto"/>
        <w:right w:val="none" w:sz="0" w:space="0" w:color="auto"/>
      </w:divBdr>
    </w:div>
    <w:div w:id="21454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opyright@dewr.gov.au" TargetMode="External"/><Relationship Id="rId26" Type="http://schemas.openxmlformats.org/officeDocument/2006/relationships/header" Target="header4.xml"/><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5.svg"/><Relationship Id="rId42" Type="http://schemas.openxmlformats.org/officeDocument/2006/relationships/image" Target="media/image20.png"/><Relationship Id="rId47" Type="http://schemas.openxmlformats.org/officeDocument/2006/relationships/header" Target="header7.xml"/><Relationship Id="rId50" Type="http://schemas.openxmlformats.org/officeDocument/2006/relationships/header" Target="header9.xml"/><Relationship Id="rId55" Type="http://schemas.openxmlformats.org/officeDocument/2006/relationships/image" Target="media/image2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 TargetMode="External"/><Relationship Id="rId29" Type="http://schemas.openxmlformats.org/officeDocument/2006/relationships/image" Target="media/image10.svg"/><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image" Target="media/image13.svg"/><Relationship Id="rId37" Type="http://schemas.openxmlformats.org/officeDocument/2006/relationships/image" Target="media/image17.svg"/><Relationship Id="rId40" Type="http://schemas.openxmlformats.org/officeDocument/2006/relationships/image" Target="media/image19.svg"/><Relationship Id="rId45" Type="http://schemas.openxmlformats.org/officeDocument/2006/relationships/header" Target="header5.xml"/><Relationship Id="rId53" Type="http://schemas.openxmlformats.org/officeDocument/2006/relationships/header" Target="header10.xml"/><Relationship Id="rId58" Type="http://schemas.openxmlformats.org/officeDocument/2006/relationships/header" Target="header1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5.jpeg"/><Relationship Id="rId14" Type="http://schemas.openxmlformats.org/officeDocument/2006/relationships/image" Target="media/image3.svg"/><Relationship Id="rId22" Type="http://schemas.openxmlformats.org/officeDocument/2006/relationships/image" Target="media/image7.svg"/><Relationship Id="rId27" Type="http://schemas.openxmlformats.org/officeDocument/2006/relationships/footer" Target="footer5.xml"/><Relationship Id="rId30" Type="http://schemas.openxmlformats.org/officeDocument/2006/relationships/image" Target="media/image11.png"/><Relationship Id="rId35" Type="http://schemas.openxmlformats.org/officeDocument/2006/relationships/hyperlink" Target="https://tafeqld.edu.au/news-and-events/news/2024/introducing-tafe-queensland-s-bachelor-of-nursing-program" TargetMode="External"/><Relationship Id="rId43" Type="http://schemas.openxmlformats.org/officeDocument/2006/relationships/image" Target="media/image21.png"/><Relationship Id="rId48" Type="http://schemas.openxmlformats.org/officeDocument/2006/relationships/image" Target="media/image23.png"/><Relationship Id="rId56" Type="http://schemas.openxmlformats.org/officeDocument/2006/relationships/header" Target="header11.xml"/><Relationship Id="rId8" Type="http://schemas.openxmlformats.org/officeDocument/2006/relationships/image" Target="media/image1.jpeg"/><Relationship Id="rId51"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www.pmc.gov.au/" TargetMode="External"/><Relationship Id="rId25" Type="http://schemas.openxmlformats.org/officeDocument/2006/relationships/header" Target="header3.xml"/><Relationship Id="rId33" Type="http://schemas.openxmlformats.org/officeDocument/2006/relationships/image" Target="media/image14.png"/><Relationship Id="rId38" Type="http://schemas.openxmlformats.org/officeDocument/2006/relationships/hyperlink" Target="https://tda.edu.au/first-in-family-students-access-university-through-tafe-nsw/" TargetMode="External"/><Relationship Id="rId46" Type="http://schemas.openxmlformats.org/officeDocument/2006/relationships/header" Target="header6.xml"/><Relationship Id="rId59" Type="http://schemas.openxmlformats.org/officeDocument/2006/relationships/footer" Target="footer9.xml"/><Relationship Id="rId20" Type="http://schemas.openxmlformats.org/officeDocument/2006/relationships/footer" Target="footer4.xml"/><Relationship Id="rId41" Type="http://schemas.openxmlformats.org/officeDocument/2006/relationships/hyperlink" Target="https://www.aigroupapprentices.com.au/programs/degree-level-apprenticeships/victorian-systems-engineering-apprenticeship/" TargetMode="External"/><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eader" Target="header8.xml"/><Relationship Id="rId57" Type="http://schemas.openxmlformats.org/officeDocument/2006/relationships/header" Target="header12.xm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2.svg"/><Relationship Id="rId52" Type="http://schemas.openxmlformats.org/officeDocument/2006/relationships/footer" Target="footer7.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Com23</b:Tag>
    <b:SourceType>Report</b:SourceType>
    <b:Guid>{B1BD066F-6967-4B03-90F9-84008E2F4ED7}</b:Guid>
    <b:Author>
      <b:Author>
        <b:Corporate>Department of Treasury</b:Corporate>
      </b:Author>
    </b:Author>
    <b:Title>Working Future: The Australian Government’s White Paper on Jobs and Opportunities</b:Title>
    <b:Year>2023</b:Year>
    <b:Publisher>Commonwealth Department of Treasury</b:Publisher>
    <b:City>Canberra</b:City>
    <b:YearAccessed>2024</b:YearAccessed>
    <b:MonthAccessed>September</b:MonthAccessed>
    <b:URL>https://treasury.gov.au/employment-whitepaper/final-report</b:URL>
    <b:RefOrder>4</b:RefOrder>
  </b:Source>
  <b:Source>
    <b:Tag>Com241</b:Tag>
    <b:SourceType>Report</b:SourceType>
    <b:Guid>{8D688DF1-0572-4BD9-8D70-898E1A5A3076}</b:Guid>
    <b:Title>Australian Universities Accord Final Report</b:Title>
    <b:Year>2024</b:Year>
    <b:YearAccessed>2024</b:YearAccessed>
    <b:MonthAccessed>September</b:MonthAccessed>
    <b:URL>https://www.education.gov.au/australian-universities-accord/resources/final-report</b:URL>
    <b:Author>
      <b:Author>
        <b:Corporate>Department of Education</b:Corporate>
      </b:Author>
    </b:Author>
    <b:Publisher>Commonwealth Department of Education</b:Publisher>
    <b:City>Canberra</b:City>
    <b:RefOrder>8</b:RefOrder>
  </b:Source>
  <b:Source>
    <b:Tag>Com08</b:Tag>
    <b:SourceType>Report</b:SourceType>
    <b:Guid>{C9F40FEA-F0A1-4623-898C-ADF4691290B4}</b:Guid>
    <b:Author>
      <b:Author>
        <b:Corporate>Department of Education, Employment and Workplace Relations</b:Corporate>
      </b:Author>
    </b:Author>
    <b:Title>Australian Higher Education: final report [Bradley Review]</b:Title>
    <b:Year>2008</b:Year>
    <b:Publisher>Commonwealth Department of Education, Employment and Workplace Relations</b:Publisher>
    <b:City>Canberra</b:City>
    <b:YearAccessed>2024</b:YearAccessed>
    <b:MonthAccessed>October</b:MonthAccessed>
    <b:URL>https://www.voced.edu.au/content/ngv%3A32134</b:URL>
    <b:RefOrder>1</b:RefOrder>
  </b:Source>
  <b:Source>
    <b:Tag>Daw23</b:Tag>
    <b:SourceType>Book</b:SourceType>
    <b:Guid>{DC4FA43F-C599-4728-8BD0-4CF75CB1B535}</b:Guid>
    <b:Title>Rethinking Tertiary Education</b:Title>
    <b:Year>2023</b:Year>
    <b:City>Melbourne</b:City>
    <b:Publisher>Melbourne University Press</b:Publisher>
    <b:Author>
      <b:Author>
        <b:NameList>
          <b:Person>
            <b:Last>Dawkins</b:Last>
            <b:First>Peter</b:First>
          </b:Person>
          <b:Person>
            <b:Last>Lilly</b:Last>
            <b:First>Megan</b:First>
          </b:Person>
          <b:Person>
            <b:Last>Pascoe</b:Last>
            <b:First>Robert</b:First>
          </b:Person>
        </b:NameList>
      </b:Author>
    </b:Author>
    <b:RefOrder>2</b:RefOrder>
  </b:Source>
  <b:Source>
    <b:Tag>BIS23</b:Tag>
    <b:SourceType>Report</b:SourceType>
    <b:Guid>{5C4421E2-BFD5-4027-9367-C28B801724EA}</b:Guid>
    <b:Author>
      <b:Author>
        <b:Corporate>BIS Oxford Economics Australia</b:Corporate>
      </b:Author>
    </b:Author>
    <b:Title>Tertiary Education Qualification Demand</b:Title>
    <b:Year>2023</b:Year>
    <b:Publisher>Commonwealth Department of Education</b:Publisher>
    <b:Department>Commonwealth Department of Education</b:Department>
    <b:URL>https://www.education.gov.au/australian-universities-accord/resources/tertiary-education-qualifications-demand</b:URL>
    <b:RefOrder>22</b:RefOrder>
  </b:Source>
  <b:Source>
    <b:Tag>Job23</b:Tag>
    <b:SourceType>Report</b:SourceType>
    <b:Guid>{196EB65A-59BB-4F71-9F27-7C4B5079D2E0}</b:Guid>
    <b:Title>Towards a National Jobs and Skills Roadmap: Annual Jobs and Skills Report 2024</b:Title>
    <b:Year>2024</b:Year>
    <b:Publisher>Jobs and Skills Australia</b:Publisher>
    <b:Author>
      <b:Author>
        <b:Corporate>Jobs and Skills Australia</b:Corporate>
      </b:Author>
    </b:Author>
    <b:YearAccessed>2024</b:YearAccessed>
    <b:MonthAccessed>August</b:MonthAccessed>
    <b:URL>https://www.jobsandskills.gov.au/publications/towards-national-jobs-and-skills-roadmap</b:URL>
    <b:RefOrder>21</b:RefOrder>
  </b:Source>
  <b:Source>
    <b:Tag>Gly17</b:Tag>
    <b:SourceType>Book</b:SourceType>
    <b:Guid>{41FE998B-412B-4732-A310-812BFC0933F6}</b:Guid>
    <b:Title>The Australian Idea of a University</b:Title>
    <b:Year>2017</b:Year>
    <b:Author>
      <b:Author>
        <b:NameList>
          <b:Person>
            <b:Last>Davis</b:Last>
            <b:First>Glyn</b:First>
          </b:Person>
        </b:NameList>
      </b:Author>
    </b:Author>
    <b:City>Melbourne</b:City>
    <b:Publisher>Melbourne University Press</b:Publisher>
    <b:RefOrder>28</b:RefOrder>
  </b:Source>
  <b:Source>
    <b:Tag>Wor25</b:Tag>
    <b:SourceType>Report</b:SourceType>
    <b:Guid>{3615F6CB-7023-49C5-A143-ED50238A9DD5}</b:Guid>
    <b:Author>
      <b:Author>
        <b:Corporate>World Economic Forum</b:Corporate>
      </b:Author>
    </b:Author>
    <b:Title>Future of Jobs Report 2025</b:Title>
    <b:Year>2025</b:Year>
    <b:Publisher>World Economic Forum</b:Publisher>
    <b:City>Geneva</b:City>
    <b:RefOrder>13</b:RefOrder>
  </b:Source>
  <b:Source>
    <b:Tag>Hod21</b:Tag>
    <b:SourceType>Report</b:SourceType>
    <b:Guid>{0FCA015D-DD78-481F-B4D7-57FF5FB1EB11}</b:Guid>
    <b:Title>The best of both worlds? Integrating VET and higher education</b:Title>
    <b:Year>2021</b:Year>
    <b:Publisher>National Centre for Vocational Education Research</b:Publisher>
    <b:City>Adelaide</b:City>
    <b:Author>
      <b:Author>
        <b:NameList>
          <b:Person>
            <b:Last>Hodge</b:Last>
            <b:First>Steven</b:First>
          </b:Person>
          <b:Person>
            <b:Last>Knight</b:Last>
            <b:First>Elizabeth</b:First>
          </b:Person>
        </b:NameList>
      </b:Author>
    </b:Author>
    <b:RefOrder>16</b:RefOrder>
  </b:Source>
  <b:Source>
    <b:Tag>Dep19</b:Tag>
    <b:SourceType>Report</b:SourceType>
    <b:Guid>{BF3D43F4-97BB-4E95-B14C-08DF35D0DE5C}</b:Guid>
    <b:Author>
      <b:Author>
        <b:Corporate>Department of Education</b:Corporate>
      </b:Author>
    </b:Author>
    <b:Title>Australian Qualifications Framework Review</b:Title>
    <b:Year>2019</b:Year>
    <b:Publisher>Australian Government</b:Publisher>
    <b:City>Canberra</b:City>
    <b:RefOrder>15</b:RefOrder>
  </b:Source>
  <b:Source>
    <b:Tag>Aus25</b:Tag>
    <b:SourceType>InternetSite</b:SourceType>
    <b:Guid>{DCA619E3-0B27-41F8-88F6-CF72A8711F1B}</b:Guid>
    <b:Author>
      <b:Author>
        <b:Corporate>ASQA</b:Corporate>
      </b:Author>
    </b:Author>
    <b:Title>VET sector regulation</b:Title>
    <b:Year>2024</b:Year>
    <b:InternetSiteTitle>Australian Skills Quality Authority</b:InternetSiteTitle>
    <b:URL>https://www.asqa.gov.au/resources/faqs/vet-sector-regulation</b:URL>
    <b:RefOrder>10</b:RefOrder>
  </b:Source>
  <b:Source>
    <b:Tag>Ter24</b:Tag>
    <b:SourceType>InternetSite</b:SourceType>
    <b:Guid>{DF430745-6C47-4BC7-A5D6-E97B949ACF61}</b:Guid>
    <b:Author>
      <b:Author>
        <b:Corporate>TEQSA</b:Corporate>
      </b:Author>
    </b:Author>
    <b:Title>Our approach to quality assurance and regulation</b:Title>
    <b:InternetSiteTitle>Tertiary Education Quality and Standards Agency</b:InternetSiteTitle>
    <b:Year>2024</b:Year>
    <b:URL>https://www.teqsa.gov.au/how-we-regulate/our-approach-quality-assurance-and-regulation#:~:text=TEQSA%20is%20the%20national%20regulator,standing%20of%20Australian%20higher%20education.</b:URL>
    <b:RefOrder>11</b:RefOrder>
  </b:Source>
  <b:Source>
    <b:Tag>Hou24</b:Tag>
    <b:SourceType>Report</b:SourceType>
    <b:Guid>{65E38F25-C19A-461E-9C4A-4E9933596115}</b:Guid>
    <b:Author>
      <b:Author>
        <b:Corporate>House of Representatives Standing Committee on Employment, Education and Training</b:Corporate>
      </b:Author>
    </b:Author>
    <b:Title>Shared vision, equal pathways: Inquiry into the perceptions and status of vocational education and training</b:Title>
    <b:Year>2024</b:Year>
    <b:Publisher>Parliament of Australia</b:Publisher>
    <b:RefOrder>5</b:RefOrder>
  </b:Source>
  <b:Source>
    <b:Tag>TEQ23</b:Tag>
    <b:SourceType>DocumentFromInternetSite</b:SourceType>
    <b:Guid>{AEEE4DA8-6A82-4CAA-A006-889BA8A77D55}</b:Guid>
    <b:Title>TEQSA submission to the Australian Universities Accord Panel</b:Title>
    <b:Year>2023</b:Year>
    <b:Author>
      <b:Author>
        <b:Corporate>TEQSA</b:Corporate>
      </b:Author>
    </b:Author>
    <b:URL>https://www.education.gov.au/australian-universities-accord/consultations/australian-universities-accord-panel-discussion-paper-consultation/submission/16273</b:URL>
    <b:RefOrder>17</b:RefOrder>
  </b:Source>
  <b:Source>
    <b:Tag>ASQ16</b:Tag>
    <b:SourceType>DocumentFromInternetSite</b:SourceType>
    <b:Guid>{B2354611-16B6-4FB0-AF59-95AEF28E72A3}</b:Guid>
    <b:Author>
      <b:Author>
        <b:Corporate>ASQA &amp; TEQSA</b:Corporate>
      </b:Author>
    </b:Author>
    <b:Title>ASQA and TEQSA Memorandum of Understanding</b:Title>
    <b:Year>2016</b:Year>
    <b:URL>https://www.asqa.gov.au/sites/default/files/teqsa_mou_signed_7_july_2016.pdf</b:URL>
    <b:RefOrder>18</b:RefOrder>
  </b:Source>
  <b:Source>
    <b:Tag>Bor24</b:Tag>
    <b:SourceType>ConferenceProceedings</b:SourceType>
    <b:Guid>{44496BFB-1F06-47AB-A985-138FF3139024}</b:Guid>
    <b:Title>A review of how economists thinking about human capital has evolved and the current state of research on human capital in Australia</b:Title>
    <b:Year>2024</b:Year>
    <b:Author>
      <b:Author>
        <b:NameList>
          <b:Person>
            <b:Last>Borland</b:Last>
            <b:First>J</b:First>
          </b:Person>
          <b:Person>
            <b:Last>Smedes</b:Last>
            <b:First>M</b:First>
          </b:Person>
        </b:NameList>
      </b:Author>
    </b:Author>
    <b:ConferenceName>2024 ABS/RBA Joint Conference on Human Capital</b:ConferenceName>
    <b:RefOrder>25</b:RefOrder>
  </b:Source>
  <b:Source>
    <b:Tag>Ban16</b:Tag>
    <b:SourceType>JournalArticle</b:SourceType>
    <b:Guid>{ED87F58F-16BC-45A8-93C6-5911DF6C2432}</b:Guid>
    <b:Title>Roles of education in productivity growth in Australia, 1860–1939.</b:Title>
    <b:Pages>47-66</b:Pages>
    <b:Year>2016</b:Year>
    <b:Author>
      <b:Author>
        <b:NameList>
          <b:Person>
            <b:Last>Banerjee</b:Last>
            <b:First>R</b:First>
          </b:Person>
          <b:Person>
            <b:Last>Wilson</b:Last>
            <b:First>J</b:First>
            <b:Middle>K</b:Middle>
          </b:Person>
        </b:NameList>
      </b:Author>
    </b:Author>
    <b:JournalName>Economic record</b:JournalName>
    <b:RefOrder>24</b:RefOrder>
  </b:Source>
  <b:Source>
    <b:Tag>Cho03</b:Tag>
    <b:SourceType>JournalArticle</b:SourceType>
    <b:Guid>{1F230CCC-4DA7-4FD6-B4BD-CD75AABE69B0}</b:Guid>
    <b:Author>
      <b:Author>
        <b:NameList>
          <b:Person>
            <b:Last>Chou</b:Last>
            <b:First>Y</b:First>
            <b:Middle>K</b:Middle>
          </b:Person>
        </b:NameList>
      </b:Author>
    </b:Author>
    <b:Title>he Australian Growth Experience, 1960–2000: Human Capital, R&amp;D or Steady‐State Growth?</b:Title>
    <b:JournalName>Australian Economic Review</b:JournalName>
    <b:Year>2003</b:Year>
    <b:Pages>397-414</b:Pages>
    <b:RefOrder>23</b:RefOrder>
  </b:Source>
  <b:Source>
    <b:Tag>Hur23</b:Tag>
    <b:SourceType>BookSection</b:SourceType>
    <b:Guid>{74FAAD87-B3AA-4064-900A-B2F4B454EAC3}</b:Guid>
    <b:Title>One system, two sectors: worlds apart</b:Title>
    <b:Year>2023</b:Year>
    <b:Author>
      <b:Author>
        <b:NameList>
          <b:Person>
            <b:Last>Hurley</b:Last>
            <b:First>P</b:First>
          </b:Person>
          <b:Person>
            <b:Last>Pilcher</b:Last>
            <b:First>S</b:First>
          </b:Person>
        </b:NameList>
      </b:Author>
      <b:BookAuthor>
        <b:NameList>
          <b:Person>
            <b:Last>Dawkins</b:Last>
            <b:First>P</b:First>
          </b:Person>
          <b:Person>
            <b:Last>Lilly</b:Last>
            <b:First>M</b:First>
          </b:Person>
          <b:Person>
            <b:Last>Pascoe</b:Last>
            <b:First>R</b:First>
          </b:Person>
        </b:NameList>
      </b:BookAuthor>
    </b:Author>
    <b:BookTitle>Rethinking Tertiary Education</b:BookTitle>
    <b:City>Melbourne</b:City>
    <b:Publisher>Melbourne University Press</b:Publisher>
    <b:RefOrder>29</b:RefOrder>
  </b:Source>
  <b:Source>
    <b:Tag>Bea</b:Tag>
    <b:SourceType>Report</b:SourceType>
    <b:Guid>{5159E0D3-4D04-4D9C-A66B-53CA081E3F0B}</b:Guid>
    <b:Title>Review of University-Industry Collaboration In Teaching and Learning</b:Title>
    <b:City>Canberra</b:City>
    <b:Publisher>Department of Education, Skills and Employment</b:Publisher>
    <b:Author>
      <b:Author>
        <b:NameList>
          <b:Person>
            <b:Last>Bean</b:Last>
            <b:First>M</b:First>
          </b:Person>
          <b:Person>
            <b:Last>Dawkins</b:Last>
            <b:First>P</b:First>
          </b:Person>
        </b:NameList>
      </b:Author>
    </b:Author>
    <b:Year>2021</b:Year>
    <b:RefOrder>14</b:RefOrder>
  </b:Source>
  <b:Source>
    <b:Tag>Job24</b:Tag>
    <b:SourceType>Report</b:SourceType>
    <b:Guid>{104E2A3F-5F38-4128-B81B-925BD8E5C450}</b:Guid>
    <b:Author>
      <b:Author>
        <b:Corporate>Jobs and Skills Australia</b:Corporate>
      </b:Author>
    </b:Author>
    <b:Title>VET Workforce Study</b:Title>
    <b:Year>2024</b:Year>
    <b:City>Canberra</b:City>
    <b:RefOrder>12</b:RefOrder>
  </b:Source>
  <b:Source>
    <b:Tag>Job241</b:Tag>
    <b:SourceType>Book</b:SourceType>
    <b:Guid>{A9E26FC0-1B92-4D5A-B8FA-8AD206B25400}</b:Guid>
    <b:Author>
      <b:Author>
        <b:Corporate>Jobs and Skills Australia</b:Corporate>
      </b:Author>
    </b:Author>
    <b:Title>Emerging Roles Report</b:Title>
    <b:Year>2024</b:Year>
    <b:City>Canberra</b:City>
    <b:RefOrder>3</b:RefOrder>
  </b:Source>
  <b:Source>
    <b:Tag>SWM24</b:Tag>
    <b:SourceType>DocumentFromInternetSite</b:SourceType>
    <b:Guid>{4F52DFF0-8289-4116-BBF8-1BAB2320AE01}</b:Guid>
    <b:Title>Skills and Workforce Ministerial Council Communique - September 2024</b:Title>
    <b:Year>2024</b:Year>
    <b:Author>
      <b:Author>
        <b:Corporate>SWMC</b:Corporate>
      </b:Author>
    </b:Author>
    <b:URL>https://www.dewr.gov.au/download/16465/skills-and-workforce-ministerial-council-communique-20-september-2024/38104/document/pdf</b:URL>
    <b:RefOrder>6</b:RefOrder>
  </b:Source>
  <b:Source>
    <b:Tag>Aus24</b:Tag>
    <b:SourceType>InternetSite</b:SourceType>
    <b:Guid>{AF10EA87-DA41-4A75-B90F-746868BACB4F}</b:Guid>
    <b:Title>Education and Work, Australia</b:Title>
    <b:Year>2024</b:Year>
    <b:URL>https://www.abs.gov.au/statistics/people/education/education-and-work-australia/latest-release</b:URL>
    <b:Author>
      <b:Author>
        <b:Corporate>Australian Bureau of Statistics</b:Corporate>
      </b:Author>
    </b:Author>
    <b:City>Canberra</b:City>
    <b:RefOrder>27</b:RefOrder>
  </b:Source>
  <b:Source>
    <b:Tag>Lei24</b:Tag>
    <b:SourceType>JournalArticle</b:SourceType>
    <b:Guid>{3A6BF38F-3CF3-4451-BC83-0D4B4527BE46}</b:Guid>
    <b:Title>Returns to Education in Australia 2001–2022</b:Title>
    <b:Year>2024</b:Year>
    <b:Author>
      <b:Author>
        <b:NameList>
          <b:Person>
            <b:Last>Leigh</b:Last>
            <b:First>A</b:First>
          </b:Person>
        </b:NameList>
      </b:Author>
    </b:Author>
    <b:JournalName>Economic Papers: A journal of applied economics and policy</b:JournalName>
    <b:RefOrder>26</b:RefOrder>
  </b:Source>
  <b:Source>
    <b:Tag>Com24</b:Tag>
    <b:SourceType>DocumentFromInternetSite</b:SourceType>
    <b:Guid>{56DD5188-4C95-4876-9A97-85A51213D1B2}</b:Guid>
    <b:Author>
      <b:Author>
        <b:Corporate>Australian and State and Territory Governments</b:Corporate>
      </b:Author>
    </b:Author>
    <b:Title>National Skills Plan</b:Title>
    <b:Year>2024</b:Year>
    <b:URL>https://www.dewr.gov.au/download/16467/national-skills-plan/38272/national-skills-plan/pdf</b:URL>
    <b:RefOrder>19</b:RefOrder>
  </b:Source>
  <b:Source>
    <b:Tag>Aus23</b:Tag>
    <b:SourceType>DocumentFromInternetSite</b:SourceType>
    <b:Guid>{0C9887C1-2A80-44EF-ACEB-492324EA5D70}</b:Guid>
    <b:Author>
      <b:Author>
        <b:Corporate>Australian and State and Territory Governments</b:Corporate>
      </b:Author>
    </b:Author>
    <b:Title>National Skills Agreement</b:Title>
    <b:Year>2023</b:Year>
    <b:InternetSiteTitle>Federal Financial Relations</b:InternetSiteTitle>
    <b:URL>https://federalfinancialrelations.gov.au/sites/federalfinancialrelations.gov.au/files/2023-12/national-skills-agreement.pdf</b:URL>
    <b:RefOrder>9</b:RefOrder>
  </b:Source>
  <b:Source>
    <b:Tag>CW</b:Tag>
    <b:SourceType>DocumentFromInternetSite</b:SourceType>
    <b:Guid>{D9D0FA1E-0407-4223-AEB8-D97D2D8FF25D}</b:Guid>
    <b:Author>
      <b:Author>
        <b:Corporate>Department of Education</b:Corporate>
      </b:Author>
    </b:Author>
    <b:InternetSiteTitle>Australian Universities Accord Panel Discussion Paper</b:InternetSiteTitle>
    <b:Year>2023</b:Year>
    <b:URL>https://www.education.gov.au/australian-universities-accord/resources/australian-universities-accord-panel-discussion-paper</b:URL>
    <b:RefOrder>20</b:RefOrder>
  </b:Source>
  <b:Source>
    <b:Tag>Dep24</b:Tag>
    <b:SourceType>InternetSite</b:SourceType>
    <b:Guid>{5B119AB1-20E5-4EFB-9019-3BE5AF851147}</b:Guid>
    <b:Title>VET Qualification Reform</b:Title>
    <b:Year>2024</b:Year>
    <b:Author>
      <b:Author>
        <b:Corporate>Department of Employment and Workplace Relations</b:Corporate>
      </b:Author>
    </b:Author>
    <b:InternetSiteTitle>Department of Employment and Workplace Relations</b:InternetSiteTitle>
    <b:URL>https://www.dewr.gov.au/skills-reform/vet-qualification-reform</b:URL>
    <b:RefOrder>7</b:RefOrder>
  </b:Source>
</b:Sources>
</file>

<file path=customXml/itemProps1.xml><?xml version="1.0" encoding="utf-8"?>
<ds:datastoreItem xmlns:ds="http://schemas.openxmlformats.org/officeDocument/2006/customXml" ds:itemID="{D1E50DA4-A173-4897-AEF2-0E15C2357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71</Pages>
  <Words>25873</Words>
  <Characters>147479</Characters>
  <Application>Microsoft Office Word</Application>
  <DocSecurity>0</DocSecurity>
  <Lines>1228</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173006</CharactersWithSpaces>
  <SharedDoc>false</SharedDoc>
  <HLinks>
    <vt:vector size="234" baseType="variant">
      <vt:variant>
        <vt:i4>327703</vt:i4>
      </vt:variant>
      <vt:variant>
        <vt:i4>378</vt:i4>
      </vt:variant>
      <vt:variant>
        <vt:i4>0</vt:i4>
      </vt:variant>
      <vt:variant>
        <vt:i4>5</vt:i4>
      </vt:variant>
      <vt:variant>
        <vt:lpwstr>https://www.aigroupapprentices.com.au/programs/degree-level-apprenticeships/victorian-systems-engineering-apprenticeship/</vt:lpwstr>
      </vt:variant>
      <vt:variant>
        <vt:lpwstr/>
      </vt:variant>
      <vt:variant>
        <vt:i4>8192100</vt:i4>
      </vt:variant>
      <vt:variant>
        <vt:i4>363</vt:i4>
      </vt:variant>
      <vt:variant>
        <vt:i4>0</vt:i4>
      </vt:variant>
      <vt:variant>
        <vt:i4>5</vt:i4>
      </vt:variant>
      <vt:variant>
        <vt:lpwstr>https://tda.edu.au/first-in-family-students-access-university-through-tafe-nsw/</vt:lpwstr>
      </vt:variant>
      <vt:variant>
        <vt:lpwstr/>
      </vt:variant>
      <vt:variant>
        <vt:i4>3604520</vt:i4>
      </vt:variant>
      <vt:variant>
        <vt:i4>351</vt:i4>
      </vt:variant>
      <vt:variant>
        <vt:i4>0</vt:i4>
      </vt:variant>
      <vt:variant>
        <vt:i4>5</vt:i4>
      </vt:variant>
      <vt:variant>
        <vt:lpwstr>https://tafeqld.edu.au/news-and-events/news/2024/introducing-tafe-queensland-s-bachelor-of-nursing-program</vt:lpwstr>
      </vt:variant>
      <vt:variant>
        <vt:lpwstr/>
      </vt:variant>
      <vt:variant>
        <vt:i4>1376304</vt:i4>
      </vt:variant>
      <vt:variant>
        <vt:i4>203</vt:i4>
      </vt:variant>
      <vt:variant>
        <vt:i4>0</vt:i4>
      </vt:variant>
      <vt:variant>
        <vt:i4>5</vt:i4>
      </vt:variant>
      <vt:variant>
        <vt:lpwstr/>
      </vt:variant>
      <vt:variant>
        <vt:lpwstr>_Toc190980927</vt:lpwstr>
      </vt:variant>
      <vt:variant>
        <vt:i4>1376304</vt:i4>
      </vt:variant>
      <vt:variant>
        <vt:i4>197</vt:i4>
      </vt:variant>
      <vt:variant>
        <vt:i4>0</vt:i4>
      </vt:variant>
      <vt:variant>
        <vt:i4>5</vt:i4>
      </vt:variant>
      <vt:variant>
        <vt:lpwstr/>
      </vt:variant>
      <vt:variant>
        <vt:lpwstr>_Toc190980926</vt:lpwstr>
      </vt:variant>
      <vt:variant>
        <vt:i4>1376304</vt:i4>
      </vt:variant>
      <vt:variant>
        <vt:i4>191</vt:i4>
      </vt:variant>
      <vt:variant>
        <vt:i4>0</vt:i4>
      </vt:variant>
      <vt:variant>
        <vt:i4>5</vt:i4>
      </vt:variant>
      <vt:variant>
        <vt:lpwstr/>
      </vt:variant>
      <vt:variant>
        <vt:lpwstr>_Toc190980925</vt:lpwstr>
      </vt:variant>
      <vt:variant>
        <vt:i4>1376304</vt:i4>
      </vt:variant>
      <vt:variant>
        <vt:i4>185</vt:i4>
      </vt:variant>
      <vt:variant>
        <vt:i4>0</vt:i4>
      </vt:variant>
      <vt:variant>
        <vt:i4>5</vt:i4>
      </vt:variant>
      <vt:variant>
        <vt:lpwstr/>
      </vt:variant>
      <vt:variant>
        <vt:lpwstr>_Toc190980924</vt:lpwstr>
      </vt:variant>
      <vt:variant>
        <vt:i4>1376304</vt:i4>
      </vt:variant>
      <vt:variant>
        <vt:i4>179</vt:i4>
      </vt:variant>
      <vt:variant>
        <vt:i4>0</vt:i4>
      </vt:variant>
      <vt:variant>
        <vt:i4>5</vt:i4>
      </vt:variant>
      <vt:variant>
        <vt:lpwstr/>
      </vt:variant>
      <vt:variant>
        <vt:lpwstr>_Toc190980923</vt:lpwstr>
      </vt:variant>
      <vt:variant>
        <vt:i4>1376304</vt:i4>
      </vt:variant>
      <vt:variant>
        <vt:i4>173</vt:i4>
      </vt:variant>
      <vt:variant>
        <vt:i4>0</vt:i4>
      </vt:variant>
      <vt:variant>
        <vt:i4>5</vt:i4>
      </vt:variant>
      <vt:variant>
        <vt:lpwstr/>
      </vt:variant>
      <vt:variant>
        <vt:lpwstr>_Toc190980922</vt:lpwstr>
      </vt:variant>
      <vt:variant>
        <vt:i4>1376304</vt:i4>
      </vt:variant>
      <vt:variant>
        <vt:i4>167</vt:i4>
      </vt:variant>
      <vt:variant>
        <vt:i4>0</vt:i4>
      </vt:variant>
      <vt:variant>
        <vt:i4>5</vt:i4>
      </vt:variant>
      <vt:variant>
        <vt:lpwstr/>
      </vt:variant>
      <vt:variant>
        <vt:lpwstr>_Toc190980921</vt:lpwstr>
      </vt:variant>
      <vt:variant>
        <vt:i4>1376304</vt:i4>
      </vt:variant>
      <vt:variant>
        <vt:i4>161</vt:i4>
      </vt:variant>
      <vt:variant>
        <vt:i4>0</vt:i4>
      </vt:variant>
      <vt:variant>
        <vt:i4>5</vt:i4>
      </vt:variant>
      <vt:variant>
        <vt:lpwstr/>
      </vt:variant>
      <vt:variant>
        <vt:lpwstr>_Toc190980920</vt:lpwstr>
      </vt:variant>
      <vt:variant>
        <vt:i4>1441840</vt:i4>
      </vt:variant>
      <vt:variant>
        <vt:i4>155</vt:i4>
      </vt:variant>
      <vt:variant>
        <vt:i4>0</vt:i4>
      </vt:variant>
      <vt:variant>
        <vt:i4>5</vt:i4>
      </vt:variant>
      <vt:variant>
        <vt:lpwstr/>
      </vt:variant>
      <vt:variant>
        <vt:lpwstr>_Toc190980919</vt:lpwstr>
      </vt:variant>
      <vt:variant>
        <vt:i4>1441840</vt:i4>
      </vt:variant>
      <vt:variant>
        <vt:i4>149</vt:i4>
      </vt:variant>
      <vt:variant>
        <vt:i4>0</vt:i4>
      </vt:variant>
      <vt:variant>
        <vt:i4>5</vt:i4>
      </vt:variant>
      <vt:variant>
        <vt:lpwstr/>
      </vt:variant>
      <vt:variant>
        <vt:lpwstr>_Toc190980918</vt:lpwstr>
      </vt:variant>
      <vt:variant>
        <vt:i4>1441840</vt:i4>
      </vt:variant>
      <vt:variant>
        <vt:i4>143</vt:i4>
      </vt:variant>
      <vt:variant>
        <vt:i4>0</vt:i4>
      </vt:variant>
      <vt:variant>
        <vt:i4>5</vt:i4>
      </vt:variant>
      <vt:variant>
        <vt:lpwstr/>
      </vt:variant>
      <vt:variant>
        <vt:lpwstr>_Toc190980917</vt:lpwstr>
      </vt:variant>
      <vt:variant>
        <vt:i4>1441840</vt:i4>
      </vt:variant>
      <vt:variant>
        <vt:i4>137</vt:i4>
      </vt:variant>
      <vt:variant>
        <vt:i4>0</vt:i4>
      </vt:variant>
      <vt:variant>
        <vt:i4>5</vt:i4>
      </vt:variant>
      <vt:variant>
        <vt:lpwstr/>
      </vt:variant>
      <vt:variant>
        <vt:lpwstr>_Toc190980916</vt:lpwstr>
      </vt:variant>
      <vt:variant>
        <vt:i4>1441840</vt:i4>
      </vt:variant>
      <vt:variant>
        <vt:i4>131</vt:i4>
      </vt:variant>
      <vt:variant>
        <vt:i4>0</vt:i4>
      </vt:variant>
      <vt:variant>
        <vt:i4>5</vt:i4>
      </vt:variant>
      <vt:variant>
        <vt:lpwstr/>
      </vt:variant>
      <vt:variant>
        <vt:lpwstr>_Toc190980915</vt:lpwstr>
      </vt:variant>
      <vt:variant>
        <vt:i4>1441840</vt:i4>
      </vt:variant>
      <vt:variant>
        <vt:i4>125</vt:i4>
      </vt:variant>
      <vt:variant>
        <vt:i4>0</vt:i4>
      </vt:variant>
      <vt:variant>
        <vt:i4>5</vt:i4>
      </vt:variant>
      <vt:variant>
        <vt:lpwstr/>
      </vt:variant>
      <vt:variant>
        <vt:lpwstr>_Toc190980914</vt:lpwstr>
      </vt:variant>
      <vt:variant>
        <vt:i4>1441840</vt:i4>
      </vt:variant>
      <vt:variant>
        <vt:i4>119</vt:i4>
      </vt:variant>
      <vt:variant>
        <vt:i4>0</vt:i4>
      </vt:variant>
      <vt:variant>
        <vt:i4>5</vt:i4>
      </vt:variant>
      <vt:variant>
        <vt:lpwstr/>
      </vt:variant>
      <vt:variant>
        <vt:lpwstr>_Toc190980913</vt:lpwstr>
      </vt:variant>
      <vt:variant>
        <vt:i4>1441840</vt:i4>
      </vt:variant>
      <vt:variant>
        <vt:i4>113</vt:i4>
      </vt:variant>
      <vt:variant>
        <vt:i4>0</vt:i4>
      </vt:variant>
      <vt:variant>
        <vt:i4>5</vt:i4>
      </vt:variant>
      <vt:variant>
        <vt:lpwstr/>
      </vt:variant>
      <vt:variant>
        <vt:lpwstr>_Toc190980912</vt:lpwstr>
      </vt:variant>
      <vt:variant>
        <vt:i4>1441840</vt:i4>
      </vt:variant>
      <vt:variant>
        <vt:i4>107</vt:i4>
      </vt:variant>
      <vt:variant>
        <vt:i4>0</vt:i4>
      </vt:variant>
      <vt:variant>
        <vt:i4>5</vt:i4>
      </vt:variant>
      <vt:variant>
        <vt:lpwstr/>
      </vt:variant>
      <vt:variant>
        <vt:lpwstr>_Toc190980911</vt:lpwstr>
      </vt:variant>
      <vt:variant>
        <vt:i4>1441840</vt:i4>
      </vt:variant>
      <vt:variant>
        <vt:i4>101</vt:i4>
      </vt:variant>
      <vt:variant>
        <vt:i4>0</vt:i4>
      </vt:variant>
      <vt:variant>
        <vt:i4>5</vt:i4>
      </vt:variant>
      <vt:variant>
        <vt:lpwstr/>
      </vt:variant>
      <vt:variant>
        <vt:lpwstr>_Toc190980910</vt:lpwstr>
      </vt:variant>
      <vt:variant>
        <vt:i4>1507376</vt:i4>
      </vt:variant>
      <vt:variant>
        <vt:i4>95</vt:i4>
      </vt:variant>
      <vt:variant>
        <vt:i4>0</vt:i4>
      </vt:variant>
      <vt:variant>
        <vt:i4>5</vt:i4>
      </vt:variant>
      <vt:variant>
        <vt:lpwstr/>
      </vt:variant>
      <vt:variant>
        <vt:lpwstr>_Toc190980909</vt:lpwstr>
      </vt:variant>
      <vt:variant>
        <vt:i4>1507376</vt:i4>
      </vt:variant>
      <vt:variant>
        <vt:i4>89</vt:i4>
      </vt:variant>
      <vt:variant>
        <vt:i4>0</vt:i4>
      </vt:variant>
      <vt:variant>
        <vt:i4>5</vt:i4>
      </vt:variant>
      <vt:variant>
        <vt:lpwstr/>
      </vt:variant>
      <vt:variant>
        <vt:lpwstr>_Toc190980908</vt:lpwstr>
      </vt:variant>
      <vt:variant>
        <vt:i4>1507376</vt:i4>
      </vt:variant>
      <vt:variant>
        <vt:i4>83</vt:i4>
      </vt:variant>
      <vt:variant>
        <vt:i4>0</vt:i4>
      </vt:variant>
      <vt:variant>
        <vt:i4>5</vt:i4>
      </vt:variant>
      <vt:variant>
        <vt:lpwstr/>
      </vt:variant>
      <vt:variant>
        <vt:lpwstr>_Toc190980907</vt:lpwstr>
      </vt:variant>
      <vt:variant>
        <vt:i4>1507376</vt:i4>
      </vt:variant>
      <vt:variant>
        <vt:i4>77</vt:i4>
      </vt:variant>
      <vt:variant>
        <vt:i4>0</vt:i4>
      </vt:variant>
      <vt:variant>
        <vt:i4>5</vt:i4>
      </vt:variant>
      <vt:variant>
        <vt:lpwstr/>
      </vt:variant>
      <vt:variant>
        <vt:lpwstr>_Toc190980906</vt:lpwstr>
      </vt:variant>
      <vt:variant>
        <vt:i4>1507376</vt:i4>
      </vt:variant>
      <vt:variant>
        <vt:i4>71</vt:i4>
      </vt:variant>
      <vt:variant>
        <vt:i4>0</vt:i4>
      </vt:variant>
      <vt:variant>
        <vt:i4>5</vt:i4>
      </vt:variant>
      <vt:variant>
        <vt:lpwstr/>
      </vt:variant>
      <vt:variant>
        <vt:lpwstr>_Toc190980905</vt:lpwstr>
      </vt:variant>
      <vt:variant>
        <vt:i4>1507376</vt:i4>
      </vt:variant>
      <vt:variant>
        <vt:i4>65</vt:i4>
      </vt:variant>
      <vt:variant>
        <vt:i4>0</vt:i4>
      </vt:variant>
      <vt:variant>
        <vt:i4>5</vt:i4>
      </vt:variant>
      <vt:variant>
        <vt:lpwstr/>
      </vt:variant>
      <vt:variant>
        <vt:lpwstr>_Toc190980904</vt:lpwstr>
      </vt:variant>
      <vt:variant>
        <vt:i4>1507376</vt:i4>
      </vt:variant>
      <vt:variant>
        <vt:i4>59</vt:i4>
      </vt:variant>
      <vt:variant>
        <vt:i4>0</vt:i4>
      </vt:variant>
      <vt:variant>
        <vt:i4>5</vt:i4>
      </vt:variant>
      <vt:variant>
        <vt:lpwstr/>
      </vt:variant>
      <vt:variant>
        <vt:lpwstr>_Toc190980903</vt:lpwstr>
      </vt:variant>
      <vt:variant>
        <vt:i4>1507376</vt:i4>
      </vt:variant>
      <vt:variant>
        <vt:i4>53</vt:i4>
      </vt:variant>
      <vt:variant>
        <vt:i4>0</vt:i4>
      </vt:variant>
      <vt:variant>
        <vt:i4>5</vt:i4>
      </vt:variant>
      <vt:variant>
        <vt:lpwstr/>
      </vt:variant>
      <vt:variant>
        <vt:lpwstr>_Toc190980902</vt:lpwstr>
      </vt:variant>
      <vt:variant>
        <vt:i4>1507376</vt:i4>
      </vt:variant>
      <vt:variant>
        <vt:i4>47</vt:i4>
      </vt:variant>
      <vt:variant>
        <vt:i4>0</vt:i4>
      </vt:variant>
      <vt:variant>
        <vt:i4>5</vt:i4>
      </vt:variant>
      <vt:variant>
        <vt:lpwstr/>
      </vt:variant>
      <vt:variant>
        <vt:lpwstr>_Toc190980901</vt:lpwstr>
      </vt:variant>
      <vt:variant>
        <vt:i4>1507376</vt:i4>
      </vt:variant>
      <vt:variant>
        <vt:i4>41</vt:i4>
      </vt:variant>
      <vt:variant>
        <vt:i4>0</vt:i4>
      </vt:variant>
      <vt:variant>
        <vt:i4>5</vt:i4>
      </vt:variant>
      <vt:variant>
        <vt:lpwstr/>
      </vt:variant>
      <vt:variant>
        <vt:lpwstr>_Toc190980900</vt:lpwstr>
      </vt:variant>
      <vt:variant>
        <vt:i4>1966129</vt:i4>
      </vt:variant>
      <vt:variant>
        <vt:i4>35</vt:i4>
      </vt:variant>
      <vt:variant>
        <vt:i4>0</vt:i4>
      </vt:variant>
      <vt:variant>
        <vt:i4>5</vt:i4>
      </vt:variant>
      <vt:variant>
        <vt:lpwstr/>
      </vt:variant>
      <vt:variant>
        <vt:lpwstr>_Toc190980899</vt:lpwstr>
      </vt:variant>
      <vt:variant>
        <vt:i4>1966129</vt:i4>
      </vt:variant>
      <vt:variant>
        <vt:i4>29</vt:i4>
      </vt:variant>
      <vt:variant>
        <vt:i4>0</vt:i4>
      </vt:variant>
      <vt:variant>
        <vt:i4>5</vt:i4>
      </vt:variant>
      <vt:variant>
        <vt:lpwstr/>
      </vt:variant>
      <vt:variant>
        <vt:lpwstr>_Toc190980898</vt:lpwstr>
      </vt:variant>
      <vt:variant>
        <vt:i4>1966129</vt:i4>
      </vt:variant>
      <vt:variant>
        <vt:i4>23</vt:i4>
      </vt:variant>
      <vt:variant>
        <vt:i4>0</vt:i4>
      </vt:variant>
      <vt:variant>
        <vt:i4>5</vt:i4>
      </vt:variant>
      <vt:variant>
        <vt:lpwstr/>
      </vt:variant>
      <vt:variant>
        <vt:lpwstr>_Toc190980897</vt:lpwstr>
      </vt:variant>
      <vt:variant>
        <vt:i4>1966129</vt:i4>
      </vt:variant>
      <vt:variant>
        <vt:i4>17</vt:i4>
      </vt:variant>
      <vt:variant>
        <vt:i4>0</vt:i4>
      </vt:variant>
      <vt:variant>
        <vt:i4>5</vt:i4>
      </vt:variant>
      <vt:variant>
        <vt:lpwstr/>
      </vt:variant>
      <vt:variant>
        <vt:lpwstr>_Toc190980896</vt:lpwstr>
      </vt:variant>
      <vt:variant>
        <vt:i4>1966129</vt:i4>
      </vt:variant>
      <vt:variant>
        <vt:i4>11</vt:i4>
      </vt:variant>
      <vt:variant>
        <vt:i4>0</vt:i4>
      </vt:variant>
      <vt:variant>
        <vt:i4>5</vt:i4>
      </vt:variant>
      <vt:variant>
        <vt:lpwstr/>
      </vt:variant>
      <vt:variant>
        <vt:lpwstr>_Toc190980895</vt:lpwstr>
      </vt:variant>
      <vt:variant>
        <vt:i4>1638522</vt:i4>
      </vt:variant>
      <vt:variant>
        <vt:i4>6</vt:i4>
      </vt:variant>
      <vt:variant>
        <vt:i4>0</vt:i4>
      </vt:variant>
      <vt:variant>
        <vt:i4>5</vt:i4>
      </vt:variant>
      <vt:variant>
        <vt:lpwstr>mailto:copyright@dewr.gov.au</vt:lpwstr>
      </vt:variant>
      <vt:variant>
        <vt:lpwstr/>
      </vt:variant>
      <vt:variant>
        <vt:i4>4128803</vt:i4>
      </vt:variant>
      <vt:variant>
        <vt:i4>3</vt:i4>
      </vt:variant>
      <vt:variant>
        <vt:i4>0</vt:i4>
      </vt:variant>
      <vt:variant>
        <vt:i4>5</vt:i4>
      </vt:variant>
      <vt:variant>
        <vt:lpwstr>https://www.pmc.gov.au/</vt:lpwstr>
      </vt:variant>
      <vt:variant>
        <vt:lpwstr/>
      </vt:variant>
      <vt:variant>
        <vt:i4>1114206</vt:i4>
      </vt:variant>
      <vt:variant>
        <vt:i4>0</vt:i4>
      </vt:variant>
      <vt:variant>
        <vt:i4>0</vt:i4>
      </vt:variant>
      <vt:variant>
        <vt:i4>5</vt:i4>
      </vt:variant>
      <vt:variant>
        <vt:lpwstr>https://creativecommons.org/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2025-06-05T02:57:00Z</dcterms:created>
  <dcterms:modified xsi:type="dcterms:W3CDTF">2025-06-05T02:59:00Z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2025-05-27T23:36:28Z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c60d40e6-bb1e-4269-9f9e-7a6367a1bcb3</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